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png" ContentType="image/png"/>
  <Override PartName="/word/header2.xml" ContentType="application/vnd.openxmlformats-officedocument.wordprocessingml.head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line="247" w:lineRule="exact" w:before="61"/>
        <w:ind w:left="0" w:right="172" w:firstLine="0"/>
        <w:jc w:val="right"/>
        <w:rPr>
          <w:sz w:val="20"/>
        </w:rPr>
      </w:pPr>
      <w:r>
        <w:rPr>
          <w:w w:val="95"/>
          <w:sz w:val="20"/>
        </w:rPr>
        <w:t>君龙人寿[2022]疾病</w:t>
      </w:r>
      <w:r>
        <w:rPr>
          <w:w w:val="95"/>
          <w:sz w:val="20"/>
        </w:rPr>
        <w:t>保</w:t>
      </w:r>
      <w:r>
        <w:rPr>
          <w:w w:val="95"/>
          <w:sz w:val="20"/>
        </w:rPr>
        <w:t>险</w:t>
      </w:r>
      <w:r>
        <w:rPr>
          <w:w w:val="95"/>
          <w:sz w:val="20"/>
        </w:rPr>
        <w:t>002</w:t>
      </w:r>
      <w:r>
        <w:rPr>
          <w:spacing w:val="-10"/>
          <w:w w:val="95"/>
          <w:sz w:val="20"/>
        </w:rPr>
        <w:t>号</w:t>
      </w:r>
    </w:p>
    <w:p>
      <w:pPr>
        <w:spacing w:line="562" w:lineRule="exact" w:before="0"/>
        <w:ind w:left="800" w:right="0" w:firstLine="0"/>
        <w:jc w:val="left"/>
        <w:rPr>
          <w:rFonts w:ascii="华文中宋" w:eastAsia="华文中宋" w:hint="eastAsia"/>
          <w:b/>
          <w:sz w:val="36"/>
        </w:rPr>
      </w:pPr>
      <w:r>
        <w:rPr>
          <w:rFonts w:ascii="华文中宋" w:eastAsia="华文中宋" w:hint="eastAsia"/>
          <w:b/>
          <w:w w:val="95"/>
          <w:sz w:val="36"/>
        </w:rPr>
        <w:t>君</w:t>
      </w:r>
      <w:r>
        <w:rPr>
          <w:rFonts w:ascii="华文中宋" w:eastAsia="华文中宋" w:hint="eastAsia"/>
          <w:b/>
          <w:w w:val="95"/>
          <w:sz w:val="36"/>
        </w:rPr>
        <w:t>龙</w:t>
      </w:r>
      <w:r>
        <w:rPr>
          <w:rFonts w:ascii="华文中宋" w:eastAsia="华文中宋" w:hint="eastAsia"/>
          <w:b/>
          <w:w w:val="95"/>
          <w:sz w:val="36"/>
        </w:rPr>
        <w:t>福</w:t>
      </w:r>
      <w:r>
        <w:rPr>
          <w:rFonts w:ascii="华文中宋" w:eastAsia="华文中宋" w:hint="eastAsia"/>
          <w:b/>
          <w:w w:val="95"/>
          <w:sz w:val="36"/>
        </w:rPr>
        <w:t>寿</w:t>
      </w:r>
      <w:r>
        <w:rPr>
          <w:rFonts w:ascii="华文中宋" w:eastAsia="华文中宋" w:hint="eastAsia"/>
          <w:b/>
          <w:w w:val="95"/>
          <w:sz w:val="36"/>
        </w:rPr>
        <w:t>安</w:t>
      </w:r>
      <w:r>
        <w:rPr>
          <w:rFonts w:ascii="华文中宋" w:eastAsia="华文中宋" w:hint="eastAsia"/>
          <w:b/>
          <w:w w:val="95"/>
          <w:sz w:val="36"/>
        </w:rPr>
        <w:t>康</w:t>
      </w:r>
      <w:r>
        <w:rPr>
          <w:rFonts w:ascii="华文中宋" w:eastAsia="华文中宋" w:hint="eastAsia"/>
          <w:b/>
          <w:w w:val="95"/>
          <w:sz w:val="36"/>
        </w:rPr>
        <w:t>重</w:t>
      </w:r>
      <w:r>
        <w:rPr>
          <w:rFonts w:ascii="华文中宋" w:eastAsia="华文中宋" w:hint="eastAsia"/>
          <w:b/>
          <w:w w:val="95"/>
          <w:sz w:val="36"/>
        </w:rPr>
        <w:t>大</w:t>
      </w:r>
      <w:r>
        <w:rPr>
          <w:rFonts w:ascii="华文中宋" w:eastAsia="华文中宋" w:hint="eastAsia"/>
          <w:b/>
          <w:w w:val="95"/>
          <w:sz w:val="36"/>
        </w:rPr>
        <w:t>疾</w:t>
      </w:r>
      <w:r>
        <w:rPr>
          <w:rFonts w:ascii="华文中宋" w:eastAsia="华文中宋" w:hint="eastAsia"/>
          <w:b/>
          <w:w w:val="95"/>
          <w:sz w:val="36"/>
        </w:rPr>
        <w:t>病</w:t>
      </w:r>
      <w:r>
        <w:rPr>
          <w:rFonts w:ascii="华文中宋" w:eastAsia="华文中宋" w:hint="eastAsia"/>
          <w:b/>
          <w:w w:val="95"/>
          <w:sz w:val="36"/>
        </w:rPr>
        <w:t>保</w:t>
      </w:r>
      <w:r>
        <w:rPr>
          <w:rFonts w:ascii="华文中宋" w:eastAsia="华文中宋" w:hint="eastAsia"/>
          <w:b/>
          <w:w w:val="95"/>
          <w:sz w:val="36"/>
        </w:rPr>
        <w:t>险</w:t>
      </w:r>
      <w:r>
        <w:rPr>
          <w:rFonts w:ascii="华文中宋" w:eastAsia="华文中宋" w:hint="eastAsia"/>
          <w:b/>
          <w:w w:val="95"/>
          <w:sz w:val="36"/>
        </w:rPr>
        <w:t>（</w:t>
      </w:r>
      <w:r>
        <w:rPr>
          <w:rFonts w:ascii="华文中宋" w:eastAsia="华文中宋" w:hint="eastAsia"/>
          <w:b/>
          <w:w w:val="95"/>
          <w:sz w:val="36"/>
        </w:rPr>
        <w:t>互</w:t>
      </w:r>
      <w:r>
        <w:rPr>
          <w:rFonts w:ascii="华文中宋" w:eastAsia="华文中宋" w:hint="eastAsia"/>
          <w:b/>
          <w:w w:val="95"/>
          <w:sz w:val="36"/>
        </w:rPr>
        <w:t>联</w:t>
      </w:r>
      <w:r>
        <w:rPr>
          <w:rFonts w:ascii="华文中宋" w:eastAsia="华文中宋" w:hint="eastAsia"/>
          <w:b/>
          <w:w w:val="95"/>
          <w:sz w:val="36"/>
        </w:rPr>
        <w:t>网</w:t>
      </w:r>
      <w:r>
        <w:rPr>
          <w:rFonts w:ascii="华文中宋" w:eastAsia="华文中宋" w:hint="eastAsia"/>
          <w:b/>
          <w:w w:val="95"/>
          <w:sz w:val="36"/>
        </w:rPr>
        <w:t>）</w:t>
      </w:r>
      <w:r>
        <w:rPr>
          <w:rFonts w:ascii="华文中宋" w:eastAsia="华文中宋" w:hint="eastAsia"/>
          <w:b/>
          <w:w w:val="95"/>
          <w:sz w:val="36"/>
        </w:rPr>
        <w:t>条</w:t>
      </w:r>
      <w:r>
        <w:rPr>
          <w:rFonts w:ascii="华文中宋" w:eastAsia="华文中宋" w:hint="eastAsia"/>
          <w:b/>
          <w:spacing w:val="-10"/>
          <w:w w:val="95"/>
          <w:sz w:val="36"/>
        </w:rPr>
        <w:t>款</w:t>
      </w:r>
    </w:p>
    <w:p>
      <w:pPr>
        <w:spacing w:after="0" w:line="562" w:lineRule="exact"/>
        <w:jc w:val="left"/>
        <w:rPr>
          <w:rFonts w:ascii="华文中宋" w:eastAsia="华文中宋" w:hint="eastAsia"/>
          <w:sz w:val="36"/>
        </w:rPr>
        <w:sectPr>
          <w:headerReference w:type="default" r:id="rId5"/>
          <w:footerReference w:type="default" r:id="rId6"/>
          <w:type w:val="continuous"/>
          <w:pgSz w:w="11910" w:h="16840"/>
          <w:pgMar w:header="484" w:footer="706" w:top="1240" w:bottom="900" w:left="980" w:right="980"/>
          <w:pgNumType w:start="1"/>
        </w:sectPr>
      </w:pPr>
    </w:p>
    <w:p>
      <w:pPr>
        <w:spacing w:before="218"/>
        <w:ind w:left="0" w:right="0" w:firstLine="0"/>
        <w:jc w:val="right"/>
        <w:rPr>
          <w:rFonts w:ascii="华文中宋" w:eastAsia="华文中宋" w:hint="eastAsia"/>
          <w:b/>
          <w:sz w:val="40"/>
        </w:rPr>
      </w:pPr>
      <w:r>
        <w:rPr>
          <w:rFonts w:ascii="华文中宋" w:eastAsia="华文中宋" w:hint="eastAsia"/>
          <w:b/>
          <w:spacing w:val="-4"/>
          <w:sz w:val="40"/>
        </w:rPr>
        <w:t>阅 读 指 引</w:t>
      </w:r>
    </w:p>
    <w:p>
      <w:pPr>
        <w:spacing w:line="240" w:lineRule="exact" w:before="0"/>
        <w:ind w:left="1766" w:right="0" w:firstLine="0"/>
        <w:jc w:val="left"/>
        <w:rPr>
          <w:sz w:val="20"/>
        </w:rPr>
      </w:pPr>
      <w:r>
        <w:rPr/>
        <w:br w:type="column"/>
      </w:r>
      <w:r>
        <w:rPr>
          <w:w w:val="95"/>
          <w:sz w:val="20"/>
        </w:rPr>
        <w:t>请扫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spacing w:after="0" w:line="240" w:lineRule="exact"/>
        <w:jc w:val="left"/>
        <w:rPr>
          <w:sz w:val="20"/>
        </w:rPr>
        <w:sectPr>
          <w:type w:val="continuous"/>
          <w:pgSz w:w="11910" w:h="16840"/>
          <w:pgMar w:header="484" w:footer="706" w:top="1240" w:bottom="900" w:left="980" w:right="980"/>
          <w:cols w:num="2" w:equalWidth="0">
            <w:col w:w="5966" w:space="40"/>
            <w:col w:w="3944"/>
          </w:cols>
        </w:sectPr>
      </w:pPr>
    </w:p>
    <w:p>
      <w:pPr>
        <w:spacing w:before="69"/>
        <w:ind w:left="152" w:right="0" w:firstLine="0"/>
        <w:jc w:val="left"/>
        <w:rPr>
          <w:sz w:val="20"/>
        </w:rPr>
      </w:pPr>
      <w:r>
        <w:rPr/>
        <w:drawing>
          <wp:anchor distT="0" distB="0" distL="0" distR="0" allowOverlap="1" layoutInCell="1" locked="0" behindDoc="1" simplePos="0" relativeHeight="484568064">
            <wp:simplePos x="0" y="0"/>
            <wp:positionH relativeFrom="page">
              <wp:posOffset>688594</wp:posOffset>
            </wp:positionH>
            <wp:positionV relativeFrom="paragraph">
              <wp:posOffset>232930</wp:posOffset>
            </wp:positionV>
            <wp:extent cx="6183122" cy="7322947"/>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7" cstate="print"/>
                    <a:stretch>
                      <a:fillRect/>
                    </a:stretch>
                  </pic:blipFill>
                  <pic:spPr>
                    <a:xfrm>
                      <a:off x="0" y="0"/>
                      <a:ext cx="6183122" cy="7322947"/>
                    </a:xfrm>
                    <a:prstGeom prst="rect">
                      <a:avLst/>
                    </a:prstGeom>
                  </pic:spPr>
                </pic:pic>
              </a:graphicData>
            </a:graphic>
          </wp:anchor>
        </w:drawing>
      </w:r>
      <w:r>
        <w:rPr>
          <w:spacing w:val="6"/>
          <w:w w:val="95"/>
          <w:sz w:val="20"/>
        </w:rPr>
        <w:t>本阅</w:t>
      </w:r>
      <w:r>
        <w:rPr>
          <w:w w:val="95"/>
          <w:sz w:val="20"/>
        </w:rPr>
        <w:t>读</w:t>
      </w:r>
      <w:r>
        <w:rPr>
          <w:w w:val="95"/>
          <w:sz w:val="20"/>
        </w:rPr>
        <w:t>指</w:t>
      </w:r>
      <w:r>
        <w:rPr>
          <w:w w:val="95"/>
          <w:sz w:val="20"/>
        </w:rPr>
        <w:t>引</w:t>
      </w:r>
      <w:r>
        <w:rPr>
          <w:spacing w:val="12"/>
          <w:w w:val="95"/>
          <w:sz w:val="20"/>
        </w:rPr>
        <w:t>有</w:t>
      </w:r>
      <w:r>
        <w:rPr>
          <w:w w:val="95"/>
          <w:sz w:val="20"/>
        </w:rPr>
        <w:t>助</w:t>
      </w:r>
      <w:r>
        <w:rPr>
          <w:w w:val="95"/>
          <w:sz w:val="20"/>
        </w:rPr>
        <w:t>于</w:t>
      </w:r>
      <w:r>
        <w:rPr>
          <w:w w:val="95"/>
          <w:sz w:val="20"/>
        </w:rPr>
        <w:t>您</w:t>
      </w:r>
      <w:r>
        <w:rPr>
          <w:spacing w:val="12"/>
          <w:w w:val="95"/>
          <w:sz w:val="20"/>
        </w:rPr>
        <w:t>理</w:t>
      </w:r>
      <w:r>
        <w:rPr>
          <w:w w:val="95"/>
          <w:sz w:val="20"/>
        </w:rPr>
        <w:t>解</w:t>
      </w:r>
      <w:r>
        <w:rPr>
          <w:w w:val="95"/>
          <w:sz w:val="20"/>
        </w:rPr>
        <w:t>条</w:t>
      </w:r>
      <w:r>
        <w:rPr>
          <w:w w:val="95"/>
          <w:sz w:val="20"/>
        </w:rPr>
        <w:t>款</w:t>
      </w:r>
      <w:r>
        <w:rPr>
          <w:spacing w:val="6"/>
          <w:w w:val="95"/>
          <w:sz w:val="20"/>
        </w:rPr>
        <w:t>，对</w:t>
      </w:r>
      <w:r>
        <w:rPr>
          <w:b/>
          <w:spacing w:val="12"/>
          <w:w w:val="95"/>
          <w:sz w:val="20"/>
        </w:rPr>
        <w:t>《</w:t>
      </w:r>
      <w:r>
        <w:rPr>
          <w:b/>
          <w:spacing w:val="12"/>
          <w:w w:val="95"/>
          <w:sz w:val="20"/>
        </w:rPr>
        <w:t>君</w:t>
      </w:r>
      <w:r>
        <w:rPr>
          <w:b/>
          <w:spacing w:val="3"/>
          <w:w w:val="95"/>
          <w:sz w:val="20"/>
        </w:rPr>
        <w:t>龙福寿</w:t>
      </w:r>
      <w:r>
        <w:rPr>
          <w:b/>
          <w:spacing w:val="12"/>
          <w:w w:val="95"/>
          <w:sz w:val="20"/>
        </w:rPr>
        <w:t>安</w:t>
      </w:r>
      <w:r>
        <w:rPr>
          <w:b/>
          <w:spacing w:val="12"/>
          <w:w w:val="95"/>
          <w:sz w:val="20"/>
        </w:rPr>
        <w:t>康</w:t>
      </w:r>
      <w:r>
        <w:rPr>
          <w:b/>
          <w:spacing w:val="4"/>
          <w:w w:val="95"/>
          <w:sz w:val="20"/>
        </w:rPr>
        <w:t>重大疾病保</w:t>
      </w:r>
      <w:r>
        <w:rPr>
          <w:b/>
          <w:spacing w:val="12"/>
          <w:w w:val="95"/>
          <w:sz w:val="20"/>
        </w:rPr>
        <w:t>险</w:t>
      </w:r>
      <w:r>
        <w:rPr>
          <w:b/>
          <w:spacing w:val="12"/>
          <w:w w:val="95"/>
          <w:sz w:val="20"/>
        </w:rPr>
        <w:t>（</w:t>
      </w:r>
      <w:r>
        <w:rPr>
          <w:b/>
          <w:spacing w:val="6"/>
          <w:w w:val="95"/>
          <w:sz w:val="20"/>
        </w:rPr>
        <w:t>互联</w:t>
      </w:r>
      <w:r>
        <w:rPr>
          <w:b/>
          <w:w w:val="95"/>
          <w:sz w:val="20"/>
        </w:rPr>
        <w:t>网</w:t>
      </w:r>
      <w:r>
        <w:rPr>
          <w:b/>
          <w:w w:val="95"/>
          <w:sz w:val="20"/>
        </w:rPr>
        <w:t>）</w:t>
      </w:r>
      <w:r>
        <w:rPr>
          <w:b/>
          <w:spacing w:val="12"/>
          <w:w w:val="95"/>
          <w:sz w:val="20"/>
        </w:rPr>
        <w:t>》</w:t>
      </w:r>
      <w:r>
        <w:rPr>
          <w:spacing w:val="6"/>
          <w:w w:val="95"/>
          <w:sz w:val="20"/>
        </w:rPr>
        <w:t>合同</w:t>
      </w:r>
      <w:r>
        <w:rPr>
          <w:w w:val="95"/>
          <w:sz w:val="20"/>
        </w:rPr>
        <w:t>内</w:t>
      </w:r>
      <w:r>
        <w:rPr>
          <w:w w:val="95"/>
          <w:sz w:val="20"/>
        </w:rPr>
        <w:t>容</w:t>
      </w:r>
      <w:r>
        <w:rPr>
          <w:w w:val="95"/>
          <w:sz w:val="20"/>
        </w:rPr>
        <w:t>的</w:t>
      </w:r>
      <w:r>
        <w:rPr>
          <w:spacing w:val="12"/>
          <w:w w:val="95"/>
          <w:sz w:val="20"/>
        </w:rPr>
        <w:t>解</w:t>
      </w:r>
      <w:r>
        <w:rPr>
          <w:w w:val="95"/>
          <w:sz w:val="20"/>
        </w:rPr>
        <w:t>释</w:t>
      </w:r>
      <w:r>
        <w:rPr>
          <w:w w:val="95"/>
          <w:sz w:val="20"/>
        </w:rPr>
        <w:t>以</w:t>
      </w:r>
      <w:r>
        <w:rPr>
          <w:w w:val="95"/>
          <w:sz w:val="20"/>
        </w:rPr>
        <w:t>条</w:t>
      </w:r>
      <w:r>
        <w:rPr>
          <w:w w:val="95"/>
          <w:sz w:val="20"/>
        </w:rPr>
        <w:t>款为准</w:t>
      </w:r>
    </w:p>
    <w:p>
      <w:pPr>
        <w:pStyle w:val="BodyText"/>
        <w:spacing w:before="7"/>
        <w:rPr>
          <w:sz w:val="17"/>
        </w:rPr>
      </w:pPr>
    </w:p>
    <w:p>
      <w:pPr>
        <w:pStyle w:val="Heading2"/>
        <w:spacing w:before="0"/>
        <w:ind w:left="726"/>
        <w:rPr>
          <w:rFonts w:ascii="宋体" w:eastAsia="宋体" w:hint="eastAsia"/>
        </w:rPr>
      </w:pPr>
      <w:r>
        <w:rPr/>
        <w:pict>
          <v:shape style="position:absolute;margin-left:60.84pt;margin-top:-4.966959pt;width:24.55pt;height:27.5pt;mso-position-horizontal-relative:page;mso-position-vertical-relative:paragraph;z-index:-18747904" type="#_x0000_t202" id="docshape4" filled="false" stroked="false">
            <v:textbox inset="0,0,0,0">
              <w:txbxContent>
                <w:p>
                  <w:pPr>
                    <w:spacing w:before="1"/>
                    <w:ind w:left="0" w:right="0" w:firstLine="0"/>
                    <w:jc w:val="left"/>
                    <w:rPr>
                      <w:rFonts w:ascii="Wingdings 2" w:hAnsi="Wingdings 2"/>
                      <w:b/>
                      <w:sz w:val="52"/>
                    </w:rPr>
                  </w:pPr>
                  <w:r>
                    <w:rPr>
                      <w:rFonts w:ascii="Wingdings 2" w:hAnsi="Wingdings 2"/>
                      <w:b/>
                      <w:w w:val="100"/>
                      <w:sz w:val="52"/>
                    </w:rPr>
                    <w:t></w:t>
                  </w:r>
                </w:p>
              </w:txbxContent>
            </v:textbox>
            <w10:wrap type="none"/>
          </v:shape>
        </w:pict>
      </w:r>
      <w:r>
        <w:rPr>
          <w:rFonts w:ascii="宋体" w:eastAsia="宋体" w:hint="eastAsia"/>
          <w:spacing w:val="-4"/>
        </w:rPr>
        <w:t>您拥有的重要权益</w:t>
      </w:r>
    </w:p>
    <w:p>
      <w:pPr>
        <w:pStyle w:val="ListParagraph"/>
        <w:numPr>
          <w:ilvl w:val="0"/>
          <w:numId w:val="1"/>
        </w:numPr>
        <w:tabs>
          <w:tab w:pos="717" w:val="left" w:leader="none"/>
          <w:tab w:pos="9511" w:val="right" w:leader="dot"/>
        </w:tabs>
        <w:spacing w:line="240" w:lineRule="auto" w:before="39" w:after="0"/>
        <w:ind w:left="716" w:right="0" w:hanging="277"/>
        <w:jc w:val="left"/>
        <w:rPr>
          <w:sz w:val="20"/>
        </w:rPr>
      </w:pPr>
      <w:r>
        <w:rPr>
          <w:w w:val="95"/>
          <w:sz w:val="20"/>
        </w:rPr>
        <w:t>签收</w:t>
      </w:r>
      <w:r>
        <w:rPr>
          <w:w w:val="95"/>
          <w:sz w:val="20"/>
        </w:rPr>
        <w:t>本</w:t>
      </w:r>
      <w:r>
        <w:rPr>
          <w:w w:val="95"/>
          <w:sz w:val="20"/>
        </w:rPr>
        <w:t>合</w:t>
      </w:r>
      <w:r>
        <w:rPr>
          <w:w w:val="95"/>
          <w:sz w:val="20"/>
        </w:rPr>
        <w:t>同</w:t>
      </w:r>
      <w:r>
        <w:rPr>
          <w:w w:val="95"/>
          <w:sz w:val="20"/>
        </w:rPr>
        <w:t>次</w:t>
      </w:r>
      <w:r>
        <w:rPr>
          <w:w w:val="95"/>
          <w:sz w:val="20"/>
        </w:rPr>
        <w:t>日</w:t>
      </w:r>
      <w:r>
        <w:rPr>
          <w:w w:val="95"/>
          <w:sz w:val="20"/>
        </w:rPr>
        <w:t>起15日〈</w:t>
      </w:r>
      <w:r>
        <w:rPr>
          <w:w w:val="95"/>
          <w:sz w:val="20"/>
        </w:rPr>
        <w:t>即</w:t>
      </w:r>
      <w:r>
        <w:rPr>
          <w:w w:val="95"/>
          <w:sz w:val="20"/>
        </w:rPr>
        <w:t>犹</w:t>
      </w:r>
      <w:r>
        <w:rPr>
          <w:w w:val="95"/>
          <w:sz w:val="20"/>
        </w:rPr>
        <w:t>豫</w:t>
      </w:r>
      <w:r>
        <w:rPr>
          <w:w w:val="95"/>
          <w:sz w:val="20"/>
        </w:rPr>
        <w:t>期</w:t>
      </w:r>
      <w:r>
        <w:rPr>
          <w:w w:val="95"/>
          <w:sz w:val="20"/>
        </w:rPr>
        <w:t>〉</w:t>
      </w:r>
      <w:r>
        <w:rPr>
          <w:w w:val="95"/>
          <w:sz w:val="20"/>
        </w:rPr>
        <w:t>内</w:t>
      </w:r>
      <w:r>
        <w:rPr>
          <w:w w:val="95"/>
          <w:sz w:val="20"/>
        </w:rPr>
        <w:t>您</w:t>
      </w:r>
      <w:r>
        <w:rPr>
          <w:w w:val="95"/>
          <w:sz w:val="20"/>
        </w:rPr>
        <w:t>可</w:t>
      </w:r>
      <w:r>
        <w:rPr>
          <w:w w:val="95"/>
          <w:sz w:val="20"/>
        </w:rPr>
        <w:t>以</w:t>
      </w:r>
      <w:r>
        <w:rPr>
          <w:w w:val="95"/>
          <w:sz w:val="20"/>
        </w:rPr>
        <w:t>要</w:t>
      </w:r>
      <w:r>
        <w:rPr>
          <w:w w:val="95"/>
          <w:sz w:val="20"/>
        </w:rPr>
        <w:t>求</w:t>
      </w:r>
      <w:r>
        <w:rPr>
          <w:w w:val="95"/>
          <w:sz w:val="20"/>
        </w:rPr>
        <w:t>退</w:t>
      </w:r>
      <w:r>
        <w:rPr>
          <w:w w:val="95"/>
          <w:sz w:val="20"/>
        </w:rPr>
        <w:t>还</w:t>
      </w:r>
      <w:r>
        <w:rPr>
          <w:w w:val="95"/>
          <w:sz w:val="20"/>
        </w:rPr>
        <w:t>扣</w:t>
      </w:r>
      <w:r>
        <w:rPr>
          <w:w w:val="95"/>
          <w:sz w:val="20"/>
        </w:rPr>
        <w:t>除</w:t>
      </w:r>
      <w:r>
        <w:rPr>
          <w:w w:val="95"/>
          <w:sz w:val="20"/>
        </w:rPr>
        <w:t>工</w:t>
      </w:r>
      <w:r>
        <w:rPr>
          <w:w w:val="95"/>
          <w:sz w:val="20"/>
        </w:rPr>
        <w:t>本</w:t>
      </w:r>
      <w:r>
        <w:rPr>
          <w:w w:val="95"/>
          <w:sz w:val="20"/>
        </w:rPr>
        <w:t>费</w:t>
      </w:r>
      <w:r>
        <w:rPr>
          <w:w w:val="95"/>
          <w:sz w:val="20"/>
        </w:rPr>
        <w:t>外</w:t>
      </w:r>
      <w:r>
        <w:rPr>
          <w:w w:val="95"/>
          <w:sz w:val="20"/>
        </w:rPr>
        <w:t>的</w:t>
      </w:r>
      <w:r>
        <w:rPr>
          <w:w w:val="95"/>
          <w:sz w:val="20"/>
        </w:rPr>
        <w:t>全</w:t>
      </w:r>
      <w:r>
        <w:rPr>
          <w:w w:val="95"/>
          <w:sz w:val="20"/>
        </w:rPr>
        <w:t>部</w:t>
      </w:r>
      <w:r>
        <w:rPr>
          <w:w w:val="95"/>
          <w:sz w:val="20"/>
        </w:rPr>
        <w:t>保</w:t>
      </w:r>
      <w:r>
        <w:rPr>
          <w:w w:val="95"/>
          <w:sz w:val="20"/>
        </w:rPr>
        <w:t>险</w:t>
      </w:r>
      <w:r>
        <w:rPr>
          <w:spacing w:val="-10"/>
          <w:w w:val="95"/>
          <w:sz w:val="20"/>
        </w:rPr>
        <w:t>费</w:t>
      </w:r>
      <w:r>
        <w:rPr>
          <w:rFonts w:ascii="Times New Roman" w:hAnsi="Times New Roman" w:eastAsia="Times New Roman"/>
          <w:sz w:val="20"/>
        </w:rPr>
        <w:tab/>
      </w:r>
      <w:r>
        <w:rPr>
          <w:spacing w:val="-5"/>
          <w:sz w:val="20"/>
        </w:rPr>
        <w:t>1.3</w:t>
      </w:r>
    </w:p>
    <w:p>
      <w:pPr>
        <w:pStyle w:val="ListParagraph"/>
        <w:numPr>
          <w:ilvl w:val="0"/>
          <w:numId w:val="1"/>
        </w:numPr>
        <w:tabs>
          <w:tab w:pos="717" w:val="left" w:leader="none"/>
          <w:tab w:pos="9511" w:val="right" w:leader="dot"/>
        </w:tabs>
        <w:spacing w:line="240" w:lineRule="auto" w:before="43" w:after="0"/>
        <w:ind w:left="716" w:right="0" w:hanging="277"/>
        <w:jc w:val="left"/>
        <w:rPr>
          <w:sz w:val="20"/>
        </w:rPr>
      </w:pPr>
      <w:r>
        <w:rPr>
          <w:w w:val="95"/>
          <w:sz w:val="20"/>
        </w:rPr>
        <w:t>您有</w:t>
      </w:r>
      <w:r>
        <w:rPr>
          <w:w w:val="95"/>
          <w:sz w:val="20"/>
        </w:rPr>
        <w:t>退</w:t>
      </w:r>
      <w:r>
        <w:rPr>
          <w:w w:val="95"/>
          <w:sz w:val="20"/>
        </w:rPr>
        <w:t>保</w:t>
      </w:r>
      <w:r>
        <w:rPr>
          <w:w w:val="95"/>
          <w:sz w:val="20"/>
        </w:rPr>
        <w:t>的</w:t>
      </w:r>
      <w:r>
        <w:rPr>
          <w:w w:val="95"/>
          <w:sz w:val="20"/>
        </w:rPr>
        <w:t>权</w:t>
      </w:r>
      <w:r>
        <w:rPr>
          <w:spacing w:val="-10"/>
          <w:w w:val="95"/>
          <w:sz w:val="20"/>
        </w:rPr>
        <w:t>利</w:t>
      </w:r>
      <w:r>
        <w:rPr>
          <w:rFonts w:ascii="Times New Roman" w:hAnsi="Times New Roman" w:eastAsia="Times New Roman"/>
          <w:sz w:val="20"/>
        </w:rPr>
        <w:tab/>
      </w:r>
      <w:r>
        <w:rPr>
          <w:spacing w:val="-5"/>
          <w:w w:val="95"/>
          <w:sz w:val="20"/>
        </w:rPr>
        <w:t>1.4</w:t>
      </w:r>
    </w:p>
    <w:p>
      <w:pPr>
        <w:pStyle w:val="ListParagraph"/>
        <w:numPr>
          <w:ilvl w:val="0"/>
          <w:numId w:val="1"/>
        </w:numPr>
        <w:tabs>
          <w:tab w:pos="717" w:val="left" w:leader="none"/>
          <w:tab w:pos="9511" w:val="right" w:leader="dot"/>
        </w:tabs>
        <w:spacing w:line="240" w:lineRule="auto" w:before="44" w:after="0"/>
        <w:ind w:left="716" w:right="0" w:hanging="277"/>
        <w:jc w:val="left"/>
        <w:rPr>
          <w:sz w:val="20"/>
        </w:rPr>
      </w:pPr>
      <w:r>
        <w:rPr>
          <w:w w:val="95"/>
          <w:sz w:val="20"/>
        </w:rPr>
        <w:t>被保</w:t>
      </w:r>
      <w:r>
        <w:rPr>
          <w:w w:val="95"/>
          <w:sz w:val="20"/>
        </w:rPr>
        <w:t>险</w:t>
      </w:r>
      <w:r>
        <w:rPr>
          <w:w w:val="95"/>
          <w:sz w:val="20"/>
        </w:rPr>
        <w:t>人</w:t>
      </w:r>
      <w:r>
        <w:rPr>
          <w:w w:val="95"/>
          <w:sz w:val="20"/>
        </w:rPr>
        <w:t>可</w:t>
      </w:r>
      <w:r>
        <w:rPr>
          <w:w w:val="95"/>
          <w:sz w:val="20"/>
        </w:rPr>
        <w:t>以</w:t>
      </w:r>
      <w:r>
        <w:rPr>
          <w:w w:val="95"/>
          <w:sz w:val="20"/>
        </w:rPr>
        <w:t>享</w:t>
      </w:r>
      <w:r>
        <w:rPr>
          <w:w w:val="95"/>
          <w:sz w:val="20"/>
        </w:rPr>
        <w:t>受</w:t>
      </w:r>
      <w:r>
        <w:rPr>
          <w:w w:val="95"/>
          <w:sz w:val="20"/>
        </w:rPr>
        <w:t>本</w:t>
      </w:r>
      <w:r>
        <w:rPr>
          <w:w w:val="95"/>
          <w:sz w:val="20"/>
        </w:rPr>
        <w:t>合</w:t>
      </w:r>
      <w:r>
        <w:rPr>
          <w:w w:val="95"/>
          <w:sz w:val="20"/>
        </w:rPr>
        <w:t>同</w:t>
      </w:r>
      <w:r>
        <w:rPr>
          <w:w w:val="95"/>
          <w:sz w:val="20"/>
        </w:rPr>
        <w:t>提</w:t>
      </w:r>
      <w:r>
        <w:rPr>
          <w:w w:val="95"/>
          <w:sz w:val="20"/>
        </w:rPr>
        <w:t>供</w:t>
      </w:r>
      <w:r>
        <w:rPr>
          <w:w w:val="95"/>
          <w:sz w:val="20"/>
        </w:rPr>
        <w:t>的</w:t>
      </w:r>
      <w:r>
        <w:rPr>
          <w:w w:val="95"/>
          <w:sz w:val="20"/>
        </w:rPr>
        <w:t>保</w:t>
      </w:r>
      <w:r>
        <w:rPr>
          <w:spacing w:val="-10"/>
          <w:w w:val="95"/>
          <w:sz w:val="20"/>
        </w:rPr>
        <w:t>障</w:t>
      </w:r>
      <w:r>
        <w:rPr>
          <w:rFonts w:ascii="Times New Roman" w:hAnsi="Times New Roman" w:eastAsia="Times New Roman"/>
          <w:sz w:val="20"/>
        </w:rPr>
        <w:tab/>
      </w:r>
      <w:r>
        <w:rPr>
          <w:spacing w:val="-5"/>
          <w:sz w:val="20"/>
        </w:rPr>
        <w:t>2.6</w:t>
      </w:r>
    </w:p>
    <w:p>
      <w:pPr>
        <w:pStyle w:val="ListParagraph"/>
        <w:numPr>
          <w:ilvl w:val="0"/>
          <w:numId w:val="1"/>
        </w:numPr>
        <w:tabs>
          <w:tab w:pos="717" w:val="left" w:leader="none"/>
          <w:tab w:pos="9511" w:val="right" w:leader="dot"/>
        </w:tabs>
        <w:spacing w:line="240" w:lineRule="auto" w:before="44" w:after="0"/>
        <w:ind w:left="716" w:right="0" w:hanging="277"/>
        <w:jc w:val="left"/>
        <w:rPr>
          <w:sz w:val="20"/>
        </w:rPr>
      </w:pPr>
      <w:r>
        <w:rPr>
          <w:w w:val="95"/>
          <w:sz w:val="20"/>
        </w:rPr>
        <w:t>您有</w:t>
      </w:r>
      <w:r>
        <w:rPr>
          <w:w w:val="95"/>
          <w:sz w:val="20"/>
        </w:rPr>
        <w:t>按</w:t>
      </w:r>
      <w:r>
        <w:rPr>
          <w:w w:val="95"/>
          <w:sz w:val="20"/>
        </w:rPr>
        <w:t>本</w:t>
      </w:r>
      <w:r>
        <w:rPr>
          <w:w w:val="95"/>
          <w:sz w:val="20"/>
        </w:rPr>
        <w:t>合</w:t>
      </w:r>
      <w:r>
        <w:rPr>
          <w:w w:val="95"/>
          <w:sz w:val="20"/>
        </w:rPr>
        <w:t>同</w:t>
      </w:r>
      <w:r>
        <w:rPr>
          <w:w w:val="95"/>
          <w:sz w:val="20"/>
        </w:rPr>
        <w:t>约</w:t>
      </w:r>
      <w:r>
        <w:rPr>
          <w:w w:val="95"/>
          <w:sz w:val="20"/>
        </w:rPr>
        <w:t>定</w:t>
      </w:r>
      <w:r>
        <w:rPr>
          <w:w w:val="95"/>
          <w:sz w:val="20"/>
        </w:rPr>
        <w:t>申</w:t>
      </w:r>
      <w:r>
        <w:rPr>
          <w:w w:val="95"/>
          <w:sz w:val="20"/>
        </w:rPr>
        <w:t>请</w:t>
      </w:r>
      <w:r>
        <w:rPr>
          <w:w w:val="95"/>
          <w:sz w:val="20"/>
        </w:rPr>
        <w:t>保</w:t>
      </w:r>
      <w:r>
        <w:rPr>
          <w:w w:val="95"/>
          <w:sz w:val="20"/>
        </w:rPr>
        <w:t>单</w:t>
      </w:r>
      <w:r>
        <w:rPr>
          <w:w w:val="95"/>
          <w:sz w:val="20"/>
        </w:rPr>
        <w:t>贷</w:t>
      </w:r>
      <w:r>
        <w:rPr>
          <w:w w:val="95"/>
          <w:sz w:val="20"/>
        </w:rPr>
        <w:t>款</w:t>
      </w:r>
      <w:r>
        <w:rPr>
          <w:w w:val="95"/>
          <w:sz w:val="20"/>
        </w:rPr>
        <w:t>的</w:t>
      </w:r>
      <w:r>
        <w:rPr>
          <w:w w:val="95"/>
          <w:sz w:val="20"/>
        </w:rPr>
        <w:t>权</w:t>
      </w:r>
      <w:r>
        <w:rPr>
          <w:spacing w:val="-10"/>
          <w:w w:val="95"/>
          <w:sz w:val="20"/>
        </w:rPr>
        <w:t>利</w:t>
      </w:r>
      <w:r>
        <w:rPr>
          <w:rFonts w:ascii="Times New Roman" w:hAnsi="Times New Roman" w:eastAsia="Times New Roman"/>
          <w:sz w:val="20"/>
        </w:rPr>
        <w:tab/>
      </w:r>
      <w:r>
        <w:rPr>
          <w:spacing w:val="-5"/>
          <w:sz w:val="20"/>
        </w:rPr>
        <w:t>7.2</w:t>
      </w:r>
    </w:p>
    <w:p>
      <w:pPr>
        <w:pStyle w:val="Heading2"/>
        <w:spacing w:line="445" w:lineRule="exact" w:before="79"/>
        <w:ind w:left="236"/>
        <w:rPr>
          <w:rFonts w:ascii="宋体" w:hAnsi="宋体" w:eastAsia="宋体" w:hint="eastAsia"/>
        </w:rPr>
      </w:pPr>
      <w:r>
        <w:rPr>
          <w:rFonts w:ascii="Wingdings 2" w:hAnsi="Wingdings 2" w:eastAsia="Wingdings 2"/>
          <w:w w:val="95"/>
          <w:position w:val="-11"/>
          <w:sz w:val="48"/>
        </w:rPr>
        <w:t></w:t>
      </w:r>
      <w:r>
        <w:rPr>
          <w:rFonts w:ascii="宋体" w:hAnsi="宋体" w:eastAsia="宋体" w:hint="eastAsia"/>
          <w:w w:val="95"/>
        </w:rPr>
        <w:t>您</w:t>
      </w:r>
      <w:r>
        <w:rPr>
          <w:rFonts w:ascii="宋体" w:hAnsi="宋体" w:eastAsia="宋体" w:hint="eastAsia"/>
          <w:w w:val="95"/>
        </w:rPr>
        <w:t>应</w:t>
      </w:r>
      <w:r>
        <w:rPr>
          <w:rFonts w:ascii="宋体" w:hAnsi="宋体" w:eastAsia="宋体" w:hint="eastAsia"/>
          <w:w w:val="95"/>
        </w:rPr>
        <w:t>当</w:t>
      </w:r>
      <w:r>
        <w:rPr>
          <w:rFonts w:ascii="宋体" w:hAnsi="宋体" w:eastAsia="宋体" w:hint="eastAsia"/>
          <w:w w:val="95"/>
        </w:rPr>
        <w:t>特</w:t>
      </w:r>
      <w:r>
        <w:rPr>
          <w:rFonts w:ascii="宋体" w:hAnsi="宋体" w:eastAsia="宋体" w:hint="eastAsia"/>
          <w:w w:val="95"/>
        </w:rPr>
        <w:t>别</w:t>
      </w:r>
      <w:r>
        <w:rPr>
          <w:rFonts w:ascii="宋体" w:hAnsi="宋体" w:eastAsia="宋体" w:hint="eastAsia"/>
          <w:w w:val="95"/>
        </w:rPr>
        <w:t>注</w:t>
      </w:r>
      <w:r>
        <w:rPr>
          <w:rFonts w:ascii="宋体" w:hAnsi="宋体" w:eastAsia="宋体" w:hint="eastAsia"/>
          <w:w w:val="95"/>
        </w:rPr>
        <w:t>意</w:t>
      </w:r>
      <w:r>
        <w:rPr>
          <w:rFonts w:ascii="宋体" w:hAnsi="宋体" w:eastAsia="宋体" w:hint="eastAsia"/>
          <w:w w:val="95"/>
        </w:rPr>
        <w:t>的</w:t>
      </w:r>
      <w:r>
        <w:rPr>
          <w:rFonts w:ascii="宋体" w:hAnsi="宋体" w:eastAsia="宋体" w:hint="eastAsia"/>
          <w:w w:val="95"/>
        </w:rPr>
        <w:t>事</w:t>
      </w:r>
      <w:r>
        <w:rPr>
          <w:rFonts w:ascii="宋体" w:hAnsi="宋体" w:eastAsia="宋体" w:hint="eastAsia"/>
          <w:spacing w:val="-10"/>
          <w:w w:val="95"/>
        </w:rPr>
        <w:t>项</w:t>
      </w:r>
    </w:p>
    <w:p>
      <w:pPr>
        <w:pStyle w:val="ListParagraph"/>
        <w:numPr>
          <w:ilvl w:val="0"/>
          <w:numId w:val="1"/>
        </w:numPr>
        <w:tabs>
          <w:tab w:pos="717" w:val="left" w:leader="none"/>
          <w:tab w:pos="9511" w:val="right" w:leader="dot"/>
        </w:tabs>
        <w:spacing w:line="196" w:lineRule="exact" w:before="0" w:after="0"/>
        <w:ind w:left="716" w:right="0" w:hanging="277"/>
        <w:jc w:val="left"/>
        <w:rPr>
          <w:sz w:val="20"/>
        </w:rPr>
      </w:pPr>
      <w:r>
        <w:rPr>
          <w:w w:val="95"/>
          <w:sz w:val="20"/>
        </w:rPr>
        <w:t>退保</w:t>
      </w:r>
      <w:r>
        <w:rPr>
          <w:w w:val="95"/>
          <w:sz w:val="20"/>
        </w:rPr>
        <w:t>会</w:t>
      </w:r>
      <w:r>
        <w:rPr>
          <w:w w:val="95"/>
          <w:sz w:val="20"/>
        </w:rPr>
        <w:t>给</w:t>
      </w:r>
      <w:r>
        <w:rPr>
          <w:w w:val="95"/>
          <w:sz w:val="20"/>
        </w:rPr>
        <w:t>您</w:t>
      </w:r>
      <w:r>
        <w:rPr>
          <w:w w:val="95"/>
          <w:sz w:val="20"/>
        </w:rPr>
        <w:t>造</w:t>
      </w:r>
      <w:r>
        <w:rPr>
          <w:w w:val="95"/>
          <w:sz w:val="20"/>
        </w:rPr>
        <w:t>成</w:t>
      </w:r>
      <w:r>
        <w:rPr>
          <w:w w:val="95"/>
          <w:sz w:val="20"/>
        </w:rPr>
        <w:t>一</w:t>
      </w:r>
      <w:r>
        <w:rPr>
          <w:w w:val="95"/>
          <w:sz w:val="20"/>
        </w:rPr>
        <w:t>定</w:t>
      </w:r>
      <w:r>
        <w:rPr>
          <w:w w:val="95"/>
          <w:sz w:val="20"/>
        </w:rPr>
        <w:t>的</w:t>
      </w:r>
      <w:r>
        <w:rPr>
          <w:w w:val="95"/>
          <w:sz w:val="20"/>
        </w:rPr>
        <w:t>损</w:t>
      </w:r>
      <w:r>
        <w:rPr>
          <w:w w:val="95"/>
          <w:sz w:val="20"/>
        </w:rPr>
        <w:t>失</w:t>
      </w:r>
      <w:r>
        <w:rPr>
          <w:w w:val="95"/>
          <w:sz w:val="20"/>
        </w:rPr>
        <w:t>，请</w:t>
      </w:r>
      <w:r>
        <w:rPr>
          <w:w w:val="95"/>
          <w:sz w:val="20"/>
        </w:rPr>
        <w:t>您</w:t>
      </w:r>
      <w:r>
        <w:rPr>
          <w:w w:val="95"/>
          <w:sz w:val="20"/>
        </w:rPr>
        <w:t>慎</w:t>
      </w:r>
      <w:r>
        <w:rPr>
          <w:w w:val="95"/>
          <w:sz w:val="20"/>
        </w:rPr>
        <w:t>重</w:t>
      </w:r>
      <w:r>
        <w:rPr>
          <w:w w:val="95"/>
          <w:sz w:val="20"/>
        </w:rPr>
        <w:t>决</w:t>
      </w:r>
      <w:r>
        <w:rPr>
          <w:spacing w:val="-10"/>
          <w:w w:val="95"/>
          <w:sz w:val="20"/>
        </w:rPr>
        <w:t>策</w:t>
      </w:r>
      <w:r>
        <w:rPr>
          <w:rFonts w:ascii="Times New Roman" w:hAnsi="Times New Roman" w:eastAsia="Times New Roman"/>
          <w:sz w:val="20"/>
        </w:rPr>
        <w:tab/>
      </w:r>
      <w:r>
        <w:rPr>
          <w:spacing w:val="-5"/>
          <w:sz w:val="20"/>
        </w:rPr>
        <w:t>1.4</w:t>
      </w:r>
    </w:p>
    <w:p>
      <w:pPr>
        <w:pStyle w:val="ListParagraph"/>
        <w:numPr>
          <w:ilvl w:val="0"/>
          <w:numId w:val="1"/>
        </w:numPr>
        <w:tabs>
          <w:tab w:pos="717" w:val="left" w:leader="none"/>
          <w:tab w:pos="9511" w:val="right" w:leader="dot"/>
        </w:tabs>
        <w:spacing w:line="240" w:lineRule="auto" w:before="44" w:after="0"/>
        <w:ind w:left="716" w:right="0" w:hanging="277"/>
        <w:jc w:val="left"/>
        <w:rPr>
          <w:sz w:val="20"/>
        </w:rPr>
      </w:pPr>
      <w:r>
        <w:rPr>
          <w:w w:val="95"/>
          <w:sz w:val="20"/>
        </w:rPr>
        <w:t>我们</w:t>
      </w:r>
      <w:r>
        <w:rPr>
          <w:w w:val="95"/>
          <w:sz w:val="20"/>
        </w:rPr>
        <w:t>对</w:t>
      </w:r>
      <w:r>
        <w:rPr>
          <w:w w:val="95"/>
          <w:sz w:val="20"/>
        </w:rPr>
        <w:t>免</w:t>
      </w:r>
      <w:r>
        <w:rPr>
          <w:w w:val="95"/>
          <w:sz w:val="20"/>
        </w:rPr>
        <w:t>除</w:t>
      </w:r>
      <w:r>
        <w:rPr>
          <w:w w:val="95"/>
          <w:sz w:val="20"/>
        </w:rPr>
        <w:t>保</w:t>
      </w:r>
      <w:r>
        <w:rPr>
          <w:w w:val="95"/>
          <w:sz w:val="20"/>
        </w:rPr>
        <w:t>险</w:t>
      </w:r>
      <w:r>
        <w:rPr>
          <w:w w:val="95"/>
          <w:sz w:val="20"/>
        </w:rPr>
        <w:t>人</w:t>
      </w:r>
      <w:r>
        <w:rPr>
          <w:w w:val="95"/>
          <w:sz w:val="20"/>
        </w:rPr>
        <w:t>责</w:t>
      </w:r>
      <w:r>
        <w:rPr>
          <w:w w:val="95"/>
          <w:sz w:val="20"/>
        </w:rPr>
        <w:t>任</w:t>
      </w:r>
      <w:r>
        <w:rPr>
          <w:w w:val="95"/>
          <w:sz w:val="20"/>
        </w:rPr>
        <w:t>的</w:t>
      </w:r>
      <w:r>
        <w:rPr>
          <w:w w:val="95"/>
          <w:sz w:val="20"/>
        </w:rPr>
        <w:t>条</w:t>
      </w:r>
      <w:r>
        <w:rPr>
          <w:w w:val="95"/>
          <w:sz w:val="20"/>
        </w:rPr>
        <w:t>款</w:t>
      </w:r>
      <w:r>
        <w:rPr>
          <w:w w:val="95"/>
          <w:sz w:val="20"/>
        </w:rPr>
        <w:t>作</w:t>
      </w:r>
      <w:r>
        <w:rPr>
          <w:w w:val="95"/>
          <w:sz w:val="20"/>
        </w:rPr>
        <w:t>了</w:t>
      </w:r>
      <w:r>
        <w:rPr>
          <w:w w:val="95"/>
          <w:sz w:val="20"/>
        </w:rPr>
        <w:t>特</w:t>
      </w:r>
      <w:r>
        <w:rPr>
          <w:w w:val="95"/>
          <w:sz w:val="20"/>
        </w:rPr>
        <w:t>别</w:t>
      </w:r>
      <w:r>
        <w:rPr>
          <w:w w:val="95"/>
          <w:sz w:val="20"/>
        </w:rPr>
        <w:t>提</w:t>
      </w:r>
      <w:r>
        <w:rPr>
          <w:w w:val="95"/>
          <w:sz w:val="20"/>
        </w:rPr>
        <w:t>示</w:t>
      </w:r>
      <w:r>
        <w:rPr>
          <w:w w:val="95"/>
          <w:sz w:val="20"/>
        </w:rPr>
        <w:t>，</w:t>
      </w:r>
      <w:r>
        <w:rPr>
          <w:w w:val="95"/>
          <w:sz w:val="20"/>
        </w:rPr>
        <w:t>详</w:t>
      </w:r>
      <w:r>
        <w:rPr>
          <w:w w:val="95"/>
          <w:sz w:val="20"/>
        </w:rPr>
        <w:t>见</w:t>
      </w:r>
      <w:r>
        <w:rPr>
          <w:w w:val="95"/>
          <w:sz w:val="20"/>
        </w:rPr>
        <w:t>条</w:t>
      </w:r>
      <w:r>
        <w:rPr>
          <w:w w:val="95"/>
          <w:sz w:val="20"/>
        </w:rPr>
        <w:t>款</w:t>
      </w:r>
      <w:r>
        <w:rPr>
          <w:w w:val="95"/>
          <w:sz w:val="20"/>
        </w:rPr>
        <w:t>正</w:t>
      </w:r>
      <w:r>
        <w:rPr>
          <w:w w:val="95"/>
          <w:sz w:val="20"/>
        </w:rPr>
        <w:t>文</w:t>
      </w:r>
      <w:r>
        <w:rPr>
          <w:w w:val="95"/>
          <w:sz w:val="20"/>
        </w:rPr>
        <w:t>中</w:t>
      </w:r>
      <w:r>
        <w:rPr>
          <w:w w:val="95"/>
          <w:sz w:val="20"/>
        </w:rPr>
        <w:t>背</w:t>
      </w:r>
      <w:r>
        <w:rPr>
          <w:w w:val="95"/>
          <w:sz w:val="20"/>
        </w:rPr>
        <w:t>景</w:t>
      </w:r>
      <w:r>
        <w:rPr>
          <w:w w:val="95"/>
          <w:sz w:val="20"/>
        </w:rPr>
        <w:t>突</w:t>
      </w:r>
      <w:r>
        <w:rPr>
          <w:w w:val="95"/>
          <w:sz w:val="20"/>
        </w:rPr>
        <w:t>出</w:t>
      </w:r>
      <w:r>
        <w:rPr>
          <w:w w:val="95"/>
          <w:sz w:val="20"/>
        </w:rPr>
        <w:t>部</w:t>
      </w:r>
      <w:r>
        <w:rPr>
          <w:spacing w:val="-10"/>
          <w:w w:val="95"/>
          <w:sz w:val="20"/>
        </w:rPr>
        <w:t>分</w:t>
      </w:r>
      <w:r>
        <w:rPr>
          <w:rFonts w:ascii="Times New Roman" w:hAnsi="Times New Roman" w:eastAsia="Times New Roman"/>
          <w:sz w:val="20"/>
        </w:rPr>
        <w:tab/>
      </w:r>
      <w:r>
        <w:rPr>
          <w:spacing w:val="-10"/>
          <w:sz w:val="20"/>
        </w:rPr>
        <w:t>3</w:t>
      </w:r>
    </w:p>
    <w:p>
      <w:pPr>
        <w:pStyle w:val="ListParagraph"/>
        <w:numPr>
          <w:ilvl w:val="0"/>
          <w:numId w:val="1"/>
        </w:numPr>
        <w:tabs>
          <w:tab w:pos="717" w:val="left" w:leader="none"/>
          <w:tab w:pos="9511" w:val="right" w:leader="dot"/>
        </w:tabs>
        <w:spacing w:line="240" w:lineRule="auto" w:before="43" w:after="0"/>
        <w:ind w:left="716" w:right="0" w:hanging="277"/>
        <w:jc w:val="left"/>
        <w:rPr>
          <w:sz w:val="20"/>
        </w:rPr>
      </w:pPr>
      <w:r>
        <w:rPr>
          <w:w w:val="95"/>
          <w:sz w:val="20"/>
        </w:rPr>
        <w:t>保险事故</w:t>
      </w:r>
      <w:r>
        <w:rPr>
          <w:w w:val="95"/>
          <w:sz w:val="20"/>
        </w:rPr>
        <w:t>发</w:t>
      </w:r>
      <w:r>
        <w:rPr>
          <w:w w:val="95"/>
          <w:sz w:val="20"/>
        </w:rPr>
        <w:t>生</w:t>
      </w:r>
      <w:r>
        <w:rPr>
          <w:w w:val="95"/>
          <w:sz w:val="20"/>
        </w:rPr>
        <w:t>后</w:t>
      </w:r>
      <w:r>
        <w:rPr>
          <w:w w:val="95"/>
          <w:sz w:val="20"/>
        </w:rPr>
        <w:t>请</w:t>
      </w:r>
      <w:r>
        <w:rPr>
          <w:w w:val="95"/>
          <w:sz w:val="20"/>
        </w:rPr>
        <w:t>您</w:t>
      </w:r>
      <w:r>
        <w:rPr>
          <w:w w:val="95"/>
          <w:sz w:val="20"/>
        </w:rPr>
        <w:t>及</w:t>
      </w:r>
      <w:r>
        <w:rPr>
          <w:w w:val="95"/>
          <w:sz w:val="20"/>
        </w:rPr>
        <w:t>时</w:t>
      </w:r>
      <w:r>
        <w:rPr>
          <w:w w:val="95"/>
          <w:sz w:val="20"/>
        </w:rPr>
        <w:t>通</w:t>
      </w:r>
      <w:r>
        <w:rPr>
          <w:w w:val="95"/>
          <w:sz w:val="20"/>
        </w:rPr>
        <w:t>知</w:t>
      </w:r>
      <w:r>
        <w:rPr>
          <w:w w:val="95"/>
          <w:sz w:val="20"/>
        </w:rPr>
        <w:t>我</w:t>
      </w:r>
      <w:r>
        <w:rPr>
          <w:spacing w:val="-10"/>
          <w:w w:val="95"/>
          <w:sz w:val="20"/>
        </w:rPr>
        <w:t>们</w:t>
      </w:r>
      <w:r>
        <w:rPr>
          <w:rFonts w:ascii="Times New Roman" w:hAnsi="Times New Roman" w:eastAsia="Times New Roman"/>
          <w:sz w:val="20"/>
        </w:rPr>
        <w:tab/>
      </w:r>
      <w:r>
        <w:rPr>
          <w:spacing w:val="-5"/>
          <w:sz w:val="20"/>
        </w:rPr>
        <w:t>5.2</w:t>
      </w:r>
    </w:p>
    <w:p>
      <w:pPr>
        <w:pStyle w:val="ListParagraph"/>
        <w:numPr>
          <w:ilvl w:val="0"/>
          <w:numId w:val="1"/>
        </w:numPr>
        <w:tabs>
          <w:tab w:pos="717" w:val="left" w:leader="none"/>
          <w:tab w:pos="9511" w:val="right" w:leader="dot"/>
        </w:tabs>
        <w:spacing w:line="240" w:lineRule="auto" w:before="44" w:after="0"/>
        <w:ind w:left="716" w:right="0" w:hanging="277"/>
        <w:jc w:val="left"/>
        <w:rPr>
          <w:sz w:val="20"/>
        </w:rPr>
      </w:pPr>
      <w:r>
        <w:rPr>
          <w:w w:val="95"/>
          <w:sz w:val="20"/>
        </w:rPr>
        <w:t>您</w:t>
      </w:r>
      <w:r>
        <w:rPr>
          <w:w w:val="95"/>
          <w:sz w:val="20"/>
        </w:rPr>
        <w:t>应</w:t>
      </w:r>
      <w:r>
        <w:rPr>
          <w:w w:val="95"/>
          <w:sz w:val="20"/>
        </w:rPr>
        <w:t>当</w:t>
      </w:r>
      <w:r>
        <w:rPr>
          <w:w w:val="95"/>
          <w:sz w:val="20"/>
        </w:rPr>
        <w:t>按</w:t>
      </w:r>
      <w:r>
        <w:rPr>
          <w:w w:val="95"/>
          <w:sz w:val="20"/>
        </w:rPr>
        <w:t>时</w:t>
      </w:r>
      <w:r>
        <w:rPr>
          <w:w w:val="95"/>
          <w:sz w:val="20"/>
        </w:rPr>
        <w:t>支</w:t>
      </w:r>
      <w:r>
        <w:rPr>
          <w:w w:val="95"/>
          <w:sz w:val="20"/>
        </w:rPr>
        <w:t>付</w:t>
      </w:r>
      <w:r>
        <w:rPr>
          <w:w w:val="95"/>
          <w:sz w:val="20"/>
        </w:rPr>
        <w:t>保</w:t>
      </w:r>
      <w:r>
        <w:rPr>
          <w:w w:val="95"/>
          <w:sz w:val="20"/>
        </w:rPr>
        <w:t>险</w:t>
      </w:r>
      <w:r>
        <w:rPr>
          <w:spacing w:val="-10"/>
          <w:w w:val="95"/>
          <w:sz w:val="20"/>
        </w:rPr>
        <w:t>费</w:t>
      </w:r>
      <w:r>
        <w:rPr>
          <w:rFonts w:ascii="Times New Roman" w:hAnsi="Times New Roman" w:eastAsia="Times New Roman"/>
          <w:sz w:val="20"/>
        </w:rPr>
        <w:tab/>
      </w:r>
      <w:r>
        <w:rPr>
          <w:spacing w:val="-5"/>
          <w:sz w:val="20"/>
        </w:rPr>
        <w:t>6.1</w:t>
      </w:r>
    </w:p>
    <w:p>
      <w:pPr>
        <w:pStyle w:val="ListParagraph"/>
        <w:numPr>
          <w:ilvl w:val="0"/>
          <w:numId w:val="1"/>
        </w:numPr>
        <w:tabs>
          <w:tab w:pos="717" w:val="left" w:leader="none"/>
          <w:tab w:pos="9511" w:val="right" w:leader="dot"/>
        </w:tabs>
        <w:spacing w:line="240" w:lineRule="auto" w:before="44" w:after="0"/>
        <w:ind w:left="716" w:right="0" w:hanging="277"/>
        <w:jc w:val="left"/>
        <w:rPr>
          <w:sz w:val="20"/>
        </w:rPr>
      </w:pPr>
      <w:r>
        <w:rPr>
          <w:w w:val="95"/>
          <w:sz w:val="20"/>
        </w:rPr>
        <w:t>您有</w:t>
      </w:r>
      <w:r>
        <w:rPr>
          <w:w w:val="95"/>
          <w:sz w:val="20"/>
        </w:rPr>
        <w:t>如</w:t>
      </w:r>
      <w:r>
        <w:rPr>
          <w:w w:val="95"/>
          <w:sz w:val="20"/>
        </w:rPr>
        <w:t>实</w:t>
      </w:r>
      <w:r>
        <w:rPr>
          <w:w w:val="95"/>
          <w:sz w:val="20"/>
        </w:rPr>
        <w:t>告</w:t>
      </w:r>
      <w:r>
        <w:rPr>
          <w:w w:val="95"/>
          <w:sz w:val="20"/>
        </w:rPr>
        <w:t>知</w:t>
      </w:r>
      <w:r>
        <w:rPr>
          <w:w w:val="95"/>
          <w:sz w:val="20"/>
        </w:rPr>
        <w:t>的</w:t>
      </w:r>
      <w:r>
        <w:rPr>
          <w:w w:val="95"/>
          <w:sz w:val="20"/>
        </w:rPr>
        <w:t>义</w:t>
      </w:r>
      <w:r>
        <w:rPr>
          <w:spacing w:val="-10"/>
          <w:w w:val="95"/>
          <w:sz w:val="20"/>
        </w:rPr>
        <w:t>务</w:t>
      </w:r>
      <w:r>
        <w:rPr>
          <w:rFonts w:ascii="Times New Roman" w:hAnsi="Times New Roman" w:eastAsia="Times New Roman"/>
          <w:sz w:val="20"/>
        </w:rPr>
        <w:tab/>
      </w:r>
      <w:r>
        <w:rPr>
          <w:spacing w:val="-5"/>
          <w:sz w:val="20"/>
        </w:rPr>
        <w:t>9.1</w:t>
      </w:r>
    </w:p>
    <w:p>
      <w:pPr>
        <w:spacing w:line="445" w:lineRule="exact" w:before="79"/>
        <w:ind w:left="236" w:right="0" w:firstLine="0"/>
        <w:jc w:val="left"/>
        <w:rPr>
          <w:b/>
          <w:sz w:val="22"/>
        </w:rPr>
      </w:pPr>
      <w:r>
        <w:rPr>
          <w:rFonts w:ascii="Wingdings 2" w:hAnsi="Wingdings 2" w:eastAsia="Wingdings 2"/>
          <w:b/>
          <w:w w:val="95"/>
          <w:position w:val="-11"/>
          <w:sz w:val="48"/>
        </w:rPr>
        <w:t></w:t>
      </w:r>
      <w:r>
        <w:rPr>
          <w:b/>
          <w:w w:val="95"/>
          <w:sz w:val="22"/>
        </w:rPr>
        <w:t>下</w:t>
      </w:r>
      <w:r>
        <w:rPr>
          <w:b/>
          <w:w w:val="95"/>
          <w:sz w:val="22"/>
        </w:rPr>
        <w:t>面</w:t>
      </w:r>
      <w:r>
        <w:rPr>
          <w:b/>
          <w:w w:val="95"/>
          <w:sz w:val="22"/>
        </w:rPr>
        <w:t>我</w:t>
      </w:r>
      <w:r>
        <w:rPr>
          <w:b/>
          <w:w w:val="95"/>
          <w:sz w:val="22"/>
        </w:rPr>
        <w:t>们</w:t>
      </w:r>
      <w:r>
        <w:rPr>
          <w:b/>
          <w:w w:val="95"/>
          <w:sz w:val="22"/>
        </w:rPr>
        <w:t>举</w:t>
      </w:r>
      <w:r>
        <w:rPr>
          <w:b/>
          <w:w w:val="95"/>
          <w:sz w:val="22"/>
        </w:rPr>
        <w:t>例</w:t>
      </w:r>
      <w:r>
        <w:rPr>
          <w:b/>
          <w:w w:val="95"/>
          <w:sz w:val="22"/>
        </w:rPr>
        <w:t>说</w:t>
      </w:r>
      <w:r>
        <w:rPr>
          <w:b/>
          <w:w w:val="95"/>
          <w:sz w:val="22"/>
        </w:rPr>
        <w:t>明</w:t>
      </w:r>
      <w:r>
        <w:rPr>
          <w:b/>
          <w:w w:val="95"/>
          <w:sz w:val="22"/>
        </w:rPr>
        <w:t>本</w:t>
      </w:r>
      <w:r>
        <w:rPr>
          <w:b/>
          <w:w w:val="95"/>
          <w:sz w:val="22"/>
        </w:rPr>
        <w:t>产</w:t>
      </w:r>
      <w:r>
        <w:rPr>
          <w:b/>
          <w:w w:val="95"/>
          <w:sz w:val="22"/>
        </w:rPr>
        <w:t>品</w:t>
      </w:r>
      <w:r>
        <w:rPr>
          <w:b/>
          <w:w w:val="95"/>
          <w:sz w:val="22"/>
        </w:rPr>
        <w:t>可</w:t>
      </w:r>
      <w:r>
        <w:rPr>
          <w:b/>
          <w:w w:val="95"/>
          <w:sz w:val="22"/>
        </w:rPr>
        <w:t>以</w:t>
      </w:r>
      <w:r>
        <w:rPr>
          <w:b/>
          <w:w w:val="95"/>
          <w:sz w:val="22"/>
        </w:rPr>
        <w:t>提</w:t>
      </w:r>
      <w:r>
        <w:rPr>
          <w:b/>
          <w:w w:val="95"/>
          <w:sz w:val="22"/>
        </w:rPr>
        <w:t>供</w:t>
      </w:r>
      <w:r>
        <w:rPr>
          <w:b/>
          <w:w w:val="95"/>
          <w:sz w:val="22"/>
        </w:rPr>
        <w:t>哪</w:t>
      </w:r>
      <w:r>
        <w:rPr>
          <w:b/>
          <w:w w:val="95"/>
          <w:sz w:val="22"/>
        </w:rPr>
        <w:t>些</w:t>
      </w:r>
      <w:r>
        <w:rPr>
          <w:b/>
          <w:w w:val="95"/>
          <w:sz w:val="22"/>
        </w:rPr>
        <w:t>保</w:t>
      </w:r>
      <w:r>
        <w:rPr>
          <w:b/>
          <w:spacing w:val="-10"/>
          <w:w w:val="95"/>
          <w:sz w:val="22"/>
        </w:rPr>
        <w:t>障</w:t>
      </w:r>
    </w:p>
    <w:p>
      <w:pPr>
        <w:spacing w:line="196" w:lineRule="exact" w:before="0"/>
        <w:ind w:left="440" w:right="0" w:firstLine="0"/>
        <w:jc w:val="left"/>
        <w:rPr>
          <w:sz w:val="20"/>
        </w:rPr>
      </w:pPr>
      <w:r>
        <w:rPr>
          <w:w w:val="95"/>
          <w:sz w:val="20"/>
        </w:rPr>
        <w:t>示</w:t>
      </w:r>
      <w:r>
        <w:rPr>
          <w:w w:val="95"/>
          <w:sz w:val="20"/>
        </w:rPr>
        <w:t>例</w:t>
      </w:r>
      <w:r>
        <w:rPr>
          <w:w w:val="95"/>
          <w:sz w:val="20"/>
        </w:rPr>
        <w:t>：</w:t>
      </w:r>
      <w:r>
        <w:rPr>
          <w:w w:val="95"/>
          <w:sz w:val="20"/>
        </w:rPr>
        <w:t>君</w:t>
      </w:r>
      <w:r>
        <w:rPr>
          <w:w w:val="95"/>
          <w:sz w:val="20"/>
        </w:rPr>
        <w:t>先</w:t>
      </w:r>
      <w:r>
        <w:rPr>
          <w:spacing w:val="6"/>
          <w:w w:val="95"/>
          <w:sz w:val="20"/>
        </w:rPr>
        <w:t>生，</w:t>
      </w:r>
      <w:r>
        <w:rPr>
          <w:w w:val="95"/>
          <w:sz w:val="20"/>
        </w:rPr>
        <w:t>30</w:t>
      </w:r>
      <w:r>
        <w:rPr>
          <w:w w:val="95"/>
          <w:sz w:val="20"/>
        </w:rPr>
        <w:t>周</w:t>
      </w:r>
      <w:r>
        <w:rPr>
          <w:w w:val="95"/>
          <w:sz w:val="20"/>
        </w:rPr>
        <w:t>岁</w:t>
      </w:r>
      <w:r>
        <w:rPr>
          <w:spacing w:val="12"/>
          <w:w w:val="95"/>
          <w:sz w:val="20"/>
        </w:rPr>
        <w:t>时</w:t>
      </w:r>
      <w:r>
        <w:rPr>
          <w:w w:val="95"/>
          <w:sz w:val="20"/>
        </w:rPr>
        <w:t>为</w:t>
      </w:r>
      <w:r>
        <w:rPr>
          <w:w w:val="95"/>
          <w:sz w:val="20"/>
        </w:rPr>
        <w:t>自</w:t>
      </w:r>
      <w:r>
        <w:rPr>
          <w:w w:val="95"/>
          <w:sz w:val="20"/>
        </w:rPr>
        <w:t>己</w:t>
      </w:r>
      <w:r>
        <w:rPr>
          <w:w w:val="95"/>
          <w:sz w:val="20"/>
        </w:rPr>
        <w:t>投</w:t>
      </w:r>
      <w:r>
        <w:rPr>
          <w:w w:val="95"/>
          <w:sz w:val="20"/>
        </w:rPr>
        <w:t>保</w:t>
      </w:r>
      <w:r>
        <w:rPr>
          <w:spacing w:val="12"/>
          <w:w w:val="95"/>
          <w:sz w:val="20"/>
        </w:rPr>
        <w:t>君</w:t>
      </w:r>
      <w:r>
        <w:rPr>
          <w:w w:val="95"/>
          <w:sz w:val="20"/>
        </w:rPr>
        <w:t>龙</w:t>
      </w:r>
      <w:r>
        <w:rPr>
          <w:w w:val="95"/>
          <w:sz w:val="20"/>
        </w:rPr>
        <w:t>福</w:t>
      </w:r>
      <w:r>
        <w:rPr>
          <w:w w:val="95"/>
          <w:sz w:val="20"/>
        </w:rPr>
        <w:t>寿</w:t>
      </w:r>
      <w:r>
        <w:rPr>
          <w:w w:val="95"/>
          <w:sz w:val="20"/>
        </w:rPr>
        <w:t>安</w:t>
      </w:r>
      <w:r>
        <w:rPr>
          <w:w w:val="95"/>
          <w:sz w:val="20"/>
        </w:rPr>
        <w:t>康</w:t>
      </w:r>
      <w:r>
        <w:rPr>
          <w:spacing w:val="12"/>
          <w:w w:val="95"/>
          <w:sz w:val="20"/>
        </w:rPr>
        <w:t>重</w:t>
      </w:r>
      <w:r>
        <w:rPr>
          <w:w w:val="95"/>
          <w:sz w:val="20"/>
        </w:rPr>
        <w:t>大</w:t>
      </w:r>
      <w:r>
        <w:rPr>
          <w:w w:val="95"/>
          <w:sz w:val="20"/>
        </w:rPr>
        <w:t>疾</w:t>
      </w:r>
      <w:r>
        <w:rPr>
          <w:w w:val="95"/>
          <w:sz w:val="20"/>
        </w:rPr>
        <w:t>病</w:t>
      </w:r>
      <w:r>
        <w:rPr>
          <w:w w:val="95"/>
          <w:sz w:val="20"/>
        </w:rPr>
        <w:t>保</w:t>
      </w:r>
      <w:r>
        <w:rPr>
          <w:spacing w:val="12"/>
          <w:w w:val="95"/>
          <w:sz w:val="20"/>
        </w:rPr>
        <w:t>险</w:t>
      </w:r>
      <w:r>
        <w:rPr>
          <w:w w:val="95"/>
          <w:sz w:val="20"/>
        </w:rPr>
        <w:t>（</w:t>
      </w:r>
      <w:r>
        <w:rPr>
          <w:w w:val="95"/>
          <w:sz w:val="20"/>
        </w:rPr>
        <w:t>互</w:t>
      </w:r>
      <w:r>
        <w:rPr>
          <w:w w:val="95"/>
          <w:sz w:val="20"/>
        </w:rPr>
        <w:t>联</w:t>
      </w:r>
      <w:r>
        <w:rPr>
          <w:w w:val="95"/>
          <w:sz w:val="20"/>
        </w:rPr>
        <w:t>网</w:t>
      </w:r>
      <w:r>
        <w:rPr>
          <w:spacing w:val="10"/>
          <w:w w:val="95"/>
          <w:sz w:val="20"/>
        </w:rPr>
        <w:t>），</w:t>
      </w:r>
      <w:r>
        <w:rPr>
          <w:w w:val="95"/>
          <w:sz w:val="20"/>
        </w:rPr>
        <w:t>基</w:t>
      </w:r>
      <w:r>
        <w:rPr>
          <w:w w:val="95"/>
          <w:sz w:val="20"/>
        </w:rPr>
        <w:t>本</w:t>
      </w:r>
      <w:r>
        <w:rPr>
          <w:w w:val="95"/>
          <w:sz w:val="20"/>
        </w:rPr>
        <w:t>保</w:t>
      </w:r>
      <w:r>
        <w:rPr>
          <w:w w:val="95"/>
          <w:sz w:val="20"/>
        </w:rPr>
        <w:t>险</w:t>
      </w:r>
      <w:r>
        <w:rPr>
          <w:w w:val="95"/>
          <w:sz w:val="20"/>
        </w:rPr>
        <w:t>金</w:t>
      </w:r>
      <w:r>
        <w:rPr>
          <w:spacing w:val="12"/>
          <w:w w:val="95"/>
          <w:sz w:val="20"/>
        </w:rPr>
        <w:t>额</w:t>
      </w:r>
      <w:r>
        <w:rPr>
          <w:spacing w:val="-2"/>
          <w:w w:val="95"/>
          <w:sz w:val="20"/>
        </w:rPr>
        <w:t>100,000</w:t>
      </w:r>
    </w:p>
    <w:p>
      <w:pPr>
        <w:spacing w:line="280" w:lineRule="auto" w:before="44"/>
        <w:ind w:left="440" w:right="436" w:firstLine="0"/>
        <w:jc w:val="left"/>
        <w:rPr>
          <w:sz w:val="20"/>
        </w:rPr>
      </w:pPr>
      <w:r>
        <w:rPr>
          <w:spacing w:val="5"/>
          <w:w w:val="99"/>
          <w:sz w:val="20"/>
        </w:rPr>
        <w:t>元，保障期间为终身，交费期为</w:t>
      </w:r>
      <w:r>
        <w:rPr>
          <w:spacing w:val="1"/>
          <w:w w:val="99"/>
          <w:sz w:val="20"/>
        </w:rPr>
        <w:t>2</w:t>
      </w:r>
      <w:r>
        <w:rPr>
          <w:spacing w:val="3"/>
          <w:w w:val="99"/>
          <w:sz w:val="20"/>
        </w:rPr>
        <w:t>0</w:t>
      </w:r>
      <w:r>
        <w:rPr>
          <w:spacing w:val="5"/>
          <w:w w:val="99"/>
          <w:sz w:val="20"/>
        </w:rPr>
        <w:t>年，君龙福寿安康重大疾病保险（互联网）年交保险费</w:t>
      </w:r>
      <w:r>
        <w:rPr>
          <w:spacing w:val="1"/>
          <w:w w:val="99"/>
          <w:sz w:val="20"/>
        </w:rPr>
        <w:t>2</w:t>
      </w:r>
      <w:r>
        <w:rPr>
          <w:spacing w:val="-2"/>
          <w:w w:val="99"/>
          <w:sz w:val="20"/>
        </w:rPr>
        <w:t>,</w:t>
      </w:r>
      <w:r>
        <w:rPr>
          <w:spacing w:val="1"/>
          <w:w w:val="99"/>
          <w:sz w:val="20"/>
        </w:rPr>
        <w:t>85</w:t>
      </w:r>
      <w:r>
        <w:rPr>
          <w:spacing w:val="3"/>
          <w:w w:val="99"/>
          <w:sz w:val="20"/>
        </w:rPr>
        <w:t>0</w:t>
      </w:r>
      <w:r>
        <w:rPr>
          <w:spacing w:val="-2"/>
          <w:w w:val="99"/>
          <w:sz w:val="20"/>
        </w:rPr>
        <w:t>元。指</w:t>
      </w:r>
      <w:r>
        <w:rPr>
          <w:w w:val="99"/>
          <w:sz w:val="20"/>
        </w:rPr>
        <w:t>定身故保险金受益人为妻子龙女士。</w:t>
      </w:r>
    </w:p>
    <w:p>
      <w:pPr>
        <w:spacing w:line="280" w:lineRule="auto" w:before="0"/>
        <w:ind w:left="440" w:right="436" w:firstLine="0"/>
        <w:jc w:val="both"/>
        <w:rPr>
          <w:sz w:val="20"/>
        </w:rPr>
      </w:pPr>
      <w:r>
        <w:rPr>
          <w:spacing w:val="4"/>
          <w:w w:val="99"/>
          <w:sz w:val="20"/>
        </w:rPr>
        <w:t>本例中君先生为投保人、被保险人及全残保险金、重大疾病保险金、中度疾病保险金、轻度疾病保险</w:t>
      </w:r>
      <w:r>
        <w:rPr>
          <w:w w:val="99"/>
          <w:sz w:val="20"/>
        </w:rPr>
        <w:t>金、中度疾病或轻度疾病豁免保险费的受益人，妻子龙女士为身故保险金的受益人，君龙人寿保险有限公司为保险人。</w:t>
      </w:r>
    </w:p>
    <w:tbl>
      <w:tblPr>
        <w:tblW w:w="0" w:type="auto"/>
        <w:jc w:val="left"/>
        <w:tblInd w:w="3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92"/>
        <w:gridCol w:w="851"/>
        <w:gridCol w:w="2551"/>
        <w:gridCol w:w="4897"/>
      </w:tblGrid>
      <w:tr>
        <w:trPr>
          <w:trHeight w:val="208" w:hRule="atLeast"/>
        </w:trPr>
        <w:tc>
          <w:tcPr>
            <w:tcW w:w="992" w:type="dxa"/>
          </w:tcPr>
          <w:p>
            <w:pPr>
              <w:pStyle w:val="TableParagraph"/>
              <w:spacing w:line="166" w:lineRule="exact"/>
              <w:ind w:left="254"/>
              <w:rPr>
                <w:b/>
                <w:sz w:val="16"/>
              </w:rPr>
            </w:pPr>
            <w:r>
              <w:rPr>
                <w:b/>
                <w:spacing w:val="-5"/>
                <w:sz w:val="16"/>
              </w:rPr>
              <w:t>保险金</w:t>
            </w:r>
          </w:p>
        </w:tc>
        <w:tc>
          <w:tcPr>
            <w:tcW w:w="851" w:type="dxa"/>
          </w:tcPr>
          <w:p>
            <w:pPr>
              <w:pStyle w:val="TableParagraph"/>
              <w:spacing w:line="166" w:lineRule="exact"/>
              <w:ind w:left="184"/>
              <w:rPr>
                <w:b/>
                <w:sz w:val="16"/>
              </w:rPr>
            </w:pPr>
            <w:r>
              <w:rPr>
                <w:b/>
                <w:spacing w:val="-5"/>
                <w:sz w:val="16"/>
              </w:rPr>
              <w:t>领取人</w:t>
            </w:r>
          </w:p>
        </w:tc>
        <w:tc>
          <w:tcPr>
            <w:tcW w:w="2551" w:type="dxa"/>
          </w:tcPr>
          <w:p>
            <w:pPr>
              <w:pStyle w:val="TableParagraph"/>
              <w:spacing w:line="166" w:lineRule="exact"/>
              <w:ind w:left="941" w:right="932"/>
              <w:jc w:val="center"/>
              <w:rPr>
                <w:b/>
                <w:sz w:val="16"/>
              </w:rPr>
            </w:pPr>
            <w:r>
              <w:rPr>
                <w:b/>
                <w:spacing w:val="-4"/>
                <w:sz w:val="16"/>
              </w:rPr>
              <w:t>给付金额</w:t>
            </w:r>
          </w:p>
        </w:tc>
        <w:tc>
          <w:tcPr>
            <w:tcW w:w="4897" w:type="dxa"/>
          </w:tcPr>
          <w:p>
            <w:pPr>
              <w:pStyle w:val="TableParagraph"/>
              <w:spacing w:line="166" w:lineRule="exact"/>
              <w:ind w:left="2115" w:right="2104"/>
              <w:jc w:val="center"/>
              <w:rPr>
                <w:b/>
                <w:sz w:val="16"/>
              </w:rPr>
            </w:pPr>
            <w:r>
              <w:rPr>
                <w:b/>
                <w:spacing w:val="-4"/>
                <w:sz w:val="16"/>
              </w:rPr>
              <w:t>领取条件</w:t>
            </w:r>
          </w:p>
        </w:tc>
      </w:tr>
      <w:tr>
        <w:trPr>
          <w:trHeight w:val="415" w:hRule="atLeast"/>
        </w:trPr>
        <w:tc>
          <w:tcPr>
            <w:tcW w:w="992" w:type="dxa"/>
          </w:tcPr>
          <w:p>
            <w:pPr>
              <w:pStyle w:val="TableParagraph"/>
              <w:spacing w:line="167" w:lineRule="exact"/>
              <w:ind w:left="164" w:right="154"/>
              <w:jc w:val="center"/>
              <w:rPr>
                <w:sz w:val="16"/>
              </w:rPr>
            </w:pPr>
            <w:r>
              <w:rPr>
                <w:spacing w:val="-4"/>
                <w:sz w:val="16"/>
              </w:rPr>
              <w:t>身故保险</w:t>
            </w:r>
          </w:p>
          <w:p>
            <w:pPr>
              <w:pStyle w:val="TableParagraph"/>
              <w:spacing w:before="1"/>
              <w:ind w:left="10"/>
              <w:jc w:val="center"/>
              <w:rPr>
                <w:sz w:val="16"/>
              </w:rPr>
            </w:pPr>
            <w:r>
              <w:rPr>
                <w:w w:val="100"/>
                <w:sz w:val="16"/>
              </w:rPr>
              <w:t>金</w:t>
            </w:r>
          </w:p>
        </w:tc>
        <w:tc>
          <w:tcPr>
            <w:tcW w:w="851" w:type="dxa"/>
          </w:tcPr>
          <w:p>
            <w:pPr>
              <w:pStyle w:val="TableParagraph"/>
              <w:spacing w:before="65"/>
              <w:ind w:left="131"/>
              <w:rPr>
                <w:sz w:val="16"/>
              </w:rPr>
            </w:pPr>
            <w:r>
              <w:rPr>
                <w:spacing w:val="-5"/>
                <w:sz w:val="16"/>
              </w:rPr>
              <w:t>龙女士</w:t>
            </w:r>
          </w:p>
        </w:tc>
        <w:tc>
          <w:tcPr>
            <w:tcW w:w="2551" w:type="dxa"/>
          </w:tcPr>
          <w:p>
            <w:pPr>
              <w:pStyle w:val="TableParagraph"/>
              <w:spacing w:before="65"/>
              <w:ind w:left="108"/>
              <w:rPr>
                <w:sz w:val="16"/>
              </w:rPr>
            </w:pPr>
            <w:r>
              <w:rPr>
                <w:spacing w:val="-2"/>
                <w:sz w:val="16"/>
              </w:rPr>
              <w:t>100,000</w:t>
            </w:r>
            <w:r>
              <w:rPr>
                <w:spacing w:val="-10"/>
                <w:sz w:val="16"/>
              </w:rPr>
              <w:t>元</w:t>
            </w:r>
          </w:p>
        </w:tc>
        <w:tc>
          <w:tcPr>
            <w:tcW w:w="4897" w:type="dxa"/>
          </w:tcPr>
          <w:p>
            <w:pPr>
              <w:pStyle w:val="TableParagraph"/>
              <w:spacing w:before="65"/>
              <w:ind w:left="106"/>
              <w:rPr>
                <w:sz w:val="16"/>
              </w:rPr>
            </w:pPr>
            <w:r>
              <w:rPr>
                <w:spacing w:val="-3"/>
                <w:sz w:val="16"/>
              </w:rPr>
              <w:t>君先生身故,给付后本合同终止。</w:t>
            </w:r>
          </w:p>
        </w:tc>
      </w:tr>
      <w:tr>
        <w:trPr>
          <w:trHeight w:val="415" w:hRule="atLeast"/>
        </w:trPr>
        <w:tc>
          <w:tcPr>
            <w:tcW w:w="992" w:type="dxa"/>
          </w:tcPr>
          <w:p>
            <w:pPr>
              <w:pStyle w:val="TableParagraph"/>
              <w:spacing w:line="167" w:lineRule="exact"/>
              <w:ind w:left="164" w:right="154"/>
              <w:jc w:val="center"/>
              <w:rPr>
                <w:sz w:val="16"/>
              </w:rPr>
            </w:pPr>
            <w:r>
              <w:rPr>
                <w:spacing w:val="-4"/>
                <w:sz w:val="16"/>
              </w:rPr>
              <w:t>全残保险</w:t>
            </w:r>
          </w:p>
          <w:p>
            <w:pPr>
              <w:pStyle w:val="TableParagraph"/>
              <w:spacing w:before="1"/>
              <w:ind w:left="10"/>
              <w:jc w:val="center"/>
              <w:rPr>
                <w:sz w:val="16"/>
              </w:rPr>
            </w:pPr>
            <w:r>
              <w:rPr>
                <w:w w:val="100"/>
                <w:sz w:val="16"/>
              </w:rPr>
              <w:t>金</w:t>
            </w:r>
          </w:p>
        </w:tc>
        <w:tc>
          <w:tcPr>
            <w:tcW w:w="851" w:type="dxa"/>
          </w:tcPr>
          <w:p>
            <w:pPr>
              <w:pStyle w:val="TableParagraph"/>
              <w:spacing w:before="65"/>
              <w:ind w:left="131"/>
              <w:rPr>
                <w:sz w:val="16"/>
              </w:rPr>
            </w:pPr>
            <w:r>
              <w:rPr>
                <w:spacing w:val="-5"/>
                <w:sz w:val="16"/>
              </w:rPr>
              <w:t>君先生</w:t>
            </w:r>
          </w:p>
        </w:tc>
        <w:tc>
          <w:tcPr>
            <w:tcW w:w="2551" w:type="dxa"/>
          </w:tcPr>
          <w:p>
            <w:pPr>
              <w:pStyle w:val="TableParagraph"/>
              <w:spacing w:before="65"/>
              <w:ind w:left="108"/>
              <w:rPr>
                <w:sz w:val="16"/>
              </w:rPr>
            </w:pPr>
            <w:r>
              <w:rPr>
                <w:spacing w:val="-2"/>
                <w:sz w:val="16"/>
              </w:rPr>
              <w:t>100,000</w:t>
            </w:r>
            <w:r>
              <w:rPr>
                <w:spacing w:val="-10"/>
                <w:sz w:val="16"/>
              </w:rPr>
              <w:t>元</w:t>
            </w:r>
          </w:p>
        </w:tc>
        <w:tc>
          <w:tcPr>
            <w:tcW w:w="4897" w:type="dxa"/>
          </w:tcPr>
          <w:p>
            <w:pPr>
              <w:pStyle w:val="TableParagraph"/>
              <w:spacing w:before="65"/>
              <w:ind w:left="106"/>
              <w:rPr>
                <w:sz w:val="16"/>
              </w:rPr>
            </w:pPr>
            <w:r>
              <w:rPr>
                <w:spacing w:val="-3"/>
                <w:sz w:val="16"/>
              </w:rPr>
              <w:t>君先生全残,给付后本合同终止。</w:t>
            </w:r>
          </w:p>
        </w:tc>
      </w:tr>
      <w:tr>
        <w:trPr>
          <w:trHeight w:val="829" w:hRule="atLeast"/>
        </w:trPr>
        <w:tc>
          <w:tcPr>
            <w:tcW w:w="992" w:type="dxa"/>
          </w:tcPr>
          <w:p>
            <w:pPr>
              <w:pStyle w:val="TableParagraph"/>
              <w:spacing w:before="1"/>
              <w:rPr>
                <w:sz w:val="13"/>
              </w:rPr>
            </w:pPr>
          </w:p>
          <w:p>
            <w:pPr>
              <w:pStyle w:val="TableParagraph"/>
              <w:ind w:left="254" w:right="163" w:hanging="80"/>
              <w:rPr>
                <w:sz w:val="16"/>
              </w:rPr>
            </w:pPr>
            <w:r>
              <w:rPr>
                <w:spacing w:val="-4"/>
                <w:sz w:val="16"/>
              </w:rPr>
              <w:t>重大疾病</w:t>
            </w:r>
            <w:r>
              <w:rPr>
                <w:spacing w:val="-4"/>
                <w:sz w:val="16"/>
              </w:rPr>
              <w:t>保险金</w:t>
            </w:r>
          </w:p>
        </w:tc>
        <w:tc>
          <w:tcPr>
            <w:tcW w:w="851" w:type="dxa"/>
          </w:tcPr>
          <w:p>
            <w:pPr>
              <w:pStyle w:val="TableParagraph"/>
              <w:spacing w:before="1"/>
              <w:rPr>
                <w:sz w:val="21"/>
              </w:rPr>
            </w:pPr>
          </w:p>
          <w:p>
            <w:pPr>
              <w:pStyle w:val="TableParagraph"/>
              <w:spacing w:before="1"/>
              <w:ind w:left="131"/>
              <w:rPr>
                <w:sz w:val="16"/>
              </w:rPr>
            </w:pPr>
            <w:r>
              <w:rPr>
                <w:spacing w:val="-5"/>
                <w:sz w:val="16"/>
              </w:rPr>
              <w:t>君先生</w:t>
            </w:r>
          </w:p>
        </w:tc>
        <w:tc>
          <w:tcPr>
            <w:tcW w:w="2551" w:type="dxa"/>
          </w:tcPr>
          <w:p>
            <w:pPr>
              <w:pStyle w:val="TableParagraph"/>
              <w:spacing w:before="1"/>
              <w:rPr>
                <w:sz w:val="21"/>
              </w:rPr>
            </w:pPr>
          </w:p>
          <w:p>
            <w:pPr>
              <w:pStyle w:val="TableParagraph"/>
              <w:spacing w:before="1"/>
              <w:ind w:left="108"/>
              <w:rPr>
                <w:sz w:val="16"/>
              </w:rPr>
            </w:pPr>
            <w:r>
              <w:rPr>
                <w:spacing w:val="-2"/>
                <w:sz w:val="16"/>
              </w:rPr>
              <w:t>100,000元/次，累计给付2</w:t>
            </w:r>
            <w:r>
              <w:rPr>
                <w:spacing w:val="-5"/>
                <w:sz w:val="16"/>
              </w:rPr>
              <w:t>次为限</w:t>
            </w:r>
          </w:p>
        </w:tc>
        <w:tc>
          <w:tcPr>
            <w:tcW w:w="4897" w:type="dxa"/>
          </w:tcPr>
          <w:p>
            <w:pPr>
              <w:pStyle w:val="TableParagraph"/>
              <w:spacing w:line="166" w:lineRule="exact"/>
              <w:ind w:left="106"/>
              <w:rPr>
                <w:sz w:val="16"/>
              </w:rPr>
            </w:pPr>
            <w:r>
              <w:rPr>
                <w:spacing w:val="-3"/>
                <w:sz w:val="16"/>
              </w:rPr>
              <w:t>君先生在等待期后初次发生并经医院专科医生明确诊断确定罹患本</w:t>
            </w:r>
          </w:p>
          <w:p>
            <w:pPr>
              <w:pStyle w:val="TableParagraph"/>
              <w:spacing w:line="242" w:lineRule="auto" w:before="1"/>
              <w:ind w:left="106" w:right="136"/>
              <w:jc w:val="both"/>
              <w:rPr>
                <w:sz w:val="16"/>
              </w:rPr>
            </w:pPr>
            <w:r>
              <w:rPr>
                <w:spacing w:val="-2"/>
                <w:sz w:val="16"/>
              </w:rPr>
              <w:t>合同约定的重大疾病（无论一种或多种），给付重大疾病保险金。每种重大疾病限给付一次，给付后不再给付该种重大疾病；重大疾病保险金累计给付以2次为限，给付2次后本合同终止。</w:t>
            </w:r>
          </w:p>
        </w:tc>
      </w:tr>
      <w:tr>
        <w:trPr>
          <w:trHeight w:val="517" w:hRule="atLeast"/>
        </w:trPr>
        <w:tc>
          <w:tcPr>
            <w:tcW w:w="9291" w:type="dxa"/>
            <w:gridSpan w:val="4"/>
          </w:tcPr>
          <w:p>
            <w:pPr>
              <w:pStyle w:val="TableParagraph"/>
              <w:spacing w:before="12"/>
              <w:ind w:left="108" w:right="208"/>
              <w:rPr>
                <w:sz w:val="16"/>
              </w:rPr>
            </w:pPr>
            <w:r>
              <w:rPr>
                <w:spacing w:val="-2"/>
                <w:sz w:val="16"/>
              </w:rPr>
              <w:t>首次给付重大疾病保险金后，本合同的现金价值降为零，并豁免本合同自首次重大疾病确诊之日以后各期的期交保险费，但不包含被保险人确诊之日之前所欠交的保险费及利息。</w:t>
            </w:r>
          </w:p>
        </w:tc>
      </w:tr>
      <w:tr>
        <w:trPr>
          <w:trHeight w:val="830" w:hRule="atLeast"/>
        </w:trPr>
        <w:tc>
          <w:tcPr>
            <w:tcW w:w="992" w:type="dxa"/>
          </w:tcPr>
          <w:p>
            <w:pPr>
              <w:pStyle w:val="TableParagraph"/>
              <w:spacing w:before="2"/>
              <w:rPr>
                <w:sz w:val="13"/>
              </w:rPr>
            </w:pPr>
          </w:p>
          <w:p>
            <w:pPr>
              <w:pStyle w:val="TableParagraph"/>
              <w:ind w:left="254" w:right="163" w:hanging="80"/>
              <w:rPr>
                <w:sz w:val="16"/>
              </w:rPr>
            </w:pPr>
            <w:r>
              <w:rPr>
                <w:spacing w:val="-4"/>
                <w:sz w:val="16"/>
              </w:rPr>
              <w:t>中度疾病</w:t>
            </w:r>
            <w:r>
              <w:rPr>
                <w:spacing w:val="-4"/>
                <w:sz w:val="16"/>
              </w:rPr>
              <w:t>保险金</w:t>
            </w:r>
          </w:p>
        </w:tc>
        <w:tc>
          <w:tcPr>
            <w:tcW w:w="851" w:type="dxa"/>
          </w:tcPr>
          <w:p>
            <w:pPr>
              <w:pStyle w:val="TableParagraph"/>
              <w:spacing w:before="2"/>
              <w:rPr>
                <w:sz w:val="21"/>
              </w:rPr>
            </w:pPr>
          </w:p>
          <w:p>
            <w:pPr>
              <w:pStyle w:val="TableParagraph"/>
              <w:spacing w:before="1"/>
              <w:ind w:left="131"/>
              <w:rPr>
                <w:sz w:val="16"/>
              </w:rPr>
            </w:pPr>
            <w:r>
              <w:rPr>
                <w:spacing w:val="-5"/>
                <w:sz w:val="16"/>
              </w:rPr>
              <w:t>君先生</w:t>
            </w:r>
          </w:p>
        </w:tc>
        <w:tc>
          <w:tcPr>
            <w:tcW w:w="2551" w:type="dxa"/>
          </w:tcPr>
          <w:p>
            <w:pPr>
              <w:pStyle w:val="TableParagraph"/>
              <w:spacing w:before="2"/>
              <w:rPr>
                <w:sz w:val="21"/>
              </w:rPr>
            </w:pPr>
          </w:p>
          <w:p>
            <w:pPr>
              <w:pStyle w:val="TableParagraph"/>
              <w:spacing w:before="1"/>
              <w:ind w:left="108"/>
              <w:rPr>
                <w:sz w:val="16"/>
              </w:rPr>
            </w:pPr>
            <w:r>
              <w:rPr>
                <w:spacing w:val="-2"/>
                <w:sz w:val="16"/>
              </w:rPr>
              <w:t>60,000元/次，累计给付2</w:t>
            </w:r>
            <w:r>
              <w:rPr>
                <w:spacing w:val="-5"/>
                <w:sz w:val="16"/>
              </w:rPr>
              <w:t>次为限</w:t>
            </w:r>
          </w:p>
        </w:tc>
        <w:tc>
          <w:tcPr>
            <w:tcW w:w="4897" w:type="dxa"/>
          </w:tcPr>
          <w:p>
            <w:pPr>
              <w:pStyle w:val="TableParagraph"/>
              <w:spacing w:line="165" w:lineRule="exact"/>
              <w:ind w:left="106"/>
              <w:rPr>
                <w:sz w:val="16"/>
              </w:rPr>
            </w:pPr>
            <w:r>
              <w:rPr>
                <w:spacing w:val="-3"/>
                <w:sz w:val="16"/>
              </w:rPr>
              <w:t>君先生在等待期后初次发生并经医院专科医生明确诊断确定罹患本</w:t>
            </w:r>
          </w:p>
          <w:p>
            <w:pPr>
              <w:pStyle w:val="TableParagraph"/>
              <w:spacing w:line="242" w:lineRule="auto" w:before="4"/>
              <w:ind w:left="106" w:right="136"/>
              <w:jc w:val="both"/>
              <w:rPr>
                <w:sz w:val="16"/>
              </w:rPr>
            </w:pPr>
            <w:r>
              <w:rPr>
                <w:spacing w:val="-2"/>
                <w:sz w:val="16"/>
              </w:rPr>
              <w:t>合同约定的中度疾病（无论一种或多种），给付中度疾病保险金。每种中度疾病限给付一次，给付后不再给付该种中度疾病；中度疾病保险金累计给付以2次为限。</w:t>
            </w:r>
          </w:p>
        </w:tc>
      </w:tr>
      <w:tr>
        <w:trPr>
          <w:trHeight w:val="830" w:hRule="atLeast"/>
        </w:trPr>
        <w:tc>
          <w:tcPr>
            <w:tcW w:w="992" w:type="dxa"/>
          </w:tcPr>
          <w:p>
            <w:pPr>
              <w:pStyle w:val="TableParagraph"/>
              <w:spacing w:before="2"/>
              <w:rPr>
                <w:sz w:val="13"/>
              </w:rPr>
            </w:pPr>
          </w:p>
          <w:p>
            <w:pPr>
              <w:pStyle w:val="TableParagraph"/>
              <w:ind w:left="254" w:right="163" w:hanging="80"/>
              <w:rPr>
                <w:sz w:val="16"/>
              </w:rPr>
            </w:pPr>
            <w:r>
              <w:rPr>
                <w:spacing w:val="-4"/>
                <w:sz w:val="16"/>
              </w:rPr>
              <w:t>轻度疾病</w:t>
            </w:r>
            <w:r>
              <w:rPr>
                <w:spacing w:val="-4"/>
                <w:sz w:val="16"/>
              </w:rPr>
              <w:t>保险金</w:t>
            </w:r>
          </w:p>
        </w:tc>
        <w:tc>
          <w:tcPr>
            <w:tcW w:w="851" w:type="dxa"/>
          </w:tcPr>
          <w:p>
            <w:pPr>
              <w:pStyle w:val="TableParagraph"/>
              <w:spacing w:before="2"/>
              <w:rPr>
                <w:sz w:val="21"/>
              </w:rPr>
            </w:pPr>
          </w:p>
          <w:p>
            <w:pPr>
              <w:pStyle w:val="TableParagraph"/>
              <w:spacing w:before="1"/>
              <w:ind w:left="131"/>
              <w:rPr>
                <w:sz w:val="16"/>
              </w:rPr>
            </w:pPr>
            <w:r>
              <w:rPr>
                <w:spacing w:val="-5"/>
                <w:sz w:val="16"/>
              </w:rPr>
              <w:t>君先生</w:t>
            </w:r>
          </w:p>
        </w:tc>
        <w:tc>
          <w:tcPr>
            <w:tcW w:w="2551" w:type="dxa"/>
          </w:tcPr>
          <w:p>
            <w:pPr>
              <w:pStyle w:val="TableParagraph"/>
              <w:spacing w:before="2"/>
              <w:rPr>
                <w:sz w:val="21"/>
              </w:rPr>
            </w:pPr>
          </w:p>
          <w:p>
            <w:pPr>
              <w:pStyle w:val="TableParagraph"/>
              <w:spacing w:before="1"/>
              <w:ind w:left="108"/>
              <w:rPr>
                <w:sz w:val="16"/>
              </w:rPr>
            </w:pPr>
            <w:r>
              <w:rPr>
                <w:spacing w:val="-2"/>
                <w:sz w:val="16"/>
              </w:rPr>
              <w:t>30,000元/次，累计给付4</w:t>
            </w:r>
            <w:r>
              <w:rPr>
                <w:spacing w:val="-5"/>
                <w:sz w:val="16"/>
              </w:rPr>
              <w:t>次为限</w:t>
            </w:r>
          </w:p>
        </w:tc>
        <w:tc>
          <w:tcPr>
            <w:tcW w:w="4897" w:type="dxa"/>
          </w:tcPr>
          <w:p>
            <w:pPr>
              <w:pStyle w:val="TableParagraph"/>
              <w:spacing w:line="165" w:lineRule="exact"/>
              <w:ind w:left="106"/>
              <w:rPr>
                <w:sz w:val="16"/>
              </w:rPr>
            </w:pPr>
            <w:r>
              <w:rPr>
                <w:spacing w:val="-3"/>
                <w:sz w:val="16"/>
              </w:rPr>
              <w:t>君先生在等待期后初次发生并经医院专科医生明确诊断确定罹患本</w:t>
            </w:r>
          </w:p>
          <w:p>
            <w:pPr>
              <w:pStyle w:val="TableParagraph"/>
              <w:spacing w:line="242" w:lineRule="auto" w:before="4"/>
              <w:ind w:left="106" w:right="95"/>
              <w:jc w:val="both"/>
              <w:rPr>
                <w:sz w:val="16"/>
              </w:rPr>
            </w:pPr>
            <w:r>
              <w:rPr>
                <w:spacing w:val="-2"/>
                <w:sz w:val="16"/>
              </w:rPr>
              <w:t>合同约定的轻度疾病（无论一种或多种），给付轻度疾病保险金。每种轻度疾病限给付一次，给付后不再给付该种轻度疾病；轻度疾病保险金累计给付以4次为限。</w:t>
            </w:r>
          </w:p>
        </w:tc>
      </w:tr>
      <w:tr>
        <w:trPr>
          <w:trHeight w:val="830" w:hRule="atLeast"/>
        </w:trPr>
        <w:tc>
          <w:tcPr>
            <w:tcW w:w="992" w:type="dxa"/>
          </w:tcPr>
          <w:p>
            <w:pPr>
              <w:pStyle w:val="TableParagraph"/>
              <w:spacing w:line="165" w:lineRule="exact"/>
              <w:ind w:left="164" w:right="154"/>
              <w:jc w:val="center"/>
              <w:rPr>
                <w:sz w:val="16"/>
              </w:rPr>
            </w:pPr>
            <w:r>
              <w:rPr>
                <w:spacing w:val="-4"/>
                <w:sz w:val="16"/>
              </w:rPr>
              <w:t>中度疾病</w:t>
            </w:r>
          </w:p>
          <w:p>
            <w:pPr>
              <w:pStyle w:val="TableParagraph"/>
              <w:spacing w:line="242" w:lineRule="auto" w:before="4"/>
              <w:ind w:left="175" w:right="163"/>
              <w:jc w:val="center"/>
              <w:rPr>
                <w:sz w:val="16"/>
              </w:rPr>
            </w:pPr>
            <w:r>
              <w:rPr>
                <w:spacing w:val="-4"/>
                <w:sz w:val="16"/>
              </w:rPr>
              <w:t>或轻度疾</w:t>
            </w:r>
            <w:r>
              <w:rPr>
                <w:spacing w:val="-4"/>
                <w:sz w:val="16"/>
              </w:rPr>
              <w:t>病豁免保</w:t>
            </w:r>
            <w:r>
              <w:rPr>
                <w:spacing w:val="-6"/>
                <w:sz w:val="16"/>
              </w:rPr>
              <w:t>险费</w:t>
            </w:r>
          </w:p>
        </w:tc>
        <w:tc>
          <w:tcPr>
            <w:tcW w:w="3402" w:type="dxa"/>
            <w:gridSpan w:val="2"/>
          </w:tcPr>
          <w:p>
            <w:pPr>
              <w:pStyle w:val="TableParagraph"/>
              <w:spacing w:before="2"/>
              <w:rPr>
                <w:sz w:val="13"/>
              </w:rPr>
            </w:pPr>
          </w:p>
          <w:p>
            <w:pPr>
              <w:pStyle w:val="TableParagraph"/>
              <w:ind w:left="107" w:right="94"/>
              <w:rPr>
                <w:sz w:val="16"/>
              </w:rPr>
            </w:pPr>
            <w:r>
              <w:rPr>
                <w:spacing w:val="5"/>
                <w:w w:val="100"/>
                <w:sz w:val="16"/>
              </w:rPr>
              <w:t>豁免君先生确诊之日以后的本合同各期的期</w:t>
            </w:r>
            <w:r>
              <w:rPr>
                <w:spacing w:val="-2"/>
                <w:w w:val="100"/>
                <w:sz w:val="16"/>
              </w:rPr>
              <w:t>交保险费</w:t>
            </w:r>
          </w:p>
        </w:tc>
        <w:tc>
          <w:tcPr>
            <w:tcW w:w="4897" w:type="dxa"/>
          </w:tcPr>
          <w:p>
            <w:pPr>
              <w:pStyle w:val="TableParagraph"/>
              <w:spacing w:line="242" w:lineRule="auto" w:before="63"/>
              <w:ind w:left="106" w:right="95"/>
              <w:jc w:val="both"/>
              <w:rPr>
                <w:sz w:val="16"/>
              </w:rPr>
            </w:pPr>
            <w:r>
              <w:rPr>
                <w:spacing w:val="-2"/>
                <w:sz w:val="16"/>
              </w:rPr>
              <w:t>君先生在等待期后初次发生并经医院专科医生明确诊断确定罹患本合同约定的中度疾病（无论一种或多种）或轻度疾病（无论一种或</w:t>
            </w:r>
            <w:r>
              <w:rPr>
                <w:spacing w:val="-4"/>
                <w:sz w:val="16"/>
              </w:rPr>
              <w:t>多种）。</w:t>
            </w:r>
          </w:p>
        </w:tc>
      </w:tr>
    </w:tbl>
    <w:p>
      <w:pPr>
        <w:spacing w:before="2"/>
        <w:ind w:left="440" w:right="0" w:firstLine="0"/>
        <w:jc w:val="left"/>
        <w:rPr>
          <w:b/>
          <w:sz w:val="20"/>
        </w:rPr>
      </w:pPr>
      <w:r>
        <w:rPr>
          <w:b/>
          <w:w w:val="95"/>
          <w:sz w:val="20"/>
        </w:rPr>
        <w:t>以上</w:t>
      </w:r>
      <w:r>
        <w:rPr>
          <w:b/>
          <w:w w:val="95"/>
          <w:sz w:val="20"/>
        </w:rPr>
        <w:t>举</w:t>
      </w:r>
      <w:r>
        <w:rPr>
          <w:b/>
          <w:w w:val="95"/>
          <w:sz w:val="20"/>
        </w:rPr>
        <w:t>例</w:t>
      </w:r>
      <w:r>
        <w:rPr>
          <w:b/>
          <w:w w:val="95"/>
          <w:sz w:val="20"/>
        </w:rPr>
        <w:t>仅</w:t>
      </w:r>
      <w:r>
        <w:rPr>
          <w:b/>
          <w:w w:val="95"/>
          <w:sz w:val="20"/>
        </w:rPr>
        <w:t>供</w:t>
      </w:r>
      <w:r>
        <w:rPr>
          <w:b/>
          <w:w w:val="95"/>
          <w:sz w:val="20"/>
        </w:rPr>
        <w:t>您</w:t>
      </w:r>
      <w:r>
        <w:rPr>
          <w:b/>
          <w:w w:val="95"/>
          <w:sz w:val="20"/>
        </w:rPr>
        <w:t>更</w:t>
      </w:r>
      <w:r>
        <w:rPr>
          <w:b/>
          <w:w w:val="95"/>
          <w:sz w:val="20"/>
        </w:rPr>
        <w:t>好</w:t>
      </w:r>
      <w:r>
        <w:rPr>
          <w:b/>
          <w:w w:val="95"/>
          <w:sz w:val="20"/>
        </w:rPr>
        <w:t>的</w:t>
      </w:r>
      <w:r>
        <w:rPr>
          <w:b/>
          <w:w w:val="95"/>
          <w:sz w:val="20"/>
        </w:rPr>
        <w:t>理</w:t>
      </w:r>
      <w:r>
        <w:rPr>
          <w:b/>
          <w:w w:val="95"/>
          <w:sz w:val="20"/>
        </w:rPr>
        <w:t>解</w:t>
      </w:r>
      <w:r>
        <w:rPr>
          <w:b/>
          <w:w w:val="95"/>
          <w:sz w:val="20"/>
        </w:rPr>
        <w:t>产</w:t>
      </w:r>
      <w:r>
        <w:rPr>
          <w:b/>
          <w:w w:val="95"/>
          <w:sz w:val="20"/>
        </w:rPr>
        <w:t>品</w:t>
      </w:r>
      <w:r>
        <w:rPr>
          <w:b/>
          <w:w w:val="95"/>
          <w:sz w:val="20"/>
        </w:rPr>
        <w:t>之</w:t>
      </w:r>
      <w:r>
        <w:rPr>
          <w:b/>
          <w:w w:val="95"/>
          <w:sz w:val="20"/>
        </w:rPr>
        <w:t>用</w:t>
      </w:r>
      <w:r>
        <w:rPr>
          <w:b/>
          <w:w w:val="95"/>
          <w:sz w:val="20"/>
        </w:rPr>
        <w:t>，</w:t>
      </w:r>
      <w:r>
        <w:rPr>
          <w:b/>
          <w:w w:val="95"/>
          <w:sz w:val="20"/>
        </w:rPr>
        <w:t>您</w:t>
      </w:r>
      <w:r>
        <w:rPr>
          <w:b/>
          <w:w w:val="95"/>
          <w:sz w:val="20"/>
        </w:rPr>
        <w:t>所</w:t>
      </w:r>
      <w:r>
        <w:rPr>
          <w:b/>
          <w:w w:val="95"/>
          <w:sz w:val="20"/>
        </w:rPr>
        <w:t>购买产</w:t>
      </w:r>
      <w:r>
        <w:rPr>
          <w:b/>
          <w:w w:val="95"/>
          <w:sz w:val="20"/>
        </w:rPr>
        <w:t>品</w:t>
      </w:r>
      <w:r>
        <w:rPr>
          <w:b/>
          <w:w w:val="95"/>
          <w:sz w:val="20"/>
        </w:rPr>
        <w:t>的</w:t>
      </w:r>
      <w:r>
        <w:rPr>
          <w:b/>
          <w:w w:val="95"/>
          <w:sz w:val="20"/>
        </w:rPr>
        <w:t>具</w:t>
      </w:r>
      <w:r>
        <w:rPr>
          <w:b/>
          <w:w w:val="95"/>
          <w:sz w:val="20"/>
        </w:rPr>
        <w:t>体</w:t>
      </w:r>
      <w:r>
        <w:rPr>
          <w:b/>
          <w:w w:val="95"/>
          <w:sz w:val="20"/>
        </w:rPr>
        <w:t>保</w:t>
      </w:r>
      <w:r>
        <w:rPr>
          <w:b/>
          <w:w w:val="95"/>
          <w:sz w:val="20"/>
        </w:rPr>
        <w:t>险</w:t>
      </w:r>
      <w:r>
        <w:rPr>
          <w:b/>
          <w:w w:val="95"/>
          <w:sz w:val="20"/>
        </w:rPr>
        <w:t>利</w:t>
      </w:r>
      <w:r>
        <w:rPr>
          <w:b/>
          <w:w w:val="95"/>
          <w:sz w:val="20"/>
        </w:rPr>
        <w:t>益</w:t>
      </w:r>
      <w:r>
        <w:rPr>
          <w:b/>
          <w:w w:val="95"/>
          <w:sz w:val="20"/>
        </w:rPr>
        <w:t>以</w:t>
      </w:r>
      <w:r>
        <w:rPr>
          <w:b/>
          <w:w w:val="95"/>
          <w:sz w:val="20"/>
        </w:rPr>
        <w:t>保</w:t>
      </w:r>
      <w:r>
        <w:rPr>
          <w:b/>
          <w:w w:val="95"/>
          <w:sz w:val="20"/>
        </w:rPr>
        <w:t>险</w:t>
      </w:r>
      <w:r>
        <w:rPr>
          <w:b/>
          <w:w w:val="95"/>
          <w:sz w:val="20"/>
        </w:rPr>
        <w:t>合</w:t>
      </w:r>
      <w:r>
        <w:rPr>
          <w:b/>
          <w:w w:val="95"/>
          <w:sz w:val="20"/>
        </w:rPr>
        <w:t>同</w:t>
      </w:r>
      <w:r>
        <w:rPr>
          <w:b/>
          <w:w w:val="95"/>
          <w:sz w:val="20"/>
        </w:rPr>
        <w:t>中</w:t>
      </w:r>
      <w:r>
        <w:rPr>
          <w:b/>
          <w:w w:val="95"/>
          <w:sz w:val="20"/>
        </w:rPr>
        <w:t>载</w:t>
      </w:r>
      <w:r>
        <w:rPr>
          <w:b/>
          <w:w w:val="95"/>
          <w:sz w:val="20"/>
        </w:rPr>
        <w:t>明</w:t>
      </w:r>
      <w:r>
        <w:rPr>
          <w:b/>
          <w:w w:val="95"/>
          <w:sz w:val="20"/>
        </w:rPr>
        <w:t>的</w:t>
      </w:r>
      <w:r>
        <w:rPr>
          <w:b/>
          <w:spacing w:val="-4"/>
          <w:w w:val="95"/>
          <w:sz w:val="20"/>
        </w:rPr>
        <w:t>为准。</w:t>
      </w:r>
    </w:p>
    <w:p>
      <w:pPr>
        <w:pStyle w:val="Heading2"/>
        <w:spacing w:before="79"/>
        <w:ind w:left="236"/>
        <w:rPr>
          <w:rFonts w:ascii="宋体" w:hAnsi="宋体" w:eastAsia="宋体" w:hint="eastAsia"/>
          <w:sz w:val="20"/>
        </w:rPr>
      </w:pPr>
      <w:r>
        <w:rPr>
          <w:rFonts w:ascii="Wingdings 2" w:hAnsi="Wingdings 2" w:eastAsia="Wingdings 2"/>
          <w:w w:val="95"/>
          <w:position w:val="-11"/>
          <w:sz w:val="48"/>
        </w:rPr>
        <w:t></w:t>
      </w:r>
      <w:r>
        <w:rPr>
          <w:rFonts w:ascii="宋体" w:hAnsi="宋体" w:eastAsia="宋体" w:hint="eastAsia"/>
          <w:w w:val="95"/>
        </w:rPr>
        <w:t>条</w:t>
      </w:r>
      <w:r>
        <w:rPr>
          <w:rFonts w:ascii="宋体" w:hAnsi="宋体" w:eastAsia="宋体" w:hint="eastAsia"/>
          <w:w w:val="95"/>
        </w:rPr>
        <w:t>款</w:t>
      </w:r>
      <w:r>
        <w:rPr>
          <w:rFonts w:ascii="宋体" w:hAnsi="宋体" w:eastAsia="宋体" w:hint="eastAsia"/>
          <w:w w:val="95"/>
        </w:rPr>
        <w:t>是</w:t>
      </w:r>
      <w:r>
        <w:rPr>
          <w:rFonts w:ascii="宋体" w:hAnsi="宋体" w:eastAsia="宋体" w:hint="eastAsia"/>
          <w:w w:val="95"/>
        </w:rPr>
        <w:t>保</w:t>
      </w:r>
      <w:r>
        <w:rPr>
          <w:rFonts w:ascii="宋体" w:hAnsi="宋体" w:eastAsia="宋体" w:hint="eastAsia"/>
          <w:w w:val="95"/>
        </w:rPr>
        <w:t>险</w:t>
      </w:r>
      <w:r>
        <w:rPr>
          <w:rFonts w:ascii="宋体" w:hAnsi="宋体" w:eastAsia="宋体" w:hint="eastAsia"/>
          <w:w w:val="95"/>
        </w:rPr>
        <w:t>合</w:t>
      </w:r>
      <w:r>
        <w:rPr>
          <w:rFonts w:ascii="宋体" w:hAnsi="宋体" w:eastAsia="宋体" w:hint="eastAsia"/>
          <w:w w:val="95"/>
        </w:rPr>
        <w:t>同</w:t>
      </w:r>
      <w:r>
        <w:rPr>
          <w:rFonts w:ascii="宋体" w:hAnsi="宋体" w:eastAsia="宋体" w:hint="eastAsia"/>
          <w:w w:val="95"/>
        </w:rPr>
        <w:t>的</w:t>
      </w:r>
      <w:r>
        <w:rPr>
          <w:rFonts w:ascii="宋体" w:hAnsi="宋体" w:eastAsia="宋体" w:hint="eastAsia"/>
          <w:w w:val="95"/>
        </w:rPr>
        <w:t>重</w:t>
      </w:r>
      <w:r>
        <w:rPr>
          <w:rFonts w:ascii="宋体" w:hAnsi="宋体" w:eastAsia="宋体" w:hint="eastAsia"/>
          <w:w w:val="95"/>
        </w:rPr>
        <w:t>要</w:t>
      </w:r>
      <w:r>
        <w:rPr>
          <w:rFonts w:ascii="宋体" w:hAnsi="宋体" w:eastAsia="宋体" w:hint="eastAsia"/>
          <w:w w:val="95"/>
        </w:rPr>
        <w:t>内</w:t>
      </w:r>
      <w:r>
        <w:rPr>
          <w:rFonts w:ascii="宋体" w:hAnsi="宋体" w:eastAsia="宋体" w:hint="eastAsia"/>
          <w:w w:val="95"/>
        </w:rPr>
        <w:t>容</w:t>
      </w:r>
      <w:r>
        <w:rPr>
          <w:rFonts w:ascii="宋体" w:hAnsi="宋体" w:eastAsia="宋体" w:hint="eastAsia"/>
          <w:w w:val="95"/>
        </w:rPr>
        <w:t>，</w:t>
      </w:r>
      <w:r>
        <w:rPr>
          <w:rFonts w:ascii="宋体" w:hAnsi="宋体" w:eastAsia="宋体" w:hint="eastAsia"/>
          <w:w w:val="95"/>
        </w:rPr>
        <w:t>为</w:t>
      </w:r>
      <w:r>
        <w:rPr>
          <w:rFonts w:ascii="宋体" w:hAnsi="宋体" w:eastAsia="宋体" w:hint="eastAsia"/>
          <w:w w:val="95"/>
        </w:rPr>
        <w:t>充</w:t>
      </w:r>
      <w:r>
        <w:rPr>
          <w:rFonts w:ascii="宋体" w:hAnsi="宋体" w:eastAsia="宋体" w:hint="eastAsia"/>
          <w:w w:val="95"/>
        </w:rPr>
        <w:t>分</w:t>
      </w:r>
      <w:r>
        <w:rPr>
          <w:rFonts w:ascii="宋体" w:hAnsi="宋体" w:eastAsia="宋体" w:hint="eastAsia"/>
          <w:w w:val="95"/>
        </w:rPr>
        <w:t>保</w:t>
      </w:r>
      <w:r>
        <w:rPr>
          <w:rFonts w:ascii="宋体" w:hAnsi="宋体" w:eastAsia="宋体" w:hint="eastAsia"/>
          <w:w w:val="95"/>
        </w:rPr>
        <w:t>障</w:t>
      </w:r>
      <w:r>
        <w:rPr>
          <w:rFonts w:ascii="宋体" w:hAnsi="宋体" w:eastAsia="宋体" w:hint="eastAsia"/>
          <w:w w:val="95"/>
        </w:rPr>
        <w:t>您</w:t>
      </w:r>
      <w:r>
        <w:rPr>
          <w:rFonts w:ascii="宋体" w:hAnsi="宋体" w:eastAsia="宋体" w:hint="eastAsia"/>
          <w:w w:val="95"/>
        </w:rPr>
        <w:t>的</w:t>
      </w:r>
      <w:r>
        <w:rPr>
          <w:rFonts w:ascii="宋体" w:hAnsi="宋体" w:eastAsia="宋体" w:hint="eastAsia"/>
          <w:w w:val="95"/>
        </w:rPr>
        <w:t>权</w:t>
      </w:r>
      <w:r>
        <w:rPr>
          <w:rFonts w:ascii="宋体" w:hAnsi="宋体" w:eastAsia="宋体" w:hint="eastAsia"/>
          <w:w w:val="95"/>
        </w:rPr>
        <w:t>益</w:t>
      </w:r>
      <w:r>
        <w:rPr>
          <w:rFonts w:ascii="宋体" w:hAnsi="宋体" w:eastAsia="宋体" w:hint="eastAsia"/>
          <w:w w:val="95"/>
        </w:rPr>
        <w:t>，</w:t>
      </w:r>
      <w:r>
        <w:rPr>
          <w:rFonts w:ascii="宋体" w:hAnsi="宋体" w:eastAsia="宋体" w:hint="eastAsia"/>
          <w:w w:val="95"/>
        </w:rPr>
        <w:t>请</w:t>
      </w:r>
      <w:r>
        <w:rPr>
          <w:rFonts w:ascii="宋体" w:hAnsi="宋体" w:eastAsia="宋体" w:hint="eastAsia"/>
          <w:w w:val="95"/>
        </w:rPr>
        <w:t>您</w:t>
      </w:r>
      <w:r>
        <w:rPr>
          <w:rFonts w:ascii="宋体" w:hAnsi="宋体" w:eastAsia="宋体" w:hint="eastAsia"/>
          <w:w w:val="95"/>
        </w:rPr>
        <w:t>仔</w:t>
      </w:r>
      <w:r>
        <w:rPr>
          <w:rFonts w:ascii="宋体" w:hAnsi="宋体" w:eastAsia="宋体" w:hint="eastAsia"/>
          <w:w w:val="95"/>
        </w:rPr>
        <w:t>细</w:t>
      </w:r>
      <w:r>
        <w:rPr>
          <w:rFonts w:ascii="宋体" w:hAnsi="宋体" w:eastAsia="宋体" w:hint="eastAsia"/>
          <w:w w:val="95"/>
        </w:rPr>
        <w:t>阅</w:t>
      </w:r>
      <w:r>
        <w:rPr>
          <w:rFonts w:ascii="宋体" w:hAnsi="宋体" w:eastAsia="宋体" w:hint="eastAsia"/>
          <w:w w:val="95"/>
        </w:rPr>
        <w:t>读</w:t>
      </w:r>
      <w:r>
        <w:rPr>
          <w:rFonts w:ascii="宋体" w:hAnsi="宋体" w:eastAsia="宋体" w:hint="eastAsia"/>
          <w:w w:val="95"/>
        </w:rPr>
        <w:t>本</w:t>
      </w:r>
      <w:r>
        <w:rPr>
          <w:rFonts w:ascii="宋体" w:hAnsi="宋体" w:eastAsia="宋体" w:hint="eastAsia"/>
          <w:w w:val="95"/>
        </w:rPr>
        <w:t>条</w:t>
      </w:r>
      <w:r>
        <w:rPr>
          <w:rFonts w:ascii="宋体" w:hAnsi="宋体" w:eastAsia="宋体" w:hint="eastAsia"/>
          <w:w w:val="95"/>
        </w:rPr>
        <w:t>款</w:t>
      </w:r>
      <w:r>
        <w:rPr>
          <w:rFonts w:ascii="宋体" w:hAnsi="宋体" w:eastAsia="宋体" w:hint="eastAsia"/>
          <w:spacing w:val="-10"/>
          <w:w w:val="95"/>
          <w:sz w:val="20"/>
        </w:rPr>
        <w:t>。</w:t>
      </w:r>
    </w:p>
    <w:p>
      <w:pPr>
        <w:spacing w:after="0"/>
        <w:rPr>
          <w:rFonts w:ascii="宋体" w:hAnsi="宋体" w:eastAsia="宋体" w:hint="eastAsia"/>
          <w:sz w:val="20"/>
        </w:rPr>
        <w:sectPr>
          <w:type w:val="continuous"/>
          <w:pgSz w:w="11910" w:h="16840"/>
          <w:pgMar w:header="484" w:footer="706" w:top="1240" w:bottom="900" w:left="980" w:right="980"/>
        </w:sectPr>
      </w:pPr>
    </w:p>
    <w:p>
      <w:pPr>
        <w:pStyle w:val="BodyText"/>
        <w:rPr>
          <w:b/>
          <w:sz w:val="8"/>
        </w:rPr>
      </w:pPr>
    </w:p>
    <w:p>
      <w:pPr>
        <w:spacing w:line="345" w:lineRule="auto" w:before="49" w:after="9"/>
        <w:ind w:left="3971" w:right="1167" w:hanging="2804"/>
        <w:jc w:val="left"/>
        <w:rPr>
          <w:rFonts w:ascii="华文中宋" w:eastAsia="华文中宋" w:hint="eastAsia"/>
          <w:b/>
          <w:sz w:val="40"/>
        </w:rPr>
      </w:pPr>
      <w:r>
        <w:rPr/>
        <w:drawing>
          <wp:anchor distT="0" distB="0" distL="0" distR="0" allowOverlap="1" layoutInCell="1" locked="0" behindDoc="1" simplePos="0" relativeHeight="484569088">
            <wp:simplePos x="0" y="0"/>
            <wp:positionH relativeFrom="page">
              <wp:posOffset>688594</wp:posOffset>
            </wp:positionH>
            <wp:positionV relativeFrom="paragraph">
              <wp:posOffset>1191837</wp:posOffset>
            </wp:positionV>
            <wp:extent cx="6067014" cy="7150227"/>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8" cstate="print"/>
                    <a:stretch>
                      <a:fillRect/>
                    </a:stretch>
                  </pic:blipFill>
                  <pic:spPr>
                    <a:xfrm>
                      <a:off x="0" y="0"/>
                      <a:ext cx="6067014" cy="7150227"/>
                    </a:xfrm>
                    <a:prstGeom prst="rect">
                      <a:avLst/>
                    </a:prstGeom>
                  </pic:spPr>
                </pic:pic>
              </a:graphicData>
            </a:graphic>
          </wp:anchor>
        </w:drawing>
      </w:r>
      <w:r>
        <w:rPr>
          <w:rFonts w:ascii="华文中宋" w:eastAsia="华文中宋" w:hint="eastAsia"/>
          <w:b/>
          <w:spacing w:val="-2"/>
          <w:sz w:val="40"/>
        </w:rPr>
        <w:t>君龙福寿安康重大疾病保险（互联网）条款</w:t>
      </w:r>
      <w:r>
        <w:rPr>
          <w:rFonts w:ascii="华文中宋" w:eastAsia="华文中宋" w:hint="eastAsia"/>
          <w:b/>
          <w:spacing w:val="38"/>
          <w:sz w:val="40"/>
        </w:rPr>
        <w:t>条款 目录</w:t>
      </w:r>
    </w:p>
    <w:tbl>
      <w:tblPr>
        <w:tblW w:w="0" w:type="auto"/>
        <w:jc w:val="left"/>
        <w:tblInd w:w="2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2"/>
        <w:gridCol w:w="577"/>
        <w:gridCol w:w="3888"/>
        <w:gridCol w:w="438"/>
        <w:gridCol w:w="521"/>
        <w:gridCol w:w="2554"/>
      </w:tblGrid>
      <w:tr>
        <w:trPr>
          <w:trHeight w:val="1577" w:hRule="atLeast"/>
        </w:trPr>
        <w:tc>
          <w:tcPr>
            <w:tcW w:w="4717" w:type="dxa"/>
            <w:gridSpan w:val="3"/>
            <w:tcBorders>
              <w:right w:val="single" w:sz="6" w:space="0" w:color="000000"/>
            </w:tcBorders>
          </w:tcPr>
          <w:p>
            <w:pPr>
              <w:pStyle w:val="TableParagraph"/>
              <w:numPr>
                <w:ilvl w:val="0"/>
                <w:numId w:val="2"/>
              </w:numPr>
              <w:tabs>
                <w:tab w:pos="332" w:val="left" w:leader="none"/>
              </w:tabs>
              <w:spacing w:line="240" w:lineRule="auto" w:before="106" w:after="0"/>
              <w:ind w:left="331" w:right="0" w:hanging="222"/>
              <w:jc w:val="left"/>
              <w:rPr>
                <w:b/>
                <w:sz w:val="22"/>
              </w:rPr>
            </w:pPr>
            <w:r>
              <w:rPr>
                <w:b/>
                <w:spacing w:val="-3"/>
                <w:sz w:val="22"/>
              </w:rPr>
              <w:t>合同构成与合同解除</w:t>
            </w:r>
          </w:p>
          <w:p>
            <w:pPr>
              <w:pStyle w:val="TableParagraph"/>
              <w:numPr>
                <w:ilvl w:val="1"/>
                <w:numId w:val="2"/>
              </w:numPr>
              <w:tabs>
                <w:tab w:pos="884" w:val="left" w:leader="none"/>
              </w:tabs>
              <w:spacing w:line="240" w:lineRule="auto" w:before="100" w:after="0"/>
              <w:ind w:left="883" w:right="0" w:hanging="455"/>
              <w:jc w:val="left"/>
              <w:rPr>
                <w:sz w:val="22"/>
              </w:rPr>
            </w:pPr>
            <w:r>
              <w:rPr>
                <w:spacing w:val="-4"/>
                <w:sz w:val="22"/>
              </w:rPr>
              <w:t>合同构成</w:t>
            </w:r>
          </w:p>
          <w:p>
            <w:pPr>
              <w:pStyle w:val="TableParagraph"/>
              <w:numPr>
                <w:ilvl w:val="1"/>
                <w:numId w:val="2"/>
              </w:numPr>
              <w:tabs>
                <w:tab w:pos="884" w:val="left" w:leader="none"/>
              </w:tabs>
              <w:spacing w:line="240" w:lineRule="auto" w:before="97" w:after="0"/>
              <w:ind w:left="883" w:right="0" w:hanging="455"/>
              <w:jc w:val="left"/>
              <w:rPr>
                <w:sz w:val="22"/>
              </w:rPr>
            </w:pPr>
            <w:r>
              <w:rPr>
                <w:spacing w:val="-3"/>
                <w:sz w:val="22"/>
              </w:rPr>
              <w:t>保险合同成立与生效</w:t>
            </w:r>
          </w:p>
          <w:p>
            <w:pPr>
              <w:pStyle w:val="TableParagraph"/>
              <w:numPr>
                <w:ilvl w:val="1"/>
                <w:numId w:val="2"/>
              </w:numPr>
              <w:tabs>
                <w:tab w:pos="884" w:val="left" w:leader="none"/>
              </w:tabs>
              <w:spacing w:line="240" w:lineRule="auto" w:before="98" w:after="0"/>
              <w:ind w:left="883" w:right="0" w:hanging="455"/>
              <w:jc w:val="left"/>
              <w:rPr>
                <w:sz w:val="22"/>
              </w:rPr>
            </w:pPr>
            <w:r>
              <w:rPr>
                <w:spacing w:val="-5"/>
                <w:sz w:val="22"/>
              </w:rPr>
              <w:t>犹豫期</w:t>
            </w:r>
          </w:p>
        </w:tc>
        <w:tc>
          <w:tcPr>
            <w:tcW w:w="438" w:type="dxa"/>
            <w:tcBorders>
              <w:left w:val="single" w:sz="6" w:space="0" w:color="000000"/>
            </w:tcBorders>
          </w:tcPr>
          <w:p>
            <w:pPr>
              <w:pStyle w:val="TableParagraph"/>
              <w:spacing w:before="106"/>
              <w:ind w:left="193"/>
              <w:rPr>
                <w:b/>
                <w:sz w:val="22"/>
              </w:rPr>
            </w:pPr>
            <w:r>
              <w:rPr>
                <w:b/>
                <w:w w:val="99"/>
                <w:sz w:val="22"/>
              </w:rPr>
              <w:t>6</w:t>
            </w:r>
          </w:p>
          <w:p>
            <w:pPr>
              <w:pStyle w:val="TableParagraph"/>
              <w:rPr>
                <w:rFonts w:ascii="华文中宋"/>
                <w:b/>
                <w:sz w:val="22"/>
              </w:rPr>
            </w:pPr>
          </w:p>
          <w:p>
            <w:pPr>
              <w:pStyle w:val="TableParagraph"/>
              <w:spacing w:before="1"/>
              <w:rPr>
                <w:rFonts w:ascii="华文中宋"/>
                <w:b/>
                <w:sz w:val="32"/>
              </w:rPr>
            </w:pPr>
          </w:p>
          <w:p>
            <w:pPr>
              <w:pStyle w:val="TableParagraph"/>
              <w:ind w:left="193"/>
              <w:rPr>
                <w:b/>
                <w:sz w:val="22"/>
              </w:rPr>
            </w:pPr>
            <w:r>
              <w:rPr>
                <w:b/>
                <w:w w:val="99"/>
                <w:sz w:val="22"/>
              </w:rPr>
              <w:t>7</w:t>
            </w:r>
          </w:p>
        </w:tc>
        <w:tc>
          <w:tcPr>
            <w:tcW w:w="3075" w:type="dxa"/>
            <w:gridSpan w:val="2"/>
          </w:tcPr>
          <w:p>
            <w:pPr>
              <w:pStyle w:val="TableParagraph"/>
              <w:spacing w:before="106"/>
              <w:ind w:left="17"/>
              <w:rPr>
                <w:b/>
                <w:sz w:val="22"/>
              </w:rPr>
            </w:pPr>
            <w:r>
              <w:rPr>
                <w:b/>
                <w:spacing w:val="-4"/>
                <w:sz w:val="22"/>
              </w:rPr>
              <w:t>保险费的支付</w:t>
            </w:r>
          </w:p>
          <w:p>
            <w:pPr>
              <w:pStyle w:val="TableParagraph"/>
              <w:numPr>
                <w:ilvl w:val="1"/>
                <w:numId w:val="3"/>
              </w:numPr>
              <w:tabs>
                <w:tab w:pos="584" w:val="left" w:leader="none"/>
              </w:tabs>
              <w:spacing w:line="240" w:lineRule="auto" w:before="100" w:after="0"/>
              <w:ind w:left="583" w:right="0" w:hanging="457"/>
              <w:jc w:val="left"/>
              <w:rPr>
                <w:sz w:val="22"/>
              </w:rPr>
            </w:pPr>
            <w:r>
              <w:rPr>
                <w:spacing w:val="-4"/>
                <w:sz w:val="22"/>
              </w:rPr>
              <w:t>保险费的支付</w:t>
            </w:r>
          </w:p>
          <w:p>
            <w:pPr>
              <w:pStyle w:val="TableParagraph"/>
              <w:numPr>
                <w:ilvl w:val="1"/>
                <w:numId w:val="3"/>
              </w:numPr>
              <w:tabs>
                <w:tab w:pos="584" w:val="left" w:leader="none"/>
              </w:tabs>
              <w:spacing w:line="380" w:lineRule="atLeast" w:before="0" w:after="0"/>
              <w:ind w:left="17" w:right="1730" w:firstLine="110"/>
              <w:jc w:val="left"/>
              <w:rPr>
                <w:b/>
                <w:sz w:val="22"/>
              </w:rPr>
            </w:pPr>
            <w:r>
              <w:rPr>
                <w:spacing w:val="-4"/>
                <w:sz w:val="22"/>
              </w:rPr>
              <w:t>宽限期</w:t>
            </w:r>
            <w:r>
              <w:rPr>
                <w:b/>
                <w:spacing w:val="-2"/>
                <w:sz w:val="22"/>
              </w:rPr>
              <w:t>现金价值权益</w:t>
            </w:r>
          </w:p>
        </w:tc>
      </w:tr>
      <w:tr>
        <w:trPr>
          <w:trHeight w:val="1140" w:hRule="atLeast"/>
        </w:trPr>
        <w:tc>
          <w:tcPr>
            <w:tcW w:w="4717" w:type="dxa"/>
            <w:gridSpan w:val="3"/>
            <w:tcBorders>
              <w:right w:val="single" w:sz="6" w:space="0" w:color="000000"/>
            </w:tcBorders>
          </w:tcPr>
          <w:p>
            <w:pPr>
              <w:pStyle w:val="TableParagraph"/>
              <w:spacing w:line="324" w:lineRule="auto" w:before="50"/>
              <w:ind w:left="883" w:right="295" w:hanging="454"/>
              <w:rPr>
                <w:sz w:val="22"/>
              </w:rPr>
            </w:pPr>
            <w:r>
              <w:rPr>
                <w:sz w:val="22"/>
              </w:rPr>
              <w:t>1.4</w:t>
            </w:r>
            <w:r>
              <w:rPr>
                <w:spacing w:val="-4"/>
                <w:sz w:val="22"/>
              </w:rPr>
              <w:t> 犹豫期后解除合同</w:t>
            </w:r>
            <w:r>
              <w:rPr>
                <w:sz w:val="22"/>
              </w:rPr>
              <w:t>（退保）的手续及</w:t>
            </w:r>
            <w:r>
              <w:rPr>
                <w:spacing w:val="-6"/>
                <w:sz w:val="22"/>
              </w:rPr>
              <w:t>风险</w:t>
            </w:r>
          </w:p>
          <w:p>
            <w:pPr>
              <w:pStyle w:val="TableParagraph"/>
              <w:spacing w:line="279" w:lineRule="exact"/>
              <w:ind w:left="62"/>
              <w:rPr>
                <w:b/>
                <w:sz w:val="22"/>
              </w:rPr>
            </w:pPr>
            <w:r>
              <w:rPr>
                <w:b/>
                <w:sz w:val="22"/>
              </w:rPr>
              <w:t>2 我们提供的保障</w:t>
            </w:r>
          </w:p>
        </w:tc>
        <w:tc>
          <w:tcPr>
            <w:tcW w:w="438" w:type="dxa"/>
            <w:tcBorders>
              <w:left w:val="single" w:sz="6" w:space="0" w:color="000000"/>
            </w:tcBorders>
          </w:tcPr>
          <w:p>
            <w:pPr>
              <w:pStyle w:val="TableParagraph"/>
              <w:rPr>
                <w:rFonts w:ascii="华文中宋"/>
                <w:b/>
                <w:sz w:val="22"/>
              </w:rPr>
            </w:pPr>
          </w:p>
          <w:p>
            <w:pPr>
              <w:pStyle w:val="TableParagraph"/>
              <w:spacing w:before="15"/>
              <w:rPr>
                <w:rFonts w:ascii="华文中宋"/>
                <w:b/>
                <w:sz w:val="28"/>
              </w:rPr>
            </w:pPr>
          </w:p>
          <w:p>
            <w:pPr>
              <w:pStyle w:val="TableParagraph"/>
              <w:ind w:left="193"/>
              <w:rPr>
                <w:b/>
                <w:sz w:val="22"/>
              </w:rPr>
            </w:pPr>
            <w:r>
              <w:rPr>
                <w:b/>
                <w:w w:val="99"/>
                <w:sz w:val="22"/>
              </w:rPr>
              <w:t>8</w:t>
            </w:r>
          </w:p>
        </w:tc>
        <w:tc>
          <w:tcPr>
            <w:tcW w:w="3075" w:type="dxa"/>
            <w:gridSpan w:val="2"/>
          </w:tcPr>
          <w:p>
            <w:pPr>
              <w:pStyle w:val="TableParagraph"/>
              <w:numPr>
                <w:ilvl w:val="1"/>
                <w:numId w:val="4"/>
              </w:numPr>
              <w:tabs>
                <w:tab w:pos="584" w:val="left" w:leader="none"/>
              </w:tabs>
              <w:spacing w:line="240" w:lineRule="auto" w:before="50" w:after="0"/>
              <w:ind w:left="583" w:right="0" w:hanging="457"/>
              <w:jc w:val="left"/>
              <w:rPr>
                <w:sz w:val="22"/>
              </w:rPr>
            </w:pPr>
            <w:r>
              <w:rPr>
                <w:spacing w:val="-4"/>
                <w:sz w:val="22"/>
              </w:rPr>
              <w:t>现金价值</w:t>
            </w:r>
          </w:p>
          <w:p>
            <w:pPr>
              <w:pStyle w:val="TableParagraph"/>
              <w:numPr>
                <w:ilvl w:val="1"/>
                <w:numId w:val="4"/>
              </w:numPr>
              <w:tabs>
                <w:tab w:pos="584" w:val="left" w:leader="none"/>
              </w:tabs>
              <w:spacing w:line="240" w:lineRule="auto" w:before="97" w:after="0"/>
              <w:ind w:left="583" w:right="0" w:hanging="457"/>
              <w:jc w:val="left"/>
              <w:rPr>
                <w:sz w:val="22"/>
              </w:rPr>
            </w:pPr>
            <w:r>
              <w:rPr>
                <w:spacing w:val="-4"/>
                <w:sz w:val="22"/>
              </w:rPr>
              <w:t>保单贷款</w:t>
            </w:r>
          </w:p>
          <w:p>
            <w:pPr>
              <w:pStyle w:val="TableParagraph"/>
              <w:spacing w:before="98"/>
              <w:ind w:left="17"/>
              <w:rPr>
                <w:b/>
                <w:sz w:val="22"/>
              </w:rPr>
            </w:pPr>
            <w:r>
              <w:rPr>
                <w:b/>
                <w:spacing w:val="-3"/>
                <w:sz w:val="22"/>
              </w:rPr>
              <w:t>合同效力的中止及恢复</w:t>
            </w:r>
          </w:p>
        </w:tc>
      </w:tr>
      <w:tr>
        <w:trPr>
          <w:trHeight w:val="1140" w:hRule="atLeast"/>
        </w:trPr>
        <w:tc>
          <w:tcPr>
            <w:tcW w:w="4717" w:type="dxa"/>
            <w:gridSpan w:val="3"/>
            <w:tcBorders>
              <w:right w:val="single" w:sz="6" w:space="0" w:color="000000"/>
            </w:tcBorders>
          </w:tcPr>
          <w:p>
            <w:pPr>
              <w:pStyle w:val="TableParagraph"/>
              <w:numPr>
                <w:ilvl w:val="1"/>
                <w:numId w:val="5"/>
              </w:numPr>
              <w:tabs>
                <w:tab w:pos="884" w:val="left" w:leader="none"/>
              </w:tabs>
              <w:spacing w:line="240" w:lineRule="auto" w:before="50" w:after="0"/>
              <w:ind w:left="883" w:right="0" w:hanging="455"/>
              <w:jc w:val="left"/>
              <w:rPr>
                <w:sz w:val="22"/>
              </w:rPr>
            </w:pPr>
            <w:r>
              <w:rPr>
                <w:spacing w:val="-4"/>
                <w:sz w:val="22"/>
              </w:rPr>
              <w:t>保险金额</w:t>
            </w:r>
          </w:p>
          <w:p>
            <w:pPr>
              <w:pStyle w:val="TableParagraph"/>
              <w:numPr>
                <w:ilvl w:val="1"/>
                <w:numId w:val="5"/>
              </w:numPr>
              <w:tabs>
                <w:tab w:pos="884" w:val="left" w:leader="none"/>
              </w:tabs>
              <w:spacing w:line="240" w:lineRule="auto" w:before="97" w:after="0"/>
              <w:ind w:left="883" w:right="0" w:hanging="455"/>
              <w:jc w:val="left"/>
              <w:rPr>
                <w:sz w:val="22"/>
              </w:rPr>
            </w:pPr>
            <w:r>
              <w:rPr>
                <w:spacing w:val="-4"/>
                <w:sz w:val="22"/>
              </w:rPr>
              <w:t>基本保险金额</w:t>
            </w:r>
          </w:p>
          <w:p>
            <w:pPr>
              <w:pStyle w:val="TableParagraph"/>
              <w:numPr>
                <w:ilvl w:val="1"/>
                <w:numId w:val="5"/>
              </w:numPr>
              <w:tabs>
                <w:tab w:pos="884" w:val="left" w:leader="none"/>
              </w:tabs>
              <w:spacing w:line="240" w:lineRule="auto" w:before="98" w:after="0"/>
              <w:ind w:left="883" w:right="0" w:hanging="455"/>
              <w:jc w:val="left"/>
              <w:rPr>
                <w:sz w:val="22"/>
              </w:rPr>
            </w:pPr>
            <w:r>
              <w:rPr>
                <w:spacing w:val="-3"/>
                <w:sz w:val="22"/>
              </w:rPr>
              <w:t>未成年人身故保险金限制</w:t>
            </w:r>
          </w:p>
        </w:tc>
        <w:tc>
          <w:tcPr>
            <w:tcW w:w="438" w:type="dxa"/>
            <w:tcBorders>
              <w:left w:val="single" w:sz="6" w:space="0" w:color="000000"/>
            </w:tcBorders>
          </w:tcPr>
          <w:p>
            <w:pPr>
              <w:pStyle w:val="TableParagraph"/>
              <w:rPr>
                <w:rFonts w:ascii="华文中宋"/>
                <w:b/>
                <w:sz w:val="22"/>
              </w:rPr>
            </w:pPr>
          </w:p>
          <w:p>
            <w:pPr>
              <w:pStyle w:val="TableParagraph"/>
              <w:spacing w:before="15"/>
              <w:rPr>
                <w:rFonts w:ascii="华文中宋"/>
                <w:b/>
                <w:sz w:val="28"/>
              </w:rPr>
            </w:pPr>
          </w:p>
          <w:p>
            <w:pPr>
              <w:pStyle w:val="TableParagraph"/>
              <w:ind w:left="193"/>
              <w:rPr>
                <w:b/>
                <w:sz w:val="22"/>
              </w:rPr>
            </w:pPr>
            <w:r>
              <w:rPr>
                <w:b/>
                <w:w w:val="99"/>
                <w:sz w:val="22"/>
              </w:rPr>
              <w:t>9</w:t>
            </w:r>
          </w:p>
        </w:tc>
        <w:tc>
          <w:tcPr>
            <w:tcW w:w="3075" w:type="dxa"/>
            <w:gridSpan w:val="2"/>
          </w:tcPr>
          <w:p>
            <w:pPr>
              <w:pStyle w:val="TableParagraph"/>
              <w:numPr>
                <w:ilvl w:val="1"/>
                <w:numId w:val="6"/>
              </w:numPr>
              <w:tabs>
                <w:tab w:pos="584" w:val="left" w:leader="none"/>
              </w:tabs>
              <w:spacing w:line="240" w:lineRule="auto" w:before="50" w:after="0"/>
              <w:ind w:left="583" w:right="0" w:hanging="457"/>
              <w:jc w:val="left"/>
              <w:rPr>
                <w:sz w:val="22"/>
              </w:rPr>
            </w:pPr>
            <w:r>
              <w:rPr>
                <w:spacing w:val="-4"/>
                <w:sz w:val="22"/>
              </w:rPr>
              <w:t>效力中止</w:t>
            </w:r>
          </w:p>
          <w:p>
            <w:pPr>
              <w:pStyle w:val="TableParagraph"/>
              <w:numPr>
                <w:ilvl w:val="1"/>
                <w:numId w:val="6"/>
              </w:numPr>
              <w:tabs>
                <w:tab w:pos="584" w:val="left" w:leader="none"/>
              </w:tabs>
              <w:spacing w:line="380" w:lineRule="atLeast" w:before="0" w:after="0"/>
              <w:ind w:left="17" w:right="727" w:firstLine="110"/>
              <w:jc w:val="left"/>
              <w:rPr>
                <w:b/>
                <w:sz w:val="22"/>
              </w:rPr>
            </w:pPr>
            <w:r>
              <w:rPr>
                <w:spacing w:val="-2"/>
                <w:sz w:val="22"/>
              </w:rPr>
              <w:t>效力恢复（复效）</w:t>
            </w:r>
            <w:r>
              <w:rPr>
                <w:b/>
                <w:spacing w:val="-2"/>
                <w:sz w:val="22"/>
              </w:rPr>
              <w:t>其它需要关注的事项</w:t>
            </w:r>
          </w:p>
        </w:tc>
      </w:tr>
      <w:tr>
        <w:trPr>
          <w:trHeight w:val="1220" w:hRule="atLeast"/>
        </w:trPr>
        <w:tc>
          <w:tcPr>
            <w:tcW w:w="4717" w:type="dxa"/>
            <w:gridSpan w:val="3"/>
            <w:tcBorders>
              <w:right w:val="single" w:sz="6" w:space="0" w:color="000000"/>
            </w:tcBorders>
          </w:tcPr>
          <w:p>
            <w:pPr>
              <w:pStyle w:val="TableParagraph"/>
              <w:numPr>
                <w:ilvl w:val="1"/>
                <w:numId w:val="7"/>
              </w:numPr>
              <w:tabs>
                <w:tab w:pos="884" w:val="left" w:leader="none"/>
              </w:tabs>
              <w:spacing w:line="240" w:lineRule="auto" w:before="50" w:after="0"/>
              <w:ind w:left="883" w:right="0" w:hanging="455"/>
              <w:jc w:val="left"/>
              <w:rPr>
                <w:sz w:val="22"/>
              </w:rPr>
            </w:pPr>
            <w:r>
              <w:rPr>
                <w:spacing w:val="-4"/>
                <w:sz w:val="22"/>
              </w:rPr>
              <w:t>保险期间</w:t>
            </w:r>
          </w:p>
          <w:p>
            <w:pPr>
              <w:pStyle w:val="TableParagraph"/>
              <w:numPr>
                <w:ilvl w:val="1"/>
                <w:numId w:val="7"/>
              </w:numPr>
              <w:tabs>
                <w:tab w:pos="884" w:val="left" w:leader="none"/>
              </w:tabs>
              <w:spacing w:line="240" w:lineRule="auto" w:before="97" w:after="0"/>
              <w:ind w:left="883" w:right="0" w:hanging="455"/>
              <w:jc w:val="left"/>
              <w:rPr>
                <w:sz w:val="22"/>
              </w:rPr>
            </w:pPr>
            <w:r>
              <w:rPr>
                <w:spacing w:val="-5"/>
                <w:sz w:val="22"/>
              </w:rPr>
              <w:t>等待期</w:t>
            </w:r>
          </w:p>
          <w:p>
            <w:pPr>
              <w:pStyle w:val="TableParagraph"/>
              <w:numPr>
                <w:ilvl w:val="1"/>
                <w:numId w:val="7"/>
              </w:numPr>
              <w:tabs>
                <w:tab w:pos="884" w:val="left" w:leader="none"/>
              </w:tabs>
              <w:spacing w:line="240" w:lineRule="auto" w:before="98" w:after="0"/>
              <w:ind w:left="883" w:right="0" w:hanging="455"/>
              <w:jc w:val="left"/>
              <w:rPr>
                <w:sz w:val="22"/>
              </w:rPr>
            </w:pPr>
            <w:r>
              <w:rPr>
                <w:spacing w:val="-4"/>
                <w:sz w:val="22"/>
              </w:rPr>
              <w:t>保险责任</w:t>
            </w:r>
          </w:p>
        </w:tc>
        <w:tc>
          <w:tcPr>
            <w:tcW w:w="438" w:type="dxa"/>
            <w:tcBorders>
              <w:left w:val="single" w:sz="6" w:space="0" w:color="000000"/>
            </w:tcBorders>
          </w:tcPr>
          <w:p>
            <w:pPr>
              <w:pStyle w:val="TableParagraph"/>
              <w:rPr>
                <w:rFonts w:ascii="Times New Roman"/>
                <w:sz w:val="22"/>
              </w:rPr>
            </w:pPr>
          </w:p>
        </w:tc>
        <w:tc>
          <w:tcPr>
            <w:tcW w:w="3075" w:type="dxa"/>
            <w:gridSpan w:val="2"/>
          </w:tcPr>
          <w:p>
            <w:pPr>
              <w:pStyle w:val="TableParagraph"/>
              <w:numPr>
                <w:ilvl w:val="1"/>
                <w:numId w:val="8"/>
              </w:numPr>
              <w:tabs>
                <w:tab w:pos="584" w:val="left" w:leader="none"/>
              </w:tabs>
              <w:spacing w:line="240" w:lineRule="auto" w:before="50" w:after="0"/>
              <w:ind w:left="583" w:right="0" w:hanging="457"/>
              <w:jc w:val="left"/>
              <w:rPr>
                <w:sz w:val="22"/>
              </w:rPr>
            </w:pPr>
            <w:r>
              <w:rPr>
                <w:spacing w:val="-3"/>
                <w:sz w:val="22"/>
              </w:rPr>
              <w:t>明确说明与如实告知</w:t>
            </w:r>
          </w:p>
          <w:p>
            <w:pPr>
              <w:pStyle w:val="TableParagraph"/>
              <w:numPr>
                <w:ilvl w:val="1"/>
                <w:numId w:val="8"/>
              </w:numPr>
              <w:tabs>
                <w:tab w:pos="584" w:val="left" w:leader="none"/>
              </w:tabs>
              <w:spacing w:line="240" w:lineRule="auto" w:before="97" w:after="0"/>
              <w:ind w:left="583" w:right="0" w:hanging="457"/>
              <w:jc w:val="left"/>
              <w:rPr>
                <w:sz w:val="22"/>
              </w:rPr>
            </w:pPr>
            <w:r>
              <w:rPr>
                <w:spacing w:val="-3"/>
                <w:sz w:val="22"/>
              </w:rPr>
              <w:t>本公司合同解除权的限制</w:t>
            </w:r>
          </w:p>
          <w:p>
            <w:pPr>
              <w:pStyle w:val="TableParagraph"/>
              <w:numPr>
                <w:ilvl w:val="1"/>
                <w:numId w:val="8"/>
              </w:numPr>
              <w:tabs>
                <w:tab w:pos="584" w:val="left" w:leader="none"/>
              </w:tabs>
              <w:spacing w:line="240" w:lineRule="auto" w:before="98" w:after="0"/>
              <w:ind w:left="583" w:right="0" w:hanging="457"/>
              <w:jc w:val="left"/>
              <w:rPr>
                <w:sz w:val="22"/>
              </w:rPr>
            </w:pPr>
            <w:r>
              <w:rPr>
                <w:spacing w:val="-4"/>
                <w:sz w:val="22"/>
              </w:rPr>
              <w:t>投保年龄</w:t>
            </w:r>
          </w:p>
        </w:tc>
      </w:tr>
      <w:tr>
        <w:trPr>
          <w:trHeight w:val="300" w:hRule="atLeast"/>
        </w:trPr>
        <w:tc>
          <w:tcPr>
            <w:tcW w:w="4717" w:type="dxa"/>
            <w:gridSpan w:val="3"/>
            <w:tcBorders>
              <w:right w:val="single" w:sz="6" w:space="0" w:color="000000"/>
            </w:tcBorders>
          </w:tcPr>
          <w:p>
            <w:pPr>
              <w:pStyle w:val="TableParagraph"/>
              <w:spacing w:line="252" w:lineRule="exact"/>
              <w:ind w:left="62"/>
              <w:rPr>
                <w:b/>
                <w:sz w:val="22"/>
              </w:rPr>
            </w:pPr>
            <w:r>
              <w:rPr>
                <w:b/>
                <w:sz w:val="22"/>
              </w:rPr>
              <w:t>3</w:t>
            </w:r>
            <w:r>
              <w:rPr>
                <w:b/>
                <w:spacing w:val="-1"/>
                <w:sz w:val="22"/>
              </w:rPr>
              <w:t> 我们不承担保险责任的情况</w:t>
            </w:r>
          </w:p>
        </w:tc>
        <w:tc>
          <w:tcPr>
            <w:tcW w:w="959" w:type="dxa"/>
            <w:gridSpan w:val="2"/>
            <w:tcBorders>
              <w:left w:val="single" w:sz="6" w:space="0" w:color="000000"/>
            </w:tcBorders>
          </w:tcPr>
          <w:p>
            <w:pPr>
              <w:pStyle w:val="TableParagraph"/>
              <w:spacing w:line="252" w:lineRule="exact"/>
              <w:ind w:left="558"/>
              <w:rPr>
                <w:sz w:val="22"/>
              </w:rPr>
            </w:pPr>
            <w:r>
              <w:rPr>
                <w:spacing w:val="-5"/>
                <w:sz w:val="22"/>
              </w:rPr>
              <w:t>9.4</w:t>
            </w:r>
          </w:p>
        </w:tc>
        <w:tc>
          <w:tcPr>
            <w:tcW w:w="2554" w:type="dxa"/>
          </w:tcPr>
          <w:p>
            <w:pPr>
              <w:pStyle w:val="TableParagraph"/>
              <w:spacing w:line="252" w:lineRule="exact"/>
              <w:ind w:left="62"/>
              <w:rPr>
                <w:sz w:val="22"/>
              </w:rPr>
            </w:pPr>
            <w:r>
              <w:rPr>
                <w:spacing w:val="-4"/>
                <w:sz w:val="22"/>
              </w:rPr>
              <w:t>年龄错误</w:t>
            </w:r>
          </w:p>
        </w:tc>
      </w:tr>
      <w:tr>
        <w:trPr>
          <w:trHeight w:val="379" w:hRule="atLeast"/>
        </w:trPr>
        <w:tc>
          <w:tcPr>
            <w:tcW w:w="4717" w:type="dxa"/>
            <w:gridSpan w:val="3"/>
            <w:tcBorders>
              <w:right w:val="single" w:sz="6" w:space="0" w:color="000000"/>
            </w:tcBorders>
          </w:tcPr>
          <w:p>
            <w:pPr>
              <w:pStyle w:val="TableParagraph"/>
              <w:spacing w:before="49"/>
              <w:ind w:left="429"/>
              <w:rPr>
                <w:sz w:val="22"/>
              </w:rPr>
            </w:pPr>
            <w:r>
              <w:rPr>
                <w:sz w:val="22"/>
              </w:rPr>
              <w:t>3.1</w:t>
            </w:r>
            <w:r>
              <w:rPr>
                <w:spacing w:val="-2"/>
                <w:sz w:val="22"/>
              </w:rPr>
              <w:t> 责任免除</w:t>
            </w:r>
          </w:p>
        </w:tc>
        <w:tc>
          <w:tcPr>
            <w:tcW w:w="959" w:type="dxa"/>
            <w:gridSpan w:val="2"/>
            <w:tcBorders>
              <w:left w:val="single" w:sz="6" w:space="0" w:color="000000"/>
            </w:tcBorders>
          </w:tcPr>
          <w:p>
            <w:pPr>
              <w:pStyle w:val="TableParagraph"/>
              <w:spacing w:before="49"/>
              <w:ind w:left="558"/>
              <w:rPr>
                <w:sz w:val="22"/>
              </w:rPr>
            </w:pPr>
            <w:r>
              <w:rPr>
                <w:spacing w:val="-5"/>
                <w:sz w:val="22"/>
              </w:rPr>
              <w:t>9.5</w:t>
            </w:r>
          </w:p>
        </w:tc>
        <w:tc>
          <w:tcPr>
            <w:tcW w:w="2554" w:type="dxa"/>
          </w:tcPr>
          <w:p>
            <w:pPr>
              <w:pStyle w:val="TableParagraph"/>
              <w:spacing w:before="49"/>
              <w:ind w:left="62"/>
              <w:rPr>
                <w:sz w:val="22"/>
              </w:rPr>
            </w:pPr>
            <w:r>
              <w:rPr>
                <w:spacing w:val="-4"/>
                <w:sz w:val="22"/>
              </w:rPr>
              <w:t>未还款项</w:t>
            </w:r>
          </w:p>
        </w:tc>
      </w:tr>
      <w:tr>
        <w:trPr>
          <w:trHeight w:val="380" w:hRule="atLeast"/>
        </w:trPr>
        <w:tc>
          <w:tcPr>
            <w:tcW w:w="4717" w:type="dxa"/>
            <w:gridSpan w:val="3"/>
            <w:tcBorders>
              <w:right w:val="single" w:sz="6" w:space="0" w:color="000000"/>
            </w:tcBorders>
          </w:tcPr>
          <w:p>
            <w:pPr>
              <w:pStyle w:val="TableParagraph"/>
              <w:spacing w:before="49"/>
              <w:ind w:left="429"/>
              <w:rPr>
                <w:sz w:val="22"/>
              </w:rPr>
            </w:pPr>
            <w:r>
              <w:rPr>
                <w:sz w:val="22"/>
              </w:rPr>
              <w:t>3.2</w:t>
            </w:r>
            <w:r>
              <w:rPr>
                <w:spacing w:val="-2"/>
                <w:sz w:val="22"/>
              </w:rPr>
              <w:t> 其它免责条款</w:t>
            </w:r>
          </w:p>
        </w:tc>
        <w:tc>
          <w:tcPr>
            <w:tcW w:w="959" w:type="dxa"/>
            <w:gridSpan w:val="2"/>
            <w:tcBorders>
              <w:left w:val="single" w:sz="6" w:space="0" w:color="000000"/>
            </w:tcBorders>
          </w:tcPr>
          <w:p>
            <w:pPr>
              <w:pStyle w:val="TableParagraph"/>
              <w:spacing w:before="49"/>
              <w:ind w:left="558"/>
              <w:rPr>
                <w:sz w:val="22"/>
              </w:rPr>
            </w:pPr>
            <w:r>
              <w:rPr>
                <w:spacing w:val="-5"/>
                <w:sz w:val="22"/>
              </w:rPr>
              <w:t>9.6</w:t>
            </w:r>
          </w:p>
        </w:tc>
        <w:tc>
          <w:tcPr>
            <w:tcW w:w="2554" w:type="dxa"/>
          </w:tcPr>
          <w:p>
            <w:pPr>
              <w:pStyle w:val="TableParagraph"/>
              <w:spacing w:before="49"/>
              <w:ind w:left="62"/>
              <w:rPr>
                <w:sz w:val="22"/>
              </w:rPr>
            </w:pPr>
            <w:r>
              <w:rPr>
                <w:spacing w:val="-4"/>
                <w:sz w:val="22"/>
              </w:rPr>
              <w:t>合同内容变更</w:t>
            </w:r>
          </w:p>
        </w:tc>
      </w:tr>
      <w:tr>
        <w:trPr>
          <w:trHeight w:val="380" w:hRule="atLeast"/>
        </w:trPr>
        <w:tc>
          <w:tcPr>
            <w:tcW w:w="4717" w:type="dxa"/>
            <w:gridSpan w:val="3"/>
            <w:tcBorders>
              <w:right w:val="single" w:sz="6" w:space="0" w:color="000000"/>
            </w:tcBorders>
          </w:tcPr>
          <w:p>
            <w:pPr>
              <w:pStyle w:val="TableParagraph"/>
              <w:spacing w:before="50"/>
              <w:ind w:left="62"/>
              <w:rPr>
                <w:b/>
                <w:sz w:val="22"/>
              </w:rPr>
            </w:pPr>
            <w:r>
              <w:rPr>
                <w:b/>
                <w:sz w:val="22"/>
              </w:rPr>
              <w:t>4</w:t>
            </w:r>
            <w:r>
              <w:rPr>
                <w:b/>
                <w:spacing w:val="-1"/>
                <w:sz w:val="22"/>
              </w:rPr>
              <w:t> 我们所保障的疾病列表</w:t>
            </w:r>
          </w:p>
        </w:tc>
        <w:tc>
          <w:tcPr>
            <w:tcW w:w="959" w:type="dxa"/>
            <w:gridSpan w:val="2"/>
            <w:tcBorders>
              <w:left w:val="single" w:sz="6" w:space="0" w:color="000000"/>
            </w:tcBorders>
          </w:tcPr>
          <w:p>
            <w:pPr>
              <w:pStyle w:val="TableParagraph"/>
              <w:spacing w:before="50"/>
              <w:ind w:left="558"/>
              <w:rPr>
                <w:sz w:val="22"/>
              </w:rPr>
            </w:pPr>
            <w:r>
              <w:rPr>
                <w:spacing w:val="-5"/>
                <w:sz w:val="22"/>
              </w:rPr>
              <w:t>9.7</w:t>
            </w:r>
          </w:p>
        </w:tc>
        <w:tc>
          <w:tcPr>
            <w:tcW w:w="2554" w:type="dxa"/>
          </w:tcPr>
          <w:p>
            <w:pPr>
              <w:pStyle w:val="TableParagraph"/>
              <w:spacing w:before="50"/>
              <w:ind w:left="62"/>
              <w:rPr>
                <w:sz w:val="22"/>
              </w:rPr>
            </w:pPr>
            <w:r>
              <w:rPr>
                <w:spacing w:val="-4"/>
                <w:sz w:val="22"/>
              </w:rPr>
              <w:t>地址变更</w:t>
            </w:r>
          </w:p>
        </w:tc>
      </w:tr>
      <w:tr>
        <w:trPr>
          <w:trHeight w:val="458" w:hRule="atLeast"/>
        </w:trPr>
        <w:tc>
          <w:tcPr>
            <w:tcW w:w="4717" w:type="dxa"/>
            <w:gridSpan w:val="3"/>
            <w:tcBorders>
              <w:right w:val="single" w:sz="6" w:space="0" w:color="000000"/>
            </w:tcBorders>
          </w:tcPr>
          <w:p>
            <w:pPr>
              <w:pStyle w:val="TableParagraph"/>
              <w:spacing w:before="49"/>
              <w:ind w:left="429"/>
              <w:rPr>
                <w:sz w:val="22"/>
              </w:rPr>
            </w:pPr>
            <w:r>
              <w:rPr>
                <w:sz w:val="22"/>
              </w:rPr>
              <w:t>4.1</w:t>
            </w:r>
            <w:r>
              <w:rPr>
                <w:spacing w:val="-2"/>
                <w:sz w:val="22"/>
              </w:rPr>
              <w:t> 重大疾病的范围</w:t>
            </w:r>
          </w:p>
        </w:tc>
        <w:tc>
          <w:tcPr>
            <w:tcW w:w="959" w:type="dxa"/>
            <w:gridSpan w:val="2"/>
            <w:tcBorders>
              <w:left w:val="single" w:sz="6" w:space="0" w:color="000000"/>
            </w:tcBorders>
          </w:tcPr>
          <w:p>
            <w:pPr>
              <w:pStyle w:val="TableParagraph"/>
              <w:spacing w:before="49"/>
              <w:ind w:left="558"/>
              <w:rPr>
                <w:sz w:val="22"/>
              </w:rPr>
            </w:pPr>
            <w:r>
              <w:rPr>
                <w:spacing w:val="-5"/>
                <w:sz w:val="22"/>
              </w:rPr>
              <w:t>9.8</w:t>
            </w:r>
          </w:p>
        </w:tc>
        <w:tc>
          <w:tcPr>
            <w:tcW w:w="2554" w:type="dxa"/>
          </w:tcPr>
          <w:p>
            <w:pPr>
              <w:pStyle w:val="TableParagraph"/>
              <w:spacing w:before="49"/>
              <w:ind w:left="62"/>
              <w:rPr>
                <w:sz w:val="22"/>
              </w:rPr>
            </w:pPr>
            <w:r>
              <w:rPr>
                <w:spacing w:val="-4"/>
                <w:sz w:val="22"/>
              </w:rPr>
              <w:t>争议处理</w:t>
            </w:r>
          </w:p>
        </w:tc>
      </w:tr>
      <w:tr>
        <w:trPr>
          <w:trHeight w:val="301" w:hRule="atLeast"/>
        </w:trPr>
        <w:tc>
          <w:tcPr>
            <w:tcW w:w="252" w:type="dxa"/>
          </w:tcPr>
          <w:p>
            <w:pPr>
              <w:pStyle w:val="TableParagraph"/>
              <w:rPr>
                <w:rFonts w:ascii="Times New Roman"/>
                <w:sz w:val="22"/>
              </w:rPr>
            </w:pPr>
          </w:p>
        </w:tc>
        <w:tc>
          <w:tcPr>
            <w:tcW w:w="4465" w:type="dxa"/>
            <w:gridSpan w:val="2"/>
            <w:tcBorders>
              <w:right w:val="single" w:sz="6" w:space="0" w:color="000000"/>
            </w:tcBorders>
          </w:tcPr>
          <w:p>
            <w:pPr>
              <w:pStyle w:val="TableParagraph"/>
              <w:spacing w:line="252" w:lineRule="exact"/>
              <w:ind w:left="177"/>
              <w:rPr>
                <w:sz w:val="22"/>
              </w:rPr>
            </w:pPr>
            <w:r>
              <w:rPr>
                <w:sz w:val="22"/>
              </w:rPr>
              <w:t>4.2</w:t>
            </w:r>
            <w:r>
              <w:rPr>
                <w:spacing w:val="-2"/>
                <w:sz w:val="22"/>
              </w:rPr>
              <w:t> 中度疾病的范围</w:t>
            </w:r>
          </w:p>
        </w:tc>
        <w:tc>
          <w:tcPr>
            <w:tcW w:w="438" w:type="dxa"/>
            <w:tcBorders>
              <w:left w:val="single" w:sz="6" w:space="0" w:color="000000"/>
            </w:tcBorders>
          </w:tcPr>
          <w:p>
            <w:pPr>
              <w:pStyle w:val="TableParagraph"/>
              <w:spacing w:line="252" w:lineRule="exact"/>
              <w:ind w:left="191"/>
              <w:rPr>
                <w:b/>
                <w:sz w:val="22"/>
              </w:rPr>
            </w:pPr>
            <w:r>
              <w:rPr>
                <w:b/>
                <w:spacing w:val="-5"/>
                <w:sz w:val="22"/>
              </w:rPr>
              <w:t>10</w:t>
            </w:r>
          </w:p>
        </w:tc>
        <w:tc>
          <w:tcPr>
            <w:tcW w:w="3075" w:type="dxa"/>
            <w:gridSpan w:val="2"/>
          </w:tcPr>
          <w:p>
            <w:pPr>
              <w:pStyle w:val="TableParagraph"/>
              <w:spacing w:line="252" w:lineRule="exact"/>
              <w:ind w:left="185"/>
              <w:rPr>
                <w:b/>
                <w:sz w:val="22"/>
              </w:rPr>
            </w:pPr>
            <w:r>
              <w:rPr>
                <w:b/>
                <w:spacing w:val="-4"/>
                <w:sz w:val="22"/>
              </w:rPr>
              <w:t>重大疾病的定义</w:t>
            </w:r>
          </w:p>
        </w:tc>
      </w:tr>
      <w:tr>
        <w:trPr>
          <w:trHeight w:val="380" w:hRule="atLeast"/>
        </w:trPr>
        <w:tc>
          <w:tcPr>
            <w:tcW w:w="252" w:type="dxa"/>
          </w:tcPr>
          <w:p>
            <w:pPr>
              <w:pStyle w:val="TableParagraph"/>
              <w:rPr>
                <w:rFonts w:ascii="Times New Roman"/>
                <w:sz w:val="22"/>
              </w:rPr>
            </w:pPr>
          </w:p>
        </w:tc>
        <w:tc>
          <w:tcPr>
            <w:tcW w:w="4465" w:type="dxa"/>
            <w:gridSpan w:val="2"/>
            <w:tcBorders>
              <w:right w:val="single" w:sz="6" w:space="0" w:color="000000"/>
            </w:tcBorders>
          </w:tcPr>
          <w:p>
            <w:pPr>
              <w:pStyle w:val="TableParagraph"/>
              <w:spacing w:before="50"/>
              <w:ind w:left="177"/>
              <w:rPr>
                <w:sz w:val="22"/>
              </w:rPr>
            </w:pPr>
            <w:r>
              <w:rPr>
                <w:sz w:val="22"/>
              </w:rPr>
              <w:t>4.3</w:t>
            </w:r>
            <w:r>
              <w:rPr>
                <w:spacing w:val="-2"/>
                <w:sz w:val="22"/>
              </w:rPr>
              <w:t> 轻度疾病的范围</w:t>
            </w:r>
          </w:p>
        </w:tc>
        <w:tc>
          <w:tcPr>
            <w:tcW w:w="438" w:type="dxa"/>
            <w:tcBorders>
              <w:left w:val="single" w:sz="6" w:space="0" w:color="000000"/>
            </w:tcBorders>
          </w:tcPr>
          <w:p>
            <w:pPr>
              <w:pStyle w:val="TableParagraph"/>
              <w:spacing w:before="50"/>
              <w:ind w:left="191"/>
              <w:rPr>
                <w:b/>
                <w:sz w:val="22"/>
              </w:rPr>
            </w:pPr>
            <w:r>
              <w:rPr>
                <w:b/>
                <w:spacing w:val="-5"/>
                <w:sz w:val="22"/>
              </w:rPr>
              <w:t>11</w:t>
            </w:r>
          </w:p>
        </w:tc>
        <w:tc>
          <w:tcPr>
            <w:tcW w:w="3075" w:type="dxa"/>
            <w:gridSpan w:val="2"/>
          </w:tcPr>
          <w:p>
            <w:pPr>
              <w:pStyle w:val="TableParagraph"/>
              <w:spacing w:before="50"/>
              <w:ind w:left="185"/>
              <w:rPr>
                <w:b/>
                <w:sz w:val="22"/>
              </w:rPr>
            </w:pPr>
            <w:r>
              <w:rPr>
                <w:b/>
                <w:spacing w:val="-4"/>
                <w:sz w:val="22"/>
              </w:rPr>
              <w:t>中度疾病的定义</w:t>
            </w:r>
          </w:p>
        </w:tc>
      </w:tr>
      <w:tr>
        <w:trPr>
          <w:trHeight w:val="379" w:hRule="atLeast"/>
        </w:trPr>
        <w:tc>
          <w:tcPr>
            <w:tcW w:w="252" w:type="dxa"/>
          </w:tcPr>
          <w:p>
            <w:pPr>
              <w:pStyle w:val="TableParagraph"/>
              <w:rPr>
                <w:rFonts w:ascii="Times New Roman"/>
                <w:sz w:val="22"/>
              </w:rPr>
            </w:pPr>
          </w:p>
        </w:tc>
        <w:tc>
          <w:tcPr>
            <w:tcW w:w="4465" w:type="dxa"/>
            <w:gridSpan w:val="2"/>
            <w:tcBorders>
              <w:right w:val="single" w:sz="6" w:space="0" w:color="000000"/>
            </w:tcBorders>
          </w:tcPr>
          <w:p>
            <w:pPr>
              <w:pStyle w:val="TableParagraph"/>
              <w:spacing w:before="49"/>
              <w:ind w:left="177"/>
              <w:rPr>
                <w:sz w:val="22"/>
              </w:rPr>
            </w:pPr>
            <w:r>
              <w:rPr>
                <w:sz w:val="22"/>
              </w:rPr>
              <w:t>4.4</w:t>
            </w:r>
            <w:r>
              <w:rPr>
                <w:spacing w:val="-2"/>
                <w:sz w:val="22"/>
              </w:rPr>
              <w:t> 特定疾病的范围</w:t>
            </w:r>
          </w:p>
        </w:tc>
        <w:tc>
          <w:tcPr>
            <w:tcW w:w="438" w:type="dxa"/>
            <w:tcBorders>
              <w:left w:val="single" w:sz="6" w:space="0" w:color="000000"/>
            </w:tcBorders>
          </w:tcPr>
          <w:p>
            <w:pPr>
              <w:pStyle w:val="TableParagraph"/>
              <w:spacing w:before="49"/>
              <w:ind w:left="191"/>
              <w:rPr>
                <w:b/>
                <w:sz w:val="22"/>
              </w:rPr>
            </w:pPr>
            <w:r>
              <w:rPr>
                <w:b/>
                <w:spacing w:val="-5"/>
                <w:sz w:val="22"/>
              </w:rPr>
              <w:t>12</w:t>
            </w:r>
          </w:p>
        </w:tc>
        <w:tc>
          <w:tcPr>
            <w:tcW w:w="3075" w:type="dxa"/>
            <w:gridSpan w:val="2"/>
          </w:tcPr>
          <w:p>
            <w:pPr>
              <w:pStyle w:val="TableParagraph"/>
              <w:spacing w:before="49"/>
              <w:ind w:left="185"/>
              <w:rPr>
                <w:b/>
                <w:sz w:val="22"/>
              </w:rPr>
            </w:pPr>
            <w:r>
              <w:rPr>
                <w:b/>
                <w:spacing w:val="-4"/>
                <w:sz w:val="22"/>
              </w:rPr>
              <w:t>轻度疾病的定义</w:t>
            </w:r>
          </w:p>
        </w:tc>
      </w:tr>
      <w:tr>
        <w:trPr>
          <w:trHeight w:val="380" w:hRule="atLeast"/>
        </w:trPr>
        <w:tc>
          <w:tcPr>
            <w:tcW w:w="252" w:type="dxa"/>
          </w:tcPr>
          <w:p>
            <w:pPr>
              <w:pStyle w:val="TableParagraph"/>
              <w:rPr>
                <w:rFonts w:ascii="Times New Roman"/>
                <w:sz w:val="22"/>
              </w:rPr>
            </w:pPr>
          </w:p>
        </w:tc>
        <w:tc>
          <w:tcPr>
            <w:tcW w:w="4465" w:type="dxa"/>
            <w:gridSpan w:val="2"/>
            <w:tcBorders>
              <w:right w:val="single" w:sz="6" w:space="0" w:color="000000"/>
            </w:tcBorders>
          </w:tcPr>
          <w:p>
            <w:pPr>
              <w:pStyle w:val="TableParagraph"/>
              <w:spacing w:before="49"/>
              <w:ind w:left="177"/>
              <w:rPr>
                <w:sz w:val="22"/>
              </w:rPr>
            </w:pPr>
            <w:r>
              <w:rPr>
                <w:sz w:val="22"/>
              </w:rPr>
              <w:t>4.5</w:t>
            </w:r>
            <w:r>
              <w:rPr>
                <w:spacing w:val="-3"/>
                <w:sz w:val="22"/>
              </w:rPr>
              <w:t> 老年特定重大疾病的范围</w:t>
            </w:r>
          </w:p>
        </w:tc>
        <w:tc>
          <w:tcPr>
            <w:tcW w:w="438" w:type="dxa"/>
            <w:tcBorders>
              <w:left w:val="single" w:sz="6" w:space="0" w:color="000000"/>
            </w:tcBorders>
          </w:tcPr>
          <w:p>
            <w:pPr>
              <w:pStyle w:val="TableParagraph"/>
              <w:spacing w:before="49"/>
              <w:ind w:left="191"/>
              <w:rPr>
                <w:b/>
                <w:sz w:val="22"/>
              </w:rPr>
            </w:pPr>
            <w:r>
              <w:rPr>
                <w:b/>
                <w:spacing w:val="-5"/>
                <w:sz w:val="22"/>
              </w:rPr>
              <w:t>13</w:t>
            </w:r>
          </w:p>
        </w:tc>
        <w:tc>
          <w:tcPr>
            <w:tcW w:w="3075" w:type="dxa"/>
            <w:gridSpan w:val="2"/>
          </w:tcPr>
          <w:p>
            <w:pPr>
              <w:pStyle w:val="TableParagraph"/>
              <w:spacing w:before="49"/>
              <w:ind w:left="185"/>
              <w:rPr>
                <w:b/>
                <w:sz w:val="22"/>
              </w:rPr>
            </w:pPr>
            <w:r>
              <w:rPr>
                <w:b/>
                <w:spacing w:val="-4"/>
                <w:sz w:val="22"/>
              </w:rPr>
              <w:t>特定疾病的定义</w:t>
            </w:r>
          </w:p>
        </w:tc>
      </w:tr>
      <w:tr>
        <w:trPr>
          <w:trHeight w:val="459" w:hRule="atLeast"/>
        </w:trPr>
        <w:tc>
          <w:tcPr>
            <w:tcW w:w="252" w:type="dxa"/>
          </w:tcPr>
          <w:p>
            <w:pPr>
              <w:pStyle w:val="TableParagraph"/>
              <w:spacing w:before="50"/>
              <w:ind w:left="70"/>
              <w:rPr>
                <w:b/>
                <w:sz w:val="22"/>
              </w:rPr>
            </w:pPr>
            <w:r>
              <w:rPr>
                <w:b/>
                <w:w w:val="99"/>
                <w:sz w:val="22"/>
              </w:rPr>
              <w:t>5</w:t>
            </w:r>
          </w:p>
        </w:tc>
        <w:tc>
          <w:tcPr>
            <w:tcW w:w="4465" w:type="dxa"/>
            <w:gridSpan w:val="2"/>
            <w:tcBorders>
              <w:right w:val="single" w:sz="6" w:space="0" w:color="000000"/>
            </w:tcBorders>
          </w:tcPr>
          <w:p>
            <w:pPr>
              <w:pStyle w:val="TableParagraph"/>
              <w:spacing w:before="50"/>
              <w:ind w:left="64"/>
              <w:rPr>
                <w:b/>
                <w:sz w:val="22"/>
              </w:rPr>
            </w:pPr>
            <w:r>
              <w:rPr>
                <w:b/>
                <w:spacing w:val="-4"/>
                <w:sz w:val="22"/>
              </w:rPr>
              <w:t>保险金的申请</w:t>
            </w:r>
          </w:p>
        </w:tc>
        <w:tc>
          <w:tcPr>
            <w:tcW w:w="438" w:type="dxa"/>
            <w:tcBorders>
              <w:left w:val="single" w:sz="6" w:space="0" w:color="000000"/>
            </w:tcBorders>
          </w:tcPr>
          <w:p>
            <w:pPr>
              <w:pStyle w:val="TableParagraph"/>
              <w:spacing w:before="50"/>
              <w:ind w:left="191"/>
              <w:rPr>
                <w:b/>
                <w:sz w:val="22"/>
              </w:rPr>
            </w:pPr>
            <w:r>
              <w:rPr>
                <w:b/>
                <w:spacing w:val="-5"/>
                <w:sz w:val="22"/>
              </w:rPr>
              <w:t>14</w:t>
            </w:r>
          </w:p>
        </w:tc>
        <w:tc>
          <w:tcPr>
            <w:tcW w:w="3075" w:type="dxa"/>
            <w:gridSpan w:val="2"/>
          </w:tcPr>
          <w:p>
            <w:pPr>
              <w:pStyle w:val="TableParagraph"/>
              <w:spacing w:before="50"/>
              <w:ind w:left="185"/>
              <w:rPr>
                <w:b/>
                <w:sz w:val="22"/>
              </w:rPr>
            </w:pPr>
            <w:r>
              <w:rPr>
                <w:b/>
                <w:spacing w:val="-3"/>
                <w:sz w:val="22"/>
              </w:rPr>
              <w:t>老年特定重大疾病的定义</w:t>
            </w:r>
          </w:p>
        </w:tc>
      </w:tr>
      <w:tr>
        <w:trPr>
          <w:trHeight w:val="300" w:hRule="atLeast"/>
        </w:trPr>
        <w:tc>
          <w:tcPr>
            <w:tcW w:w="829" w:type="dxa"/>
            <w:gridSpan w:val="2"/>
          </w:tcPr>
          <w:p>
            <w:pPr>
              <w:pStyle w:val="TableParagraph"/>
              <w:spacing w:line="252" w:lineRule="exact"/>
              <w:ind w:left="437"/>
              <w:rPr>
                <w:sz w:val="22"/>
              </w:rPr>
            </w:pPr>
            <w:r>
              <w:rPr>
                <w:spacing w:val="-5"/>
                <w:sz w:val="22"/>
              </w:rPr>
              <w:t>5.1</w:t>
            </w:r>
          </w:p>
        </w:tc>
        <w:tc>
          <w:tcPr>
            <w:tcW w:w="3888" w:type="dxa"/>
            <w:tcBorders>
              <w:right w:val="single" w:sz="6" w:space="0" w:color="000000"/>
            </w:tcBorders>
          </w:tcPr>
          <w:p>
            <w:pPr>
              <w:pStyle w:val="TableParagraph"/>
              <w:spacing w:line="252" w:lineRule="exact"/>
              <w:ind w:left="54"/>
              <w:rPr>
                <w:sz w:val="22"/>
              </w:rPr>
            </w:pPr>
            <w:r>
              <w:rPr>
                <w:spacing w:val="-5"/>
                <w:sz w:val="22"/>
              </w:rPr>
              <w:t>受益人</w:t>
            </w:r>
          </w:p>
        </w:tc>
        <w:tc>
          <w:tcPr>
            <w:tcW w:w="3513" w:type="dxa"/>
            <w:gridSpan w:val="3"/>
            <w:tcBorders>
              <w:left w:val="single" w:sz="6" w:space="0" w:color="000000"/>
            </w:tcBorders>
          </w:tcPr>
          <w:p>
            <w:pPr>
              <w:pStyle w:val="TableParagraph"/>
              <w:spacing w:line="252" w:lineRule="exact"/>
              <w:ind w:left="193"/>
              <w:rPr>
                <w:b/>
                <w:sz w:val="22"/>
              </w:rPr>
            </w:pPr>
            <w:r>
              <w:rPr>
                <w:b/>
                <w:w w:val="95"/>
                <w:sz w:val="22"/>
              </w:rPr>
              <w:t>【</w:t>
            </w:r>
            <w:r>
              <w:rPr>
                <w:b/>
                <w:w w:val="95"/>
                <w:sz w:val="22"/>
              </w:rPr>
              <w:t>附</w:t>
            </w:r>
            <w:r>
              <w:rPr>
                <w:b/>
                <w:w w:val="95"/>
                <w:sz w:val="22"/>
              </w:rPr>
              <w:t>表</w:t>
            </w:r>
            <w:r>
              <w:rPr>
                <w:b/>
                <w:w w:val="95"/>
                <w:sz w:val="22"/>
              </w:rPr>
              <w:t>一</w:t>
            </w:r>
            <w:r>
              <w:rPr>
                <w:b/>
                <w:w w:val="95"/>
                <w:sz w:val="22"/>
              </w:rPr>
              <w:t>】</w:t>
            </w:r>
            <w:r>
              <w:rPr>
                <w:b/>
                <w:w w:val="95"/>
                <w:sz w:val="22"/>
              </w:rPr>
              <w:t>甲</w:t>
            </w:r>
            <w:r>
              <w:rPr>
                <w:b/>
                <w:w w:val="95"/>
                <w:sz w:val="22"/>
              </w:rPr>
              <w:t>状</w:t>
            </w:r>
            <w:r>
              <w:rPr>
                <w:b/>
                <w:w w:val="95"/>
                <w:sz w:val="22"/>
              </w:rPr>
              <w:t>腺</w:t>
            </w:r>
            <w:r>
              <w:rPr>
                <w:b/>
                <w:w w:val="95"/>
                <w:sz w:val="22"/>
              </w:rPr>
              <w:t>癌</w:t>
            </w:r>
            <w:r>
              <w:rPr>
                <w:b/>
                <w:w w:val="95"/>
                <w:sz w:val="22"/>
              </w:rPr>
              <w:t>的</w:t>
            </w:r>
            <w:r>
              <w:rPr>
                <w:b/>
                <w:w w:val="95"/>
                <w:sz w:val="22"/>
              </w:rPr>
              <w:t>TNM</w:t>
            </w:r>
            <w:r>
              <w:rPr>
                <w:b/>
                <w:spacing w:val="-5"/>
                <w:w w:val="95"/>
                <w:sz w:val="22"/>
              </w:rPr>
              <w:t>分期</w:t>
            </w:r>
          </w:p>
        </w:tc>
      </w:tr>
      <w:tr>
        <w:trPr>
          <w:trHeight w:val="380" w:hRule="atLeast"/>
        </w:trPr>
        <w:tc>
          <w:tcPr>
            <w:tcW w:w="829" w:type="dxa"/>
            <w:gridSpan w:val="2"/>
          </w:tcPr>
          <w:p>
            <w:pPr>
              <w:pStyle w:val="TableParagraph"/>
              <w:spacing w:before="49"/>
              <w:ind w:left="437"/>
              <w:rPr>
                <w:sz w:val="22"/>
              </w:rPr>
            </w:pPr>
            <w:r>
              <w:rPr>
                <w:spacing w:val="-5"/>
                <w:sz w:val="22"/>
              </w:rPr>
              <w:t>5.2</w:t>
            </w:r>
          </w:p>
        </w:tc>
        <w:tc>
          <w:tcPr>
            <w:tcW w:w="3888" w:type="dxa"/>
            <w:tcBorders>
              <w:right w:val="single" w:sz="6" w:space="0" w:color="000000"/>
            </w:tcBorders>
          </w:tcPr>
          <w:p>
            <w:pPr>
              <w:pStyle w:val="TableParagraph"/>
              <w:spacing w:before="49"/>
              <w:ind w:left="54"/>
              <w:rPr>
                <w:sz w:val="22"/>
              </w:rPr>
            </w:pPr>
            <w:r>
              <w:rPr>
                <w:spacing w:val="-4"/>
                <w:sz w:val="22"/>
              </w:rPr>
              <w:t>保险事故通知</w:t>
            </w:r>
          </w:p>
        </w:tc>
        <w:tc>
          <w:tcPr>
            <w:tcW w:w="3513" w:type="dxa"/>
            <w:gridSpan w:val="3"/>
            <w:tcBorders>
              <w:left w:val="single" w:sz="6" w:space="0" w:color="000000"/>
            </w:tcBorders>
          </w:tcPr>
          <w:p>
            <w:pPr>
              <w:pStyle w:val="TableParagraph"/>
              <w:spacing w:before="49"/>
              <w:ind w:left="193"/>
              <w:rPr>
                <w:b/>
                <w:sz w:val="22"/>
              </w:rPr>
            </w:pPr>
            <w:r>
              <w:rPr>
                <w:b/>
                <w:spacing w:val="-3"/>
                <w:sz w:val="22"/>
              </w:rPr>
              <w:t>【附表二】全残项目表</w:t>
            </w:r>
          </w:p>
        </w:tc>
      </w:tr>
      <w:tr>
        <w:trPr>
          <w:trHeight w:val="380" w:hRule="atLeast"/>
        </w:trPr>
        <w:tc>
          <w:tcPr>
            <w:tcW w:w="829" w:type="dxa"/>
            <w:gridSpan w:val="2"/>
          </w:tcPr>
          <w:p>
            <w:pPr>
              <w:pStyle w:val="TableParagraph"/>
              <w:spacing w:before="50"/>
              <w:ind w:left="437"/>
              <w:rPr>
                <w:sz w:val="22"/>
              </w:rPr>
            </w:pPr>
            <w:r>
              <w:rPr>
                <w:spacing w:val="-5"/>
                <w:sz w:val="22"/>
              </w:rPr>
              <w:t>5.3</w:t>
            </w:r>
          </w:p>
        </w:tc>
        <w:tc>
          <w:tcPr>
            <w:tcW w:w="3888" w:type="dxa"/>
            <w:tcBorders>
              <w:right w:val="single" w:sz="6" w:space="0" w:color="000000"/>
            </w:tcBorders>
          </w:tcPr>
          <w:p>
            <w:pPr>
              <w:pStyle w:val="TableParagraph"/>
              <w:spacing w:before="50"/>
              <w:ind w:left="54"/>
              <w:rPr>
                <w:sz w:val="22"/>
              </w:rPr>
            </w:pPr>
            <w:r>
              <w:rPr>
                <w:spacing w:val="-4"/>
                <w:sz w:val="22"/>
              </w:rPr>
              <w:t>保险金申请</w:t>
            </w:r>
          </w:p>
        </w:tc>
        <w:tc>
          <w:tcPr>
            <w:tcW w:w="3513" w:type="dxa"/>
            <w:gridSpan w:val="3"/>
            <w:tcBorders>
              <w:left w:val="single" w:sz="6" w:space="0" w:color="000000"/>
            </w:tcBorders>
          </w:tcPr>
          <w:p>
            <w:pPr>
              <w:pStyle w:val="TableParagraph"/>
              <w:rPr>
                <w:rFonts w:ascii="Times New Roman"/>
                <w:sz w:val="22"/>
              </w:rPr>
            </w:pPr>
          </w:p>
        </w:tc>
      </w:tr>
      <w:tr>
        <w:trPr>
          <w:trHeight w:val="379" w:hRule="atLeast"/>
        </w:trPr>
        <w:tc>
          <w:tcPr>
            <w:tcW w:w="829" w:type="dxa"/>
            <w:gridSpan w:val="2"/>
          </w:tcPr>
          <w:p>
            <w:pPr>
              <w:pStyle w:val="TableParagraph"/>
              <w:spacing w:before="49"/>
              <w:ind w:left="437"/>
              <w:rPr>
                <w:sz w:val="22"/>
              </w:rPr>
            </w:pPr>
            <w:r>
              <w:rPr>
                <w:spacing w:val="-5"/>
                <w:sz w:val="22"/>
              </w:rPr>
              <w:t>5.4</w:t>
            </w:r>
          </w:p>
        </w:tc>
        <w:tc>
          <w:tcPr>
            <w:tcW w:w="3888" w:type="dxa"/>
            <w:tcBorders>
              <w:right w:val="single" w:sz="6" w:space="0" w:color="000000"/>
            </w:tcBorders>
          </w:tcPr>
          <w:p>
            <w:pPr>
              <w:pStyle w:val="TableParagraph"/>
              <w:spacing w:before="49"/>
              <w:ind w:left="54"/>
              <w:rPr>
                <w:sz w:val="22"/>
              </w:rPr>
            </w:pPr>
            <w:r>
              <w:rPr>
                <w:spacing w:val="-4"/>
                <w:sz w:val="22"/>
              </w:rPr>
              <w:t>保险金给付</w:t>
            </w:r>
          </w:p>
        </w:tc>
        <w:tc>
          <w:tcPr>
            <w:tcW w:w="3513" w:type="dxa"/>
            <w:gridSpan w:val="3"/>
            <w:tcBorders>
              <w:left w:val="single" w:sz="6" w:space="0" w:color="000000"/>
            </w:tcBorders>
          </w:tcPr>
          <w:p>
            <w:pPr>
              <w:pStyle w:val="TableParagraph"/>
              <w:rPr>
                <w:rFonts w:ascii="Times New Roman"/>
                <w:sz w:val="22"/>
              </w:rPr>
            </w:pPr>
          </w:p>
        </w:tc>
      </w:tr>
      <w:tr>
        <w:trPr>
          <w:trHeight w:val="380" w:hRule="atLeast"/>
        </w:trPr>
        <w:tc>
          <w:tcPr>
            <w:tcW w:w="829" w:type="dxa"/>
            <w:gridSpan w:val="2"/>
          </w:tcPr>
          <w:p>
            <w:pPr>
              <w:pStyle w:val="TableParagraph"/>
              <w:spacing w:before="49"/>
              <w:ind w:left="437"/>
              <w:rPr>
                <w:sz w:val="22"/>
              </w:rPr>
            </w:pPr>
            <w:r>
              <w:rPr>
                <w:spacing w:val="-5"/>
                <w:sz w:val="22"/>
              </w:rPr>
              <w:t>5.5</w:t>
            </w:r>
          </w:p>
        </w:tc>
        <w:tc>
          <w:tcPr>
            <w:tcW w:w="3888" w:type="dxa"/>
            <w:tcBorders>
              <w:right w:val="single" w:sz="6" w:space="0" w:color="000000"/>
            </w:tcBorders>
          </w:tcPr>
          <w:p>
            <w:pPr>
              <w:pStyle w:val="TableParagraph"/>
              <w:spacing w:before="49"/>
              <w:ind w:left="54"/>
              <w:rPr>
                <w:sz w:val="22"/>
              </w:rPr>
            </w:pPr>
            <w:r>
              <w:rPr>
                <w:spacing w:val="-4"/>
                <w:sz w:val="22"/>
              </w:rPr>
              <w:t>失踪处理</w:t>
            </w:r>
          </w:p>
        </w:tc>
        <w:tc>
          <w:tcPr>
            <w:tcW w:w="3513" w:type="dxa"/>
            <w:gridSpan w:val="3"/>
            <w:tcBorders>
              <w:left w:val="single" w:sz="6" w:space="0" w:color="000000"/>
            </w:tcBorders>
          </w:tcPr>
          <w:p>
            <w:pPr>
              <w:pStyle w:val="TableParagraph"/>
              <w:rPr>
                <w:rFonts w:ascii="Times New Roman"/>
                <w:sz w:val="22"/>
              </w:rPr>
            </w:pPr>
          </w:p>
        </w:tc>
      </w:tr>
      <w:tr>
        <w:trPr>
          <w:trHeight w:val="747" w:hRule="atLeast"/>
        </w:trPr>
        <w:tc>
          <w:tcPr>
            <w:tcW w:w="829" w:type="dxa"/>
            <w:gridSpan w:val="2"/>
          </w:tcPr>
          <w:p>
            <w:pPr>
              <w:pStyle w:val="TableParagraph"/>
              <w:spacing w:before="50"/>
              <w:ind w:left="437"/>
              <w:rPr>
                <w:sz w:val="22"/>
              </w:rPr>
            </w:pPr>
            <w:r>
              <w:rPr>
                <w:spacing w:val="-5"/>
                <w:sz w:val="22"/>
              </w:rPr>
              <w:t>5.6</w:t>
            </w:r>
          </w:p>
        </w:tc>
        <w:tc>
          <w:tcPr>
            <w:tcW w:w="3888" w:type="dxa"/>
            <w:tcBorders>
              <w:right w:val="single" w:sz="6" w:space="0" w:color="000000"/>
            </w:tcBorders>
          </w:tcPr>
          <w:p>
            <w:pPr>
              <w:pStyle w:val="TableParagraph"/>
              <w:spacing w:before="50"/>
              <w:ind w:left="54"/>
              <w:rPr>
                <w:sz w:val="22"/>
              </w:rPr>
            </w:pPr>
            <w:r>
              <w:rPr>
                <w:spacing w:val="-4"/>
                <w:sz w:val="22"/>
              </w:rPr>
              <w:t>诉讼时效</w:t>
            </w:r>
          </w:p>
        </w:tc>
        <w:tc>
          <w:tcPr>
            <w:tcW w:w="3513" w:type="dxa"/>
            <w:gridSpan w:val="3"/>
            <w:tcBorders>
              <w:left w:val="single" w:sz="6" w:space="0" w:color="000000"/>
            </w:tcBorders>
          </w:tcPr>
          <w:p>
            <w:pPr>
              <w:pStyle w:val="TableParagraph"/>
              <w:rPr>
                <w:rFonts w:ascii="Times New Roman"/>
                <w:sz w:val="22"/>
              </w:rPr>
            </w:pPr>
          </w:p>
        </w:tc>
      </w:tr>
    </w:tbl>
    <w:p>
      <w:pPr>
        <w:spacing w:after="0"/>
        <w:rPr>
          <w:rFonts w:ascii="Times New Roman"/>
          <w:sz w:val="22"/>
        </w:rPr>
        <w:sectPr>
          <w:pgSz w:w="11910" w:h="16840"/>
          <w:pgMar w:header="484" w:footer="706" w:top="1240" w:bottom="900" w:left="980" w:right="980"/>
        </w:sectPr>
      </w:pPr>
    </w:p>
    <w:p>
      <w:pPr>
        <w:pStyle w:val="BodyText"/>
        <w:spacing w:before="7"/>
        <w:rPr>
          <w:rFonts w:ascii="华文中宋"/>
          <w:b/>
          <w:sz w:val="6"/>
        </w:rPr>
      </w:pPr>
    </w:p>
    <w:p>
      <w:pPr>
        <w:spacing w:before="49"/>
        <w:ind w:left="1173" w:right="1174" w:firstLine="0"/>
        <w:jc w:val="center"/>
        <w:rPr>
          <w:rFonts w:ascii="华文中宋" w:eastAsia="华文中宋" w:hint="eastAsia"/>
          <w:b/>
          <w:sz w:val="40"/>
        </w:rPr>
      </w:pPr>
      <w:r>
        <w:rPr>
          <w:rFonts w:ascii="华文中宋" w:eastAsia="华文中宋" w:hint="eastAsia"/>
          <w:b/>
          <w:spacing w:val="-2"/>
          <w:sz w:val="40"/>
        </w:rPr>
        <w:t>君龙福寿安康重大疾病保险（互联网）</w:t>
      </w:r>
      <w:r>
        <w:rPr>
          <w:rFonts w:ascii="华文中宋" w:eastAsia="华文中宋" w:hint="eastAsia"/>
          <w:b/>
          <w:spacing w:val="-6"/>
          <w:sz w:val="40"/>
        </w:rPr>
        <w:t>条款</w:t>
      </w:r>
    </w:p>
    <w:p>
      <w:pPr>
        <w:pStyle w:val="BodyText"/>
        <w:spacing w:line="324" w:lineRule="auto" w:before="387"/>
        <w:ind w:left="152" w:right="330"/>
      </w:pPr>
      <w:r>
        <w:rPr>
          <w:spacing w:val="-2"/>
        </w:rPr>
        <w:t>在本条款中，“您”指投保人，“我们”、“本公司”均指君龙人寿保险有限公司，“本合同”指您与我们之间订立的“君龙福寿安康重大疾病保险（互联网）保险合同”。</w:t>
      </w:r>
    </w:p>
    <w:p>
      <w:pPr>
        <w:pStyle w:val="BodyText"/>
        <w:rPr>
          <w:sz w:val="23"/>
        </w:rPr>
      </w:pPr>
    </w:p>
    <w:p>
      <w:pPr>
        <w:pStyle w:val="Heading1"/>
      </w:pPr>
      <w:r>
        <w:rPr>
          <w:rFonts w:ascii="Wingdings" w:hAnsi="Wingdings" w:eastAsia="Wingdings"/>
          <w:b w:val="0"/>
          <w:w w:val="95"/>
          <w:position w:val="-5"/>
          <w:sz w:val="48"/>
        </w:rPr>
        <w:t></w:t>
      </w:r>
      <w:r>
        <w:rPr>
          <w:spacing w:val="-2"/>
          <w:w w:val="95"/>
        </w:rPr>
        <w:t>合同构成与合同解除</w:t>
      </w:r>
    </w:p>
    <w:p>
      <w:pPr>
        <w:pStyle w:val="BodyText"/>
        <w:spacing w:line="43" w:lineRule="exact"/>
        <w:ind w:left="126"/>
        <w:rPr>
          <w:sz w:val="4"/>
        </w:rPr>
      </w:pPr>
      <w:r>
        <w:rPr>
          <w:position w:val="0"/>
          <w:sz w:val="4"/>
        </w:rPr>
        <w:drawing>
          <wp:inline distT="0" distB="0" distL="0" distR="0">
            <wp:extent cx="6155689" cy="27431"/>
            <wp:effectExtent l="0" t="0" r="0" b="0"/>
            <wp:docPr id="5" name="image3.png"/>
            <wp:cNvGraphicFramePr>
              <a:graphicFrameLocks noChangeAspect="1"/>
            </wp:cNvGraphicFramePr>
            <a:graphic>
              <a:graphicData uri="http://schemas.openxmlformats.org/drawingml/2006/picture">
                <pic:pic>
                  <pic:nvPicPr>
                    <pic:cNvPr id="6" name="image3.png"/>
                    <pic:cNvPicPr/>
                  </pic:nvPicPr>
                  <pic:blipFill>
                    <a:blip r:embed="rId9" cstate="print"/>
                    <a:stretch>
                      <a:fillRect/>
                    </a:stretch>
                  </pic:blipFill>
                  <pic:spPr>
                    <a:xfrm>
                      <a:off x="0" y="0"/>
                      <a:ext cx="6155689" cy="27431"/>
                    </a:xfrm>
                    <a:prstGeom prst="rect">
                      <a:avLst/>
                    </a:prstGeom>
                  </pic:spPr>
                </pic:pic>
              </a:graphicData>
            </a:graphic>
          </wp:inline>
        </w:drawing>
      </w:r>
      <w:r>
        <w:rPr>
          <w:position w:val="0"/>
          <w:sz w:val="4"/>
        </w:rPr>
      </w:r>
    </w:p>
    <w:p>
      <w:pPr>
        <w:pStyle w:val="ListParagraph"/>
        <w:numPr>
          <w:ilvl w:val="1"/>
          <w:numId w:val="9"/>
        </w:numPr>
        <w:tabs>
          <w:tab w:pos="931" w:val="left" w:leader="none"/>
        </w:tabs>
        <w:spacing w:line="324" w:lineRule="auto" w:before="465" w:after="0"/>
        <w:ind w:left="2480" w:right="150" w:hanging="2328"/>
        <w:jc w:val="both"/>
        <w:rPr>
          <w:sz w:val="22"/>
        </w:rPr>
      </w:pPr>
      <w:r>
        <w:rPr>
          <w:b/>
          <w:spacing w:val="34"/>
          <w:sz w:val="22"/>
        </w:rPr>
        <w:t>合同构成   </w:t>
      </w:r>
      <w:r>
        <w:rPr>
          <w:sz w:val="22"/>
        </w:rPr>
        <w:t>本合同是您与我们约定保险权利义务关系的协议，包括本保险条款、保险单</w:t>
      </w:r>
      <w:r>
        <w:rPr>
          <w:spacing w:val="-2"/>
          <w:sz w:val="22"/>
        </w:rPr>
        <w:t>或其它保险凭证、投保单、与保险合同有关的投保文件、合法有效的声明、批注、批单及其它您与我们共同认可的书面协议。</w:t>
      </w:r>
    </w:p>
    <w:p>
      <w:pPr>
        <w:pStyle w:val="BodyText"/>
        <w:spacing w:before="2"/>
        <w:rPr>
          <w:sz w:val="24"/>
        </w:rPr>
      </w:pPr>
    </w:p>
    <w:p>
      <w:pPr>
        <w:spacing w:after="0"/>
        <w:rPr>
          <w:sz w:val="24"/>
        </w:rPr>
        <w:sectPr>
          <w:pgSz w:w="11910" w:h="16840"/>
          <w:pgMar w:header="484" w:footer="706" w:top="1240" w:bottom="900" w:left="980" w:right="980"/>
        </w:sectPr>
      </w:pPr>
    </w:p>
    <w:p>
      <w:pPr>
        <w:pStyle w:val="Heading2"/>
        <w:numPr>
          <w:ilvl w:val="1"/>
          <w:numId w:val="9"/>
        </w:numPr>
        <w:tabs>
          <w:tab w:pos="930" w:val="left" w:leader="none"/>
          <w:tab w:pos="931" w:val="left" w:leader="none"/>
        </w:tabs>
        <w:spacing w:line="324" w:lineRule="auto" w:before="70" w:after="0"/>
        <w:ind w:left="930" w:right="0" w:hanging="778"/>
        <w:jc w:val="left"/>
        <w:rPr>
          <w:rFonts w:ascii="宋体" w:eastAsia="宋体" w:hint="eastAsia"/>
        </w:rPr>
      </w:pPr>
      <w:r>
        <w:rPr>
          <w:rFonts w:ascii="宋体" w:eastAsia="宋体" w:hint="eastAsia"/>
          <w:spacing w:val="-2"/>
        </w:rPr>
        <w:t>保险合同成立</w:t>
      </w:r>
      <w:r>
        <w:rPr>
          <w:rFonts w:ascii="宋体" w:eastAsia="宋体" w:hint="eastAsia"/>
          <w:spacing w:val="-4"/>
        </w:rPr>
        <w:t>与生效</w:t>
      </w:r>
    </w:p>
    <w:p>
      <w:pPr>
        <w:pStyle w:val="BodyText"/>
        <w:spacing w:before="70"/>
        <w:ind w:left="152"/>
      </w:pPr>
      <w:r>
        <w:rPr/>
        <w:br w:type="column"/>
      </w:r>
      <w:r>
        <w:rPr>
          <w:spacing w:val="-3"/>
        </w:rPr>
        <w:t>您提出保险申请、我们同意承保，本合同成立。</w:t>
      </w:r>
    </w:p>
    <w:p>
      <w:pPr>
        <w:spacing w:line="324" w:lineRule="auto" w:before="98"/>
        <w:ind w:left="152" w:right="152" w:firstLine="0"/>
        <w:jc w:val="left"/>
        <w:rPr>
          <w:sz w:val="22"/>
        </w:rPr>
      </w:pPr>
      <w:r>
        <w:rPr>
          <w:spacing w:val="2"/>
          <w:w w:val="100"/>
          <w:sz w:val="22"/>
        </w:rPr>
        <w:t>合同生效日期在保险单上载明。</w:t>
      </w:r>
      <w:r>
        <w:rPr>
          <w:b/>
          <w:spacing w:val="4"/>
          <w:w w:val="100"/>
          <w:sz w:val="22"/>
        </w:rPr>
        <w:t>保单年度</w:t>
      </w:r>
      <w:hyperlink w:history="true" w:anchor="_bookmark0">
        <w:r>
          <w:rPr>
            <w:rFonts w:ascii="PMingLiU-ExtB" w:eastAsia="PMingLiU-ExtB"/>
            <w:spacing w:val="2"/>
            <w:w w:val="101"/>
            <w:position w:val="10"/>
            <w:sz w:val="10"/>
          </w:rPr>
          <w:t>1</w:t>
        </w:r>
      </w:hyperlink>
      <w:r>
        <w:rPr>
          <w:spacing w:val="4"/>
          <w:w w:val="100"/>
          <w:sz w:val="22"/>
        </w:rPr>
        <w:t>、</w:t>
      </w:r>
      <w:r>
        <w:rPr>
          <w:b/>
          <w:spacing w:val="4"/>
          <w:w w:val="100"/>
          <w:sz w:val="22"/>
        </w:rPr>
        <w:t>保险费约定支付日</w:t>
      </w:r>
      <w:hyperlink w:history="true" w:anchor="_bookmark1">
        <w:r>
          <w:rPr>
            <w:rFonts w:ascii="PMingLiU-ExtB" w:eastAsia="PMingLiU-ExtB"/>
            <w:spacing w:val="2"/>
            <w:w w:val="101"/>
            <w:position w:val="10"/>
            <w:sz w:val="10"/>
          </w:rPr>
          <w:t>2</w:t>
        </w:r>
      </w:hyperlink>
      <w:r>
        <w:rPr>
          <w:spacing w:val="2"/>
          <w:w w:val="100"/>
          <w:sz w:val="22"/>
        </w:rPr>
        <w:t>均以该日期</w:t>
      </w:r>
      <w:r>
        <w:rPr>
          <w:spacing w:val="-2"/>
          <w:w w:val="100"/>
          <w:sz w:val="22"/>
        </w:rPr>
        <w:t>计算。</w:t>
      </w:r>
    </w:p>
    <w:p>
      <w:pPr>
        <w:spacing w:after="0" w:line="324" w:lineRule="auto"/>
        <w:jc w:val="left"/>
        <w:rPr>
          <w:sz w:val="22"/>
        </w:rPr>
        <w:sectPr>
          <w:type w:val="continuous"/>
          <w:pgSz w:w="11910" w:h="16840"/>
          <w:pgMar w:header="484" w:footer="706" w:top="1240" w:bottom="900" w:left="980" w:right="980"/>
          <w:cols w:num="2" w:equalWidth="0">
            <w:col w:w="2256" w:space="72"/>
            <w:col w:w="7622"/>
          </w:cols>
        </w:sectPr>
      </w:pPr>
    </w:p>
    <w:p>
      <w:pPr>
        <w:pStyle w:val="BodyText"/>
        <w:spacing w:before="1"/>
        <w:rPr>
          <w:sz w:val="24"/>
        </w:rPr>
      </w:pPr>
    </w:p>
    <w:p>
      <w:pPr>
        <w:pStyle w:val="ListParagraph"/>
        <w:numPr>
          <w:ilvl w:val="1"/>
          <w:numId w:val="9"/>
        </w:numPr>
        <w:tabs>
          <w:tab w:pos="931" w:val="left" w:leader="none"/>
        </w:tabs>
        <w:spacing w:line="324" w:lineRule="auto" w:before="70" w:after="0"/>
        <w:ind w:left="2480" w:right="150" w:hanging="2328"/>
        <w:jc w:val="both"/>
        <w:rPr>
          <w:sz w:val="22"/>
        </w:rPr>
      </w:pPr>
      <w:r>
        <w:rPr>
          <w:b/>
          <w:spacing w:val="-1"/>
          <w:w w:val="100"/>
          <w:sz w:val="22"/>
        </w:rPr>
        <w:t>犹豫期</w:t>
      </w:r>
      <w:r>
        <w:rPr>
          <w:b/>
          <w:sz w:val="22"/>
        </w:rPr>
        <w:t>        </w:t>
      </w:r>
      <w:r>
        <w:rPr>
          <w:spacing w:val="-1"/>
          <w:w w:val="100"/>
          <w:sz w:val="22"/>
        </w:rPr>
        <w:t>自您签收本合同的次日起，有1</w:t>
      </w:r>
      <w:r>
        <w:rPr>
          <w:spacing w:val="2"/>
          <w:w w:val="100"/>
          <w:sz w:val="22"/>
        </w:rPr>
        <w:t>5</w:t>
      </w:r>
      <w:r>
        <w:rPr>
          <w:spacing w:val="-1"/>
          <w:w w:val="100"/>
          <w:sz w:val="22"/>
        </w:rPr>
        <w:t>日的犹豫期。在此期间，请您认真审视本合</w:t>
      </w:r>
      <w:r>
        <w:rPr>
          <w:spacing w:val="6"/>
          <w:w w:val="100"/>
          <w:sz w:val="22"/>
        </w:rPr>
        <w:t>同，如果您认为本合同与您的需求不相符，您可以在此期间提出解除本合</w:t>
      </w:r>
      <w:r>
        <w:rPr>
          <w:spacing w:val="-3"/>
          <w:w w:val="100"/>
          <w:sz w:val="22"/>
        </w:rPr>
        <w:t>同，我们将在扣除不超过</w:t>
      </w:r>
      <w:r>
        <w:rPr>
          <w:spacing w:val="-1"/>
          <w:w w:val="100"/>
          <w:sz w:val="22"/>
        </w:rPr>
        <w:t>10</w:t>
      </w:r>
      <w:r>
        <w:rPr>
          <w:spacing w:val="-3"/>
          <w:w w:val="100"/>
          <w:sz w:val="22"/>
        </w:rPr>
        <w:t>元的工本费后无息退还您所交纳的保险费。</w:t>
      </w:r>
    </w:p>
    <w:p>
      <w:pPr>
        <w:pStyle w:val="BodyText"/>
        <w:spacing w:line="324" w:lineRule="auto"/>
        <w:ind w:left="2480" w:right="150"/>
        <w:jc w:val="both"/>
      </w:pPr>
      <w:r>
        <w:rPr>
          <w:spacing w:val="-2"/>
        </w:rPr>
        <w:t>解除合同时，您需要填写申请书，并提供您的保险合同及有效身份证件。</w:t>
      </w:r>
      <w:r>
        <w:rPr>
          <w:color w:val="000000"/>
          <w:spacing w:val="-2"/>
          <w:shd w:fill="E4E4E4" w:color="auto" w:val="clear"/>
        </w:rPr>
        <w:t>自</w:t>
      </w:r>
      <w:r>
        <w:rPr>
          <w:color w:val="000000"/>
          <w:spacing w:val="40"/>
          <w:shd w:fill="E4E4E4" w:color="auto" w:val="clear"/>
        </w:rPr>
        <w:t> </w:t>
      </w:r>
      <w:r>
        <w:rPr>
          <w:color w:val="000000"/>
          <w:spacing w:val="-2"/>
          <w:shd w:fill="E4E4E4" w:color="auto" w:val="clear"/>
        </w:rPr>
        <w:t>您书面申请解除合同之日起，本合同即被解除，我们自本合同生效日起自始不承担保险责任。</w:t>
      </w:r>
    </w:p>
    <w:p>
      <w:pPr>
        <w:pStyle w:val="BodyText"/>
        <w:spacing w:before="11"/>
        <w:rPr>
          <w:sz w:val="23"/>
        </w:rPr>
      </w:pPr>
    </w:p>
    <w:p>
      <w:pPr>
        <w:spacing w:after="0"/>
        <w:rPr>
          <w:sz w:val="23"/>
        </w:rPr>
        <w:sectPr>
          <w:type w:val="continuous"/>
          <w:pgSz w:w="11910" w:h="16840"/>
          <w:pgMar w:header="484" w:footer="706" w:top="1240" w:bottom="900" w:left="980" w:right="980"/>
        </w:sectPr>
      </w:pPr>
    </w:p>
    <w:p>
      <w:pPr>
        <w:pStyle w:val="Heading2"/>
        <w:numPr>
          <w:ilvl w:val="1"/>
          <w:numId w:val="9"/>
        </w:numPr>
        <w:tabs>
          <w:tab w:pos="931" w:val="left" w:leader="none"/>
        </w:tabs>
        <w:spacing w:line="324" w:lineRule="auto" w:before="70" w:after="0"/>
        <w:ind w:left="930" w:right="0" w:hanging="778"/>
        <w:jc w:val="both"/>
        <w:rPr>
          <w:rFonts w:ascii="宋体" w:eastAsia="宋体" w:hint="eastAsia"/>
        </w:rPr>
      </w:pPr>
      <w:r>
        <w:rPr>
          <w:rFonts w:ascii="宋体" w:eastAsia="宋体" w:hint="eastAsia"/>
          <w:spacing w:val="-2"/>
        </w:rPr>
        <w:t>犹豫期后解除</w:t>
      </w:r>
      <w:r>
        <w:rPr>
          <w:rFonts w:ascii="宋体" w:eastAsia="宋体" w:hint="eastAsia"/>
          <w:spacing w:val="-2"/>
        </w:rPr>
        <w:t>合同（退保）</w:t>
      </w:r>
      <w:r>
        <w:rPr>
          <w:rFonts w:ascii="宋体" w:eastAsia="宋体" w:hint="eastAsia"/>
          <w:spacing w:val="-4"/>
        </w:rPr>
        <w:t>的手续及风险</w:t>
      </w:r>
    </w:p>
    <w:p>
      <w:pPr>
        <w:pStyle w:val="BodyText"/>
        <w:spacing w:line="324" w:lineRule="auto" w:before="70"/>
        <w:ind w:left="152" w:right="150"/>
      </w:pPr>
      <w:r>
        <w:rPr/>
        <w:br w:type="column"/>
      </w:r>
      <w:r>
        <w:rPr>
          <w:spacing w:val="-2"/>
        </w:rPr>
        <w:t>如您在犹豫期后申请解除本合同，请填写解除合同申请书并向我们提供下列</w:t>
      </w:r>
      <w:r>
        <w:rPr>
          <w:spacing w:val="-4"/>
        </w:rPr>
        <w:t>资料：</w:t>
      </w:r>
    </w:p>
    <w:p>
      <w:pPr>
        <w:pStyle w:val="ListParagraph"/>
        <w:numPr>
          <w:ilvl w:val="0"/>
          <w:numId w:val="10"/>
        </w:numPr>
        <w:tabs>
          <w:tab w:pos="607" w:val="left" w:leader="none"/>
        </w:tabs>
        <w:spacing w:line="282" w:lineRule="exact" w:before="0" w:after="0"/>
        <w:ind w:left="606" w:right="0" w:hanging="455"/>
        <w:jc w:val="left"/>
        <w:rPr>
          <w:sz w:val="22"/>
        </w:rPr>
      </w:pPr>
      <w:r>
        <w:rPr>
          <w:spacing w:val="-4"/>
          <w:sz w:val="22"/>
        </w:rPr>
        <w:t>保险合同；</w:t>
      </w:r>
    </w:p>
    <w:p>
      <w:pPr>
        <w:pStyle w:val="ListParagraph"/>
        <w:numPr>
          <w:ilvl w:val="0"/>
          <w:numId w:val="10"/>
        </w:numPr>
        <w:tabs>
          <w:tab w:pos="607" w:val="left" w:leader="none"/>
        </w:tabs>
        <w:spacing w:line="240" w:lineRule="auto" w:before="98" w:after="0"/>
        <w:ind w:left="606" w:right="0" w:hanging="455"/>
        <w:jc w:val="left"/>
        <w:rPr>
          <w:sz w:val="22"/>
        </w:rPr>
      </w:pPr>
      <w:r>
        <w:rPr>
          <w:spacing w:val="-3"/>
          <w:sz w:val="22"/>
        </w:rPr>
        <w:t>您的有效身份证件。</w:t>
      </w:r>
    </w:p>
    <w:p>
      <w:pPr>
        <w:pStyle w:val="BodyText"/>
        <w:spacing w:line="324" w:lineRule="auto" w:before="100"/>
        <w:ind w:left="152" w:right="150"/>
      </w:pPr>
      <w:r>
        <w:rPr>
          <w:spacing w:val="-2"/>
        </w:rPr>
        <w:t>自我们收到解除合同申请书之日起，本合同终止。我们自收到解除合同申请书之日起30日内向您退还保险合同的</w:t>
      </w:r>
      <w:r>
        <w:rPr>
          <w:b/>
          <w:spacing w:val="-2"/>
        </w:rPr>
        <w:t>现金价值</w:t>
      </w:r>
      <w:hyperlink w:history="true" w:anchor="_bookmark2">
        <w:r>
          <w:rPr>
            <w:spacing w:val="-2"/>
            <w:position w:val="11"/>
            <w:sz w:val="11"/>
          </w:rPr>
          <w:t>3</w:t>
        </w:r>
      </w:hyperlink>
      <w:r>
        <w:rPr>
          <w:spacing w:val="-2"/>
        </w:rPr>
        <w:t>。</w:t>
      </w:r>
    </w:p>
    <w:p>
      <w:pPr>
        <w:pStyle w:val="BodyText"/>
        <w:spacing w:line="279" w:lineRule="exact"/>
        <w:ind w:left="152"/>
      </w:pPr>
      <w:r>
        <w:rPr>
          <w:color w:val="000000"/>
          <w:spacing w:val="-3"/>
          <w:shd w:fill="E4E4E4" w:color="auto" w:val="clear"/>
        </w:rPr>
        <w:t>您犹豫期后解除合同会遭受一定损失。</w:t>
      </w:r>
    </w:p>
    <w:p>
      <w:pPr>
        <w:spacing w:after="0" w:line="279" w:lineRule="exact"/>
        <w:sectPr>
          <w:type w:val="continuous"/>
          <w:pgSz w:w="11910" w:h="16840"/>
          <w:pgMar w:header="484" w:footer="706" w:top="1240" w:bottom="900" w:left="980" w:right="980"/>
          <w:cols w:num="2" w:equalWidth="0">
            <w:col w:w="2256" w:space="72"/>
            <w:col w:w="7622"/>
          </w:cols>
        </w:sectPr>
      </w:pPr>
    </w:p>
    <w:p>
      <w:pPr>
        <w:pStyle w:val="BodyText"/>
        <w:spacing w:before="10"/>
      </w:pPr>
    </w:p>
    <w:p>
      <w:pPr>
        <w:pStyle w:val="Heading1"/>
        <w:spacing w:before="102"/>
      </w:pPr>
      <w:r>
        <w:rPr>
          <w:rFonts w:ascii="Wingdings" w:hAnsi="Wingdings" w:eastAsia="Wingdings"/>
          <w:b w:val="0"/>
          <w:w w:val="95"/>
          <w:position w:val="-5"/>
          <w:sz w:val="48"/>
        </w:rPr>
        <w:t></w:t>
      </w:r>
      <w:r>
        <w:rPr>
          <w:spacing w:val="-2"/>
          <w:w w:val="95"/>
        </w:rPr>
        <w:t>我们提供的保障</w:t>
      </w:r>
    </w:p>
    <w:p>
      <w:pPr>
        <w:pStyle w:val="BodyText"/>
        <w:spacing w:line="43" w:lineRule="exact"/>
        <w:ind w:left="126"/>
        <w:rPr>
          <w:sz w:val="4"/>
        </w:rPr>
      </w:pPr>
      <w:r>
        <w:rPr>
          <w:position w:val="0"/>
          <w:sz w:val="4"/>
        </w:rPr>
        <w:drawing>
          <wp:inline distT="0" distB="0" distL="0" distR="0">
            <wp:extent cx="6155689" cy="27431"/>
            <wp:effectExtent l="0" t="0" r="0" b="0"/>
            <wp:docPr id="7" name="image3.png"/>
            <wp:cNvGraphicFramePr>
              <a:graphicFrameLocks noChangeAspect="1"/>
            </wp:cNvGraphicFramePr>
            <a:graphic>
              <a:graphicData uri="http://schemas.openxmlformats.org/drawingml/2006/picture">
                <pic:pic>
                  <pic:nvPicPr>
                    <pic:cNvPr id="8" name="image3.png"/>
                    <pic:cNvPicPr/>
                  </pic:nvPicPr>
                  <pic:blipFill>
                    <a:blip r:embed="rId9" cstate="print"/>
                    <a:stretch>
                      <a:fillRect/>
                    </a:stretch>
                  </pic:blipFill>
                  <pic:spPr>
                    <a:xfrm>
                      <a:off x="0" y="0"/>
                      <a:ext cx="6155689" cy="27431"/>
                    </a:xfrm>
                    <a:prstGeom prst="rect">
                      <a:avLst/>
                    </a:prstGeom>
                  </pic:spPr>
                </pic:pic>
              </a:graphicData>
            </a:graphic>
          </wp:inline>
        </w:drawing>
      </w:r>
      <w:r>
        <w:rPr>
          <w:position w:val="0"/>
          <w:sz w:val="4"/>
        </w:rPr>
      </w:r>
    </w:p>
    <w:p>
      <w:pPr>
        <w:pStyle w:val="BodyText"/>
        <w:spacing w:before="6"/>
        <w:rPr>
          <w:b/>
          <w:sz w:val="39"/>
        </w:rPr>
      </w:pPr>
    </w:p>
    <w:p>
      <w:pPr>
        <w:spacing w:line="242" w:lineRule="auto" w:before="1"/>
        <w:ind w:left="368" w:right="153" w:hanging="216"/>
        <w:jc w:val="left"/>
        <w:rPr>
          <w:sz w:val="18"/>
        </w:rPr>
      </w:pPr>
      <w:r>
        <w:rPr>
          <w:rFonts w:ascii="Times New Roman" w:eastAsia="Times New Roman"/>
          <w:sz w:val="18"/>
          <w:vertAlign w:val="superscript"/>
        </w:rPr>
        <w:t>1</w:t>
      </w:r>
      <w:r>
        <w:rPr>
          <w:rFonts w:ascii="Times New Roman" w:eastAsia="Times New Roman"/>
          <w:spacing w:val="113"/>
          <w:sz w:val="18"/>
          <w:vertAlign w:val="baseline"/>
        </w:rPr>
        <w:t> </w:t>
      </w:r>
      <w:r>
        <w:rPr>
          <w:b/>
          <w:sz w:val="18"/>
          <w:vertAlign w:val="baseline"/>
        </w:rPr>
        <w:t>保</w:t>
      </w:r>
      <w:r>
        <w:rPr>
          <w:b/>
          <w:sz w:val="18"/>
          <w:vertAlign w:val="baseline"/>
        </w:rPr>
        <w:t>单</w:t>
      </w:r>
      <w:r>
        <w:rPr>
          <w:b/>
          <w:sz w:val="18"/>
          <w:vertAlign w:val="baseline"/>
        </w:rPr>
        <w:t>年度</w:t>
      </w:r>
      <w:r>
        <w:rPr>
          <w:sz w:val="18"/>
          <w:vertAlign w:val="baseline"/>
        </w:rPr>
        <w:t>：从保险合同生效日或生效对应日零时起至下一年度保险合同生效对应日零时止为一个保单年度。此处生效对</w:t>
      </w:r>
      <w:r>
        <w:rPr>
          <w:spacing w:val="-2"/>
          <w:sz w:val="18"/>
          <w:vertAlign w:val="baseline"/>
        </w:rPr>
        <w:t>应日是指保险合同生效日在每年的对应日，如果该保单年度末无对应的同一日，则以该保单年度末最后一日为对应日。</w:t>
      </w:r>
    </w:p>
    <w:p>
      <w:pPr>
        <w:spacing w:line="242" w:lineRule="auto" w:before="2"/>
        <w:ind w:left="368" w:right="154" w:hanging="216"/>
        <w:jc w:val="left"/>
        <w:rPr>
          <w:sz w:val="18"/>
        </w:rPr>
      </w:pPr>
      <w:r>
        <w:rPr>
          <w:rFonts w:ascii="Times New Roman" w:eastAsia="Times New Roman"/>
          <w:sz w:val="18"/>
          <w:vertAlign w:val="superscript"/>
        </w:rPr>
        <w:t>2</w:t>
      </w:r>
      <w:r>
        <w:rPr>
          <w:rFonts w:ascii="Times New Roman" w:eastAsia="Times New Roman"/>
          <w:spacing w:val="113"/>
          <w:sz w:val="18"/>
          <w:vertAlign w:val="baseline"/>
        </w:rPr>
        <w:t> </w:t>
      </w:r>
      <w:r>
        <w:rPr>
          <w:b/>
          <w:sz w:val="18"/>
          <w:vertAlign w:val="baseline"/>
        </w:rPr>
        <w:t>保</w:t>
      </w:r>
      <w:r>
        <w:rPr>
          <w:b/>
          <w:sz w:val="18"/>
          <w:vertAlign w:val="baseline"/>
        </w:rPr>
        <w:t>险</w:t>
      </w:r>
      <w:r>
        <w:rPr>
          <w:b/>
          <w:sz w:val="18"/>
          <w:vertAlign w:val="baseline"/>
        </w:rPr>
        <w:t>费</w:t>
      </w:r>
      <w:r>
        <w:rPr>
          <w:b/>
          <w:sz w:val="18"/>
          <w:vertAlign w:val="baseline"/>
        </w:rPr>
        <w:t>约</w:t>
      </w:r>
      <w:r>
        <w:rPr>
          <w:b/>
          <w:sz w:val="18"/>
          <w:vertAlign w:val="baseline"/>
        </w:rPr>
        <w:t>定</w:t>
      </w:r>
      <w:r>
        <w:rPr>
          <w:b/>
          <w:sz w:val="18"/>
          <w:vertAlign w:val="baseline"/>
        </w:rPr>
        <w:t>支</w:t>
      </w:r>
      <w:r>
        <w:rPr>
          <w:b/>
          <w:sz w:val="18"/>
          <w:vertAlign w:val="baseline"/>
        </w:rPr>
        <w:t>付日</w:t>
      </w:r>
      <w:r>
        <w:rPr>
          <w:sz w:val="18"/>
          <w:vertAlign w:val="baseline"/>
        </w:rPr>
        <w:t>：保险合同生效日在每月、每季、每半年或每年（根据支付方式确定）的对应日。如果当月无对应的</w:t>
      </w:r>
      <w:r>
        <w:rPr>
          <w:spacing w:val="-2"/>
          <w:sz w:val="18"/>
          <w:vertAlign w:val="baseline"/>
        </w:rPr>
        <w:t>同一日，则以该月最后一日为对应日。</w:t>
      </w:r>
    </w:p>
    <w:p>
      <w:pPr>
        <w:spacing w:line="230" w:lineRule="exact" w:before="0"/>
        <w:ind w:left="152" w:right="0" w:firstLine="0"/>
        <w:jc w:val="left"/>
        <w:rPr>
          <w:sz w:val="18"/>
        </w:rPr>
      </w:pPr>
      <w:r>
        <w:rPr>
          <w:rFonts w:ascii="Times New Roman" w:eastAsia="Times New Roman"/>
          <w:sz w:val="18"/>
          <w:vertAlign w:val="superscript"/>
        </w:rPr>
        <w:t>3</w:t>
      </w:r>
      <w:r>
        <w:rPr>
          <w:rFonts w:ascii="Times New Roman" w:eastAsia="Times New Roman"/>
          <w:spacing w:val="106"/>
          <w:sz w:val="18"/>
          <w:vertAlign w:val="baseline"/>
        </w:rPr>
        <w:t> </w:t>
      </w:r>
      <w:r>
        <w:rPr>
          <w:b/>
          <w:sz w:val="18"/>
          <w:vertAlign w:val="baseline"/>
        </w:rPr>
        <w:t>现金价值</w:t>
      </w:r>
      <w:r>
        <w:rPr>
          <w:spacing w:val="-1"/>
          <w:sz w:val="18"/>
          <w:vertAlign w:val="baseline"/>
        </w:rPr>
        <w:t>：指保险合同所具有的价值，通常体现为解除合同时，根据精算原理计算的，由我们退还的那部分金额。</w:t>
      </w:r>
    </w:p>
    <w:p>
      <w:pPr>
        <w:spacing w:after="0" w:line="230" w:lineRule="exact"/>
        <w:jc w:val="left"/>
        <w:rPr>
          <w:sz w:val="18"/>
        </w:rPr>
        <w:sectPr>
          <w:type w:val="continuous"/>
          <w:pgSz w:w="11910" w:h="16840"/>
          <w:pgMar w:header="484" w:footer="706" w:top="1240" w:bottom="900" w:left="980" w:right="980"/>
        </w:sectPr>
      </w:pPr>
    </w:p>
    <w:p>
      <w:pPr>
        <w:pStyle w:val="BodyText"/>
        <w:spacing w:before="7"/>
        <w:rPr>
          <w:sz w:val="14"/>
        </w:rPr>
      </w:pPr>
    </w:p>
    <w:p>
      <w:pPr>
        <w:pStyle w:val="ListParagraph"/>
        <w:numPr>
          <w:ilvl w:val="1"/>
          <w:numId w:val="11"/>
        </w:numPr>
        <w:tabs>
          <w:tab w:pos="930" w:val="left" w:leader="none"/>
          <w:tab w:pos="931" w:val="left" w:leader="none"/>
          <w:tab w:pos="2480" w:val="left" w:leader="none"/>
        </w:tabs>
        <w:spacing w:line="324" w:lineRule="auto" w:before="70" w:after="0"/>
        <w:ind w:left="2480" w:right="150" w:hanging="2328"/>
        <w:jc w:val="left"/>
        <w:rPr>
          <w:sz w:val="22"/>
        </w:rPr>
      </w:pPr>
      <w:r>
        <w:rPr>
          <w:b/>
          <w:spacing w:val="-4"/>
          <w:sz w:val="22"/>
        </w:rPr>
        <w:t>保险金额</w:t>
      </w:r>
      <w:r>
        <w:rPr>
          <w:b/>
          <w:sz w:val="22"/>
        </w:rPr>
        <w:tab/>
      </w:r>
      <w:r>
        <w:rPr>
          <w:spacing w:val="-2"/>
          <w:sz w:val="22"/>
        </w:rPr>
        <w:t>保险金额是本公司承担给付保险金责任的最高限额。本公司将按照本合同关于保险责任的约定，确定实际给付的保险金额。</w:t>
      </w:r>
    </w:p>
    <w:p>
      <w:pPr>
        <w:pStyle w:val="BodyText"/>
        <w:spacing w:before="8"/>
        <w:rPr>
          <w:sz w:val="29"/>
        </w:rPr>
      </w:pPr>
    </w:p>
    <w:p>
      <w:pPr>
        <w:pStyle w:val="ListParagraph"/>
        <w:numPr>
          <w:ilvl w:val="1"/>
          <w:numId w:val="11"/>
        </w:numPr>
        <w:tabs>
          <w:tab w:pos="930" w:val="left" w:leader="none"/>
          <w:tab w:pos="931" w:val="left" w:leader="none"/>
        </w:tabs>
        <w:spacing w:line="324" w:lineRule="auto" w:before="0" w:after="0"/>
        <w:ind w:left="2480" w:right="150" w:hanging="2328"/>
        <w:jc w:val="left"/>
        <w:rPr>
          <w:sz w:val="22"/>
        </w:rPr>
      </w:pPr>
      <w:r>
        <w:rPr>
          <w:b/>
          <w:spacing w:val="5"/>
          <w:sz w:val="22"/>
        </w:rPr>
        <w:t>基本保险金额 </w:t>
      </w:r>
      <w:r>
        <w:rPr>
          <w:sz w:val="22"/>
        </w:rPr>
        <w:t>本合同的基本保险金额由您在投保时与我们约定，并在保险单上载明。如该</w:t>
      </w:r>
      <w:r>
        <w:rPr>
          <w:spacing w:val="-2"/>
          <w:sz w:val="22"/>
        </w:rPr>
        <w:t>金额有所变更，以变更后的基本保险金额为准。</w:t>
      </w:r>
    </w:p>
    <w:p>
      <w:pPr>
        <w:pStyle w:val="BodyText"/>
        <w:spacing w:before="1"/>
        <w:rPr>
          <w:sz w:val="24"/>
        </w:rPr>
      </w:pPr>
    </w:p>
    <w:p>
      <w:pPr>
        <w:spacing w:after="0"/>
        <w:rPr>
          <w:sz w:val="24"/>
        </w:rPr>
        <w:sectPr>
          <w:pgSz w:w="11910" w:h="16840"/>
          <w:pgMar w:header="484" w:footer="706" w:top="1240" w:bottom="900" w:left="980" w:right="980"/>
        </w:sectPr>
      </w:pPr>
    </w:p>
    <w:p>
      <w:pPr>
        <w:pStyle w:val="Heading2"/>
        <w:numPr>
          <w:ilvl w:val="1"/>
          <w:numId w:val="11"/>
        </w:numPr>
        <w:tabs>
          <w:tab w:pos="930" w:val="left" w:leader="none"/>
          <w:tab w:pos="931" w:val="left" w:leader="none"/>
        </w:tabs>
        <w:spacing w:line="324" w:lineRule="auto" w:before="70" w:after="0"/>
        <w:ind w:left="930" w:right="0" w:hanging="778"/>
        <w:jc w:val="left"/>
        <w:rPr>
          <w:rFonts w:ascii="宋体" w:eastAsia="宋体" w:hint="eastAsia"/>
        </w:rPr>
      </w:pPr>
      <w:r>
        <w:rPr>
          <w:rFonts w:ascii="宋体" w:eastAsia="宋体" w:hint="eastAsia"/>
          <w:spacing w:val="-2"/>
        </w:rPr>
        <w:t>未成年人身故</w:t>
      </w:r>
      <w:r>
        <w:rPr>
          <w:rFonts w:ascii="宋体" w:eastAsia="宋体" w:hint="eastAsia"/>
          <w:spacing w:val="-2"/>
        </w:rPr>
        <w:t>保险金限制</w:t>
      </w:r>
    </w:p>
    <w:p>
      <w:pPr>
        <w:pStyle w:val="BodyText"/>
        <w:spacing w:line="324" w:lineRule="auto" w:before="70"/>
        <w:ind w:left="152" w:right="150"/>
        <w:jc w:val="both"/>
      </w:pPr>
      <w:r>
        <w:rPr/>
        <w:br w:type="column"/>
      </w:r>
      <w:r>
        <w:rPr>
          <w:color w:val="000000"/>
          <w:spacing w:val="-2"/>
          <w:shd w:fill="E4E4E4" w:color="auto" w:val="clear"/>
        </w:rPr>
        <w:t>为未成年子女投保的人身保险，因被保险人身故给付的保险金总和不得超过</w:t>
      </w:r>
      <w:r>
        <w:rPr>
          <w:color w:val="000000"/>
          <w:spacing w:val="40"/>
          <w:shd w:fill="E4E4E4" w:color="auto" w:val="clear"/>
        </w:rPr>
        <w:t> </w:t>
      </w:r>
      <w:r>
        <w:rPr>
          <w:color w:val="000000"/>
          <w:spacing w:val="-2"/>
          <w:shd w:fill="E4E4E4" w:color="auto" w:val="clear"/>
        </w:rPr>
        <w:t>国务院保险监督管理机构规定的限额，身故给付的保险金额总和约定也不得超过前述限额。</w:t>
      </w:r>
    </w:p>
    <w:p>
      <w:pPr>
        <w:spacing w:after="0" w:line="324" w:lineRule="auto"/>
        <w:jc w:val="both"/>
        <w:sectPr>
          <w:type w:val="continuous"/>
          <w:pgSz w:w="11910" w:h="16840"/>
          <w:pgMar w:header="484" w:footer="706" w:top="1240" w:bottom="900" w:left="980" w:right="980"/>
          <w:cols w:num="2" w:equalWidth="0">
            <w:col w:w="2256" w:space="72"/>
            <w:col w:w="7622"/>
          </w:cols>
        </w:sectPr>
      </w:pPr>
    </w:p>
    <w:p>
      <w:pPr>
        <w:pStyle w:val="BodyText"/>
        <w:spacing w:before="3"/>
        <w:rPr>
          <w:sz w:val="24"/>
        </w:rPr>
      </w:pPr>
    </w:p>
    <w:p>
      <w:pPr>
        <w:pStyle w:val="ListParagraph"/>
        <w:numPr>
          <w:ilvl w:val="1"/>
          <w:numId w:val="11"/>
        </w:numPr>
        <w:tabs>
          <w:tab w:pos="931" w:val="left" w:leader="none"/>
        </w:tabs>
        <w:spacing w:line="324" w:lineRule="auto" w:before="70" w:after="0"/>
        <w:ind w:left="2480" w:right="150" w:hanging="2328"/>
        <w:jc w:val="both"/>
        <w:rPr>
          <w:sz w:val="22"/>
        </w:rPr>
      </w:pPr>
      <w:r>
        <w:rPr>
          <w:b/>
          <w:spacing w:val="34"/>
          <w:sz w:val="22"/>
        </w:rPr>
        <w:t>保险期间   </w:t>
      </w:r>
      <w:r>
        <w:rPr>
          <w:sz w:val="22"/>
        </w:rPr>
        <w:t>本合同的保险期间为终身，自保险合同生效日零时起至本合同约定的效力终</w:t>
      </w:r>
      <w:r>
        <w:rPr>
          <w:spacing w:val="-4"/>
          <w:sz w:val="22"/>
        </w:rPr>
        <w:t>止日止。</w:t>
      </w:r>
    </w:p>
    <w:p>
      <w:pPr>
        <w:pStyle w:val="BodyText"/>
        <w:spacing w:before="7"/>
        <w:rPr>
          <w:sz w:val="29"/>
        </w:rPr>
      </w:pPr>
    </w:p>
    <w:p>
      <w:pPr>
        <w:pStyle w:val="ListParagraph"/>
        <w:numPr>
          <w:ilvl w:val="1"/>
          <w:numId w:val="11"/>
        </w:numPr>
        <w:tabs>
          <w:tab w:pos="931" w:val="left" w:leader="none"/>
        </w:tabs>
        <w:spacing w:line="324" w:lineRule="auto" w:before="0" w:after="0"/>
        <w:ind w:left="2480" w:right="200" w:hanging="2328"/>
        <w:jc w:val="both"/>
        <w:rPr>
          <w:sz w:val="22"/>
        </w:rPr>
      </w:pPr>
      <w:r>
        <w:rPr>
          <w:b/>
          <w:spacing w:val="-1"/>
          <w:w w:val="100"/>
          <w:sz w:val="22"/>
        </w:rPr>
        <w:t>等待期</w:t>
      </w:r>
      <w:r>
        <w:rPr>
          <w:b/>
          <w:sz w:val="22"/>
        </w:rPr>
        <w:t>        </w:t>
      </w:r>
      <w:r>
        <w:rPr>
          <w:color w:val="000000"/>
          <w:spacing w:val="3"/>
          <w:w w:val="100"/>
          <w:sz w:val="22"/>
          <w:shd w:fill="E4E4E4" w:color="auto" w:val="clear"/>
        </w:rPr>
        <w:t>从本合同生效</w:t>
      </w:r>
      <w:r>
        <w:rPr>
          <w:color w:val="000000"/>
          <w:spacing w:val="2"/>
          <w:w w:val="100"/>
          <w:sz w:val="22"/>
          <w:shd w:fill="E4E4E4" w:color="auto" w:val="clear"/>
        </w:rPr>
        <w:t>（</w:t>
      </w:r>
      <w:r>
        <w:rPr>
          <w:color w:val="000000"/>
          <w:spacing w:val="4"/>
          <w:w w:val="100"/>
          <w:sz w:val="22"/>
          <w:shd w:fill="E4E4E4" w:color="auto" w:val="clear"/>
        </w:rPr>
        <w:t>或复效）</w:t>
      </w:r>
      <w:r>
        <w:rPr>
          <w:color w:val="000000"/>
          <w:spacing w:val="3"/>
          <w:w w:val="100"/>
          <w:sz w:val="22"/>
          <w:shd w:fill="E4E4E4" w:color="auto" w:val="clear"/>
        </w:rPr>
        <w:t>之日起</w:t>
      </w:r>
      <w:r>
        <w:rPr>
          <w:color w:val="000000"/>
          <w:spacing w:val="-1"/>
          <w:w w:val="100"/>
          <w:sz w:val="22"/>
          <w:shd w:fill="E4E4E4" w:color="auto" w:val="clear"/>
        </w:rPr>
        <w:t>9</w:t>
      </w:r>
      <w:r>
        <w:rPr>
          <w:color w:val="000000"/>
          <w:spacing w:val="2"/>
          <w:w w:val="100"/>
          <w:sz w:val="22"/>
          <w:shd w:fill="E4E4E4" w:color="auto" w:val="clear"/>
        </w:rPr>
        <w:t>0天内，被保险人发生</w:t>
      </w:r>
      <w:r>
        <w:rPr>
          <w:b/>
          <w:color w:val="000000"/>
          <w:spacing w:val="4"/>
          <w:w w:val="100"/>
          <w:sz w:val="22"/>
          <w:shd w:fill="E4E4E4" w:color="auto" w:val="clear"/>
        </w:rPr>
        <w:t>重大疾病</w:t>
      </w:r>
      <w:hyperlink w:history="true" w:anchor="_bookmark3">
        <w:r>
          <w:rPr>
            <w:color w:val="000000"/>
            <w:spacing w:val="5"/>
            <w:position w:val="11"/>
            <w:sz w:val="11"/>
          </w:rPr>
          <w:t>4</w:t>
        </w:r>
      </w:hyperlink>
      <w:r>
        <w:rPr>
          <w:color w:val="000000"/>
          <w:spacing w:val="4"/>
          <w:w w:val="100"/>
          <w:sz w:val="22"/>
          <w:shd w:fill="E4E4E4" w:color="auto" w:val="clear"/>
        </w:rPr>
        <w:t>、</w:t>
      </w:r>
      <w:r>
        <w:rPr>
          <w:b/>
          <w:color w:val="000000"/>
          <w:spacing w:val="2"/>
          <w:w w:val="100"/>
          <w:sz w:val="22"/>
          <w:shd w:fill="E4E4E4" w:color="auto" w:val="clear"/>
        </w:rPr>
        <w:t>中度疾</w:t>
      </w:r>
      <w:r>
        <w:rPr>
          <w:b/>
          <w:color w:val="000000"/>
          <w:w w:val="100"/>
          <w:sz w:val="22"/>
          <w:shd w:fill="E4E4E4" w:color="auto" w:val="clear"/>
        </w:rPr>
        <w:t>                                                                                                                                </w:t>
      </w:r>
      <w:r>
        <w:rPr>
          <w:b/>
          <w:color w:val="000000"/>
          <w:spacing w:val="4"/>
          <w:w w:val="100"/>
          <w:sz w:val="22"/>
          <w:shd w:fill="E4E4E4" w:color="auto" w:val="clear"/>
        </w:rPr>
        <w:t>病</w:t>
      </w:r>
      <w:hyperlink w:history="true" w:anchor="_bookmark4">
        <w:r>
          <w:rPr>
            <w:color w:val="000000"/>
            <w:spacing w:val="7"/>
            <w:position w:val="11"/>
            <w:sz w:val="11"/>
          </w:rPr>
          <w:t>5</w:t>
        </w:r>
      </w:hyperlink>
      <w:r>
        <w:rPr>
          <w:color w:val="000000"/>
          <w:spacing w:val="4"/>
          <w:w w:val="100"/>
          <w:sz w:val="22"/>
          <w:shd w:fill="E4E4E4" w:color="auto" w:val="clear"/>
        </w:rPr>
        <w:t>、</w:t>
      </w:r>
      <w:r>
        <w:rPr>
          <w:b/>
          <w:color w:val="000000"/>
          <w:spacing w:val="5"/>
          <w:w w:val="100"/>
          <w:sz w:val="22"/>
          <w:shd w:fill="E4E4E4" w:color="auto" w:val="clear"/>
        </w:rPr>
        <w:t>轻度疾病</w:t>
      </w:r>
      <w:hyperlink w:history="true" w:anchor="_bookmark5">
        <w:r>
          <w:rPr>
            <w:color w:val="000000"/>
            <w:spacing w:val="5"/>
            <w:position w:val="11"/>
            <w:sz w:val="11"/>
          </w:rPr>
          <w:t>6</w:t>
        </w:r>
      </w:hyperlink>
      <w:r>
        <w:rPr>
          <w:color w:val="000000"/>
          <w:spacing w:val="4"/>
          <w:w w:val="100"/>
          <w:sz w:val="22"/>
          <w:shd w:fill="E4E4E4" w:color="auto" w:val="clear"/>
        </w:rPr>
        <w:t>、</w:t>
      </w:r>
      <w:r>
        <w:rPr>
          <w:b/>
          <w:color w:val="000000"/>
          <w:spacing w:val="4"/>
          <w:w w:val="100"/>
          <w:sz w:val="22"/>
          <w:shd w:fill="E4E4E4" w:color="auto" w:val="clear"/>
        </w:rPr>
        <w:t>特定疾病</w:t>
      </w:r>
      <w:hyperlink w:history="true" w:anchor="_bookmark6">
        <w:r>
          <w:rPr>
            <w:color w:val="000000"/>
            <w:spacing w:val="7"/>
            <w:position w:val="11"/>
            <w:sz w:val="11"/>
          </w:rPr>
          <w:t>7</w:t>
        </w:r>
      </w:hyperlink>
      <w:r>
        <w:rPr>
          <w:color w:val="000000"/>
          <w:spacing w:val="4"/>
          <w:w w:val="100"/>
          <w:sz w:val="22"/>
          <w:shd w:fill="E4E4E4" w:color="auto" w:val="clear"/>
        </w:rPr>
        <w:t>（</w:t>
      </w:r>
      <w:r>
        <w:rPr>
          <w:color w:val="000000"/>
          <w:spacing w:val="5"/>
          <w:w w:val="100"/>
          <w:sz w:val="22"/>
          <w:shd w:fill="E4E4E4" w:color="auto" w:val="clear"/>
        </w:rPr>
        <w:t>若选</w:t>
      </w:r>
      <w:r>
        <w:rPr>
          <w:color w:val="000000"/>
          <w:spacing w:val="4"/>
          <w:w w:val="100"/>
          <w:sz w:val="22"/>
          <w:shd w:fill="E4E4E4" w:color="auto" w:val="clear"/>
        </w:rPr>
        <w:t>）、</w:t>
      </w:r>
      <w:r>
        <w:rPr>
          <w:b/>
          <w:color w:val="000000"/>
          <w:spacing w:val="4"/>
          <w:w w:val="100"/>
          <w:sz w:val="22"/>
          <w:shd w:fill="E4E4E4" w:color="auto" w:val="clear"/>
        </w:rPr>
        <w:t>老年特定重大疾病</w:t>
      </w:r>
      <w:hyperlink w:history="true" w:anchor="_bookmark7">
        <w:r>
          <w:rPr>
            <w:color w:val="000000"/>
            <w:spacing w:val="7"/>
            <w:position w:val="11"/>
            <w:sz w:val="11"/>
          </w:rPr>
          <w:t>8</w:t>
        </w:r>
      </w:hyperlink>
      <w:r>
        <w:rPr>
          <w:color w:val="000000"/>
          <w:spacing w:val="4"/>
          <w:w w:val="100"/>
          <w:sz w:val="22"/>
          <w:shd w:fill="E4E4E4" w:color="auto" w:val="clear"/>
        </w:rPr>
        <w:t>（</w:t>
      </w:r>
      <w:r>
        <w:rPr>
          <w:color w:val="000000"/>
          <w:spacing w:val="5"/>
          <w:w w:val="100"/>
          <w:sz w:val="22"/>
          <w:shd w:fill="E4E4E4" w:color="auto" w:val="clear"/>
        </w:rPr>
        <w:t>若选</w:t>
      </w:r>
      <w:r>
        <w:rPr>
          <w:color w:val="000000"/>
          <w:spacing w:val="4"/>
          <w:w w:val="100"/>
          <w:sz w:val="22"/>
          <w:shd w:fill="E4E4E4" w:color="auto" w:val="clear"/>
        </w:rPr>
        <w:t>）</w:t>
      </w:r>
      <w:r>
        <w:rPr>
          <w:color w:val="000000"/>
          <w:spacing w:val="2"/>
          <w:w w:val="100"/>
          <w:sz w:val="22"/>
          <w:shd w:fill="E4E4E4" w:color="auto" w:val="clear"/>
        </w:rPr>
        <w:t>的，我</w:t>
      </w:r>
      <w:r>
        <w:rPr>
          <w:color w:val="000000"/>
          <w:spacing w:val="-3"/>
          <w:w w:val="100"/>
          <w:sz w:val="22"/>
          <w:shd w:fill="E4E4E4" w:color="auto" w:val="clear"/>
        </w:rPr>
        <w:t>们不承担保险责任，本合同终止，并无息退还保险费，这</w:t>
      </w:r>
      <w:r>
        <w:rPr>
          <w:color w:val="000000"/>
          <w:spacing w:val="-1"/>
          <w:w w:val="100"/>
          <w:sz w:val="22"/>
          <w:shd w:fill="E4E4E4" w:color="auto" w:val="clear"/>
        </w:rPr>
        <w:t>9</w:t>
      </w:r>
      <w:r>
        <w:rPr>
          <w:color w:val="000000"/>
          <w:spacing w:val="-3"/>
          <w:w w:val="100"/>
          <w:sz w:val="22"/>
          <w:shd w:fill="E4E4E4" w:color="auto" w:val="clear"/>
        </w:rPr>
        <w:t>0天的时间称为等</w:t>
      </w:r>
      <w:r>
        <w:rPr>
          <w:color w:val="000000"/>
          <w:spacing w:val="2"/>
          <w:w w:val="100"/>
          <w:sz w:val="22"/>
          <w:shd w:fill="E4E4E4" w:color="auto" w:val="clear"/>
        </w:rPr>
        <w:t>待期。被保险人因</w:t>
      </w:r>
      <w:r>
        <w:rPr>
          <w:b/>
          <w:color w:val="000000"/>
          <w:spacing w:val="4"/>
          <w:w w:val="100"/>
          <w:sz w:val="22"/>
          <w:shd w:fill="E4E4E4" w:color="auto" w:val="clear"/>
        </w:rPr>
        <w:t>意外伤害事故</w:t>
      </w:r>
      <w:hyperlink w:history="true" w:anchor="_bookmark8">
        <w:r>
          <w:rPr>
            <w:color w:val="000000"/>
            <w:spacing w:val="5"/>
            <w:position w:val="11"/>
            <w:sz w:val="11"/>
          </w:rPr>
          <w:t>9</w:t>
        </w:r>
      </w:hyperlink>
      <w:r>
        <w:rPr>
          <w:color w:val="000000"/>
          <w:spacing w:val="1"/>
          <w:w w:val="100"/>
          <w:sz w:val="22"/>
          <w:shd w:fill="E4E4E4" w:color="auto" w:val="clear"/>
        </w:rPr>
        <w:t>发生重大疾病、中度疾病、轻度疾病、特</w:t>
      </w:r>
      <w:r>
        <w:rPr>
          <w:color w:val="000000"/>
          <w:spacing w:val="-2"/>
          <w:w w:val="100"/>
          <w:sz w:val="22"/>
          <w:shd w:fill="E4E4E4" w:color="auto" w:val="clear"/>
        </w:rPr>
        <w:t>定疾病</w:t>
      </w:r>
      <w:r>
        <w:rPr>
          <w:color w:val="000000"/>
          <w:spacing w:val="-1"/>
          <w:w w:val="100"/>
          <w:sz w:val="22"/>
          <w:shd w:fill="E4E4E4" w:color="auto" w:val="clear"/>
        </w:rPr>
        <w:t>（</w:t>
      </w:r>
      <w:r>
        <w:rPr>
          <w:color w:val="000000"/>
          <w:spacing w:val="-2"/>
          <w:w w:val="100"/>
          <w:sz w:val="22"/>
          <w:shd w:fill="E4E4E4" w:color="auto" w:val="clear"/>
        </w:rPr>
        <w:t>若选</w:t>
      </w:r>
      <w:r>
        <w:rPr>
          <w:color w:val="000000"/>
          <w:spacing w:val="-1"/>
          <w:w w:val="100"/>
          <w:sz w:val="22"/>
          <w:shd w:fill="E4E4E4" w:color="auto" w:val="clear"/>
        </w:rPr>
        <w:t>）</w:t>
      </w:r>
      <w:r>
        <w:rPr>
          <w:color w:val="000000"/>
          <w:spacing w:val="-3"/>
          <w:w w:val="100"/>
          <w:sz w:val="22"/>
          <w:shd w:fill="E4E4E4" w:color="auto" w:val="clear"/>
        </w:rPr>
        <w:t>、老年特定重大疾病的</w:t>
      </w:r>
      <w:r>
        <w:rPr>
          <w:color w:val="000000"/>
          <w:spacing w:val="-1"/>
          <w:w w:val="100"/>
          <w:sz w:val="22"/>
          <w:shd w:fill="E4E4E4" w:color="auto" w:val="clear"/>
        </w:rPr>
        <w:t>（</w:t>
      </w:r>
      <w:r>
        <w:rPr>
          <w:color w:val="000000"/>
          <w:spacing w:val="-2"/>
          <w:w w:val="100"/>
          <w:sz w:val="22"/>
          <w:shd w:fill="E4E4E4" w:color="auto" w:val="clear"/>
        </w:rPr>
        <w:t>若选</w:t>
      </w:r>
      <w:r>
        <w:rPr>
          <w:color w:val="000000"/>
          <w:spacing w:val="-1"/>
          <w:w w:val="100"/>
          <w:sz w:val="22"/>
          <w:shd w:fill="E4E4E4" w:color="auto" w:val="clear"/>
        </w:rPr>
        <w:t>）</w:t>
      </w:r>
      <w:r>
        <w:rPr>
          <w:color w:val="000000"/>
          <w:spacing w:val="-3"/>
          <w:w w:val="100"/>
          <w:sz w:val="22"/>
          <w:shd w:fill="E4E4E4" w:color="auto" w:val="clear"/>
        </w:rPr>
        <w:t>，无等待期。</w:t>
      </w:r>
    </w:p>
    <w:p>
      <w:pPr>
        <w:pStyle w:val="BodyText"/>
        <w:spacing w:before="6"/>
        <w:rPr>
          <w:sz w:val="29"/>
        </w:rPr>
      </w:pPr>
    </w:p>
    <w:p>
      <w:pPr>
        <w:pStyle w:val="ListParagraph"/>
        <w:numPr>
          <w:ilvl w:val="1"/>
          <w:numId w:val="11"/>
        </w:numPr>
        <w:tabs>
          <w:tab w:pos="930" w:val="left" w:leader="none"/>
          <w:tab w:pos="931" w:val="left" w:leader="none"/>
          <w:tab w:pos="2480" w:val="left" w:leader="none"/>
        </w:tabs>
        <w:spacing w:line="240" w:lineRule="auto" w:before="0" w:after="0"/>
        <w:ind w:left="930" w:right="0" w:hanging="779"/>
        <w:jc w:val="left"/>
        <w:rPr>
          <w:sz w:val="22"/>
        </w:rPr>
      </w:pPr>
      <w:r>
        <w:rPr>
          <w:b/>
          <w:spacing w:val="-2"/>
          <w:sz w:val="22"/>
        </w:rPr>
        <w:t>保险责</w:t>
      </w:r>
      <w:r>
        <w:rPr>
          <w:b/>
          <w:spacing w:val="-10"/>
          <w:sz w:val="22"/>
        </w:rPr>
        <w:t>任</w:t>
      </w:r>
      <w:r>
        <w:rPr>
          <w:b/>
          <w:sz w:val="22"/>
        </w:rPr>
        <w:tab/>
      </w:r>
      <w:r>
        <w:rPr>
          <w:spacing w:val="-2"/>
          <w:sz w:val="22"/>
        </w:rPr>
        <w:t>本合同保险期间内，我们承担下列保险责任</w:t>
      </w:r>
      <w:r>
        <w:rPr>
          <w:spacing w:val="-10"/>
          <w:sz w:val="22"/>
        </w:rPr>
        <w:t>：</w:t>
      </w:r>
    </w:p>
    <w:p>
      <w:pPr>
        <w:pStyle w:val="BodyText"/>
      </w:pPr>
    </w:p>
    <w:p>
      <w:pPr>
        <w:pStyle w:val="Heading2"/>
        <w:numPr>
          <w:ilvl w:val="2"/>
          <w:numId w:val="11"/>
        </w:numPr>
        <w:tabs>
          <w:tab w:pos="931" w:val="left" w:leader="none"/>
        </w:tabs>
        <w:spacing w:line="240" w:lineRule="auto" w:before="194" w:after="0"/>
        <w:ind w:left="930" w:right="0" w:hanging="779"/>
        <w:jc w:val="left"/>
        <w:rPr>
          <w:rFonts w:ascii="宋体" w:eastAsia="宋体" w:hint="eastAsia"/>
        </w:rPr>
      </w:pPr>
      <w:r>
        <w:rPr>
          <w:rFonts w:ascii="宋体" w:eastAsia="宋体" w:hint="eastAsia"/>
          <w:spacing w:val="-4"/>
        </w:rPr>
        <w:t>必选责任</w:t>
      </w:r>
    </w:p>
    <w:p>
      <w:pPr>
        <w:pStyle w:val="BodyText"/>
        <w:spacing w:before="5"/>
        <w:rPr>
          <w:b/>
          <w:sz w:val="29"/>
        </w:rPr>
      </w:pPr>
    </w:p>
    <w:p>
      <w:pPr>
        <w:spacing w:after="0"/>
        <w:rPr>
          <w:sz w:val="29"/>
        </w:rPr>
        <w:sectPr>
          <w:type w:val="continuous"/>
          <w:pgSz w:w="11910" w:h="16840"/>
          <w:pgMar w:header="484" w:footer="706" w:top="1240" w:bottom="900" w:left="980" w:right="980"/>
        </w:sectPr>
      </w:pPr>
    </w:p>
    <w:p>
      <w:pPr>
        <w:spacing w:line="261" w:lineRule="auto" w:before="73"/>
        <w:ind w:left="930" w:right="0" w:firstLine="0"/>
        <w:jc w:val="left"/>
        <w:rPr>
          <w:rFonts w:ascii="华文中宋" w:eastAsia="华文中宋" w:hint="eastAsia"/>
          <w:b/>
          <w:sz w:val="22"/>
        </w:rPr>
      </w:pPr>
      <w:r>
        <w:rPr>
          <w:rFonts w:ascii="华文中宋" w:eastAsia="华文中宋" w:hint="eastAsia"/>
          <w:b/>
          <w:spacing w:val="-2"/>
          <w:sz w:val="22"/>
        </w:rPr>
        <w:t>重大疾病保险</w:t>
      </w:r>
      <w:r>
        <w:rPr>
          <w:rFonts w:ascii="华文中宋" w:eastAsia="华文中宋" w:hint="eastAsia"/>
          <w:b/>
          <w:spacing w:val="-10"/>
          <w:sz w:val="22"/>
        </w:rPr>
        <w:t>金</w:t>
      </w:r>
    </w:p>
    <w:p>
      <w:pPr>
        <w:pStyle w:val="BodyText"/>
        <w:spacing w:before="103"/>
        <w:ind w:left="187"/>
      </w:pPr>
      <w:r>
        <w:rPr/>
        <w:br w:type="column"/>
      </w:r>
      <w:r>
        <w:rPr>
          <w:spacing w:val="-2"/>
        </w:rPr>
        <w:t>（一）</w:t>
      </w:r>
      <w:r>
        <w:rPr>
          <w:spacing w:val="-3"/>
        </w:rPr>
        <w:t>首次重大疾病保险金</w:t>
      </w:r>
    </w:p>
    <w:p>
      <w:pPr>
        <w:pStyle w:val="BodyText"/>
        <w:spacing w:line="324" w:lineRule="auto" w:before="97"/>
        <w:ind w:left="187" w:right="150"/>
        <w:jc w:val="both"/>
      </w:pPr>
      <w:r>
        <w:rPr>
          <w:spacing w:val="-2"/>
        </w:rPr>
        <w:t>被保险人于等待期后初次发生并经</w:t>
      </w:r>
      <w:r>
        <w:rPr>
          <w:b/>
          <w:spacing w:val="-2"/>
        </w:rPr>
        <w:t>医院</w:t>
      </w:r>
      <w:hyperlink w:history="true" w:anchor="_bookmark9">
        <w:r>
          <w:rPr>
            <w:rFonts w:ascii="PMingLiU-ExtB" w:hAnsi="PMingLiU-ExtB" w:eastAsia="PMingLiU-ExtB"/>
            <w:spacing w:val="-2"/>
            <w:position w:val="10"/>
            <w:sz w:val="10"/>
          </w:rPr>
          <w:t>10</w:t>
        </w:r>
      </w:hyperlink>
      <w:r>
        <w:rPr>
          <w:b/>
          <w:spacing w:val="-2"/>
        </w:rPr>
        <w:t>专科医生</w:t>
      </w:r>
      <w:hyperlink w:history="true" w:anchor="_bookmark10">
        <w:r>
          <w:rPr>
            <w:rFonts w:ascii="PMingLiU-ExtB" w:hAnsi="PMingLiU-ExtB" w:eastAsia="PMingLiU-ExtB"/>
            <w:spacing w:val="-2"/>
            <w:position w:val="10"/>
            <w:sz w:val="10"/>
          </w:rPr>
          <w:t>11</w:t>
        </w:r>
      </w:hyperlink>
      <w:r>
        <w:rPr>
          <w:spacing w:val="-2"/>
        </w:rPr>
        <w:t>明确诊断确定</w:t>
      </w:r>
      <w:r>
        <w:rPr>
          <w:color w:val="000000"/>
          <w:spacing w:val="-2"/>
          <w:shd w:fill="E4E4E4" w:color="auto" w:val="clear"/>
        </w:rPr>
        <w:t>罹患本合同</w:t>
      </w:r>
      <w:r>
        <w:rPr>
          <w:color w:val="000000"/>
          <w:spacing w:val="40"/>
          <w:shd w:fill="E4E4E4" w:color="auto" w:val="clear"/>
        </w:rPr>
        <w:t> </w:t>
      </w:r>
      <w:r>
        <w:rPr>
          <w:color w:val="000000"/>
          <w:spacing w:val="-2"/>
          <w:shd w:fill="E4E4E4" w:color="auto" w:val="clear"/>
        </w:rPr>
        <w:t>约定的重大疾病（无论一种或多种），我们将根据本合同的基本保险金额向重大疾病保险金受益人给付“首次重大疾病保险金”，本项保险责任终止。</w:t>
      </w:r>
    </w:p>
    <w:p>
      <w:pPr>
        <w:spacing w:after="0" w:line="324" w:lineRule="auto"/>
        <w:jc w:val="both"/>
        <w:sectPr>
          <w:type w:val="continuous"/>
          <w:pgSz w:w="11910" w:h="16840"/>
          <w:pgMar w:header="484" w:footer="706" w:top="1240" w:bottom="900" w:left="980" w:right="980"/>
          <w:cols w:num="2" w:equalWidth="0">
            <w:col w:w="2253" w:space="40"/>
            <w:col w:w="7657"/>
          </w:cols>
        </w:sectPr>
      </w:pPr>
    </w:p>
    <w:p>
      <w:pPr>
        <w:pStyle w:val="BodyText"/>
        <w:rPr>
          <w:sz w:val="20"/>
        </w:rPr>
      </w:pPr>
    </w:p>
    <w:p>
      <w:pPr>
        <w:pStyle w:val="BodyText"/>
        <w:spacing w:before="3"/>
      </w:pPr>
    </w:p>
    <w:p>
      <w:pPr>
        <w:spacing w:before="85"/>
        <w:ind w:left="152" w:right="0" w:firstLine="0"/>
        <w:jc w:val="left"/>
        <w:rPr>
          <w:sz w:val="18"/>
        </w:rPr>
      </w:pPr>
      <w:r>
        <w:rPr>
          <w:rFonts w:ascii="Times New Roman" w:hAnsi="Times New Roman" w:eastAsia="Times New Roman"/>
          <w:sz w:val="18"/>
          <w:vertAlign w:val="superscript"/>
        </w:rPr>
        <w:t>4</w:t>
      </w:r>
      <w:r>
        <w:rPr>
          <w:rFonts w:ascii="Times New Roman" w:hAnsi="Times New Roman" w:eastAsia="Times New Roman"/>
          <w:spacing w:val="109"/>
          <w:sz w:val="18"/>
          <w:vertAlign w:val="baseline"/>
        </w:rPr>
        <w:t> </w:t>
      </w:r>
      <w:r>
        <w:rPr>
          <w:b/>
          <w:sz w:val="18"/>
          <w:vertAlign w:val="baseline"/>
        </w:rPr>
        <w:t>重大疾病</w:t>
      </w:r>
      <w:r>
        <w:rPr>
          <w:sz w:val="18"/>
          <w:vertAlign w:val="baseline"/>
        </w:rPr>
        <w:t>：指符合“10</w:t>
      </w:r>
      <w:r>
        <w:rPr>
          <w:spacing w:val="-2"/>
          <w:sz w:val="18"/>
          <w:vertAlign w:val="baseline"/>
        </w:rPr>
        <w:t> 重大疾病的定义”中定义的疾病。</w:t>
      </w:r>
    </w:p>
    <w:p>
      <w:pPr>
        <w:spacing w:before="3"/>
        <w:ind w:left="152" w:right="0" w:firstLine="0"/>
        <w:jc w:val="left"/>
        <w:rPr>
          <w:sz w:val="18"/>
        </w:rPr>
      </w:pPr>
      <w:r>
        <w:rPr>
          <w:rFonts w:ascii="Times New Roman" w:hAnsi="Times New Roman" w:eastAsia="Times New Roman"/>
          <w:sz w:val="18"/>
          <w:vertAlign w:val="superscript"/>
        </w:rPr>
        <w:t>5</w:t>
      </w:r>
      <w:r>
        <w:rPr>
          <w:rFonts w:ascii="Times New Roman" w:hAnsi="Times New Roman" w:eastAsia="Times New Roman"/>
          <w:spacing w:val="109"/>
          <w:sz w:val="18"/>
          <w:vertAlign w:val="baseline"/>
        </w:rPr>
        <w:t> </w:t>
      </w:r>
      <w:r>
        <w:rPr>
          <w:b/>
          <w:sz w:val="18"/>
          <w:vertAlign w:val="baseline"/>
        </w:rPr>
        <w:t>中度疾病</w:t>
      </w:r>
      <w:r>
        <w:rPr>
          <w:sz w:val="18"/>
          <w:vertAlign w:val="baseline"/>
        </w:rPr>
        <w:t>：指符合“11</w:t>
      </w:r>
      <w:r>
        <w:rPr>
          <w:spacing w:val="-2"/>
          <w:sz w:val="18"/>
          <w:vertAlign w:val="baseline"/>
        </w:rPr>
        <w:t> 中度疾病的定义”中定义的疾病。</w:t>
      </w:r>
    </w:p>
    <w:p>
      <w:pPr>
        <w:spacing w:before="2"/>
        <w:ind w:left="152" w:right="0" w:firstLine="0"/>
        <w:jc w:val="left"/>
        <w:rPr>
          <w:sz w:val="18"/>
        </w:rPr>
      </w:pPr>
      <w:r>
        <w:rPr>
          <w:rFonts w:ascii="Times New Roman" w:hAnsi="Times New Roman" w:eastAsia="Times New Roman"/>
          <w:sz w:val="18"/>
          <w:vertAlign w:val="superscript"/>
        </w:rPr>
        <w:t>6</w:t>
      </w:r>
      <w:r>
        <w:rPr>
          <w:rFonts w:ascii="Times New Roman" w:hAnsi="Times New Roman" w:eastAsia="Times New Roman"/>
          <w:spacing w:val="109"/>
          <w:sz w:val="18"/>
          <w:vertAlign w:val="baseline"/>
        </w:rPr>
        <w:t> </w:t>
      </w:r>
      <w:r>
        <w:rPr>
          <w:b/>
          <w:sz w:val="18"/>
          <w:vertAlign w:val="baseline"/>
        </w:rPr>
        <w:t>轻度疾病</w:t>
      </w:r>
      <w:r>
        <w:rPr>
          <w:sz w:val="18"/>
          <w:vertAlign w:val="baseline"/>
        </w:rPr>
        <w:t>：指符合“12</w:t>
      </w:r>
      <w:r>
        <w:rPr>
          <w:spacing w:val="-2"/>
          <w:sz w:val="18"/>
          <w:vertAlign w:val="baseline"/>
        </w:rPr>
        <w:t> 轻度疾病的定义”中定义的疾病。</w:t>
      </w:r>
    </w:p>
    <w:p>
      <w:pPr>
        <w:spacing w:before="2"/>
        <w:ind w:left="152" w:right="0" w:firstLine="0"/>
        <w:jc w:val="left"/>
        <w:rPr>
          <w:sz w:val="18"/>
        </w:rPr>
      </w:pPr>
      <w:r>
        <w:rPr>
          <w:rFonts w:ascii="Times New Roman" w:hAnsi="Times New Roman" w:eastAsia="Times New Roman"/>
          <w:sz w:val="18"/>
          <w:vertAlign w:val="superscript"/>
        </w:rPr>
        <w:t>7</w:t>
      </w:r>
      <w:r>
        <w:rPr>
          <w:rFonts w:ascii="Times New Roman" w:hAnsi="Times New Roman" w:eastAsia="Times New Roman"/>
          <w:spacing w:val="109"/>
          <w:sz w:val="18"/>
          <w:vertAlign w:val="baseline"/>
        </w:rPr>
        <w:t> </w:t>
      </w:r>
      <w:r>
        <w:rPr>
          <w:b/>
          <w:sz w:val="18"/>
          <w:vertAlign w:val="baseline"/>
        </w:rPr>
        <w:t>特定疾病</w:t>
      </w:r>
      <w:r>
        <w:rPr>
          <w:sz w:val="18"/>
          <w:vertAlign w:val="baseline"/>
        </w:rPr>
        <w:t>：指符合“13</w:t>
      </w:r>
      <w:r>
        <w:rPr>
          <w:spacing w:val="-2"/>
          <w:sz w:val="18"/>
          <w:vertAlign w:val="baseline"/>
        </w:rPr>
        <w:t> 特定疾病的定义”中定义的疾病。</w:t>
      </w:r>
    </w:p>
    <w:p>
      <w:pPr>
        <w:spacing w:before="2"/>
        <w:ind w:left="152" w:right="0" w:firstLine="0"/>
        <w:jc w:val="left"/>
        <w:rPr>
          <w:sz w:val="18"/>
        </w:rPr>
      </w:pPr>
      <w:r>
        <w:rPr>
          <w:rFonts w:ascii="Times New Roman" w:hAnsi="Times New Roman" w:eastAsia="Times New Roman"/>
          <w:sz w:val="18"/>
          <w:vertAlign w:val="superscript"/>
        </w:rPr>
        <w:t>8</w:t>
      </w:r>
      <w:r>
        <w:rPr>
          <w:rFonts w:ascii="Times New Roman" w:hAnsi="Times New Roman" w:eastAsia="Times New Roman"/>
          <w:spacing w:val="108"/>
          <w:sz w:val="18"/>
          <w:vertAlign w:val="baseline"/>
        </w:rPr>
        <w:t> </w:t>
      </w:r>
      <w:r>
        <w:rPr>
          <w:b/>
          <w:sz w:val="18"/>
          <w:vertAlign w:val="baseline"/>
        </w:rPr>
        <w:t>老年</w:t>
      </w:r>
      <w:r>
        <w:rPr>
          <w:b/>
          <w:sz w:val="18"/>
          <w:vertAlign w:val="baseline"/>
        </w:rPr>
        <w:t>特</w:t>
      </w:r>
      <w:r>
        <w:rPr>
          <w:b/>
          <w:sz w:val="18"/>
          <w:vertAlign w:val="baseline"/>
        </w:rPr>
        <w:t>定</w:t>
      </w:r>
      <w:r>
        <w:rPr>
          <w:b/>
          <w:sz w:val="18"/>
          <w:vertAlign w:val="baseline"/>
        </w:rPr>
        <w:t>重</w:t>
      </w:r>
      <w:r>
        <w:rPr>
          <w:b/>
          <w:sz w:val="18"/>
          <w:vertAlign w:val="baseline"/>
        </w:rPr>
        <w:t>大疾病</w:t>
      </w:r>
      <w:r>
        <w:rPr>
          <w:sz w:val="18"/>
          <w:vertAlign w:val="baseline"/>
        </w:rPr>
        <w:t>：指符合“14</w:t>
      </w:r>
      <w:r>
        <w:rPr>
          <w:spacing w:val="-3"/>
          <w:sz w:val="18"/>
          <w:vertAlign w:val="baseline"/>
        </w:rPr>
        <w:t> 老年特定重大疾病的定义”中定义的疾病。</w:t>
      </w:r>
    </w:p>
    <w:p>
      <w:pPr>
        <w:spacing w:before="2"/>
        <w:ind w:left="152" w:right="0" w:firstLine="0"/>
        <w:jc w:val="left"/>
        <w:rPr>
          <w:sz w:val="18"/>
        </w:rPr>
      </w:pPr>
      <w:r>
        <w:rPr>
          <w:rFonts w:ascii="Times New Roman" w:eastAsia="Times New Roman"/>
          <w:sz w:val="18"/>
          <w:vertAlign w:val="superscript"/>
        </w:rPr>
        <w:t>9</w:t>
      </w:r>
      <w:r>
        <w:rPr>
          <w:rFonts w:ascii="Times New Roman" w:eastAsia="Times New Roman"/>
          <w:spacing w:val="106"/>
          <w:sz w:val="18"/>
          <w:vertAlign w:val="baseline"/>
        </w:rPr>
        <w:t> </w:t>
      </w:r>
      <w:r>
        <w:rPr>
          <w:b/>
          <w:sz w:val="18"/>
          <w:vertAlign w:val="baseline"/>
        </w:rPr>
        <w:t>意外</w:t>
      </w:r>
      <w:r>
        <w:rPr>
          <w:b/>
          <w:sz w:val="18"/>
          <w:vertAlign w:val="baseline"/>
        </w:rPr>
        <w:t>伤</w:t>
      </w:r>
      <w:r>
        <w:rPr>
          <w:b/>
          <w:sz w:val="18"/>
          <w:vertAlign w:val="baseline"/>
        </w:rPr>
        <w:t>害</w:t>
      </w:r>
      <w:r>
        <w:rPr>
          <w:b/>
          <w:sz w:val="18"/>
          <w:vertAlign w:val="baseline"/>
        </w:rPr>
        <w:t>事</w:t>
      </w:r>
      <w:r>
        <w:rPr>
          <w:b/>
          <w:sz w:val="18"/>
          <w:vertAlign w:val="baseline"/>
        </w:rPr>
        <w:t>故</w:t>
      </w:r>
      <w:r>
        <w:rPr>
          <w:spacing w:val="-1"/>
          <w:sz w:val="18"/>
          <w:vertAlign w:val="baseline"/>
        </w:rPr>
        <w:t>：指外来的、突发的、非本意的、非由疾病引起的使身体受到伤害的客观事件。</w:t>
      </w:r>
    </w:p>
    <w:p>
      <w:pPr>
        <w:spacing w:line="242" w:lineRule="auto" w:before="5"/>
        <w:ind w:left="368" w:right="152" w:hanging="216"/>
        <w:jc w:val="both"/>
        <w:rPr>
          <w:sz w:val="18"/>
        </w:rPr>
      </w:pPr>
      <w:r>
        <w:rPr>
          <w:rFonts w:ascii="Times New Roman" w:eastAsia="Times New Roman"/>
          <w:sz w:val="18"/>
          <w:vertAlign w:val="superscript"/>
        </w:rPr>
        <w:t>10</w:t>
      </w:r>
      <w:r>
        <w:rPr>
          <w:rFonts w:ascii="Times New Roman" w:eastAsia="Times New Roman"/>
          <w:sz w:val="18"/>
          <w:vertAlign w:val="baseline"/>
        </w:rPr>
        <w:t> </w:t>
      </w:r>
      <w:r>
        <w:rPr>
          <w:b/>
          <w:sz w:val="18"/>
          <w:vertAlign w:val="baseline"/>
        </w:rPr>
        <w:t>医</w:t>
      </w:r>
      <w:r>
        <w:rPr>
          <w:b/>
          <w:sz w:val="18"/>
          <w:vertAlign w:val="baseline"/>
        </w:rPr>
        <w:t>院</w:t>
      </w:r>
      <w:r>
        <w:rPr>
          <w:sz w:val="18"/>
          <w:vertAlign w:val="baseline"/>
        </w:rPr>
        <w:t>：指经中华人民共和国卫生行政部门评审确定的二级或以上的公立医院</w:t>
      </w:r>
      <w:r>
        <w:rPr>
          <w:color w:val="000000"/>
          <w:sz w:val="18"/>
          <w:shd w:fill="E4E4E4" w:color="auto" w:val="clear"/>
          <w:vertAlign w:val="baseline"/>
        </w:rPr>
        <w:t>（不含港澳台医院），但不包括精神病院及</w:t>
      </w:r>
      <w:r>
        <w:rPr>
          <w:color w:val="000000"/>
          <w:spacing w:val="40"/>
          <w:sz w:val="18"/>
          <w:shd w:fill="E4E4E4" w:color="auto" w:val="clear"/>
          <w:vertAlign w:val="baseline"/>
        </w:rPr>
        <w:t> </w:t>
      </w:r>
      <w:r>
        <w:rPr>
          <w:color w:val="000000"/>
          <w:spacing w:val="-2"/>
          <w:sz w:val="18"/>
          <w:shd w:fill="E4E4E4" w:color="auto" w:val="clear"/>
          <w:vertAlign w:val="baseline"/>
        </w:rPr>
        <w:t>专供康复、护理、疗养、戒酒、戒毒、养老等非以直接诊治病人为目的的医疗机构</w:t>
      </w:r>
      <w:r>
        <w:rPr>
          <w:color w:val="000000"/>
          <w:spacing w:val="-2"/>
          <w:sz w:val="18"/>
          <w:vertAlign w:val="baseline"/>
        </w:rPr>
        <w:t>，该医院必须具有符合国家有关医院</w:t>
      </w:r>
      <w:r>
        <w:rPr>
          <w:color w:val="000000"/>
          <w:spacing w:val="-2"/>
          <w:sz w:val="18"/>
          <w:vertAlign w:val="baseline"/>
        </w:rPr>
        <w:t>管理规则设置标准的医疗设施，且全天24小时有合格的医师和护士驻院提供医疗和护理服务。</w:t>
      </w:r>
    </w:p>
    <w:p>
      <w:pPr>
        <w:spacing w:line="242" w:lineRule="auto" w:before="0"/>
        <w:ind w:left="368" w:right="152" w:hanging="216"/>
        <w:jc w:val="both"/>
        <w:rPr>
          <w:sz w:val="18"/>
        </w:rPr>
      </w:pPr>
      <w:r>
        <w:rPr>
          <w:rFonts w:ascii="Times New Roman" w:eastAsia="Times New Roman"/>
          <w:w w:val="100"/>
          <w:sz w:val="18"/>
          <w:vertAlign w:val="superscript"/>
        </w:rPr>
        <w:t>11</w:t>
      </w:r>
      <w:r>
        <w:rPr>
          <w:rFonts w:ascii="Times New Roman" w:eastAsia="Times New Roman"/>
          <w:spacing w:val="5"/>
          <w:sz w:val="18"/>
          <w:vertAlign w:val="baseline"/>
        </w:rPr>
        <w:t>  </w:t>
      </w:r>
      <w:r>
        <w:rPr>
          <w:b/>
          <w:spacing w:val="1"/>
          <w:w w:val="99"/>
          <w:sz w:val="18"/>
          <w:vertAlign w:val="baseline"/>
        </w:rPr>
        <w:t>专科医生</w:t>
      </w:r>
      <w:r>
        <w:rPr>
          <w:sz w:val="18"/>
          <w:vertAlign w:val="baseline"/>
        </w:rPr>
        <w:t>：专科医生应当</w:t>
      </w:r>
      <w:r>
        <w:rPr>
          <w:color w:val="000000"/>
          <w:sz w:val="18"/>
          <w:shd w:fill="E4E4E4" w:color="auto" w:val="clear"/>
          <w:vertAlign w:val="baseline"/>
        </w:rPr>
        <w:t>同时满足以下四项资格条件</w:t>
      </w:r>
      <w:r>
        <w:rPr>
          <w:color w:val="000000"/>
          <w:sz w:val="18"/>
          <w:vertAlign w:val="baseline"/>
        </w:rPr>
        <w:t>：</w:t>
      </w:r>
      <w:r>
        <w:rPr>
          <w:color w:val="000000"/>
          <w:spacing w:val="2"/>
          <w:sz w:val="18"/>
          <w:vertAlign w:val="baseline"/>
        </w:rPr>
        <w:t>（</w:t>
      </w:r>
      <w:r>
        <w:rPr>
          <w:rFonts w:ascii="Times New Roman" w:eastAsia="Times New Roman"/>
          <w:color w:val="000000"/>
          <w:spacing w:val="1"/>
          <w:sz w:val="18"/>
          <w:vertAlign w:val="baseline"/>
        </w:rPr>
        <w:t>1</w:t>
      </w:r>
      <w:r>
        <w:rPr>
          <w:color w:val="000000"/>
          <w:sz w:val="18"/>
          <w:vertAlign w:val="baseline"/>
        </w:rPr>
        <w:t>）具有有效的中华人民共和国《医师资格证书》；</w:t>
      </w:r>
      <w:r>
        <w:rPr>
          <w:color w:val="000000"/>
          <w:spacing w:val="2"/>
          <w:sz w:val="18"/>
          <w:vertAlign w:val="baseline"/>
        </w:rPr>
        <w:t>（</w:t>
      </w:r>
      <w:r>
        <w:rPr>
          <w:rFonts w:ascii="Times New Roman" w:eastAsia="Times New Roman"/>
          <w:color w:val="000000"/>
          <w:spacing w:val="1"/>
          <w:sz w:val="18"/>
          <w:vertAlign w:val="baseline"/>
        </w:rPr>
        <w:t>2</w:t>
      </w:r>
      <w:r>
        <w:rPr>
          <w:color w:val="000000"/>
          <w:sz w:val="18"/>
          <w:vertAlign w:val="baseline"/>
        </w:rPr>
        <w:t>）</w:t>
      </w:r>
      <w:r>
        <w:rPr>
          <w:color w:val="000000"/>
          <w:spacing w:val="-5"/>
          <w:sz w:val="18"/>
          <w:vertAlign w:val="baseline"/>
        </w:rPr>
        <w:t>具有</w:t>
      </w:r>
      <w:r>
        <w:rPr>
          <w:color w:val="000000"/>
          <w:spacing w:val="2"/>
          <w:sz w:val="18"/>
          <w:vertAlign w:val="baseline"/>
        </w:rPr>
        <w:t>有效的中华人民共和国《医师执业证书》，并按期到相关部门登记注册；（</w:t>
      </w:r>
      <w:r>
        <w:rPr>
          <w:rFonts w:ascii="Times New Roman" w:eastAsia="Times New Roman"/>
          <w:color w:val="000000"/>
          <w:spacing w:val="3"/>
          <w:sz w:val="18"/>
          <w:vertAlign w:val="baseline"/>
        </w:rPr>
        <w:t>3</w:t>
      </w:r>
      <w:r>
        <w:rPr>
          <w:color w:val="000000"/>
          <w:spacing w:val="2"/>
          <w:sz w:val="18"/>
          <w:vertAlign w:val="baseline"/>
        </w:rPr>
        <w:t>）</w:t>
      </w:r>
      <w:r>
        <w:rPr>
          <w:color w:val="000000"/>
          <w:spacing w:val="1"/>
          <w:sz w:val="18"/>
          <w:vertAlign w:val="baseline"/>
        </w:rPr>
        <w:t>具有有效的中华人民共和国主治医师或</w:t>
      </w:r>
      <w:r>
        <w:rPr>
          <w:color w:val="000000"/>
          <w:spacing w:val="2"/>
          <w:sz w:val="18"/>
          <w:vertAlign w:val="baseline"/>
        </w:rPr>
        <w:t>主治医师以上职称的《医师职称证书》；</w:t>
      </w:r>
      <w:r>
        <w:rPr>
          <w:color w:val="000000"/>
          <w:spacing w:val="4"/>
          <w:sz w:val="18"/>
          <w:vertAlign w:val="baseline"/>
        </w:rPr>
        <w:t>（</w:t>
      </w:r>
      <w:r>
        <w:rPr>
          <w:rFonts w:ascii="Times New Roman" w:eastAsia="Times New Roman"/>
          <w:color w:val="000000"/>
          <w:spacing w:val="3"/>
          <w:sz w:val="18"/>
          <w:vertAlign w:val="baseline"/>
        </w:rPr>
        <w:t>4</w:t>
      </w:r>
      <w:r>
        <w:rPr>
          <w:color w:val="000000"/>
          <w:spacing w:val="2"/>
          <w:sz w:val="18"/>
          <w:vertAlign w:val="baseline"/>
        </w:rPr>
        <w:t>）</w:t>
      </w:r>
      <w:r>
        <w:rPr>
          <w:color w:val="000000"/>
          <w:spacing w:val="1"/>
          <w:sz w:val="18"/>
          <w:vertAlign w:val="baseline"/>
        </w:rPr>
        <w:t>在国家《医院分级管理标准》二级或二级以上医院的相应科室从事临床工作三年以上。</w:t>
      </w:r>
    </w:p>
    <w:p>
      <w:pPr>
        <w:spacing w:after="0" w:line="242" w:lineRule="auto"/>
        <w:jc w:val="both"/>
        <w:rPr>
          <w:sz w:val="18"/>
        </w:rPr>
        <w:sectPr>
          <w:type w:val="continuous"/>
          <w:pgSz w:w="11910" w:h="16840"/>
          <w:pgMar w:header="484" w:footer="706" w:top="1240" w:bottom="900" w:left="980" w:right="980"/>
        </w:sectPr>
      </w:pPr>
    </w:p>
    <w:p>
      <w:pPr>
        <w:pStyle w:val="BodyText"/>
        <w:spacing w:before="7"/>
        <w:rPr>
          <w:sz w:val="14"/>
        </w:rPr>
      </w:pPr>
    </w:p>
    <w:p>
      <w:pPr>
        <w:pStyle w:val="BodyText"/>
        <w:spacing w:line="324" w:lineRule="auto" w:before="70"/>
        <w:ind w:left="2480" w:right="150"/>
        <w:jc w:val="both"/>
      </w:pPr>
      <w:r>
        <w:rPr>
          <w:color w:val="000000"/>
          <w:spacing w:val="-2"/>
          <w:shd w:fill="E4E4E4" w:color="auto" w:val="clear"/>
        </w:rPr>
        <w:t>我们首次给付重大疾病保险金后，本合同的现金价值降为零，并豁免本合同</w:t>
      </w:r>
      <w:r>
        <w:rPr>
          <w:color w:val="000000"/>
          <w:spacing w:val="40"/>
          <w:shd w:fill="E4E4E4" w:color="auto" w:val="clear"/>
        </w:rPr>
        <w:t> </w:t>
      </w:r>
      <w:r>
        <w:rPr>
          <w:color w:val="000000"/>
          <w:spacing w:val="-2"/>
          <w:shd w:fill="E4E4E4" w:color="auto" w:val="clear"/>
        </w:rPr>
        <w:t>自首次重大疾病确诊之日以后各期的期交保险费，但不包含被保险人确诊之日之前所欠交的保险费及利息，同时“身故保险金”、“全残保险金”、</w:t>
      </w:r>
      <w:r>
        <w:rPr>
          <w:color w:val="000000"/>
          <w:spacing w:val="80"/>
        </w:rPr>
        <w:t> </w:t>
      </w:r>
      <w:r>
        <w:rPr>
          <w:color w:val="000000"/>
          <w:spacing w:val="-2"/>
          <w:shd w:fill="E4E4E4" w:color="auto" w:val="clear"/>
        </w:rPr>
        <w:t>“中度疾病保险金”、“轻度疾病保险金”、“中度疾病或轻度疾病豁免保</w:t>
      </w:r>
      <w:r>
        <w:rPr>
          <w:color w:val="000000"/>
          <w:spacing w:val="-2"/>
          <w:shd w:fill="E4E4E4" w:color="auto" w:val="clear"/>
        </w:rPr>
        <w:t>险费”责任均终止，即我们不再承担“身故保险金”、“全残保险金”、</w:t>
      </w:r>
      <w:r>
        <w:rPr>
          <w:color w:val="000000"/>
          <w:spacing w:val="80"/>
        </w:rPr>
        <w:t> </w:t>
      </w:r>
      <w:r>
        <w:rPr>
          <w:color w:val="000000"/>
          <w:spacing w:val="-2"/>
          <w:shd w:fill="E4E4E4" w:color="auto" w:val="clear"/>
        </w:rPr>
        <w:t>“中度疾病保险金”、“轻度疾病保险金”、“中度疾病或轻度疾病豁免保险费”责任。</w:t>
      </w:r>
    </w:p>
    <w:p>
      <w:pPr>
        <w:pStyle w:val="BodyText"/>
        <w:spacing w:before="6"/>
        <w:rPr>
          <w:sz w:val="29"/>
        </w:rPr>
      </w:pPr>
    </w:p>
    <w:p>
      <w:pPr>
        <w:pStyle w:val="BodyText"/>
        <w:ind w:left="2480"/>
      </w:pPr>
      <w:r>
        <w:rPr>
          <w:spacing w:val="-2"/>
        </w:rPr>
        <w:t>（二）</w:t>
      </w:r>
      <w:r>
        <w:rPr>
          <w:spacing w:val="-3"/>
        </w:rPr>
        <w:t>第二次重大疾病保险金</w:t>
      </w:r>
    </w:p>
    <w:p>
      <w:pPr>
        <w:pStyle w:val="BodyText"/>
        <w:spacing w:line="324" w:lineRule="auto" w:before="97"/>
        <w:ind w:left="2480" w:right="150"/>
        <w:jc w:val="both"/>
      </w:pPr>
      <w:r>
        <w:rPr>
          <w:spacing w:val="2"/>
          <w:w w:val="100"/>
        </w:rPr>
        <w:t>若被保险人在等待期后初次发生，且自首次重大疾病确诊之日起满</w:t>
      </w:r>
      <w:r>
        <w:rPr>
          <w:spacing w:val="4"/>
          <w:w w:val="100"/>
        </w:rPr>
        <w:t>1</w:t>
      </w:r>
      <w:r>
        <w:rPr>
          <w:spacing w:val="2"/>
          <w:w w:val="100"/>
        </w:rPr>
        <w:t>年后，</w:t>
      </w:r>
      <w:r>
        <w:rPr>
          <w:spacing w:val="-1"/>
          <w:w w:val="100"/>
        </w:rPr>
        <w:t>并经医院专科医生首次明确诊断确定</w:t>
      </w:r>
      <w:r>
        <w:rPr>
          <w:color w:val="000000"/>
          <w:spacing w:val="-1"/>
          <w:w w:val="100"/>
          <w:shd w:fill="E4E4E4" w:color="auto" w:val="clear"/>
        </w:rPr>
        <w:t>罹患首次重大疾病以外的重大疾病（</w:t>
      </w:r>
      <w:r>
        <w:rPr>
          <w:color w:val="000000"/>
          <w:w w:val="100"/>
          <w:shd w:fill="E4E4E4" w:color="auto" w:val="clear"/>
        </w:rPr>
        <w:t>无</w:t>
      </w:r>
      <w:r>
        <w:rPr>
          <w:color w:val="000000"/>
          <w:w w:val="100"/>
          <w:shd w:fill="E4E4E4" w:color="auto" w:val="clear"/>
        </w:rPr>
        <w:t>                                                                                                                                  </w:t>
      </w:r>
      <w:r>
        <w:rPr>
          <w:color w:val="000000"/>
          <w:spacing w:val="-1"/>
          <w:w w:val="100"/>
          <w:shd w:fill="E4E4E4" w:color="auto" w:val="clear"/>
        </w:rPr>
        <w:t>论一种或多种），我们将根据本合同的基本保险金额向重大疾病保险金受益</w:t>
      </w:r>
      <w:r>
        <w:rPr>
          <w:color w:val="000000"/>
          <w:spacing w:val="-3"/>
          <w:w w:val="100"/>
          <w:shd w:fill="E4E4E4" w:color="auto" w:val="clear"/>
        </w:rPr>
        <w:t>人给付“第二次重大疾病保险金”，本项保险责任终止。</w:t>
      </w:r>
    </w:p>
    <w:p>
      <w:pPr>
        <w:pStyle w:val="BodyText"/>
        <w:spacing w:before="1"/>
        <w:rPr>
          <w:sz w:val="24"/>
        </w:rPr>
      </w:pPr>
    </w:p>
    <w:p>
      <w:pPr>
        <w:pStyle w:val="BodyText"/>
        <w:spacing w:line="324" w:lineRule="auto" w:before="70"/>
        <w:ind w:left="2480" w:right="150"/>
      </w:pPr>
      <w:r>
        <w:rPr>
          <w:color w:val="000000"/>
          <w:spacing w:val="-2"/>
          <w:shd w:fill="E4E4E4" w:color="auto" w:val="clear"/>
        </w:rPr>
        <w:t>每种重大疾病只给付一次重大疾病保险金，给付后该种重大疾病保险责任终</w:t>
      </w:r>
      <w:r>
        <w:rPr>
          <w:color w:val="000000"/>
          <w:spacing w:val="80"/>
          <w:w w:val="150"/>
          <w:shd w:fill="E4E4E4" w:color="auto" w:val="clear"/>
        </w:rPr>
        <w:t>                                       </w:t>
      </w:r>
      <w:r>
        <w:rPr>
          <w:color w:val="000000"/>
          <w:spacing w:val="-2"/>
          <w:shd w:fill="E4E4E4" w:color="auto" w:val="clear"/>
        </w:rPr>
        <w:t>止。本合同的重大疾病保险金累计给付以两次为限。</w:t>
      </w:r>
    </w:p>
    <w:p>
      <w:pPr>
        <w:pStyle w:val="BodyText"/>
        <w:spacing w:before="2"/>
        <w:rPr>
          <w:sz w:val="24"/>
        </w:rPr>
      </w:pPr>
    </w:p>
    <w:p>
      <w:pPr>
        <w:pStyle w:val="BodyText"/>
        <w:spacing w:line="324" w:lineRule="auto" w:before="70"/>
        <w:ind w:left="2480" w:right="150"/>
      </w:pPr>
      <w:r>
        <w:rPr>
          <w:color w:val="000000"/>
          <w:spacing w:val="-2"/>
          <w:shd w:fill="E4E4E4" w:color="auto" w:val="clear"/>
        </w:rPr>
        <w:t>如果被保险人因同一原因或在同一事故中导致其发生本合同所指的两种或者</w:t>
      </w:r>
      <w:r>
        <w:rPr>
          <w:color w:val="000000"/>
          <w:spacing w:val="80"/>
          <w:w w:val="150"/>
          <w:shd w:fill="E4E4E4" w:color="auto" w:val="clear"/>
        </w:rPr>
        <w:t>                                       </w:t>
      </w:r>
      <w:r>
        <w:rPr>
          <w:color w:val="000000"/>
          <w:spacing w:val="-2"/>
          <w:shd w:fill="E4E4E4" w:color="auto" w:val="clear"/>
        </w:rPr>
        <w:t>两种以上的重大疾病，我们仅按一种重大疾病给付重大疾病保险金。</w:t>
      </w:r>
    </w:p>
    <w:p>
      <w:pPr>
        <w:pStyle w:val="BodyText"/>
        <w:spacing w:before="7"/>
        <w:rPr>
          <w:sz w:val="21"/>
        </w:rPr>
      </w:pPr>
    </w:p>
    <w:p>
      <w:pPr>
        <w:spacing w:after="0"/>
        <w:rPr>
          <w:sz w:val="21"/>
        </w:rPr>
        <w:sectPr>
          <w:pgSz w:w="11910" w:h="16840"/>
          <w:pgMar w:header="484" w:footer="706" w:top="1240" w:bottom="900" w:left="980" w:right="980"/>
        </w:sectPr>
      </w:pPr>
    </w:p>
    <w:p>
      <w:pPr>
        <w:pStyle w:val="Heading2"/>
        <w:spacing w:line="261" w:lineRule="auto" w:before="73"/>
        <w:ind w:left="930"/>
      </w:pPr>
      <w:r>
        <w:rPr>
          <w:spacing w:val="-2"/>
        </w:rPr>
        <w:t>中度疾病保险</w:t>
      </w:r>
      <w:r>
        <w:rPr>
          <w:spacing w:val="-10"/>
        </w:rPr>
        <w:t>金</w:t>
      </w:r>
    </w:p>
    <w:p>
      <w:pPr>
        <w:pStyle w:val="BodyText"/>
        <w:spacing w:line="324" w:lineRule="auto" w:before="103"/>
        <w:ind w:left="187" w:right="150"/>
        <w:jc w:val="both"/>
      </w:pPr>
      <w:r>
        <w:rPr/>
        <w:br w:type="column"/>
      </w:r>
      <w:r>
        <w:rPr>
          <w:spacing w:val="-2"/>
        </w:rPr>
        <w:t>被保险人于等待期后初次发生并经医院专科医生明确诊断确定</w:t>
      </w:r>
      <w:r>
        <w:rPr>
          <w:color w:val="000000"/>
          <w:spacing w:val="-2"/>
          <w:shd w:fill="E4E4E4" w:color="auto" w:val="clear"/>
        </w:rPr>
        <w:t>罹患本合同约</w:t>
      </w:r>
      <w:r>
        <w:rPr>
          <w:color w:val="000000"/>
          <w:spacing w:val="40"/>
          <w:shd w:fill="E4E4E4" w:color="auto" w:val="clear"/>
        </w:rPr>
        <w:t> </w:t>
      </w:r>
      <w:r>
        <w:rPr>
          <w:color w:val="000000"/>
          <w:spacing w:val="-2"/>
          <w:shd w:fill="E4E4E4" w:color="auto" w:val="clear"/>
        </w:rPr>
        <w:t>定的中度疾病（无论一种或多种），我们将根据本合同的基本保险金额的</w:t>
      </w:r>
      <w:r>
        <w:rPr>
          <w:color w:val="000000"/>
          <w:spacing w:val="-2"/>
        </w:rPr>
        <w:t> </w:t>
      </w:r>
      <w:r>
        <w:rPr>
          <w:color w:val="000000"/>
          <w:spacing w:val="-2"/>
          <w:shd w:fill="E4E4E4" w:color="auto" w:val="clear"/>
        </w:rPr>
        <w:t>60%向中度疾病保险金受益人给付“中度疾病保险金”。</w:t>
      </w:r>
    </w:p>
    <w:p>
      <w:pPr>
        <w:pStyle w:val="BodyText"/>
        <w:spacing w:line="324" w:lineRule="auto"/>
        <w:ind w:left="187" w:right="150"/>
        <w:jc w:val="both"/>
      </w:pPr>
      <w:r>
        <w:rPr>
          <w:color w:val="000000"/>
          <w:spacing w:val="-2"/>
          <w:shd w:fill="E4E4E4" w:color="auto" w:val="clear"/>
        </w:rPr>
        <w:t>每种中度疾病只给付一次中度疾病保险金，给付后该种中度疾病保险责任终</w:t>
      </w:r>
      <w:r>
        <w:rPr>
          <w:color w:val="000000"/>
          <w:spacing w:val="40"/>
          <w:shd w:fill="E4E4E4" w:color="auto" w:val="clear"/>
        </w:rPr>
        <w:t> </w:t>
      </w:r>
      <w:r>
        <w:rPr>
          <w:color w:val="000000"/>
          <w:spacing w:val="-2"/>
          <w:shd w:fill="E4E4E4" w:color="auto" w:val="clear"/>
        </w:rPr>
        <w:t>止。本合同的中度疾病保险金累计给付以两次为限，当累计给付的中度疾病保险金次数达到两次时，本项保险责任终止。</w:t>
      </w:r>
    </w:p>
    <w:p>
      <w:pPr>
        <w:spacing w:after="0" w:line="324" w:lineRule="auto"/>
        <w:jc w:val="both"/>
        <w:sectPr>
          <w:type w:val="continuous"/>
          <w:pgSz w:w="11910" w:h="16840"/>
          <w:pgMar w:header="484" w:footer="706" w:top="1240" w:bottom="900" w:left="980" w:right="980"/>
          <w:cols w:num="2" w:equalWidth="0">
            <w:col w:w="2253" w:space="40"/>
            <w:col w:w="7657"/>
          </w:cols>
        </w:sectPr>
      </w:pPr>
    </w:p>
    <w:p>
      <w:pPr>
        <w:pStyle w:val="BodyText"/>
        <w:spacing w:before="11"/>
        <w:rPr>
          <w:sz w:val="23"/>
        </w:rPr>
      </w:pPr>
    </w:p>
    <w:p>
      <w:pPr>
        <w:pStyle w:val="BodyText"/>
        <w:spacing w:line="324" w:lineRule="auto" w:before="70"/>
        <w:ind w:left="2480" w:right="150"/>
      </w:pPr>
      <w:r>
        <w:rPr>
          <w:color w:val="000000"/>
          <w:spacing w:val="-2"/>
          <w:shd w:fill="E4E4E4" w:color="auto" w:val="clear"/>
        </w:rPr>
        <w:t>如果被保险人因同一原因或在同一事故中导致其发生本合同所指的重大疾</w:t>
      </w:r>
      <w:r>
        <w:rPr>
          <w:color w:val="000000"/>
          <w:spacing w:val="80"/>
          <w:w w:val="150"/>
          <w:shd w:fill="E4E4E4" w:color="auto" w:val="clear"/>
        </w:rPr>
        <w:t>                                       </w:t>
      </w:r>
      <w:r>
        <w:rPr>
          <w:color w:val="000000"/>
          <w:spacing w:val="-2"/>
          <w:shd w:fill="E4E4E4" w:color="auto" w:val="clear"/>
        </w:rPr>
        <w:t>病，且同时符合本合同中度疾病的标准，我们仅给付重大疾病保险金。</w:t>
      </w:r>
    </w:p>
    <w:p>
      <w:pPr>
        <w:pStyle w:val="BodyText"/>
        <w:spacing w:before="7"/>
        <w:rPr>
          <w:sz w:val="21"/>
        </w:rPr>
      </w:pPr>
    </w:p>
    <w:p>
      <w:pPr>
        <w:spacing w:after="0"/>
        <w:rPr>
          <w:sz w:val="21"/>
        </w:rPr>
        <w:sectPr>
          <w:type w:val="continuous"/>
          <w:pgSz w:w="11910" w:h="16840"/>
          <w:pgMar w:header="484" w:footer="706" w:top="1240" w:bottom="900" w:left="980" w:right="980"/>
        </w:sectPr>
      </w:pPr>
    </w:p>
    <w:p>
      <w:pPr>
        <w:pStyle w:val="Heading2"/>
        <w:spacing w:line="261" w:lineRule="auto" w:before="73"/>
        <w:ind w:left="930"/>
      </w:pPr>
      <w:r>
        <w:rPr>
          <w:spacing w:val="-2"/>
        </w:rPr>
        <w:t>轻度疾病保险</w:t>
      </w:r>
      <w:r>
        <w:rPr>
          <w:spacing w:val="-10"/>
        </w:rPr>
        <w:t>金</w:t>
      </w:r>
    </w:p>
    <w:p>
      <w:pPr>
        <w:pStyle w:val="BodyText"/>
        <w:spacing w:line="324" w:lineRule="auto" w:before="103"/>
        <w:ind w:left="187" w:right="150"/>
        <w:jc w:val="both"/>
      </w:pPr>
      <w:r>
        <w:rPr/>
        <w:br w:type="column"/>
      </w:r>
      <w:r>
        <w:rPr>
          <w:spacing w:val="-2"/>
        </w:rPr>
        <w:t>被保险人于等待期后初次发生并经医院专科医生明确诊断确定</w:t>
      </w:r>
      <w:r>
        <w:rPr>
          <w:color w:val="000000"/>
          <w:spacing w:val="-2"/>
          <w:shd w:fill="E4E4E4" w:color="auto" w:val="clear"/>
        </w:rPr>
        <w:t>罹患本合同约</w:t>
      </w:r>
      <w:r>
        <w:rPr>
          <w:color w:val="000000"/>
          <w:spacing w:val="40"/>
          <w:shd w:fill="E4E4E4" w:color="auto" w:val="clear"/>
        </w:rPr>
        <w:t> </w:t>
      </w:r>
      <w:r>
        <w:rPr>
          <w:color w:val="000000"/>
          <w:spacing w:val="-2"/>
          <w:shd w:fill="E4E4E4" w:color="auto" w:val="clear"/>
        </w:rPr>
        <w:t>定的轻度疾病（无论一种或多种），我们将根据本合同的基本保险金额的</w:t>
      </w:r>
      <w:r>
        <w:rPr>
          <w:color w:val="000000"/>
          <w:spacing w:val="-2"/>
        </w:rPr>
        <w:t> </w:t>
      </w:r>
      <w:r>
        <w:rPr>
          <w:color w:val="000000"/>
          <w:spacing w:val="-2"/>
          <w:shd w:fill="E4E4E4" w:color="auto" w:val="clear"/>
        </w:rPr>
        <w:t>30%向轻度疾病保险金受益人给付“轻度疾病保险金”。</w:t>
      </w:r>
    </w:p>
    <w:p>
      <w:pPr>
        <w:pStyle w:val="BodyText"/>
        <w:spacing w:line="324" w:lineRule="auto"/>
        <w:ind w:left="187" w:right="150"/>
        <w:jc w:val="both"/>
      </w:pPr>
      <w:r>
        <w:rPr>
          <w:color w:val="000000"/>
          <w:spacing w:val="-2"/>
          <w:shd w:fill="E4E4E4" w:color="auto" w:val="clear"/>
        </w:rPr>
        <w:t>每种轻度疾病只给付一次轻度疾病保险金，给付后该种轻度疾病保险责任终</w:t>
      </w:r>
      <w:r>
        <w:rPr>
          <w:color w:val="000000"/>
          <w:spacing w:val="40"/>
          <w:shd w:fill="E4E4E4" w:color="auto" w:val="clear"/>
        </w:rPr>
        <w:t> </w:t>
      </w:r>
      <w:r>
        <w:rPr>
          <w:color w:val="000000"/>
          <w:spacing w:val="-2"/>
          <w:shd w:fill="E4E4E4" w:color="auto" w:val="clear"/>
        </w:rPr>
        <w:t>止。本合同的轻度疾病保险金累计给付以四次为限，当累计给付的轻度疾病保险金次数达到四次时，本项保险责任终止。</w:t>
      </w:r>
    </w:p>
    <w:p>
      <w:pPr>
        <w:spacing w:after="0" w:line="324" w:lineRule="auto"/>
        <w:jc w:val="both"/>
        <w:sectPr>
          <w:type w:val="continuous"/>
          <w:pgSz w:w="11910" w:h="16840"/>
          <w:pgMar w:header="484" w:footer="706" w:top="1240" w:bottom="900" w:left="980" w:right="980"/>
          <w:cols w:num="2" w:equalWidth="0">
            <w:col w:w="2253" w:space="40"/>
            <w:col w:w="7657"/>
          </w:cols>
        </w:sectPr>
      </w:pPr>
    </w:p>
    <w:p>
      <w:pPr>
        <w:pStyle w:val="BodyText"/>
        <w:rPr>
          <w:sz w:val="20"/>
        </w:rPr>
      </w:pPr>
    </w:p>
    <w:p>
      <w:pPr>
        <w:pStyle w:val="BodyText"/>
        <w:spacing w:before="4"/>
        <w:rPr>
          <w:sz w:val="24"/>
        </w:rPr>
      </w:pPr>
    </w:p>
    <w:p>
      <w:pPr>
        <w:pStyle w:val="BodyText"/>
        <w:spacing w:line="324" w:lineRule="auto" w:before="71"/>
        <w:ind w:left="2480" w:right="150"/>
      </w:pPr>
      <w:r>
        <w:rPr>
          <w:color w:val="000000"/>
          <w:spacing w:val="-2"/>
          <w:shd w:fill="E4E4E4" w:color="auto" w:val="clear"/>
        </w:rPr>
        <w:t>如果被保险人因同一原因或在同一事故中导致其发生本合同所指的两种或者</w:t>
      </w:r>
      <w:r>
        <w:rPr>
          <w:color w:val="000000"/>
          <w:spacing w:val="80"/>
          <w:w w:val="150"/>
          <w:shd w:fill="E4E4E4" w:color="auto" w:val="clear"/>
        </w:rPr>
        <w:t>                                       </w:t>
      </w:r>
      <w:r>
        <w:rPr>
          <w:color w:val="000000"/>
          <w:spacing w:val="-2"/>
          <w:shd w:fill="E4E4E4" w:color="auto" w:val="clear"/>
        </w:rPr>
        <w:t>两种以上的轻度疾病，我们仅按一种轻度疾病给付轻度疾病保险金。</w:t>
      </w:r>
    </w:p>
    <w:p>
      <w:pPr>
        <w:pStyle w:val="BodyText"/>
        <w:spacing w:line="324" w:lineRule="auto"/>
        <w:ind w:left="2480" w:right="150"/>
      </w:pPr>
      <w:r>
        <w:rPr>
          <w:color w:val="000000"/>
          <w:spacing w:val="-2"/>
          <w:shd w:fill="E4E4E4" w:color="auto" w:val="clear"/>
        </w:rPr>
        <w:t>如果被保险人因同一原因或在同一事故中导致其发生本合同所指的中度疾</w:t>
      </w:r>
      <w:r>
        <w:rPr>
          <w:color w:val="000000"/>
          <w:spacing w:val="80"/>
          <w:w w:val="150"/>
          <w:shd w:fill="E4E4E4" w:color="auto" w:val="clear"/>
        </w:rPr>
        <w:t>                                       </w:t>
      </w:r>
      <w:r>
        <w:rPr>
          <w:color w:val="000000"/>
          <w:spacing w:val="-2"/>
          <w:shd w:fill="E4E4E4" w:color="auto" w:val="clear"/>
        </w:rPr>
        <w:t>病，且同时符合本合同轻度疾病的标准，我们仅给付中度疾病保险金。</w:t>
      </w:r>
    </w:p>
    <w:p>
      <w:pPr>
        <w:pStyle w:val="BodyText"/>
        <w:spacing w:line="324" w:lineRule="auto"/>
        <w:ind w:left="2480" w:right="150"/>
      </w:pPr>
      <w:r>
        <w:rPr>
          <w:color w:val="000000"/>
          <w:spacing w:val="-2"/>
          <w:shd w:fill="E4E4E4" w:color="auto" w:val="clear"/>
        </w:rPr>
        <w:t>如果被保险人因同一原因或在同一事故中导致其发生本合同所指的重大疾</w:t>
      </w:r>
      <w:r>
        <w:rPr>
          <w:color w:val="000000"/>
          <w:spacing w:val="80"/>
          <w:w w:val="150"/>
          <w:shd w:fill="E4E4E4" w:color="auto" w:val="clear"/>
        </w:rPr>
        <w:t>                                       </w:t>
      </w:r>
      <w:r>
        <w:rPr>
          <w:color w:val="000000"/>
          <w:spacing w:val="-2"/>
          <w:shd w:fill="E4E4E4" w:color="auto" w:val="clear"/>
        </w:rPr>
        <w:t>病，且同时符合本合同轻度疾病的标准，我们仅给付重大疾病保险金。</w:t>
      </w:r>
    </w:p>
    <w:p>
      <w:pPr>
        <w:pStyle w:val="BodyText"/>
        <w:spacing w:before="4"/>
        <w:rPr>
          <w:sz w:val="21"/>
        </w:rPr>
      </w:pPr>
    </w:p>
    <w:p>
      <w:pPr>
        <w:spacing w:after="0"/>
        <w:rPr>
          <w:sz w:val="21"/>
        </w:rPr>
        <w:sectPr>
          <w:pgSz w:w="11910" w:h="16840"/>
          <w:pgMar w:header="484" w:footer="706" w:top="1240" w:bottom="900" w:left="980" w:right="980"/>
        </w:sectPr>
      </w:pPr>
    </w:p>
    <w:p>
      <w:pPr>
        <w:pStyle w:val="Heading2"/>
        <w:spacing w:line="261" w:lineRule="auto" w:before="72"/>
        <w:ind w:left="930"/>
        <w:jc w:val="both"/>
      </w:pPr>
      <w:r>
        <w:rPr>
          <w:spacing w:val="-2"/>
        </w:rPr>
        <w:t>中度疾病或轻</w:t>
      </w:r>
      <w:r>
        <w:rPr>
          <w:spacing w:val="-2"/>
        </w:rPr>
        <w:t>度疾病豁免保</w:t>
      </w:r>
      <w:r>
        <w:rPr>
          <w:spacing w:val="-6"/>
        </w:rPr>
        <w:t>险费</w:t>
      </w:r>
    </w:p>
    <w:p>
      <w:pPr>
        <w:pStyle w:val="BodyText"/>
        <w:spacing w:line="324" w:lineRule="auto" w:before="103"/>
        <w:ind w:left="187" w:right="150"/>
        <w:jc w:val="both"/>
      </w:pPr>
      <w:r>
        <w:rPr/>
        <w:br w:type="column"/>
      </w:r>
      <w:r>
        <w:rPr>
          <w:spacing w:val="-2"/>
        </w:rPr>
        <w:t>被保险人于等待期后初次发生并经医院专科医生明确诊断确定</w:t>
      </w:r>
      <w:r>
        <w:rPr>
          <w:color w:val="000000"/>
          <w:spacing w:val="-2"/>
          <w:shd w:fill="E4E4E4" w:color="auto" w:val="clear"/>
        </w:rPr>
        <w:t>罹患本合同约</w:t>
      </w:r>
      <w:r>
        <w:rPr>
          <w:color w:val="000000"/>
          <w:spacing w:val="40"/>
          <w:shd w:fill="E4E4E4" w:color="auto" w:val="clear"/>
        </w:rPr>
        <w:t> </w:t>
      </w:r>
      <w:r>
        <w:rPr>
          <w:color w:val="000000"/>
          <w:spacing w:val="-2"/>
          <w:shd w:fill="E4E4E4" w:color="auto" w:val="clear"/>
        </w:rPr>
        <w:t>定的中度疾病（无论一种或多种）或轻度疾病（无论一种或多种），我们豁免自中度疾病或轻度疾病确诊之日以后本合同各期的期交保险费，但不包含被保险人确诊之日之前所欠交的保险费及利息，本项保险责任终止。</w:t>
      </w:r>
    </w:p>
    <w:p>
      <w:pPr>
        <w:spacing w:after="0" w:line="324" w:lineRule="auto"/>
        <w:jc w:val="both"/>
        <w:sectPr>
          <w:type w:val="continuous"/>
          <w:pgSz w:w="11910" w:h="16840"/>
          <w:pgMar w:header="484" w:footer="706" w:top="1240" w:bottom="900" w:left="980" w:right="980"/>
          <w:cols w:num="2" w:equalWidth="0">
            <w:col w:w="2253" w:space="40"/>
            <w:col w:w="7657"/>
          </w:cols>
        </w:sectPr>
      </w:pPr>
    </w:p>
    <w:p>
      <w:pPr>
        <w:pStyle w:val="BodyText"/>
        <w:spacing w:before="4"/>
        <w:rPr>
          <w:sz w:val="21"/>
        </w:rPr>
      </w:pPr>
    </w:p>
    <w:p>
      <w:pPr>
        <w:pStyle w:val="BodyText"/>
        <w:spacing w:line="280" w:lineRule="auto" w:before="75"/>
        <w:ind w:left="2480" w:right="152" w:hanging="1551"/>
        <w:jc w:val="both"/>
      </w:pPr>
      <w:r>
        <w:rPr>
          <w:rFonts w:ascii="华文中宋" w:hAnsi="华文中宋" w:eastAsia="华文中宋" w:hint="eastAsia"/>
          <w:b/>
        </w:rPr>
        <w:t>身故保险金</w:t>
      </w:r>
      <w:r>
        <w:rPr>
          <w:rFonts w:ascii="华文中宋" w:hAnsi="华文中宋" w:eastAsia="华文中宋" w:hint="eastAsia"/>
          <w:b/>
          <w:spacing w:val="80"/>
          <w:w w:val="150"/>
        </w:rPr>
        <w:t>   </w:t>
      </w:r>
      <w:r>
        <w:rPr/>
        <w:t>被保险人身故，我们按下表所示金额向身故保险金受益人给付“身故保险</w:t>
      </w:r>
      <w:r>
        <w:rPr>
          <w:spacing w:val="-2"/>
        </w:rPr>
        <w:t>金”，本合同终止。</w:t>
      </w:r>
    </w:p>
    <w:tbl>
      <w:tblPr>
        <w:tblW w:w="0" w:type="auto"/>
        <w:jc w:val="left"/>
        <w:tblInd w:w="2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488"/>
        <w:gridCol w:w="4808"/>
      </w:tblGrid>
      <w:tr>
        <w:trPr>
          <w:trHeight w:val="387" w:hRule="atLeast"/>
        </w:trPr>
        <w:tc>
          <w:tcPr>
            <w:tcW w:w="2488" w:type="dxa"/>
          </w:tcPr>
          <w:p>
            <w:pPr>
              <w:pStyle w:val="TableParagraph"/>
              <w:spacing w:before="55"/>
              <w:ind w:left="138" w:right="129"/>
              <w:jc w:val="center"/>
              <w:rPr>
                <w:sz w:val="22"/>
              </w:rPr>
            </w:pPr>
            <w:r>
              <w:rPr>
                <w:spacing w:val="-3"/>
                <w:sz w:val="22"/>
              </w:rPr>
              <w:t>被保险人身故时的年龄</w:t>
            </w:r>
          </w:p>
        </w:tc>
        <w:tc>
          <w:tcPr>
            <w:tcW w:w="4808" w:type="dxa"/>
          </w:tcPr>
          <w:p>
            <w:pPr>
              <w:pStyle w:val="TableParagraph"/>
              <w:spacing w:before="55"/>
              <w:ind w:left="1574" w:right="1565"/>
              <w:jc w:val="center"/>
              <w:rPr>
                <w:sz w:val="22"/>
              </w:rPr>
            </w:pPr>
            <w:r>
              <w:rPr>
                <w:spacing w:val="-4"/>
                <w:sz w:val="22"/>
              </w:rPr>
              <w:t>身故保险金</w:t>
            </w:r>
          </w:p>
        </w:tc>
      </w:tr>
      <w:tr>
        <w:trPr>
          <w:trHeight w:val="386" w:hRule="atLeast"/>
        </w:trPr>
        <w:tc>
          <w:tcPr>
            <w:tcW w:w="2488" w:type="dxa"/>
          </w:tcPr>
          <w:p>
            <w:pPr>
              <w:pStyle w:val="TableParagraph"/>
              <w:spacing w:before="54"/>
              <w:ind w:left="138" w:right="129"/>
              <w:jc w:val="center"/>
              <w:rPr>
                <w:rFonts w:ascii="PMingLiU-ExtB" w:eastAsia="PMingLiU-ExtB"/>
                <w:sz w:val="10"/>
              </w:rPr>
            </w:pPr>
            <w:r>
              <w:rPr>
                <w:spacing w:val="-2"/>
                <w:sz w:val="22"/>
              </w:rPr>
              <w:t>未满18</w:t>
            </w:r>
            <w:r>
              <w:rPr>
                <w:b/>
                <w:spacing w:val="-2"/>
                <w:sz w:val="22"/>
              </w:rPr>
              <w:t>周岁</w:t>
            </w:r>
            <w:hyperlink w:history="true" w:anchor="_bookmark11">
              <w:r>
                <w:rPr>
                  <w:rFonts w:ascii="PMingLiU-ExtB" w:eastAsia="PMingLiU-ExtB"/>
                  <w:spacing w:val="-5"/>
                  <w:position w:val="10"/>
                  <w:sz w:val="10"/>
                </w:rPr>
                <w:t>12</w:t>
              </w:r>
            </w:hyperlink>
          </w:p>
        </w:tc>
        <w:tc>
          <w:tcPr>
            <w:tcW w:w="4808" w:type="dxa"/>
          </w:tcPr>
          <w:p>
            <w:pPr>
              <w:pStyle w:val="TableParagraph"/>
              <w:spacing w:before="54"/>
              <w:ind w:left="1576" w:right="1565"/>
              <w:jc w:val="center"/>
              <w:rPr>
                <w:rFonts w:ascii="PMingLiU-ExtB" w:eastAsia="PMingLiU-ExtB"/>
                <w:sz w:val="10"/>
              </w:rPr>
            </w:pPr>
            <w:r>
              <w:rPr>
                <w:b/>
                <w:spacing w:val="-2"/>
                <w:sz w:val="22"/>
              </w:rPr>
              <w:t>累计已交保险费</w:t>
            </w:r>
            <w:hyperlink w:history="true" w:anchor="_bookmark12">
              <w:r>
                <w:rPr>
                  <w:rFonts w:ascii="PMingLiU-ExtB" w:eastAsia="PMingLiU-ExtB"/>
                  <w:spacing w:val="-5"/>
                  <w:position w:val="10"/>
                  <w:sz w:val="10"/>
                </w:rPr>
                <w:t>13</w:t>
              </w:r>
            </w:hyperlink>
          </w:p>
        </w:tc>
      </w:tr>
      <w:tr>
        <w:trPr>
          <w:trHeight w:val="408" w:hRule="atLeast"/>
        </w:trPr>
        <w:tc>
          <w:tcPr>
            <w:tcW w:w="2488" w:type="dxa"/>
          </w:tcPr>
          <w:p>
            <w:pPr>
              <w:pStyle w:val="TableParagraph"/>
              <w:spacing w:before="67"/>
              <w:ind w:left="138" w:right="129"/>
              <w:jc w:val="center"/>
              <w:rPr>
                <w:sz w:val="22"/>
              </w:rPr>
            </w:pPr>
            <w:r>
              <w:rPr>
                <w:spacing w:val="-2"/>
                <w:sz w:val="22"/>
              </w:rPr>
              <w:t>已满18</w:t>
            </w:r>
            <w:r>
              <w:rPr>
                <w:spacing w:val="-6"/>
                <w:sz w:val="22"/>
              </w:rPr>
              <w:t>周岁</w:t>
            </w:r>
          </w:p>
        </w:tc>
        <w:tc>
          <w:tcPr>
            <w:tcW w:w="4808" w:type="dxa"/>
          </w:tcPr>
          <w:p>
            <w:pPr>
              <w:pStyle w:val="TableParagraph"/>
              <w:spacing w:before="67"/>
              <w:ind w:left="1572" w:right="1565"/>
              <w:jc w:val="center"/>
              <w:rPr>
                <w:sz w:val="22"/>
              </w:rPr>
            </w:pPr>
            <w:r>
              <w:rPr>
                <w:spacing w:val="-4"/>
                <w:sz w:val="22"/>
              </w:rPr>
              <w:t>基本保险金额</w:t>
            </w:r>
          </w:p>
        </w:tc>
      </w:tr>
    </w:tbl>
    <w:p>
      <w:pPr>
        <w:pStyle w:val="BodyText"/>
        <w:spacing w:before="7"/>
        <w:rPr>
          <w:sz w:val="31"/>
        </w:rPr>
      </w:pPr>
    </w:p>
    <w:p>
      <w:pPr>
        <w:pStyle w:val="BodyText"/>
        <w:spacing w:line="302" w:lineRule="auto" w:before="1"/>
        <w:ind w:left="2480" w:right="150" w:hanging="1551"/>
        <w:jc w:val="both"/>
      </w:pPr>
      <w:r>
        <w:rPr/>
        <w:pict>
          <v:shape style="position:absolute;margin-left:173.059998pt;margin-top:54.286999pt;width:365.3pt;height:61.05pt;mso-position-horizontal-relative:page;mso-position-vertical-relative:paragraph;z-index:15730176" type="#_x0000_t202" id="docshape5"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488"/>
                    <w:gridCol w:w="4808"/>
                  </w:tblGrid>
                  <w:tr>
                    <w:trPr>
                      <w:trHeight w:val="387" w:hRule="atLeast"/>
                    </w:trPr>
                    <w:tc>
                      <w:tcPr>
                        <w:tcW w:w="2488" w:type="dxa"/>
                      </w:tcPr>
                      <w:p>
                        <w:pPr>
                          <w:pStyle w:val="TableParagraph"/>
                          <w:spacing w:line="279" w:lineRule="exact" w:before="87"/>
                          <w:ind w:left="138" w:right="129"/>
                          <w:jc w:val="center"/>
                          <w:rPr>
                            <w:sz w:val="22"/>
                          </w:rPr>
                        </w:pPr>
                        <w:r>
                          <w:rPr>
                            <w:spacing w:val="-3"/>
                            <w:sz w:val="22"/>
                          </w:rPr>
                          <w:t>被保险人全残时的年龄</w:t>
                        </w:r>
                      </w:p>
                    </w:tc>
                    <w:tc>
                      <w:tcPr>
                        <w:tcW w:w="4808" w:type="dxa"/>
                      </w:tcPr>
                      <w:p>
                        <w:pPr>
                          <w:pStyle w:val="TableParagraph"/>
                          <w:spacing w:line="279" w:lineRule="exact" w:before="87"/>
                          <w:ind w:left="1574" w:right="1565"/>
                          <w:jc w:val="center"/>
                          <w:rPr>
                            <w:sz w:val="22"/>
                          </w:rPr>
                        </w:pPr>
                        <w:r>
                          <w:rPr>
                            <w:spacing w:val="-4"/>
                            <w:sz w:val="22"/>
                          </w:rPr>
                          <w:t>全残保险金</w:t>
                        </w:r>
                      </w:p>
                    </w:tc>
                  </w:tr>
                  <w:tr>
                    <w:trPr>
                      <w:trHeight w:val="386" w:hRule="atLeast"/>
                    </w:trPr>
                    <w:tc>
                      <w:tcPr>
                        <w:tcW w:w="2488" w:type="dxa"/>
                      </w:tcPr>
                      <w:p>
                        <w:pPr>
                          <w:pStyle w:val="TableParagraph"/>
                          <w:spacing w:line="278" w:lineRule="exact" w:before="89"/>
                          <w:ind w:left="138" w:right="129"/>
                          <w:jc w:val="center"/>
                          <w:rPr>
                            <w:sz w:val="22"/>
                          </w:rPr>
                        </w:pPr>
                        <w:r>
                          <w:rPr>
                            <w:spacing w:val="-2"/>
                            <w:sz w:val="22"/>
                          </w:rPr>
                          <w:t>未满18</w:t>
                        </w:r>
                        <w:r>
                          <w:rPr>
                            <w:spacing w:val="-6"/>
                            <w:sz w:val="22"/>
                          </w:rPr>
                          <w:t>周岁</w:t>
                        </w:r>
                      </w:p>
                    </w:tc>
                    <w:tc>
                      <w:tcPr>
                        <w:tcW w:w="4808" w:type="dxa"/>
                      </w:tcPr>
                      <w:p>
                        <w:pPr>
                          <w:pStyle w:val="TableParagraph"/>
                          <w:spacing w:line="278" w:lineRule="exact" w:before="89"/>
                          <w:ind w:left="1576" w:right="1564"/>
                          <w:jc w:val="center"/>
                          <w:rPr>
                            <w:sz w:val="22"/>
                          </w:rPr>
                        </w:pPr>
                        <w:r>
                          <w:rPr>
                            <w:spacing w:val="-4"/>
                            <w:sz w:val="22"/>
                          </w:rPr>
                          <w:t>累计已交保险费</w:t>
                        </w:r>
                      </w:p>
                    </w:tc>
                  </w:tr>
                  <w:tr>
                    <w:trPr>
                      <w:trHeight w:val="408" w:hRule="atLeast"/>
                    </w:trPr>
                    <w:tc>
                      <w:tcPr>
                        <w:tcW w:w="2488" w:type="dxa"/>
                      </w:tcPr>
                      <w:p>
                        <w:pPr>
                          <w:pStyle w:val="TableParagraph"/>
                          <w:spacing w:before="100"/>
                          <w:ind w:left="138" w:right="129"/>
                          <w:jc w:val="center"/>
                          <w:rPr>
                            <w:sz w:val="22"/>
                          </w:rPr>
                        </w:pPr>
                        <w:r>
                          <w:rPr>
                            <w:spacing w:val="-2"/>
                            <w:sz w:val="22"/>
                          </w:rPr>
                          <w:t>已满18</w:t>
                        </w:r>
                        <w:r>
                          <w:rPr>
                            <w:spacing w:val="-6"/>
                            <w:sz w:val="22"/>
                          </w:rPr>
                          <w:t>周岁</w:t>
                        </w:r>
                      </w:p>
                    </w:tc>
                    <w:tc>
                      <w:tcPr>
                        <w:tcW w:w="4808" w:type="dxa"/>
                      </w:tcPr>
                      <w:p>
                        <w:pPr>
                          <w:pStyle w:val="TableParagraph"/>
                          <w:spacing w:before="100"/>
                          <w:ind w:left="1469" w:right="1565"/>
                          <w:jc w:val="center"/>
                          <w:rPr>
                            <w:sz w:val="22"/>
                          </w:rPr>
                        </w:pPr>
                        <w:r>
                          <w:rPr>
                            <w:spacing w:val="-4"/>
                            <w:sz w:val="22"/>
                          </w:rPr>
                          <w:t>基本保险金额</w:t>
                        </w:r>
                      </w:p>
                    </w:tc>
                  </w:tr>
                </w:tbl>
                <w:p>
                  <w:pPr>
                    <w:pStyle w:val="BodyText"/>
                  </w:pPr>
                </w:p>
              </w:txbxContent>
            </v:textbox>
            <w10:wrap type="none"/>
          </v:shape>
        </w:pict>
      </w:r>
      <w:r>
        <w:rPr>
          <w:rFonts w:ascii="华文中宋" w:hAnsi="华文中宋" w:eastAsia="华文中宋" w:hint="eastAsia"/>
          <w:b/>
        </w:rPr>
        <w:t>全残保险金</w:t>
      </w:r>
      <w:r>
        <w:rPr>
          <w:rFonts w:ascii="华文中宋" w:hAnsi="华文中宋" w:eastAsia="华文中宋" w:hint="eastAsia"/>
          <w:b/>
          <w:spacing w:val="80"/>
          <w:w w:val="150"/>
        </w:rPr>
        <w:t> </w:t>
      </w:r>
      <w:r>
        <w:rPr>
          <w:color w:val="000000"/>
          <w:shd w:fill="E4E4E4" w:color="auto" w:val="clear"/>
        </w:rPr>
        <w:t>被保险人因疾病或意外伤害事故导致【附表二】全残项目表所列全残项目之</w:t>
      </w:r>
      <w:r>
        <w:rPr>
          <w:color w:val="000000"/>
          <w:spacing w:val="40"/>
          <w:shd w:fill="E4E4E4" w:color="auto" w:val="clear"/>
        </w:rPr>
        <w:t> </w:t>
      </w:r>
      <w:r>
        <w:rPr>
          <w:color w:val="000000"/>
          <w:spacing w:val="-2"/>
          <w:shd w:fill="E4E4E4" w:color="auto" w:val="clear"/>
        </w:rPr>
        <w:t>一，并经具有伤残等级鉴定资格的鉴定机构鉴定确认的</w:t>
      </w:r>
      <w:r>
        <w:rPr>
          <w:color w:val="000000"/>
          <w:spacing w:val="-2"/>
        </w:rPr>
        <w:t>，我们按下表所示金额向全残保险金受益人给付“全残保险金”，本合同终止。</w:t>
      </w:r>
    </w:p>
    <w:p>
      <w:pPr>
        <w:pStyle w:val="BodyText"/>
      </w:pPr>
    </w:p>
    <w:p>
      <w:pPr>
        <w:pStyle w:val="BodyText"/>
      </w:pPr>
    </w:p>
    <w:p>
      <w:pPr>
        <w:pStyle w:val="BodyText"/>
      </w:pPr>
    </w:p>
    <w:p>
      <w:pPr>
        <w:pStyle w:val="BodyText"/>
      </w:pPr>
    </w:p>
    <w:p>
      <w:pPr>
        <w:pStyle w:val="BodyText"/>
      </w:pPr>
    </w:p>
    <w:p>
      <w:pPr>
        <w:pStyle w:val="BodyText"/>
        <w:spacing w:before="8"/>
        <w:rPr>
          <w:sz w:val="16"/>
        </w:rPr>
      </w:pPr>
    </w:p>
    <w:p>
      <w:pPr>
        <w:pStyle w:val="BodyText"/>
        <w:spacing w:line="324" w:lineRule="auto"/>
        <w:ind w:left="2480" w:right="150"/>
        <w:jc w:val="both"/>
      </w:pPr>
      <w:r>
        <w:rPr>
          <w:spacing w:val="6"/>
          <w:w w:val="100"/>
        </w:rPr>
        <w:t>本合同的重大疾病保险金、身故保险金、全残保险金，我们仅给付其中一</w:t>
      </w:r>
      <w:r>
        <w:rPr>
          <w:spacing w:val="-1"/>
          <w:w w:val="100"/>
        </w:rPr>
        <w:t>项。被保险人同时满足重大疾病保险金和全残保险金给付条件的，我们按本</w:t>
      </w:r>
      <w:r>
        <w:rPr>
          <w:spacing w:val="-3"/>
          <w:w w:val="100"/>
        </w:rPr>
        <w:t>合同约定仅给付重大疾病保险金。</w:t>
      </w:r>
    </w:p>
    <w:p>
      <w:pPr>
        <w:pStyle w:val="BodyText"/>
        <w:spacing w:before="6"/>
        <w:rPr>
          <w:sz w:val="29"/>
        </w:rPr>
      </w:pPr>
    </w:p>
    <w:p>
      <w:pPr>
        <w:pStyle w:val="ListParagraph"/>
        <w:numPr>
          <w:ilvl w:val="2"/>
          <w:numId w:val="11"/>
        </w:numPr>
        <w:tabs>
          <w:tab w:pos="931" w:val="left" w:leader="none"/>
          <w:tab w:pos="2480" w:val="left" w:leader="none"/>
        </w:tabs>
        <w:spacing w:line="324" w:lineRule="auto" w:before="0" w:after="0"/>
        <w:ind w:left="2480" w:right="150" w:hanging="2328"/>
        <w:jc w:val="left"/>
        <w:rPr>
          <w:sz w:val="22"/>
        </w:rPr>
      </w:pPr>
      <w:r>
        <w:rPr>
          <w:b/>
          <w:spacing w:val="-4"/>
          <w:sz w:val="22"/>
        </w:rPr>
        <w:t>可选责任</w:t>
      </w:r>
      <w:r>
        <w:rPr>
          <w:b/>
          <w:sz w:val="22"/>
        </w:rPr>
        <w:tab/>
      </w:r>
      <w:r>
        <w:rPr>
          <w:spacing w:val="-2"/>
          <w:sz w:val="22"/>
        </w:rPr>
        <w:t>若您投保时选择了“恶性肿瘤——重度二次给付保险金”、“特定疾病保险金”或“老年特定重大疾病关爱保险金”，我们还将承担如下责任：</w:t>
      </w:r>
    </w:p>
    <w:p>
      <w:pPr>
        <w:pStyle w:val="BodyText"/>
        <w:rPr>
          <w:sz w:val="20"/>
        </w:rPr>
      </w:pPr>
    </w:p>
    <w:p>
      <w:pPr>
        <w:pStyle w:val="BodyText"/>
        <w:spacing w:before="8"/>
        <w:rPr>
          <w:sz w:val="24"/>
        </w:rPr>
      </w:pPr>
    </w:p>
    <w:p>
      <w:pPr>
        <w:spacing w:line="242" w:lineRule="auto" w:before="85"/>
        <w:ind w:left="368" w:right="153" w:hanging="216"/>
        <w:jc w:val="left"/>
        <w:rPr>
          <w:sz w:val="18"/>
        </w:rPr>
      </w:pPr>
      <w:r>
        <w:rPr>
          <w:rFonts w:ascii="Times New Roman" w:eastAsia="Times New Roman"/>
          <w:sz w:val="18"/>
          <w:vertAlign w:val="superscript"/>
        </w:rPr>
        <w:t>12</w:t>
      </w:r>
      <w:r>
        <w:rPr>
          <w:rFonts w:ascii="Times New Roman" w:eastAsia="Times New Roman"/>
          <w:spacing w:val="55"/>
          <w:sz w:val="18"/>
          <w:vertAlign w:val="baseline"/>
        </w:rPr>
        <w:t> </w:t>
      </w:r>
      <w:r>
        <w:rPr>
          <w:b/>
          <w:sz w:val="18"/>
          <w:vertAlign w:val="baseline"/>
        </w:rPr>
        <w:t>周</w:t>
      </w:r>
      <w:r>
        <w:rPr>
          <w:b/>
          <w:sz w:val="18"/>
          <w:vertAlign w:val="baseline"/>
        </w:rPr>
        <w:t>岁</w:t>
      </w:r>
      <w:r>
        <w:rPr>
          <w:sz w:val="18"/>
          <w:vertAlign w:val="baseline"/>
        </w:rPr>
        <w:t>：指按有效身份证件中记载的出生日期计算的年龄，自出生之日起为零周岁，每经过一年增加一岁，不足一年的不</w:t>
      </w:r>
      <w:r>
        <w:rPr>
          <w:spacing w:val="-6"/>
          <w:sz w:val="18"/>
          <w:vertAlign w:val="baseline"/>
        </w:rPr>
        <w:t>计。</w:t>
      </w:r>
    </w:p>
    <w:p>
      <w:pPr>
        <w:spacing w:line="242" w:lineRule="auto" w:before="2"/>
        <w:ind w:left="368" w:right="152" w:hanging="216"/>
        <w:jc w:val="left"/>
        <w:rPr>
          <w:sz w:val="18"/>
        </w:rPr>
      </w:pPr>
      <w:r>
        <w:rPr>
          <w:rFonts w:ascii="Times New Roman" w:eastAsia="Times New Roman"/>
          <w:sz w:val="18"/>
          <w:vertAlign w:val="superscript"/>
        </w:rPr>
        <w:t>13</w:t>
      </w:r>
      <w:r>
        <w:rPr>
          <w:rFonts w:ascii="Times New Roman" w:eastAsia="Times New Roman"/>
          <w:spacing w:val="55"/>
          <w:sz w:val="18"/>
          <w:vertAlign w:val="baseline"/>
        </w:rPr>
        <w:t> </w:t>
      </w:r>
      <w:r>
        <w:rPr>
          <w:b/>
          <w:sz w:val="18"/>
          <w:vertAlign w:val="baseline"/>
        </w:rPr>
        <w:t>累</w:t>
      </w:r>
      <w:r>
        <w:rPr>
          <w:b/>
          <w:sz w:val="18"/>
          <w:vertAlign w:val="baseline"/>
        </w:rPr>
        <w:t>计</w:t>
      </w:r>
      <w:r>
        <w:rPr>
          <w:b/>
          <w:sz w:val="18"/>
          <w:vertAlign w:val="baseline"/>
        </w:rPr>
        <w:t>已</w:t>
      </w:r>
      <w:r>
        <w:rPr>
          <w:b/>
          <w:sz w:val="18"/>
          <w:vertAlign w:val="baseline"/>
        </w:rPr>
        <w:t>交</w:t>
      </w:r>
      <w:r>
        <w:rPr>
          <w:b/>
          <w:sz w:val="18"/>
          <w:vertAlign w:val="baseline"/>
        </w:rPr>
        <w:t>保</w:t>
      </w:r>
      <w:r>
        <w:rPr>
          <w:b/>
          <w:sz w:val="18"/>
          <w:vertAlign w:val="baseline"/>
        </w:rPr>
        <w:t>险</w:t>
      </w:r>
      <w:r>
        <w:rPr>
          <w:b/>
          <w:sz w:val="18"/>
          <w:vertAlign w:val="baseline"/>
        </w:rPr>
        <w:t>费</w:t>
      </w:r>
      <w:r>
        <w:rPr>
          <w:sz w:val="18"/>
          <w:vertAlign w:val="baseline"/>
        </w:rPr>
        <w:t>：包含投保人依据合同实际已经向本公司交纳的保险费。保险费是由保险合同订立时经银保监会核准或</w:t>
      </w:r>
      <w:r>
        <w:rPr>
          <w:spacing w:val="-2"/>
          <w:sz w:val="18"/>
          <w:vertAlign w:val="baseline"/>
        </w:rPr>
        <w:t>备案的保险费率表所载的年交保险费率计算而得的，包含以非标准体承保所加收的保险费。</w:t>
      </w:r>
    </w:p>
    <w:p>
      <w:pPr>
        <w:spacing w:after="0" w:line="242" w:lineRule="auto"/>
        <w:jc w:val="left"/>
        <w:rPr>
          <w:sz w:val="18"/>
        </w:rPr>
        <w:sectPr>
          <w:type w:val="continuous"/>
          <w:pgSz w:w="11910" w:h="16840"/>
          <w:pgMar w:header="484" w:footer="706" w:top="1240" w:bottom="900" w:left="980" w:right="980"/>
        </w:sectPr>
      </w:pPr>
    </w:p>
    <w:p>
      <w:pPr>
        <w:pStyle w:val="BodyText"/>
        <w:rPr>
          <w:sz w:val="12"/>
        </w:rPr>
      </w:pPr>
    </w:p>
    <w:p>
      <w:pPr>
        <w:spacing w:after="0"/>
        <w:rPr>
          <w:sz w:val="12"/>
        </w:rPr>
        <w:sectPr>
          <w:pgSz w:w="11910" w:h="16840"/>
          <w:pgMar w:header="484" w:footer="706" w:top="1240" w:bottom="900" w:left="980" w:right="980"/>
        </w:sectPr>
      </w:pPr>
    </w:p>
    <w:p>
      <w:pPr>
        <w:pStyle w:val="Heading2"/>
        <w:spacing w:line="261" w:lineRule="auto" w:before="73"/>
        <w:ind w:left="930"/>
        <w:jc w:val="both"/>
      </w:pPr>
      <w:r>
        <w:rPr>
          <w:spacing w:val="-2"/>
        </w:rPr>
        <w:t>恶性肿瘤——</w:t>
      </w:r>
      <w:r>
        <w:rPr>
          <w:spacing w:val="-2"/>
        </w:rPr>
        <w:t>重度二次给付</w:t>
      </w:r>
      <w:r>
        <w:rPr>
          <w:spacing w:val="-4"/>
        </w:rPr>
        <w:t>保险金</w:t>
      </w:r>
    </w:p>
    <w:p>
      <w:pPr>
        <w:pStyle w:val="BodyText"/>
        <w:spacing w:before="103"/>
        <w:ind w:left="190"/>
      </w:pPr>
      <w:r>
        <w:rPr/>
        <w:br w:type="column"/>
      </w:r>
      <w:r>
        <w:rPr/>
        <w:t>被保险人于等待期后初次发生并经医院专科医生明确诊断确定</w:t>
      </w:r>
      <w:r>
        <w:rPr>
          <w:color w:val="000000"/>
          <w:spacing w:val="-2"/>
          <w:shd w:fill="E4E4E4" w:color="auto" w:val="clear"/>
        </w:rPr>
        <w:t>罹患本合同约</w:t>
      </w:r>
    </w:p>
    <w:p>
      <w:pPr>
        <w:pStyle w:val="BodyText"/>
        <w:spacing w:before="8"/>
        <w:rPr>
          <w:sz w:val="5"/>
        </w:rPr>
      </w:pPr>
      <w:r>
        <w:rPr/>
        <w:pict>
          <v:shape style="position:absolute;margin-left:173.050003pt;margin-top:4.829531pt;width:365.5pt;height:14.55pt;mso-position-horizontal-relative:page;mso-position-vertical-relative:paragraph;z-index:-15726592;mso-wrap-distance-left:0;mso-wrap-distance-right:0" type="#_x0000_t202" id="docshape6" filled="true" fillcolor="#e4e4e4" stroked="false">
            <v:textbox inset="0,0,0,0">
              <w:txbxContent>
                <w:p>
                  <w:pPr>
                    <w:spacing w:before="3"/>
                    <w:ind w:left="-1" w:right="-15" w:firstLine="0"/>
                    <w:jc w:val="left"/>
                    <w:rPr>
                      <w:color w:val="000000"/>
                      <w:sz w:val="22"/>
                    </w:rPr>
                  </w:pPr>
                  <w:r>
                    <w:rPr>
                      <w:color w:val="000000"/>
                      <w:sz w:val="22"/>
                    </w:rPr>
                    <w:t>定的</w:t>
                  </w:r>
                  <w:r>
                    <w:rPr>
                      <w:b/>
                      <w:color w:val="000000"/>
                      <w:sz w:val="22"/>
                    </w:rPr>
                    <w:t>恶性肿瘤——重度</w:t>
                  </w:r>
                  <w:hyperlink w:history="true" w:anchor="_bookmark13">
                    <w:r>
                      <w:rPr>
                        <w:rFonts w:ascii="PMingLiU-ExtB" w:hAnsi="PMingLiU-ExtB" w:eastAsia="PMingLiU-ExtB"/>
                        <w:color w:val="000000"/>
                        <w:position w:val="10"/>
                        <w:sz w:val="10"/>
                      </w:rPr>
                      <w:t>14</w:t>
                    </w:r>
                  </w:hyperlink>
                  <w:r>
                    <w:rPr>
                      <w:color w:val="000000"/>
                      <w:sz w:val="22"/>
                    </w:rPr>
                    <w:t>（无论一种或多种）</w:t>
                  </w:r>
                  <w:r>
                    <w:rPr>
                      <w:color w:val="000000"/>
                      <w:spacing w:val="-1"/>
                      <w:sz w:val="22"/>
                    </w:rPr>
                    <w:t>且我们已按本合同约定给付重</w:t>
                  </w:r>
                </w:p>
              </w:txbxContent>
            </v:textbox>
            <v:fill type="solid"/>
            <w10:wrap type="topAndBottom"/>
          </v:shape>
        </w:pict>
      </w:r>
    </w:p>
    <w:p>
      <w:pPr>
        <w:pStyle w:val="BodyText"/>
        <w:spacing w:line="324" w:lineRule="auto" w:before="91"/>
        <w:ind w:left="190" w:right="150"/>
        <w:jc w:val="both"/>
      </w:pPr>
      <w:r>
        <w:rPr>
          <w:color w:val="000000"/>
          <w:spacing w:val="-2"/>
          <w:shd w:fill="E4E4E4" w:color="auto" w:val="clear"/>
        </w:rPr>
        <w:t>大疾病保险金后，自前述恶性肿瘤——重度确诊之日起满3年后，再次经医</w:t>
      </w:r>
      <w:r>
        <w:rPr>
          <w:color w:val="000000"/>
          <w:spacing w:val="40"/>
          <w:shd w:fill="E4E4E4" w:color="auto" w:val="clear"/>
        </w:rPr>
        <w:t> </w:t>
      </w:r>
      <w:r>
        <w:rPr>
          <w:color w:val="000000"/>
          <w:spacing w:val="-2"/>
          <w:shd w:fill="E4E4E4" w:color="auto" w:val="clear"/>
        </w:rPr>
        <w:t>院专科医生明确诊断确定罹患本合同约定的恶性肿瘤——重度（无论一种或多种），我们将根据再次确诊恶性肿瘤——重度时本合同的基本保险金额向恶性肿瘤——重度二次给付保险金受益人给付恶性肿瘤——重度二次给付保险金，本项保险责任终止。</w:t>
      </w:r>
    </w:p>
    <w:p>
      <w:pPr>
        <w:spacing w:after="0" w:line="324" w:lineRule="auto"/>
        <w:jc w:val="both"/>
        <w:sectPr>
          <w:type w:val="continuous"/>
          <w:pgSz w:w="11910" w:h="16840"/>
          <w:pgMar w:header="484" w:footer="706" w:top="1240" w:bottom="900" w:left="980" w:right="980"/>
          <w:cols w:num="2" w:equalWidth="0">
            <w:col w:w="2251" w:space="40"/>
            <w:col w:w="7659"/>
          </w:cols>
        </w:sectPr>
      </w:pPr>
    </w:p>
    <w:p>
      <w:pPr>
        <w:pStyle w:val="BodyText"/>
        <w:rPr>
          <w:sz w:val="24"/>
        </w:rPr>
      </w:pPr>
    </w:p>
    <w:p>
      <w:pPr>
        <w:pStyle w:val="BodyText"/>
        <w:spacing w:before="70"/>
        <w:ind w:left="2480"/>
      </w:pPr>
      <w:r>
        <w:rPr>
          <w:color w:val="000000"/>
          <w:spacing w:val="-3"/>
          <w:shd w:fill="E4E4E4" w:color="auto" w:val="clear"/>
        </w:rPr>
        <w:t>再次确诊的恶性肿瘤——重度包括下列情形：</w:t>
      </w:r>
    </w:p>
    <w:p>
      <w:pPr>
        <w:pStyle w:val="ListParagraph"/>
        <w:numPr>
          <w:ilvl w:val="3"/>
          <w:numId w:val="11"/>
        </w:numPr>
        <w:tabs>
          <w:tab w:pos="2901" w:val="left" w:leader="none"/>
        </w:tabs>
        <w:spacing w:line="240" w:lineRule="auto" w:before="97" w:after="0"/>
        <w:ind w:left="2900" w:right="0" w:hanging="421"/>
        <w:jc w:val="left"/>
        <w:rPr>
          <w:sz w:val="22"/>
        </w:rPr>
      </w:pPr>
      <w:r>
        <w:rPr>
          <w:color w:val="000000"/>
          <w:spacing w:val="-3"/>
          <w:sz w:val="22"/>
          <w:shd w:fill="E4E4E4" w:color="auto" w:val="clear"/>
        </w:rPr>
        <w:t>与初次确诊的恶性肿瘤——重度无关的新发恶性肿瘤——重度；</w:t>
      </w:r>
    </w:p>
    <w:p>
      <w:pPr>
        <w:pStyle w:val="ListParagraph"/>
        <w:numPr>
          <w:ilvl w:val="3"/>
          <w:numId w:val="11"/>
        </w:numPr>
        <w:tabs>
          <w:tab w:pos="2901" w:val="left" w:leader="none"/>
        </w:tabs>
        <w:spacing w:line="240" w:lineRule="auto" w:before="100" w:after="0"/>
        <w:ind w:left="2900" w:right="0" w:hanging="421"/>
        <w:jc w:val="left"/>
        <w:rPr>
          <w:sz w:val="22"/>
        </w:rPr>
      </w:pPr>
      <w:r>
        <w:rPr>
          <w:color w:val="000000"/>
          <w:spacing w:val="-3"/>
          <w:sz w:val="22"/>
          <w:shd w:fill="E4E4E4" w:color="auto" w:val="clear"/>
        </w:rPr>
        <w:t>初次确诊的恶性肿瘤——重度复发、转移；</w:t>
      </w:r>
    </w:p>
    <w:p>
      <w:pPr>
        <w:pStyle w:val="ListParagraph"/>
        <w:numPr>
          <w:ilvl w:val="3"/>
          <w:numId w:val="11"/>
        </w:numPr>
        <w:tabs>
          <w:tab w:pos="2901" w:val="left" w:leader="none"/>
        </w:tabs>
        <w:spacing w:line="240" w:lineRule="auto" w:before="98" w:after="0"/>
        <w:ind w:left="2900" w:right="0" w:hanging="421"/>
        <w:jc w:val="left"/>
        <w:rPr>
          <w:sz w:val="22"/>
        </w:rPr>
      </w:pPr>
      <w:r>
        <w:rPr>
          <w:color w:val="000000"/>
          <w:spacing w:val="-3"/>
          <w:sz w:val="22"/>
          <w:shd w:fill="E4E4E4" w:color="auto" w:val="clear"/>
        </w:rPr>
        <w:t>初次确诊的恶性肿瘤——重度仍持续存在。</w:t>
      </w:r>
    </w:p>
    <w:p>
      <w:pPr>
        <w:pStyle w:val="BodyText"/>
        <w:rPr>
          <w:sz w:val="20"/>
        </w:rPr>
      </w:pPr>
    </w:p>
    <w:p>
      <w:pPr>
        <w:pStyle w:val="BodyText"/>
        <w:spacing w:before="4"/>
        <w:rPr>
          <w:sz w:val="17"/>
        </w:rPr>
      </w:pPr>
    </w:p>
    <w:p>
      <w:pPr>
        <w:pStyle w:val="BodyText"/>
        <w:spacing w:line="324" w:lineRule="auto"/>
        <w:ind w:left="2480" w:right="150"/>
      </w:pPr>
      <w:r>
        <w:rPr>
          <w:color w:val="000000"/>
          <w:spacing w:val="-2"/>
          <w:shd w:fill="E4E4E4" w:color="auto" w:val="clear"/>
        </w:rPr>
        <w:t>若被保险人再次确诊之日距首次恶性肿瘤——重度对应的确诊之日不满3年</w:t>
      </w:r>
      <w:r>
        <w:rPr>
          <w:color w:val="000000"/>
          <w:spacing w:val="80"/>
          <w:w w:val="150"/>
          <w:shd w:fill="E4E4E4" w:color="auto" w:val="clear"/>
        </w:rPr>
        <w:t>                                       </w:t>
      </w:r>
      <w:r>
        <w:rPr>
          <w:color w:val="000000"/>
          <w:spacing w:val="-2"/>
          <w:shd w:fill="E4E4E4" w:color="auto" w:val="clear"/>
        </w:rPr>
        <w:t>的，我们不承担恶性肿瘤——重度二次给付保险金的责任。</w:t>
      </w:r>
    </w:p>
    <w:p>
      <w:pPr>
        <w:pStyle w:val="BodyText"/>
        <w:spacing w:before="5"/>
        <w:rPr>
          <w:sz w:val="21"/>
        </w:rPr>
      </w:pPr>
    </w:p>
    <w:p>
      <w:pPr>
        <w:spacing w:after="0"/>
        <w:rPr>
          <w:sz w:val="21"/>
        </w:rPr>
        <w:sectPr>
          <w:type w:val="continuous"/>
          <w:pgSz w:w="11910" w:h="16840"/>
          <w:pgMar w:header="484" w:footer="706" w:top="1240" w:bottom="900" w:left="980" w:right="980"/>
        </w:sectPr>
      </w:pPr>
    </w:p>
    <w:p>
      <w:pPr>
        <w:pStyle w:val="Heading2"/>
        <w:spacing w:line="261" w:lineRule="auto" w:before="73"/>
        <w:ind w:left="930"/>
      </w:pPr>
      <w:r>
        <w:rPr>
          <w:spacing w:val="-2"/>
        </w:rPr>
        <w:t>特定疾病保险</w:t>
      </w:r>
      <w:r>
        <w:rPr>
          <w:spacing w:val="-10"/>
        </w:rPr>
        <w:t>金</w:t>
      </w:r>
    </w:p>
    <w:p>
      <w:pPr>
        <w:pStyle w:val="BodyText"/>
        <w:spacing w:line="324" w:lineRule="auto" w:before="105"/>
        <w:ind w:left="187" w:right="150"/>
        <w:jc w:val="both"/>
      </w:pPr>
      <w:r>
        <w:rPr/>
        <w:br w:type="column"/>
      </w:r>
      <w:r>
        <w:rPr>
          <w:spacing w:val="-2"/>
        </w:rPr>
        <w:t>被保险人于等待期后初次发生并经医院专科医生明确诊断确定</w:t>
      </w:r>
      <w:r>
        <w:rPr>
          <w:color w:val="000000"/>
          <w:spacing w:val="-2"/>
          <w:shd w:fill="E4E4E4" w:color="auto" w:val="clear"/>
        </w:rPr>
        <w:t>罹患本合同约</w:t>
      </w:r>
      <w:r>
        <w:rPr>
          <w:color w:val="000000"/>
          <w:spacing w:val="40"/>
          <w:shd w:fill="E4E4E4" w:color="auto" w:val="clear"/>
        </w:rPr>
        <w:t> </w:t>
      </w:r>
      <w:r>
        <w:rPr>
          <w:color w:val="000000"/>
          <w:spacing w:val="-2"/>
          <w:shd w:fill="E4E4E4" w:color="auto" w:val="clear"/>
        </w:rPr>
        <w:t>定的特定疾病（无论一种或多种），我们将根据本合同的基本保险金额的</w:t>
      </w:r>
      <w:r>
        <w:rPr>
          <w:color w:val="000000"/>
          <w:spacing w:val="-2"/>
        </w:rPr>
        <w:t> </w:t>
      </w:r>
      <w:r>
        <w:rPr>
          <w:color w:val="000000"/>
          <w:shd w:fill="E4E4E4" w:color="auto" w:val="clear"/>
        </w:rPr>
        <w:t>50</w:t>
      </w:r>
      <w:r>
        <w:rPr>
          <w:color w:val="000000"/>
          <w:spacing w:val="4"/>
          <w:shd w:fill="E4E4E4" w:color="auto" w:val="clear"/>
        </w:rPr>
        <w:t>%向特定疾病保险金受益人给付“特定疾病保险金”，本项保险责任终</w:t>
      </w:r>
      <w:r>
        <w:rPr>
          <w:color w:val="000000"/>
          <w:spacing w:val="-6"/>
          <w:shd w:fill="E4E4E4" w:color="auto" w:val="clear"/>
        </w:rPr>
        <w:t>止。</w:t>
      </w:r>
    </w:p>
    <w:p>
      <w:pPr>
        <w:spacing w:after="0" w:line="324" w:lineRule="auto"/>
        <w:jc w:val="both"/>
        <w:sectPr>
          <w:type w:val="continuous"/>
          <w:pgSz w:w="11910" w:h="16840"/>
          <w:pgMar w:header="484" w:footer="706" w:top="1240" w:bottom="900" w:left="980" w:right="980"/>
          <w:cols w:num="2" w:equalWidth="0">
            <w:col w:w="2253" w:space="40"/>
            <w:col w:w="7657"/>
          </w:cols>
        </w:sectPr>
      </w:pPr>
    </w:p>
    <w:p>
      <w:pPr>
        <w:pStyle w:val="BodyText"/>
        <w:spacing w:before="5"/>
        <w:rPr>
          <w:sz w:val="21"/>
        </w:rPr>
      </w:pPr>
    </w:p>
    <w:p>
      <w:pPr>
        <w:spacing w:after="0"/>
        <w:rPr>
          <w:sz w:val="21"/>
        </w:rPr>
        <w:sectPr>
          <w:type w:val="continuous"/>
          <w:pgSz w:w="11910" w:h="16840"/>
          <w:pgMar w:header="484" w:footer="706" w:top="1240" w:bottom="900" w:left="980" w:right="980"/>
        </w:sectPr>
      </w:pPr>
    </w:p>
    <w:p>
      <w:pPr>
        <w:pStyle w:val="Heading2"/>
        <w:spacing w:line="261" w:lineRule="auto" w:before="72"/>
        <w:ind w:left="930"/>
        <w:jc w:val="both"/>
      </w:pPr>
      <w:r>
        <w:rPr>
          <w:spacing w:val="-2"/>
        </w:rPr>
        <w:t>老年特定重大</w:t>
      </w:r>
      <w:r>
        <w:rPr>
          <w:spacing w:val="-2"/>
        </w:rPr>
        <w:t>疾病关爱保险</w:t>
      </w:r>
      <w:r>
        <w:rPr>
          <w:spacing w:val="-10"/>
        </w:rPr>
        <w:t>金</w:t>
      </w:r>
    </w:p>
    <w:p>
      <w:pPr>
        <w:pStyle w:val="BodyText"/>
        <w:spacing w:before="102"/>
        <w:ind w:left="187"/>
      </w:pPr>
      <w:r>
        <w:rPr/>
        <w:br w:type="column"/>
      </w:r>
      <w:r>
        <w:rPr>
          <w:spacing w:val="-2"/>
        </w:rPr>
        <w:t>被保险人年满65周岁（含）</w:t>
      </w:r>
      <w:r>
        <w:rPr>
          <w:spacing w:val="-3"/>
        </w:rPr>
        <w:t>且满足以下任意一条：</w:t>
      </w:r>
    </w:p>
    <w:p>
      <w:pPr>
        <w:pStyle w:val="ListParagraph"/>
        <w:numPr>
          <w:ilvl w:val="0"/>
          <w:numId w:val="12"/>
        </w:numPr>
        <w:tabs>
          <w:tab w:pos="608" w:val="left" w:leader="none"/>
        </w:tabs>
        <w:spacing w:line="324" w:lineRule="auto" w:before="100" w:after="0"/>
        <w:ind w:left="607" w:right="150" w:hanging="420"/>
        <w:jc w:val="both"/>
        <w:rPr>
          <w:sz w:val="22"/>
        </w:rPr>
      </w:pPr>
      <w:r>
        <w:rPr>
          <w:spacing w:val="-1"/>
          <w:w w:val="100"/>
          <w:sz w:val="22"/>
        </w:rPr>
        <w:t>被保险人于等待期后初次发生并经医院专科医生明确诊断确定</w:t>
      </w:r>
      <w:r>
        <w:rPr>
          <w:color w:val="000000"/>
          <w:w w:val="100"/>
          <w:sz w:val="22"/>
          <w:shd w:fill="E4E4E4" w:color="auto" w:val="clear"/>
        </w:rPr>
        <w:t>罹患本合</w:t>
      </w:r>
      <w:r>
        <w:rPr>
          <w:color w:val="000000"/>
          <w:w w:val="100"/>
          <w:sz w:val="22"/>
          <w:shd w:fill="E4E4E4" w:color="auto" w:val="clear"/>
        </w:rPr>
        <w:t>                                                                                                                          </w:t>
      </w:r>
      <w:r>
        <w:rPr>
          <w:color w:val="000000"/>
          <w:spacing w:val="6"/>
          <w:w w:val="100"/>
          <w:sz w:val="22"/>
          <w:shd w:fill="E4E4E4" w:color="auto" w:val="clear"/>
        </w:rPr>
        <w:t>同约定的重大疾病，且该种重大疾病为本合同约定的老年特定重大疾</w:t>
      </w:r>
      <w:r>
        <w:rPr>
          <w:color w:val="000000"/>
          <w:spacing w:val="-1"/>
          <w:w w:val="100"/>
          <w:sz w:val="22"/>
          <w:shd w:fill="E4E4E4" w:color="auto" w:val="clear"/>
        </w:rPr>
        <w:t>病；</w:t>
      </w:r>
    </w:p>
    <w:p>
      <w:pPr>
        <w:pStyle w:val="ListParagraph"/>
        <w:numPr>
          <w:ilvl w:val="0"/>
          <w:numId w:val="12"/>
        </w:numPr>
        <w:tabs>
          <w:tab w:pos="608" w:val="left" w:leader="none"/>
        </w:tabs>
        <w:spacing w:line="324" w:lineRule="auto" w:before="0" w:after="0"/>
        <w:ind w:left="607" w:right="150" w:hanging="420"/>
        <w:jc w:val="both"/>
        <w:rPr>
          <w:sz w:val="22"/>
        </w:rPr>
      </w:pPr>
      <w:r>
        <w:rPr>
          <w:spacing w:val="-2"/>
          <w:sz w:val="22"/>
        </w:rPr>
        <w:t>被保险人于等待期后初次发生并经医院专科医生明确诊断确定</w:t>
      </w:r>
      <w:r>
        <w:rPr>
          <w:color w:val="000000"/>
          <w:spacing w:val="-2"/>
          <w:sz w:val="22"/>
          <w:shd w:fill="E4E4E4" w:color="auto" w:val="clear"/>
        </w:rPr>
        <w:t>罹患本合</w:t>
      </w:r>
      <w:r>
        <w:rPr>
          <w:color w:val="000000"/>
          <w:spacing w:val="40"/>
          <w:sz w:val="22"/>
          <w:shd w:fill="E4E4E4" w:color="auto" w:val="clear"/>
        </w:rPr>
        <w:t> </w:t>
      </w:r>
      <w:r>
        <w:rPr>
          <w:color w:val="000000"/>
          <w:spacing w:val="-2"/>
          <w:sz w:val="22"/>
          <w:shd w:fill="E4E4E4" w:color="auto" w:val="clear"/>
        </w:rPr>
        <w:t>同约定的其中一种或多种老年特定重大疾病，且自最近一次本合同约定的重大疾病确诊之日起满365天（含）。</w:t>
      </w:r>
    </w:p>
    <w:p>
      <w:pPr>
        <w:pStyle w:val="BodyText"/>
        <w:spacing w:line="324" w:lineRule="auto"/>
        <w:ind w:left="187" w:right="150"/>
      </w:pPr>
      <w:r>
        <w:rPr>
          <w:color w:val="000000"/>
          <w:spacing w:val="-2"/>
          <w:shd w:fill="E4E4E4" w:color="auto" w:val="clear"/>
        </w:rPr>
        <w:t>我们将根据本合同的基本保险金额的30%向老年特定重大疾病关爱保险金受</w:t>
      </w:r>
      <w:r>
        <w:rPr>
          <w:color w:val="000000"/>
          <w:spacing w:val="80"/>
          <w:w w:val="150"/>
          <w:shd w:fill="E4E4E4" w:color="auto" w:val="clear"/>
        </w:rPr>
        <w:t>                                       </w:t>
      </w:r>
      <w:r>
        <w:rPr>
          <w:color w:val="000000"/>
          <w:spacing w:val="-2"/>
          <w:shd w:fill="E4E4E4" w:color="auto" w:val="clear"/>
        </w:rPr>
        <w:t>益人给付“老年特定重大疾病关爱保险金”，本项保险责任终止。</w:t>
      </w:r>
    </w:p>
    <w:p>
      <w:pPr>
        <w:spacing w:after="0" w:line="324" w:lineRule="auto"/>
        <w:sectPr>
          <w:type w:val="continuous"/>
          <w:pgSz w:w="11910" w:h="16840"/>
          <w:pgMar w:header="484" w:footer="706" w:top="1240" w:bottom="900" w:left="980" w:right="980"/>
          <w:cols w:num="2" w:equalWidth="0">
            <w:col w:w="2253" w:space="40"/>
            <w:col w:w="7657"/>
          </w:cols>
        </w:sectPr>
      </w:pPr>
    </w:p>
    <w:p>
      <w:pPr>
        <w:pStyle w:val="BodyText"/>
        <w:spacing w:before="11"/>
        <w:rPr>
          <w:sz w:val="23"/>
        </w:rPr>
      </w:pPr>
    </w:p>
    <w:p>
      <w:pPr>
        <w:pStyle w:val="BodyText"/>
        <w:spacing w:before="70"/>
        <w:ind w:left="2480"/>
      </w:pPr>
      <w:r>
        <w:rPr>
          <w:color w:val="000000"/>
          <w:spacing w:val="-3"/>
          <w:shd w:fill="E4E4E4" w:color="auto" w:val="clear"/>
        </w:rPr>
        <w:t>若本合同所有保险责任终止，本合同终止。</w:t>
      </w:r>
    </w:p>
    <w:p>
      <w:pPr>
        <w:pStyle w:val="BodyText"/>
        <w:spacing w:before="8"/>
        <w:rPr>
          <w:sz w:val="30"/>
        </w:rPr>
      </w:pPr>
    </w:p>
    <w:p>
      <w:pPr>
        <w:pStyle w:val="Heading1"/>
      </w:pPr>
      <w:r>
        <w:rPr>
          <w:rFonts w:ascii="Wingdings" w:hAnsi="Wingdings" w:eastAsia="Wingdings"/>
          <w:b w:val="0"/>
          <w:w w:val="95"/>
          <w:position w:val="-5"/>
          <w:sz w:val="48"/>
        </w:rPr>
        <w:t></w:t>
      </w:r>
      <w:r>
        <w:rPr>
          <w:w w:val="95"/>
        </w:rPr>
        <w:t>我们不承担保险责任的</w:t>
      </w:r>
      <w:r>
        <w:rPr>
          <w:w w:val="95"/>
        </w:rPr>
        <w:t>情</w:t>
      </w:r>
      <w:r>
        <w:rPr>
          <w:spacing w:val="-10"/>
          <w:w w:val="95"/>
        </w:rPr>
        <w:t>况</w:t>
      </w:r>
    </w:p>
    <w:p>
      <w:pPr>
        <w:pStyle w:val="BodyText"/>
        <w:spacing w:line="43" w:lineRule="exact"/>
        <w:ind w:left="126"/>
        <w:rPr>
          <w:sz w:val="4"/>
        </w:rPr>
      </w:pPr>
      <w:r>
        <w:rPr>
          <w:position w:val="0"/>
          <w:sz w:val="4"/>
        </w:rPr>
        <w:drawing>
          <wp:inline distT="0" distB="0" distL="0" distR="0">
            <wp:extent cx="6155690" cy="27431"/>
            <wp:effectExtent l="0" t="0" r="0" b="0"/>
            <wp:docPr id="9" name="image3.png"/>
            <wp:cNvGraphicFramePr>
              <a:graphicFrameLocks noChangeAspect="1"/>
            </wp:cNvGraphicFramePr>
            <a:graphic>
              <a:graphicData uri="http://schemas.openxmlformats.org/drawingml/2006/picture">
                <pic:pic>
                  <pic:nvPicPr>
                    <pic:cNvPr id="10" name="image3.png"/>
                    <pic:cNvPicPr/>
                  </pic:nvPicPr>
                  <pic:blipFill>
                    <a:blip r:embed="rId9" cstate="print"/>
                    <a:stretch>
                      <a:fillRect/>
                    </a:stretch>
                  </pic:blipFill>
                  <pic:spPr>
                    <a:xfrm>
                      <a:off x="0" y="0"/>
                      <a:ext cx="6155690" cy="27431"/>
                    </a:xfrm>
                    <a:prstGeom prst="rect">
                      <a:avLst/>
                    </a:prstGeom>
                  </pic:spPr>
                </pic:pic>
              </a:graphicData>
            </a:graphic>
          </wp:inline>
        </w:drawing>
      </w:r>
      <w:r>
        <w:rPr>
          <w:position w:val="0"/>
          <w:sz w:val="4"/>
        </w:rPr>
      </w:r>
    </w:p>
    <w:p>
      <w:pPr>
        <w:pStyle w:val="BodyText"/>
        <w:rPr>
          <w:b/>
          <w:sz w:val="51"/>
        </w:rPr>
      </w:pPr>
    </w:p>
    <w:p>
      <w:pPr>
        <w:spacing w:before="0"/>
        <w:ind w:left="152" w:right="0" w:firstLine="0"/>
        <w:jc w:val="left"/>
        <w:rPr>
          <w:sz w:val="18"/>
        </w:rPr>
      </w:pPr>
      <w:r>
        <w:rPr>
          <w:rFonts w:ascii="Times New Roman" w:hAnsi="Times New Roman" w:eastAsia="Times New Roman"/>
          <w:sz w:val="18"/>
          <w:vertAlign w:val="superscript"/>
        </w:rPr>
        <w:t>14</w:t>
      </w:r>
      <w:r>
        <w:rPr>
          <w:rFonts w:ascii="Times New Roman" w:hAnsi="Times New Roman" w:eastAsia="Times New Roman"/>
          <w:spacing w:val="47"/>
          <w:sz w:val="18"/>
          <w:vertAlign w:val="baseline"/>
        </w:rPr>
        <w:t> </w:t>
      </w:r>
      <w:r>
        <w:rPr>
          <w:b/>
          <w:sz w:val="18"/>
          <w:vertAlign w:val="baseline"/>
        </w:rPr>
        <w:t>恶性肿瘤——重度</w:t>
      </w:r>
      <w:r>
        <w:rPr>
          <w:sz w:val="18"/>
          <w:vertAlign w:val="baseline"/>
        </w:rPr>
        <w:t>：指符合“</w:t>
      </w:r>
      <w:r>
        <w:rPr>
          <w:rFonts w:ascii="Times New Roman" w:hAnsi="Times New Roman" w:eastAsia="Times New Roman"/>
          <w:sz w:val="18"/>
          <w:vertAlign w:val="baseline"/>
        </w:rPr>
        <w:t>10.1</w:t>
      </w:r>
      <w:r>
        <w:rPr>
          <w:rFonts w:ascii="Times New Roman" w:hAnsi="Times New Roman" w:eastAsia="Times New Roman"/>
          <w:spacing w:val="-4"/>
          <w:sz w:val="18"/>
          <w:vertAlign w:val="baseline"/>
        </w:rPr>
        <w:t> </w:t>
      </w:r>
      <w:r>
        <w:rPr>
          <w:spacing w:val="-1"/>
          <w:sz w:val="18"/>
          <w:vertAlign w:val="baseline"/>
        </w:rPr>
        <w:t>恶性肿瘤——重度”中定义的疾病。</w:t>
      </w:r>
    </w:p>
    <w:p>
      <w:pPr>
        <w:spacing w:after="0"/>
        <w:jc w:val="left"/>
        <w:rPr>
          <w:sz w:val="18"/>
        </w:rPr>
        <w:sectPr>
          <w:type w:val="continuous"/>
          <w:pgSz w:w="11910" w:h="16840"/>
          <w:pgMar w:header="484" w:footer="706" w:top="1240" w:bottom="900" w:left="980" w:right="980"/>
        </w:sectPr>
      </w:pPr>
    </w:p>
    <w:p>
      <w:pPr>
        <w:pStyle w:val="BodyText"/>
        <w:spacing w:before="7"/>
        <w:rPr>
          <w:sz w:val="14"/>
        </w:rPr>
      </w:pPr>
    </w:p>
    <w:p>
      <w:pPr>
        <w:pStyle w:val="ListParagraph"/>
        <w:numPr>
          <w:ilvl w:val="1"/>
          <w:numId w:val="13"/>
        </w:numPr>
        <w:tabs>
          <w:tab w:pos="931" w:val="left" w:leader="none"/>
        </w:tabs>
        <w:spacing w:line="324" w:lineRule="auto" w:before="70" w:after="0"/>
        <w:ind w:left="2480" w:right="150" w:hanging="2328"/>
        <w:jc w:val="both"/>
        <w:rPr>
          <w:sz w:val="22"/>
        </w:rPr>
      </w:pPr>
      <w:r>
        <w:rPr>
          <w:b/>
          <w:sz w:val="22"/>
        </w:rPr>
        <w:t>责任免除</w:t>
      </w:r>
      <w:r>
        <w:rPr>
          <w:b/>
          <w:spacing w:val="555"/>
          <w:sz w:val="22"/>
        </w:rPr>
        <w:t> </w:t>
      </w:r>
      <w:r>
        <w:rPr>
          <w:color w:val="000000"/>
          <w:sz w:val="22"/>
          <w:shd w:fill="E4E4E4" w:color="auto" w:val="clear"/>
        </w:rPr>
        <w:t>因下列情形之一，导致被保险人发生身故、全残、重大疾病、中度疾病、轻</w:t>
      </w:r>
      <w:r>
        <w:rPr>
          <w:color w:val="000000"/>
          <w:spacing w:val="40"/>
          <w:sz w:val="22"/>
          <w:shd w:fill="E4E4E4" w:color="auto" w:val="clear"/>
        </w:rPr>
        <w:t> </w:t>
      </w:r>
      <w:r>
        <w:rPr>
          <w:color w:val="000000"/>
          <w:spacing w:val="-2"/>
          <w:sz w:val="22"/>
          <w:shd w:fill="E4E4E4" w:color="auto" w:val="clear"/>
        </w:rPr>
        <w:t>度疾病、恶性肿瘤——重度（若选）、特定疾病（若选）、老年特定重大疾病（若选）的，我们不承担身故保险金、全残保险金、重大疾病保险金、中度疾病保险金、轻度疾病保险金、中度疾病或轻度疾病豁免保险费、恶性肿瘤——重度二次给付保险金（若选）、特定疾病保险金（若选）、老年特定重大疾病关爱保险金（若选）的责任：</w:t>
      </w:r>
    </w:p>
    <w:p>
      <w:pPr>
        <w:pStyle w:val="ListParagraph"/>
        <w:numPr>
          <w:ilvl w:val="2"/>
          <w:numId w:val="13"/>
        </w:numPr>
        <w:tabs>
          <w:tab w:pos="2935" w:val="left" w:leader="none"/>
        </w:tabs>
        <w:spacing w:line="279" w:lineRule="exact" w:before="0" w:after="0"/>
        <w:ind w:left="2934" w:right="0" w:hanging="455"/>
        <w:jc w:val="both"/>
        <w:rPr>
          <w:sz w:val="22"/>
        </w:rPr>
      </w:pPr>
      <w:r>
        <w:rPr>
          <w:color w:val="000000"/>
          <w:spacing w:val="-3"/>
          <w:sz w:val="22"/>
          <w:shd w:fill="E4E4E4" w:color="auto" w:val="clear"/>
        </w:rPr>
        <w:t>投保人对被保险人的故意杀害、故意伤害；</w:t>
      </w:r>
      <w:r>
        <w:rPr>
          <w:color w:val="000000"/>
          <w:spacing w:val="40"/>
          <w:sz w:val="22"/>
          <w:shd w:fill="E4E4E4" w:color="auto" w:val="clear"/>
        </w:rPr>
        <w:t> </w:t>
      </w:r>
    </w:p>
    <w:p>
      <w:pPr>
        <w:pStyle w:val="ListParagraph"/>
        <w:numPr>
          <w:ilvl w:val="2"/>
          <w:numId w:val="13"/>
        </w:numPr>
        <w:tabs>
          <w:tab w:pos="2935" w:val="left" w:leader="none"/>
        </w:tabs>
        <w:spacing w:line="240" w:lineRule="auto" w:before="100" w:after="0"/>
        <w:ind w:left="2934" w:right="0" w:hanging="455"/>
        <w:jc w:val="both"/>
        <w:rPr>
          <w:sz w:val="22"/>
        </w:rPr>
      </w:pPr>
      <w:r>
        <w:rPr>
          <w:color w:val="000000"/>
          <w:spacing w:val="-3"/>
          <w:sz w:val="22"/>
          <w:shd w:fill="E4E4E4" w:color="auto" w:val="clear"/>
        </w:rPr>
        <w:t>被保险人故意犯罪或者抗拒依法采取的刑事强制措施；</w:t>
      </w:r>
    </w:p>
    <w:p>
      <w:pPr>
        <w:pStyle w:val="ListParagraph"/>
        <w:numPr>
          <w:ilvl w:val="2"/>
          <w:numId w:val="13"/>
        </w:numPr>
        <w:tabs>
          <w:tab w:pos="2935" w:val="left" w:leader="none"/>
        </w:tabs>
        <w:spacing w:line="324" w:lineRule="auto" w:before="97" w:after="0"/>
        <w:ind w:left="2934" w:right="150" w:hanging="454"/>
        <w:jc w:val="both"/>
        <w:rPr>
          <w:sz w:val="22"/>
        </w:rPr>
      </w:pPr>
      <w:r>
        <w:rPr/>
        <w:drawing>
          <wp:anchor distT="0" distB="0" distL="0" distR="0" allowOverlap="1" layoutInCell="1" locked="0" behindDoc="1" simplePos="0" relativeHeight="484571136">
            <wp:simplePos x="0" y="0"/>
            <wp:positionH relativeFrom="page">
              <wp:posOffset>5838825</wp:posOffset>
            </wp:positionH>
            <wp:positionV relativeFrom="paragraph">
              <wp:posOffset>301244</wp:posOffset>
            </wp:positionV>
            <wp:extent cx="69850" cy="180975"/>
            <wp:effectExtent l="0" t="0" r="0" b="0"/>
            <wp:wrapNone/>
            <wp:docPr id="11" name="image4.png"/>
            <wp:cNvGraphicFramePr>
              <a:graphicFrameLocks noChangeAspect="1"/>
            </wp:cNvGraphicFramePr>
            <a:graphic>
              <a:graphicData uri="http://schemas.openxmlformats.org/drawingml/2006/picture">
                <pic:pic>
                  <pic:nvPicPr>
                    <pic:cNvPr id="12" name="image4.png"/>
                    <pic:cNvPicPr/>
                  </pic:nvPicPr>
                  <pic:blipFill>
                    <a:blip r:embed="rId10" cstate="print"/>
                    <a:stretch>
                      <a:fillRect/>
                    </a:stretch>
                  </pic:blipFill>
                  <pic:spPr>
                    <a:xfrm>
                      <a:off x="0" y="0"/>
                      <a:ext cx="69850" cy="180975"/>
                    </a:xfrm>
                    <a:prstGeom prst="rect">
                      <a:avLst/>
                    </a:prstGeom>
                  </pic:spPr>
                </pic:pic>
              </a:graphicData>
            </a:graphic>
          </wp:anchor>
        </w:drawing>
      </w:r>
      <w:r>
        <w:rPr>
          <w:color w:val="000000"/>
          <w:spacing w:val="-2"/>
          <w:sz w:val="22"/>
          <w:shd w:fill="E4E4E4" w:color="auto" w:val="clear"/>
        </w:rPr>
        <w:t>被保险人故意自伤、或自本合同成立或者本合同效力恢复之日起2年内</w:t>
      </w:r>
      <w:r>
        <w:rPr>
          <w:color w:val="000000"/>
          <w:spacing w:val="40"/>
          <w:sz w:val="22"/>
          <w:shd w:fill="E4E4E4" w:color="auto" w:val="clear"/>
        </w:rPr>
        <w:t> </w:t>
      </w:r>
      <w:r>
        <w:rPr>
          <w:color w:val="000000"/>
          <w:spacing w:val="-2"/>
          <w:sz w:val="22"/>
          <w:shd w:fill="E4E4E4" w:color="auto" w:val="clear"/>
        </w:rPr>
        <w:t>自杀，</w:t>
      </w:r>
      <w:r>
        <w:rPr>
          <w:color w:val="000000"/>
          <w:spacing w:val="-2"/>
          <w:sz w:val="22"/>
        </w:rPr>
        <w:t>但被保险人自杀时为无民事行为能力人的除外；</w:t>
      </w:r>
    </w:p>
    <w:p>
      <w:pPr>
        <w:pStyle w:val="ListParagraph"/>
        <w:numPr>
          <w:ilvl w:val="2"/>
          <w:numId w:val="13"/>
        </w:numPr>
        <w:tabs>
          <w:tab w:pos="2814" w:val="left" w:leader="none"/>
        </w:tabs>
        <w:spacing w:line="240" w:lineRule="auto" w:before="0" w:after="0"/>
        <w:ind w:left="2813" w:right="0" w:hanging="334"/>
        <w:jc w:val="left"/>
        <w:rPr>
          <w:sz w:val="22"/>
        </w:rPr>
      </w:pPr>
      <w:r>
        <w:rPr/>
        <w:pict>
          <v:shape style="position:absolute;margin-left:195.75pt;margin-top:-.168982pt;width:175.2pt;height:14.55pt;mso-position-horizontal-relative:page;mso-position-vertical-relative:paragraph;z-index:15734272" type="#_x0000_t202" id="docshape7" filled="true" fillcolor="#e4e4e4" stroked="false">
            <v:textbox inset="0,0,0,0">
              <w:txbxContent>
                <w:p>
                  <w:pPr>
                    <w:spacing w:before="3"/>
                    <w:ind w:left="-1" w:right="0" w:firstLine="0"/>
                    <w:jc w:val="left"/>
                    <w:rPr>
                      <w:color w:val="000000"/>
                      <w:sz w:val="22"/>
                    </w:rPr>
                  </w:pPr>
                  <w:r>
                    <w:rPr>
                      <w:color w:val="000000"/>
                      <w:spacing w:val="-2"/>
                      <w:sz w:val="22"/>
                    </w:rPr>
                    <w:t>被保险人服用、吸食或注射</w:t>
                  </w:r>
                  <w:r>
                    <w:rPr>
                      <w:b/>
                      <w:color w:val="000000"/>
                      <w:spacing w:val="-2"/>
                      <w:sz w:val="22"/>
                    </w:rPr>
                    <w:t>毒品</w:t>
                  </w:r>
                  <w:hyperlink w:history="true" w:anchor="_bookmark14">
                    <w:r>
                      <w:rPr>
                        <w:rFonts w:ascii="PMingLiU-ExtB" w:eastAsia="PMingLiU-ExtB"/>
                        <w:color w:val="000000"/>
                        <w:spacing w:val="-5"/>
                        <w:position w:val="10"/>
                        <w:sz w:val="10"/>
                      </w:rPr>
                      <w:t>15</w:t>
                    </w:r>
                  </w:hyperlink>
                  <w:r>
                    <w:rPr>
                      <w:color w:val="000000"/>
                      <w:spacing w:val="-5"/>
                      <w:sz w:val="22"/>
                    </w:rPr>
                    <w:t>；</w:t>
                  </w:r>
                </w:p>
              </w:txbxContent>
            </v:textbox>
            <v:fill type="solid"/>
            <w10:wrap type="none"/>
          </v:shape>
        </w:pict>
      </w:r>
      <w:r>
        <w:rPr>
          <w:spacing w:val="-5"/>
          <w:sz w:val="22"/>
        </w:rPr>
        <w:t>(4)</w:t>
      </w:r>
    </w:p>
    <w:p>
      <w:pPr>
        <w:pStyle w:val="ListParagraph"/>
        <w:numPr>
          <w:ilvl w:val="2"/>
          <w:numId w:val="13"/>
        </w:numPr>
        <w:tabs>
          <w:tab w:pos="2814" w:val="left" w:leader="none"/>
        </w:tabs>
        <w:spacing w:line="240" w:lineRule="auto" w:before="97" w:after="0"/>
        <w:ind w:left="2813" w:right="0" w:hanging="334"/>
        <w:jc w:val="left"/>
        <w:rPr>
          <w:sz w:val="22"/>
        </w:rPr>
      </w:pPr>
      <w:r>
        <w:rPr/>
        <w:pict>
          <v:shape style="position:absolute;margin-left:195.75pt;margin-top:4.720019pt;width:342.85pt;height:14.55pt;mso-position-horizontal-relative:page;mso-position-vertical-relative:paragraph;z-index:15733760" type="#_x0000_t202" id="docshape8" filled="true" fillcolor="#e4e4e4" stroked="false">
            <v:textbox inset="0,0,0,0">
              <w:txbxContent>
                <w:p>
                  <w:pPr>
                    <w:spacing w:before="2"/>
                    <w:ind w:left="-1" w:right="0" w:firstLine="0"/>
                    <w:jc w:val="left"/>
                    <w:rPr>
                      <w:b/>
                      <w:color w:val="000000"/>
                      <w:sz w:val="22"/>
                    </w:rPr>
                  </w:pPr>
                  <w:r>
                    <w:rPr>
                      <w:color w:val="000000"/>
                      <w:sz w:val="22"/>
                    </w:rPr>
                    <w:t>被保险人</w:t>
                  </w:r>
                  <w:r>
                    <w:rPr>
                      <w:b/>
                      <w:color w:val="000000"/>
                      <w:sz w:val="22"/>
                    </w:rPr>
                    <w:t>酒后驾驶</w:t>
                  </w:r>
                  <w:hyperlink w:history="true" w:anchor="_bookmark15">
                    <w:r>
                      <w:rPr>
                        <w:rFonts w:ascii="PMingLiU-ExtB" w:eastAsia="PMingLiU-ExtB"/>
                        <w:color w:val="000000"/>
                        <w:position w:val="10"/>
                        <w:sz w:val="10"/>
                      </w:rPr>
                      <w:t>16</w:t>
                    </w:r>
                  </w:hyperlink>
                  <w:r>
                    <w:rPr>
                      <w:color w:val="000000"/>
                      <w:sz w:val="22"/>
                    </w:rPr>
                    <w:t>、</w:t>
                  </w:r>
                  <w:r>
                    <w:rPr>
                      <w:b/>
                      <w:color w:val="000000"/>
                      <w:sz w:val="22"/>
                    </w:rPr>
                    <w:t>无合法有效驾驶证驾驶</w:t>
                  </w:r>
                  <w:hyperlink w:history="true" w:anchor="_bookmark16">
                    <w:r>
                      <w:rPr>
                        <w:rFonts w:ascii="PMingLiU-ExtB" w:eastAsia="PMingLiU-ExtB"/>
                        <w:color w:val="000000"/>
                        <w:position w:val="10"/>
                        <w:sz w:val="10"/>
                      </w:rPr>
                      <w:t>17</w:t>
                    </w:r>
                  </w:hyperlink>
                  <w:r>
                    <w:rPr>
                      <w:color w:val="000000"/>
                      <w:sz w:val="22"/>
                    </w:rPr>
                    <w:t>，或驾驶</w:t>
                  </w:r>
                  <w:r>
                    <w:rPr>
                      <w:b/>
                      <w:color w:val="000000"/>
                      <w:spacing w:val="-2"/>
                      <w:sz w:val="22"/>
                    </w:rPr>
                    <w:t>无合法有效行驶</w:t>
                  </w:r>
                </w:p>
              </w:txbxContent>
            </v:textbox>
            <v:fill type="solid"/>
            <w10:wrap type="none"/>
          </v:shape>
        </w:pict>
      </w:r>
      <w:r>
        <w:rPr>
          <w:spacing w:val="-5"/>
          <w:sz w:val="22"/>
        </w:rPr>
        <w:t>(5)</w:t>
      </w:r>
    </w:p>
    <w:p>
      <w:pPr>
        <w:pStyle w:val="BodyText"/>
        <w:spacing w:before="8"/>
        <w:rPr>
          <w:sz w:val="5"/>
        </w:rPr>
      </w:pPr>
      <w:r>
        <w:rPr/>
        <w:pict>
          <v:shape style="position:absolute;margin-left:195.75pt;margin-top:4.813906pt;width:80.95pt;height:14.55pt;mso-position-horizontal-relative:page;mso-position-vertical-relative:paragraph;z-index:-15726080;mso-wrap-distance-left:0;mso-wrap-distance-right:0" type="#_x0000_t202" id="docshape9" filled="true" fillcolor="#e4e4e4" stroked="false">
            <v:textbox inset="0,0,0,0">
              <w:txbxContent>
                <w:p>
                  <w:pPr>
                    <w:spacing w:before="2"/>
                    <w:ind w:left="-1" w:right="0" w:firstLine="0"/>
                    <w:jc w:val="left"/>
                    <w:rPr>
                      <w:color w:val="000000"/>
                      <w:sz w:val="22"/>
                    </w:rPr>
                  </w:pPr>
                  <w:r>
                    <w:rPr>
                      <w:b/>
                      <w:color w:val="000000"/>
                      <w:spacing w:val="-2"/>
                      <w:sz w:val="22"/>
                    </w:rPr>
                    <w:t>证</w:t>
                  </w:r>
                  <w:hyperlink w:history="true" w:anchor="_bookmark17">
                    <w:r>
                      <w:rPr>
                        <w:rFonts w:ascii="PMingLiU-ExtB" w:eastAsia="PMingLiU-ExtB"/>
                        <w:color w:val="000000"/>
                        <w:spacing w:val="-2"/>
                        <w:position w:val="10"/>
                        <w:sz w:val="10"/>
                      </w:rPr>
                      <w:t>18</w:t>
                    </w:r>
                  </w:hyperlink>
                  <w:r>
                    <w:rPr>
                      <w:color w:val="000000"/>
                      <w:spacing w:val="-2"/>
                      <w:sz w:val="22"/>
                    </w:rPr>
                    <w:t>的</w:t>
                  </w:r>
                  <w:r>
                    <w:rPr>
                      <w:b/>
                      <w:color w:val="000000"/>
                      <w:spacing w:val="-2"/>
                      <w:sz w:val="22"/>
                    </w:rPr>
                    <w:t>机动车</w:t>
                  </w:r>
                  <w:hyperlink w:history="true" w:anchor="_bookmark18">
                    <w:r>
                      <w:rPr>
                        <w:rFonts w:ascii="PMingLiU-ExtB" w:eastAsia="PMingLiU-ExtB"/>
                        <w:color w:val="000000"/>
                        <w:spacing w:val="-5"/>
                        <w:position w:val="10"/>
                        <w:sz w:val="10"/>
                      </w:rPr>
                      <w:t>19</w:t>
                    </w:r>
                  </w:hyperlink>
                  <w:r>
                    <w:rPr>
                      <w:color w:val="000000"/>
                      <w:spacing w:val="-5"/>
                      <w:sz w:val="22"/>
                    </w:rPr>
                    <w:t>；</w:t>
                  </w:r>
                </w:p>
              </w:txbxContent>
            </v:textbox>
            <v:fill type="solid"/>
            <w10:wrap type="topAndBottom"/>
          </v:shape>
        </w:pict>
      </w:r>
    </w:p>
    <w:p>
      <w:pPr>
        <w:pStyle w:val="ListParagraph"/>
        <w:numPr>
          <w:ilvl w:val="2"/>
          <w:numId w:val="13"/>
        </w:numPr>
        <w:tabs>
          <w:tab w:pos="6692" w:val="left" w:leader="none"/>
          <w:tab w:pos="6693" w:val="left" w:leader="none"/>
        </w:tabs>
        <w:spacing w:line="240" w:lineRule="auto" w:before="92" w:after="0"/>
        <w:ind w:left="6692" w:right="0" w:hanging="4213"/>
        <w:jc w:val="left"/>
        <w:rPr>
          <w:sz w:val="22"/>
        </w:rPr>
      </w:pPr>
      <w:r>
        <w:rPr>
          <w:spacing w:val="-3"/>
          <w:sz w:val="22"/>
        </w:rPr>
        <w:t>但是重大疾病定义所述经输血、</w:t>
      </w:r>
    </w:p>
    <w:p>
      <w:pPr>
        <w:pStyle w:val="BodyText"/>
        <w:spacing w:before="97"/>
        <w:ind w:left="2934"/>
      </w:pPr>
      <w:r>
        <w:rPr/>
        <w:pict>
          <v:shape style="position:absolute;margin-left:195.75pt;margin-top:-14.280011pt;width:187.9pt;height:14.55pt;mso-position-horizontal-relative:page;mso-position-vertical-relative:paragraph;z-index:-18743808" type="#_x0000_t202" id="docshape10" filled="true" fillcolor="#e4e4e4" stroked="false">
            <v:textbox inset="0,0,0,0">
              <w:txbxContent>
                <w:p>
                  <w:pPr>
                    <w:spacing w:before="3"/>
                    <w:ind w:left="-1" w:right="0" w:firstLine="0"/>
                    <w:jc w:val="left"/>
                    <w:rPr>
                      <w:color w:val="000000"/>
                      <w:sz w:val="22"/>
                    </w:rPr>
                  </w:pPr>
                  <w:r>
                    <w:rPr>
                      <w:color w:val="000000"/>
                      <w:sz w:val="22"/>
                    </w:rPr>
                    <w:t>被保险人</w:t>
                  </w:r>
                  <w:r>
                    <w:rPr>
                      <w:b/>
                      <w:color w:val="000000"/>
                      <w:sz w:val="22"/>
                    </w:rPr>
                    <w:t>感染艾滋病病毒或患艾滋病</w:t>
                  </w:r>
                  <w:hyperlink w:history="true" w:anchor="_bookmark19">
                    <w:r>
                      <w:rPr>
                        <w:rFonts w:ascii="PMingLiU-ExtB" w:eastAsia="PMingLiU-ExtB"/>
                        <w:color w:val="000000"/>
                        <w:spacing w:val="-5"/>
                        <w:position w:val="10"/>
                        <w:sz w:val="10"/>
                      </w:rPr>
                      <w:t>20</w:t>
                    </w:r>
                  </w:hyperlink>
                  <w:r>
                    <w:rPr>
                      <w:color w:val="000000"/>
                      <w:spacing w:val="-5"/>
                      <w:sz w:val="22"/>
                    </w:rPr>
                    <w:t>,</w:t>
                  </w:r>
                </w:p>
              </w:txbxContent>
            </v:textbox>
            <v:fill type="solid"/>
            <w10:wrap type="none"/>
          </v:shape>
        </w:pict>
      </w:r>
      <w:r>
        <w:rPr>
          <w:spacing w:val="-3"/>
        </w:rPr>
        <w:t>因接受器官移植或因职业关系导致感染艾滋病病毒的除外；</w:t>
      </w:r>
    </w:p>
    <w:p>
      <w:pPr>
        <w:pStyle w:val="ListParagraph"/>
        <w:numPr>
          <w:ilvl w:val="2"/>
          <w:numId w:val="13"/>
        </w:numPr>
        <w:tabs>
          <w:tab w:pos="2935" w:val="left" w:leader="none"/>
        </w:tabs>
        <w:spacing w:line="240" w:lineRule="auto" w:before="98" w:after="0"/>
        <w:ind w:left="2934" w:right="0" w:hanging="455"/>
        <w:jc w:val="left"/>
        <w:rPr>
          <w:sz w:val="22"/>
        </w:rPr>
      </w:pPr>
      <w:r>
        <w:rPr>
          <w:color w:val="000000"/>
          <w:spacing w:val="-3"/>
          <w:sz w:val="22"/>
          <w:shd w:fill="E4E4E4" w:color="auto" w:val="clear"/>
        </w:rPr>
        <w:t>战争、军事冲突、暴乱或武装叛乱；</w:t>
      </w:r>
    </w:p>
    <w:p>
      <w:pPr>
        <w:pStyle w:val="ListParagraph"/>
        <w:numPr>
          <w:ilvl w:val="2"/>
          <w:numId w:val="13"/>
        </w:numPr>
        <w:tabs>
          <w:tab w:pos="2935" w:val="left" w:leader="none"/>
        </w:tabs>
        <w:spacing w:line="324" w:lineRule="auto" w:before="99" w:after="0"/>
        <w:ind w:left="2480" w:right="4369" w:firstLine="0"/>
        <w:jc w:val="left"/>
        <w:rPr>
          <w:sz w:val="22"/>
        </w:rPr>
      </w:pPr>
      <w:r>
        <w:rPr/>
        <w:drawing>
          <wp:anchor distT="0" distB="0" distL="0" distR="0" allowOverlap="1" layoutInCell="1" locked="0" behindDoc="1" simplePos="0" relativeHeight="484571648">
            <wp:simplePos x="0" y="0"/>
            <wp:positionH relativeFrom="page">
              <wp:posOffset>2486025</wp:posOffset>
            </wp:positionH>
            <wp:positionV relativeFrom="paragraph">
              <wp:posOffset>302018</wp:posOffset>
            </wp:positionV>
            <wp:extent cx="3061970" cy="184785"/>
            <wp:effectExtent l="0" t="0" r="0" b="0"/>
            <wp:wrapNone/>
            <wp:docPr id="13" name="image5.png"/>
            <wp:cNvGraphicFramePr>
              <a:graphicFrameLocks noChangeAspect="1"/>
            </wp:cNvGraphicFramePr>
            <a:graphic>
              <a:graphicData uri="http://schemas.openxmlformats.org/drawingml/2006/picture">
                <pic:pic>
                  <pic:nvPicPr>
                    <pic:cNvPr id="14" name="image5.png"/>
                    <pic:cNvPicPr/>
                  </pic:nvPicPr>
                  <pic:blipFill>
                    <a:blip r:embed="rId11" cstate="print"/>
                    <a:stretch>
                      <a:fillRect/>
                    </a:stretch>
                  </pic:blipFill>
                  <pic:spPr>
                    <a:xfrm>
                      <a:off x="0" y="0"/>
                      <a:ext cx="3061970" cy="184785"/>
                    </a:xfrm>
                    <a:prstGeom prst="rect">
                      <a:avLst/>
                    </a:prstGeom>
                  </pic:spPr>
                </pic:pic>
              </a:graphicData>
            </a:graphic>
          </wp:anchor>
        </w:drawing>
      </w:r>
      <w:r>
        <w:rPr/>
        <w:pict>
          <v:shape style="position:absolute;margin-left:195.75pt;margin-top:23.780987pt;width:241.1pt;height:14.55pt;mso-position-horizontal-relative:page;mso-position-vertical-relative:paragraph;z-index:-18744320" type="#_x0000_t202" id="docshape11" filled="false" stroked="false">
            <v:textbox inset="0,0,0,0">
              <w:txbxContent>
                <w:p>
                  <w:pPr>
                    <w:spacing w:before="2"/>
                    <w:ind w:left="-1" w:right="-15" w:firstLine="0"/>
                    <w:jc w:val="left"/>
                    <w:rPr>
                      <w:sz w:val="22"/>
                    </w:rPr>
                  </w:pPr>
                  <w:r>
                    <w:rPr>
                      <w:b/>
                      <w:spacing w:val="-2"/>
                      <w:sz w:val="22"/>
                    </w:rPr>
                    <w:t>遗传性疾病</w:t>
                  </w:r>
                  <w:hyperlink w:history="true" w:anchor="_bookmark20">
                    <w:r>
                      <w:rPr>
                        <w:rFonts w:ascii="PMingLiU-ExtB" w:eastAsia="PMingLiU-ExtB"/>
                        <w:spacing w:val="-2"/>
                        <w:position w:val="10"/>
                        <w:sz w:val="10"/>
                      </w:rPr>
                      <w:t>21</w:t>
                    </w:r>
                  </w:hyperlink>
                  <w:r>
                    <w:rPr>
                      <w:spacing w:val="-2"/>
                      <w:sz w:val="22"/>
                    </w:rPr>
                    <w:t>，</w:t>
                  </w:r>
                  <w:r>
                    <w:rPr>
                      <w:b/>
                      <w:spacing w:val="-2"/>
                      <w:sz w:val="22"/>
                    </w:rPr>
                    <w:t>先天性畸形、变形或染色体异常</w:t>
                  </w:r>
                  <w:hyperlink w:history="true" w:anchor="_bookmark21">
                    <w:r>
                      <w:rPr>
                        <w:rFonts w:ascii="PMingLiU-ExtB" w:eastAsia="PMingLiU-ExtB"/>
                        <w:spacing w:val="-2"/>
                        <w:position w:val="10"/>
                        <w:sz w:val="10"/>
                      </w:rPr>
                      <w:t>22</w:t>
                    </w:r>
                  </w:hyperlink>
                  <w:r>
                    <w:rPr>
                      <w:spacing w:val="-10"/>
                      <w:sz w:val="22"/>
                    </w:rPr>
                    <w:t>。</w:t>
                  </w:r>
                </w:p>
              </w:txbxContent>
            </v:textbox>
            <w10:wrap type="none"/>
          </v:shape>
        </w:pict>
      </w:r>
      <w:r>
        <w:rPr>
          <w:color w:val="000000"/>
          <w:spacing w:val="-2"/>
          <w:sz w:val="22"/>
          <w:shd w:fill="E4E4E4" w:color="auto" w:val="clear"/>
        </w:rPr>
        <w:t>核爆炸、核辐射或核污染；</w:t>
      </w:r>
      <w:r>
        <w:rPr>
          <w:color w:val="000000"/>
          <w:spacing w:val="-2"/>
          <w:sz w:val="22"/>
        </w:rPr>
        <w:t> </w:t>
      </w:r>
      <w:r>
        <w:rPr>
          <w:color w:val="000000"/>
          <w:spacing w:val="-4"/>
          <w:sz w:val="22"/>
        </w:rPr>
        <w:t>(9)</w:t>
      </w:r>
    </w:p>
    <w:p>
      <w:pPr>
        <w:pStyle w:val="BodyText"/>
        <w:spacing w:line="324" w:lineRule="auto"/>
        <w:ind w:left="2480" w:right="152"/>
        <w:jc w:val="both"/>
      </w:pPr>
      <w:r>
        <w:rPr>
          <w:color w:val="000000"/>
          <w:spacing w:val="-2"/>
          <w:shd w:fill="E4E4E4" w:color="auto" w:val="clear"/>
        </w:rPr>
        <w:t>发生上述第（1）项情形导致被保险人发生身故、全残、重大疾病、中度疾</w:t>
      </w:r>
      <w:r>
        <w:rPr>
          <w:color w:val="000000"/>
          <w:spacing w:val="40"/>
          <w:shd w:fill="E4E4E4" w:color="auto" w:val="clear"/>
        </w:rPr>
        <w:t> </w:t>
      </w:r>
      <w:r>
        <w:rPr>
          <w:color w:val="000000"/>
          <w:spacing w:val="-2"/>
          <w:shd w:fill="E4E4E4" w:color="auto" w:val="clear"/>
        </w:rPr>
        <w:t>病、轻度疾病、恶性肿瘤——重度（若选）、特定疾病（若选）、老年特定重大疾病（若选）的，本合同终止，我们向其它权利人退还保险合同的现金价值。其它权利人按照被保险人、被保险人的继承人的顺序确定。</w:t>
      </w:r>
    </w:p>
    <w:p>
      <w:pPr>
        <w:pStyle w:val="BodyText"/>
        <w:spacing w:line="324" w:lineRule="auto"/>
        <w:ind w:left="2480" w:right="152"/>
      </w:pPr>
      <w:r>
        <w:rPr>
          <w:color w:val="000000"/>
          <w:spacing w:val="-2"/>
          <w:shd w:fill="E4E4E4" w:color="auto" w:val="clear"/>
        </w:rPr>
        <w:t>发生上述第（2）-（9）项情形导致被保险人发生身故、全残、重大疾病、</w:t>
      </w:r>
      <w:r>
        <w:rPr>
          <w:color w:val="000000"/>
          <w:spacing w:val="80"/>
          <w:w w:val="150"/>
          <w:shd w:fill="E4E4E4" w:color="auto" w:val="clear"/>
        </w:rPr>
        <w:t>                                       </w:t>
      </w:r>
      <w:r>
        <w:rPr>
          <w:color w:val="000000"/>
          <w:spacing w:val="-2"/>
          <w:shd w:fill="E4E4E4" w:color="auto" w:val="clear"/>
        </w:rPr>
        <w:t>中度疾病、轻度疾病、恶性肿瘤——重度（若选）、特定疾病（若选）</w:t>
      </w:r>
      <w:r>
        <w:rPr>
          <w:color w:val="000000"/>
          <w:spacing w:val="-6"/>
          <w:shd w:fill="E4E4E4" w:color="auto" w:val="clear"/>
        </w:rPr>
        <w:t>、老</w:t>
      </w:r>
    </w:p>
    <w:p>
      <w:pPr>
        <w:pStyle w:val="BodyText"/>
        <w:spacing w:before="10"/>
        <w:rPr>
          <w:sz w:val="11"/>
        </w:rPr>
      </w:pPr>
    </w:p>
    <w:p>
      <w:pPr>
        <w:spacing w:line="242" w:lineRule="auto" w:before="85"/>
        <w:ind w:left="368" w:right="153" w:hanging="216"/>
        <w:jc w:val="both"/>
        <w:rPr>
          <w:sz w:val="18"/>
        </w:rPr>
      </w:pPr>
      <w:r>
        <w:rPr>
          <w:rFonts w:ascii="Times New Roman" w:eastAsia="Times New Roman"/>
          <w:sz w:val="18"/>
          <w:vertAlign w:val="superscript"/>
        </w:rPr>
        <w:t>15</w:t>
      </w:r>
      <w:r>
        <w:rPr>
          <w:rFonts w:ascii="Times New Roman" w:eastAsia="Times New Roman"/>
          <w:sz w:val="18"/>
          <w:vertAlign w:val="baseline"/>
        </w:rPr>
        <w:t> </w:t>
      </w:r>
      <w:r>
        <w:rPr>
          <w:b/>
          <w:sz w:val="18"/>
          <w:vertAlign w:val="baseline"/>
        </w:rPr>
        <w:t>毒</w:t>
      </w:r>
      <w:r>
        <w:rPr>
          <w:b/>
          <w:sz w:val="18"/>
          <w:vertAlign w:val="baseline"/>
        </w:rPr>
        <w:t>品</w:t>
      </w:r>
      <w:r>
        <w:rPr>
          <w:sz w:val="18"/>
          <w:vertAlign w:val="baseline"/>
        </w:rPr>
        <w:t>：指中华人民共和国刑法规定的鸦片、海洛因、甲基苯丙胺（冰毒）、吗啡、大麻、可卡因以及国家规定管制的其</w:t>
      </w:r>
      <w:r>
        <w:rPr>
          <w:spacing w:val="-2"/>
          <w:sz w:val="18"/>
          <w:vertAlign w:val="baseline"/>
        </w:rPr>
        <w:t>它能够使人形成瘾癖的麻醉药品和精神药品，但不包括由医生开具并遵医嘱使用的用于治疗疾病但含有毒品成分的处方</w:t>
      </w:r>
      <w:r>
        <w:rPr>
          <w:spacing w:val="-4"/>
          <w:sz w:val="18"/>
          <w:vertAlign w:val="baseline"/>
        </w:rPr>
        <w:t>药品。</w:t>
      </w:r>
    </w:p>
    <w:p>
      <w:pPr>
        <w:spacing w:line="244" w:lineRule="auto" w:before="0"/>
        <w:ind w:left="368" w:right="153" w:hanging="216"/>
        <w:jc w:val="both"/>
        <w:rPr>
          <w:sz w:val="18"/>
        </w:rPr>
      </w:pPr>
      <w:r>
        <w:rPr>
          <w:rFonts w:ascii="Times New Roman" w:eastAsia="Times New Roman"/>
          <w:sz w:val="18"/>
          <w:vertAlign w:val="superscript"/>
        </w:rPr>
        <w:t>16</w:t>
      </w:r>
      <w:r>
        <w:rPr>
          <w:rFonts w:ascii="Times New Roman" w:eastAsia="Times New Roman"/>
          <w:sz w:val="18"/>
          <w:vertAlign w:val="baseline"/>
        </w:rPr>
        <w:t> </w:t>
      </w:r>
      <w:r>
        <w:rPr>
          <w:b/>
          <w:sz w:val="18"/>
          <w:vertAlign w:val="baseline"/>
        </w:rPr>
        <w:t>酒</w:t>
      </w:r>
      <w:r>
        <w:rPr>
          <w:b/>
          <w:sz w:val="18"/>
          <w:vertAlign w:val="baseline"/>
        </w:rPr>
        <w:t>后</w:t>
      </w:r>
      <w:r>
        <w:rPr>
          <w:b/>
          <w:sz w:val="18"/>
          <w:vertAlign w:val="baseline"/>
        </w:rPr>
        <w:t>驾驶</w:t>
      </w:r>
      <w:r>
        <w:rPr>
          <w:sz w:val="18"/>
          <w:vertAlign w:val="baseline"/>
        </w:rPr>
        <w:t>：指经检测或鉴定，发生事故时车辆驾驶人员每百毫升血液中的酒精含量达到或超过一定的标准，公安机关交</w:t>
      </w:r>
      <w:r>
        <w:rPr>
          <w:spacing w:val="-2"/>
          <w:sz w:val="18"/>
          <w:vertAlign w:val="baseline"/>
        </w:rPr>
        <w:t>通管理部门依据《道路交通安全法》的规定认定为饮酒后驾驶或醉酒后驾驶。</w:t>
      </w:r>
    </w:p>
    <w:p>
      <w:pPr>
        <w:spacing w:line="228" w:lineRule="exact" w:before="0"/>
        <w:ind w:left="152" w:right="0" w:firstLine="0"/>
        <w:jc w:val="both"/>
        <w:rPr>
          <w:sz w:val="18"/>
        </w:rPr>
      </w:pPr>
      <w:r>
        <w:rPr>
          <w:rFonts w:ascii="Times New Roman" w:eastAsia="Times New Roman"/>
          <w:sz w:val="18"/>
          <w:vertAlign w:val="superscript"/>
        </w:rPr>
        <w:t>17</w:t>
      </w:r>
      <w:r>
        <w:rPr>
          <w:rFonts w:ascii="Times New Roman" w:eastAsia="Times New Roman"/>
          <w:spacing w:val="77"/>
          <w:w w:val="150"/>
          <w:sz w:val="18"/>
          <w:vertAlign w:val="baseline"/>
        </w:rPr>
        <w:t>  </w:t>
      </w:r>
      <w:bookmarkStart w:name="_bookmark16" w:id="1"/>
      <w:bookmarkEnd w:id="1"/>
      <w:r>
        <w:rPr>
          <w:rFonts w:ascii="Times New Roman" w:eastAsia="Times New Roman"/>
          <w:spacing w:val="10"/>
          <w:sz w:val="18"/>
          <w:vertAlign w:val="baseline"/>
        </w:rPr>
      </w:r>
      <w:r>
        <w:rPr>
          <w:b/>
          <w:sz w:val="18"/>
          <w:vertAlign w:val="baseline"/>
        </w:rPr>
        <w:t>无</w:t>
      </w:r>
      <w:r>
        <w:rPr>
          <w:b/>
          <w:sz w:val="18"/>
          <w:vertAlign w:val="baseline"/>
        </w:rPr>
        <w:t>合</w:t>
      </w:r>
      <w:r>
        <w:rPr>
          <w:b/>
          <w:sz w:val="18"/>
          <w:vertAlign w:val="baseline"/>
        </w:rPr>
        <w:t>法</w:t>
      </w:r>
      <w:r>
        <w:rPr>
          <w:b/>
          <w:sz w:val="18"/>
          <w:vertAlign w:val="baseline"/>
        </w:rPr>
        <w:t>有</w:t>
      </w:r>
      <w:r>
        <w:rPr>
          <w:b/>
          <w:sz w:val="18"/>
          <w:vertAlign w:val="baseline"/>
        </w:rPr>
        <w:t>效</w:t>
      </w:r>
      <w:r>
        <w:rPr>
          <w:b/>
          <w:sz w:val="18"/>
          <w:vertAlign w:val="baseline"/>
        </w:rPr>
        <w:t>驾</w:t>
      </w:r>
      <w:r>
        <w:rPr>
          <w:b/>
          <w:sz w:val="18"/>
          <w:vertAlign w:val="baseline"/>
        </w:rPr>
        <w:t>驶</w:t>
      </w:r>
      <w:r>
        <w:rPr>
          <w:b/>
          <w:sz w:val="18"/>
          <w:vertAlign w:val="baseline"/>
        </w:rPr>
        <w:t>证驾驶</w:t>
      </w:r>
      <w:r>
        <w:rPr>
          <w:sz w:val="18"/>
          <w:vertAlign w:val="baseline"/>
        </w:rPr>
        <w:t>：指下列情形之一：（1）没有取得驾驶资格；（2）</w:t>
      </w:r>
      <w:r>
        <w:rPr>
          <w:spacing w:val="-1"/>
          <w:sz w:val="18"/>
          <w:vertAlign w:val="baseline"/>
        </w:rPr>
        <w:t>驾驶与驾驶证准驾车型不相符合的车辆；</w:t>
      </w:r>
    </w:p>
    <w:p>
      <w:pPr>
        <w:spacing w:line="242" w:lineRule="auto" w:before="2"/>
        <w:ind w:left="368" w:right="152" w:firstLine="0"/>
        <w:jc w:val="left"/>
        <w:rPr>
          <w:sz w:val="18"/>
        </w:rPr>
      </w:pPr>
      <w:r>
        <w:rPr>
          <w:spacing w:val="2"/>
          <w:sz w:val="18"/>
        </w:rPr>
        <w:t>（</w:t>
      </w:r>
      <w:r>
        <w:rPr>
          <w:spacing w:val="1"/>
          <w:sz w:val="18"/>
        </w:rPr>
        <w:t>3</w:t>
      </w:r>
      <w:r>
        <w:rPr>
          <w:sz w:val="18"/>
        </w:rPr>
        <w:t>）持审验不合格的驾驶证驾驶；（</w:t>
      </w:r>
      <w:r>
        <w:rPr>
          <w:spacing w:val="1"/>
          <w:sz w:val="18"/>
        </w:rPr>
        <w:t>4</w:t>
      </w:r>
      <w:r>
        <w:rPr>
          <w:sz w:val="18"/>
        </w:rPr>
        <w:t>）持学习驾驶证学习驾车时，无教练员随车指导，或不按指定时间、路线学习驾车。</w:t>
      </w:r>
    </w:p>
    <w:p>
      <w:pPr>
        <w:spacing w:before="11"/>
        <w:ind w:left="392" w:right="152" w:hanging="240"/>
        <w:jc w:val="left"/>
        <w:rPr>
          <w:sz w:val="18"/>
        </w:rPr>
      </w:pPr>
      <w:r>
        <w:rPr>
          <w:rFonts w:ascii="华文中宋" w:eastAsia="华文中宋"/>
          <w:sz w:val="18"/>
          <w:vertAlign w:val="superscript"/>
        </w:rPr>
        <w:t>18</w:t>
      </w:r>
      <w:r>
        <w:rPr>
          <w:rFonts w:ascii="华文中宋" w:eastAsia="华文中宋"/>
          <w:spacing w:val="33"/>
          <w:sz w:val="18"/>
          <w:vertAlign w:val="baseline"/>
        </w:rPr>
        <w:t> </w:t>
      </w:r>
      <w:r>
        <w:rPr>
          <w:b/>
          <w:sz w:val="18"/>
          <w:vertAlign w:val="baseline"/>
        </w:rPr>
        <w:t>无合法有效行</w:t>
      </w:r>
      <w:r>
        <w:rPr>
          <w:b/>
          <w:sz w:val="18"/>
          <w:vertAlign w:val="baseline"/>
        </w:rPr>
        <w:t>驶</w:t>
      </w:r>
      <w:r>
        <w:rPr>
          <w:b/>
          <w:sz w:val="18"/>
          <w:vertAlign w:val="baseline"/>
        </w:rPr>
        <w:t>证</w:t>
      </w:r>
      <w:r>
        <w:rPr>
          <w:sz w:val="18"/>
          <w:vertAlign w:val="baseline"/>
        </w:rPr>
        <w:t>：指下列情形之一：（1）机动车被依法注销登记的；（2）未依法按时进行或通过机动车安全技术检</w:t>
      </w:r>
      <w:r>
        <w:rPr>
          <w:spacing w:val="-6"/>
          <w:w w:val="110"/>
          <w:sz w:val="18"/>
          <w:vertAlign w:val="baseline"/>
        </w:rPr>
        <w:t>验</w:t>
      </w:r>
      <w:r>
        <w:rPr>
          <w:spacing w:val="-6"/>
          <w:w w:val="110"/>
          <w:sz w:val="18"/>
          <w:vertAlign w:val="baseline"/>
        </w:rPr>
        <w:t>。</w:t>
      </w:r>
    </w:p>
    <w:p>
      <w:pPr>
        <w:spacing w:before="3"/>
        <w:ind w:left="152" w:right="0" w:firstLine="0"/>
        <w:jc w:val="left"/>
        <w:rPr>
          <w:sz w:val="18"/>
        </w:rPr>
      </w:pPr>
      <w:r>
        <w:rPr>
          <w:rFonts w:ascii="Times New Roman" w:eastAsia="Times New Roman"/>
          <w:sz w:val="18"/>
          <w:vertAlign w:val="superscript"/>
        </w:rPr>
        <w:t>19</w:t>
      </w:r>
      <w:r>
        <w:rPr>
          <w:rFonts w:ascii="Times New Roman" w:eastAsia="Times New Roman"/>
          <w:spacing w:val="50"/>
          <w:sz w:val="18"/>
          <w:vertAlign w:val="baseline"/>
        </w:rPr>
        <w:t> </w:t>
      </w:r>
      <w:r>
        <w:rPr>
          <w:b/>
          <w:sz w:val="18"/>
          <w:vertAlign w:val="baseline"/>
        </w:rPr>
        <w:t>机动车</w:t>
      </w:r>
      <w:r>
        <w:rPr>
          <w:spacing w:val="-1"/>
          <w:sz w:val="18"/>
          <w:vertAlign w:val="baseline"/>
        </w:rPr>
        <w:t>：指以动力装置驱动或者牵引，供人员乘用或者用于运送物品以及进行工程专项作业的轮式车辆。</w:t>
      </w:r>
    </w:p>
    <w:p>
      <w:pPr>
        <w:spacing w:before="13"/>
        <w:ind w:left="392" w:right="152" w:hanging="240"/>
        <w:jc w:val="left"/>
        <w:rPr>
          <w:sz w:val="18"/>
        </w:rPr>
      </w:pPr>
      <w:r>
        <w:rPr>
          <w:rFonts w:ascii="华文中宋" w:eastAsia="华文中宋"/>
          <w:sz w:val="18"/>
          <w:vertAlign w:val="superscript"/>
        </w:rPr>
        <w:t>20</w:t>
      </w:r>
      <w:r>
        <w:rPr>
          <w:rFonts w:ascii="华文中宋" w:eastAsia="华文中宋"/>
          <w:spacing w:val="80"/>
          <w:sz w:val="18"/>
          <w:vertAlign w:val="baseline"/>
        </w:rPr>
        <w:t> </w:t>
      </w:r>
      <w:r>
        <w:rPr>
          <w:b/>
          <w:sz w:val="18"/>
          <w:vertAlign w:val="baseline"/>
        </w:rPr>
        <w:t>感</w:t>
      </w:r>
      <w:r>
        <w:rPr>
          <w:b/>
          <w:sz w:val="18"/>
          <w:vertAlign w:val="baseline"/>
        </w:rPr>
        <w:t>染</w:t>
      </w:r>
      <w:r>
        <w:rPr>
          <w:b/>
          <w:sz w:val="18"/>
          <w:vertAlign w:val="baseline"/>
        </w:rPr>
        <w:t>艾</w:t>
      </w:r>
      <w:r>
        <w:rPr>
          <w:b/>
          <w:sz w:val="18"/>
          <w:vertAlign w:val="baseline"/>
        </w:rPr>
        <w:t>滋</w:t>
      </w:r>
      <w:r>
        <w:rPr>
          <w:b/>
          <w:sz w:val="18"/>
          <w:vertAlign w:val="baseline"/>
        </w:rPr>
        <w:t>病</w:t>
      </w:r>
      <w:r>
        <w:rPr>
          <w:b/>
          <w:sz w:val="18"/>
          <w:vertAlign w:val="baseline"/>
        </w:rPr>
        <w:t>病</w:t>
      </w:r>
      <w:r>
        <w:rPr>
          <w:b/>
          <w:sz w:val="18"/>
          <w:vertAlign w:val="baseline"/>
        </w:rPr>
        <w:t>毒</w:t>
      </w:r>
      <w:r>
        <w:rPr>
          <w:b/>
          <w:sz w:val="18"/>
          <w:vertAlign w:val="baseline"/>
        </w:rPr>
        <w:t>或</w:t>
      </w:r>
      <w:r>
        <w:rPr>
          <w:b/>
          <w:sz w:val="18"/>
          <w:vertAlign w:val="baseline"/>
        </w:rPr>
        <w:t>患</w:t>
      </w:r>
      <w:r>
        <w:rPr>
          <w:b/>
          <w:sz w:val="18"/>
          <w:vertAlign w:val="baseline"/>
        </w:rPr>
        <w:t>艾</w:t>
      </w:r>
      <w:r>
        <w:rPr>
          <w:b/>
          <w:sz w:val="18"/>
          <w:vertAlign w:val="baseline"/>
        </w:rPr>
        <w:t>滋</w:t>
      </w:r>
      <w:r>
        <w:rPr>
          <w:b/>
          <w:sz w:val="18"/>
          <w:vertAlign w:val="baseline"/>
        </w:rPr>
        <w:t>病</w:t>
      </w:r>
      <w:r>
        <w:rPr>
          <w:sz w:val="18"/>
          <w:vertAlign w:val="baseline"/>
        </w:rPr>
        <w:t>：艾滋病病毒指人类免疫缺陷病毒，英文缩写为</w:t>
      </w:r>
      <w:r>
        <w:rPr>
          <w:rFonts w:ascii="Times New Roman" w:eastAsia="Times New Roman"/>
          <w:sz w:val="18"/>
          <w:vertAlign w:val="baseline"/>
        </w:rPr>
        <w:t>HIV</w:t>
      </w:r>
      <w:r>
        <w:rPr>
          <w:sz w:val="18"/>
          <w:vertAlign w:val="baseline"/>
        </w:rPr>
        <w:t>。艾滋病指人类免疫缺陷病毒引起的获</w:t>
      </w:r>
      <w:r>
        <w:rPr>
          <w:spacing w:val="-2"/>
          <w:w w:val="105"/>
          <w:sz w:val="18"/>
          <w:vertAlign w:val="baseline"/>
        </w:rPr>
        <w:t>得</w:t>
      </w:r>
      <w:r>
        <w:rPr>
          <w:spacing w:val="-2"/>
          <w:w w:val="105"/>
          <w:sz w:val="18"/>
          <w:vertAlign w:val="baseline"/>
        </w:rPr>
        <w:t>性</w:t>
      </w:r>
      <w:r>
        <w:rPr>
          <w:spacing w:val="-2"/>
          <w:w w:val="105"/>
          <w:sz w:val="18"/>
          <w:vertAlign w:val="baseline"/>
        </w:rPr>
        <w:t>免</w:t>
      </w:r>
      <w:r>
        <w:rPr>
          <w:spacing w:val="-2"/>
          <w:w w:val="105"/>
          <w:sz w:val="18"/>
          <w:vertAlign w:val="baseline"/>
        </w:rPr>
        <w:t>疫</w:t>
      </w:r>
      <w:r>
        <w:rPr>
          <w:spacing w:val="-2"/>
          <w:w w:val="105"/>
          <w:sz w:val="18"/>
          <w:vertAlign w:val="baseline"/>
        </w:rPr>
        <w:t>缺</w:t>
      </w:r>
      <w:r>
        <w:rPr>
          <w:spacing w:val="-2"/>
          <w:w w:val="105"/>
          <w:sz w:val="18"/>
          <w:vertAlign w:val="baseline"/>
        </w:rPr>
        <w:t>陷</w:t>
      </w:r>
      <w:r>
        <w:rPr>
          <w:spacing w:val="-2"/>
          <w:w w:val="105"/>
          <w:sz w:val="18"/>
          <w:vertAlign w:val="baseline"/>
        </w:rPr>
        <w:t>综</w:t>
      </w:r>
      <w:r>
        <w:rPr>
          <w:spacing w:val="-2"/>
          <w:w w:val="105"/>
          <w:sz w:val="18"/>
          <w:vertAlign w:val="baseline"/>
        </w:rPr>
        <w:t>合</w:t>
      </w:r>
      <w:r>
        <w:rPr>
          <w:spacing w:val="-2"/>
          <w:w w:val="105"/>
          <w:sz w:val="18"/>
          <w:vertAlign w:val="baseline"/>
        </w:rPr>
        <w:t>症</w:t>
      </w:r>
      <w:r>
        <w:rPr>
          <w:spacing w:val="-2"/>
          <w:w w:val="105"/>
          <w:sz w:val="18"/>
          <w:vertAlign w:val="baseline"/>
        </w:rPr>
        <w:t>，</w:t>
      </w:r>
      <w:r>
        <w:rPr>
          <w:spacing w:val="-2"/>
          <w:w w:val="105"/>
          <w:sz w:val="18"/>
          <w:vertAlign w:val="baseline"/>
        </w:rPr>
        <w:t>英</w:t>
      </w:r>
      <w:r>
        <w:rPr>
          <w:spacing w:val="-2"/>
          <w:w w:val="105"/>
          <w:sz w:val="18"/>
          <w:vertAlign w:val="baseline"/>
        </w:rPr>
        <w:t>文</w:t>
      </w:r>
      <w:r>
        <w:rPr>
          <w:spacing w:val="-2"/>
          <w:w w:val="105"/>
          <w:sz w:val="18"/>
          <w:vertAlign w:val="baseline"/>
        </w:rPr>
        <w:t>缩</w:t>
      </w:r>
      <w:r>
        <w:rPr>
          <w:spacing w:val="-2"/>
          <w:w w:val="105"/>
          <w:sz w:val="18"/>
          <w:vertAlign w:val="baseline"/>
        </w:rPr>
        <w:t>写</w:t>
      </w:r>
      <w:r>
        <w:rPr>
          <w:spacing w:val="-2"/>
          <w:w w:val="105"/>
          <w:sz w:val="18"/>
          <w:vertAlign w:val="baseline"/>
        </w:rPr>
        <w:t>为</w:t>
      </w:r>
      <w:r>
        <w:rPr>
          <w:rFonts w:ascii="Times New Roman" w:eastAsia="Times New Roman"/>
          <w:spacing w:val="-2"/>
          <w:w w:val="105"/>
          <w:sz w:val="18"/>
          <w:vertAlign w:val="baseline"/>
        </w:rPr>
        <w:t>AIDS</w:t>
      </w:r>
      <w:r>
        <w:rPr>
          <w:spacing w:val="-2"/>
          <w:w w:val="105"/>
          <w:sz w:val="18"/>
          <w:vertAlign w:val="baseline"/>
        </w:rPr>
        <w:t>。</w:t>
      </w:r>
    </w:p>
    <w:p>
      <w:pPr>
        <w:spacing w:line="242" w:lineRule="auto" w:before="3"/>
        <w:ind w:left="368" w:right="153" w:firstLine="0"/>
        <w:jc w:val="left"/>
        <w:rPr>
          <w:sz w:val="18"/>
        </w:rPr>
      </w:pPr>
      <w:r>
        <w:rPr>
          <w:spacing w:val="-2"/>
          <w:sz w:val="18"/>
        </w:rPr>
        <w:t>在人体血液或其它样本中检测到艾滋病病毒或其抗体呈阳性，没有出现临床症状或体征的，为感染艾滋病病毒；如果同</w:t>
      </w:r>
      <w:r>
        <w:rPr>
          <w:spacing w:val="-2"/>
          <w:sz w:val="18"/>
        </w:rPr>
        <w:t>时出现了明显临床症状或体征的，为患艾滋病。</w:t>
      </w:r>
    </w:p>
    <w:p>
      <w:pPr>
        <w:spacing w:line="242" w:lineRule="auto" w:before="0"/>
        <w:ind w:left="368" w:right="154" w:hanging="216"/>
        <w:jc w:val="left"/>
        <w:rPr>
          <w:sz w:val="18"/>
        </w:rPr>
      </w:pPr>
      <w:r>
        <w:rPr>
          <w:rFonts w:ascii="Times New Roman" w:eastAsia="Times New Roman"/>
          <w:sz w:val="18"/>
          <w:vertAlign w:val="superscript"/>
        </w:rPr>
        <w:t>21</w:t>
      </w:r>
      <w:r>
        <w:rPr>
          <w:rFonts w:ascii="Times New Roman" w:eastAsia="Times New Roman"/>
          <w:spacing w:val="55"/>
          <w:sz w:val="18"/>
          <w:vertAlign w:val="baseline"/>
        </w:rPr>
        <w:t> </w:t>
      </w:r>
      <w:r>
        <w:rPr>
          <w:b/>
          <w:sz w:val="18"/>
          <w:vertAlign w:val="baseline"/>
        </w:rPr>
        <w:t>遗</w:t>
      </w:r>
      <w:r>
        <w:rPr>
          <w:b/>
          <w:sz w:val="18"/>
          <w:vertAlign w:val="baseline"/>
        </w:rPr>
        <w:t>传</w:t>
      </w:r>
      <w:r>
        <w:rPr>
          <w:b/>
          <w:sz w:val="18"/>
          <w:vertAlign w:val="baseline"/>
        </w:rPr>
        <w:t>性</w:t>
      </w:r>
      <w:r>
        <w:rPr>
          <w:b/>
          <w:sz w:val="18"/>
          <w:vertAlign w:val="baseline"/>
        </w:rPr>
        <w:t>疾</w:t>
      </w:r>
      <w:r>
        <w:rPr>
          <w:b/>
          <w:sz w:val="18"/>
          <w:vertAlign w:val="baseline"/>
        </w:rPr>
        <w:t>病</w:t>
      </w:r>
      <w:r>
        <w:rPr>
          <w:sz w:val="18"/>
          <w:vertAlign w:val="baseline"/>
        </w:rPr>
        <w:t>：指生殖细胞或受精卵的遗传物质（染色体和基因）发生突变或畸变所引起的疾病，通常具有由亲代传至后</w:t>
      </w:r>
      <w:r>
        <w:rPr>
          <w:spacing w:val="-2"/>
          <w:sz w:val="18"/>
          <w:vertAlign w:val="baseline"/>
        </w:rPr>
        <w:t>代的垂直传递的特征。</w:t>
      </w:r>
    </w:p>
    <w:p>
      <w:pPr>
        <w:spacing w:line="242" w:lineRule="auto" w:before="2"/>
        <w:ind w:left="368" w:right="152" w:hanging="216"/>
        <w:jc w:val="left"/>
        <w:rPr>
          <w:sz w:val="18"/>
        </w:rPr>
      </w:pPr>
      <w:r>
        <w:rPr>
          <w:rFonts w:ascii="Times New Roman" w:eastAsia="Times New Roman"/>
          <w:sz w:val="18"/>
          <w:vertAlign w:val="superscript"/>
        </w:rPr>
        <w:t>22</w:t>
      </w:r>
      <w:r>
        <w:rPr>
          <w:rFonts w:ascii="Times New Roman" w:eastAsia="Times New Roman"/>
          <w:spacing w:val="55"/>
          <w:sz w:val="18"/>
          <w:vertAlign w:val="baseline"/>
        </w:rPr>
        <w:t> </w:t>
      </w:r>
      <w:r>
        <w:rPr>
          <w:b/>
          <w:sz w:val="18"/>
          <w:vertAlign w:val="baseline"/>
        </w:rPr>
        <w:t>先天</w:t>
      </w:r>
      <w:r>
        <w:rPr>
          <w:b/>
          <w:sz w:val="18"/>
          <w:vertAlign w:val="baseline"/>
        </w:rPr>
        <w:t>性</w:t>
      </w:r>
      <w:r>
        <w:rPr>
          <w:b/>
          <w:sz w:val="18"/>
          <w:vertAlign w:val="baseline"/>
        </w:rPr>
        <w:t>畸</w:t>
      </w:r>
      <w:r>
        <w:rPr>
          <w:b/>
          <w:sz w:val="18"/>
          <w:vertAlign w:val="baseline"/>
        </w:rPr>
        <w:t>形</w:t>
      </w:r>
      <w:r>
        <w:rPr>
          <w:b/>
          <w:sz w:val="18"/>
          <w:vertAlign w:val="baseline"/>
        </w:rPr>
        <w:t>、</w:t>
      </w:r>
      <w:r>
        <w:rPr>
          <w:b/>
          <w:sz w:val="18"/>
          <w:vertAlign w:val="baseline"/>
        </w:rPr>
        <w:t>变</w:t>
      </w:r>
      <w:r>
        <w:rPr>
          <w:b/>
          <w:sz w:val="18"/>
          <w:vertAlign w:val="baseline"/>
        </w:rPr>
        <w:t>形</w:t>
      </w:r>
      <w:r>
        <w:rPr>
          <w:b/>
          <w:sz w:val="18"/>
          <w:vertAlign w:val="baseline"/>
        </w:rPr>
        <w:t>或</w:t>
      </w:r>
      <w:r>
        <w:rPr>
          <w:b/>
          <w:sz w:val="18"/>
          <w:vertAlign w:val="baseline"/>
        </w:rPr>
        <w:t>染</w:t>
      </w:r>
      <w:r>
        <w:rPr>
          <w:b/>
          <w:sz w:val="18"/>
          <w:vertAlign w:val="baseline"/>
        </w:rPr>
        <w:t>色</w:t>
      </w:r>
      <w:r>
        <w:rPr>
          <w:b/>
          <w:sz w:val="18"/>
          <w:vertAlign w:val="baseline"/>
        </w:rPr>
        <w:t>体</w:t>
      </w:r>
      <w:r>
        <w:rPr>
          <w:b/>
          <w:sz w:val="18"/>
          <w:vertAlign w:val="baseline"/>
        </w:rPr>
        <w:t>异常</w:t>
      </w:r>
      <w:r>
        <w:rPr>
          <w:sz w:val="18"/>
          <w:vertAlign w:val="baseline"/>
        </w:rPr>
        <w:t>：指被保险人出生时就具有的畸形、变形或染色体异常。先天性畸形、变形和染色体异</w:t>
      </w:r>
      <w:r>
        <w:rPr>
          <w:spacing w:val="-2"/>
          <w:sz w:val="18"/>
          <w:vertAlign w:val="baseline"/>
        </w:rPr>
        <w:t>常依照世界卫生组织《疾病和有关健康问题的国际统计分类》第十次修订版（</w:t>
      </w:r>
      <w:r>
        <w:rPr>
          <w:rFonts w:ascii="Times New Roman" w:eastAsia="Times New Roman"/>
          <w:spacing w:val="-2"/>
          <w:sz w:val="18"/>
          <w:vertAlign w:val="baseline"/>
        </w:rPr>
        <w:t>ICD-10</w:t>
      </w:r>
      <w:r>
        <w:rPr>
          <w:spacing w:val="-2"/>
          <w:sz w:val="18"/>
          <w:vertAlign w:val="baseline"/>
        </w:rPr>
        <w:t>）确定。</w:t>
      </w:r>
    </w:p>
    <w:p>
      <w:pPr>
        <w:spacing w:after="0" w:line="242" w:lineRule="auto"/>
        <w:jc w:val="left"/>
        <w:rPr>
          <w:sz w:val="18"/>
        </w:rPr>
        <w:sectPr>
          <w:pgSz w:w="11910" w:h="16840"/>
          <w:pgMar w:header="484" w:footer="706" w:top="1240" w:bottom="900" w:left="980" w:right="980"/>
        </w:sectPr>
      </w:pPr>
    </w:p>
    <w:p>
      <w:pPr>
        <w:pStyle w:val="BodyText"/>
        <w:spacing w:before="7"/>
        <w:rPr>
          <w:sz w:val="14"/>
        </w:rPr>
      </w:pPr>
    </w:p>
    <w:p>
      <w:pPr>
        <w:pStyle w:val="BodyText"/>
        <w:spacing w:line="324" w:lineRule="auto" w:before="70"/>
        <w:ind w:left="2480" w:right="152"/>
      </w:pPr>
      <w:r>
        <w:rPr>
          <w:color w:val="000000"/>
          <w:spacing w:val="-2"/>
          <w:shd w:fill="E4E4E4" w:color="auto" w:val="clear"/>
        </w:rPr>
        <w:t>年特定重大疾病（若选）的，本合同终止，我们向您退还保险合同的现金价</w:t>
      </w:r>
      <w:r>
        <w:rPr>
          <w:color w:val="000000"/>
          <w:spacing w:val="80"/>
          <w:w w:val="150"/>
          <w:shd w:fill="E4E4E4" w:color="auto" w:val="clear"/>
        </w:rPr>
        <w:t>                                       </w:t>
      </w:r>
      <w:r>
        <w:rPr>
          <w:color w:val="000000"/>
          <w:spacing w:val="-6"/>
          <w:shd w:fill="E4E4E4" w:color="auto" w:val="clear"/>
        </w:rPr>
        <w:t>值。</w:t>
      </w:r>
    </w:p>
    <w:p>
      <w:pPr>
        <w:pStyle w:val="BodyText"/>
        <w:spacing w:before="8"/>
        <w:rPr>
          <w:sz w:val="29"/>
        </w:rPr>
      </w:pPr>
    </w:p>
    <w:p>
      <w:pPr>
        <w:pStyle w:val="ListParagraph"/>
        <w:numPr>
          <w:ilvl w:val="1"/>
          <w:numId w:val="13"/>
        </w:numPr>
        <w:tabs>
          <w:tab w:pos="931" w:val="left" w:leader="none"/>
        </w:tabs>
        <w:spacing w:line="324" w:lineRule="auto" w:before="0" w:after="0"/>
        <w:ind w:left="2480" w:right="150" w:hanging="2328"/>
        <w:jc w:val="both"/>
        <w:rPr>
          <w:sz w:val="22"/>
        </w:rPr>
      </w:pPr>
      <w:r>
        <w:rPr>
          <w:b/>
          <w:sz w:val="22"/>
        </w:rPr>
        <w:t>其它免责条款 </w:t>
      </w:r>
      <w:r>
        <w:rPr>
          <w:color w:val="000000"/>
          <w:sz w:val="22"/>
          <w:shd w:fill="E4E4E4" w:color="auto" w:val="clear"/>
        </w:rPr>
        <w:t>除“3.1 责任免除”外，本合同中还有一些免除保险人责任的条款，详见</w:t>
      </w:r>
      <w:r>
        <w:rPr>
          <w:color w:val="000000"/>
          <w:sz w:val="22"/>
        </w:rPr>
        <w:t> </w:t>
      </w:r>
      <w:r>
        <w:rPr>
          <w:color w:val="000000"/>
          <w:sz w:val="22"/>
          <w:shd w:fill="E4E4E4" w:color="auto" w:val="clear"/>
        </w:rPr>
        <w:t>“1.3</w:t>
      </w:r>
      <w:r>
        <w:rPr>
          <w:color w:val="000000"/>
          <w:spacing w:val="10"/>
          <w:sz w:val="22"/>
          <w:shd w:fill="E4E4E4" w:color="auto" w:val="clear"/>
        </w:rPr>
        <w:t> 犹豫期”、“</w:t>
      </w:r>
      <w:r>
        <w:rPr>
          <w:color w:val="000000"/>
          <w:sz w:val="22"/>
          <w:shd w:fill="E4E4E4" w:color="auto" w:val="clear"/>
        </w:rPr>
        <w:t>1.4</w:t>
      </w:r>
      <w:r>
        <w:rPr>
          <w:color w:val="000000"/>
          <w:spacing w:val="12"/>
          <w:sz w:val="22"/>
          <w:shd w:fill="E4E4E4" w:color="auto" w:val="clear"/>
        </w:rPr>
        <w:t> 犹豫期后解除合同</w:t>
      </w:r>
      <w:r>
        <w:rPr>
          <w:color w:val="000000"/>
          <w:spacing w:val="16"/>
          <w:sz w:val="22"/>
          <w:shd w:fill="E4E4E4" w:color="auto" w:val="clear"/>
        </w:rPr>
        <w:t>（退保）</w:t>
      </w:r>
      <w:r>
        <w:rPr>
          <w:color w:val="000000"/>
          <w:spacing w:val="13"/>
          <w:sz w:val="22"/>
          <w:shd w:fill="E4E4E4" w:color="auto" w:val="clear"/>
        </w:rPr>
        <w:t>的手续及风险”、</w:t>
      </w:r>
      <w:r>
        <w:rPr>
          <w:color w:val="000000"/>
          <w:sz w:val="22"/>
        </w:rPr>
        <w:t> </w:t>
      </w:r>
      <w:r>
        <w:rPr>
          <w:color w:val="000000"/>
          <w:sz w:val="22"/>
          <w:shd w:fill="E4E4E4" w:color="auto" w:val="clear"/>
        </w:rPr>
        <w:t>“2.3 未成年人身故保险金限制”、“2.5 等待期”、“2.6 保险责任”、</w:t>
      </w:r>
      <w:r>
        <w:rPr>
          <w:color w:val="000000"/>
          <w:sz w:val="22"/>
        </w:rPr>
        <w:t> </w:t>
      </w:r>
      <w:r>
        <w:rPr>
          <w:color w:val="000000"/>
          <w:sz w:val="22"/>
          <w:shd w:fill="E4E4E4" w:color="auto" w:val="clear"/>
        </w:rPr>
        <w:t>“5.2 保险事故通知”、“6.2 宽限期”、“7.2 保单贷款”、“8.1 效力</w:t>
      </w:r>
      <w:r>
        <w:rPr>
          <w:color w:val="000000"/>
          <w:spacing w:val="40"/>
          <w:sz w:val="22"/>
          <w:shd w:fill="E4E4E4" w:color="auto" w:val="clear"/>
        </w:rPr>
        <w:t> </w:t>
      </w:r>
      <w:r>
        <w:rPr>
          <w:color w:val="000000"/>
          <w:sz w:val="22"/>
          <w:shd w:fill="E4E4E4" w:color="auto" w:val="clear"/>
        </w:rPr>
        <w:t>中止”、“9.1</w:t>
      </w:r>
      <w:r>
        <w:rPr>
          <w:color w:val="000000"/>
          <w:spacing w:val="-6"/>
          <w:sz w:val="22"/>
          <w:shd w:fill="E4E4E4" w:color="auto" w:val="clear"/>
        </w:rPr>
        <w:t> 明确说明与如实告知”、“</w:t>
      </w:r>
      <w:r>
        <w:rPr>
          <w:color w:val="000000"/>
          <w:sz w:val="22"/>
          <w:shd w:fill="E4E4E4" w:color="auto" w:val="clear"/>
        </w:rPr>
        <w:t>9.4</w:t>
      </w:r>
      <w:r>
        <w:rPr>
          <w:color w:val="000000"/>
          <w:spacing w:val="-6"/>
          <w:sz w:val="22"/>
          <w:shd w:fill="E4E4E4" w:color="auto" w:val="clear"/>
        </w:rPr>
        <w:t> 年龄错误”、“</w:t>
      </w:r>
      <w:r>
        <w:rPr>
          <w:color w:val="000000"/>
          <w:sz w:val="22"/>
          <w:shd w:fill="E4E4E4" w:color="auto" w:val="clear"/>
        </w:rPr>
        <w:t>10</w:t>
      </w:r>
      <w:r>
        <w:rPr>
          <w:color w:val="000000"/>
          <w:spacing w:val="-7"/>
          <w:sz w:val="22"/>
          <w:shd w:fill="E4E4E4" w:color="auto" w:val="clear"/>
        </w:rPr>
        <w:t> 重大疾病</w:t>
      </w:r>
      <w:r>
        <w:rPr>
          <w:color w:val="000000"/>
          <w:sz w:val="22"/>
          <w:shd w:fill="E4E4E4" w:color="auto" w:val="clear"/>
        </w:rPr>
        <w:t>的定义”、“11 中度疾病的定义”、“12 轻度疾病的定义”、“13 特定疾病的定义”、“14 老年特定重大疾病的定义”、“脚注10 医院”、“脚注11 专科医生”、“脚注24 组织病理学检查”、“脚注31 六项基本日常</w:t>
      </w:r>
      <w:r>
        <w:rPr>
          <w:color w:val="000000"/>
          <w:spacing w:val="-2"/>
          <w:sz w:val="22"/>
          <w:shd w:fill="E4E4E4" w:color="auto" w:val="clear"/>
        </w:rPr>
        <w:t>生活活动”及“【附表二】全残项目表”中背景突出显示的内容。</w:t>
      </w:r>
    </w:p>
    <w:p>
      <w:pPr>
        <w:pStyle w:val="BodyText"/>
        <w:spacing w:before="10"/>
      </w:pPr>
    </w:p>
    <w:p>
      <w:pPr>
        <w:pStyle w:val="Heading1"/>
      </w:pPr>
      <w:r>
        <w:rPr>
          <w:rFonts w:ascii="Wingdings" w:hAnsi="Wingdings" w:eastAsia="Wingdings"/>
          <w:b w:val="0"/>
          <w:w w:val="95"/>
          <w:position w:val="-5"/>
          <w:sz w:val="48"/>
        </w:rPr>
        <w:t></w:t>
      </w:r>
      <w:r>
        <w:rPr>
          <w:w w:val="95"/>
        </w:rPr>
        <w:t>我们所保障的疾病</w:t>
      </w:r>
      <w:r>
        <w:rPr>
          <w:w w:val="95"/>
        </w:rPr>
        <w:t>列</w:t>
      </w:r>
      <w:r>
        <w:rPr>
          <w:spacing w:val="-10"/>
          <w:w w:val="95"/>
        </w:rPr>
        <w:t>表</w:t>
      </w:r>
    </w:p>
    <w:p>
      <w:pPr>
        <w:pStyle w:val="BodyText"/>
        <w:spacing w:line="42" w:lineRule="exact"/>
        <w:ind w:left="126"/>
        <w:rPr>
          <w:sz w:val="4"/>
        </w:rPr>
      </w:pPr>
      <w:r>
        <w:rPr>
          <w:position w:val="0"/>
          <w:sz w:val="4"/>
        </w:rPr>
        <w:drawing>
          <wp:inline distT="0" distB="0" distL="0" distR="0">
            <wp:extent cx="6116344" cy="27146"/>
            <wp:effectExtent l="0" t="0" r="0" b="0"/>
            <wp:docPr id="15" name="image6.png"/>
            <wp:cNvGraphicFramePr>
              <a:graphicFrameLocks noChangeAspect="1"/>
            </wp:cNvGraphicFramePr>
            <a:graphic>
              <a:graphicData uri="http://schemas.openxmlformats.org/drawingml/2006/picture">
                <pic:pic>
                  <pic:nvPicPr>
                    <pic:cNvPr id="16" name="image6.png"/>
                    <pic:cNvPicPr/>
                  </pic:nvPicPr>
                  <pic:blipFill>
                    <a:blip r:embed="rId12" cstate="print"/>
                    <a:stretch>
                      <a:fillRect/>
                    </a:stretch>
                  </pic:blipFill>
                  <pic:spPr>
                    <a:xfrm>
                      <a:off x="0" y="0"/>
                      <a:ext cx="6116344" cy="27146"/>
                    </a:xfrm>
                    <a:prstGeom prst="rect">
                      <a:avLst/>
                    </a:prstGeom>
                  </pic:spPr>
                </pic:pic>
              </a:graphicData>
            </a:graphic>
          </wp:inline>
        </w:drawing>
      </w:r>
      <w:r>
        <w:rPr>
          <w:position w:val="0"/>
          <w:sz w:val="4"/>
        </w:rPr>
      </w:r>
    </w:p>
    <w:p>
      <w:pPr>
        <w:pStyle w:val="BodyText"/>
        <w:rPr>
          <w:b/>
          <w:sz w:val="20"/>
        </w:rPr>
      </w:pPr>
    </w:p>
    <w:p>
      <w:pPr>
        <w:spacing w:after="0"/>
        <w:rPr>
          <w:sz w:val="20"/>
        </w:rPr>
        <w:sectPr>
          <w:pgSz w:w="11910" w:h="16840"/>
          <w:pgMar w:header="484" w:footer="706" w:top="1240" w:bottom="900" w:left="980" w:right="980"/>
        </w:sectPr>
      </w:pPr>
    </w:p>
    <w:p>
      <w:pPr>
        <w:pStyle w:val="BodyText"/>
        <w:spacing w:before="6"/>
        <w:rPr>
          <w:b/>
          <w:sz w:val="16"/>
        </w:rPr>
      </w:pPr>
    </w:p>
    <w:p>
      <w:pPr>
        <w:pStyle w:val="Heading2"/>
        <w:numPr>
          <w:ilvl w:val="1"/>
          <w:numId w:val="14"/>
        </w:numPr>
        <w:tabs>
          <w:tab w:pos="930" w:val="left" w:leader="none"/>
          <w:tab w:pos="931" w:val="left" w:leader="none"/>
        </w:tabs>
        <w:spacing w:line="324" w:lineRule="auto" w:before="0" w:after="0"/>
        <w:ind w:left="930" w:right="0" w:hanging="778"/>
        <w:jc w:val="left"/>
        <w:rPr>
          <w:rFonts w:ascii="宋体" w:eastAsia="宋体" w:hint="eastAsia"/>
        </w:rPr>
      </w:pPr>
      <w:r>
        <w:rPr>
          <w:rFonts w:ascii="宋体" w:eastAsia="宋体" w:hint="eastAsia"/>
          <w:spacing w:val="-2"/>
        </w:rPr>
        <w:t>重大疾病的范</w:t>
      </w:r>
      <w:r>
        <w:rPr>
          <w:rFonts w:ascii="宋体" w:eastAsia="宋体" w:hint="eastAsia"/>
          <w:spacing w:val="-10"/>
        </w:rPr>
        <w:t>围</w:t>
      </w:r>
    </w:p>
    <w:p>
      <w:pPr>
        <w:spacing w:line="240" w:lineRule="auto" w:before="6"/>
        <w:rPr>
          <w:b/>
          <w:sz w:val="16"/>
        </w:rPr>
      </w:pPr>
      <w:r>
        <w:rPr/>
        <w:br w:type="column"/>
      </w:r>
      <w:r>
        <w:rPr>
          <w:b/>
          <w:sz w:val="16"/>
        </w:rPr>
      </w:r>
    </w:p>
    <w:p>
      <w:pPr>
        <w:pStyle w:val="BodyText"/>
        <w:spacing w:line="324" w:lineRule="auto"/>
        <w:ind w:left="152" w:right="150"/>
      </w:pPr>
      <w:r>
        <w:rPr/>
        <w:pict>
          <v:shape style="position:absolute;margin-left:173.059998pt;margin-top:33.700005pt;width:340.7pt;height:365.8pt;mso-position-horizontal-relative:page;mso-position-vertical-relative:paragraph;z-index:15734784" type="#_x0000_t202" id="docshape12"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7"/>
                    <w:gridCol w:w="2835"/>
                    <w:gridCol w:w="567"/>
                    <w:gridCol w:w="2835"/>
                  </w:tblGrid>
                  <w:tr>
                    <w:trPr>
                      <w:trHeight w:val="285" w:hRule="atLeast"/>
                    </w:trPr>
                    <w:tc>
                      <w:tcPr>
                        <w:tcW w:w="567" w:type="dxa"/>
                      </w:tcPr>
                      <w:p>
                        <w:pPr>
                          <w:pStyle w:val="TableParagraph"/>
                          <w:spacing w:line="262" w:lineRule="exact" w:before="2"/>
                          <w:ind w:left="8"/>
                          <w:jc w:val="center"/>
                          <w:rPr>
                            <w:sz w:val="22"/>
                          </w:rPr>
                        </w:pPr>
                        <w:r>
                          <w:rPr>
                            <w:w w:val="100"/>
                            <w:sz w:val="22"/>
                          </w:rPr>
                          <w:t>1</w:t>
                        </w:r>
                      </w:p>
                    </w:tc>
                    <w:tc>
                      <w:tcPr>
                        <w:tcW w:w="2835" w:type="dxa"/>
                      </w:tcPr>
                      <w:p>
                        <w:pPr>
                          <w:pStyle w:val="TableParagraph"/>
                          <w:spacing w:line="262" w:lineRule="exact" w:before="2"/>
                          <w:ind w:left="106"/>
                          <w:rPr>
                            <w:sz w:val="22"/>
                          </w:rPr>
                        </w:pPr>
                        <w:r>
                          <w:rPr>
                            <w:spacing w:val="-4"/>
                            <w:sz w:val="22"/>
                          </w:rPr>
                          <w:t>恶性肿瘤——重度</w:t>
                        </w:r>
                      </w:p>
                    </w:tc>
                    <w:tc>
                      <w:tcPr>
                        <w:tcW w:w="567" w:type="dxa"/>
                      </w:tcPr>
                      <w:p>
                        <w:pPr>
                          <w:pStyle w:val="TableParagraph"/>
                          <w:spacing w:line="262" w:lineRule="exact" w:before="2"/>
                          <w:ind w:left="157" w:right="147"/>
                          <w:jc w:val="center"/>
                          <w:rPr>
                            <w:sz w:val="22"/>
                          </w:rPr>
                        </w:pPr>
                        <w:r>
                          <w:rPr>
                            <w:spacing w:val="-5"/>
                            <w:sz w:val="22"/>
                          </w:rPr>
                          <w:t>61</w:t>
                        </w:r>
                      </w:p>
                    </w:tc>
                    <w:tc>
                      <w:tcPr>
                        <w:tcW w:w="2835" w:type="dxa"/>
                      </w:tcPr>
                      <w:p>
                        <w:pPr>
                          <w:pStyle w:val="TableParagraph"/>
                          <w:spacing w:line="262" w:lineRule="exact" w:before="2"/>
                          <w:ind w:left="107"/>
                          <w:rPr>
                            <w:sz w:val="22"/>
                          </w:rPr>
                        </w:pPr>
                        <w:r>
                          <w:rPr>
                            <w:spacing w:val="-4"/>
                            <w:sz w:val="22"/>
                          </w:rPr>
                          <w:t>重症手足口病</w:t>
                        </w:r>
                      </w:p>
                    </w:tc>
                  </w:tr>
                  <w:tr>
                    <w:trPr>
                      <w:trHeight w:val="286" w:hRule="atLeast"/>
                    </w:trPr>
                    <w:tc>
                      <w:tcPr>
                        <w:tcW w:w="567" w:type="dxa"/>
                      </w:tcPr>
                      <w:p>
                        <w:pPr>
                          <w:pStyle w:val="TableParagraph"/>
                          <w:spacing w:line="263" w:lineRule="exact" w:before="3"/>
                          <w:ind w:left="8"/>
                          <w:jc w:val="center"/>
                          <w:rPr>
                            <w:sz w:val="22"/>
                          </w:rPr>
                        </w:pPr>
                        <w:r>
                          <w:rPr>
                            <w:w w:val="100"/>
                            <w:sz w:val="22"/>
                          </w:rPr>
                          <w:t>2</w:t>
                        </w:r>
                      </w:p>
                    </w:tc>
                    <w:tc>
                      <w:tcPr>
                        <w:tcW w:w="2835" w:type="dxa"/>
                      </w:tcPr>
                      <w:p>
                        <w:pPr>
                          <w:pStyle w:val="TableParagraph"/>
                          <w:spacing w:line="263" w:lineRule="exact" w:before="3"/>
                          <w:ind w:left="106"/>
                          <w:rPr>
                            <w:sz w:val="22"/>
                          </w:rPr>
                        </w:pPr>
                        <w:r>
                          <w:rPr>
                            <w:spacing w:val="-4"/>
                            <w:sz w:val="22"/>
                          </w:rPr>
                          <w:t>较重急性心肌梗死</w:t>
                        </w:r>
                      </w:p>
                    </w:tc>
                    <w:tc>
                      <w:tcPr>
                        <w:tcW w:w="567" w:type="dxa"/>
                      </w:tcPr>
                      <w:p>
                        <w:pPr>
                          <w:pStyle w:val="TableParagraph"/>
                          <w:spacing w:line="263" w:lineRule="exact" w:before="3"/>
                          <w:ind w:left="157" w:right="147"/>
                          <w:jc w:val="center"/>
                          <w:rPr>
                            <w:sz w:val="22"/>
                          </w:rPr>
                        </w:pPr>
                        <w:r>
                          <w:rPr>
                            <w:spacing w:val="-5"/>
                            <w:sz w:val="22"/>
                          </w:rPr>
                          <w:t>62</w:t>
                        </w:r>
                      </w:p>
                    </w:tc>
                    <w:tc>
                      <w:tcPr>
                        <w:tcW w:w="2835" w:type="dxa"/>
                      </w:tcPr>
                      <w:p>
                        <w:pPr>
                          <w:pStyle w:val="TableParagraph"/>
                          <w:spacing w:line="263" w:lineRule="exact" w:before="3"/>
                          <w:ind w:left="107"/>
                          <w:rPr>
                            <w:sz w:val="22"/>
                          </w:rPr>
                        </w:pPr>
                        <w:r>
                          <w:rPr>
                            <w:spacing w:val="-3"/>
                            <w:sz w:val="22"/>
                          </w:rPr>
                          <w:t>严重感染性心内膜炎</w:t>
                        </w:r>
                      </w:p>
                    </w:tc>
                  </w:tr>
                  <w:tr>
                    <w:trPr>
                      <w:trHeight w:val="570" w:hRule="atLeast"/>
                    </w:trPr>
                    <w:tc>
                      <w:tcPr>
                        <w:tcW w:w="567" w:type="dxa"/>
                      </w:tcPr>
                      <w:p>
                        <w:pPr>
                          <w:pStyle w:val="TableParagraph"/>
                          <w:spacing w:before="143"/>
                          <w:ind w:left="8"/>
                          <w:jc w:val="center"/>
                          <w:rPr>
                            <w:sz w:val="22"/>
                          </w:rPr>
                        </w:pPr>
                        <w:r>
                          <w:rPr>
                            <w:w w:val="100"/>
                            <w:sz w:val="22"/>
                          </w:rPr>
                          <w:t>3</w:t>
                        </w:r>
                      </w:p>
                    </w:tc>
                    <w:tc>
                      <w:tcPr>
                        <w:tcW w:w="2835" w:type="dxa"/>
                      </w:tcPr>
                      <w:p>
                        <w:pPr>
                          <w:pStyle w:val="TableParagraph"/>
                          <w:spacing w:before="143"/>
                          <w:ind w:left="106"/>
                          <w:rPr>
                            <w:sz w:val="22"/>
                          </w:rPr>
                        </w:pPr>
                        <w:r>
                          <w:rPr>
                            <w:spacing w:val="-4"/>
                            <w:sz w:val="22"/>
                          </w:rPr>
                          <w:t>严重脑中风后遗症</w:t>
                        </w:r>
                      </w:p>
                    </w:tc>
                    <w:tc>
                      <w:tcPr>
                        <w:tcW w:w="567" w:type="dxa"/>
                      </w:tcPr>
                      <w:p>
                        <w:pPr>
                          <w:pStyle w:val="TableParagraph"/>
                          <w:spacing w:before="143"/>
                          <w:ind w:left="157" w:right="147"/>
                          <w:jc w:val="center"/>
                          <w:rPr>
                            <w:sz w:val="22"/>
                          </w:rPr>
                        </w:pPr>
                        <w:r>
                          <w:rPr>
                            <w:spacing w:val="-5"/>
                            <w:sz w:val="22"/>
                          </w:rPr>
                          <w:t>63</w:t>
                        </w:r>
                      </w:p>
                    </w:tc>
                    <w:tc>
                      <w:tcPr>
                        <w:tcW w:w="2835" w:type="dxa"/>
                      </w:tcPr>
                      <w:p>
                        <w:pPr>
                          <w:pStyle w:val="TableParagraph"/>
                          <w:spacing w:line="280" w:lineRule="atLeast"/>
                          <w:ind w:left="107" w:right="94"/>
                          <w:rPr>
                            <w:sz w:val="22"/>
                          </w:rPr>
                        </w:pPr>
                        <w:r>
                          <w:rPr>
                            <w:spacing w:val="15"/>
                            <w:sz w:val="22"/>
                          </w:rPr>
                          <w:t>败血症导致的多器官功能</w:t>
                        </w:r>
                        <w:r>
                          <w:rPr>
                            <w:spacing w:val="-2"/>
                            <w:sz w:val="22"/>
                          </w:rPr>
                          <w:t>障碍综合症</w:t>
                        </w:r>
                      </w:p>
                    </w:tc>
                  </w:tr>
                  <w:tr>
                    <w:trPr>
                      <w:trHeight w:val="570" w:hRule="atLeast"/>
                    </w:trPr>
                    <w:tc>
                      <w:tcPr>
                        <w:tcW w:w="567" w:type="dxa"/>
                      </w:tcPr>
                      <w:p>
                        <w:pPr>
                          <w:pStyle w:val="TableParagraph"/>
                          <w:spacing w:before="144"/>
                          <w:ind w:left="8"/>
                          <w:jc w:val="center"/>
                          <w:rPr>
                            <w:sz w:val="22"/>
                          </w:rPr>
                        </w:pPr>
                        <w:r>
                          <w:rPr>
                            <w:w w:val="100"/>
                            <w:sz w:val="22"/>
                          </w:rPr>
                          <w:t>4</w:t>
                        </w:r>
                      </w:p>
                    </w:tc>
                    <w:tc>
                      <w:tcPr>
                        <w:tcW w:w="2835" w:type="dxa"/>
                      </w:tcPr>
                      <w:p>
                        <w:pPr>
                          <w:pStyle w:val="TableParagraph"/>
                          <w:spacing w:line="280" w:lineRule="atLeast"/>
                          <w:ind w:left="106" w:right="95"/>
                          <w:rPr>
                            <w:sz w:val="22"/>
                          </w:rPr>
                        </w:pPr>
                        <w:r>
                          <w:rPr>
                            <w:spacing w:val="15"/>
                            <w:sz w:val="22"/>
                          </w:rPr>
                          <w:t>重大器官移植术或造血干</w:t>
                        </w:r>
                        <w:r>
                          <w:rPr>
                            <w:spacing w:val="-2"/>
                            <w:sz w:val="22"/>
                          </w:rPr>
                          <w:t>细胞移植术</w:t>
                        </w:r>
                      </w:p>
                    </w:tc>
                    <w:tc>
                      <w:tcPr>
                        <w:tcW w:w="567" w:type="dxa"/>
                      </w:tcPr>
                      <w:p>
                        <w:pPr>
                          <w:pStyle w:val="TableParagraph"/>
                          <w:spacing w:before="144"/>
                          <w:ind w:left="157" w:right="147"/>
                          <w:jc w:val="center"/>
                          <w:rPr>
                            <w:sz w:val="22"/>
                          </w:rPr>
                        </w:pPr>
                        <w:r>
                          <w:rPr>
                            <w:spacing w:val="-5"/>
                            <w:sz w:val="22"/>
                          </w:rPr>
                          <w:t>64</w:t>
                        </w:r>
                      </w:p>
                    </w:tc>
                    <w:tc>
                      <w:tcPr>
                        <w:tcW w:w="2835" w:type="dxa"/>
                      </w:tcPr>
                      <w:p>
                        <w:pPr>
                          <w:pStyle w:val="TableParagraph"/>
                          <w:spacing w:line="280" w:lineRule="atLeast"/>
                          <w:ind w:left="107" w:right="94"/>
                          <w:rPr>
                            <w:sz w:val="22"/>
                          </w:rPr>
                        </w:pPr>
                        <w:r>
                          <w:rPr>
                            <w:spacing w:val="15"/>
                            <w:sz w:val="22"/>
                          </w:rPr>
                          <w:t>因器官移植导致的艾滋病</w:t>
                        </w:r>
                        <w:r>
                          <w:rPr>
                            <w:spacing w:val="-4"/>
                            <w:sz w:val="22"/>
                          </w:rPr>
                          <w:t>病毒感染</w:t>
                        </w:r>
                      </w:p>
                    </w:tc>
                  </w:tr>
                  <w:tr>
                    <w:trPr>
                      <w:trHeight w:val="571" w:hRule="atLeast"/>
                    </w:trPr>
                    <w:tc>
                      <w:tcPr>
                        <w:tcW w:w="567" w:type="dxa"/>
                      </w:tcPr>
                      <w:p>
                        <w:pPr>
                          <w:pStyle w:val="TableParagraph"/>
                          <w:spacing w:before="144"/>
                          <w:ind w:left="8"/>
                          <w:jc w:val="center"/>
                          <w:rPr>
                            <w:sz w:val="22"/>
                          </w:rPr>
                        </w:pPr>
                        <w:r>
                          <w:rPr>
                            <w:w w:val="100"/>
                            <w:sz w:val="22"/>
                          </w:rPr>
                          <w:t>5</w:t>
                        </w:r>
                      </w:p>
                    </w:tc>
                    <w:tc>
                      <w:tcPr>
                        <w:tcW w:w="2835" w:type="dxa"/>
                      </w:tcPr>
                      <w:p>
                        <w:pPr>
                          <w:pStyle w:val="TableParagraph"/>
                          <w:ind w:left="106"/>
                          <w:rPr>
                            <w:sz w:val="22"/>
                          </w:rPr>
                        </w:pPr>
                        <w:r>
                          <w:rPr>
                            <w:spacing w:val="19"/>
                            <w:sz w:val="22"/>
                          </w:rPr>
                          <w:t>冠状动脉搭桥术</w:t>
                        </w:r>
                        <w:r>
                          <w:rPr>
                            <w:sz w:val="22"/>
                          </w:rPr>
                          <w:t>（</w:t>
                        </w:r>
                        <w:r>
                          <w:rPr>
                            <w:spacing w:val="-16"/>
                            <w:sz w:val="22"/>
                          </w:rPr>
                          <w:t> 或称冠</w:t>
                        </w:r>
                      </w:p>
                      <w:p>
                        <w:pPr>
                          <w:pStyle w:val="TableParagraph"/>
                          <w:spacing w:line="265" w:lineRule="exact" w:before="4"/>
                          <w:ind w:left="106"/>
                          <w:rPr>
                            <w:sz w:val="22"/>
                          </w:rPr>
                        </w:pPr>
                        <w:r>
                          <w:rPr>
                            <w:spacing w:val="-2"/>
                            <w:sz w:val="22"/>
                          </w:rPr>
                          <w:t>状动脉旁路移植术</w:t>
                        </w:r>
                        <w:r>
                          <w:rPr>
                            <w:spacing w:val="-10"/>
                            <w:sz w:val="22"/>
                          </w:rPr>
                          <w:t>）</w:t>
                        </w:r>
                      </w:p>
                    </w:tc>
                    <w:tc>
                      <w:tcPr>
                        <w:tcW w:w="567" w:type="dxa"/>
                      </w:tcPr>
                      <w:p>
                        <w:pPr>
                          <w:pStyle w:val="TableParagraph"/>
                          <w:spacing w:before="144"/>
                          <w:ind w:left="157" w:right="147"/>
                          <w:jc w:val="center"/>
                          <w:rPr>
                            <w:sz w:val="22"/>
                          </w:rPr>
                        </w:pPr>
                        <w:r>
                          <w:rPr>
                            <w:spacing w:val="-5"/>
                            <w:sz w:val="22"/>
                          </w:rPr>
                          <w:t>65</w:t>
                        </w:r>
                      </w:p>
                    </w:tc>
                    <w:tc>
                      <w:tcPr>
                        <w:tcW w:w="2835" w:type="dxa"/>
                      </w:tcPr>
                      <w:p>
                        <w:pPr>
                          <w:pStyle w:val="TableParagraph"/>
                          <w:spacing w:before="144"/>
                          <w:ind w:left="107"/>
                          <w:rPr>
                            <w:sz w:val="22"/>
                          </w:rPr>
                        </w:pPr>
                        <w:r>
                          <w:rPr>
                            <w:spacing w:val="-3"/>
                            <w:sz w:val="22"/>
                          </w:rPr>
                          <w:t>严重肺淋巴管肌瘤病</w:t>
                        </w:r>
                      </w:p>
                    </w:tc>
                  </w:tr>
                  <w:tr>
                    <w:trPr>
                      <w:trHeight w:val="285" w:hRule="atLeast"/>
                    </w:trPr>
                    <w:tc>
                      <w:tcPr>
                        <w:tcW w:w="567" w:type="dxa"/>
                      </w:tcPr>
                      <w:p>
                        <w:pPr>
                          <w:pStyle w:val="TableParagraph"/>
                          <w:spacing w:line="265" w:lineRule="exact"/>
                          <w:ind w:left="8"/>
                          <w:jc w:val="center"/>
                          <w:rPr>
                            <w:sz w:val="22"/>
                          </w:rPr>
                        </w:pPr>
                        <w:r>
                          <w:rPr>
                            <w:w w:val="100"/>
                            <w:sz w:val="22"/>
                          </w:rPr>
                          <w:t>6</w:t>
                        </w:r>
                      </w:p>
                    </w:tc>
                    <w:tc>
                      <w:tcPr>
                        <w:tcW w:w="2835" w:type="dxa"/>
                      </w:tcPr>
                      <w:p>
                        <w:pPr>
                          <w:pStyle w:val="TableParagraph"/>
                          <w:spacing w:line="265" w:lineRule="exact"/>
                          <w:ind w:left="106"/>
                          <w:rPr>
                            <w:sz w:val="22"/>
                          </w:rPr>
                        </w:pPr>
                        <w:r>
                          <w:rPr>
                            <w:spacing w:val="-4"/>
                            <w:sz w:val="22"/>
                          </w:rPr>
                          <w:t>严重慢性肾衰竭</w:t>
                        </w:r>
                      </w:p>
                    </w:tc>
                    <w:tc>
                      <w:tcPr>
                        <w:tcW w:w="567" w:type="dxa"/>
                      </w:tcPr>
                      <w:p>
                        <w:pPr>
                          <w:pStyle w:val="TableParagraph"/>
                          <w:spacing w:line="265" w:lineRule="exact"/>
                          <w:ind w:left="157" w:right="147"/>
                          <w:jc w:val="center"/>
                          <w:rPr>
                            <w:sz w:val="22"/>
                          </w:rPr>
                        </w:pPr>
                        <w:r>
                          <w:rPr>
                            <w:spacing w:val="-5"/>
                            <w:sz w:val="22"/>
                          </w:rPr>
                          <w:t>66</w:t>
                        </w:r>
                      </w:p>
                    </w:tc>
                    <w:tc>
                      <w:tcPr>
                        <w:tcW w:w="2835" w:type="dxa"/>
                      </w:tcPr>
                      <w:p>
                        <w:pPr>
                          <w:pStyle w:val="TableParagraph"/>
                          <w:spacing w:line="265" w:lineRule="exact"/>
                          <w:ind w:left="107"/>
                          <w:rPr>
                            <w:sz w:val="22"/>
                          </w:rPr>
                        </w:pPr>
                        <w:r>
                          <w:rPr>
                            <w:spacing w:val="-3"/>
                            <w:sz w:val="22"/>
                          </w:rPr>
                          <w:t>严重原发性骨髓纤维化</w:t>
                        </w:r>
                      </w:p>
                    </w:tc>
                  </w:tr>
                  <w:tr>
                    <w:trPr>
                      <w:trHeight w:val="285" w:hRule="atLeast"/>
                    </w:trPr>
                    <w:tc>
                      <w:tcPr>
                        <w:tcW w:w="567" w:type="dxa"/>
                      </w:tcPr>
                      <w:p>
                        <w:pPr>
                          <w:pStyle w:val="TableParagraph"/>
                          <w:spacing w:line="265" w:lineRule="exact"/>
                          <w:ind w:left="8"/>
                          <w:jc w:val="center"/>
                          <w:rPr>
                            <w:sz w:val="22"/>
                          </w:rPr>
                        </w:pPr>
                        <w:r>
                          <w:rPr>
                            <w:w w:val="100"/>
                            <w:sz w:val="22"/>
                          </w:rPr>
                          <w:t>7</w:t>
                        </w:r>
                      </w:p>
                    </w:tc>
                    <w:tc>
                      <w:tcPr>
                        <w:tcW w:w="2835" w:type="dxa"/>
                      </w:tcPr>
                      <w:p>
                        <w:pPr>
                          <w:pStyle w:val="TableParagraph"/>
                          <w:spacing w:line="265" w:lineRule="exact"/>
                          <w:ind w:left="106"/>
                          <w:rPr>
                            <w:sz w:val="22"/>
                          </w:rPr>
                        </w:pPr>
                        <w:r>
                          <w:rPr>
                            <w:spacing w:val="-4"/>
                            <w:sz w:val="22"/>
                          </w:rPr>
                          <w:t>多个肢体缺失</w:t>
                        </w:r>
                      </w:p>
                    </w:tc>
                    <w:tc>
                      <w:tcPr>
                        <w:tcW w:w="567" w:type="dxa"/>
                      </w:tcPr>
                      <w:p>
                        <w:pPr>
                          <w:pStyle w:val="TableParagraph"/>
                          <w:spacing w:line="265" w:lineRule="exact"/>
                          <w:ind w:left="157" w:right="147"/>
                          <w:jc w:val="center"/>
                          <w:rPr>
                            <w:sz w:val="22"/>
                          </w:rPr>
                        </w:pPr>
                        <w:r>
                          <w:rPr>
                            <w:spacing w:val="-5"/>
                            <w:sz w:val="22"/>
                          </w:rPr>
                          <w:t>67</w:t>
                        </w:r>
                      </w:p>
                    </w:tc>
                    <w:tc>
                      <w:tcPr>
                        <w:tcW w:w="2835" w:type="dxa"/>
                      </w:tcPr>
                      <w:p>
                        <w:pPr>
                          <w:pStyle w:val="TableParagraph"/>
                          <w:spacing w:line="265" w:lineRule="exact"/>
                          <w:ind w:left="107"/>
                          <w:rPr>
                            <w:sz w:val="22"/>
                          </w:rPr>
                        </w:pPr>
                        <w:r>
                          <w:rPr>
                            <w:spacing w:val="-3"/>
                            <w:sz w:val="22"/>
                          </w:rPr>
                          <w:t>严重骨髓增生异常综合征</w:t>
                        </w:r>
                      </w:p>
                    </w:tc>
                  </w:tr>
                  <w:tr>
                    <w:trPr>
                      <w:trHeight w:val="571" w:hRule="atLeast"/>
                    </w:trPr>
                    <w:tc>
                      <w:tcPr>
                        <w:tcW w:w="567" w:type="dxa"/>
                      </w:tcPr>
                      <w:p>
                        <w:pPr>
                          <w:pStyle w:val="TableParagraph"/>
                          <w:spacing w:before="144"/>
                          <w:ind w:left="8"/>
                          <w:jc w:val="center"/>
                          <w:rPr>
                            <w:sz w:val="22"/>
                          </w:rPr>
                        </w:pPr>
                        <w:r>
                          <w:rPr>
                            <w:w w:val="100"/>
                            <w:sz w:val="22"/>
                          </w:rPr>
                          <w:t>8</w:t>
                        </w:r>
                      </w:p>
                    </w:tc>
                    <w:tc>
                      <w:tcPr>
                        <w:tcW w:w="2835" w:type="dxa"/>
                      </w:tcPr>
                      <w:p>
                        <w:pPr>
                          <w:pStyle w:val="TableParagraph"/>
                          <w:spacing w:line="280" w:lineRule="atLeast"/>
                          <w:ind w:left="106" w:right="95"/>
                          <w:rPr>
                            <w:sz w:val="22"/>
                          </w:rPr>
                        </w:pPr>
                        <w:r>
                          <w:rPr>
                            <w:spacing w:val="15"/>
                            <w:sz w:val="22"/>
                          </w:rPr>
                          <w:t>急性重症肝炎或亚急性重</w:t>
                        </w:r>
                        <w:r>
                          <w:rPr>
                            <w:spacing w:val="-4"/>
                            <w:sz w:val="22"/>
                          </w:rPr>
                          <w:t>症肝炎</w:t>
                        </w:r>
                      </w:p>
                    </w:tc>
                    <w:tc>
                      <w:tcPr>
                        <w:tcW w:w="567" w:type="dxa"/>
                      </w:tcPr>
                      <w:p>
                        <w:pPr>
                          <w:pStyle w:val="TableParagraph"/>
                          <w:spacing w:before="144"/>
                          <w:ind w:left="157" w:right="147"/>
                          <w:jc w:val="center"/>
                          <w:rPr>
                            <w:sz w:val="22"/>
                          </w:rPr>
                        </w:pPr>
                        <w:r>
                          <w:rPr>
                            <w:spacing w:val="-5"/>
                            <w:sz w:val="22"/>
                          </w:rPr>
                          <w:t>68</w:t>
                        </w:r>
                      </w:p>
                    </w:tc>
                    <w:tc>
                      <w:tcPr>
                        <w:tcW w:w="2835" w:type="dxa"/>
                      </w:tcPr>
                      <w:p>
                        <w:pPr>
                          <w:pStyle w:val="TableParagraph"/>
                          <w:spacing w:before="144"/>
                          <w:ind w:left="107"/>
                          <w:rPr>
                            <w:sz w:val="22"/>
                          </w:rPr>
                        </w:pPr>
                        <w:r>
                          <w:rPr>
                            <w:spacing w:val="-4"/>
                            <w:sz w:val="22"/>
                          </w:rPr>
                          <w:t>埃博拉病毒感染</w:t>
                        </w:r>
                      </w:p>
                    </w:tc>
                  </w:tr>
                  <w:tr>
                    <w:trPr>
                      <w:trHeight w:val="285" w:hRule="atLeast"/>
                    </w:trPr>
                    <w:tc>
                      <w:tcPr>
                        <w:tcW w:w="567" w:type="dxa"/>
                      </w:tcPr>
                      <w:p>
                        <w:pPr>
                          <w:pStyle w:val="TableParagraph"/>
                          <w:spacing w:line="265" w:lineRule="exact"/>
                          <w:ind w:left="8"/>
                          <w:jc w:val="center"/>
                          <w:rPr>
                            <w:sz w:val="22"/>
                          </w:rPr>
                        </w:pPr>
                        <w:r>
                          <w:rPr>
                            <w:w w:val="100"/>
                            <w:sz w:val="22"/>
                          </w:rPr>
                          <w:t>9</w:t>
                        </w:r>
                      </w:p>
                    </w:tc>
                    <w:tc>
                      <w:tcPr>
                        <w:tcW w:w="2835" w:type="dxa"/>
                      </w:tcPr>
                      <w:p>
                        <w:pPr>
                          <w:pStyle w:val="TableParagraph"/>
                          <w:spacing w:line="265" w:lineRule="exact"/>
                          <w:ind w:left="106"/>
                          <w:rPr>
                            <w:sz w:val="22"/>
                          </w:rPr>
                        </w:pPr>
                        <w:r>
                          <w:rPr>
                            <w:spacing w:val="-3"/>
                            <w:sz w:val="22"/>
                          </w:rPr>
                          <w:t>严重非恶性颅内肿瘤</w:t>
                        </w:r>
                      </w:p>
                    </w:tc>
                    <w:tc>
                      <w:tcPr>
                        <w:tcW w:w="567" w:type="dxa"/>
                      </w:tcPr>
                      <w:p>
                        <w:pPr>
                          <w:pStyle w:val="TableParagraph"/>
                          <w:spacing w:line="265" w:lineRule="exact"/>
                          <w:ind w:left="157" w:right="147"/>
                          <w:jc w:val="center"/>
                          <w:rPr>
                            <w:sz w:val="22"/>
                          </w:rPr>
                        </w:pPr>
                        <w:r>
                          <w:rPr>
                            <w:spacing w:val="-5"/>
                            <w:sz w:val="22"/>
                          </w:rPr>
                          <w:t>69</w:t>
                        </w:r>
                      </w:p>
                    </w:tc>
                    <w:tc>
                      <w:tcPr>
                        <w:tcW w:w="2835" w:type="dxa"/>
                      </w:tcPr>
                      <w:p>
                        <w:pPr>
                          <w:pStyle w:val="TableParagraph"/>
                          <w:spacing w:line="265" w:lineRule="exact"/>
                          <w:ind w:left="107"/>
                          <w:rPr>
                            <w:sz w:val="22"/>
                          </w:rPr>
                        </w:pPr>
                        <w:r>
                          <w:rPr>
                            <w:spacing w:val="-4"/>
                            <w:sz w:val="22"/>
                          </w:rPr>
                          <w:t>严重面部烧伤</w:t>
                        </w:r>
                      </w:p>
                    </w:tc>
                  </w:tr>
                  <w:tr>
                    <w:trPr>
                      <w:trHeight w:val="285" w:hRule="atLeast"/>
                    </w:trPr>
                    <w:tc>
                      <w:tcPr>
                        <w:tcW w:w="567" w:type="dxa"/>
                      </w:tcPr>
                      <w:p>
                        <w:pPr>
                          <w:pStyle w:val="TableParagraph"/>
                          <w:spacing w:line="262" w:lineRule="exact" w:before="2"/>
                          <w:ind w:left="156" w:right="148"/>
                          <w:jc w:val="center"/>
                          <w:rPr>
                            <w:sz w:val="22"/>
                          </w:rPr>
                        </w:pPr>
                        <w:r>
                          <w:rPr>
                            <w:spacing w:val="-5"/>
                            <w:sz w:val="22"/>
                          </w:rPr>
                          <w:t>10</w:t>
                        </w:r>
                      </w:p>
                    </w:tc>
                    <w:tc>
                      <w:tcPr>
                        <w:tcW w:w="2835" w:type="dxa"/>
                      </w:tcPr>
                      <w:p>
                        <w:pPr>
                          <w:pStyle w:val="TableParagraph"/>
                          <w:spacing w:line="262" w:lineRule="exact" w:before="2"/>
                          <w:ind w:left="106"/>
                          <w:rPr>
                            <w:sz w:val="22"/>
                          </w:rPr>
                        </w:pPr>
                        <w:r>
                          <w:rPr>
                            <w:spacing w:val="-4"/>
                            <w:sz w:val="22"/>
                          </w:rPr>
                          <w:t>严重慢性肝衰竭</w:t>
                        </w:r>
                      </w:p>
                    </w:tc>
                    <w:tc>
                      <w:tcPr>
                        <w:tcW w:w="567" w:type="dxa"/>
                      </w:tcPr>
                      <w:p>
                        <w:pPr>
                          <w:pStyle w:val="TableParagraph"/>
                          <w:spacing w:line="262" w:lineRule="exact" w:before="2"/>
                          <w:ind w:left="157" w:right="147"/>
                          <w:jc w:val="center"/>
                          <w:rPr>
                            <w:sz w:val="22"/>
                          </w:rPr>
                        </w:pPr>
                        <w:r>
                          <w:rPr>
                            <w:spacing w:val="-5"/>
                            <w:sz w:val="22"/>
                          </w:rPr>
                          <w:t>70</w:t>
                        </w:r>
                      </w:p>
                    </w:tc>
                    <w:tc>
                      <w:tcPr>
                        <w:tcW w:w="2835" w:type="dxa"/>
                      </w:tcPr>
                      <w:p>
                        <w:pPr>
                          <w:pStyle w:val="TableParagraph"/>
                          <w:spacing w:line="262" w:lineRule="exact" w:before="2"/>
                          <w:ind w:left="107"/>
                          <w:rPr>
                            <w:sz w:val="22"/>
                          </w:rPr>
                        </w:pPr>
                        <w:r>
                          <w:rPr>
                            <w:spacing w:val="-4"/>
                            <w:sz w:val="22"/>
                          </w:rPr>
                          <w:t>主动脉夹层血肿</w:t>
                        </w:r>
                      </w:p>
                    </w:tc>
                  </w:tr>
                  <w:tr>
                    <w:trPr>
                      <w:trHeight w:val="570" w:hRule="atLeast"/>
                    </w:trPr>
                    <w:tc>
                      <w:tcPr>
                        <w:tcW w:w="567" w:type="dxa"/>
                      </w:tcPr>
                      <w:p>
                        <w:pPr>
                          <w:pStyle w:val="TableParagraph"/>
                          <w:spacing w:before="144"/>
                          <w:ind w:left="156" w:right="148"/>
                          <w:jc w:val="center"/>
                          <w:rPr>
                            <w:sz w:val="22"/>
                          </w:rPr>
                        </w:pPr>
                        <w:r>
                          <w:rPr>
                            <w:spacing w:val="-5"/>
                            <w:sz w:val="22"/>
                          </w:rPr>
                          <w:t>11</w:t>
                        </w:r>
                      </w:p>
                    </w:tc>
                    <w:tc>
                      <w:tcPr>
                        <w:tcW w:w="2835" w:type="dxa"/>
                      </w:tcPr>
                      <w:p>
                        <w:pPr>
                          <w:pStyle w:val="TableParagraph"/>
                          <w:spacing w:line="280" w:lineRule="atLeast"/>
                          <w:ind w:left="106" w:right="95"/>
                          <w:rPr>
                            <w:sz w:val="22"/>
                          </w:rPr>
                        </w:pPr>
                        <w:r>
                          <w:rPr>
                            <w:spacing w:val="15"/>
                            <w:sz w:val="22"/>
                          </w:rPr>
                          <w:t>严重脑炎后遗症或严重脑</w:t>
                        </w:r>
                        <w:r>
                          <w:rPr>
                            <w:spacing w:val="-2"/>
                            <w:sz w:val="22"/>
                          </w:rPr>
                          <w:t>膜炎后遗症</w:t>
                        </w:r>
                      </w:p>
                    </w:tc>
                    <w:tc>
                      <w:tcPr>
                        <w:tcW w:w="567" w:type="dxa"/>
                      </w:tcPr>
                      <w:p>
                        <w:pPr>
                          <w:pStyle w:val="TableParagraph"/>
                          <w:spacing w:before="144"/>
                          <w:ind w:left="157" w:right="147"/>
                          <w:jc w:val="center"/>
                          <w:rPr>
                            <w:sz w:val="22"/>
                          </w:rPr>
                        </w:pPr>
                        <w:r>
                          <w:rPr>
                            <w:spacing w:val="-5"/>
                            <w:sz w:val="22"/>
                          </w:rPr>
                          <w:t>71</w:t>
                        </w:r>
                      </w:p>
                    </w:tc>
                    <w:tc>
                      <w:tcPr>
                        <w:tcW w:w="2835" w:type="dxa"/>
                      </w:tcPr>
                      <w:p>
                        <w:pPr>
                          <w:pStyle w:val="TableParagraph"/>
                          <w:spacing w:before="144"/>
                          <w:ind w:left="107"/>
                          <w:rPr>
                            <w:sz w:val="22"/>
                          </w:rPr>
                        </w:pPr>
                        <w:r>
                          <w:rPr>
                            <w:spacing w:val="-3"/>
                            <w:sz w:val="22"/>
                          </w:rPr>
                          <w:t>严重慢性缩窄型心包炎</w:t>
                        </w:r>
                      </w:p>
                    </w:tc>
                  </w:tr>
                  <w:tr>
                    <w:trPr>
                      <w:trHeight w:val="285" w:hRule="atLeast"/>
                    </w:trPr>
                    <w:tc>
                      <w:tcPr>
                        <w:tcW w:w="567" w:type="dxa"/>
                      </w:tcPr>
                      <w:p>
                        <w:pPr>
                          <w:pStyle w:val="TableParagraph"/>
                          <w:spacing w:line="262" w:lineRule="exact" w:before="2"/>
                          <w:ind w:left="156" w:right="148"/>
                          <w:jc w:val="center"/>
                          <w:rPr>
                            <w:sz w:val="22"/>
                          </w:rPr>
                        </w:pPr>
                        <w:r>
                          <w:rPr>
                            <w:spacing w:val="-5"/>
                            <w:sz w:val="22"/>
                          </w:rPr>
                          <w:t>12</w:t>
                        </w:r>
                      </w:p>
                    </w:tc>
                    <w:tc>
                      <w:tcPr>
                        <w:tcW w:w="2835" w:type="dxa"/>
                      </w:tcPr>
                      <w:p>
                        <w:pPr>
                          <w:pStyle w:val="TableParagraph"/>
                          <w:spacing w:line="262" w:lineRule="exact" w:before="2"/>
                          <w:ind w:left="106"/>
                          <w:rPr>
                            <w:sz w:val="22"/>
                          </w:rPr>
                        </w:pPr>
                        <w:r>
                          <w:rPr>
                            <w:spacing w:val="-4"/>
                            <w:sz w:val="22"/>
                          </w:rPr>
                          <w:t>深度昏迷</w:t>
                        </w:r>
                      </w:p>
                    </w:tc>
                    <w:tc>
                      <w:tcPr>
                        <w:tcW w:w="567" w:type="dxa"/>
                      </w:tcPr>
                      <w:p>
                        <w:pPr>
                          <w:pStyle w:val="TableParagraph"/>
                          <w:spacing w:line="262" w:lineRule="exact" w:before="2"/>
                          <w:ind w:left="157" w:right="147"/>
                          <w:jc w:val="center"/>
                          <w:rPr>
                            <w:sz w:val="22"/>
                          </w:rPr>
                        </w:pPr>
                        <w:r>
                          <w:rPr>
                            <w:spacing w:val="-5"/>
                            <w:sz w:val="22"/>
                          </w:rPr>
                          <w:t>72</w:t>
                        </w:r>
                      </w:p>
                    </w:tc>
                    <w:tc>
                      <w:tcPr>
                        <w:tcW w:w="2835" w:type="dxa"/>
                      </w:tcPr>
                      <w:p>
                        <w:pPr>
                          <w:pStyle w:val="TableParagraph"/>
                          <w:spacing w:line="262" w:lineRule="exact" w:before="2"/>
                          <w:ind w:left="107"/>
                          <w:rPr>
                            <w:sz w:val="22"/>
                          </w:rPr>
                        </w:pPr>
                        <w:r>
                          <w:rPr>
                            <w:spacing w:val="-4"/>
                            <w:sz w:val="22"/>
                          </w:rPr>
                          <w:t>艾森门格综合征</w:t>
                        </w:r>
                      </w:p>
                    </w:tc>
                  </w:tr>
                  <w:tr>
                    <w:trPr>
                      <w:trHeight w:val="285" w:hRule="atLeast"/>
                    </w:trPr>
                    <w:tc>
                      <w:tcPr>
                        <w:tcW w:w="567" w:type="dxa"/>
                      </w:tcPr>
                      <w:p>
                        <w:pPr>
                          <w:pStyle w:val="TableParagraph"/>
                          <w:spacing w:line="263" w:lineRule="exact" w:before="3"/>
                          <w:ind w:left="156" w:right="148"/>
                          <w:jc w:val="center"/>
                          <w:rPr>
                            <w:sz w:val="22"/>
                          </w:rPr>
                        </w:pPr>
                        <w:r>
                          <w:rPr>
                            <w:spacing w:val="-5"/>
                            <w:sz w:val="22"/>
                          </w:rPr>
                          <w:t>13</w:t>
                        </w:r>
                      </w:p>
                    </w:tc>
                    <w:tc>
                      <w:tcPr>
                        <w:tcW w:w="2835" w:type="dxa"/>
                      </w:tcPr>
                      <w:p>
                        <w:pPr>
                          <w:pStyle w:val="TableParagraph"/>
                          <w:spacing w:line="263" w:lineRule="exact" w:before="3"/>
                          <w:ind w:left="106"/>
                          <w:rPr>
                            <w:sz w:val="22"/>
                          </w:rPr>
                        </w:pPr>
                        <w:r>
                          <w:rPr>
                            <w:spacing w:val="-4"/>
                            <w:sz w:val="22"/>
                          </w:rPr>
                          <w:t>双耳失聪</w:t>
                        </w:r>
                      </w:p>
                    </w:tc>
                    <w:tc>
                      <w:tcPr>
                        <w:tcW w:w="567" w:type="dxa"/>
                      </w:tcPr>
                      <w:p>
                        <w:pPr>
                          <w:pStyle w:val="TableParagraph"/>
                          <w:spacing w:line="263" w:lineRule="exact" w:before="3"/>
                          <w:ind w:left="157" w:right="147"/>
                          <w:jc w:val="center"/>
                          <w:rPr>
                            <w:sz w:val="22"/>
                          </w:rPr>
                        </w:pPr>
                        <w:r>
                          <w:rPr>
                            <w:spacing w:val="-5"/>
                            <w:sz w:val="22"/>
                          </w:rPr>
                          <w:t>73</w:t>
                        </w:r>
                      </w:p>
                    </w:tc>
                    <w:tc>
                      <w:tcPr>
                        <w:tcW w:w="2835" w:type="dxa"/>
                      </w:tcPr>
                      <w:p>
                        <w:pPr>
                          <w:pStyle w:val="TableParagraph"/>
                          <w:spacing w:line="263" w:lineRule="exact" w:before="3"/>
                          <w:ind w:left="107"/>
                          <w:rPr>
                            <w:sz w:val="22"/>
                          </w:rPr>
                        </w:pPr>
                        <w:r>
                          <w:rPr>
                            <w:spacing w:val="-3"/>
                            <w:sz w:val="22"/>
                          </w:rPr>
                          <w:t>严重脊髓小脑变性症</w:t>
                        </w:r>
                      </w:p>
                    </w:tc>
                  </w:tr>
                  <w:tr>
                    <w:trPr>
                      <w:trHeight w:val="570" w:hRule="atLeast"/>
                    </w:trPr>
                    <w:tc>
                      <w:tcPr>
                        <w:tcW w:w="567" w:type="dxa"/>
                      </w:tcPr>
                      <w:p>
                        <w:pPr>
                          <w:pStyle w:val="TableParagraph"/>
                          <w:spacing w:before="144"/>
                          <w:ind w:left="156" w:right="148"/>
                          <w:jc w:val="center"/>
                          <w:rPr>
                            <w:sz w:val="22"/>
                          </w:rPr>
                        </w:pPr>
                        <w:r>
                          <w:rPr>
                            <w:spacing w:val="-5"/>
                            <w:sz w:val="22"/>
                          </w:rPr>
                          <w:t>14</w:t>
                        </w:r>
                      </w:p>
                    </w:tc>
                    <w:tc>
                      <w:tcPr>
                        <w:tcW w:w="2835" w:type="dxa"/>
                      </w:tcPr>
                      <w:p>
                        <w:pPr>
                          <w:pStyle w:val="TableParagraph"/>
                          <w:spacing w:before="144"/>
                          <w:ind w:left="106"/>
                          <w:rPr>
                            <w:sz w:val="22"/>
                          </w:rPr>
                        </w:pPr>
                        <w:r>
                          <w:rPr>
                            <w:spacing w:val="-4"/>
                            <w:sz w:val="22"/>
                          </w:rPr>
                          <w:t>双目失明</w:t>
                        </w:r>
                      </w:p>
                    </w:tc>
                    <w:tc>
                      <w:tcPr>
                        <w:tcW w:w="567" w:type="dxa"/>
                      </w:tcPr>
                      <w:p>
                        <w:pPr>
                          <w:pStyle w:val="TableParagraph"/>
                          <w:spacing w:before="144"/>
                          <w:ind w:left="157" w:right="147"/>
                          <w:jc w:val="center"/>
                          <w:rPr>
                            <w:sz w:val="22"/>
                          </w:rPr>
                        </w:pPr>
                        <w:r>
                          <w:rPr>
                            <w:spacing w:val="-5"/>
                            <w:sz w:val="22"/>
                          </w:rPr>
                          <w:t>74</w:t>
                        </w:r>
                      </w:p>
                    </w:tc>
                    <w:tc>
                      <w:tcPr>
                        <w:tcW w:w="2835" w:type="dxa"/>
                      </w:tcPr>
                      <w:p>
                        <w:pPr>
                          <w:pStyle w:val="TableParagraph"/>
                          <w:spacing w:line="280" w:lineRule="atLeast"/>
                          <w:ind w:left="107" w:right="94"/>
                          <w:rPr>
                            <w:sz w:val="22"/>
                          </w:rPr>
                        </w:pPr>
                        <w:r>
                          <w:rPr>
                            <w:spacing w:val="15"/>
                            <w:sz w:val="22"/>
                          </w:rPr>
                          <w:t>严重进行性多灶性白质脑</w:t>
                        </w:r>
                        <w:r>
                          <w:rPr>
                            <w:spacing w:val="-10"/>
                            <w:sz w:val="22"/>
                          </w:rPr>
                          <w:t>病</w:t>
                        </w:r>
                      </w:p>
                    </w:tc>
                  </w:tr>
                  <w:tr>
                    <w:trPr>
                      <w:trHeight w:val="286" w:hRule="atLeast"/>
                    </w:trPr>
                    <w:tc>
                      <w:tcPr>
                        <w:tcW w:w="567" w:type="dxa"/>
                      </w:tcPr>
                      <w:p>
                        <w:pPr>
                          <w:pStyle w:val="TableParagraph"/>
                          <w:spacing w:line="263" w:lineRule="exact" w:before="3"/>
                          <w:ind w:left="156" w:right="148"/>
                          <w:jc w:val="center"/>
                          <w:rPr>
                            <w:sz w:val="22"/>
                          </w:rPr>
                        </w:pPr>
                        <w:r>
                          <w:rPr>
                            <w:spacing w:val="-5"/>
                            <w:sz w:val="22"/>
                          </w:rPr>
                          <w:t>15</w:t>
                        </w:r>
                      </w:p>
                    </w:tc>
                    <w:tc>
                      <w:tcPr>
                        <w:tcW w:w="2835" w:type="dxa"/>
                      </w:tcPr>
                      <w:p>
                        <w:pPr>
                          <w:pStyle w:val="TableParagraph"/>
                          <w:spacing w:line="263" w:lineRule="exact" w:before="3"/>
                          <w:ind w:left="106"/>
                          <w:rPr>
                            <w:sz w:val="22"/>
                          </w:rPr>
                        </w:pPr>
                        <w:r>
                          <w:rPr>
                            <w:spacing w:val="-6"/>
                            <w:sz w:val="22"/>
                          </w:rPr>
                          <w:t>瘫痪</w:t>
                        </w:r>
                      </w:p>
                    </w:tc>
                    <w:tc>
                      <w:tcPr>
                        <w:tcW w:w="567" w:type="dxa"/>
                      </w:tcPr>
                      <w:p>
                        <w:pPr>
                          <w:pStyle w:val="TableParagraph"/>
                          <w:spacing w:line="263" w:lineRule="exact" w:before="3"/>
                          <w:ind w:left="157" w:right="147"/>
                          <w:jc w:val="center"/>
                          <w:rPr>
                            <w:sz w:val="22"/>
                          </w:rPr>
                        </w:pPr>
                        <w:r>
                          <w:rPr>
                            <w:spacing w:val="-5"/>
                            <w:sz w:val="22"/>
                          </w:rPr>
                          <w:t>75</w:t>
                        </w:r>
                      </w:p>
                    </w:tc>
                    <w:tc>
                      <w:tcPr>
                        <w:tcW w:w="2835" w:type="dxa"/>
                      </w:tcPr>
                      <w:p>
                        <w:pPr>
                          <w:pStyle w:val="TableParagraph"/>
                          <w:spacing w:line="263" w:lineRule="exact" w:before="3"/>
                          <w:ind w:left="107"/>
                          <w:rPr>
                            <w:sz w:val="22"/>
                          </w:rPr>
                        </w:pPr>
                        <w:r>
                          <w:rPr>
                            <w:spacing w:val="-4"/>
                            <w:sz w:val="22"/>
                          </w:rPr>
                          <w:t>严重强直性脊柱炎</w:t>
                        </w:r>
                      </w:p>
                    </w:tc>
                  </w:tr>
                  <w:tr>
                    <w:trPr>
                      <w:trHeight w:val="570" w:hRule="atLeast"/>
                    </w:trPr>
                    <w:tc>
                      <w:tcPr>
                        <w:tcW w:w="567" w:type="dxa"/>
                      </w:tcPr>
                      <w:p>
                        <w:pPr>
                          <w:pStyle w:val="TableParagraph"/>
                          <w:spacing w:before="143"/>
                          <w:ind w:left="156" w:right="148"/>
                          <w:jc w:val="center"/>
                          <w:rPr>
                            <w:sz w:val="22"/>
                          </w:rPr>
                        </w:pPr>
                        <w:r>
                          <w:rPr>
                            <w:spacing w:val="-5"/>
                            <w:sz w:val="22"/>
                          </w:rPr>
                          <w:t>16</w:t>
                        </w:r>
                      </w:p>
                    </w:tc>
                    <w:tc>
                      <w:tcPr>
                        <w:tcW w:w="2835" w:type="dxa"/>
                      </w:tcPr>
                      <w:p>
                        <w:pPr>
                          <w:pStyle w:val="TableParagraph"/>
                          <w:spacing w:before="143"/>
                          <w:ind w:left="106"/>
                          <w:rPr>
                            <w:sz w:val="22"/>
                          </w:rPr>
                        </w:pPr>
                        <w:r>
                          <w:rPr>
                            <w:spacing w:val="-4"/>
                            <w:sz w:val="22"/>
                          </w:rPr>
                          <w:t>心脏瓣膜手术</w:t>
                        </w:r>
                      </w:p>
                    </w:tc>
                    <w:tc>
                      <w:tcPr>
                        <w:tcW w:w="567" w:type="dxa"/>
                      </w:tcPr>
                      <w:p>
                        <w:pPr>
                          <w:pStyle w:val="TableParagraph"/>
                          <w:spacing w:before="143"/>
                          <w:ind w:left="157" w:right="147"/>
                          <w:jc w:val="center"/>
                          <w:rPr>
                            <w:sz w:val="22"/>
                          </w:rPr>
                        </w:pPr>
                        <w:r>
                          <w:rPr>
                            <w:spacing w:val="-5"/>
                            <w:sz w:val="22"/>
                          </w:rPr>
                          <w:t>76</w:t>
                        </w:r>
                      </w:p>
                    </w:tc>
                    <w:tc>
                      <w:tcPr>
                        <w:tcW w:w="2835" w:type="dxa"/>
                      </w:tcPr>
                      <w:p>
                        <w:pPr>
                          <w:pStyle w:val="TableParagraph"/>
                          <w:spacing w:line="280" w:lineRule="atLeast"/>
                          <w:ind w:left="107" w:right="94"/>
                          <w:rPr>
                            <w:sz w:val="22"/>
                          </w:rPr>
                        </w:pPr>
                        <w:r>
                          <w:rPr>
                            <w:spacing w:val="15"/>
                            <w:sz w:val="22"/>
                          </w:rPr>
                          <w:t>严重多处臂丛神经根性撕</w:t>
                        </w:r>
                        <w:r>
                          <w:rPr>
                            <w:spacing w:val="-10"/>
                            <w:sz w:val="22"/>
                          </w:rPr>
                          <w:t>脱</w:t>
                        </w:r>
                      </w:p>
                    </w:tc>
                  </w:tr>
                  <w:tr>
                    <w:trPr>
                      <w:trHeight w:val="285" w:hRule="atLeast"/>
                    </w:trPr>
                    <w:tc>
                      <w:tcPr>
                        <w:tcW w:w="567" w:type="dxa"/>
                      </w:tcPr>
                      <w:p>
                        <w:pPr>
                          <w:pStyle w:val="TableParagraph"/>
                          <w:spacing w:line="263" w:lineRule="exact" w:before="3"/>
                          <w:ind w:left="156" w:right="148"/>
                          <w:jc w:val="center"/>
                          <w:rPr>
                            <w:sz w:val="22"/>
                          </w:rPr>
                        </w:pPr>
                        <w:r>
                          <w:rPr>
                            <w:spacing w:val="-5"/>
                            <w:sz w:val="22"/>
                          </w:rPr>
                          <w:t>17</w:t>
                        </w:r>
                      </w:p>
                    </w:tc>
                    <w:tc>
                      <w:tcPr>
                        <w:tcW w:w="2835" w:type="dxa"/>
                      </w:tcPr>
                      <w:p>
                        <w:pPr>
                          <w:pStyle w:val="TableParagraph"/>
                          <w:spacing w:line="263" w:lineRule="exact" w:before="3"/>
                          <w:ind w:left="106"/>
                          <w:rPr>
                            <w:sz w:val="22"/>
                          </w:rPr>
                        </w:pPr>
                        <w:r>
                          <w:rPr>
                            <w:spacing w:val="-4"/>
                            <w:sz w:val="22"/>
                          </w:rPr>
                          <w:t>严重阿尔茨海默病</w:t>
                        </w:r>
                      </w:p>
                    </w:tc>
                    <w:tc>
                      <w:tcPr>
                        <w:tcW w:w="567" w:type="dxa"/>
                      </w:tcPr>
                      <w:p>
                        <w:pPr>
                          <w:pStyle w:val="TableParagraph"/>
                          <w:spacing w:line="263" w:lineRule="exact" w:before="3"/>
                          <w:ind w:left="157" w:right="147"/>
                          <w:jc w:val="center"/>
                          <w:rPr>
                            <w:sz w:val="22"/>
                          </w:rPr>
                        </w:pPr>
                        <w:r>
                          <w:rPr>
                            <w:spacing w:val="-5"/>
                            <w:sz w:val="22"/>
                          </w:rPr>
                          <w:t>77</w:t>
                        </w:r>
                      </w:p>
                    </w:tc>
                    <w:tc>
                      <w:tcPr>
                        <w:tcW w:w="2835" w:type="dxa"/>
                      </w:tcPr>
                      <w:p>
                        <w:pPr>
                          <w:pStyle w:val="TableParagraph"/>
                          <w:spacing w:line="263" w:lineRule="exact" w:before="3"/>
                          <w:ind w:left="107"/>
                          <w:rPr>
                            <w:sz w:val="22"/>
                          </w:rPr>
                        </w:pPr>
                        <w:r>
                          <w:rPr>
                            <w:spacing w:val="-4"/>
                            <w:sz w:val="22"/>
                          </w:rPr>
                          <w:t>溶血性尿毒综合征</w:t>
                        </w:r>
                      </w:p>
                    </w:tc>
                  </w:tr>
                  <w:tr>
                    <w:trPr>
                      <w:trHeight w:val="282" w:hRule="atLeast"/>
                    </w:trPr>
                    <w:tc>
                      <w:tcPr>
                        <w:tcW w:w="567" w:type="dxa"/>
                      </w:tcPr>
                      <w:p>
                        <w:pPr>
                          <w:pStyle w:val="TableParagraph"/>
                          <w:spacing w:line="261" w:lineRule="exact" w:before="2"/>
                          <w:ind w:left="156" w:right="148"/>
                          <w:jc w:val="center"/>
                          <w:rPr>
                            <w:sz w:val="22"/>
                          </w:rPr>
                        </w:pPr>
                        <w:r>
                          <w:rPr>
                            <w:spacing w:val="-5"/>
                            <w:sz w:val="22"/>
                          </w:rPr>
                          <w:t>18</w:t>
                        </w:r>
                      </w:p>
                    </w:tc>
                    <w:tc>
                      <w:tcPr>
                        <w:tcW w:w="2835" w:type="dxa"/>
                      </w:tcPr>
                      <w:p>
                        <w:pPr>
                          <w:pStyle w:val="TableParagraph"/>
                          <w:spacing w:line="261" w:lineRule="exact" w:before="2"/>
                          <w:ind w:left="106"/>
                          <w:rPr>
                            <w:sz w:val="22"/>
                          </w:rPr>
                        </w:pPr>
                        <w:r>
                          <w:rPr>
                            <w:spacing w:val="-4"/>
                            <w:sz w:val="22"/>
                          </w:rPr>
                          <w:t>严重脑损伤</w:t>
                        </w:r>
                      </w:p>
                    </w:tc>
                    <w:tc>
                      <w:tcPr>
                        <w:tcW w:w="567" w:type="dxa"/>
                      </w:tcPr>
                      <w:p>
                        <w:pPr>
                          <w:pStyle w:val="TableParagraph"/>
                          <w:spacing w:line="261" w:lineRule="exact" w:before="2"/>
                          <w:ind w:left="157" w:right="147"/>
                          <w:jc w:val="center"/>
                          <w:rPr>
                            <w:sz w:val="22"/>
                          </w:rPr>
                        </w:pPr>
                        <w:r>
                          <w:rPr>
                            <w:spacing w:val="-5"/>
                            <w:sz w:val="22"/>
                          </w:rPr>
                          <w:t>78</w:t>
                        </w:r>
                      </w:p>
                    </w:tc>
                    <w:tc>
                      <w:tcPr>
                        <w:tcW w:w="2835" w:type="dxa"/>
                      </w:tcPr>
                      <w:p>
                        <w:pPr>
                          <w:pStyle w:val="TableParagraph"/>
                          <w:spacing w:line="261" w:lineRule="exact" w:before="2"/>
                          <w:ind w:left="107"/>
                          <w:rPr>
                            <w:sz w:val="22"/>
                          </w:rPr>
                        </w:pPr>
                        <w:r>
                          <w:rPr>
                            <w:spacing w:val="-2"/>
                            <w:sz w:val="22"/>
                          </w:rPr>
                          <w:t>Brugada</w:t>
                        </w:r>
                        <w:r>
                          <w:rPr>
                            <w:spacing w:val="-16"/>
                            <w:sz w:val="22"/>
                          </w:rPr>
                          <w:t> 综合征</w:t>
                        </w:r>
                      </w:p>
                    </w:tc>
                  </w:tr>
                </w:tbl>
                <w:p>
                  <w:pPr>
                    <w:pStyle w:val="BodyText"/>
                  </w:pPr>
                </w:p>
              </w:txbxContent>
            </v:textbox>
            <w10:wrap type="none"/>
          </v:shape>
        </w:pict>
      </w:r>
      <w:r>
        <w:rPr/>
        <w:t>我们提供保障的重大疾病共有120种，名称如下，具体释义见“10 重大疾病</w:t>
      </w:r>
      <w:r>
        <w:rPr>
          <w:spacing w:val="-2"/>
        </w:rPr>
        <w:t>的定义”。</w:t>
      </w:r>
    </w:p>
    <w:p>
      <w:pPr>
        <w:spacing w:after="0" w:line="324" w:lineRule="auto"/>
        <w:sectPr>
          <w:type w:val="continuous"/>
          <w:pgSz w:w="11910" w:h="16840"/>
          <w:pgMar w:header="484" w:footer="706" w:top="1240" w:bottom="900" w:left="980" w:right="980"/>
          <w:cols w:num="2" w:equalWidth="0">
            <w:col w:w="2256" w:space="72"/>
            <w:col w:w="7622"/>
          </w:cols>
        </w:sectPr>
      </w:pPr>
    </w:p>
    <w:p>
      <w:pPr>
        <w:pStyle w:val="BodyText"/>
        <w:spacing w:before="6"/>
        <w:rPr>
          <w:sz w:val="13"/>
        </w:rPr>
      </w:pPr>
    </w:p>
    <w:tbl>
      <w:tblPr>
        <w:tblW w:w="0" w:type="auto"/>
        <w:jc w:val="left"/>
        <w:tblInd w:w="2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7"/>
        <w:gridCol w:w="2835"/>
        <w:gridCol w:w="567"/>
        <w:gridCol w:w="2835"/>
      </w:tblGrid>
      <w:tr>
        <w:trPr>
          <w:trHeight w:val="285" w:hRule="atLeast"/>
        </w:trPr>
        <w:tc>
          <w:tcPr>
            <w:tcW w:w="567" w:type="dxa"/>
          </w:tcPr>
          <w:p>
            <w:pPr>
              <w:pStyle w:val="TableParagraph"/>
              <w:spacing w:line="263" w:lineRule="exact" w:before="2"/>
              <w:ind w:left="156" w:right="148"/>
              <w:jc w:val="center"/>
              <w:rPr>
                <w:sz w:val="22"/>
              </w:rPr>
            </w:pPr>
            <w:r>
              <w:rPr>
                <w:spacing w:val="-5"/>
                <w:sz w:val="22"/>
              </w:rPr>
              <w:t>19</w:t>
            </w:r>
          </w:p>
        </w:tc>
        <w:tc>
          <w:tcPr>
            <w:tcW w:w="2835" w:type="dxa"/>
          </w:tcPr>
          <w:p>
            <w:pPr>
              <w:pStyle w:val="TableParagraph"/>
              <w:spacing w:line="263" w:lineRule="exact" w:before="2"/>
              <w:ind w:left="106"/>
              <w:rPr>
                <w:sz w:val="22"/>
              </w:rPr>
            </w:pPr>
            <w:r>
              <w:rPr>
                <w:spacing w:val="-3"/>
                <w:sz w:val="22"/>
              </w:rPr>
              <w:t>严重原发性帕金森病</w:t>
            </w:r>
          </w:p>
        </w:tc>
        <w:tc>
          <w:tcPr>
            <w:tcW w:w="567" w:type="dxa"/>
          </w:tcPr>
          <w:p>
            <w:pPr>
              <w:pStyle w:val="TableParagraph"/>
              <w:spacing w:line="263" w:lineRule="exact" w:before="2"/>
              <w:ind w:right="160"/>
              <w:jc w:val="right"/>
              <w:rPr>
                <w:sz w:val="22"/>
              </w:rPr>
            </w:pPr>
            <w:r>
              <w:rPr>
                <w:spacing w:val="-5"/>
                <w:sz w:val="22"/>
              </w:rPr>
              <w:t>79</w:t>
            </w:r>
          </w:p>
        </w:tc>
        <w:tc>
          <w:tcPr>
            <w:tcW w:w="2835" w:type="dxa"/>
          </w:tcPr>
          <w:p>
            <w:pPr>
              <w:pStyle w:val="TableParagraph"/>
              <w:spacing w:line="263" w:lineRule="exact" w:before="2"/>
              <w:ind w:left="107"/>
              <w:rPr>
                <w:sz w:val="22"/>
              </w:rPr>
            </w:pPr>
            <w:r>
              <w:rPr>
                <w:spacing w:val="-4"/>
                <w:sz w:val="22"/>
              </w:rPr>
              <w:t>严重巨细胞动脉炎</w:t>
            </w:r>
          </w:p>
        </w:tc>
      </w:tr>
      <w:tr>
        <w:trPr>
          <w:trHeight w:val="285" w:hRule="atLeast"/>
        </w:trPr>
        <w:tc>
          <w:tcPr>
            <w:tcW w:w="567" w:type="dxa"/>
          </w:tcPr>
          <w:p>
            <w:pPr>
              <w:pStyle w:val="TableParagraph"/>
              <w:spacing w:line="264" w:lineRule="exact" w:before="2"/>
              <w:ind w:left="156" w:right="148"/>
              <w:jc w:val="center"/>
              <w:rPr>
                <w:sz w:val="22"/>
              </w:rPr>
            </w:pPr>
            <w:r>
              <w:rPr>
                <w:spacing w:val="-5"/>
                <w:sz w:val="22"/>
              </w:rPr>
              <w:t>20</w:t>
            </w:r>
          </w:p>
        </w:tc>
        <w:tc>
          <w:tcPr>
            <w:tcW w:w="2835" w:type="dxa"/>
          </w:tcPr>
          <w:p>
            <w:pPr>
              <w:pStyle w:val="TableParagraph"/>
              <w:spacing w:line="264" w:lineRule="exact" w:before="2"/>
              <w:ind w:left="106"/>
              <w:rPr>
                <w:sz w:val="22"/>
              </w:rPr>
            </w:pPr>
            <w:r>
              <w:rPr>
                <w:spacing w:val="-4"/>
                <w:sz w:val="22"/>
              </w:rPr>
              <w:t>严重Ⅲ度烧伤</w:t>
            </w:r>
          </w:p>
        </w:tc>
        <w:tc>
          <w:tcPr>
            <w:tcW w:w="567" w:type="dxa"/>
          </w:tcPr>
          <w:p>
            <w:pPr>
              <w:pStyle w:val="TableParagraph"/>
              <w:spacing w:line="264" w:lineRule="exact" w:before="2"/>
              <w:ind w:right="160"/>
              <w:jc w:val="right"/>
              <w:rPr>
                <w:sz w:val="22"/>
              </w:rPr>
            </w:pPr>
            <w:r>
              <w:rPr>
                <w:spacing w:val="-5"/>
                <w:sz w:val="22"/>
              </w:rPr>
              <w:t>80</w:t>
            </w:r>
          </w:p>
        </w:tc>
        <w:tc>
          <w:tcPr>
            <w:tcW w:w="2835" w:type="dxa"/>
          </w:tcPr>
          <w:p>
            <w:pPr>
              <w:pStyle w:val="TableParagraph"/>
              <w:spacing w:line="264" w:lineRule="exact" w:before="2"/>
              <w:ind w:left="107"/>
              <w:rPr>
                <w:sz w:val="22"/>
              </w:rPr>
            </w:pPr>
            <w:r>
              <w:rPr>
                <w:spacing w:val="-3"/>
                <w:sz w:val="22"/>
              </w:rPr>
              <w:t>严重继发性肺动脉高压</w:t>
            </w:r>
          </w:p>
        </w:tc>
      </w:tr>
      <w:tr>
        <w:trPr>
          <w:trHeight w:val="285" w:hRule="atLeast"/>
        </w:trPr>
        <w:tc>
          <w:tcPr>
            <w:tcW w:w="567" w:type="dxa"/>
          </w:tcPr>
          <w:p>
            <w:pPr>
              <w:pStyle w:val="TableParagraph"/>
              <w:spacing w:line="264" w:lineRule="exact" w:before="1"/>
              <w:ind w:left="156" w:right="148"/>
              <w:jc w:val="center"/>
              <w:rPr>
                <w:sz w:val="22"/>
              </w:rPr>
            </w:pPr>
            <w:r>
              <w:rPr>
                <w:spacing w:val="-5"/>
                <w:sz w:val="22"/>
              </w:rPr>
              <w:t>21</w:t>
            </w:r>
          </w:p>
        </w:tc>
        <w:tc>
          <w:tcPr>
            <w:tcW w:w="2835" w:type="dxa"/>
          </w:tcPr>
          <w:p>
            <w:pPr>
              <w:pStyle w:val="TableParagraph"/>
              <w:spacing w:line="264" w:lineRule="exact" w:before="1"/>
              <w:ind w:left="106"/>
              <w:rPr>
                <w:sz w:val="22"/>
              </w:rPr>
            </w:pPr>
            <w:r>
              <w:rPr>
                <w:spacing w:val="-3"/>
                <w:sz w:val="22"/>
              </w:rPr>
              <w:t>严重特发性肺动脉高压</w:t>
            </w:r>
          </w:p>
        </w:tc>
        <w:tc>
          <w:tcPr>
            <w:tcW w:w="567" w:type="dxa"/>
          </w:tcPr>
          <w:p>
            <w:pPr>
              <w:pStyle w:val="TableParagraph"/>
              <w:spacing w:line="264" w:lineRule="exact" w:before="1"/>
              <w:ind w:right="160"/>
              <w:jc w:val="right"/>
              <w:rPr>
                <w:sz w:val="22"/>
              </w:rPr>
            </w:pPr>
            <w:r>
              <w:rPr>
                <w:spacing w:val="-5"/>
                <w:sz w:val="22"/>
              </w:rPr>
              <w:t>81</w:t>
            </w:r>
          </w:p>
        </w:tc>
        <w:tc>
          <w:tcPr>
            <w:tcW w:w="2835" w:type="dxa"/>
          </w:tcPr>
          <w:p>
            <w:pPr>
              <w:pStyle w:val="TableParagraph"/>
              <w:spacing w:line="264" w:lineRule="exact" w:before="1"/>
              <w:ind w:left="107"/>
              <w:rPr>
                <w:sz w:val="22"/>
              </w:rPr>
            </w:pPr>
            <w:r>
              <w:rPr>
                <w:spacing w:val="-4"/>
                <w:sz w:val="22"/>
              </w:rPr>
              <w:t>严重癫痫</w:t>
            </w:r>
          </w:p>
        </w:tc>
      </w:tr>
      <w:tr>
        <w:trPr>
          <w:trHeight w:val="285" w:hRule="atLeast"/>
        </w:trPr>
        <w:tc>
          <w:tcPr>
            <w:tcW w:w="567" w:type="dxa"/>
          </w:tcPr>
          <w:p>
            <w:pPr>
              <w:pStyle w:val="TableParagraph"/>
              <w:spacing w:line="263" w:lineRule="exact" w:before="1"/>
              <w:ind w:left="156" w:right="148"/>
              <w:jc w:val="center"/>
              <w:rPr>
                <w:sz w:val="22"/>
              </w:rPr>
            </w:pPr>
            <w:r>
              <w:rPr>
                <w:spacing w:val="-5"/>
                <w:sz w:val="22"/>
              </w:rPr>
              <w:t>22</w:t>
            </w:r>
          </w:p>
        </w:tc>
        <w:tc>
          <w:tcPr>
            <w:tcW w:w="2835" w:type="dxa"/>
          </w:tcPr>
          <w:p>
            <w:pPr>
              <w:pStyle w:val="TableParagraph"/>
              <w:spacing w:line="263" w:lineRule="exact" w:before="1"/>
              <w:ind w:left="106"/>
              <w:rPr>
                <w:sz w:val="22"/>
              </w:rPr>
            </w:pPr>
            <w:r>
              <w:rPr>
                <w:spacing w:val="-4"/>
                <w:sz w:val="22"/>
              </w:rPr>
              <w:t>严重运动神经元病</w:t>
            </w:r>
          </w:p>
        </w:tc>
        <w:tc>
          <w:tcPr>
            <w:tcW w:w="567" w:type="dxa"/>
          </w:tcPr>
          <w:p>
            <w:pPr>
              <w:pStyle w:val="TableParagraph"/>
              <w:spacing w:line="263" w:lineRule="exact" w:before="1"/>
              <w:ind w:right="160"/>
              <w:jc w:val="right"/>
              <w:rPr>
                <w:sz w:val="22"/>
              </w:rPr>
            </w:pPr>
            <w:r>
              <w:rPr>
                <w:spacing w:val="-5"/>
                <w:sz w:val="22"/>
              </w:rPr>
              <w:t>82</w:t>
            </w:r>
          </w:p>
        </w:tc>
        <w:tc>
          <w:tcPr>
            <w:tcW w:w="2835" w:type="dxa"/>
          </w:tcPr>
          <w:p>
            <w:pPr>
              <w:pStyle w:val="TableParagraph"/>
              <w:spacing w:line="263" w:lineRule="exact" w:before="1"/>
              <w:ind w:left="107"/>
              <w:rPr>
                <w:sz w:val="22"/>
              </w:rPr>
            </w:pPr>
            <w:r>
              <w:rPr>
                <w:spacing w:val="-4"/>
                <w:sz w:val="22"/>
              </w:rPr>
              <w:t>神经白塞病</w:t>
            </w:r>
          </w:p>
        </w:tc>
      </w:tr>
      <w:tr>
        <w:trPr>
          <w:trHeight w:val="286" w:hRule="atLeast"/>
        </w:trPr>
        <w:tc>
          <w:tcPr>
            <w:tcW w:w="567" w:type="dxa"/>
          </w:tcPr>
          <w:p>
            <w:pPr>
              <w:pStyle w:val="TableParagraph"/>
              <w:spacing w:line="264" w:lineRule="exact" w:before="2"/>
              <w:ind w:left="156" w:right="148"/>
              <w:jc w:val="center"/>
              <w:rPr>
                <w:sz w:val="22"/>
              </w:rPr>
            </w:pPr>
            <w:r>
              <w:rPr>
                <w:spacing w:val="-5"/>
                <w:sz w:val="22"/>
              </w:rPr>
              <w:t>23</w:t>
            </w:r>
          </w:p>
        </w:tc>
        <w:tc>
          <w:tcPr>
            <w:tcW w:w="2835" w:type="dxa"/>
          </w:tcPr>
          <w:p>
            <w:pPr>
              <w:pStyle w:val="TableParagraph"/>
              <w:spacing w:line="264" w:lineRule="exact" w:before="2"/>
              <w:ind w:left="106"/>
              <w:rPr>
                <w:sz w:val="22"/>
              </w:rPr>
            </w:pPr>
            <w:r>
              <w:rPr>
                <w:spacing w:val="-4"/>
                <w:sz w:val="22"/>
              </w:rPr>
              <w:t>语言能力丧失</w:t>
            </w:r>
          </w:p>
        </w:tc>
        <w:tc>
          <w:tcPr>
            <w:tcW w:w="567" w:type="dxa"/>
          </w:tcPr>
          <w:p>
            <w:pPr>
              <w:pStyle w:val="TableParagraph"/>
              <w:spacing w:line="264" w:lineRule="exact" w:before="2"/>
              <w:ind w:right="160"/>
              <w:jc w:val="right"/>
              <w:rPr>
                <w:sz w:val="22"/>
              </w:rPr>
            </w:pPr>
            <w:r>
              <w:rPr>
                <w:spacing w:val="-5"/>
                <w:sz w:val="22"/>
              </w:rPr>
              <w:t>83</w:t>
            </w:r>
          </w:p>
        </w:tc>
        <w:tc>
          <w:tcPr>
            <w:tcW w:w="2835" w:type="dxa"/>
          </w:tcPr>
          <w:p>
            <w:pPr>
              <w:pStyle w:val="TableParagraph"/>
              <w:spacing w:line="264" w:lineRule="exact" w:before="2"/>
              <w:ind w:left="107"/>
              <w:rPr>
                <w:sz w:val="22"/>
              </w:rPr>
            </w:pPr>
            <w:r>
              <w:rPr>
                <w:spacing w:val="-4"/>
                <w:sz w:val="22"/>
              </w:rPr>
              <w:t>室壁瘤切除手术</w:t>
            </w:r>
          </w:p>
        </w:tc>
      </w:tr>
      <w:tr>
        <w:trPr>
          <w:trHeight w:val="285" w:hRule="atLeast"/>
        </w:trPr>
        <w:tc>
          <w:tcPr>
            <w:tcW w:w="567" w:type="dxa"/>
          </w:tcPr>
          <w:p>
            <w:pPr>
              <w:pStyle w:val="TableParagraph"/>
              <w:spacing w:line="264" w:lineRule="exact" w:before="1"/>
              <w:ind w:left="156" w:right="148"/>
              <w:jc w:val="center"/>
              <w:rPr>
                <w:sz w:val="22"/>
              </w:rPr>
            </w:pPr>
            <w:r>
              <w:rPr>
                <w:spacing w:val="-5"/>
                <w:sz w:val="22"/>
              </w:rPr>
              <w:t>24</w:t>
            </w:r>
          </w:p>
        </w:tc>
        <w:tc>
          <w:tcPr>
            <w:tcW w:w="2835" w:type="dxa"/>
          </w:tcPr>
          <w:p>
            <w:pPr>
              <w:pStyle w:val="TableParagraph"/>
              <w:spacing w:line="264" w:lineRule="exact" w:before="1"/>
              <w:ind w:left="106"/>
              <w:rPr>
                <w:sz w:val="22"/>
              </w:rPr>
            </w:pPr>
            <w:r>
              <w:rPr>
                <w:spacing w:val="-3"/>
                <w:sz w:val="22"/>
              </w:rPr>
              <w:t>重型再生障碍性贫血</w:t>
            </w:r>
          </w:p>
        </w:tc>
        <w:tc>
          <w:tcPr>
            <w:tcW w:w="567" w:type="dxa"/>
          </w:tcPr>
          <w:p>
            <w:pPr>
              <w:pStyle w:val="TableParagraph"/>
              <w:spacing w:line="264" w:lineRule="exact" w:before="1"/>
              <w:ind w:right="160"/>
              <w:jc w:val="right"/>
              <w:rPr>
                <w:sz w:val="22"/>
              </w:rPr>
            </w:pPr>
            <w:r>
              <w:rPr>
                <w:spacing w:val="-5"/>
                <w:sz w:val="22"/>
              </w:rPr>
              <w:t>84</w:t>
            </w:r>
          </w:p>
        </w:tc>
        <w:tc>
          <w:tcPr>
            <w:tcW w:w="2835" w:type="dxa"/>
          </w:tcPr>
          <w:p>
            <w:pPr>
              <w:pStyle w:val="TableParagraph"/>
              <w:spacing w:line="264" w:lineRule="exact" w:before="1"/>
              <w:ind w:left="107"/>
              <w:rPr>
                <w:sz w:val="22"/>
              </w:rPr>
            </w:pPr>
            <w:r>
              <w:rPr>
                <w:spacing w:val="-4"/>
                <w:sz w:val="22"/>
              </w:rPr>
              <w:t>脑型疟疾</w:t>
            </w:r>
          </w:p>
        </w:tc>
      </w:tr>
      <w:tr>
        <w:trPr>
          <w:trHeight w:val="285" w:hRule="atLeast"/>
        </w:trPr>
        <w:tc>
          <w:tcPr>
            <w:tcW w:w="567" w:type="dxa"/>
          </w:tcPr>
          <w:p>
            <w:pPr>
              <w:pStyle w:val="TableParagraph"/>
              <w:spacing w:line="264" w:lineRule="exact" w:before="1"/>
              <w:ind w:left="156" w:right="148"/>
              <w:jc w:val="center"/>
              <w:rPr>
                <w:sz w:val="22"/>
              </w:rPr>
            </w:pPr>
            <w:r>
              <w:rPr>
                <w:spacing w:val="-5"/>
                <w:sz w:val="22"/>
              </w:rPr>
              <w:t>25</w:t>
            </w:r>
          </w:p>
        </w:tc>
        <w:tc>
          <w:tcPr>
            <w:tcW w:w="2835" w:type="dxa"/>
          </w:tcPr>
          <w:p>
            <w:pPr>
              <w:pStyle w:val="TableParagraph"/>
              <w:spacing w:line="264" w:lineRule="exact" w:before="1"/>
              <w:ind w:left="106"/>
              <w:rPr>
                <w:sz w:val="22"/>
              </w:rPr>
            </w:pPr>
            <w:r>
              <w:rPr>
                <w:spacing w:val="-4"/>
                <w:sz w:val="22"/>
              </w:rPr>
              <w:t>主动脉手术</w:t>
            </w:r>
          </w:p>
        </w:tc>
        <w:tc>
          <w:tcPr>
            <w:tcW w:w="567" w:type="dxa"/>
          </w:tcPr>
          <w:p>
            <w:pPr>
              <w:pStyle w:val="TableParagraph"/>
              <w:spacing w:line="264" w:lineRule="exact" w:before="1"/>
              <w:ind w:right="160"/>
              <w:jc w:val="right"/>
              <w:rPr>
                <w:sz w:val="22"/>
              </w:rPr>
            </w:pPr>
            <w:r>
              <w:rPr>
                <w:spacing w:val="-5"/>
                <w:sz w:val="22"/>
              </w:rPr>
              <w:t>85</w:t>
            </w:r>
          </w:p>
        </w:tc>
        <w:tc>
          <w:tcPr>
            <w:tcW w:w="2835" w:type="dxa"/>
          </w:tcPr>
          <w:p>
            <w:pPr>
              <w:pStyle w:val="TableParagraph"/>
              <w:spacing w:line="264" w:lineRule="exact" w:before="1"/>
              <w:ind w:left="107"/>
              <w:rPr>
                <w:sz w:val="22"/>
              </w:rPr>
            </w:pPr>
            <w:r>
              <w:rPr>
                <w:spacing w:val="-3"/>
                <w:sz w:val="22"/>
              </w:rPr>
              <w:t>严重Ⅲ度冻伤导致截肢</w:t>
            </w:r>
          </w:p>
        </w:tc>
      </w:tr>
      <w:tr>
        <w:trPr>
          <w:trHeight w:val="285" w:hRule="atLeast"/>
        </w:trPr>
        <w:tc>
          <w:tcPr>
            <w:tcW w:w="567" w:type="dxa"/>
          </w:tcPr>
          <w:p>
            <w:pPr>
              <w:pStyle w:val="TableParagraph"/>
              <w:spacing w:line="265" w:lineRule="exact" w:before="1"/>
              <w:ind w:left="156" w:right="148"/>
              <w:jc w:val="center"/>
              <w:rPr>
                <w:sz w:val="22"/>
              </w:rPr>
            </w:pPr>
            <w:r>
              <w:rPr>
                <w:spacing w:val="-5"/>
                <w:sz w:val="22"/>
              </w:rPr>
              <w:t>26</w:t>
            </w:r>
          </w:p>
        </w:tc>
        <w:tc>
          <w:tcPr>
            <w:tcW w:w="2835" w:type="dxa"/>
          </w:tcPr>
          <w:p>
            <w:pPr>
              <w:pStyle w:val="TableParagraph"/>
              <w:spacing w:line="265" w:lineRule="exact" w:before="1"/>
              <w:ind w:left="106"/>
              <w:rPr>
                <w:sz w:val="22"/>
              </w:rPr>
            </w:pPr>
            <w:r>
              <w:rPr>
                <w:spacing w:val="-4"/>
                <w:sz w:val="22"/>
              </w:rPr>
              <w:t>严重慢性呼吸衰竭</w:t>
            </w:r>
          </w:p>
        </w:tc>
        <w:tc>
          <w:tcPr>
            <w:tcW w:w="567" w:type="dxa"/>
          </w:tcPr>
          <w:p>
            <w:pPr>
              <w:pStyle w:val="TableParagraph"/>
              <w:spacing w:line="265" w:lineRule="exact" w:before="1"/>
              <w:ind w:right="160"/>
              <w:jc w:val="right"/>
              <w:rPr>
                <w:sz w:val="22"/>
              </w:rPr>
            </w:pPr>
            <w:r>
              <w:rPr>
                <w:spacing w:val="-5"/>
                <w:sz w:val="22"/>
              </w:rPr>
              <w:t>86</w:t>
            </w:r>
          </w:p>
        </w:tc>
        <w:tc>
          <w:tcPr>
            <w:tcW w:w="2835" w:type="dxa"/>
          </w:tcPr>
          <w:p>
            <w:pPr>
              <w:pStyle w:val="TableParagraph"/>
              <w:spacing w:line="265" w:lineRule="exact" w:before="1"/>
              <w:ind w:left="107"/>
              <w:rPr>
                <w:sz w:val="22"/>
              </w:rPr>
            </w:pPr>
            <w:r>
              <w:rPr>
                <w:spacing w:val="-4"/>
                <w:sz w:val="22"/>
              </w:rPr>
              <w:t>弥漫性血管内凝血</w:t>
            </w:r>
          </w:p>
        </w:tc>
      </w:tr>
      <w:tr>
        <w:trPr>
          <w:trHeight w:val="570" w:hRule="atLeast"/>
        </w:trPr>
        <w:tc>
          <w:tcPr>
            <w:tcW w:w="567" w:type="dxa"/>
          </w:tcPr>
          <w:p>
            <w:pPr>
              <w:pStyle w:val="TableParagraph"/>
              <w:spacing w:before="142"/>
              <w:ind w:left="156" w:right="148"/>
              <w:jc w:val="center"/>
              <w:rPr>
                <w:sz w:val="22"/>
              </w:rPr>
            </w:pPr>
            <w:r>
              <w:rPr>
                <w:spacing w:val="-5"/>
                <w:sz w:val="22"/>
              </w:rPr>
              <w:t>27</w:t>
            </w:r>
          </w:p>
        </w:tc>
        <w:tc>
          <w:tcPr>
            <w:tcW w:w="2835" w:type="dxa"/>
          </w:tcPr>
          <w:p>
            <w:pPr>
              <w:pStyle w:val="TableParagraph"/>
              <w:spacing w:before="142"/>
              <w:ind w:left="106"/>
              <w:rPr>
                <w:sz w:val="22"/>
              </w:rPr>
            </w:pPr>
            <w:r>
              <w:rPr>
                <w:spacing w:val="-4"/>
                <w:sz w:val="22"/>
              </w:rPr>
              <w:t>严重克罗恩病</w:t>
            </w:r>
          </w:p>
        </w:tc>
        <w:tc>
          <w:tcPr>
            <w:tcW w:w="567" w:type="dxa"/>
          </w:tcPr>
          <w:p>
            <w:pPr>
              <w:pStyle w:val="TableParagraph"/>
              <w:spacing w:before="142"/>
              <w:ind w:right="160"/>
              <w:jc w:val="right"/>
              <w:rPr>
                <w:sz w:val="22"/>
              </w:rPr>
            </w:pPr>
            <w:r>
              <w:rPr>
                <w:spacing w:val="-5"/>
                <w:sz w:val="22"/>
              </w:rPr>
              <w:t>87</w:t>
            </w:r>
          </w:p>
        </w:tc>
        <w:tc>
          <w:tcPr>
            <w:tcW w:w="2835" w:type="dxa"/>
          </w:tcPr>
          <w:p>
            <w:pPr>
              <w:pStyle w:val="TableParagraph"/>
              <w:ind w:left="107"/>
              <w:rPr>
                <w:sz w:val="22"/>
              </w:rPr>
            </w:pPr>
            <w:r>
              <w:rPr>
                <w:sz w:val="22"/>
              </w:rPr>
              <w:t>急性肺损伤（ALI）</w:t>
            </w:r>
            <w:r>
              <w:rPr>
                <w:spacing w:val="-4"/>
                <w:sz w:val="22"/>
              </w:rPr>
              <w:t>或急性</w:t>
            </w:r>
          </w:p>
          <w:p>
            <w:pPr>
              <w:pStyle w:val="TableParagraph"/>
              <w:spacing w:line="264" w:lineRule="exact" w:before="4"/>
              <w:ind w:left="107"/>
              <w:rPr>
                <w:sz w:val="22"/>
              </w:rPr>
            </w:pPr>
            <w:r>
              <w:rPr>
                <w:spacing w:val="-2"/>
                <w:sz w:val="22"/>
              </w:rPr>
              <w:t>呼吸窘迫综合征（ARDS）</w:t>
            </w:r>
          </w:p>
        </w:tc>
      </w:tr>
      <w:tr>
        <w:trPr>
          <w:trHeight w:val="285" w:hRule="atLeast"/>
        </w:trPr>
        <w:tc>
          <w:tcPr>
            <w:tcW w:w="567" w:type="dxa"/>
          </w:tcPr>
          <w:p>
            <w:pPr>
              <w:pStyle w:val="TableParagraph"/>
              <w:spacing w:line="264" w:lineRule="exact" w:before="1"/>
              <w:ind w:left="156" w:right="148"/>
              <w:jc w:val="center"/>
              <w:rPr>
                <w:sz w:val="22"/>
              </w:rPr>
            </w:pPr>
            <w:r>
              <w:rPr>
                <w:spacing w:val="-5"/>
                <w:sz w:val="22"/>
              </w:rPr>
              <w:t>28</w:t>
            </w:r>
          </w:p>
        </w:tc>
        <w:tc>
          <w:tcPr>
            <w:tcW w:w="2835" w:type="dxa"/>
          </w:tcPr>
          <w:p>
            <w:pPr>
              <w:pStyle w:val="TableParagraph"/>
              <w:spacing w:line="264" w:lineRule="exact" w:before="1"/>
              <w:ind w:left="106"/>
              <w:rPr>
                <w:sz w:val="22"/>
              </w:rPr>
            </w:pPr>
            <w:r>
              <w:rPr>
                <w:spacing w:val="-4"/>
                <w:sz w:val="22"/>
              </w:rPr>
              <w:t>严重溃疡性结肠炎</w:t>
            </w:r>
          </w:p>
        </w:tc>
        <w:tc>
          <w:tcPr>
            <w:tcW w:w="567" w:type="dxa"/>
          </w:tcPr>
          <w:p>
            <w:pPr>
              <w:pStyle w:val="TableParagraph"/>
              <w:spacing w:line="264" w:lineRule="exact" w:before="1"/>
              <w:ind w:right="160"/>
              <w:jc w:val="right"/>
              <w:rPr>
                <w:sz w:val="22"/>
              </w:rPr>
            </w:pPr>
            <w:r>
              <w:rPr>
                <w:spacing w:val="-5"/>
                <w:sz w:val="22"/>
              </w:rPr>
              <w:t>88</w:t>
            </w:r>
          </w:p>
        </w:tc>
        <w:tc>
          <w:tcPr>
            <w:tcW w:w="2835" w:type="dxa"/>
          </w:tcPr>
          <w:p>
            <w:pPr>
              <w:pStyle w:val="TableParagraph"/>
              <w:spacing w:line="264" w:lineRule="exact" w:before="1"/>
              <w:ind w:left="107"/>
              <w:rPr>
                <w:sz w:val="22"/>
              </w:rPr>
            </w:pPr>
            <w:r>
              <w:rPr>
                <w:spacing w:val="-4"/>
                <w:sz w:val="22"/>
              </w:rPr>
              <w:t>心脏粘液瘤</w:t>
            </w:r>
          </w:p>
        </w:tc>
      </w:tr>
      <w:tr>
        <w:trPr>
          <w:trHeight w:val="286" w:hRule="atLeast"/>
        </w:trPr>
        <w:tc>
          <w:tcPr>
            <w:tcW w:w="567" w:type="dxa"/>
          </w:tcPr>
          <w:p>
            <w:pPr>
              <w:pStyle w:val="TableParagraph"/>
              <w:spacing w:line="264" w:lineRule="exact" w:before="1"/>
              <w:ind w:left="156" w:right="148"/>
              <w:jc w:val="center"/>
              <w:rPr>
                <w:sz w:val="22"/>
              </w:rPr>
            </w:pPr>
            <w:r>
              <w:rPr>
                <w:spacing w:val="-5"/>
                <w:sz w:val="22"/>
              </w:rPr>
              <w:t>29</w:t>
            </w:r>
          </w:p>
        </w:tc>
        <w:tc>
          <w:tcPr>
            <w:tcW w:w="2835" w:type="dxa"/>
          </w:tcPr>
          <w:p>
            <w:pPr>
              <w:pStyle w:val="TableParagraph"/>
              <w:spacing w:line="264" w:lineRule="exact" w:before="1"/>
              <w:ind w:left="106"/>
              <w:rPr>
                <w:sz w:val="22"/>
              </w:rPr>
            </w:pPr>
            <w:r>
              <w:rPr>
                <w:spacing w:val="-4"/>
                <w:sz w:val="22"/>
              </w:rPr>
              <w:t>严重多发性硬化症</w:t>
            </w:r>
          </w:p>
        </w:tc>
        <w:tc>
          <w:tcPr>
            <w:tcW w:w="567" w:type="dxa"/>
          </w:tcPr>
          <w:p>
            <w:pPr>
              <w:pStyle w:val="TableParagraph"/>
              <w:spacing w:line="264" w:lineRule="exact" w:before="1"/>
              <w:ind w:right="160"/>
              <w:jc w:val="right"/>
              <w:rPr>
                <w:sz w:val="22"/>
              </w:rPr>
            </w:pPr>
            <w:r>
              <w:rPr>
                <w:spacing w:val="-5"/>
                <w:sz w:val="22"/>
              </w:rPr>
              <w:t>89</w:t>
            </w:r>
          </w:p>
        </w:tc>
        <w:tc>
          <w:tcPr>
            <w:tcW w:w="2835" w:type="dxa"/>
          </w:tcPr>
          <w:p>
            <w:pPr>
              <w:pStyle w:val="TableParagraph"/>
              <w:spacing w:line="264" w:lineRule="exact" w:before="1"/>
              <w:ind w:left="107"/>
              <w:rPr>
                <w:sz w:val="22"/>
              </w:rPr>
            </w:pPr>
            <w:r>
              <w:rPr>
                <w:spacing w:val="-4"/>
                <w:sz w:val="22"/>
              </w:rPr>
              <w:t>范可尼综合征</w:t>
            </w:r>
          </w:p>
        </w:tc>
      </w:tr>
      <w:tr>
        <w:trPr>
          <w:trHeight w:val="285" w:hRule="atLeast"/>
        </w:trPr>
        <w:tc>
          <w:tcPr>
            <w:tcW w:w="567" w:type="dxa"/>
          </w:tcPr>
          <w:p>
            <w:pPr>
              <w:pStyle w:val="TableParagraph"/>
              <w:spacing w:line="264" w:lineRule="exact"/>
              <w:ind w:left="156" w:right="148"/>
              <w:jc w:val="center"/>
              <w:rPr>
                <w:sz w:val="22"/>
              </w:rPr>
            </w:pPr>
            <w:r>
              <w:rPr>
                <w:spacing w:val="-5"/>
                <w:sz w:val="22"/>
              </w:rPr>
              <w:t>30</w:t>
            </w:r>
          </w:p>
        </w:tc>
        <w:tc>
          <w:tcPr>
            <w:tcW w:w="2835" w:type="dxa"/>
          </w:tcPr>
          <w:p>
            <w:pPr>
              <w:pStyle w:val="TableParagraph"/>
              <w:spacing w:line="264" w:lineRule="exact"/>
              <w:ind w:left="106"/>
              <w:rPr>
                <w:sz w:val="22"/>
              </w:rPr>
            </w:pPr>
            <w:r>
              <w:rPr>
                <w:spacing w:val="-19"/>
                <w:sz w:val="22"/>
              </w:rPr>
              <w:t>严重 </w:t>
            </w:r>
            <w:r>
              <w:rPr>
                <w:spacing w:val="-2"/>
                <w:sz w:val="22"/>
              </w:rPr>
              <w:t>1</w:t>
            </w:r>
            <w:r>
              <w:rPr>
                <w:spacing w:val="-15"/>
                <w:sz w:val="22"/>
              </w:rPr>
              <w:t> 型糖尿病</w:t>
            </w:r>
          </w:p>
        </w:tc>
        <w:tc>
          <w:tcPr>
            <w:tcW w:w="567" w:type="dxa"/>
          </w:tcPr>
          <w:p>
            <w:pPr>
              <w:pStyle w:val="TableParagraph"/>
              <w:spacing w:line="264" w:lineRule="exact"/>
              <w:ind w:right="160"/>
              <w:jc w:val="right"/>
              <w:rPr>
                <w:sz w:val="22"/>
              </w:rPr>
            </w:pPr>
            <w:r>
              <w:rPr>
                <w:spacing w:val="-5"/>
                <w:sz w:val="22"/>
              </w:rPr>
              <w:t>90</w:t>
            </w:r>
          </w:p>
        </w:tc>
        <w:tc>
          <w:tcPr>
            <w:tcW w:w="2835" w:type="dxa"/>
          </w:tcPr>
          <w:p>
            <w:pPr>
              <w:pStyle w:val="TableParagraph"/>
              <w:spacing w:line="264" w:lineRule="exact"/>
              <w:ind w:left="107"/>
              <w:rPr>
                <w:sz w:val="22"/>
              </w:rPr>
            </w:pPr>
            <w:r>
              <w:rPr>
                <w:spacing w:val="-4"/>
                <w:sz w:val="22"/>
              </w:rPr>
              <w:t>严重出血性登革热</w:t>
            </w:r>
          </w:p>
        </w:tc>
      </w:tr>
      <w:tr>
        <w:trPr>
          <w:trHeight w:val="570" w:hRule="atLeast"/>
        </w:trPr>
        <w:tc>
          <w:tcPr>
            <w:tcW w:w="567" w:type="dxa"/>
          </w:tcPr>
          <w:p>
            <w:pPr>
              <w:pStyle w:val="TableParagraph"/>
              <w:spacing w:before="145"/>
              <w:ind w:left="156" w:right="148"/>
              <w:jc w:val="center"/>
              <w:rPr>
                <w:sz w:val="22"/>
              </w:rPr>
            </w:pPr>
            <w:r>
              <w:rPr>
                <w:spacing w:val="-5"/>
                <w:sz w:val="22"/>
              </w:rPr>
              <w:t>31</w:t>
            </w:r>
          </w:p>
        </w:tc>
        <w:tc>
          <w:tcPr>
            <w:tcW w:w="2835" w:type="dxa"/>
          </w:tcPr>
          <w:p>
            <w:pPr>
              <w:pStyle w:val="TableParagraph"/>
              <w:spacing w:before="145"/>
              <w:ind w:left="106"/>
              <w:rPr>
                <w:sz w:val="22"/>
              </w:rPr>
            </w:pPr>
            <w:r>
              <w:rPr>
                <w:spacing w:val="-3"/>
                <w:sz w:val="22"/>
              </w:rPr>
              <w:t>严重类风湿性关节炎</w:t>
            </w:r>
          </w:p>
        </w:tc>
        <w:tc>
          <w:tcPr>
            <w:tcW w:w="567" w:type="dxa"/>
          </w:tcPr>
          <w:p>
            <w:pPr>
              <w:pStyle w:val="TableParagraph"/>
              <w:spacing w:before="145"/>
              <w:ind w:right="160"/>
              <w:jc w:val="right"/>
              <w:rPr>
                <w:sz w:val="22"/>
              </w:rPr>
            </w:pPr>
            <w:r>
              <w:rPr>
                <w:spacing w:val="-5"/>
                <w:sz w:val="22"/>
              </w:rPr>
              <w:t>91</w:t>
            </w:r>
          </w:p>
        </w:tc>
        <w:tc>
          <w:tcPr>
            <w:tcW w:w="2835" w:type="dxa"/>
          </w:tcPr>
          <w:p>
            <w:pPr>
              <w:pStyle w:val="TableParagraph"/>
              <w:spacing w:before="1"/>
              <w:ind w:left="107"/>
              <w:rPr>
                <w:sz w:val="22"/>
              </w:rPr>
            </w:pPr>
            <w:r>
              <w:rPr>
                <w:spacing w:val="16"/>
                <w:sz w:val="22"/>
              </w:rPr>
              <w:t>严重的脊髓空洞症或严重</w:t>
            </w:r>
          </w:p>
          <w:p>
            <w:pPr>
              <w:pStyle w:val="TableParagraph"/>
              <w:spacing w:line="264" w:lineRule="exact" w:before="3"/>
              <w:ind w:left="107"/>
              <w:rPr>
                <w:sz w:val="22"/>
              </w:rPr>
            </w:pPr>
            <w:r>
              <w:rPr>
                <w:spacing w:val="-4"/>
                <w:sz w:val="22"/>
              </w:rPr>
              <w:t>的延髓空洞症</w:t>
            </w:r>
          </w:p>
        </w:tc>
      </w:tr>
      <w:tr>
        <w:trPr>
          <w:trHeight w:val="570" w:hRule="atLeast"/>
        </w:trPr>
        <w:tc>
          <w:tcPr>
            <w:tcW w:w="567" w:type="dxa"/>
          </w:tcPr>
          <w:p>
            <w:pPr>
              <w:pStyle w:val="TableParagraph"/>
              <w:spacing w:before="142"/>
              <w:ind w:left="156" w:right="148"/>
              <w:jc w:val="center"/>
              <w:rPr>
                <w:sz w:val="22"/>
              </w:rPr>
            </w:pPr>
            <w:r>
              <w:rPr>
                <w:spacing w:val="-5"/>
                <w:sz w:val="22"/>
              </w:rPr>
              <w:t>32</w:t>
            </w:r>
          </w:p>
        </w:tc>
        <w:tc>
          <w:tcPr>
            <w:tcW w:w="2835" w:type="dxa"/>
          </w:tcPr>
          <w:p>
            <w:pPr>
              <w:pStyle w:val="TableParagraph"/>
              <w:spacing w:before="1"/>
              <w:ind w:left="106"/>
              <w:rPr>
                <w:sz w:val="22"/>
              </w:rPr>
            </w:pPr>
            <w:r>
              <w:rPr>
                <w:spacing w:val="16"/>
                <w:sz w:val="22"/>
              </w:rPr>
              <w:t>严重幼年型类风湿性关节</w:t>
            </w:r>
          </w:p>
          <w:p>
            <w:pPr>
              <w:pStyle w:val="TableParagraph"/>
              <w:spacing w:line="264" w:lineRule="exact" w:before="3"/>
              <w:ind w:left="106"/>
              <w:rPr>
                <w:sz w:val="22"/>
              </w:rPr>
            </w:pPr>
            <w:r>
              <w:rPr>
                <w:w w:val="100"/>
                <w:sz w:val="22"/>
              </w:rPr>
              <w:t>炎</w:t>
            </w:r>
          </w:p>
        </w:tc>
        <w:tc>
          <w:tcPr>
            <w:tcW w:w="567" w:type="dxa"/>
          </w:tcPr>
          <w:p>
            <w:pPr>
              <w:pStyle w:val="TableParagraph"/>
              <w:spacing w:before="142"/>
              <w:ind w:right="160"/>
              <w:jc w:val="right"/>
              <w:rPr>
                <w:sz w:val="22"/>
              </w:rPr>
            </w:pPr>
            <w:r>
              <w:rPr>
                <w:spacing w:val="-5"/>
                <w:sz w:val="22"/>
              </w:rPr>
              <w:t>92</w:t>
            </w:r>
          </w:p>
        </w:tc>
        <w:tc>
          <w:tcPr>
            <w:tcW w:w="2835" w:type="dxa"/>
          </w:tcPr>
          <w:p>
            <w:pPr>
              <w:pStyle w:val="TableParagraph"/>
              <w:spacing w:before="1"/>
              <w:ind w:left="107"/>
              <w:rPr>
                <w:sz w:val="22"/>
              </w:rPr>
            </w:pPr>
            <w:r>
              <w:rPr>
                <w:spacing w:val="19"/>
                <w:sz w:val="22"/>
              </w:rPr>
              <w:t>侵蚀性葡萄胎</w:t>
            </w:r>
            <w:r>
              <w:rPr>
                <w:sz w:val="22"/>
              </w:rPr>
              <w:t>（</w:t>
            </w:r>
            <w:r>
              <w:rPr>
                <w:spacing w:val="-10"/>
                <w:sz w:val="22"/>
              </w:rPr>
              <w:t> 恶性葡萄</w:t>
            </w:r>
          </w:p>
          <w:p>
            <w:pPr>
              <w:pStyle w:val="TableParagraph"/>
              <w:spacing w:line="264" w:lineRule="exact" w:before="3"/>
              <w:ind w:left="107"/>
              <w:rPr>
                <w:sz w:val="22"/>
              </w:rPr>
            </w:pPr>
            <w:r>
              <w:rPr>
                <w:spacing w:val="-2"/>
                <w:sz w:val="22"/>
              </w:rPr>
              <w:t>胎</w:t>
            </w:r>
            <w:r>
              <w:rPr>
                <w:spacing w:val="-10"/>
                <w:sz w:val="22"/>
              </w:rPr>
              <w:t>）</w:t>
            </w:r>
          </w:p>
        </w:tc>
      </w:tr>
      <w:tr>
        <w:trPr>
          <w:trHeight w:val="571" w:hRule="atLeast"/>
        </w:trPr>
        <w:tc>
          <w:tcPr>
            <w:tcW w:w="567" w:type="dxa"/>
          </w:tcPr>
          <w:p>
            <w:pPr>
              <w:pStyle w:val="TableParagraph"/>
              <w:spacing w:before="143"/>
              <w:ind w:left="156" w:right="148"/>
              <w:jc w:val="center"/>
              <w:rPr>
                <w:sz w:val="22"/>
              </w:rPr>
            </w:pPr>
            <w:r>
              <w:rPr>
                <w:spacing w:val="-5"/>
                <w:sz w:val="22"/>
              </w:rPr>
              <w:t>33</w:t>
            </w:r>
          </w:p>
        </w:tc>
        <w:tc>
          <w:tcPr>
            <w:tcW w:w="2835" w:type="dxa"/>
          </w:tcPr>
          <w:p>
            <w:pPr>
              <w:pStyle w:val="TableParagraph"/>
              <w:spacing w:before="143"/>
              <w:ind w:left="106"/>
              <w:rPr>
                <w:sz w:val="22"/>
              </w:rPr>
            </w:pPr>
            <w:r>
              <w:rPr>
                <w:spacing w:val="-3"/>
                <w:sz w:val="22"/>
              </w:rPr>
              <w:t>重症急性坏死性筋膜炎</w:t>
            </w:r>
          </w:p>
        </w:tc>
        <w:tc>
          <w:tcPr>
            <w:tcW w:w="567" w:type="dxa"/>
          </w:tcPr>
          <w:p>
            <w:pPr>
              <w:pStyle w:val="TableParagraph"/>
              <w:spacing w:before="143"/>
              <w:ind w:right="160"/>
              <w:jc w:val="right"/>
              <w:rPr>
                <w:sz w:val="22"/>
              </w:rPr>
            </w:pPr>
            <w:r>
              <w:rPr>
                <w:spacing w:val="-5"/>
                <w:sz w:val="22"/>
              </w:rPr>
              <w:t>93</w:t>
            </w:r>
          </w:p>
        </w:tc>
        <w:tc>
          <w:tcPr>
            <w:tcW w:w="2835" w:type="dxa"/>
          </w:tcPr>
          <w:p>
            <w:pPr>
              <w:pStyle w:val="TableParagraph"/>
              <w:spacing w:before="1"/>
              <w:ind w:left="107"/>
              <w:rPr>
                <w:sz w:val="22"/>
              </w:rPr>
            </w:pPr>
            <w:r>
              <w:rPr>
                <w:spacing w:val="8"/>
                <w:sz w:val="22"/>
              </w:rPr>
              <w:t>严重心脏衰竭 </w:t>
            </w:r>
            <w:r>
              <w:rPr>
                <w:sz w:val="22"/>
              </w:rPr>
              <w:t>CRT</w:t>
            </w:r>
            <w:r>
              <w:rPr>
                <w:spacing w:val="-1"/>
                <w:sz w:val="22"/>
              </w:rPr>
              <w:t> 心脏再</w:t>
            </w:r>
          </w:p>
          <w:p>
            <w:pPr>
              <w:pStyle w:val="TableParagraph"/>
              <w:spacing w:line="264" w:lineRule="exact" w:before="4"/>
              <w:ind w:left="107"/>
              <w:rPr>
                <w:sz w:val="22"/>
              </w:rPr>
            </w:pPr>
            <w:r>
              <w:rPr>
                <w:spacing w:val="-4"/>
                <w:sz w:val="22"/>
              </w:rPr>
              <w:t>同步治疗</w:t>
            </w:r>
          </w:p>
        </w:tc>
      </w:tr>
      <w:tr>
        <w:trPr>
          <w:trHeight w:val="285" w:hRule="atLeast"/>
        </w:trPr>
        <w:tc>
          <w:tcPr>
            <w:tcW w:w="567" w:type="dxa"/>
          </w:tcPr>
          <w:p>
            <w:pPr>
              <w:pStyle w:val="TableParagraph"/>
              <w:spacing w:line="264" w:lineRule="exact" w:before="1"/>
              <w:ind w:left="156" w:right="148"/>
              <w:jc w:val="center"/>
              <w:rPr>
                <w:sz w:val="22"/>
              </w:rPr>
            </w:pPr>
            <w:r>
              <w:rPr>
                <w:spacing w:val="-5"/>
                <w:sz w:val="22"/>
              </w:rPr>
              <w:t>34</w:t>
            </w:r>
          </w:p>
        </w:tc>
        <w:tc>
          <w:tcPr>
            <w:tcW w:w="2835" w:type="dxa"/>
          </w:tcPr>
          <w:p>
            <w:pPr>
              <w:pStyle w:val="TableParagraph"/>
              <w:spacing w:line="264" w:lineRule="exact" w:before="1"/>
              <w:ind w:left="106"/>
              <w:rPr>
                <w:sz w:val="22"/>
              </w:rPr>
            </w:pPr>
            <w:r>
              <w:rPr>
                <w:spacing w:val="-4"/>
                <w:sz w:val="22"/>
              </w:rPr>
              <w:t>严重系统性硬皮病</w:t>
            </w:r>
          </w:p>
        </w:tc>
        <w:tc>
          <w:tcPr>
            <w:tcW w:w="567" w:type="dxa"/>
          </w:tcPr>
          <w:p>
            <w:pPr>
              <w:pStyle w:val="TableParagraph"/>
              <w:spacing w:line="264" w:lineRule="exact" w:before="1"/>
              <w:ind w:right="160"/>
              <w:jc w:val="right"/>
              <w:rPr>
                <w:sz w:val="22"/>
              </w:rPr>
            </w:pPr>
            <w:r>
              <w:rPr>
                <w:spacing w:val="-5"/>
                <w:sz w:val="22"/>
              </w:rPr>
              <w:t>94</w:t>
            </w:r>
          </w:p>
        </w:tc>
        <w:tc>
          <w:tcPr>
            <w:tcW w:w="2835" w:type="dxa"/>
          </w:tcPr>
          <w:p>
            <w:pPr>
              <w:pStyle w:val="TableParagraph"/>
              <w:spacing w:line="264" w:lineRule="exact" w:before="1"/>
              <w:ind w:left="107"/>
              <w:rPr>
                <w:sz w:val="22"/>
              </w:rPr>
            </w:pPr>
            <w:r>
              <w:rPr>
                <w:spacing w:val="-4"/>
                <w:sz w:val="22"/>
              </w:rPr>
              <w:t>肺孢子菌肺炎</w:t>
            </w:r>
          </w:p>
        </w:tc>
      </w:tr>
      <w:tr>
        <w:trPr>
          <w:trHeight w:val="286" w:hRule="atLeast"/>
        </w:trPr>
        <w:tc>
          <w:tcPr>
            <w:tcW w:w="567" w:type="dxa"/>
          </w:tcPr>
          <w:p>
            <w:pPr>
              <w:pStyle w:val="TableParagraph"/>
              <w:spacing w:line="264" w:lineRule="exact" w:before="1"/>
              <w:ind w:left="156" w:right="148"/>
              <w:jc w:val="center"/>
              <w:rPr>
                <w:sz w:val="22"/>
              </w:rPr>
            </w:pPr>
            <w:r>
              <w:rPr>
                <w:spacing w:val="-5"/>
                <w:sz w:val="22"/>
              </w:rPr>
              <w:t>35</w:t>
            </w:r>
          </w:p>
        </w:tc>
        <w:tc>
          <w:tcPr>
            <w:tcW w:w="2835" w:type="dxa"/>
          </w:tcPr>
          <w:p>
            <w:pPr>
              <w:pStyle w:val="TableParagraph"/>
              <w:spacing w:line="264" w:lineRule="exact" w:before="1"/>
              <w:ind w:left="106"/>
              <w:rPr>
                <w:sz w:val="22"/>
              </w:rPr>
            </w:pPr>
            <w:r>
              <w:rPr>
                <w:spacing w:val="-3"/>
                <w:sz w:val="22"/>
              </w:rPr>
              <w:t>急性坏死胰腺炎开腹手术</w:t>
            </w:r>
          </w:p>
        </w:tc>
        <w:tc>
          <w:tcPr>
            <w:tcW w:w="567" w:type="dxa"/>
          </w:tcPr>
          <w:p>
            <w:pPr>
              <w:pStyle w:val="TableParagraph"/>
              <w:spacing w:line="264" w:lineRule="exact" w:before="1"/>
              <w:ind w:right="160"/>
              <w:jc w:val="right"/>
              <w:rPr>
                <w:sz w:val="22"/>
              </w:rPr>
            </w:pPr>
            <w:r>
              <w:rPr>
                <w:spacing w:val="-5"/>
                <w:sz w:val="22"/>
              </w:rPr>
              <w:t>95</w:t>
            </w:r>
          </w:p>
        </w:tc>
        <w:tc>
          <w:tcPr>
            <w:tcW w:w="2835" w:type="dxa"/>
          </w:tcPr>
          <w:p>
            <w:pPr>
              <w:pStyle w:val="TableParagraph"/>
              <w:spacing w:line="264" w:lineRule="exact" w:before="1"/>
              <w:ind w:left="107"/>
              <w:rPr>
                <w:sz w:val="22"/>
              </w:rPr>
            </w:pPr>
            <w:r>
              <w:rPr>
                <w:spacing w:val="-4"/>
                <w:sz w:val="22"/>
              </w:rPr>
              <w:t>严重席汉氏综合征</w:t>
            </w:r>
          </w:p>
        </w:tc>
      </w:tr>
      <w:tr>
        <w:trPr>
          <w:trHeight w:val="285" w:hRule="atLeast"/>
        </w:trPr>
        <w:tc>
          <w:tcPr>
            <w:tcW w:w="567" w:type="dxa"/>
          </w:tcPr>
          <w:p>
            <w:pPr>
              <w:pStyle w:val="TableParagraph"/>
              <w:spacing w:line="264" w:lineRule="exact" w:before="1"/>
              <w:ind w:left="156" w:right="148"/>
              <w:jc w:val="center"/>
              <w:rPr>
                <w:sz w:val="22"/>
              </w:rPr>
            </w:pPr>
            <w:r>
              <w:rPr>
                <w:spacing w:val="-5"/>
                <w:sz w:val="22"/>
              </w:rPr>
              <w:t>36</w:t>
            </w:r>
          </w:p>
        </w:tc>
        <w:tc>
          <w:tcPr>
            <w:tcW w:w="2835" w:type="dxa"/>
          </w:tcPr>
          <w:p>
            <w:pPr>
              <w:pStyle w:val="TableParagraph"/>
              <w:spacing w:line="264" w:lineRule="exact" w:before="1"/>
              <w:ind w:left="106"/>
              <w:rPr>
                <w:sz w:val="22"/>
              </w:rPr>
            </w:pPr>
            <w:r>
              <w:rPr>
                <w:spacing w:val="-3"/>
                <w:sz w:val="22"/>
              </w:rPr>
              <w:t>严重原发性硬化性胆管炎</w:t>
            </w:r>
          </w:p>
        </w:tc>
        <w:tc>
          <w:tcPr>
            <w:tcW w:w="567" w:type="dxa"/>
          </w:tcPr>
          <w:p>
            <w:pPr>
              <w:pStyle w:val="TableParagraph"/>
              <w:spacing w:line="264" w:lineRule="exact" w:before="1"/>
              <w:ind w:right="160"/>
              <w:jc w:val="right"/>
              <w:rPr>
                <w:sz w:val="22"/>
              </w:rPr>
            </w:pPr>
            <w:r>
              <w:rPr>
                <w:spacing w:val="-5"/>
                <w:sz w:val="22"/>
              </w:rPr>
              <w:t>96</w:t>
            </w:r>
          </w:p>
        </w:tc>
        <w:tc>
          <w:tcPr>
            <w:tcW w:w="2835" w:type="dxa"/>
          </w:tcPr>
          <w:p>
            <w:pPr>
              <w:pStyle w:val="TableParagraph"/>
              <w:spacing w:line="264" w:lineRule="exact" w:before="1"/>
              <w:ind w:left="107"/>
              <w:rPr>
                <w:sz w:val="22"/>
              </w:rPr>
            </w:pPr>
            <w:r>
              <w:rPr>
                <w:spacing w:val="-4"/>
                <w:sz w:val="22"/>
              </w:rPr>
              <w:t>皮质基底节变性</w:t>
            </w:r>
          </w:p>
        </w:tc>
      </w:tr>
      <w:tr>
        <w:trPr>
          <w:trHeight w:val="285" w:hRule="atLeast"/>
        </w:trPr>
        <w:tc>
          <w:tcPr>
            <w:tcW w:w="567" w:type="dxa"/>
          </w:tcPr>
          <w:p>
            <w:pPr>
              <w:pStyle w:val="TableParagraph"/>
              <w:spacing w:line="264" w:lineRule="exact" w:before="1"/>
              <w:ind w:left="156" w:right="148"/>
              <w:jc w:val="center"/>
              <w:rPr>
                <w:sz w:val="22"/>
              </w:rPr>
            </w:pPr>
            <w:r>
              <w:rPr>
                <w:spacing w:val="-5"/>
                <w:sz w:val="22"/>
              </w:rPr>
              <w:t>37</w:t>
            </w:r>
          </w:p>
        </w:tc>
        <w:tc>
          <w:tcPr>
            <w:tcW w:w="2835" w:type="dxa"/>
          </w:tcPr>
          <w:p>
            <w:pPr>
              <w:pStyle w:val="TableParagraph"/>
              <w:spacing w:line="264" w:lineRule="exact" w:before="1"/>
              <w:ind w:left="106"/>
              <w:rPr>
                <w:sz w:val="22"/>
              </w:rPr>
            </w:pPr>
            <w:r>
              <w:rPr>
                <w:spacing w:val="-4"/>
                <w:sz w:val="22"/>
              </w:rPr>
              <w:t>颅脑手术</w:t>
            </w:r>
          </w:p>
        </w:tc>
        <w:tc>
          <w:tcPr>
            <w:tcW w:w="567" w:type="dxa"/>
          </w:tcPr>
          <w:p>
            <w:pPr>
              <w:pStyle w:val="TableParagraph"/>
              <w:spacing w:line="264" w:lineRule="exact" w:before="1"/>
              <w:ind w:right="160"/>
              <w:jc w:val="right"/>
              <w:rPr>
                <w:sz w:val="22"/>
              </w:rPr>
            </w:pPr>
            <w:r>
              <w:rPr>
                <w:spacing w:val="-5"/>
                <w:sz w:val="22"/>
              </w:rPr>
              <w:t>97</w:t>
            </w:r>
          </w:p>
        </w:tc>
        <w:tc>
          <w:tcPr>
            <w:tcW w:w="2835" w:type="dxa"/>
          </w:tcPr>
          <w:p>
            <w:pPr>
              <w:pStyle w:val="TableParagraph"/>
              <w:spacing w:line="264" w:lineRule="exact" w:before="1"/>
              <w:ind w:left="107"/>
              <w:rPr>
                <w:sz w:val="22"/>
              </w:rPr>
            </w:pPr>
            <w:r>
              <w:rPr>
                <w:spacing w:val="-4"/>
                <w:sz w:val="22"/>
              </w:rPr>
              <w:t>严重气性坏疽</w:t>
            </w:r>
          </w:p>
        </w:tc>
      </w:tr>
      <w:tr>
        <w:trPr>
          <w:trHeight w:val="571" w:hRule="atLeast"/>
        </w:trPr>
        <w:tc>
          <w:tcPr>
            <w:tcW w:w="567" w:type="dxa"/>
          </w:tcPr>
          <w:p>
            <w:pPr>
              <w:pStyle w:val="TableParagraph"/>
              <w:spacing w:before="145"/>
              <w:ind w:left="156" w:right="148"/>
              <w:jc w:val="center"/>
              <w:rPr>
                <w:sz w:val="22"/>
              </w:rPr>
            </w:pPr>
            <w:r>
              <w:rPr>
                <w:spacing w:val="-5"/>
                <w:sz w:val="22"/>
              </w:rPr>
              <w:t>38</w:t>
            </w:r>
          </w:p>
        </w:tc>
        <w:tc>
          <w:tcPr>
            <w:tcW w:w="2835" w:type="dxa"/>
          </w:tcPr>
          <w:p>
            <w:pPr>
              <w:pStyle w:val="TableParagraph"/>
              <w:spacing w:before="1"/>
              <w:ind w:left="106"/>
              <w:rPr>
                <w:sz w:val="22"/>
              </w:rPr>
            </w:pPr>
            <w:r>
              <w:rPr>
                <w:spacing w:val="-1"/>
                <w:sz w:val="22"/>
              </w:rPr>
              <w:t>系统性红斑狼疮-Ⅲ型或以</w:t>
            </w:r>
          </w:p>
          <w:p>
            <w:pPr>
              <w:pStyle w:val="TableParagraph"/>
              <w:spacing w:line="264" w:lineRule="exact" w:before="4"/>
              <w:ind w:left="106"/>
              <w:rPr>
                <w:sz w:val="22"/>
              </w:rPr>
            </w:pPr>
            <w:r>
              <w:rPr>
                <w:spacing w:val="-4"/>
                <w:sz w:val="22"/>
              </w:rPr>
              <w:t>上狼疮性肾炎</w:t>
            </w:r>
          </w:p>
        </w:tc>
        <w:tc>
          <w:tcPr>
            <w:tcW w:w="567" w:type="dxa"/>
          </w:tcPr>
          <w:p>
            <w:pPr>
              <w:pStyle w:val="TableParagraph"/>
              <w:spacing w:before="145"/>
              <w:ind w:right="160"/>
              <w:jc w:val="right"/>
              <w:rPr>
                <w:sz w:val="22"/>
              </w:rPr>
            </w:pPr>
            <w:r>
              <w:rPr>
                <w:spacing w:val="-5"/>
                <w:sz w:val="22"/>
              </w:rPr>
              <w:t>98</w:t>
            </w:r>
          </w:p>
        </w:tc>
        <w:tc>
          <w:tcPr>
            <w:tcW w:w="2835" w:type="dxa"/>
          </w:tcPr>
          <w:p>
            <w:pPr>
              <w:pStyle w:val="TableParagraph"/>
              <w:spacing w:before="145"/>
              <w:ind w:left="107"/>
              <w:rPr>
                <w:sz w:val="22"/>
              </w:rPr>
            </w:pPr>
            <w:r>
              <w:rPr>
                <w:spacing w:val="-4"/>
                <w:sz w:val="22"/>
              </w:rPr>
              <w:t>严重亚历山大病</w:t>
            </w:r>
          </w:p>
        </w:tc>
      </w:tr>
      <w:tr>
        <w:trPr>
          <w:trHeight w:val="285" w:hRule="atLeast"/>
        </w:trPr>
        <w:tc>
          <w:tcPr>
            <w:tcW w:w="567" w:type="dxa"/>
          </w:tcPr>
          <w:p>
            <w:pPr>
              <w:pStyle w:val="TableParagraph"/>
              <w:spacing w:line="264" w:lineRule="exact" w:before="1"/>
              <w:ind w:left="156" w:right="148"/>
              <w:jc w:val="center"/>
              <w:rPr>
                <w:sz w:val="22"/>
              </w:rPr>
            </w:pPr>
            <w:r>
              <w:rPr>
                <w:spacing w:val="-5"/>
                <w:sz w:val="22"/>
              </w:rPr>
              <w:t>39</w:t>
            </w:r>
          </w:p>
        </w:tc>
        <w:tc>
          <w:tcPr>
            <w:tcW w:w="2835" w:type="dxa"/>
          </w:tcPr>
          <w:p>
            <w:pPr>
              <w:pStyle w:val="TableParagraph"/>
              <w:spacing w:line="264" w:lineRule="exact" w:before="1"/>
              <w:ind w:left="106"/>
              <w:rPr>
                <w:sz w:val="22"/>
              </w:rPr>
            </w:pPr>
            <w:r>
              <w:rPr>
                <w:spacing w:val="-4"/>
                <w:sz w:val="22"/>
              </w:rPr>
              <w:t>线粒体脑肌病</w:t>
            </w:r>
          </w:p>
        </w:tc>
        <w:tc>
          <w:tcPr>
            <w:tcW w:w="567" w:type="dxa"/>
          </w:tcPr>
          <w:p>
            <w:pPr>
              <w:pStyle w:val="TableParagraph"/>
              <w:spacing w:line="264" w:lineRule="exact" w:before="1"/>
              <w:ind w:right="160"/>
              <w:jc w:val="right"/>
              <w:rPr>
                <w:sz w:val="22"/>
              </w:rPr>
            </w:pPr>
            <w:r>
              <w:rPr>
                <w:spacing w:val="-5"/>
                <w:sz w:val="22"/>
              </w:rPr>
              <w:t>99</w:t>
            </w:r>
          </w:p>
        </w:tc>
        <w:tc>
          <w:tcPr>
            <w:tcW w:w="2835" w:type="dxa"/>
          </w:tcPr>
          <w:p>
            <w:pPr>
              <w:pStyle w:val="TableParagraph"/>
              <w:spacing w:line="264" w:lineRule="exact" w:before="1"/>
              <w:ind w:left="107"/>
              <w:rPr>
                <w:sz w:val="22"/>
              </w:rPr>
            </w:pPr>
            <w:r>
              <w:rPr>
                <w:spacing w:val="-4"/>
                <w:sz w:val="22"/>
              </w:rPr>
              <w:t>严重骨生长不全症</w:t>
            </w:r>
          </w:p>
        </w:tc>
      </w:tr>
      <w:tr>
        <w:trPr>
          <w:trHeight w:val="570" w:hRule="atLeast"/>
        </w:trPr>
        <w:tc>
          <w:tcPr>
            <w:tcW w:w="567" w:type="dxa"/>
          </w:tcPr>
          <w:p>
            <w:pPr>
              <w:pStyle w:val="TableParagraph"/>
              <w:spacing w:before="145"/>
              <w:ind w:left="156" w:right="148"/>
              <w:jc w:val="center"/>
              <w:rPr>
                <w:sz w:val="22"/>
              </w:rPr>
            </w:pPr>
            <w:r>
              <w:rPr>
                <w:spacing w:val="-5"/>
                <w:sz w:val="22"/>
              </w:rPr>
              <w:t>40</w:t>
            </w:r>
          </w:p>
        </w:tc>
        <w:tc>
          <w:tcPr>
            <w:tcW w:w="2835" w:type="dxa"/>
          </w:tcPr>
          <w:p>
            <w:pPr>
              <w:pStyle w:val="TableParagraph"/>
              <w:spacing w:before="1"/>
              <w:ind w:left="106"/>
              <w:rPr>
                <w:sz w:val="22"/>
              </w:rPr>
            </w:pPr>
            <w:r>
              <w:rPr>
                <w:spacing w:val="16"/>
                <w:sz w:val="22"/>
              </w:rPr>
              <w:t>经输血导致的人类免疫缺</w:t>
            </w:r>
          </w:p>
          <w:p>
            <w:pPr>
              <w:pStyle w:val="TableParagraph"/>
              <w:spacing w:line="264" w:lineRule="exact" w:before="4"/>
              <w:ind w:left="106"/>
              <w:rPr>
                <w:sz w:val="22"/>
              </w:rPr>
            </w:pPr>
            <w:r>
              <w:rPr>
                <w:spacing w:val="-2"/>
                <w:sz w:val="22"/>
              </w:rPr>
              <w:t>陷病毒（HIV）</w:t>
            </w:r>
            <w:r>
              <w:rPr>
                <w:spacing w:val="-6"/>
                <w:sz w:val="22"/>
              </w:rPr>
              <w:t>感染</w:t>
            </w:r>
          </w:p>
        </w:tc>
        <w:tc>
          <w:tcPr>
            <w:tcW w:w="567" w:type="dxa"/>
          </w:tcPr>
          <w:p>
            <w:pPr>
              <w:pStyle w:val="TableParagraph"/>
              <w:spacing w:before="145"/>
              <w:ind w:right="105"/>
              <w:jc w:val="right"/>
              <w:rPr>
                <w:sz w:val="22"/>
              </w:rPr>
            </w:pPr>
            <w:r>
              <w:rPr>
                <w:spacing w:val="-5"/>
                <w:sz w:val="22"/>
              </w:rPr>
              <w:t>100</w:t>
            </w:r>
          </w:p>
        </w:tc>
        <w:tc>
          <w:tcPr>
            <w:tcW w:w="2835" w:type="dxa"/>
          </w:tcPr>
          <w:p>
            <w:pPr>
              <w:pStyle w:val="TableParagraph"/>
              <w:spacing w:before="1"/>
              <w:ind w:left="107"/>
              <w:rPr>
                <w:sz w:val="22"/>
              </w:rPr>
            </w:pPr>
            <w:r>
              <w:rPr>
                <w:spacing w:val="16"/>
                <w:sz w:val="22"/>
              </w:rPr>
              <w:t>严重肾上腺脑白质营养不</w:t>
            </w:r>
          </w:p>
          <w:p>
            <w:pPr>
              <w:pStyle w:val="TableParagraph"/>
              <w:spacing w:line="264" w:lineRule="exact" w:before="4"/>
              <w:ind w:left="107"/>
              <w:rPr>
                <w:sz w:val="22"/>
              </w:rPr>
            </w:pPr>
            <w:r>
              <w:rPr>
                <w:w w:val="100"/>
                <w:sz w:val="22"/>
              </w:rPr>
              <w:t>良</w:t>
            </w:r>
          </w:p>
        </w:tc>
      </w:tr>
      <w:tr>
        <w:trPr>
          <w:trHeight w:val="285" w:hRule="atLeast"/>
        </w:trPr>
        <w:tc>
          <w:tcPr>
            <w:tcW w:w="567" w:type="dxa"/>
          </w:tcPr>
          <w:p>
            <w:pPr>
              <w:pStyle w:val="TableParagraph"/>
              <w:spacing w:line="264" w:lineRule="exact" w:before="1"/>
              <w:ind w:left="156" w:right="148"/>
              <w:jc w:val="center"/>
              <w:rPr>
                <w:sz w:val="22"/>
              </w:rPr>
            </w:pPr>
            <w:r>
              <w:rPr>
                <w:spacing w:val="-5"/>
                <w:sz w:val="22"/>
              </w:rPr>
              <w:t>41</w:t>
            </w:r>
          </w:p>
        </w:tc>
        <w:tc>
          <w:tcPr>
            <w:tcW w:w="2835" w:type="dxa"/>
          </w:tcPr>
          <w:p>
            <w:pPr>
              <w:pStyle w:val="TableParagraph"/>
              <w:spacing w:line="264" w:lineRule="exact" w:before="1"/>
              <w:ind w:left="106"/>
              <w:rPr>
                <w:sz w:val="22"/>
              </w:rPr>
            </w:pPr>
            <w:r>
              <w:rPr>
                <w:spacing w:val="-3"/>
                <w:sz w:val="22"/>
              </w:rPr>
              <w:t>丝虫病所致严重象皮肿</w:t>
            </w:r>
          </w:p>
        </w:tc>
        <w:tc>
          <w:tcPr>
            <w:tcW w:w="567" w:type="dxa"/>
          </w:tcPr>
          <w:p>
            <w:pPr>
              <w:pStyle w:val="TableParagraph"/>
              <w:spacing w:line="264" w:lineRule="exact" w:before="1"/>
              <w:ind w:right="105"/>
              <w:jc w:val="right"/>
              <w:rPr>
                <w:sz w:val="22"/>
              </w:rPr>
            </w:pPr>
            <w:r>
              <w:rPr>
                <w:spacing w:val="-5"/>
                <w:sz w:val="22"/>
              </w:rPr>
              <w:t>101</w:t>
            </w:r>
          </w:p>
        </w:tc>
        <w:tc>
          <w:tcPr>
            <w:tcW w:w="2835" w:type="dxa"/>
          </w:tcPr>
          <w:p>
            <w:pPr>
              <w:pStyle w:val="TableParagraph"/>
              <w:spacing w:line="264" w:lineRule="exact" w:before="1"/>
              <w:ind w:left="107"/>
              <w:rPr>
                <w:sz w:val="22"/>
              </w:rPr>
            </w:pPr>
            <w:r>
              <w:rPr>
                <w:spacing w:val="-4"/>
                <w:sz w:val="22"/>
              </w:rPr>
              <w:t>肺泡蛋白质沉积症</w:t>
            </w:r>
          </w:p>
        </w:tc>
      </w:tr>
      <w:tr>
        <w:trPr>
          <w:trHeight w:val="285" w:hRule="atLeast"/>
        </w:trPr>
        <w:tc>
          <w:tcPr>
            <w:tcW w:w="567" w:type="dxa"/>
          </w:tcPr>
          <w:p>
            <w:pPr>
              <w:pStyle w:val="TableParagraph"/>
              <w:spacing w:line="264" w:lineRule="exact" w:before="1"/>
              <w:ind w:left="156" w:right="148"/>
              <w:jc w:val="center"/>
              <w:rPr>
                <w:sz w:val="22"/>
              </w:rPr>
            </w:pPr>
            <w:r>
              <w:rPr>
                <w:spacing w:val="-5"/>
                <w:sz w:val="22"/>
              </w:rPr>
              <w:t>42</w:t>
            </w:r>
          </w:p>
        </w:tc>
        <w:tc>
          <w:tcPr>
            <w:tcW w:w="2835" w:type="dxa"/>
          </w:tcPr>
          <w:p>
            <w:pPr>
              <w:pStyle w:val="TableParagraph"/>
              <w:spacing w:line="264" w:lineRule="exact" w:before="1"/>
              <w:ind w:left="106"/>
              <w:rPr>
                <w:sz w:val="22"/>
              </w:rPr>
            </w:pPr>
            <w:r>
              <w:rPr>
                <w:spacing w:val="-4"/>
                <w:sz w:val="22"/>
              </w:rPr>
              <w:t>胰腺移植</w:t>
            </w:r>
          </w:p>
        </w:tc>
        <w:tc>
          <w:tcPr>
            <w:tcW w:w="567" w:type="dxa"/>
          </w:tcPr>
          <w:p>
            <w:pPr>
              <w:pStyle w:val="TableParagraph"/>
              <w:spacing w:line="264" w:lineRule="exact" w:before="1"/>
              <w:ind w:right="105"/>
              <w:jc w:val="right"/>
              <w:rPr>
                <w:sz w:val="22"/>
              </w:rPr>
            </w:pPr>
            <w:r>
              <w:rPr>
                <w:spacing w:val="-5"/>
                <w:sz w:val="22"/>
              </w:rPr>
              <w:t>102</w:t>
            </w:r>
          </w:p>
        </w:tc>
        <w:tc>
          <w:tcPr>
            <w:tcW w:w="2835" w:type="dxa"/>
          </w:tcPr>
          <w:p>
            <w:pPr>
              <w:pStyle w:val="TableParagraph"/>
              <w:spacing w:line="264" w:lineRule="exact" w:before="1"/>
              <w:ind w:left="107"/>
              <w:rPr>
                <w:sz w:val="22"/>
              </w:rPr>
            </w:pPr>
            <w:r>
              <w:rPr>
                <w:spacing w:val="-4"/>
                <w:sz w:val="22"/>
              </w:rPr>
              <w:t>严重脊髓灰质炎</w:t>
            </w:r>
          </w:p>
        </w:tc>
      </w:tr>
      <w:tr>
        <w:trPr>
          <w:trHeight w:val="286" w:hRule="atLeast"/>
        </w:trPr>
        <w:tc>
          <w:tcPr>
            <w:tcW w:w="567" w:type="dxa"/>
          </w:tcPr>
          <w:p>
            <w:pPr>
              <w:pStyle w:val="TableParagraph"/>
              <w:spacing w:line="265" w:lineRule="exact" w:before="1"/>
              <w:ind w:left="156" w:right="148"/>
              <w:jc w:val="center"/>
              <w:rPr>
                <w:sz w:val="22"/>
              </w:rPr>
            </w:pPr>
            <w:r>
              <w:rPr>
                <w:spacing w:val="-5"/>
                <w:sz w:val="22"/>
              </w:rPr>
              <w:t>43</w:t>
            </w:r>
          </w:p>
        </w:tc>
        <w:tc>
          <w:tcPr>
            <w:tcW w:w="2835" w:type="dxa"/>
          </w:tcPr>
          <w:p>
            <w:pPr>
              <w:pStyle w:val="TableParagraph"/>
              <w:spacing w:line="265" w:lineRule="exact" w:before="1"/>
              <w:ind w:left="106"/>
              <w:rPr>
                <w:sz w:val="22"/>
              </w:rPr>
            </w:pPr>
            <w:r>
              <w:rPr>
                <w:spacing w:val="-3"/>
                <w:sz w:val="22"/>
              </w:rPr>
              <w:t>严重慢性复发性胰腺炎</w:t>
            </w:r>
          </w:p>
        </w:tc>
        <w:tc>
          <w:tcPr>
            <w:tcW w:w="567" w:type="dxa"/>
          </w:tcPr>
          <w:p>
            <w:pPr>
              <w:pStyle w:val="TableParagraph"/>
              <w:spacing w:line="265" w:lineRule="exact" w:before="1"/>
              <w:ind w:right="105"/>
              <w:jc w:val="right"/>
              <w:rPr>
                <w:sz w:val="22"/>
              </w:rPr>
            </w:pPr>
            <w:r>
              <w:rPr>
                <w:spacing w:val="-5"/>
                <w:sz w:val="22"/>
              </w:rPr>
              <w:t>103</w:t>
            </w:r>
          </w:p>
        </w:tc>
        <w:tc>
          <w:tcPr>
            <w:tcW w:w="2835" w:type="dxa"/>
          </w:tcPr>
          <w:p>
            <w:pPr>
              <w:pStyle w:val="TableParagraph"/>
              <w:spacing w:line="265" w:lineRule="exact" w:before="1"/>
              <w:ind w:left="107"/>
              <w:rPr>
                <w:sz w:val="22"/>
              </w:rPr>
            </w:pPr>
            <w:r>
              <w:rPr>
                <w:spacing w:val="-4"/>
                <w:sz w:val="22"/>
              </w:rPr>
              <w:t>严重原发性心肌病</w:t>
            </w:r>
          </w:p>
        </w:tc>
      </w:tr>
      <w:tr>
        <w:trPr>
          <w:trHeight w:val="570" w:hRule="atLeast"/>
        </w:trPr>
        <w:tc>
          <w:tcPr>
            <w:tcW w:w="567" w:type="dxa"/>
          </w:tcPr>
          <w:p>
            <w:pPr>
              <w:pStyle w:val="TableParagraph"/>
              <w:spacing w:before="142"/>
              <w:ind w:left="156" w:right="148"/>
              <w:jc w:val="center"/>
              <w:rPr>
                <w:sz w:val="22"/>
              </w:rPr>
            </w:pPr>
            <w:r>
              <w:rPr>
                <w:spacing w:val="-5"/>
                <w:sz w:val="22"/>
              </w:rPr>
              <w:t>44</w:t>
            </w:r>
          </w:p>
        </w:tc>
        <w:tc>
          <w:tcPr>
            <w:tcW w:w="2835" w:type="dxa"/>
          </w:tcPr>
          <w:p>
            <w:pPr>
              <w:pStyle w:val="TableParagraph"/>
              <w:spacing w:before="142"/>
              <w:ind w:left="106"/>
              <w:rPr>
                <w:sz w:val="22"/>
              </w:rPr>
            </w:pPr>
            <w:r>
              <w:rPr>
                <w:spacing w:val="-4"/>
                <w:sz w:val="22"/>
              </w:rPr>
              <w:t>严重肾髓质囊性病</w:t>
            </w:r>
          </w:p>
        </w:tc>
        <w:tc>
          <w:tcPr>
            <w:tcW w:w="567" w:type="dxa"/>
          </w:tcPr>
          <w:p>
            <w:pPr>
              <w:pStyle w:val="TableParagraph"/>
              <w:spacing w:before="142"/>
              <w:ind w:right="105"/>
              <w:jc w:val="right"/>
              <w:rPr>
                <w:sz w:val="22"/>
              </w:rPr>
            </w:pPr>
            <w:r>
              <w:rPr>
                <w:spacing w:val="-5"/>
                <w:sz w:val="22"/>
              </w:rPr>
              <w:t>104</w:t>
            </w:r>
          </w:p>
        </w:tc>
        <w:tc>
          <w:tcPr>
            <w:tcW w:w="2835" w:type="dxa"/>
          </w:tcPr>
          <w:p>
            <w:pPr>
              <w:pStyle w:val="TableParagraph"/>
              <w:ind w:left="107"/>
              <w:rPr>
                <w:sz w:val="22"/>
              </w:rPr>
            </w:pPr>
            <w:r>
              <w:rPr>
                <w:spacing w:val="19"/>
                <w:sz w:val="22"/>
              </w:rPr>
              <w:t>严重全身性</w:t>
            </w:r>
            <w:r>
              <w:rPr>
                <w:sz w:val="22"/>
              </w:rPr>
              <w:t>（</w:t>
            </w:r>
            <w:r>
              <w:rPr>
                <w:spacing w:val="-36"/>
                <w:sz w:val="22"/>
              </w:rPr>
              <w:t> 型</w:t>
            </w:r>
            <w:r>
              <w:rPr>
                <w:sz w:val="22"/>
              </w:rPr>
              <w:t>）</w:t>
            </w:r>
            <w:r>
              <w:rPr>
                <w:spacing w:val="-16"/>
                <w:sz w:val="22"/>
              </w:rPr>
              <w:t> 重症肌</w:t>
            </w:r>
          </w:p>
          <w:p>
            <w:pPr>
              <w:pStyle w:val="TableParagraph"/>
              <w:spacing w:line="264" w:lineRule="exact" w:before="4"/>
              <w:ind w:left="107"/>
              <w:rPr>
                <w:sz w:val="22"/>
              </w:rPr>
            </w:pPr>
            <w:r>
              <w:rPr>
                <w:spacing w:val="-6"/>
                <w:sz w:val="22"/>
              </w:rPr>
              <w:t>无力</w:t>
            </w:r>
          </w:p>
        </w:tc>
      </w:tr>
      <w:tr>
        <w:trPr>
          <w:trHeight w:val="286" w:hRule="atLeast"/>
        </w:trPr>
        <w:tc>
          <w:tcPr>
            <w:tcW w:w="567" w:type="dxa"/>
          </w:tcPr>
          <w:p>
            <w:pPr>
              <w:pStyle w:val="TableParagraph"/>
              <w:spacing w:line="265" w:lineRule="exact" w:before="1"/>
              <w:ind w:left="156" w:right="148"/>
              <w:jc w:val="center"/>
              <w:rPr>
                <w:sz w:val="22"/>
              </w:rPr>
            </w:pPr>
            <w:r>
              <w:rPr>
                <w:spacing w:val="-5"/>
                <w:sz w:val="22"/>
              </w:rPr>
              <w:t>45</w:t>
            </w:r>
          </w:p>
        </w:tc>
        <w:tc>
          <w:tcPr>
            <w:tcW w:w="2835" w:type="dxa"/>
          </w:tcPr>
          <w:p>
            <w:pPr>
              <w:pStyle w:val="TableParagraph"/>
              <w:spacing w:line="265" w:lineRule="exact" w:before="1"/>
              <w:ind w:left="106"/>
              <w:rPr>
                <w:sz w:val="22"/>
              </w:rPr>
            </w:pPr>
            <w:r>
              <w:rPr>
                <w:spacing w:val="-4"/>
                <w:sz w:val="22"/>
              </w:rPr>
              <w:t>肺源性心脏病</w:t>
            </w:r>
          </w:p>
        </w:tc>
        <w:tc>
          <w:tcPr>
            <w:tcW w:w="567" w:type="dxa"/>
          </w:tcPr>
          <w:p>
            <w:pPr>
              <w:pStyle w:val="TableParagraph"/>
              <w:spacing w:line="265" w:lineRule="exact" w:before="1"/>
              <w:ind w:right="105"/>
              <w:jc w:val="right"/>
              <w:rPr>
                <w:sz w:val="22"/>
              </w:rPr>
            </w:pPr>
            <w:r>
              <w:rPr>
                <w:spacing w:val="-5"/>
                <w:sz w:val="22"/>
              </w:rPr>
              <w:t>105</w:t>
            </w:r>
          </w:p>
        </w:tc>
        <w:tc>
          <w:tcPr>
            <w:tcW w:w="2835" w:type="dxa"/>
          </w:tcPr>
          <w:p>
            <w:pPr>
              <w:pStyle w:val="TableParagraph"/>
              <w:spacing w:line="265" w:lineRule="exact" w:before="1"/>
              <w:ind w:left="107"/>
              <w:rPr>
                <w:sz w:val="22"/>
              </w:rPr>
            </w:pPr>
            <w:r>
              <w:rPr>
                <w:spacing w:val="-4"/>
                <w:sz w:val="22"/>
              </w:rPr>
              <w:t>严重肌营养不良症</w:t>
            </w:r>
          </w:p>
        </w:tc>
      </w:tr>
      <w:tr>
        <w:trPr>
          <w:trHeight w:val="570" w:hRule="atLeast"/>
        </w:trPr>
        <w:tc>
          <w:tcPr>
            <w:tcW w:w="567" w:type="dxa"/>
          </w:tcPr>
          <w:p>
            <w:pPr>
              <w:pStyle w:val="TableParagraph"/>
              <w:spacing w:before="142"/>
              <w:ind w:left="156" w:right="148"/>
              <w:jc w:val="center"/>
              <w:rPr>
                <w:sz w:val="22"/>
              </w:rPr>
            </w:pPr>
            <w:r>
              <w:rPr>
                <w:spacing w:val="-5"/>
                <w:sz w:val="22"/>
              </w:rPr>
              <w:t>46</w:t>
            </w:r>
          </w:p>
        </w:tc>
        <w:tc>
          <w:tcPr>
            <w:tcW w:w="2835" w:type="dxa"/>
          </w:tcPr>
          <w:p>
            <w:pPr>
              <w:pStyle w:val="TableParagraph"/>
              <w:ind w:left="106"/>
              <w:rPr>
                <w:sz w:val="22"/>
              </w:rPr>
            </w:pPr>
            <w:r>
              <w:rPr>
                <w:spacing w:val="16"/>
                <w:sz w:val="22"/>
              </w:rPr>
              <w:t>特发性慢性肾上腺皮质功</w:t>
            </w:r>
          </w:p>
          <w:p>
            <w:pPr>
              <w:pStyle w:val="TableParagraph"/>
              <w:spacing w:line="264" w:lineRule="exact" w:before="4"/>
              <w:ind w:left="106"/>
              <w:rPr>
                <w:sz w:val="22"/>
              </w:rPr>
            </w:pPr>
            <w:r>
              <w:rPr>
                <w:spacing w:val="-5"/>
                <w:sz w:val="22"/>
              </w:rPr>
              <w:t>能衰竭</w:t>
            </w:r>
          </w:p>
        </w:tc>
        <w:tc>
          <w:tcPr>
            <w:tcW w:w="567" w:type="dxa"/>
          </w:tcPr>
          <w:p>
            <w:pPr>
              <w:pStyle w:val="TableParagraph"/>
              <w:spacing w:before="142"/>
              <w:ind w:right="105"/>
              <w:jc w:val="right"/>
              <w:rPr>
                <w:sz w:val="22"/>
              </w:rPr>
            </w:pPr>
            <w:r>
              <w:rPr>
                <w:spacing w:val="-5"/>
                <w:sz w:val="22"/>
              </w:rPr>
              <w:t>106</w:t>
            </w:r>
          </w:p>
        </w:tc>
        <w:tc>
          <w:tcPr>
            <w:tcW w:w="2835" w:type="dxa"/>
          </w:tcPr>
          <w:p>
            <w:pPr>
              <w:pStyle w:val="TableParagraph"/>
              <w:spacing w:before="142"/>
              <w:ind w:left="107"/>
              <w:rPr>
                <w:sz w:val="22"/>
              </w:rPr>
            </w:pPr>
            <w:r>
              <w:rPr>
                <w:spacing w:val="-4"/>
                <w:sz w:val="22"/>
              </w:rPr>
              <w:t>肝豆状核变性</w:t>
            </w:r>
          </w:p>
        </w:tc>
      </w:tr>
      <w:tr>
        <w:trPr>
          <w:trHeight w:val="855" w:hRule="atLeast"/>
        </w:trPr>
        <w:tc>
          <w:tcPr>
            <w:tcW w:w="567" w:type="dxa"/>
          </w:tcPr>
          <w:p>
            <w:pPr>
              <w:pStyle w:val="TableParagraph"/>
              <w:spacing w:before="5"/>
              <w:rPr>
                <w:sz w:val="22"/>
              </w:rPr>
            </w:pPr>
          </w:p>
          <w:p>
            <w:pPr>
              <w:pStyle w:val="TableParagraph"/>
              <w:ind w:left="156" w:right="148"/>
              <w:jc w:val="center"/>
              <w:rPr>
                <w:sz w:val="22"/>
              </w:rPr>
            </w:pPr>
            <w:r>
              <w:rPr>
                <w:spacing w:val="-5"/>
                <w:sz w:val="22"/>
              </w:rPr>
              <w:t>47</w:t>
            </w:r>
          </w:p>
        </w:tc>
        <w:tc>
          <w:tcPr>
            <w:tcW w:w="2835" w:type="dxa"/>
          </w:tcPr>
          <w:p>
            <w:pPr>
              <w:pStyle w:val="TableParagraph"/>
              <w:spacing w:before="1"/>
              <w:ind w:left="106"/>
              <w:rPr>
                <w:sz w:val="22"/>
              </w:rPr>
            </w:pPr>
            <w:r>
              <w:rPr>
                <w:spacing w:val="39"/>
                <w:sz w:val="22"/>
              </w:rPr>
              <w:t>严重进行性核上性麻痹</w:t>
            </w:r>
          </w:p>
          <w:p>
            <w:pPr>
              <w:pStyle w:val="TableParagraph"/>
              <w:spacing w:line="280" w:lineRule="atLeast"/>
              <w:ind w:left="106"/>
              <w:rPr>
                <w:sz w:val="22"/>
              </w:rPr>
            </w:pPr>
            <w:r>
              <w:rPr>
                <w:spacing w:val="-2"/>
                <w:sz w:val="22"/>
              </w:rPr>
              <w:t>(Steele-Rchardson- </w:t>
            </w:r>
            <w:r>
              <w:rPr>
                <w:sz w:val="22"/>
              </w:rPr>
              <w:t>Olszewski</w:t>
            </w:r>
            <w:r>
              <w:rPr>
                <w:spacing w:val="-11"/>
                <w:sz w:val="22"/>
              </w:rPr>
              <w:t> 综合征</w:t>
            </w:r>
            <w:r>
              <w:rPr>
                <w:sz w:val="22"/>
              </w:rPr>
              <w:t>）</w:t>
            </w:r>
          </w:p>
        </w:tc>
        <w:tc>
          <w:tcPr>
            <w:tcW w:w="567" w:type="dxa"/>
          </w:tcPr>
          <w:p>
            <w:pPr>
              <w:pStyle w:val="TableParagraph"/>
              <w:spacing w:before="5"/>
              <w:rPr>
                <w:sz w:val="22"/>
              </w:rPr>
            </w:pPr>
          </w:p>
          <w:p>
            <w:pPr>
              <w:pStyle w:val="TableParagraph"/>
              <w:ind w:right="105"/>
              <w:jc w:val="right"/>
              <w:rPr>
                <w:sz w:val="22"/>
              </w:rPr>
            </w:pPr>
            <w:r>
              <w:rPr>
                <w:spacing w:val="-5"/>
                <w:sz w:val="22"/>
              </w:rPr>
              <w:t>107</w:t>
            </w:r>
          </w:p>
        </w:tc>
        <w:tc>
          <w:tcPr>
            <w:tcW w:w="2835" w:type="dxa"/>
          </w:tcPr>
          <w:p>
            <w:pPr>
              <w:pStyle w:val="TableParagraph"/>
              <w:spacing w:before="5"/>
              <w:rPr>
                <w:sz w:val="22"/>
              </w:rPr>
            </w:pPr>
          </w:p>
          <w:p>
            <w:pPr>
              <w:pStyle w:val="TableParagraph"/>
              <w:ind w:left="107"/>
              <w:rPr>
                <w:sz w:val="22"/>
              </w:rPr>
            </w:pPr>
            <w:r>
              <w:rPr>
                <w:spacing w:val="-4"/>
                <w:sz w:val="22"/>
              </w:rPr>
              <w:t>闭锁综合征</w:t>
            </w:r>
          </w:p>
        </w:tc>
      </w:tr>
      <w:tr>
        <w:trPr>
          <w:trHeight w:val="285" w:hRule="atLeast"/>
        </w:trPr>
        <w:tc>
          <w:tcPr>
            <w:tcW w:w="567" w:type="dxa"/>
          </w:tcPr>
          <w:p>
            <w:pPr>
              <w:pStyle w:val="TableParagraph"/>
              <w:spacing w:line="264" w:lineRule="exact" w:before="1"/>
              <w:ind w:left="156" w:right="148"/>
              <w:jc w:val="center"/>
              <w:rPr>
                <w:sz w:val="22"/>
              </w:rPr>
            </w:pPr>
            <w:r>
              <w:rPr>
                <w:spacing w:val="-5"/>
                <w:sz w:val="22"/>
              </w:rPr>
              <w:t>48</w:t>
            </w:r>
          </w:p>
        </w:tc>
        <w:tc>
          <w:tcPr>
            <w:tcW w:w="2835" w:type="dxa"/>
          </w:tcPr>
          <w:p>
            <w:pPr>
              <w:pStyle w:val="TableParagraph"/>
              <w:spacing w:line="264" w:lineRule="exact" w:before="1"/>
              <w:ind w:left="106"/>
              <w:rPr>
                <w:sz w:val="22"/>
              </w:rPr>
            </w:pPr>
            <w:r>
              <w:rPr>
                <w:spacing w:val="-4"/>
                <w:sz w:val="22"/>
              </w:rPr>
              <w:t>严重哮喘</w:t>
            </w:r>
          </w:p>
        </w:tc>
        <w:tc>
          <w:tcPr>
            <w:tcW w:w="567" w:type="dxa"/>
          </w:tcPr>
          <w:p>
            <w:pPr>
              <w:pStyle w:val="TableParagraph"/>
              <w:spacing w:line="264" w:lineRule="exact" w:before="1"/>
              <w:ind w:right="105"/>
              <w:jc w:val="right"/>
              <w:rPr>
                <w:sz w:val="22"/>
              </w:rPr>
            </w:pPr>
            <w:r>
              <w:rPr>
                <w:spacing w:val="-5"/>
                <w:sz w:val="22"/>
              </w:rPr>
              <w:t>108</w:t>
            </w:r>
          </w:p>
        </w:tc>
        <w:tc>
          <w:tcPr>
            <w:tcW w:w="2835" w:type="dxa"/>
          </w:tcPr>
          <w:p>
            <w:pPr>
              <w:pStyle w:val="TableParagraph"/>
              <w:spacing w:line="264" w:lineRule="exact" w:before="1"/>
              <w:ind w:left="107"/>
              <w:rPr>
                <w:sz w:val="22"/>
              </w:rPr>
            </w:pPr>
            <w:r>
              <w:rPr>
                <w:spacing w:val="-5"/>
                <w:sz w:val="22"/>
              </w:rPr>
              <w:t>脊柱裂</w:t>
            </w:r>
          </w:p>
        </w:tc>
      </w:tr>
      <w:tr>
        <w:trPr>
          <w:trHeight w:val="570" w:hRule="atLeast"/>
        </w:trPr>
        <w:tc>
          <w:tcPr>
            <w:tcW w:w="567" w:type="dxa"/>
          </w:tcPr>
          <w:p>
            <w:pPr>
              <w:pStyle w:val="TableParagraph"/>
              <w:spacing w:before="142"/>
              <w:ind w:left="156" w:right="148"/>
              <w:jc w:val="center"/>
              <w:rPr>
                <w:sz w:val="22"/>
              </w:rPr>
            </w:pPr>
            <w:r>
              <w:rPr>
                <w:spacing w:val="-5"/>
                <w:sz w:val="22"/>
              </w:rPr>
              <w:t>49</w:t>
            </w:r>
          </w:p>
        </w:tc>
        <w:tc>
          <w:tcPr>
            <w:tcW w:w="2835" w:type="dxa"/>
          </w:tcPr>
          <w:p>
            <w:pPr>
              <w:pStyle w:val="TableParagraph"/>
              <w:spacing w:before="1"/>
              <w:ind w:left="106"/>
              <w:rPr>
                <w:sz w:val="22"/>
              </w:rPr>
            </w:pPr>
            <w:r>
              <w:rPr>
                <w:spacing w:val="16"/>
                <w:sz w:val="22"/>
              </w:rPr>
              <w:t>严重冠状动脉粥样硬化性</w:t>
            </w:r>
          </w:p>
          <w:p>
            <w:pPr>
              <w:pStyle w:val="TableParagraph"/>
              <w:spacing w:line="263" w:lineRule="exact" w:before="3"/>
              <w:ind w:left="106"/>
              <w:rPr>
                <w:sz w:val="22"/>
              </w:rPr>
            </w:pPr>
            <w:r>
              <w:rPr>
                <w:spacing w:val="-5"/>
                <w:sz w:val="22"/>
              </w:rPr>
              <w:t>心脏病</w:t>
            </w:r>
          </w:p>
        </w:tc>
        <w:tc>
          <w:tcPr>
            <w:tcW w:w="567" w:type="dxa"/>
          </w:tcPr>
          <w:p>
            <w:pPr>
              <w:pStyle w:val="TableParagraph"/>
              <w:spacing w:before="142"/>
              <w:ind w:right="105"/>
              <w:jc w:val="right"/>
              <w:rPr>
                <w:sz w:val="22"/>
              </w:rPr>
            </w:pPr>
            <w:r>
              <w:rPr>
                <w:spacing w:val="-5"/>
                <w:sz w:val="22"/>
              </w:rPr>
              <w:t>109</w:t>
            </w:r>
          </w:p>
        </w:tc>
        <w:tc>
          <w:tcPr>
            <w:tcW w:w="2835" w:type="dxa"/>
          </w:tcPr>
          <w:p>
            <w:pPr>
              <w:pStyle w:val="TableParagraph"/>
              <w:spacing w:before="142"/>
              <w:ind w:left="107"/>
              <w:rPr>
                <w:sz w:val="22"/>
              </w:rPr>
            </w:pPr>
            <w:r>
              <w:rPr>
                <w:spacing w:val="-5"/>
                <w:sz w:val="22"/>
              </w:rPr>
              <w:t>库鲁病</w:t>
            </w:r>
          </w:p>
        </w:tc>
      </w:tr>
      <w:tr>
        <w:trPr>
          <w:trHeight w:val="285" w:hRule="atLeast"/>
        </w:trPr>
        <w:tc>
          <w:tcPr>
            <w:tcW w:w="567" w:type="dxa"/>
          </w:tcPr>
          <w:p>
            <w:pPr>
              <w:pStyle w:val="TableParagraph"/>
              <w:spacing w:line="263" w:lineRule="exact" w:before="1"/>
              <w:ind w:left="156" w:right="148"/>
              <w:jc w:val="center"/>
              <w:rPr>
                <w:sz w:val="22"/>
              </w:rPr>
            </w:pPr>
            <w:r>
              <w:rPr>
                <w:spacing w:val="-5"/>
                <w:sz w:val="22"/>
              </w:rPr>
              <w:t>50</w:t>
            </w:r>
          </w:p>
        </w:tc>
        <w:tc>
          <w:tcPr>
            <w:tcW w:w="2835" w:type="dxa"/>
          </w:tcPr>
          <w:p>
            <w:pPr>
              <w:pStyle w:val="TableParagraph"/>
              <w:spacing w:line="263" w:lineRule="exact" w:before="1"/>
              <w:ind w:left="106"/>
              <w:rPr>
                <w:sz w:val="22"/>
              </w:rPr>
            </w:pPr>
            <w:r>
              <w:rPr>
                <w:spacing w:val="-4"/>
                <w:sz w:val="22"/>
              </w:rPr>
              <w:t>植物人状态</w:t>
            </w:r>
          </w:p>
        </w:tc>
        <w:tc>
          <w:tcPr>
            <w:tcW w:w="567" w:type="dxa"/>
          </w:tcPr>
          <w:p>
            <w:pPr>
              <w:pStyle w:val="TableParagraph"/>
              <w:spacing w:line="263" w:lineRule="exact" w:before="1"/>
              <w:ind w:right="105"/>
              <w:jc w:val="right"/>
              <w:rPr>
                <w:sz w:val="22"/>
              </w:rPr>
            </w:pPr>
            <w:r>
              <w:rPr>
                <w:spacing w:val="-5"/>
                <w:sz w:val="22"/>
              </w:rPr>
              <w:t>110</w:t>
            </w:r>
          </w:p>
        </w:tc>
        <w:tc>
          <w:tcPr>
            <w:tcW w:w="2835" w:type="dxa"/>
          </w:tcPr>
          <w:p>
            <w:pPr>
              <w:pStyle w:val="TableParagraph"/>
              <w:spacing w:line="263" w:lineRule="exact" w:before="1"/>
              <w:ind w:left="107"/>
              <w:rPr>
                <w:sz w:val="22"/>
              </w:rPr>
            </w:pPr>
            <w:r>
              <w:rPr>
                <w:spacing w:val="-4"/>
                <w:sz w:val="22"/>
              </w:rPr>
              <w:t>自身免疫性脑炎</w:t>
            </w:r>
          </w:p>
        </w:tc>
      </w:tr>
      <w:tr>
        <w:trPr>
          <w:trHeight w:val="571" w:hRule="atLeast"/>
        </w:trPr>
        <w:tc>
          <w:tcPr>
            <w:tcW w:w="567" w:type="dxa"/>
          </w:tcPr>
          <w:p>
            <w:pPr>
              <w:pStyle w:val="TableParagraph"/>
              <w:spacing w:before="143"/>
              <w:ind w:left="156" w:right="148"/>
              <w:jc w:val="center"/>
              <w:rPr>
                <w:sz w:val="22"/>
              </w:rPr>
            </w:pPr>
            <w:r>
              <w:rPr>
                <w:spacing w:val="-5"/>
                <w:sz w:val="22"/>
              </w:rPr>
              <w:t>51</w:t>
            </w:r>
          </w:p>
        </w:tc>
        <w:tc>
          <w:tcPr>
            <w:tcW w:w="2835" w:type="dxa"/>
          </w:tcPr>
          <w:p>
            <w:pPr>
              <w:pStyle w:val="TableParagraph"/>
              <w:spacing w:before="2"/>
              <w:ind w:left="106"/>
              <w:rPr>
                <w:sz w:val="22"/>
              </w:rPr>
            </w:pPr>
            <w:r>
              <w:rPr>
                <w:spacing w:val="-2"/>
                <w:sz w:val="22"/>
              </w:rPr>
              <w:t>严重疯牛病（</w:t>
            </w:r>
            <w:r>
              <w:rPr>
                <w:spacing w:val="-4"/>
                <w:sz w:val="22"/>
              </w:rPr>
              <w:t>克-雅氏病</w:t>
            </w:r>
          </w:p>
          <w:p>
            <w:pPr>
              <w:pStyle w:val="TableParagraph"/>
              <w:spacing w:line="263" w:lineRule="exact" w:before="3"/>
              <w:ind w:left="106"/>
              <w:rPr>
                <w:sz w:val="22"/>
              </w:rPr>
            </w:pPr>
            <w:r>
              <w:rPr>
                <w:spacing w:val="-2"/>
                <w:sz w:val="22"/>
              </w:rPr>
              <w:t>/CJD/人类疯牛病</w:t>
            </w:r>
            <w:r>
              <w:rPr>
                <w:spacing w:val="-10"/>
                <w:sz w:val="22"/>
              </w:rPr>
              <w:t>）</w:t>
            </w:r>
          </w:p>
        </w:tc>
        <w:tc>
          <w:tcPr>
            <w:tcW w:w="567" w:type="dxa"/>
          </w:tcPr>
          <w:p>
            <w:pPr>
              <w:pStyle w:val="TableParagraph"/>
              <w:spacing w:before="143"/>
              <w:ind w:right="105"/>
              <w:jc w:val="right"/>
              <w:rPr>
                <w:sz w:val="22"/>
              </w:rPr>
            </w:pPr>
            <w:r>
              <w:rPr>
                <w:spacing w:val="-5"/>
                <w:sz w:val="22"/>
              </w:rPr>
              <w:t>111</w:t>
            </w:r>
          </w:p>
        </w:tc>
        <w:tc>
          <w:tcPr>
            <w:tcW w:w="2835" w:type="dxa"/>
          </w:tcPr>
          <w:p>
            <w:pPr>
              <w:pStyle w:val="TableParagraph"/>
              <w:spacing w:before="143"/>
              <w:ind w:left="107"/>
              <w:rPr>
                <w:sz w:val="22"/>
              </w:rPr>
            </w:pPr>
            <w:r>
              <w:rPr>
                <w:spacing w:val="-4"/>
                <w:sz w:val="22"/>
              </w:rPr>
              <w:t>严重肺结节病</w:t>
            </w:r>
          </w:p>
        </w:tc>
      </w:tr>
      <w:tr>
        <w:trPr>
          <w:trHeight w:val="282" w:hRule="atLeast"/>
        </w:trPr>
        <w:tc>
          <w:tcPr>
            <w:tcW w:w="567" w:type="dxa"/>
          </w:tcPr>
          <w:p>
            <w:pPr>
              <w:pStyle w:val="TableParagraph"/>
              <w:spacing w:line="261" w:lineRule="exact" w:before="1"/>
              <w:ind w:left="156" w:right="148"/>
              <w:jc w:val="center"/>
              <w:rPr>
                <w:sz w:val="22"/>
              </w:rPr>
            </w:pPr>
            <w:r>
              <w:rPr>
                <w:spacing w:val="-5"/>
                <w:sz w:val="22"/>
              </w:rPr>
              <w:t>52</w:t>
            </w:r>
          </w:p>
        </w:tc>
        <w:tc>
          <w:tcPr>
            <w:tcW w:w="2835" w:type="dxa"/>
          </w:tcPr>
          <w:p>
            <w:pPr>
              <w:pStyle w:val="TableParagraph"/>
              <w:spacing w:line="261" w:lineRule="exact" w:before="1"/>
              <w:ind w:left="106"/>
              <w:rPr>
                <w:sz w:val="22"/>
              </w:rPr>
            </w:pPr>
            <w:r>
              <w:rPr>
                <w:spacing w:val="-3"/>
                <w:sz w:val="22"/>
              </w:rPr>
              <w:t>严重自身免疫性肝炎</w:t>
            </w:r>
          </w:p>
        </w:tc>
        <w:tc>
          <w:tcPr>
            <w:tcW w:w="567" w:type="dxa"/>
          </w:tcPr>
          <w:p>
            <w:pPr>
              <w:pStyle w:val="TableParagraph"/>
              <w:spacing w:line="261" w:lineRule="exact" w:before="1"/>
              <w:ind w:right="105"/>
              <w:jc w:val="right"/>
              <w:rPr>
                <w:sz w:val="22"/>
              </w:rPr>
            </w:pPr>
            <w:r>
              <w:rPr>
                <w:spacing w:val="-5"/>
                <w:sz w:val="22"/>
              </w:rPr>
              <w:t>112</w:t>
            </w:r>
          </w:p>
        </w:tc>
        <w:tc>
          <w:tcPr>
            <w:tcW w:w="2835" w:type="dxa"/>
          </w:tcPr>
          <w:p>
            <w:pPr>
              <w:pStyle w:val="TableParagraph"/>
              <w:spacing w:line="261" w:lineRule="exact" w:before="1"/>
              <w:ind w:left="107"/>
              <w:rPr>
                <w:sz w:val="22"/>
              </w:rPr>
            </w:pPr>
            <w:r>
              <w:rPr>
                <w:spacing w:val="-3"/>
                <w:sz w:val="22"/>
              </w:rPr>
              <w:t>严重脊髓血管病后遗症</w:t>
            </w:r>
          </w:p>
        </w:tc>
      </w:tr>
    </w:tbl>
    <w:p>
      <w:pPr>
        <w:spacing w:after="0" w:line="261" w:lineRule="exact"/>
        <w:rPr>
          <w:sz w:val="22"/>
        </w:rPr>
        <w:sectPr>
          <w:headerReference w:type="default" r:id="rId13"/>
          <w:footerReference w:type="default" r:id="rId14"/>
          <w:pgSz w:w="11910" w:h="16840"/>
          <w:pgMar w:header="484" w:footer="706" w:top="1240" w:bottom="900" w:left="980" w:right="980"/>
        </w:sectPr>
      </w:pPr>
    </w:p>
    <w:p>
      <w:pPr>
        <w:pStyle w:val="BodyText"/>
        <w:spacing w:before="6"/>
        <w:rPr>
          <w:sz w:val="13"/>
        </w:rPr>
      </w:pPr>
    </w:p>
    <w:tbl>
      <w:tblPr>
        <w:tblW w:w="0" w:type="auto"/>
        <w:jc w:val="left"/>
        <w:tblInd w:w="2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7"/>
        <w:gridCol w:w="2835"/>
        <w:gridCol w:w="567"/>
        <w:gridCol w:w="2835"/>
      </w:tblGrid>
      <w:tr>
        <w:trPr>
          <w:trHeight w:val="570" w:hRule="atLeast"/>
        </w:trPr>
        <w:tc>
          <w:tcPr>
            <w:tcW w:w="567" w:type="dxa"/>
          </w:tcPr>
          <w:p>
            <w:pPr>
              <w:pStyle w:val="TableParagraph"/>
              <w:spacing w:before="143"/>
              <w:ind w:left="156" w:right="148"/>
              <w:jc w:val="center"/>
              <w:rPr>
                <w:sz w:val="22"/>
              </w:rPr>
            </w:pPr>
            <w:r>
              <w:rPr>
                <w:spacing w:val="-5"/>
                <w:sz w:val="22"/>
              </w:rPr>
              <w:t>53</w:t>
            </w:r>
          </w:p>
        </w:tc>
        <w:tc>
          <w:tcPr>
            <w:tcW w:w="2835" w:type="dxa"/>
          </w:tcPr>
          <w:p>
            <w:pPr>
              <w:pStyle w:val="TableParagraph"/>
              <w:spacing w:before="143"/>
              <w:ind w:left="106"/>
              <w:rPr>
                <w:sz w:val="22"/>
              </w:rPr>
            </w:pPr>
            <w:r>
              <w:rPr>
                <w:spacing w:val="-4"/>
                <w:sz w:val="22"/>
              </w:rPr>
              <w:t>一肢及单眼缺失</w:t>
            </w:r>
          </w:p>
        </w:tc>
        <w:tc>
          <w:tcPr>
            <w:tcW w:w="567" w:type="dxa"/>
          </w:tcPr>
          <w:p>
            <w:pPr>
              <w:pStyle w:val="TableParagraph"/>
              <w:spacing w:before="143"/>
              <w:ind w:left="118"/>
              <w:rPr>
                <w:sz w:val="22"/>
              </w:rPr>
            </w:pPr>
            <w:r>
              <w:rPr>
                <w:spacing w:val="-5"/>
                <w:sz w:val="22"/>
              </w:rPr>
              <w:t>113</w:t>
            </w:r>
          </w:p>
        </w:tc>
        <w:tc>
          <w:tcPr>
            <w:tcW w:w="2835" w:type="dxa"/>
          </w:tcPr>
          <w:p>
            <w:pPr>
              <w:pStyle w:val="TableParagraph"/>
              <w:spacing w:before="2"/>
              <w:ind w:left="107"/>
              <w:rPr>
                <w:sz w:val="22"/>
              </w:rPr>
            </w:pPr>
            <w:r>
              <w:rPr>
                <w:spacing w:val="16"/>
                <w:sz w:val="22"/>
              </w:rPr>
              <w:t>特定的横贯性脊髓炎后遗</w:t>
            </w:r>
          </w:p>
          <w:p>
            <w:pPr>
              <w:pStyle w:val="TableParagraph"/>
              <w:spacing w:line="263" w:lineRule="exact" w:before="3"/>
              <w:ind w:left="107"/>
              <w:rPr>
                <w:sz w:val="22"/>
              </w:rPr>
            </w:pPr>
            <w:r>
              <w:rPr>
                <w:w w:val="100"/>
                <w:sz w:val="22"/>
              </w:rPr>
              <w:t>症</w:t>
            </w:r>
          </w:p>
        </w:tc>
      </w:tr>
      <w:tr>
        <w:trPr>
          <w:trHeight w:val="570" w:hRule="atLeast"/>
        </w:trPr>
        <w:tc>
          <w:tcPr>
            <w:tcW w:w="567" w:type="dxa"/>
          </w:tcPr>
          <w:p>
            <w:pPr>
              <w:pStyle w:val="TableParagraph"/>
              <w:spacing w:before="143"/>
              <w:ind w:left="156" w:right="148"/>
              <w:jc w:val="center"/>
              <w:rPr>
                <w:sz w:val="22"/>
              </w:rPr>
            </w:pPr>
            <w:r>
              <w:rPr>
                <w:spacing w:val="-5"/>
                <w:sz w:val="22"/>
              </w:rPr>
              <w:t>54</w:t>
            </w:r>
          </w:p>
        </w:tc>
        <w:tc>
          <w:tcPr>
            <w:tcW w:w="2835" w:type="dxa"/>
          </w:tcPr>
          <w:p>
            <w:pPr>
              <w:pStyle w:val="TableParagraph"/>
              <w:spacing w:line="280" w:lineRule="atLeast"/>
              <w:ind w:left="106" w:right="294"/>
              <w:rPr>
                <w:sz w:val="22"/>
              </w:rPr>
            </w:pPr>
            <w:r>
              <w:rPr>
                <w:spacing w:val="-2"/>
                <w:sz w:val="22"/>
              </w:rPr>
              <w:t>因职业关系导致的人类免</w:t>
            </w:r>
            <w:r>
              <w:rPr>
                <w:spacing w:val="-2"/>
                <w:sz w:val="22"/>
              </w:rPr>
              <w:t>疫缺陷病毒感染</w:t>
            </w:r>
          </w:p>
        </w:tc>
        <w:tc>
          <w:tcPr>
            <w:tcW w:w="567" w:type="dxa"/>
          </w:tcPr>
          <w:p>
            <w:pPr>
              <w:pStyle w:val="TableParagraph"/>
              <w:spacing w:before="143"/>
              <w:ind w:left="118"/>
              <w:rPr>
                <w:sz w:val="22"/>
              </w:rPr>
            </w:pPr>
            <w:r>
              <w:rPr>
                <w:spacing w:val="-5"/>
                <w:sz w:val="22"/>
              </w:rPr>
              <w:t>114</w:t>
            </w:r>
          </w:p>
        </w:tc>
        <w:tc>
          <w:tcPr>
            <w:tcW w:w="2835" w:type="dxa"/>
          </w:tcPr>
          <w:p>
            <w:pPr>
              <w:pStyle w:val="TableParagraph"/>
              <w:spacing w:before="143"/>
              <w:ind w:left="107"/>
              <w:rPr>
                <w:sz w:val="22"/>
              </w:rPr>
            </w:pPr>
            <w:r>
              <w:rPr>
                <w:spacing w:val="-4"/>
                <w:sz w:val="22"/>
              </w:rPr>
              <w:t>特发性肺纤维化</w:t>
            </w:r>
          </w:p>
        </w:tc>
      </w:tr>
      <w:tr>
        <w:trPr>
          <w:trHeight w:val="286" w:hRule="atLeast"/>
        </w:trPr>
        <w:tc>
          <w:tcPr>
            <w:tcW w:w="567" w:type="dxa"/>
          </w:tcPr>
          <w:p>
            <w:pPr>
              <w:pStyle w:val="TableParagraph"/>
              <w:spacing w:line="263" w:lineRule="exact" w:before="2"/>
              <w:ind w:left="156" w:right="148"/>
              <w:jc w:val="center"/>
              <w:rPr>
                <w:sz w:val="22"/>
              </w:rPr>
            </w:pPr>
            <w:r>
              <w:rPr>
                <w:spacing w:val="-5"/>
                <w:sz w:val="22"/>
              </w:rPr>
              <w:t>55</w:t>
            </w:r>
          </w:p>
        </w:tc>
        <w:tc>
          <w:tcPr>
            <w:tcW w:w="2835" w:type="dxa"/>
          </w:tcPr>
          <w:p>
            <w:pPr>
              <w:pStyle w:val="TableParagraph"/>
              <w:spacing w:line="263" w:lineRule="exact" w:before="2"/>
              <w:ind w:left="106"/>
              <w:rPr>
                <w:sz w:val="22"/>
              </w:rPr>
            </w:pPr>
            <w:r>
              <w:rPr>
                <w:spacing w:val="-4"/>
                <w:sz w:val="22"/>
              </w:rPr>
              <w:t>严重瑞氏综合征</w:t>
            </w:r>
          </w:p>
        </w:tc>
        <w:tc>
          <w:tcPr>
            <w:tcW w:w="567" w:type="dxa"/>
          </w:tcPr>
          <w:p>
            <w:pPr>
              <w:pStyle w:val="TableParagraph"/>
              <w:spacing w:line="263" w:lineRule="exact" w:before="2"/>
              <w:ind w:left="118"/>
              <w:rPr>
                <w:sz w:val="22"/>
              </w:rPr>
            </w:pPr>
            <w:r>
              <w:rPr>
                <w:spacing w:val="-5"/>
                <w:sz w:val="22"/>
              </w:rPr>
              <w:t>115</w:t>
            </w:r>
          </w:p>
        </w:tc>
        <w:tc>
          <w:tcPr>
            <w:tcW w:w="2835" w:type="dxa"/>
          </w:tcPr>
          <w:p>
            <w:pPr>
              <w:pStyle w:val="TableParagraph"/>
              <w:spacing w:line="263" w:lineRule="exact" w:before="2"/>
              <w:ind w:left="107"/>
              <w:rPr>
                <w:sz w:val="22"/>
              </w:rPr>
            </w:pPr>
            <w:r>
              <w:rPr>
                <w:spacing w:val="-4"/>
                <w:sz w:val="22"/>
              </w:rPr>
              <w:t>严重血管性痴呆</w:t>
            </w:r>
          </w:p>
        </w:tc>
      </w:tr>
      <w:tr>
        <w:trPr>
          <w:trHeight w:val="285" w:hRule="atLeast"/>
        </w:trPr>
        <w:tc>
          <w:tcPr>
            <w:tcW w:w="567" w:type="dxa"/>
          </w:tcPr>
          <w:p>
            <w:pPr>
              <w:pStyle w:val="TableParagraph"/>
              <w:spacing w:line="263" w:lineRule="exact" w:before="1"/>
              <w:ind w:left="156" w:right="148"/>
              <w:jc w:val="center"/>
              <w:rPr>
                <w:sz w:val="22"/>
              </w:rPr>
            </w:pPr>
            <w:r>
              <w:rPr>
                <w:spacing w:val="-5"/>
                <w:sz w:val="22"/>
              </w:rPr>
              <w:t>56</w:t>
            </w:r>
          </w:p>
        </w:tc>
        <w:tc>
          <w:tcPr>
            <w:tcW w:w="2835" w:type="dxa"/>
          </w:tcPr>
          <w:p>
            <w:pPr>
              <w:pStyle w:val="TableParagraph"/>
              <w:spacing w:line="263" w:lineRule="exact" w:before="1"/>
              <w:ind w:left="106"/>
              <w:rPr>
                <w:sz w:val="22"/>
              </w:rPr>
            </w:pPr>
            <w:r>
              <w:rPr>
                <w:spacing w:val="-4"/>
                <w:sz w:val="22"/>
              </w:rPr>
              <w:t>严重川崎病</w:t>
            </w:r>
          </w:p>
        </w:tc>
        <w:tc>
          <w:tcPr>
            <w:tcW w:w="567" w:type="dxa"/>
          </w:tcPr>
          <w:p>
            <w:pPr>
              <w:pStyle w:val="TableParagraph"/>
              <w:spacing w:line="263" w:lineRule="exact" w:before="1"/>
              <w:ind w:left="118"/>
              <w:rPr>
                <w:sz w:val="22"/>
              </w:rPr>
            </w:pPr>
            <w:r>
              <w:rPr>
                <w:spacing w:val="-5"/>
                <w:sz w:val="22"/>
              </w:rPr>
              <w:t>116</w:t>
            </w:r>
          </w:p>
        </w:tc>
        <w:tc>
          <w:tcPr>
            <w:tcW w:w="2835" w:type="dxa"/>
          </w:tcPr>
          <w:p>
            <w:pPr>
              <w:pStyle w:val="TableParagraph"/>
              <w:spacing w:line="263" w:lineRule="exact" w:before="1"/>
              <w:ind w:left="107"/>
              <w:rPr>
                <w:sz w:val="22"/>
              </w:rPr>
            </w:pPr>
            <w:r>
              <w:rPr>
                <w:spacing w:val="-4"/>
                <w:sz w:val="22"/>
              </w:rPr>
              <w:t>严重额颞叶痴呆</w:t>
            </w:r>
          </w:p>
        </w:tc>
      </w:tr>
      <w:tr>
        <w:trPr>
          <w:trHeight w:val="285" w:hRule="atLeast"/>
        </w:trPr>
        <w:tc>
          <w:tcPr>
            <w:tcW w:w="567" w:type="dxa"/>
          </w:tcPr>
          <w:p>
            <w:pPr>
              <w:pStyle w:val="TableParagraph"/>
              <w:spacing w:line="263" w:lineRule="exact" w:before="2"/>
              <w:ind w:left="156" w:right="148"/>
              <w:jc w:val="center"/>
              <w:rPr>
                <w:sz w:val="22"/>
              </w:rPr>
            </w:pPr>
            <w:r>
              <w:rPr>
                <w:spacing w:val="-5"/>
                <w:sz w:val="22"/>
              </w:rPr>
              <w:t>57</w:t>
            </w:r>
          </w:p>
        </w:tc>
        <w:tc>
          <w:tcPr>
            <w:tcW w:w="2835" w:type="dxa"/>
          </w:tcPr>
          <w:p>
            <w:pPr>
              <w:pStyle w:val="TableParagraph"/>
              <w:spacing w:line="263" w:lineRule="exact" w:before="2"/>
              <w:ind w:left="106"/>
              <w:rPr>
                <w:sz w:val="22"/>
              </w:rPr>
            </w:pPr>
            <w:r>
              <w:rPr>
                <w:spacing w:val="-4"/>
                <w:sz w:val="22"/>
              </w:rPr>
              <w:t>严重心肌炎</w:t>
            </w:r>
          </w:p>
        </w:tc>
        <w:tc>
          <w:tcPr>
            <w:tcW w:w="567" w:type="dxa"/>
          </w:tcPr>
          <w:p>
            <w:pPr>
              <w:pStyle w:val="TableParagraph"/>
              <w:spacing w:line="263" w:lineRule="exact" w:before="2"/>
              <w:ind w:left="118"/>
              <w:rPr>
                <w:sz w:val="22"/>
              </w:rPr>
            </w:pPr>
            <w:r>
              <w:rPr>
                <w:spacing w:val="-5"/>
                <w:sz w:val="22"/>
              </w:rPr>
              <w:t>117</w:t>
            </w:r>
          </w:p>
        </w:tc>
        <w:tc>
          <w:tcPr>
            <w:tcW w:w="2835" w:type="dxa"/>
          </w:tcPr>
          <w:p>
            <w:pPr>
              <w:pStyle w:val="TableParagraph"/>
              <w:spacing w:line="263" w:lineRule="exact" w:before="2"/>
              <w:ind w:left="107"/>
              <w:rPr>
                <w:sz w:val="22"/>
              </w:rPr>
            </w:pPr>
            <w:r>
              <w:rPr>
                <w:spacing w:val="-4"/>
                <w:sz w:val="22"/>
              </w:rPr>
              <w:t>严重路易体痴呆</w:t>
            </w:r>
          </w:p>
        </w:tc>
      </w:tr>
      <w:tr>
        <w:trPr>
          <w:trHeight w:val="285" w:hRule="atLeast"/>
        </w:trPr>
        <w:tc>
          <w:tcPr>
            <w:tcW w:w="567" w:type="dxa"/>
          </w:tcPr>
          <w:p>
            <w:pPr>
              <w:pStyle w:val="TableParagraph"/>
              <w:spacing w:line="264" w:lineRule="exact" w:before="2"/>
              <w:ind w:left="156" w:right="148"/>
              <w:jc w:val="center"/>
              <w:rPr>
                <w:sz w:val="22"/>
              </w:rPr>
            </w:pPr>
            <w:r>
              <w:rPr>
                <w:spacing w:val="-5"/>
                <w:sz w:val="22"/>
              </w:rPr>
              <w:t>58</w:t>
            </w:r>
          </w:p>
        </w:tc>
        <w:tc>
          <w:tcPr>
            <w:tcW w:w="2835" w:type="dxa"/>
          </w:tcPr>
          <w:p>
            <w:pPr>
              <w:pStyle w:val="TableParagraph"/>
              <w:spacing w:line="264" w:lineRule="exact" w:before="2"/>
              <w:ind w:left="106"/>
              <w:rPr>
                <w:sz w:val="22"/>
              </w:rPr>
            </w:pPr>
            <w:r>
              <w:rPr>
                <w:spacing w:val="-3"/>
                <w:sz w:val="22"/>
              </w:rPr>
              <w:t>需手术切除的嗜铬细胞瘤</w:t>
            </w:r>
          </w:p>
        </w:tc>
        <w:tc>
          <w:tcPr>
            <w:tcW w:w="567" w:type="dxa"/>
          </w:tcPr>
          <w:p>
            <w:pPr>
              <w:pStyle w:val="TableParagraph"/>
              <w:spacing w:line="264" w:lineRule="exact" w:before="2"/>
              <w:ind w:left="118"/>
              <w:rPr>
                <w:sz w:val="22"/>
              </w:rPr>
            </w:pPr>
            <w:r>
              <w:rPr>
                <w:spacing w:val="-5"/>
                <w:sz w:val="22"/>
              </w:rPr>
              <w:t>118</w:t>
            </w:r>
          </w:p>
        </w:tc>
        <w:tc>
          <w:tcPr>
            <w:tcW w:w="2835" w:type="dxa"/>
          </w:tcPr>
          <w:p>
            <w:pPr>
              <w:pStyle w:val="TableParagraph"/>
              <w:spacing w:line="264" w:lineRule="exact" w:before="2"/>
              <w:ind w:left="107"/>
              <w:rPr>
                <w:sz w:val="22"/>
              </w:rPr>
            </w:pPr>
            <w:r>
              <w:rPr>
                <w:spacing w:val="-4"/>
                <w:sz w:val="22"/>
              </w:rPr>
              <w:t>创伤弧菌感染截肢</w:t>
            </w:r>
          </w:p>
        </w:tc>
      </w:tr>
      <w:tr>
        <w:trPr>
          <w:trHeight w:val="570" w:hRule="atLeast"/>
        </w:trPr>
        <w:tc>
          <w:tcPr>
            <w:tcW w:w="567" w:type="dxa"/>
          </w:tcPr>
          <w:p>
            <w:pPr>
              <w:pStyle w:val="TableParagraph"/>
              <w:spacing w:before="143"/>
              <w:ind w:left="156" w:right="148"/>
              <w:jc w:val="center"/>
              <w:rPr>
                <w:sz w:val="22"/>
              </w:rPr>
            </w:pPr>
            <w:r>
              <w:rPr>
                <w:spacing w:val="-5"/>
                <w:sz w:val="22"/>
              </w:rPr>
              <w:t>59</w:t>
            </w:r>
          </w:p>
        </w:tc>
        <w:tc>
          <w:tcPr>
            <w:tcW w:w="2835" w:type="dxa"/>
          </w:tcPr>
          <w:p>
            <w:pPr>
              <w:pStyle w:val="TableParagraph"/>
              <w:spacing w:before="143"/>
              <w:ind w:left="106"/>
              <w:rPr>
                <w:sz w:val="22"/>
              </w:rPr>
            </w:pPr>
            <w:r>
              <w:rPr>
                <w:spacing w:val="-3"/>
                <w:sz w:val="22"/>
              </w:rPr>
              <w:t>严重肠道疾病并发症</w:t>
            </w:r>
          </w:p>
        </w:tc>
        <w:tc>
          <w:tcPr>
            <w:tcW w:w="567" w:type="dxa"/>
          </w:tcPr>
          <w:p>
            <w:pPr>
              <w:pStyle w:val="TableParagraph"/>
              <w:spacing w:before="143"/>
              <w:ind w:left="118"/>
              <w:rPr>
                <w:sz w:val="22"/>
              </w:rPr>
            </w:pPr>
            <w:r>
              <w:rPr>
                <w:spacing w:val="-5"/>
                <w:sz w:val="22"/>
              </w:rPr>
              <w:t>119</w:t>
            </w:r>
          </w:p>
        </w:tc>
        <w:tc>
          <w:tcPr>
            <w:tcW w:w="2835" w:type="dxa"/>
          </w:tcPr>
          <w:p>
            <w:pPr>
              <w:pStyle w:val="TableParagraph"/>
              <w:spacing w:before="1"/>
              <w:ind w:left="107"/>
              <w:rPr>
                <w:sz w:val="22"/>
              </w:rPr>
            </w:pPr>
            <w:r>
              <w:rPr>
                <w:spacing w:val="16"/>
                <w:sz w:val="22"/>
              </w:rPr>
              <w:t>重症心肌炎伴充血性心力</w:t>
            </w:r>
          </w:p>
          <w:p>
            <w:pPr>
              <w:pStyle w:val="TableParagraph"/>
              <w:spacing w:line="263" w:lineRule="exact" w:before="4"/>
              <w:ind w:left="107"/>
              <w:rPr>
                <w:sz w:val="22"/>
              </w:rPr>
            </w:pPr>
            <w:r>
              <w:rPr>
                <w:spacing w:val="-6"/>
                <w:sz w:val="22"/>
              </w:rPr>
              <w:t>衰竭</w:t>
            </w:r>
          </w:p>
        </w:tc>
      </w:tr>
      <w:tr>
        <w:trPr>
          <w:trHeight w:val="282" w:hRule="atLeast"/>
        </w:trPr>
        <w:tc>
          <w:tcPr>
            <w:tcW w:w="567" w:type="dxa"/>
          </w:tcPr>
          <w:p>
            <w:pPr>
              <w:pStyle w:val="TableParagraph"/>
              <w:spacing w:line="261" w:lineRule="exact" w:before="2"/>
              <w:ind w:left="156" w:right="148"/>
              <w:jc w:val="center"/>
              <w:rPr>
                <w:sz w:val="22"/>
              </w:rPr>
            </w:pPr>
            <w:r>
              <w:rPr>
                <w:spacing w:val="-5"/>
                <w:sz w:val="22"/>
              </w:rPr>
              <w:t>60</w:t>
            </w:r>
          </w:p>
        </w:tc>
        <w:tc>
          <w:tcPr>
            <w:tcW w:w="2835" w:type="dxa"/>
          </w:tcPr>
          <w:p>
            <w:pPr>
              <w:pStyle w:val="TableParagraph"/>
              <w:spacing w:line="261" w:lineRule="exact" w:before="2"/>
              <w:ind w:left="106"/>
              <w:rPr>
                <w:sz w:val="22"/>
              </w:rPr>
            </w:pPr>
            <w:r>
              <w:rPr>
                <w:spacing w:val="-3"/>
                <w:sz w:val="22"/>
              </w:rPr>
              <w:t>严重Ⅲ度房室传导阻滞</w:t>
            </w:r>
          </w:p>
        </w:tc>
        <w:tc>
          <w:tcPr>
            <w:tcW w:w="567" w:type="dxa"/>
          </w:tcPr>
          <w:p>
            <w:pPr>
              <w:pStyle w:val="TableParagraph"/>
              <w:spacing w:line="261" w:lineRule="exact" w:before="2"/>
              <w:ind w:left="118"/>
              <w:rPr>
                <w:sz w:val="22"/>
              </w:rPr>
            </w:pPr>
            <w:r>
              <w:rPr>
                <w:spacing w:val="-5"/>
                <w:sz w:val="22"/>
              </w:rPr>
              <w:t>120</w:t>
            </w:r>
          </w:p>
        </w:tc>
        <w:tc>
          <w:tcPr>
            <w:tcW w:w="2835" w:type="dxa"/>
          </w:tcPr>
          <w:p>
            <w:pPr>
              <w:pStyle w:val="TableParagraph"/>
              <w:spacing w:line="261" w:lineRule="exact" w:before="2"/>
              <w:ind w:left="107"/>
              <w:rPr>
                <w:sz w:val="22"/>
              </w:rPr>
            </w:pPr>
            <w:r>
              <w:rPr>
                <w:spacing w:val="-4"/>
                <w:sz w:val="22"/>
              </w:rPr>
              <w:t>严重大动脉炎</w:t>
            </w:r>
          </w:p>
        </w:tc>
      </w:tr>
    </w:tbl>
    <w:p>
      <w:pPr>
        <w:pStyle w:val="BodyText"/>
        <w:rPr>
          <w:sz w:val="20"/>
        </w:rPr>
      </w:pPr>
    </w:p>
    <w:p>
      <w:pPr>
        <w:spacing w:after="0"/>
        <w:rPr>
          <w:sz w:val="20"/>
        </w:rPr>
        <w:sectPr>
          <w:pgSz w:w="11910" w:h="16840"/>
          <w:pgMar w:header="484" w:footer="706" w:top="1240" w:bottom="900" w:left="980" w:right="980"/>
        </w:sectPr>
      </w:pPr>
    </w:p>
    <w:p>
      <w:pPr>
        <w:pStyle w:val="BodyText"/>
        <w:spacing w:before="9"/>
        <w:rPr>
          <w:sz w:val="16"/>
        </w:rPr>
      </w:pPr>
    </w:p>
    <w:p>
      <w:pPr>
        <w:pStyle w:val="Heading2"/>
        <w:numPr>
          <w:ilvl w:val="1"/>
          <w:numId w:val="14"/>
        </w:numPr>
        <w:tabs>
          <w:tab w:pos="930" w:val="left" w:leader="none"/>
          <w:tab w:pos="931" w:val="left" w:leader="none"/>
        </w:tabs>
        <w:spacing w:line="324" w:lineRule="auto" w:before="0" w:after="0"/>
        <w:ind w:left="930" w:right="0" w:hanging="778"/>
        <w:jc w:val="left"/>
        <w:rPr>
          <w:rFonts w:ascii="宋体" w:eastAsia="宋体" w:hint="eastAsia"/>
        </w:rPr>
      </w:pPr>
      <w:r>
        <w:rPr>
          <w:rFonts w:ascii="宋体" w:eastAsia="宋体" w:hint="eastAsia"/>
          <w:spacing w:val="-2"/>
        </w:rPr>
        <w:t>中度疾病的范</w:t>
      </w:r>
      <w:r>
        <w:rPr>
          <w:rFonts w:ascii="宋体" w:eastAsia="宋体" w:hint="eastAsia"/>
          <w:spacing w:val="-10"/>
        </w:rPr>
        <w:t>围</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1"/>
        <w:rPr>
          <w:b/>
          <w:sz w:val="31"/>
        </w:rPr>
      </w:pPr>
    </w:p>
    <w:p>
      <w:pPr>
        <w:pStyle w:val="ListParagraph"/>
        <w:numPr>
          <w:ilvl w:val="1"/>
          <w:numId w:val="14"/>
        </w:numPr>
        <w:tabs>
          <w:tab w:pos="930" w:val="left" w:leader="none"/>
          <w:tab w:pos="931" w:val="left" w:leader="none"/>
        </w:tabs>
        <w:spacing w:line="324" w:lineRule="auto" w:before="0" w:after="0"/>
        <w:ind w:left="930" w:right="0" w:hanging="778"/>
        <w:jc w:val="left"/>
        <w:rPr>
          <w:b/>
          <w:sz w:val="22"/>
        </w:rPr>
      </w:pPr>
      <w:r>
        <w:rPr>
          <w:b/>
          <w:spacing w:val="-2"/>
          <w:sz w:val="22"/>
        </w:rPr>
        <w:t>轻度疾病的范</w:t>
      </w:r>
      <w:r>
        <w:rPr>
          <w:b/>
          <w:spacing w:val="-10"/>
          <w:sz w:val="22"/>
        </w:rPr>
        <w:t>围</w:t>
      </w:r>
    </w:p>
    <w:p>
      <w:pPr>
        <w:spacing w:line="240" w:lineRule="auto" w:before="9"/>
        <w:rPr>
          <w:b/>
          <w:sz w:val="16"/>
        </w:rPr>
      </w:pPr>
      <w:r>
        <w:rPr/>
        <w:br w:type="column"/>
      </w:r>
      <w:r>
        <w:rPr>
          <w:b/>
          <w:sz w:val="16"/>
        </w:rPr>
      </w:r>
    </w:p>
    <w:p>
      <w:pPr>
        <w:pStyle w:val="BodyText"/>
        <w:spacing w:line="324" w:lineRule="auto"/>
        <w:ind w:left="152" w:right="152"/>
      </w:pPr>
      <w:r>
        <w:rPr/>
        <w:t>我们提供保障的中度疾病共有20种，名称如下，具体释义见“11 中度疾病</w:t>
      </w:r>
      <w:r>
        <w:rPr>
          <w:spacing w:val="-2"/>
        </w:rPr>
        <w:t>的定义”。</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
        <w:rPr>
          <w:sz w:val="31"/>
        </w:rPr>
      </w:pPr>
    </w:p>
    <w:p>
      <w:pPr>
        <w:pStyle w:val="BodyText"/>
        <w:spacing w:line="324" w:lineRule="auto"/>
        <w:ind w:left="152" w:right="152"/>
      </w:pPr>
      <w:r>
        <w:rPr/>
        <w:pict>
          <v:shape style="position:absolute;margin-left:173.059998pt;margin-top:-235.669006pt;width:358.8pt;height:212.15pt;mso-position-horizontal-relative:page;mso-position-vertical-relative:paragraph;z-index:15735296" type="#_x0000_t202" id="docshape16"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5"/>
                    <w:gridCol w:w="2977"/>
                    <w:gridCol w:w="567"/>
                    <w:gridCol w:w="2977"/>
                  </w:tblGrid>
                  <w:tr>
                    <w:trPr>
                      <w:trHeight w:val="386" w:hRule="atLeast"/>
                    </w:trPr>
                    <w:tc>
                      <w:tcPr>
                        <w:tcW w:w="645" w:type="dxa"/>
                      </w:tcPr>
                      <w:p>
                        <w:pPr>
                          <w:pStyle w:val="TableParagraph"/>
                          <w:spacing w:before="52"/>
                          <w:ind w:left="7"/>
                          <w:jc w:val="center"/>
                          <w:rPr>
                            <w:sz w:val="22"/>
                          </w:rPr>
                        </w:pPr>
                        <w:r>
                          <w:rPr>
                            <w:w w:val="100"/>
                            <w:sz w:val="22"/>
                          </w:rPr>
                          <w:t>1</w:t>
                        </w:r>
                      </w:p>
                    </w:tc>
                    <w:tc>
                      <w:tcPr>
                        <w:tcW w:w="2977" w:type="dxa"/>
                      </w:tcPr>
                      <w:p>
                        <w:pPr>
                          <w:pStyle w:val="TableParagraph"/>
                          <w:spacing w:before="52"/>
                          <w:ind w:left="107"/>
                          <w:rPr>
                            <w:sz w:val="22"/>
                          </w:rPr>
                        </w:pPr>
                        <w:r>
                          <w:rPr>
                            <w:spacing w:val="-3"/>
                            <w:sz w:val="22"/>
                          </w:rPr>
                          <w:t>中度严重溃疡性结肠炎</w:t>
                        </w:r>
                      </w:p>
                    </w:tc>
                    <w:tc>
                      <w:tcPr>
                        <w:tcW w:w="567" w:type="dxa"/>
                      </w:tcPr>
                      <w:p>
                        <w:pPr>
                          <w:pStyle w:val="TableParagraph"/>
                          <w:spacing w:before="52"/>
                          <w:ind w:left="155" w:right="148"/>
                          <w:jc w:val="center"/>
                          <w:rPr>
                            <w:sz w:val="22"/>
                          </w:rPr>
                        </w:pPr>
                        <w:r>
                          <w:rPr>
                            <w:spacing w:val="-5"/>
                            <w:sz w:val="22"/>
                          </w:rPr>
                          <w:t>11</w:t>
                        </w:r>
                      </w:p>
                    </w:tc>
                    <w:tc>
                      <w:tcPr>
                        <w:tcW w:w="2977" w:type="dxa"/>
                      </w:tcPr>
                      <w:p>
                        <w:pPr>
                          <w:pStyle w:val="TableParagraph"/>
                          <w:spacing w:before="52"/>
                          <w:ind w:left="108"/>
                          <w:rPr>
                            <w:sz w:val="22"/>
                          </w:rPr>
                        </w:pPr>
                        <w:r>
                          <w:rPr>
                            <w:spacing w:val="-4"/>
                            <w:sz w:val="22"/>
                          </w:rPr>
                          <w:t>单侧肺脏切除</w:t>
                        </w:r>
                      </w:p>
                    </w:tc>
                  </w:tr>
                  <w:tr>
                    <w:trPr>
                      <w:trHeight w:val="387" w:hRule="atLeast"/>
                    </w:trPr>
                    <w:tc>
                      <w:tcPr>
                        <w:tcW w:w="645" w:type="dxa"/>
                      </w:tcPr>
                      <w:p>
                        <w:pPr>
                          <w:pStyle w:val="TableParagraph"/>
                          <w:spacing w:before="51"/>
                          <w:ind w:left="7"/>
                          <w:jc w:val="center"/>
                          <w:rPr>
                            <w:sz w:val="22"/>
                          </w:rPr>
                        </w:pPr>
                        <w:r>
                          <w:rPr>
                            <w:w w:val="100"/>
                            <w:sz w:val="22"/>
                          </w:rPr>
                          <w:t>2</w:t>
                        </w:r>
                      </w:p>
                    </w:tc>
                    <w:tc>
                      <w:tcPr>
                        <w:tcW w:w="2977" w:type="dxa"/>
                      </w:tcPr>
                      <w:p>
                        <w:pPr>
                          <w:pStyle w:val="TableParagraph"/>
                          <w:spacing w:before="51"/>
                          <w:ind w:left="107"/>
                          <w:rPr>
                            <w:sz w:val="22"/>
                          </w:rPr>
                        </w:pPr>
                        <w:r>
                          <w:rPr>
                            <w:spacing w:val="-3"/>
                            <w:sz w:val="22"/>
                          </w:rPr>
                          <w:t>中度肠道疾病并发症</w:t>
                        </w:r>
                      </w:p>
                    </w:tc>
                    <w:tc>
                      <w:tcPr>
                        <w:tcW w:w="567" w:type="dxa"/>
                      </w:tcPr>
                      <w:p>
                        <w:pPr>
                          <w:pStyle w:val="TableParagraph"/>
                          <w:spacing w:before="51"/>
                          <w:ind w:left="155" w:right="148"/>
                          <w:jc w:val="center"/>
                          <w:rPr>
                            <w:sz w:val="22"/>
                          </w:rPr>
                        </w:pPr>
                        <w:r>
                          <w:rPr>
                            <w:spacing w:val="-5"/>
                            <w:sz w:val="22"/>
                          </w:rPr>
                          <w:t>12</w:t>
                        </w:r>
                      </w:p>
                    </w:tc>
                    <w:tc>
                      <w:tcPr>
                        <w:tcW w:w="2977" w:type="dxa"/>
                      </w:tcPr>
                      <w:p>
                        <w:pPr>
                          <w:pStyle w:val="TableParagraph"/>
                          <w:spacing w:before="51"/>
                          <w:ind w:left="108"/>
                          <w:rPr>
                            <w:sz w:val="22"/>
                          </w:rPr>
                        </w:pPr>
                        <w:r>
                          <w:rPr>
                            <w:spacing w:val="-3"/>
                            <w:sz w:val="22"/>
                          </w:rPr>
                          <w:t>中度进行性核上性麻痹</w:t>
                        </w:r>
                      </w:p>
                    </w:tc>
                  </w:tr>
                  <w:tr>
                    <w:trPr>
                      <w:trHeight w:val="386" w:hRule="atLeast"/>
                    </w:trPr>
                    <w:tc>
                      <w:tcPr>
                        <w:tcW w:w="645" w:type="dxa"/>
                      </w:tcPr>
                      <w:p>
                        <w:pPr>
                          <w:pStyle w:val="TableParagraph"/>
                          <w:spacing w:before="53"/>
                          <w:ind w:left="7"/>
                          <w:jc w:val="center"/>
                          <w:rPr>
                            <w:sz w:val="22"/>
                          </w:rPr>
                        </w:pPr>
                        <w:r>
                          <w:rPr>
                            <w:w w:val="100"/>
                            <w:sz w:val="22"/>
                          </w:rPr>
                          <w:t>3</w:t>
                        </w:r>
                      </w:p>
                    </w:tc>
                    <w:tc>
                      <w:tcPr>
                        <w:tcW w:w="2977" w:type="dxa"/>
                      </w:tcPr>
                      <w:p>
                        <w:pPr>
                          <w:pStyle w:val="TableParagraph"/>
                          <w:spacing w:before="53"/>
                          <w:ind w:left="107"/>
                          <w:rPr>
                            <w:sz w:val="22"/>
                          </w:rPr>
                        </w:pPr>
                        <w:r>
                          <w:rPr>
                            <w:spacing w:val="-4"/>
                            <w:sz w:val="22"/>
                          </w:rPr>
                          <w:t>中度克罗恩病</w:t>
                        </w:r>
                      </w:p>
                    </w:tc>
                    <w:tc>
                      <w:tcPr>
                        <w:tcW w:w="567" w:type="dxa"/>
                      </w:tcPr>
                      <w:p>
                        <w:pPr>
                          <w:pStyle w:val="TableParagraph"/>
                          <w:spacing w:before="53"/>
                          <w:ind w:left="155" w:right="148"/>
                          <w:jc w:val="center"/>
                          <w:rPr>
                            <w:sz w:val="22"/>
                          </w:rPr>
                        </w:pPr>
                        <w:r>
                          <w:rPr>
                            <w:spacing w:val="-5"/>
                            <w:sz w:val="22"/>
                          </w:rPr>
                          <w:t>13</w:t>
                        </w:r>
                      </w:p>
                    </w:tc>
                    <w:tc>
                      <w:tcPr>
                        <w:tcW w:w="2977" w:type="dxa"/>
                      </w:tcPr>
                      <w:p>
                        <w:pPr>
                          <w:pStyle w:val="TableParagraph"/>
                          <w:spacing w:before="53"/>
                          <w:ind w:left="108"/>
                          <w:rPr>
                            <w:sz w:val="22"/>
                          </w:rPr>
                        </w:pPr>
                        <w:r>
                          <w:rPr>
                            <w:spacing w:val="-4"/>
                            <w:sz w:val="22"/>
                          </w:rPr>
                          <w:t>中度克雅氏病</w:t>
                        </w:r>
                      </w:p>
                    </w:tc>
                  </w:tr>
                  <w:tr>
                    <w:trPr>
                      <w:trHeight w:val="387" w:hRule="atLeast"/>
                    </w:trPr>
                    <w:tc>
                      <w:tcPr>
                        <w:tcW w:w="645" w:type="dxa"/>
                      </w:tcPr>
                      <w:p>
                        <w:pPr>
                          <w:pStyle w:val="TableParagraph"/>
                          <w:spacing w:before="51"/>
                          <w:ind w:left="7"/>
                          <w:jc w:val="center"/>
                          <w:rPr>
                            <w:sz w:val="22"/>
                          </w:rPr>
                        </w:pPr>
                        <w:r>
                          <w:rPr>
                            <w:w w:val="100"/>
                            <w:sz w:val="22"/>
                          </w:rPr>
                          <w:t>4</w:t>
                        </w:r>
                      </w:p>
                    </w:tc>
                    <w:tc>
                      <w:tcPr>
                        <w:tcW w:w="2977" w:type="dxa"/>
                      </w:tcPr>
                      <w:p>
                        <w:pPr>
                          <w:pStyle w:val="TableParagraph"/>
                          <w:spacing w:before="51"/>
                          <w:ind w:left="107"/>
                          <w:rPr>
                            <w:sz w:val="22"/>
                          </w:rPr>
                        </w:pPr>
                        <w:r>
                          <w:rPr>
                            <w:spacing w:val="-4"/>
                            <w:sz w:val="22"/>
                          </w:rPr>
                          <w:t>中度脑损伤</w:t>
                        </w:r>
                      </w:p>
                    </w:tc>
                    <w:tc>
                      <w:tcPr>
                        <w:tcW w:w="567" w:type="dxa"/>
                      </w:tcPr>
                      <w:p>
                        <w:pPr>
                          <w:pStyle w:val="TableParagraph"/>
                          <w:spacing w:before="51"/>
                          <w:ind w:left="155" w:right="148"/>
                          <w:jc w:val="center"/>
                          <w:rPr>
                            <w:sz w:val="22"/>
                          </w:rPr>
                        </w:pPr>
                        <w:r>
                          <w:rPr>
                            <w:spacing w:val="-5"/>
                            <w:sz w:val="22"/>
                          </w:rPr>
                          <w:t>14</w:t>
                        </w:r>
                      </w:p>
                    </w:tc>
                    <w:tc>
                      <w:tcPr>
                        <w:tcW w:w="2977" w:type="dxa"/>
                      </w:tcPr>
                      <w:p>
                        <w:pPr>
                          <w:pStyle w:val="TableParagraph"/>
                          <w:spacing w:before="51"/>
                          <w:ind w:left="108"/>
                          <w:rPr>
                            <w:sz w:val="22"/>
                          </w:rPr>
                        </w:pPr>
                        <w:r>
                          <w:rPr>
                            <w:spacing w:val="-4"/>
                            <w:sz w:val="22"/>
                          </w:rPr>
                          <w:t>中度强直性脊柱炎</w:t>
                        </w:r>
                      </w:p>
                    </w:tc>
                  </w:tr>
                  <w:tr>
                    <w:trPr>
                      <w:trHeight w:val="387" w:hRule="atLeast"/>
                    </w:trPr>
                    <w:tc>
                      <w:tcPr>
                        <w:tcW w:w="645" w:type="dxa"/>
                      </w:tcPr>
                      <w:p>
                        <w:pPr>
                          <w:pStyle w:val="TableParagraph"/>
                          <w:spacing w:before="53"/>
                          <w:ind w:left="7"/>
                          <w:jc w:val="center"/>
                          <w:rPr>
                            <w:sz w:val="22"/>
                          </w:rPr>
                        </w:pPr>
                        <w:r>
                          <w:rPr>
                            <w:w w:val="100"/>
                            <w:sz w:val="22"/>
                          </w:rPr>
                          <w:t>5</w:t>
                        </w:r>
                      </w:p>
                    </w:tc>
                    <w:tc>
                      <w:tcPr>
                        <w:tcW w:w="2977" w:type="dxa"/>
                      </w:tcPr>
                      <w:p>
                        <w:pPr>
                          <w:pStyle w:val="TableParagraph"/>
                          <w:spacing w:before="53"/>
                          <w:ind w:left="107"/>
                          <w:rPr>
                            <w:sz w:val="22"/>
                          </w:rPr>
                        </w:pPr>
                        <w:r>
                          <w:rPr>
                            <w:spacing w:val="-4"/>
                            <w:sz w:val="22"/>
                          </w:rPr>
                          <w:t>单个肢体缺失</w:t>
                        </w:r>
                      </w:p>
                    </w:tc>
                    <w:tc>
                      <w:tcPr>
                        <w:tcW w:w="567" w:type="dxa"/>
                      </w:tcPr>
                      <w:p>
                        <w:pPr>
                          <w:pStyle w:val="TableParagraph"/>
                          <w:spacing w:before="53"/>
                          <w:ind w:left="155" w:right="148"/>
                          <w:jc w:val="center"/>
                          <w:rPr>
                            <w:sz w:val="22"/>
                          </w:rPr>
                        </w:pPr>
                        <w:r>
                          <w:rPr>
                            <w:spacing w:val="-5"/>
                            <w:sz w:val="22"/>
                          </w:rPr>
                          <w:t>15</w:t>
                        </w:r>
                      </w:p>
                    </w:tc>
                    <w:tc>
                      <w:tcPr>
                        <w:tcW w:w="2977" w:type="dxa"/>
                      </w:tcPr>
                      <w:p>
                        <w:pPr>
                          <w:pStyle w:val="TableParagraph"/>
                          <w:spacing w:before="53"/>
                          <w:ind w:left="108"/>
                          <w:rPr>
                            <w:sz w:val="22"/>
                          </w:rPr>
                        </w:pPr>
                        <w:r>
                          <w:rPr>
                            <w:spacing w:val="-4"/>
                            <w:sz w:val="22"/>
                          </w:rPr>
                          <w:t>中度肌营养不良症</w:t>
                        </w:r>
                      </w:p>
                    </w:tc>
                  </w:tr>
                  <w:tr>
                    <w:trPr>
                      <w:trHeight w:val="655" w:hRule="atLeast"/>
                    </w:trPr>
                    <w:tc>
                      <w:tcPr>
                        <w:tcW w:w="645" w:type="dxa"/>
                      </w:tcPr>
                      <w:p>
                        <w:pPr>
                          <w:pStyle w:val="TableParagraph"/>
                          <w:spacing w:before="186"/>
                          <w:ind w:left="7"/>
                          <w:jc w:val="center"/>
                          <w:rPr>
                            <w:sz w:val="22"/>
                          </w:rPr>
                        </w:pPr>
                        <w:r>
                          <w:rPr>
                            <w:w w:val="100"/>
                            <w:sz w:val="22"/>
                          </w:rPr>
                          <w:t>6</w:t>
                        </w:r>
                      </w:p>
                    </w:tc>
                    <w:tc>
                      <w:tcPr>
                        <w:tcW w:w="2977" w:type="dxa"/>
                      </w:tcPr>
                      <w:p>
                        <w:pPr>
                          <w:pStyle w:val="TableParagraph"/>
                          <w:spacing w:before="45"/>
                          <w:ind w:left="107" w:right="94"/>
                          <w:rPr>
                            <w:sz w:val="22"/>
                          </w:rPr>
                        </w:pPr>
                        <w:r>
                          <w:rPr>
                            <w:sz w:val="22"/>
                          </w:rPr>
                          <w:t>中度脑炎后遗症或中度脑膜</w:t>
                        </w:r>
                        <w:r>
                          <w:rPr>
                            <w:spacing w:val="-4"/>
                            <w:sz w:val="22"/>
                          </w:rPr>
                          <w:t>炎后遗症</w:t>
                        </w:r>
                      </w:p>
                    </w:tc>
                    <w:tc>
                      <w:tcPr>
                        <w:tcW w:w="567" w:type="dxa"/>
                      </w:tcPr>
                      <w:p>
                        <w:pPr>
                          <w:pStyle w:val="TableParagraph"/>
                          <w:spacing w:before="186"/>
                          <w:ind w:left="155" w:right="148"/>
                          <w:jc w:val="center"/>
                          <w:rPr>
                            <w:sz w:val="22"/>
                          </w:rPr>
                        </w:pPr>
                        <w:r>
                          <w:rPr>
                            <w:spacing w:val="-5"/>
                            <w:sz w:val="22"/>
                          </w:rPr>
                          <w:t>16</w:t>
                        </w:r>
                      </w:p>
                    </w:tc>
                    <w:tc>
                      <w:tcPr>
                        <w:tcW w:w="2977" w:type="dxa"/>
                      </w:tcPr>
                      <w:p>
                        <w:pPr>
                          <w:pStyle w:val="TableParagraph"/>
                          <w:spacing w:before="186"/>
                          <w:ind w:left="108"/>
                          <w:rPr>
                            <w:sz w:val="22"/>
                          </w:rPr>
                        </w:pPr>
                        <w:r>
                          <w:rPr>
                            <w:spacing w:val="-4"/>
                            <w:sz w:val="22"/>
                          </w:rPr>
                          <w:t>中度面积Ⅲ度烧伤</w:t>
                        </w:r>
                      </w:p>
                    </w:tc>
                  </w:tr>
                  <w:tr>
                    <w:trPr>
                      <w:trHeight w:val="387" w:hRule="atLeast"/>
                    </w:trPr>
                    <w:tc>
                      <w:tcPr>
                        <w:tcW w:w="645" w:type="dxa"/>
                      </w:tcPr>
                      <w:p>
                        <w:pPr>
                          <w:pStyle w:val="TableParagraph"/>
                          <w:spacing w:before="51"/>
                          <w:ind w:left="7"/>
                          <w:jc w:val="center"/>
                          <w:rPr>
                            <w:sz w:val="22"/>
                          </w:rPr>
                        </w:pPr>
                        <w:r>
                          <w:rPr>
                            <w:w w:val="100"/>
                            <w:sz w:val="22"/>
                          </w:rPr>
                          <w:t>7</w:t>
                        </w:r>
                      </w:p>
                    </w:tc>
                    <w:tc>
                      <w:tcPr>
                        <w:tcW w:w="2977" w:type="dxa"/>
                      </w:tcPr>
                      <w:p>
                        <w:pPr>
                          <w:pStyle w:val="TableParagraph"/>
                          <w:spacing w:before="51"/>
                          <w:ind w:left="107"/>
                          <w:rPr>
                            <w:sz w:val="22"/>
                          </w:rPr>
                        </w:pPr>
                        <w:r>
                          <w:rPr>
                            <w:spacing w:val="-4"/>
                            <w:sz w:val="22"/>
                          </w:rPr>
                          <w:t>中度运动神经元病</w:t>
                        </w:r>
                      </w:p>
                    </w:tc>
                    <w:tc>
                      <w:tcPr>
                        <w:tcW w:w="567" w:type="dxa"/>
                      </w:tcPr>
                      <w:p>
                        <w:pPr>
                          <w:pStyle w:val="TableParagraph"/>
                          <w:spacing w:before="51"/>
                          <w:ind w:left="155" w:right="148"/>
                          <w:jc w:val="center"/>
                          <w:rPr>
                            <w:sz w:val="22"/>
                          </w:rPr>
                        </w:pPr>
                        <w:r>
                          <w:rPr>
                            <w:spacing w:val="-5"/>
                            <w:sz w:val="22"/>
                          </w:rPr>
                          <w:t>17</w:t>
                        </w:r>
                      </w:p>
                    </w:tc>
                    <w:tc>
                      <w:tcPr>
                        <w:tcW w:w="2977" w:type="dxa"/>
                      </w:tcPr>
                      <w:p>
                        <w:pPr>
                          <w:pStyle w:val="TableParagraph"/>
                          <w:spacing w:before="51"/>
                          <w:ind w:left="108"/>
                          <w:rPr>
                            <w:sz w:val="22"/>
                          </w:rPr>
                        </w:pPr>
                        <w:r>
                          <w:rPr>
                            <w:spacing w:val="-4"/>
                            <w:sz w:val="22"/>
                          </w:rPr>
                          <w:t>中度面部Ⅲ度烧伤</w:t>
                        </w:r>
                      </w:p>
                    </w:tc>
                  </w:tr>
                  <w:tr>
                    <w:trPr>
                      <w:trHeight w:val="387" w:hRule="atLeast"/>
                    </w:trPr>
                    <w:tc>
                      <w:tcPr>
                        <w:tcW w:w="645" w:type="dxa"/>
                      </w:tcPr>
                      <w:p>
                        <w:pPr>
                          <w:pStyle w:val="TableParagraph"/>
                          <w:spacing w:before="52"/>
                          <w:ind w:left="7"/>
                          <w:jc w:val="center"/>
                          <w:rPr>
                            <w:sz w:val="22"/>
                          </w:rPr>
                        </w:pPr>
                        <w:r>
                          <w:rPr>
                            <w:w w:val="100"/>
                            <w:sz w:val="22"/>
                          </w:rPr>
                          <w:t>8</w:t>
                        </w:r>
                      </w:p>
                    </w:tc>
                    <w:tc>
                      <w:tcPr>
                        <w:tcW w:w="2977" w:type="dxa"/>
                      </w:tcPr>
                      <w:p>
                        <w:pPr>
                          <w:pStyle w:val="TableParagraph"/>
                          <w:spacing w:before="52"/>
                          <w:ind w:left="107"/>
                          <w:rPr>
                            <w:sz w:val="22"/>
                          </w:rPr>
                        </w:pPr>
                        <w:r>
                          <w:rPr>
                            <w:spacing w:val="-3"/>
                            <w:sz w:val="22"/>
                          </w:rPr>
                          <w:t>中度原发性帕金森病</w:t>
                        </w:r>
                      </w:p>
                    </w:tc>
                    <w:tc>
                      <w:tcPr>
                        <w:tcW w:w="567" w:type="dxa"/>
                      </w:tcPr>
                      <w:p>
                        <w:pPr>
                          <w:pStyle w:val="TableParagraph"/>
                          <w:spacing w:before="52"/>
                          <w:ind w:left="155" w:right="148"/>
                          <w:jc w:val="center"/>
                          <w:rPr>
                            <w:sz w:val="22"/>
                          </w:rPr>
                        </w:pPr>
                        <w:r>
                          <w:rPr>
                            <w:spacing w:val="-5"/>
                            <w:sz w:val="22"/>
                          </w:rPr>
                          <w:t>18</w:t>
                        </w:r>
                      </w:p>
                    </w:tc>
                    <w:tc>
                      <w:tcPr>
                        <w:tcW w:w="2977" w:type="dxa"/>
                      </w:tcPr>
                      <w:p>
                        <w:pPr>
                          <w:pStyle w:val="TableParagraph"/>
                          <w:spacing w:before="52"/>
                          <w:ind w:left="108"/>
                          <w:rPr>
                            <w:sz w:val="22"/>
                          </w:rPr>
                        </w:pPr>
                        <w:r>
                          <w:rPr>
                            <w:spacing w:val="-20"/>
                            <w:sz w:val="22"/>
                          </w:rPr>
                          <w:t>昏迷 </w:t>
                        </w:r>
                        <w:r>
                          <w:rPr>
                            <w:spacing w:val="-2"/>
                            <w:sz w:val="22"/>
                          </w:rPr>
                          <w:t>72</w:t>
                        </w:r>
                        <w:r>
                          <w:rPr>
                            <w:spacing w:val="-22"/>
                            <w:sz w:val="22"/>
                          </w:rPr>
                          <w:t> 小时</w:t>
                        </w:r>
                      </w:p>
                    </w:tc>
                  </w:tr>
                  <w:tr>
                    <w:trPr>
                      <w:trHeight w:val="386" w:hRule="atLeast"/>
                    </w:trPr>
                    <w:tc>
                      <w:tcPr>
                        <w:tcW w:w="645" w:type="dxa"/>
                      </w:tcPr>
                      <w:p>
                        <w:pPr>
                          <w:pStyle w:val="TableParagraph"/>
                          <w:spacing w:before="51"/>
                          <w:ind w:left="7"/>
                          <w:jc w:val="center"/>
                          <w:rPr>
                            <w:sz w:val="22"/>
                          </w:rPr>
                        </w:pPr>
                        <w:r>
                          <w:rPr>
                            <w:w w:val="100"/>
                            <w:sz w:val="22"/>
                          </w:rPr>
                          <w:t>9</w:t>
                        </w:r>
                      </w:p>
                    </w:tc>
                    <w:tc>
                      <w:tcPr>
                        <w:tcW w:w="2977" w:type="dxa"/>
                      </w:tcPr>
                      <w:p>
                        <w:pPr>
                          <w:pStyle w:val="TableParagraph"/>
                          <w:spacing w:before="51"/>
                          <w:ind w:left="107"/>
                          <w:rPr>
                            <w:sz w:val="22"/>
                          </w:rPr>
                        </w:pPr>
                        <w:r>
                          <w:rPr>
                            <w:spacing w:val="-3"/>
                            <w:sz w:val="22"/>
                          </w:rPr>
                          <w:t>中度结核性脊髓炎后遗症</w:t>
                        </w:r>
                      </w:p>
                    </w:tc>
                    <w:tc>
                      <w:tcPr>
                        <w:tcW w:w="567" w:type="dxa"/>
                      </w:tcPr>
                      <w:p>
                        <w:pPr>
                          <w:pStyle w:val="TableParagraph"/>
                          <w:spacing w:before="51"/>
                          <w:ind w:left="155" w:right="148"/>
                          <w:jc w:val="center"/>
                          <w:rPr>
                            <w:sz w:val="22"/>
                          </w:rPr>
                        </w:pPr>
                        <w:r>
                          <w:rPr>
                            <w:spacing w:val="-5"/>
                            <w:sz w:val="22"/>
                          </w:rPr>
                          <w:t>19</w:t>
                        </w:r>
                      </w:p>
                    </w:tc>
                    <w:tc>
                      <w:tcPr>
                        <w:tcW w:w="2977" w:type="dxa"/>
                      </w:tcPr>
                      <w:p>
                        <w:pPr>
                          <w:pStyle w:val="TableParagraph"/>
                          <w:spacing w:before="51"/>
                          <w:ind w:left="108"/>
                          <w:rPr>
                            <w:sz w:val="22"/>
                          </w:rPr>
                        </w:pPr>
                        <w:r>
                          <w:rPr>
                            <w:spacing w:val="-4"/>
                            <w:sz w:val="22"/>
                          </w:rPr>
                          <w:t>中度重症肌无力</w:t>
                        </w:r>
                      </w:p>
                    </w:tc>
                  </w:tr>
                  <w:tr>
                    <w:trPr>
                      <w:trHeight w:val="385" w:hRule="atLeast"/>
                    </w:trPr>
                    <w:tc>
                      <w:tcPr>
                        <w:tcW w:w="645" w:type="dxa"/>
                      </w:tcPr>
                      <w:p>
                        <w:pPr>
                          <w:pStyle w:val="TableParagraph"/>
                          <w:spacing w:before="53"/>
                          <w:ind w:left="196" w:right="189"/>
                          <w:jc w:val="center"/>
                          <w:rPr>
                            <w:sz w:val="22"/>
                          </w:rPr>
                        </w:pPr>
                        <w:r>
                          <w:rPr>
                            <w:spacing w:val="-5"/>
                            <w:sz w:val="22"/>
                          </w:rPr>
                          <w:t>10</w:t>
                        </w:r>
                      </w:p>
                    </w:tc>
                    <w:tc>
                      <w:tcPr>
                        <w:tcW w:w="2977" w:type="dxa"/>
                      </w:tcPr>
                      <w:p>
                        <w:pPr>
                          <w:pStyle w:val="TableParagraph"/>
                          <w:spacing w:before="53"/>
                          <w:ind w:left="107"/>
                          <w:rPr>
                            <w:sz w:val="22"/>
                          </w:rPr>
                        </w:pPr>
                        <w:r>
                          <w:rPr>
                            <w:spacing w:val="-4"/>
                            <w:sz w:val="22"/>
                          </w:rPr>
                          <w:t>中度脊髓灰质炎</w:t>
                        </w:r>
                      </w:p>
                    </w:tc>
                    <w:tc>
                      <w:tcPr>
                        <w:tcW w:w="567" w:type="dxa"/>
                      </w:tcPr>
                      <w:p>
                        <w:pPr>
                          <w:pStyle w:val="TableParagraph"/>
                          <w:spacing w:before="53"/>
                          <w:ind w:left="155" w:right="148"/>
                          <w:jc w:val="center"/>
                          <w:rPr>
                            <w:sz w:val="22"/>
                          </w:rPr>
                        </w:pPr>
                        <w:r>
                          <w:rPr>
                            <w:spacing w:val="-5"/>
                            <w:sz w:val="22"/>
                          </w:rPr>
                          <w:t>20</w:t>
                        </w:r>
                      </w:p>
                    </w:tc>
                    <w:tc>
                      <w:tcPr>
                        <w:tcW w:w="2977" w:type="dxa"/>
                      </w:tcPr>
                      <w:p>
                        <w:pPr>
                          <w:pStyle w:val="TableParagraph"/>
                          <w:spacing w:before="53"/>
                          <w:ind w:left="108"/>
                          <w:rPr>
                            <w:sz w:val="22"/>
                          </w:rPr>
                        </w:pPr>
                        <w:r>
                          <w:rPr>
                            <w:spacing w:val="-4"/>
                            <w:sz w:val="22"/>
                          </w:rPr>
                          <w:t>中度阿尔茨海默病</w:t>
                        </w:r>
                      </w:p>
                    </w:tc>
                  </w:tr>
                </w:tbl>
                <w:p>
                  <w:pPr>
                    <w:pStyle w:val="BodyText"/>
                  </w:pPr>
                </w:p>
              </w:txbxContent>
            </v:textbox>
            <w10:wrap type="none"/>
          </v:shape>
        </w:pict>
      </w:r>
      <w:r>
        <w:rPr/>
        <w:pict>
          <v:shape style="position:absolute;margin-left:173.059998pt;margin-top:33.780998pt;width:358.8pt;height:199.3pt;mso-position-horizontal-relative:page;mso-position-vertical-relative:paragraph;z-index:15735808" type="#_x0000_t202" id="docshape17"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7"/>
                    <w:gridCol w:w="3055"/>
                    <w:gridCol w:w="567"/>
                    <w:gridCol w:w="2977"/>
                  </w:tblGrid>
                  <w:tr>
                    <w:trPr>
                      <w:trHeight w:val="387" w:hRule="atLeast"/>
                    </w:trPr>
                    <w:tc>
                      <w:tcPr>
                        <w:tcW w:w="567" w:type="dxa"/>
                      </w:tcPr>
                      <w:p>
                        <w:pPr>
                          <w:pStyle w:val="TableParagraph"/>
                          <w:spacing w:before="51"/>
                          <w:ind w:right="217"/>
                          <w:jc w:val="right"/>
                          <w:rPr>
                            <w:sz w:val="22"/>
                          </w:rPr>
                        </w:pPr>
                        <w:r>
                          <w:rPr>
                            <w:w w:val="100"/>
                            <w:sz w:val="22"/>
                          </w:rPr>
                          <w:t>1</w:t>
                        </w:r>
                      </w:p>
                    </w:tc>
                    <w:tc>
                      <w:tcPr>
                        <w:tcW w:w="3055" w:type="dxa"/>
                      </w:tcPr>
                      <w:p>
                        <w:pPr>
                          <w:pStyle w:val="TableParagraph"/>
                          <w:spacing w:before="51"/>
                          <w:ind w:left="106"/>
                          <w:rPr>
                            <w:sz w:val="22"/>
                          </w:rPr>
                        </w:pPr>
                        <w:r>
                          <w:rPr>
                            <w:spacing w:val="-4"/>
                            <w:sz w:val="22"/>
                          </w:rPr>
                          <w:t>恶性肿瘤——轻度</w:t>
                        </w:r>
                      </w:p>
                    </w:tc>
                    <w:tc>
                      <w:tcPr>
                        <w:tcW w:w="567" w:type="dxa"/>
                      </w:tcPr>
                      <w:p>
                        <w:pPr>
                          <w:pStyle w:val="TableParagraph"/>
                          <w:spacing w:before="51"/>
                          <w:ind w:left="155" w:right="148"/>
                          <w:jc w:val="center"/>
                          <w:rPr>
                            <w:sz w:val="22"/>
                          </w:rPr>
                        </w:pPr>
                        <w:r>
                          <w:rPr>
                            <w:spacing w:val="-5"/>
                            <w:sz w:val="22"/>
                          </w:rPr>
                          <w:t>26</w:t>
                        </w:r>
                      </w:p>
                    </w:tc>
                    <w:tc>
                      <w:tcPr>
                        <w:tcW w:w="2977" w:type="dxa"/>
                      </w:tcPr>
                      <w:p>
                        <w:pPr>
                          <w:pStyle w:val="TableParagraph"/>
                          <w:spacing w:before="51"/>
                          <w:ind w:left="108"/>
                          <w:rPr>
                            <w:sz w:val="22"/>
                          </w:rPr>
                        </w:pPr>
                        <w:r>
                          <w:rPr>
                            <w:spacing w:val="-4"/>
                            <w:sz w:val="22"/>
                          </w:rPr>
                          <w:t>植入腔静脉过滤器</w:t>
                        </w:r>
                      </w:p>
                    </w:tc>
                  </w:tr>
                  <w:tr>
                    <w:trPr>
                      <w:trHeight w:val="387" w:hRule="atLeast"/>
                    </w:trPr>
                    <w:tc>
                      <w:tcPr>
                        <w:tcW w:w="567" w:type="dxa"/>
                      </w:tcPr>
                      <w:p>
                        <w:pPr>
                          <w:pStyle w:val="TableParagraph"/>
                          <w:spacing w:before="53"/>
                          <w:ind w:right="217"/>
                          <w:jc w:val="right"/>
                          <w:rPr>
                            <w:sz w:val="22"/>
                          </w:rPr>
                        </w:pPr>
                        <w:r>
                          <w:rPr>
                            <w:w w:val="100"/>
                            <w:sz w:val="22"/>
                          </w:rPr>
                          <w:t>2</w:t>
                        </w:r>
                      </w:p>
                    </w:tc>
                    <w:tc>
                      <w:tcPr>
                        <w:tcW w:w="3055" w:type="dxa"/>
                      </w:tcPr>
                      <w:p>
                        <w:pPr>
                          <w:pStyle w:val="TableParagraph"/>
                          <w:spacing w:before="53"/>
                          <w:ind w:left="106"/>
                          <w:rPr>
                            <w:sz w:val="22"/>
                          </w:rPr>
                        </w:pPr>
                        <w:r>
                          <w:rPr>
                            <w:spacing w:val="-4"/>
                            <w:sz w:val="22"/>
                          </w:rPr>
                          <w:t>较轻急性心肌梗死</w:t>
                        </w:r>
                      </w:p>
                    </w:tc>
                    <w:tc>
                      <w:tcPr>
                        <w:tcW w:w="567" w:type="dxa"/>
                      </w:tcPr>
                      <w:p>
                        <w:pPr>
                          <w:pStyle w:val="TableParagraph"/>
                          <w:spacing w:before="53"/>
                          <w:ind w:left="155" w:right="148"/>
                          <w:jc w:val="center"/>
                          <w:rPr>
                            <w:sz w:val="22"/>
                          </w:rPr>
                        </w:pPr>
                        <w:r>
                          <w:rPr>
                            <w:spacing w:val="-5"/>
                            <w:sz w:val="22"/>
                          </w:rPr>
                          <w:t>27</w:t>
                        </w:r>
                      </w:p>
                    </w:tc>
                    <w:tc>
                      <w:tcPr>
                        <w:tcW w:w="2977" w:type="dxa"/>
                      </w:tcPr>
                      <w:p>
                        <w:pPr>
                          <w:pStyle w:val="TableParagraph"/>
                          <w:spacing w:before="53"/>
                          <w:ind w:left="108"/>
                          <w:rPr>
                            <w:sz w:val="22"/>
                          </w:rPr>
                        </w:pPr>
                        <w:r>
                          <w:rPr>
                            <w:spacing w:val="-4"/>
                            <w:sz w:val="22"/>
                          </w:rPr>
                          <w:t>单侧肾脏切除</w:t>
                        </w:r>
                      </w:p>
                    </w:tc>
                  </w:tr>
                  <w:tr>
                    <w:trPr>
                      <w:trHeight w:val="386" w:hRule="atLeast"/>
                    </w:trPr>
                    <w:tc>
                      <w:tcPr>
                        <w:tcW w:w="567" w:type="dxa"/>
                      </w:tcPr>
                      <w:p>
                        <w:pPr>
                          <w:pStyle w:val="TableParagraph"/>
                          <w:spacing w:before="52"/>
                          <w:ind w:right="217"/>
                          <w:jc w:val="right"/>
                          <w:rPr>
                            <w:sz w:val="22"/>
                          </w:rPr>
                        </w:pPr>
                        <w:r>
                          <w:rPr>
                            <w:w w:val="100"/>
                            <w:sz w:val="22"/>
                          </w:rPr>
                          <w:t>3</w:t>
                        </w:r>
                      </w:p>
                    </w:tc>
                    <w:tc>
                      <w:tcPr>
                        <w:tcW w:w="3055" w:type="dxa"/>
                      </w:tcPr>
                      <w:p>
                        <w:pPr>
                          <w:pStyle w:val="TableParagraph"/>
                          <w:spacing w:before="52"/>
                          <w:ind w:left="106"/>
                          <w:rPr>
                            <w:sz w:val="22"/>
                          </w:rPr>
                        </w:pPr>
                        <w:r>
                          <w:rPr>
                            <w:spacing w:val="-4"/>
                            <w:sz w:val="22"/>
                          </w:rPr>
                          <w:t>轻度脑中风后遗症</w:t>
                        </w:r>
                      </w:p>
                    </w:tc>
                    <w:tc>
                      <w:tcPr>
                        <w:tcW w:w="567" w:type="dxa"/>
                      </w:tcPr>
                      <w:p>
                        <w:pPr>
                          <w:pStyle w:val="TableParagraph"/>
                          <w:spacing w:before="52"/>
                          <w:ind w:left="155" w:right="148"/>
                          <w:jc w:val="center"/>
                          <w:rPr>
                            <w:sz w:val="22"/>
                          </w:rPr>
                        </w:pPr>
                        <w:r>
                          <w:rPr>
                            <w:spacing w:val="-5"/>
                            <w:sz w:val="22"/>
                          </w:rPr>
                          <w:t>28</w:t>
                        </w:r>
                      </w:p>
                    </w:tc>
                    <w:tc>
                      <w:tcPr>
                        <w:tcW w:w="2977" w:type="dxa"/>
                      </w:tcPr>
                      <w:p>
                        <w:pPr>
                          <w:pStyle w:val="TableParagraph"/>
                          <w:spacing w:before="52"/>
                          <w:ind w:left="108"/>
                          <w:rPr>
                            <w:sz w:val="22"/>
                          </w:rPr>
                        </w:pPr>
                        <w:r>
                          <w:rPr>
                            <w:spacing w:val="-4"/>
                            <w:sz w:val="22"/>
                          </w:rPr>
                          <w:t>双侧卵巢切除术</w:t>
                        </w:r>
                      </w:p>
                    </w:tc>
                  </w:tr>
                  <w:tr>
                    <w:trPr>
                      <w:trHeight w:val="387" w:hRule="atLeast"/>
                    </w:trPr>
                    <w:tc>
                      <w:tcPr>
                        <w:tcW w:w="567" w:type="dxa"/>
                      </w:tcPr>
                      <w:p>
                        <w:pPr>
                          <w:pStyle w:val="TableParagraph"/>
                          <w:spacing w:before="53"/>
                          <w:ind w:right="217"/>
                          <w:jc w:val="right"/>
                          <w:rPr>
                            <w:sz w:val="22"/>
                          </w:rPr>
                        </w:pPr>
                        <w:r>
                          <w:rPr>
                            <w:w w:val="100"/>
                            <w:sz w:val="22"/>
                          </w:rPr>
                          <w:t>4</w:t>
                        </w:r>
                      </w:p>
                    </w:tc>
                    <w:tc>
                      <w:tcPr>
                        <w:tcW w:w="3055" w:type="dxa"/>
                      </w:tcPr>
                      <w:p>
                        <w:pPr>
                          <w:pStyle w:val="TableParagraph"/>
                          <w:spacing w:before="53"/>
                          <w:ind w:left="106"/>
                          <w:rPr>
                            <w:sz w:val="22"/>
                          </w:rPr>
                        </w:pPr>
                        <w:r>
                          <w:rPr>
                            <w:spacing w:val="-5"/>
                            <w:sz w:val="22"/>
                          </w:rPr>
                          <w:t>原位癌</w:t>
                        </w:r>
                      </w:p>
                    </w:tc>
                    <w:tc>
                      <w:tcPr>
                        <w:tcW w:w="567" w:type="dxa"/>
                      </w:tcPr>
                      <w:p>
                        <w:pPr>
                          <w:pStyle w:val="TableParagraph"/>
                          <w:spacing w:before="53"/>
                          <w:ind w:left="155" w:right="148"/>
                          <w:jc w:val="center"/>
                          <w:rPr>
                            <w:sz w:val="22"/>
                          </w:rPr>
                        </w:pPr>
                        <w:r>
                          <w:rPr>
                            <w:spacing w:val="-5"/>
                            <w:sz w:val="22"/>
                          </w:rPr>
                          <w:t>29</w:t>
                        </w:r>
                      </w:p>
                    </w:tc>
                    <w:tc>
                      <w:tcPr>
                        <w:tcW w:w="2977" w:type="dxa"/>
                      </w:tcPr>
                      <w:p>
                        <w:pPr>
                          <w:pStyle w:val="TableParagraph"/>
                          <w:spacing w:before="53"/>
                          <w:ind w:left="108"/>
                          <w:rPr>
                            <w:sz w:val="22"/>
                          </w:rPr>
                        </w:pPr>
                        <w:r>
                          <w:rPr>
                            <w:spacing w:val="-4"/>
                            <w:sz w:val="22"/>
                          </w:rPr>
                          <w:t>双侧睾丸切除术</w:t>
                        </w:r>
                      </w:p>
                    </w:tc>
                  </w:tr>
                  <w:tr>
                    <w:trPr>
                      <w:trHeight w:val="596" w:hRule="atLeast"/>
                    </w:trPr>
                    <w:tc>
                      <w:tcPr>
                        <w:tcW w:w="567" w:type="dxa"/>
                      </w:tcPr>
                      <w:p>
                        <w:pPr>
                          <w:pStyle w:val="TableParagraph"/>
                          <w:spacing w:before="158"/>
                          <w:ind w:right="217"/>
                          <w:jc w:val="right"/>
                          <w:rPr>
                            <w:sz w:val="22"/>
                          </w:rPr>
                        </w:pPr>
                        <w:r>
                          <w:rPr>
                            <w:w w:val="100"/>
                            <w:sz w:val="22"/>
                          </w:rPr>
                          <w:t>5</w:t>
                        </w:r>
                      </w:p>
                    </w:tc>
                    <w:tc>
                      <w:tcPr>
                        <w:tcW w:w="3055" w:type="dxa"/>
                      </w:tcPr>
                      <w:p>
                        <w:pPr>
                          <w:pStyle w:val="TableParagraph"/>
                          <w:spacing w:before="158"/>
                          <w:ind w:left="106"/>
                          <w:rPr>
                            <w:sz w:val="22"/>
                          </w:rPr>
                        </w:pPr>
                        <w:r>
                          <w:rPr>
                            <w:spacing w:val="-4"/>
                            <w:sz w:val="22"/>
                          </w:rPr>
                          <w:t>冠状动脉介入手术</w:t>
                        </w:r>
                      </w:p>
                    </w:tc>
                    <w:tc>
                      <w:tcPr>
                        <w:tcW w:w="567" w:type="dxa"/>
                      </w:tcPr>
                      <w:p>
                        <w:pPr>
                          <w:pStyle w:val="TableParagraph"/>
                          <w:spacing w:before="158"/>
                          <w:ind w:left="155" w:right="148"/>
                          <w:jc w:val="center"/>
                          <w:rPr>
                            <w:sz w:val="22"/>
                          </w:rPr>
                        </w:pPr>
                        <w:r>
                          <w:rPr>
                            <w:spacing w:val="-5"/>
                            <w:sz w:val="22"/>
                          </w:rPr>
                          <w:t>30</w:t>
                        </w:r>
                      </w:p>
                    </w:tc>
                    <w:tc>
                      <w:tcPr>
                        <w:tcW w:w="2977" w:type="dxa"/>
                      </w:tcPr>
                      <w:p>
                        <w:pPr>
                          <w:pStyle w:val="TableParagraph"/>
                          <w:spacing w:line="280" w:lineRule="atLeast" w:before="12"/>
                          <w:ind w:left="108" w:right="216"/>
                          <w:rPr>
                            <w:sz w:val="22"/>
                          </w:rPr>
                        </w:pPr>
                        <w:r>
                          <w:rPr>
                            <w:spacing w:val="-2"/>
                            <w:sz w:val="22"/>
                          </w:rPr>
                          <w:t>严重阻塞性睡眠呼吸暂停综</w:t>
                        </w:r>
                        <w:r>
                          <w:rPr>
                            <w:spacing w:val="-6"/>
                            <w:sz w:val="22"/>
                          </w:rPr>
                          <w:t>合征</w:t>
                        </w:r>
                      </w:p>
                    </w:tc>
                  </w:tr>
                  <w:tr>
                    <w:trPr>
                      <w:trHeight w:val="386" w:hRule="atLeast"/>
                    </w:trPr>
                    <w:tc>
                      <w:tcPr>
                        <w:tcW w:w="567" w:type="dxa"/>
                      </w:tcPr>
                      <w:p>
                        <w:pPr>
                          <w:pStyle w:val="TableParagraph"/>
                          <w:spacing w:before="51"/>
                          <w:ind w:right="217"/>
                          <w:jc w:val="right"/>
                          <w:rPr>
                            <w:sz w:val="22"/>
                          </w:rPr>
                        </w:pPr>
                        <w:r>
                          <w:rPr>
                            <w:w w:val="100"/>
                            <w:sz w:val="22"/>
                          </w:rPr>
                          <w:t>6</w:t>
                        </w:r>
                      </w:p>
                    </w:tc>
                    <w:tc>
                      <w:tcPr>
                        <w:tcW w:w="3055" w:type="dxa"/>
                      </w:tcPr>
                      <w:p>
                        <w:pPr>
                          <w:pStyle w:val="TableParagraph"/>
                          <w:spacing w:before="51"/>
                          <w:ind w:left="106"/>
                          <w:rPr>
                            <w:sz w:val="22"/>
                          </w:rPr>
                        </w:pPr>
                        <w:r>
                          <w:rPr>
                            <w:spacing w:val="-3"/>
                            <w:sz w:val="22"/>
                          </w:rPr>
                          <w:t>激光心肌血运重建术</w:t>
                        </w:r>
                      </w:p>
                    </w:tc>
                    <w:tc>
                      <w:tcPr>
                        <w:tcW w:w="567" w:type="dxa"/>
                      </w:tcPr>
                      <w:p>
                        <w:pPr>
                          <w:pStyle w:val="TableParagraph"/>
                          <w:spacing w:before="51"/>
                          <w:ind w:left="155" w:right="148"/>
                          <w:jc w:val="center"/>
                          <w:rPr>
                            <w:sz w:val="22"/>
                          </w:rPr>
                        </w:pPr>
                        <w:r>
                          <w:rPr>
                            <w:spacing w:val="-5"/>
                            <w:sz w:val="22"/>
                          </w:rPr>
                          <w:t>31</w:t>
                        </w:r>
                      </w:p>
                    </w:tc>
                    <w:tc>
                      <w:tcPr>
                        <w:tcW w:w="2977" w:type="dxa"/>
                      </w:tcPr>
                      <w:p>
                        <w:pPr>
                          <w:pStyle w:val="TableParagraph"/>
                          <w:spacing w:before="51"/>
                          <w:ind w:left="108"/>
                          <w:rPr>
                            <w:sz w:val="22"/>
                          </w:rPr>
                        </w:pPr>
                        <w:r>
                          <w:rPr>
                            <w:spacing w:val="-3"/>
                            <w:sz w:val="22"/>
                          </w:rPr>
                          <w:t>永久性心脏起搏器植入</w:t>
                        </w:r>
                      </w:p>
                    </w:tc>
                  </w:tr>
                  <w:tr>
                    <w:trPr>
                      <w:trHeight w:val="585" w:hRule="atLeast"/>
                    </w:trPr>
                    <w:tc>
                      <w:tcPr>
                        <w:tcW w:w="567" w:type="dxa"/>
                      </w:tcPr>
                      <w:p>
                        <w:pPr>
                          <w:pStyle w:val="TableParagraph"/>
                          <w:spacing w:before="150"/>
                          <w:ind w:right="217"/>
                          <w:jc w:val="right"/>
                          <w:rPr>
                            <w:sz w:val="22"/>
                          </w:rPr>
                        </w:pPr>
                        <w:r>
                          <w:rPr>
                            <w:w w:val="100"/>
                            <w:sz w:val="22"/>
                          </w:rPr>
                          <w:t>7</w:t>
                        </w:r>
                      </w:p>
                    </w:tc>
                    <w:tc>
                      <w:tcPr>
                        <w:tcW w:w="3055" w:type="dxa"/>
                      </w:tcPr>
                      <w:p>
                        <w:pPr>
                          <w:pStyle w:val="TableParagraph"/>
                          <w:spacing w:line="280" w:lineRule="atLeast" w:before="1"/>
                          <w:ind w:left="106" w:right="296"/>
                          <w:rPr>
                            <w:sz w:val="22"/>
                          </w:rPr>
                        </w:pPr>
                        <w:r>
                          <w:rPr>
                            <w:spacing w:val="-2"/>
                            <w:sz w:val="22"/>
                          </w:rPr>
                          <w:t>心脏瓣膜手术（非切开心脏</w:t>
                        </w:r>
                        <w:r>
                          <w:rPr>
                            <w:spacing w:val="-4"/>
                            <w:sz w:val="22"/>
                          </w:rPr>
                          <w:t>手术）</w:t>
                        </w:r>
                      </w:p>
                    </w:tc>
                    <w:tc>
                      <w:tcPr>
                        <w:tcW w:w="567" w:type="dxa"/>
                      </w:tcPr>
                      <w:p>
                        <w:pPr>
                          <w:pStyle w:val="TableParagraph"/>
                          <w:spacing w:before="150"/>
                          <w:ind w:left="155" w:right="148"/>
                          <w:jc w:val="center"/>
                          <w:rPr>
                            <w:sz w:val="22"/>
                          </w:rPr>
                        </w:pPr>
                        <w:r>
                          <w:rPr>
                            <w:spacing w:val="-5"/>
                            <w:sz w:val="22"/>
                          </w:rPr>
                          <w:t>32</w:t>
                        </w:r>
                      </w:p>
                    </w:tc>
                    <w:tc>
                      <w:tcPr>
                        <w:tcW w:w="2977" w:type="dxa"/>
                      </w:tcPr>
                      <w:p>
                        <w:pPr>
                          <w:pStyle w:val="TableParagraph"/>
                          <w:spacing w:before="150"/>
                          <w:ind w:left="108"/>
                          <w:rPr>
                            <w:sz w:val="22"/>
                          </w:rPr>
                        </w:pPr>
                        <w:r>
                          <w:rPr>
                            <w:spacing w:val="-3"/>
                            <w:sz w:val="22"/>
                          </w:rPr>
                          <w:t>永久性心脏除颤器植入</w:t>
                        </w:r>
                      </w:p>
                    </w:tc>
                  </w:tr>
                  <w:tr>
                    <w:trPr>
                      <w:trHeight w:val="387" w:hRule="atLeast"/>
                    </w:trPr>
                    <w:tc>
                      <w:tcPr>
                        <w:tcW w:w="567" w:type="dxa"/>
                      </w:tcPr>
                      <w:p>
                        <w:pPr>
                          <w:pStyle w:val="TableParagraph"/>
                          <w:spacing w:before="52"/>
                          <w:ind w:right="217"/>
                          <w:jc w:val="right"/>
                          <w:rPr>
                            <w:sz w:val="22"/>
                          </w:rPr>
                        </w:pPr>
                        <w:r>
                          <w:rPr>
                            <w:w w:val="100"/>
                            <w:sz w:val="22"/>
                          </w:rPr>
                          <w:t>8</w:t>
                        </w:r>
                      </w:p>
                    </w:tc>
                    <w:tc>
                      <w:tcPr>
                        <w:tcW w:w="3055" w:type="dxa"/>
                      </w:tcPr>
                      <w:p>
                        <w:pPr>
                          <w:pStyle w:val="TableParagraph"/>
                          <w:spacing w:before="52"/>
                          <w:ind w:left="106"/>
                          <w:rPr>
                            <w:sz w:val="22"/>
                          </w:rPr>
                        </w:pPr>
                        <w:r>
                          <w:rPr>
                            <w:spacing w:val="-4"/>
                            <w:sz w:val="22"/>
                          </w:rPr>
                          <w:t>中度听力受损</w:t>
                        </w:r>
                      </w:p>
                    </w:tc>
                    <w:tc>
                      <w:tcPr>
                        <w:tcW w:w="567" w:type="dxa"/>
                      </w:tcPr>
                      <w:p>
                        <w:pPr>
                          <w:pStyle w:val="TableParagraph"/>
                          <w:spacing w:before="52"/>
                          <w:ind w:left="155" w:right="148"/>
                          <w:jc w:val="center"/>
                          <w:rPr>
                            <w:sz w:val="22"/>
                          </w:rPr>
                        </w:pPr>
                        <w:r>
                          <w:rPr>
                            <w:spacing w:val="-5"/>
                            <w:sz w:val="22"/>
                          </w:rPr>
                          <w:t>33</w:t>
                        </w:r>
                      </w:p>
                    </w:tc>
                    <w:tc>
                      <w:tcPr>
                        <w:tcW w:w="2977" w:type="dxa"/>
                      </w:tcPr>
                      <w:p>
                        <w:pPr>
                          <w:pStyle w:val="TableParagraph"/>
                          <w:spacing w:before="52"/>
                          <w:ind w:left="108"/>
                          <w:rPr>
                            <w:sz w:val="22"/>
                          </w:rPr>
                        </w:pPr>
                        <w:r>
                          <w:rPr>
                            <w:spacing w:val="-4"/>
                            <w:sz w:val="22"/>
                          </w:rPr>
                          <w:t>胆道系统重建手术</w:t>
                        </w:r>
                      </w:p>
                    </w:tc>
                  </w:tr>
                  <w:tr>
                    <w:trPr>
                      <w:trHeight w:val="385" w:hRule="atLeast"/>
                    </w:trPr>
                    <w:tc>
                      <w:tcPr>
                        <w:tcW w:w="567" w:type="dxa"/>
                      </w:tcPr>
                      <w:p>
                        <w:pPr>
                          <w:pStyle w:val="TableParagraph"/>
                          <w:spacing w:before="51"/>
                          <w:ind w:right="217"/>
                          <w:jc w:val="right"/>
                          <w:rPr>
                            <w:sz w:val="22"/>
                          </w:rPr>
                        </w:pPr>
                        <w:r>
                          <w:rPr>
                            <w:w w:val="100"/>
                            <w:sz w:val="22"/>
                          </w:rPr>
                          <w:t>9</w:t>
                        </w:r>
                      </w:p>
                    </w:tc>
                    <w:tc>
                      <w:tcPr>
                        <w:tcW w:w="3055" w:type="dxa"/>
                      </w:tcPr>
                      <w:p>
                        <w:pPr>
                          <w:pStyle w:val="TableParagraph"/>
                          <w:spacing w:before="51"/>
                          <w:ind w:left="106"/>
                          <w:rPr>
                            <w:sz w:val="22"/>
                          </w:rPr>
                        </w:pPr>
                        <w:r>
                          <w:rPr>
                            <w:spacing w:val="-4"/>
                            <w:sz w:val="22"/>
                          </w:rPr>
                          <w:t>单耳失聪</w:t>
                        </w:r>
                      </w:p>
                    </w:tc>
                    <w:tc>
                      <w:tcPr>
                        <w:tcW w:w="567" w:type="dxa"/>
                      </w:tcPr>
                      <w:p>
                        <w:pPr>
                          <w:pStyle w:val="TableParagraph"/>
                          <w:spacing w:before="51"/>
                          <w:ind w:left="155" w:right="148"/>
                          <w:jc w:val="center"/>
                          <w:rPr>
                            <w:sz w:val="22"/>
                          </w:rPr>
                        </w:pPr>
                        <w:r>
                          <w:rPr>
                            <w:spacing w:val="-5"/>
                            <w:sz w:val="22"/>
                          </w:rPr>
                          <w:t>34</w:t>
                        </w:r>
                      </w:p>
                    </w:tc>
                    <w:tc>
                      <w:tcPr>
                        <w:tcW w:w="2977" w:type="dxa"/>
                      </w:tcPr>
                      <w:p>
                        <w:pPr>
                          <w:pStyle w:val="TableParagraph"/>
                          <w:spacing w:before="51"/>
                          <w:ind w:left="108"/>
                          <w:rPr>
                            <w:sz w:val="22"/>
                          </w:rPr>
                        </w:pPr>
                        <w:r>
                          <w:rPr>
                            <w:spacing w:val="-4"/>
                            <w:sz w:val="22"/>
                          </w:rPr>
                          <w:t>早期肝硬化</w:t>
                        </w:r>
                      </w:p>
                    </w:tc>
                  </w:tr>
                </w:tbl>
                <w:p>
                  <w:pPr>
                    <w:pStyle w:val="BodyText"/>
                  </w:pPr>
                </w:p>
              </w:txbxContent>
            </v:textbox>
            <w10:wrap type="none"/>
          </v:shape>
        </w:pict>
      </w:r>
      <w:r>
        <w:rPr/>
        <w:t>我们提供保障的轻度疾病共有50种，名称如下，具体释义见“12 轻度疾病</w:t>
      </w:r>
      <w:r>
        <w:rPr>
          <w:spacing w:val="-2"/>
        </w:rPr>
        <w:t>的定义”。</w:t>
      </w:r>
    </w:p>
    <w:p>
      <w:pPr>
        <w:spacing w:after="0" w:line="324" w:lineRule="auto"/>
        <w:sectPr>
          <w:type w:val="continuous"/>
          <w:pgSz w:w="11910" w:h="16840"/>
          <w:pgMar w:header="484" w:footer="706" w:top="1240" w:bottom="900" w:left="980" w:right="980"/>
          <w:cols w:num="2" w:equalWidth="0">
            <w:col w:w="2256" w:space="72"/>
            <w:col w:w="7622"/>
          </w:cols>
        </w:sectPr>
      </w:pPr>
    </w:p>
    <w:p>
      <w:pPr>
        <w:pStyle w:val="BodyText"/>
        <w:spacing w:before="6"/>
        <w:rPr>
          <w:sz w:val="13"/>
        </w:rPr>
      </w:pPr>
    </w:p>
    <w:tbl>
      <w:tblPr>
        <w:tblW w:w="0" w:type="auto"/>
        <w:jc w:val="left"/>
        <w:tblInd w:w="2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7"/>
        <w:gridCol w:w="3055"/>
        <w:gridCol w:w="567"/>
        <w:gridCol w:w="2977"/>
      </w:tblGrid>
      <w:tr>
        <w:trPr>
          <w:trHeight w:val="387" w:hRule="atLeast"/>
        </w:trPr>
        <w:tc>
          <w:tcPr>
            <w:tcW w:w="567" w:type="dxa"/>
          </w:tcPr>
          <w:p>
            <w:pPr>
              <w:pStyle w:val="TableParagraph"/>
              <w:spacing w:before="52"/>
              <w:ind w:left="156" w:right="148"/>
              <w:jc w:val="center"/>
              <w:rPr>
                <w:sz w:val="22"/>
              </w:rPr>
            </w:pPr>
            <w:r>
              <w:rPr>
                <w:spacing w:val="-5"/>
                <w:sz w:val="22"/>
              </w:rPr>
              <w:t>10</w:t>
            </w:r>
          </w:p>
        </w:tc>
        <w:tc>
          <w:tcPr>
            <w:tcW w:w="3055" w:type="dxa"/>
          </w:tcPr>
          <w:p>
            <w:pPr>
              <w:pStyle w:val="TableParagraph"/>
              <w:spacing w:before="52"/>
              <w:ind w:left="106"/>
              <w:rPr>
                <w:sz w:val="22"/>
              </w:rPr>
            </w:pPr>
            <w:r>
              <w:rPr>
                <w:spacing w:val="-4"/>
                <w:sz w:val="22"/>
              </w:rPr>
              <w:t>人工耳蜗植入术</w:t>
            </w:r>
          </w:p>
        </w:tc>
        <w:tc>
          <w:tcPr>
            <w:tcW w:w="567" w:type="dxa"/>
          </w:tcPr>
          <w:p>
            <w:pPr>
              <w:pStyle w:val="TableParagraph"/>
              <w:spacing w:before="52"/>
              <w:ind w:left="155" w:right="148"/>
              <w:jc w:val="center"/>
              <w:rPr>
                <w:sz w:val="22"/>
              </w:rPr>
            </w:pPr>
            <w:r>
              <w:rPr>
                <w:spacing w:val="-5"/>
                <w:sz w:val="22"/>
              </w:rPr>
              <w:t>35</w:t>
            </w:r>
          </w:p>
        </w:tc>
        <w:tc>
          <w:tcPr>
            <w:tcW w:w="2977" w:type="dxa"/>
          </w:tcPr>
          <w:p>
            <w:pPr>
              <w:pStyle w:val="TableParagraph"/>
              <w:spacing w:before="52"/>
              <w:ind w:left="108"/>
              <w:rPr>
                <w:sz w:val="22"/>
              </w:rPr>
            </w:pPr>
            <w:r>
              <w:rPr>
                <w:spacing w:val="-4"/>
                <w:sz w:val="22"/>
              </w:rPr>
              <w:t>硬脑膜下血肿手术</w:t>
            </w:r>
          </w:p>
        </w:tc>
      </w:tr>
      <w:tr>
        <w:trPr>
          <w:trHeight w:val="387" w:hRule="atLeast"/>
        </w:trPr>
        <w:tc>
          <w:tcPr>
            <w:tcW w:w="567" w:type="dxa"/>
          </w:tcPr>
          <w:p>
            <w:pPr>
              <w:pStyle w:val="TableParagraph"/>
              <w:spacing w:before="51"/>
              <w:ind w:left="156" w:right="148"/>
              <w:jc w:val="center"/>
              <w:rPr>
                <w:sz w:val="22"/>
              </w:rPr>
            </w:pPr>
            <w:r>
              <w:rPr>
                <w:spacing w:val="-5"/>
                <w:sz w:val="22"/>
              </w:rPr>
              <w:t>11</w:t>
            </w:r>
          </w:p>
        </w:tc>
        <w:tc>
          <w:tcPr>
            <w:tcW w:w="3055" w:type="dxa"/>
          </w:tcPr>
          <w:p>
            <w:pPr>
              <w:pStyle w:val="TableParagraph"/>
              <w:spacing w:before="51"/>
              <w:ind w:left="106"/>
              <w:rPr>
                <w:sz w:val="22"/>
              </w:rPr>
            </w:pPr>
            <w:r>
              <w:rPr>
                <w:spacing w:val="-4"/>
                <w:sz w:val="22"/>
              </w:rPr>
              <w:t>视力严重受损</w:t>
            </w:r>
          </w:p>
        </w:tc>
        <w:tc>
          <w:tcPr>
            <w:tcW w:w="567" w:type="dxa"/>
          </w:tcPr>
          <w:p>
            <w:pPr>
              <w:pStyle w:val="TableParagraph"/>
              <w:spacing w:before="51"/>
              <w:ind w:left="155" w:right="148"/>
              <w:jc w:val="center"/>
              <w:rPr>
                <w:sz w:val="22"/>
              </w:rPr>
            </w:pPr>
            <w:r>
              <w:rPr>
                <w:spacing w:val="-5"/>
                <w:sz w:val="22"/>
              </w:rPr>
              <w:t>36</w:t>
            </w:r>
          </w:p>
        </w:tc>
        <w:tc>
          <w:tcPr>
            <w:tcW w:w="2977" w:type="dxa"/>
          </w:tcPr>
          <w:p>
            <w:pPr>
              <w:pStyle w:val="TableParagraph"/>
              <w:spacing w:before="51"/>
              <w:ind w:left="108"/>
              <w:rPr>
                <w:sz w:val="22"/>
              </w:rPr>
            </w:pPr>
            <w:r>
              <w:rPr>
                <w:spacing w:val="-4"/>
                <w:sz w:val="22"/>
              </w:rPr>
              <w:t>慢性阻塞性肺病</w:t>
            </w:r>
          </w:p>
        </w:tc>
      </w:tr>
      <w:tr>
        <w:trPr>
          <w:trHeight w:val="386" w:hRule="atLeast"/>
        </w:trPr>
        <w:tc>
          <w:tcPr>
            <w:tcW w:w="567" w:type="dxa"/>
          </w:tcPr>
          <w:p>
            <w:pPr>
              <w:pStyle w:val="TableParagraph"/>
              <w:spacing w:before="53"/>
              <w:ind w:left="156" w:right="148"/>
              <w:jc w:val="center"/>
              <w:rPr>
                <w:sz w:val="22"/>
              </w:rPr>
            </w:pPr>
            <w:r>
              <w:rPr>
                <w:spacing w:val="-5"/>
                <w:sz w:val="22"/>
              </w:rPr>
              <w:t>12</w:t>
            </w:r>
          </w:p>
        </w:tc>
        <w:tc>
          <w:tcPr>
            <w:tcW w:w="3055" w:type="dxa"/>
          </w:tcPr>
          <w:p>
            <w:pPr>
              <w:pStyle w:val="TableParagraph"/>
              <w:spacing w:before="53"/>
              <w:ind w:left="106"/>
              <w:rPr>
                <w:sz w:val="22"/>
              </w:rPr>
            </w:pPr>
            <w:r>
              <w:rPr>
                <w:spacing w:val="-4"/>
                <w:sz w:val="22"/>
              </w:rPr>
              <w:t>角膜移植</w:t>
            </w:r>
          </w:p>
        </w:tc>
        <w:tc>
          <w:tcPr>
            <w:tcW w:w="567" w:type="dxa"/>
          </w:tcPr>
          <w:p>
            <w:pPr>
              <w:pStyle w:val="TableParagraph"/>
              <w:spacing w:before="53"/>
              <w:ind w:left="155" w:right="148"/>
              <w:jc w:val="center"/>
              <w:rPr>
                <w:sz w:val="22"/>
              </w:rPr>
            </w:pPr>
            <w:r>
              <w:rPr>
                <w:spacing w:val="-5"/>
                <w:sz w:val="22"/>
              </w:rPr>
              <w:t>37</w:t>
            </w:r>
          </w:p>
        </w:tc>
        <w:tc>
          <w:tcPr>
            <w:tcW w:w="2977" w:type="dxa"/>
          </w:tcPr>
          <w:p>
            <w:pPr>
              <w:pStyle w:val="TableParagraph"/>
              <w:spacing w:before="53"/>
              <w:ind w:left="108"/>
              <w:rPr>
                <w:sz w:val="22"/>
              </w:rPr>
            </w:pPr>
            <w:r>
              <w:rPr>
                <w:spacing w:val="-4"/>
                <w:sz w:val="22"/>
              </w:rPr>
              <w:t>早期系统性硬皮病</w:t>
            </w:r>
          </w:p>
        </w:tc>
      </w:tr>
      <w:tr>
        <w:trPr>
          <w:trHeight w:val="585" w:hRule="atLeast"/>
        </w:trPr>
        <w:tc>
          <w:tcPr>
            <w:tcW w:w="567" w:type="dxa"/>
          </w:tcPr>
          <w:p>
            <w:pPr>
              <w:pStyle w:val="TableParagraph"/>
              <w:spacing w:before="150"/>
              <w:ind w:left="156" w:right="148"/>
              <w:jc w:val="center"/>
              <w:rPr>
                <w:sz w:val="22"/>
              </w:rPr>
            </w:pPr>
            <w:r>
              <w:rPr>
                <w:spacing w:val="-5"/>
                <w:sz w:val="22"/>
              </w:rPr>
              <w:t>13</w:t>
            </w:r>
          </w:p>
        </w:tc>
        <w:tc>
          <w:tcPr>
            <w:tcW w:w="3055" w:type="dxa"/>
          </w:tcPr>
          <w:p>
            <w:pPr>
              <w:pStyle w:val="TableParagraph"/>
              <w:spacing w:before="150"/>
              <w:ind w:left="106"/>
              <w:rPr>
                <w:sz w:val="22"/>
              </w:rPr>
            </w:pPr>
            <w:r>
              <w:rPr>
                <w:spacing w:val="-4"/>
                <w:sz w:val="22"/>
              </w:rPr>
              <w:t>单眼失明</w:t>
            </w:r>
          </w:p>
        </w:tc>
        <w:tc>
          <w:tcPr>
            <w:tcW w:w="567" w:type="dxa"/>
          </w:tcPr>
          <w:p>
            <w:pPr>
              <w:pStyle w:val="TableParagraph"/>
              <w:spacing w:before="150"/>
              <w:ind w:left="155" w:right="148"/>
              <w:jc w:val="center"/>
              <w:rPr>
                <w:sz w:val="22"/>
              </w:rPr>
            </w:pPr>
            <w:r>
              <w:rPr>
                <w:spacing w:val="-5"/>
                <w:sz w:val="22"/>
              </w:rPr>
              <w:t>38</w:t>
            </w:r>
          </w:p>
        </w:tc>
        <w:tc>
          <w:tcPr>
            <w:tcW w:w="2977" w:type="dxa"/>
          </w:tcPr>
          <w:p>
            <w:pPr>
              <w:pStyle w:val="TableParagraph"/>
              <w:spacing w:line="280" w:lineRule="atLeast" w:before="1"/>
              <w:ind w:left="108" w:right="216"/>
              <w:rPr>
                <w:sz w:val="22"/>
              </w:rPr>
            </w:pPr>
            <w:r>
              <w:rPr>
                <w:spacing w:val="-2"/>
                <w:sz w:val="22"/>
              </w:rPr>
              <w:t>脑垂体瘤、脑囊肿、脑动脉</w:t>
            </w:r>
            <w:r>
              <w:rPr>
                <w:spacing w:val="-2"/>
                <w:sz w:val="22"/>
              </w:rPr>
              <w:t>瘤/脑血管瘤</w:t>
            </w:r>
          </w:p>
        </w:tc>
      </w:tr>
      <w:tr>
        <w:trPr>
          <w:trHeight w:val="585" w:hRule="atLeast"/>
        </w:trPr>
        <w:tc>
          <w:tcPr>
            <w:tcW w:w="567" w:type="dxa"/>
          </w:tcPr>
          <w:p>
            <w:pPr>
              <w:pStyle w:val="TableParagraph"/>
              <w:spacing w:before="150"/>
              <w:ind w:left="156" w:right="148"/>
              <w:jc w:val="center"/>
              <w:rPr>
                <w:sz w:val="22"/>
              </w:rPr>
            </w:pPr>
            <w:r>
              <w:rPr>
                <w:spacing w:val="-5"/>
                <w:sz w:val="22"/>
              </w:rPr>
              <w:t>14</w:t>
            </w:r>
          </w:p>
        </w:tc>
        <w:tc>
          <w:tcPr>
            <w:tcW w:w="3055" w:type="dxa"/>
          </w:tcPr>
          <w:p>
            <w:pPr>
              <w:pStyle w:val="TableParagraph"/>
              <w:spacing w:line="280" w:lineRule="atLeast" w:before="1"/>
              <w:ind w:left="106" w:right="296"/>
              <w:rPr>
                <w:sz w:val="22"/>
              </w:rPr>
            </w:pPr>
            <w:r>
              <w:rPr>
                <w:spacing w:val="-2"/>
                <w:sz w:val="22"/>
              </w:rPr>
              <w:t>主动脉内手术（非开胸开腹</w:t>
            </w:r>
            <w:r>
              <w:rPr>
                <w:spacing w:val="-4"/>
                <w:sz w:val="22"/>
              </w:rPr>
              <w:t>手术）</w:t>
            </w:r>
          </w:p>
        </w:tc>
        <w:tc>
          <w:tcPr>
            <w:tcW w:w="567" w:type="dxa"/>
          </w:tcPr>
          <w:p>
            <w:pPr>
              <w:pStyle w:val="TableParagraph"/>
              <w:spacing w:before="150"/>
              <w:ind w:left="155" w:right="148"/>
              <w:jc w:val="center"/>
              <w:rPr>
                <w:sz w:val="22"/>
              </w:rPr>
            </w:pPr>
            <w:r>
              <w:rPr>
                <w:spacing w:val="-5"/>
                <w:sz w:val="22"/>
              </w:rPr>
              <w:t>39</w:t>
            </w:r>
          </w:p>
        </w:tc>
        <w:tc>
          <w:tcPr>
            <w:tcW w:w="2977" w:type="dxa"/>
          </w:tcPr>
          <w:p>
            <w:pPr>
              <w:pStyle w:val="TableParagraph"/>
              <w:spacing w:before="150"/>
              <w:ind w:left="108"/>
              <w:rPr>
                <w:sz w:val="22"/>
              </w:rPr>
            </w:pPr>
            <w:r>
              <w:rPr>
                <w:spacing w:val="-3"/>
                <w:sz w:val="22"/>
              </w:rPr>
              <w:t>可逆性再生障碍性贫血</w:t>
            </w:r>
          </w:p>
        </w:tc>
      </w:tr>
      <w:tr>
        <w:trPr>
          <w:trHeight w:val="387" w:hRule="atLeast"/>
        </w:trPr>
        <w:tc>
          <w:tcPr>
            <w:tcW w:w="567" w:type="dxa"/>
          </w:tcPr>
          <w:p>
            <w:pPr>
              <w:pStyle w:val="TableParagraph"/>
              <w:spacing w:before="52"/>
              <w:ind w:left="156" w:right="148"/>
              <w:jc w:val="center"/>
              <w:rPr>
                <w:sz w:val="22"/>
              </w:rPr>
            </w:pPr>
            <w:r>
              <w:rPr>
                <w:spacing w:val="-5"/>
                <w:sz w:val="22"/>
              </w:rPr>
              <w:t>15</w:t>
            </w:r>
          </w:p>
        </w:tc>
        <w:tc>
          <w:tcPr>
            <w:tcW w:w="3055" w:type="dxa"/>
          </w:tcPr>
          <w:p>
            <w:pPr>
              <w:pStyle w:val="TableParagraph"/>
              <w:spacing w:before="52"/>
              <w:ind w:left="106"/>
              <w:rPr>
                <w:sz w:val="22"/>
              </w:rPr>
            </w:pPr>
            <w:r>
              <w:rPr>
                <w:spacing w:val="-4"/>
                <w:sz w:val="22"/>
              </w:rPr>
              <w:t>轻度慢性肾脏疾病</w:t>
            </w:r>
          </w:p>
        </w:tc>
        <w:tc>
          <w:tcPr>
            <w:tcW w:w="567" w:type="dxa"/>
          </w:tcPr>
          <w:p>
            <w:pPr>
              <w:pStyle w:val="TableParagraph"/>
              <w:spacing w:before="52"/>
              <w:ind w:left="155" w:right="148"/>
              <w:jc w:val="center"/>
              <w:rPr>
                <w:sz w:val="22"/>
              </w:rPr>
            </w:pPr>
            <w:r>
              <w:rPr>
                <w:spacing w:val="-5"/>
                <w:sz w:val="22"/>
              </w:rPr>
              <w:t>40</w:t>
            </w:r>
          </w:p>
        </w:tc>
        <w:tc>
          <w:tcPr>
            <w:tcW w:w="2977" w:type="dxa"/>
          </w:tcPr>
          <w:p>
            <w:pPr>
              <w:pStyle w:val="TableParagraph"/>
              <w:spacing w:before="52"/>
              <w:ind w:left="108"/>
              <w:rPr>
                <w:sz w:val="22"/>
              </w:rPr>
            </w:pPr>
            <w:r>
              <w:rPr>
                <w:spacing w:val="-4"/>
                <w:sz w:val="22"/>
              </w:rPr>
              <w:t>植入大脑内分流器</w:t>
            </w:r>
          </w:p>
        </w:tc>
      </w:tr>
      <w:tr>
        <w:trPr>
          <w:trHeight w:val="387" w:hRule="atLeast"/>
        </w:trPr>
        <w:tc>
          <w:tcPr>
            <w:tcW w:w="567" w:type="dxa"/>
          </w:tcPr>
          <w:p>
            <w:pPr>
              <w:pStyle w:val="TableParagraph"/>
              <w:spacing w:before="51"/>
              <w:ind w:left="156" w:right="148"/>
              <w:jc w:val="center"/>
              <w:rPr>
                <w:sz w:val="22"/>
              </w:rPr>
            </w:pPr>
            <w:r>
              <w:rPr>
                <w:spacing w:val="-5"/>
                <w:sz w:val="22"/>
              </w:rPr>
              <w:t>16</w:t>
            </w:r>
          </w:p>
        </w:tc>
        <w:tc>
          <w:tcPr>
            <w:tcW w:w="3055" w:type="dxa"/>
          </w:tcPr>
          <w:p>
            <w:pPr>
              <w:pStyle w:val="TableParagraph"/>
              <w:spacing w:before="51"/>
              <w:ind w:left="106"/>
              <w:rPr>
                <w:sz w:val="22"/>
              </w:rPr>
            </w:pPr>
            <w:r>
              <w:rPr>
                <w:spacing w:val="-4"/>
                <w:sz w:val="22"/>
              </w:rPr>
              <w:t>肝脏整叶切除</w:t>
            </w:r>
          </w:p>
        </w:tc>
        <w:tc>
          <w:tcPr>
            <w:tcW w:w="567" w:type="dxa"/>
          </w:tcPr>
          <w:p>
            <w:pPr>
              <w:pStyle w:val="TableParagraph"/>
              <w:spacing w:before="51"/>
              <w:ind w:left="155" w:right="148"/>
              <w:jc w:val="center"/>
              <w:rPr>
                <w:sz w:val="22"/>
              </w:rPr>
            </w:pPr>
            <w:r>
              <w:rPr>
                <w:spacing w:val="-5"/>
                <w:sz w:val="22"/>
              </w:rPr>
              <w:t>41</w:t>
            </w:r>
          </w:p>
        </w:tc>
        <w:tc>
          <w:tcPr>
            <w:tcW w:w="2977" w:type="dxa"/>
          </w:tcPr>
          <w:p>
            <w:pPr>
              <w:pStyle w:val="TableParagraph"/>
              <w:spacing w:before="51"/>
              <w:ind w:left="108"/>
              <w:rPr>
                <w:sz w:val="22"/>
              </w:rPr>
            </w:pPr>
            <w:r>
              <w:rPr>
                <w:spacing w:val="-4"/>
                <w:sz w:val="22"/>
              </w:rPr>
              <w:t>轻度颅脑手术</w:t>
            </w:r>
          </w:p>
        </w:tc>
      </w:tr>
      <w:tr>
        <w:trPr>
          <w:trHeight w:val="387" w:hRule="atLeast"/>
        </w:trPr>
        <w:tc>
          <w:tcPr>
            <w:tcW w:w="567" w:type="dxa"/>
          </w:tcPr>
          <w:p>
            <w:pPr>
              <w:pStyle w:val="TableParagraph"/>
              <w:spacing w:before="52"/>
              <w:ind w:left="156" w:right="148"/>
              <w:jc w:val="center"/>
              <w:rPr>
                <w:sz w:val="22"/>
              </w:rPr>
            </w:pPr>
            <w:r>
              <w:rPr>
                <w:spacing w:val="-5"/>
                <w:sz w:val="22"/>
              </w:rPr>
              <w:t>17</w:t>
            </w:r>
          </w:p>
        </w:tc>
        <w:tc>
          <w:tcPr>
            <w:tcW w:w="3055" w:type="dxa"/>
          </w:tcPr>
          <w:p>
            <w:pPr>
              <w:pStyle w:val="TableParagraph"/>
              <w:spacing w:before="52"/>
              <w:ind w:left="106"/>
              <w:rPr>
                <w:sz w:val="22"/>
              </w:rPr>
            </w:pPr>
            <w:r>
              <w:rPr>
                <w:spacing w:val="-4"/>
                <w:sz w:val="22"/>
              </w:rPr>
              <w:t>继发性肺动脉高压</w:t>
            </w:r>
          </w:p>
        </w:tc>
        <w:tc>
          <w:tcPr>
            <w:tcW w:w="567" w:type="dxa"/>
          </w:tcPr>
          <w:p>
            <w:pPr>
              <w:pStyle w:val="TableParagraph"/>
              <w:spacing w:before="52"/>
              <w:ind w:left="155" w:right="148"/>
              <w:jc w:val="center"/>
              <w:rPr>
                <w:sz w:val="22"/>
              </w:rPr>
            </w:pPr>
            <w:r>
              <w:rPr>
                <w:spacing w:val="-5"/>
                <w:sz w:val="22"/>
              </w:rPr>
              <w:t>42</w:t>
            </w:r>
          </w:p>
        </w:tc>
        <w:tc>
          <w:tcPr>
            <w:tcW w:w="2977" w:type="dxa"/>
          </w:tcPr>
          <w:p>
            <w:pPr>
              <w:pStyle w:val="TableParagraph"/>
              <w:spacing w:before="52"/>
              <w:ind w:left="108"/>
              <w:rPr>
                <w:sz w:val="22"/>
              </w:rPr>
            </w:pPr>
            <w:r>
              <w:rPr>
                <w:spacing w:val="-3"/>
                <w:sz w:val="22"/>
              </w:rPr>
              <w:t>外伤性颅内血肿清除术</w:t>
            </w:r>
          </w:p>
        </w:tc>
      </w:tr>
      <w:tr>
        <w:trPr>
          <w:trHeight w:val="585" w:hRule="atLeast"/>
        </w:trPr>
        <w:tc>
          <w:tcPr>
            <w:tcW w:w="567" w:type="dxa"/>
          </w:tcPr>
          <w:p>
            <w:pPr>
              <w:pStyle w:val="TableParagraph"/>
              <w:spacing w:before="150"/>
              <w:ind w:left="156" w:right="148"/>
              <w:jc w:val="center"/>
              <w:rPr>
                <w:sz w:val="22"/>
              </w:rPr>
            </w:pPr>
            <w:r>
              <w:rPr>
                <w:spacing w:val="-5"/>
                <w:sz w:val="22"/>
              </w:rPr>
              <w:t>18</w:t>
            </w:r>
          </w:p>
        </w:tc>
        <w:tc>
          <w:tcPr>
            <w:tcW w:w="3055" w:type="dxa"/>
          </w:tcPr>
          <w:p>
            <w:pPr>
              <w:pStyle w:val="TableParagraph"/>
              <w:spacing w:before="150"/>
              <w:ind w:left="106"/>
              <w:rPr>
                <w:sz w:val="22"/>
              </w:rPr>
            </w:pPr>
            <w:r>
              <w:rPr>
                <w:spacing w:val="-3"/>
                <w:sz w:val="22"/>
              </w:rPr>
              <w:t>轻度特发性肺动脉高压</w:t>
            </w:r>
          </w:p>
        </w:tc>
        <w:tc>
          <w:tcPr>
            <w:tcW w:w="567" w:type="dxa"/>
          </w:tcPr>
          <w:p>
            <w:pPr>
              <w:pStyle w:val="TableParagraph"/>
              <w:spacing w:before="150"/>
              <w:ind w:left="155" w:right="148"/>
              <w:jc w:val="center"/>
              <w:rPr>
                <w:sz w:val="22"/>
              </w:rPr>
            </w:pPr>
            <w:r>
              <w:rPr>
                <w:spacing w:val="-5"/>
                <w:sz w:val="22"/>
              </w:rPr>
              <w:t>43</w:t>
            </w:r>
          </w:p>
        </w:tc>
        <w:tc>
          <w:tcPr>
            <w:tcW w:w="2977" w:type="dxa"/>
          </w:tcPr>
          <w:p>
            <w:pPr>
              <w:pStyle w:val="TableParagraph"/>
              <w:spacing w:line="280" w:lineRule="atLeast" w:before="1"/>
              <w:ind w:left="108" w:right="216"/>
              <w:rPr>
                <w:sz w:val="22"/>
              </w:rPr>
            </w:pPr>
            <w:r>
              <w:rPr>
                <w:spacing w:val="-2"/>
                <w:sz w:val="22"/>
              </w:rPr>
              <w:t>骨质疏松骨折髋关节置换手</w:t>
            </w:r>
            <w:r>
              <w:rPr>
                <w:spacing w:val="-10"/>
                <w:sz w:val="22"/>
              </w:rPr>
              <w:t>术</w:t>
            </w:r>
          </w:p>
        </w:tc>
      </w:tr>
      <w:tr>
        <w:trPr>
          <w:trHeight w:val="561" w:hRule="atLeast"/>
        </w:trPr>
        <w:tc>
          <w:tcPr>
            <w:tcW w:w="567" w:type="dxa"/>
          </w:tcPr>
          <w:p>
            <w:pPr>
              <w:pStyle w:val="TableParagraph"/>
              <w:spacing w:before="138"/>
              <w:ind w:left="156" w:right="148"/>
              <w:jc w:val="center"/>
              <w:rPr>
                <w:sz w:val="22"/>
              </w:rPr>
            </w:pPr>
            <w:r>
              <w:rPr>
                <w:spacing w:val="-5"/>
                <w:sz w:val="22"/>
              </w:rPr>
              <w:t>19</w:t>
            </w:r>
          </w:p>
        </w:tc>
        <w:tc>
          <w:tcPr>
            <w:tcW w:w="3055" w:type="dxa"/>
          </w:tcPr>
          <w:p>
            <w:pPr>
              <w:pStyle w:val="TableParagraph"/>
              <w:spacing w:before="1"/>
              <w:ind w:left="106"/>
              <w:rPr>
                <w:sz w:val="22"/>
              </w:rPr>
            </w:pPr>
            <w:r>
              <w:rPr>
                <w:spacing w:val="-3"/>
                <w:sz w:val="22"/>
              </w:rPr>
              <w:t>因肾上腺腺瘤所致的肾上腺</w:t>
            </w:r>
          </w:p>
          <w:p>
            <w:pPr>
              <w:pStyle w:val="TableParagraph"/>
              <w:spacing w:line="254" w:lineRule="exact" w:before="4"/>
              <w:ind w:left="106"/>
              <w:rPr>
                <w:sz w:val="22"/>
              </w:rPr>
            </w:pPr>
            <w:r>
              <w:rPr>
                <w:spacing w:val="-5"/>
                <w:sz w:val="22"/>
              </w:rPr>
              <w:t>切除术</w:t>
            </w:r>
          </w:p>
        </w:tc>
        <w:tc>
          <w:tcPr>
            <w:tcW w:w="567" w:type="dxa"/>
          </w:tcPr>
          <w:p>
            <w:pPr>
              <w:pStyle w:val="TableParagraph"/>
              <w:spacing w:before="138"/>
              <w:ind w:left="155" w:right="148"/>
              <w:jc w:val="center"/>
              <w:rPr>
                <w:sz w:val="22"/>
              </w:rPr>
            </w:pPr>
            <w:r>
              <w:rPr>
                <w:spacing w:val="-5"/>
                <w:sz w:val="22"/>
              </w:rPr>
              <w:t>44</w:t>
            </w:r>
          </w:p>
        </w:tc>
        <w:tc>
          <w:tcPr>
            <w:tcW w:w="2977" w:type="dxa"/>
          </w:tcPr>
          <w:p>
            <w:pPr>
              <w:pStyle w:val="TableParagraph"/>
              <w:spacing w:before="138"/>
              <w:ind w:left="108"/>
              <w:rPr>
                <w:sz w:val="22"/>
              </w:rPr>
            </w:pPr>
            <w:r>
              <w:rPr>
                <w:spacing w:val="-4"/>
                <w:sz w:val="22"/>
              </w:rPr>
              <w:t>多发肋骨骨折</w:t>
            </w:r>
          </w:p>
        </w:tc>
      </w:tr>
      <w:tr>
        <w:trPr>
          <w:trHeight w:val="386" w:hRule="atLeast"/>
        </w:trPr>
        <w:tc>
          <w:tcPr>
            <w:tcW w:w="567" w:type="dxa"/>
          </w:tcPr>
          <w:p>
            <w:pPr>
              <w:pStyle w:val="TableParagraph"/>
              <w:spacing w:before="52"/>
              <w:ind w:left="156" w:right="148"/>
              <w:jc w:val="center"/>
              <w:rPr>
                <w:sz w:val="22"/>
              </w:rPr>
            </w:pPr>
            <w:r>
              <w:rPr>
                <w:spacing w:val="-5"/>
                <w:sz w:val="22"/>
              </w:rPr>
              <w:t>20</w:t>
            </w:r>
          </w:p>
        </w:tc>
        <w:tc>
          <w:tcPr>
            <w:tcW w:w="3055" w:type="dxa"/>
          </w:tcPr>
          <w:p>
            <w:pPr>
              <w:pStyle w:val="TableParagraph"/>
              <w:spacing w:before="52"/>
              <w:ind w:left="106"/>
              <w:rPr>
                <w:sz w:val="22"/>
              </w:rPr>
            </w:pPr>
            <w:r>
              <w:rPr>
                <w:spacing w:val="-3"/>
                <w:sz w:val="22"/>
              </w:rPr>
              <w:t>丝虫病所致早期象皮肿</w:t>
            </w:r>
          </w:p>
        </w:tc>
        <w:tc>
          <w:tcPr>
            <w:tcW w:w="567" w:type="dxa"/>
          </w:tcPr>
          <w:p>
            <w:pPr>
              <w:pStyle w:val="TableParagraph"/>
              <w:spacing w:before="52"/>
              <w:ind w:left="155" w:right="148"/>
              <w:jc w:val="center"/>
              <w:rPr>
                <w:sz w:val="22"/>
              </w:rPr>
            </w:pPr>
            <w:r>
              <w:rPr>
                <w:spacing w:val="-5"/>
                <w:sz w:val="22"/>
              </w:rPr>
              <w:t>45</w:t>
            </w:r>
          </w:p>
        </w:tc>
        <w:tc>
          <w:tcPr>
            <w:tcW w:w="2977" w:type="dxa"/>
          </w:tcPr>
          <w:p>
            <w:pPr>
              <w:pStyle w:val="TableParagraph"/>
              <w:spacing w:before="52"/>
              <w:ind w:left="108"/>
              <w:rPr>
                <w:sz w:val="22"/>
              </w:rPr>
            </w:pPr>
            <w:r>
              <w:rPr>
                <w:spacing w:val="-3"/>
                <w:sz w:val="22"/>
              </w:rPr>
              <w:t>急性肾衰竭肾脏透析治疗</w:t>
            </w:r>
          </w:p>
        </w:tc>
      </w:tr>
      <w:tr>
        <w:trPr>
          <w:trHeight w:val="576" w:hRule="atLeast"/>
        </w:trPr>
        <w:tc>
          <w:tcPr>
            <w:tcW w:w="567" w:type="dxa"/>
          </w:tcPr>
          <w:p>
            <w:pPr>
              <w:pStyle w:val="TableParagraph"/>
              <w:spacing w:before="147"/>
              <w:ind w:left="156" w:right="148"/>
              <w:jc w:val="center"/>
              <w:rPr>
                <w:sz w:val="22"/>
              </w:rPr>
            </w:pPr>
            <w:r>
              <w:rPr>
                <w:spacing w:val="-5"/>
                <w:sz w:val="22"/>
              </w:rPr>
              <w:t>21</w:t>
            </w:r>
          </w:p>
        </w:tc>
        <w:tc>
          <w:tcPr>
            <w:tcW w:w="3055" w:type="dxa"/>
          </w:tcPr>
          <w:p>
            <w:pPr>
              <w:pStyle w:val="TableParagraph"/>
              <w:spacing w:before="147"/>
              <w:ind w:left="106"/>
              <w:rPr>
                <w:sz w:val="22"/>
              </w:rPr>
            </w:pPr>
            <w:r>
              <w:rPr>
                <w:spacing w:val="-3"/>
                <w:sz w:val="22"/>
              </w:rPr>
              <w:t>中度系统性红斑狼疮</w:t>
            </w:r>
          </w:p>
        </w:tc>
        <w:tc>
          <w:tcPr>
            <w:tcW w:w="567" w:type="dxa"/>
          </w:tcPr>
          <w:p>
            <w:pPr>
              <w:pStyle w:val="TableParagraph"/>
              <w:spacing w:before="147"/>
              <w:ind w:left="155" w:right="148"/>
              <w:jc w:val="center"/>
              <w:rPr>
                <w:sz w:val="22"/>
              </w:rPr>
            </w:pPr>
            <w:r>
              <w:rPr>
                <w:spacing w:val="-5"/>
                <w:sz w:val="22"/>
              </w:rPr>
              <w:t>46</w:t>
            </w:r>
          </w:p>
        </w:tc>
        <w:tc>
          <w:tcPr>
            <w:tcW w:w="2977" w:type="dxa"/>
          </w:tcPr>
          <w:p>
            <w:pPr>
              <w:pStyle w:val="TableParagraph"/>
              <w:spacing w:before="3"/>
              <w:ind w:left="108"/>
              <w:rPr>
                <w:sz w:val="22"/>
              </w:rPr>
            </w:pPr>
            <w:r>
              <w:rPr>
                <w:spacing w:val="-3"/>
                <w:sz w:val="22"/>
              </w:rPr>
              <w:t>急性出血坏死性胰腺炎腹腔</w:t>
            </w:r>
          </w:p>
          <w:p>
            <w:pPr>
              <w:pStyle w:val="TableParagraph"/>
              <w:spacing w:line="267" w:lineRule="exact" w:before="3"/>
              <w:ind w:left="108"/>
              <w:rPr>
                <w:sz w:val="22"/>
              </w:rPr>
            </w:pPr>
            <w:r>
              <w:rPr>
                <w:spacing w:val="-5"/>
                <w:sz w:val="22"/>
              </w:rPr>
              <w:t>镜手术</w:t>
            </w:r>
          </w:p>
        </w:tc>
      </w:tr>
      <w:tr>
        <w:trPr>
          <w:trHeight w:val="585" w:hRule="atLeast"/>
        </w:trPr>
        <w:tc>
          <w:tcPr>
            <w:tcW w:w="567" w:type="dxa"/>
          </w:tcPr>
          <w:p>
            <w:pPr>
              <w:pStyle w:val="TableParagraph"/>
              <w:spacing w:before="151"/>
              <w:ind w:left="156" w:right="148"/>
              <w:jc w:val="center"/>
              <w:rPr>
                <w:sz w:val="22"/>
              </w:rPr>
            </w:pPr>
            <w:r>
              <w:rPr>
                <w:spacing w:val="-5"/>
                <w:sz w:val="22"/>
              </w:rPr>
              <w:t>22</w:t>
            </w:r>
          </w:p>
        </w:tc>
        <w:tc>
          <w:tcPr>
            <w:tcW w:w="3055" w:type="dxa"/>
          </w:tcPr>
          <w:p>
            <w:pPr>
              <w:pStyle w:val="TableParagraph"/>
              <w:spacing w:before="151"/>
              <w:ind w:left="106"/>
              <w:rPr>
                <w:sz w:val="22"/>
              </w:rPr>
            </w:pPr>
            <w:r>
              <w:rPr>
                <w:spacing w:val="-3"/>
                <w:sz w:val="22"/>
              </w:rPr>
              <w:t>颈动脉狭窄介入手术</w:t>
            </w:r>
          </w:p>
        </w:tc>
        <w:tc>
          <w:tcPr>
            <w:tcW w:w="567" w:type="dxa"/>
          </w:tcPr>
          <w:p>
            <w:pPr>
              <w:pStyle w:val="TableParagraph"/>
              <w:spacing w:before="151"/>
              <w:ind w:left="155" w:right="148"/>
              <w:jc w:val="center"/>
              <w:rPr>
                <w:sz w:val="22"/>
              </w:rPr>
            </w:pPr>
            <w:r>
              <w:rPr>
                <w:spacing w:val="-5"/>
                <w:sz w:val="22"/>
              </w:rPr>
              <w:t>47</w:t>
            </w:r>
          </w:p>
        </w:tc>
        <w:tc>
          <w:tcPr>
            <w:tcW w:w="2977" w:type="dxa"/>
          </w:tcPr>
          <w:p>
            <w:pPr>
              <w:pStyle w:val="TableParagraph"/>
              <w:spacing w:line="280" w:lineRule="atLeast" w:before="1"/>
              <w:ind w:left="108" w:right="216"/>
              <w:rPr>
                <w:sz w:val="22"/>
              </w:rPr>
            </w:pPr>
            <w:r>
              <w:rPr>
                <w:spacing w:val="-2"/>
                <w:sz w:val="22"/>
              </w:rPr>
              <w:t>严重长管骨慢性骨髓炎手术</w:t>
            </w:r>
            <w:r>
              <w:rPr>
                <w:spacing w:val="-6"/>
                <w:sz w:val="22"/>
              </w:rPr>
              <w:t>治疗</w:t>
            </w:r>
          </w:p>
        </w:tc>
      </w:tr>
      <w:tr>
        <w:trPr>
          <w:trHeight w:val="562" w:hRule="atLeast"/>
        </w:trPr>
        <w:tc>
          <w:tcPr>
            <w:tcW w:w="567" w:type="dxa"/>
          </w:tcPr>
          <w:p>
            <w:pPr>
              <w:pStyle w:val="TableParagraph"/>
              <w:spacing w:before="139"/>
              <w:ind w:left="156" w:right="148"/>
              <w:jc w:val="center"/>
              <w:rPr>
                <w:sz w:val="22"/>
              </w:rPr>
            </w:pPr>
            <w:r>
              <w:rPr>
                <w:spacing w:val="-5"/>
                <w:sz w:val="22"/>
              </w:rPr>
              <w:t>23</w:t>
            </w:r>
          </w:p>
        </w:tc>
        <w:tc>
          <w:tcPr>
            <w:tcW w:w="3055" w:type="dxa"/>
          </w:tcPr>
          <w:p>
            <w:pPr>
              <w:pStyle w:val="TableParagraph"/>
              <w:spacing w:line="280" w:lineRule="atLeast"/>
              <w:ind w:left="106" w:right="296"/>
              <w:rPr>
                <w:sz w:val="22"/>
              </w:rPr>
            </w:pPr>
            <w:r>
              <w:rPr>
                <w:spacing w:val="-2"/>
                <w:sz w:val="22"/>
              </w:rPr>
              <w:t>特定周围动脉疾病的血管介</w:t>
            </w:r>
            <w:r>
              <w:rPr>
                <w:spacing w:val="-4"/>
                <w:sz w:val="22"/>
              </w:rPr>
              <w:t>入治疗</w:t>
            </w:r>
          </w:p>
        </w:tc>
        <w:tc>
          <w:tcPr>
            <w:tcW w:w="567" w:type="dxa"/>
          </w:tcPr>
          <w:p>
            <w:pPr>
              <w:pStyle w:val="TableParagraph"/>
              <w:spacing w:before="139"/>
              <w:ind w:left="155" w:right="148"/>
              <w:jc w:val="center"/>
              <w:rPr>
                <w:sz w:val="22"/>
              </w:rPr>
            </w:pPr>
            <w:r>
              <w:rPr>
                <w:spacing w:val="-5"/>
                <w:sz w:val="22"/>
              </w:rPr>
              <w:t>48</w:t>
            </w:r>
          </w:p>
        </w:tc>
        <w:tc>
          <w:tcPr>
            <w:tcW w:w="2977" w:type="dxa"/>
          </w:tcPr>
          <w:p>
            <w:pPr>
              <w:pStyle w:val="TableParagraph"/>
              <w:spacing w:before="139"/>
              <w:ind w:left="108"/>
              <w:rPr>
                <w:sz w:val="22"/>
              </w:rPr>
            </w:pPr>
            <w:r>
              <w:rPr>
                <w:spacing w:val="-20"/>
                <w:sz w:val="22"/>
              </w:rPr>
              <w:t>昏迷 </w:t>
            </w:r>
            <w:r>
              <w:rPr>
                <w:spacing w:val="-2"/>
                <w:sz w:val="22"/>
              </w:rPr>
              <w:t>48</w:t>
            </w:r>
            <w:r>
              <w:rPr>
                <w:spacing w:val="-22"/>
                <w:sz w:val="22"/>
              </w:rPr>
              <w:t> 小时</w:t>
            </w:r>
          </w:p>
        </w:tc>
      </w:tr>
      <w:tr>
        <w:trPr>
          <w:trHeight w:val="386" w:hRule="atLeast"/>
        </w:trPr>
        <w:tc>
          <w:tcPr>
            <w:tcW w:w="567" w:type="dxa"/>
          </w:tcPr>
          <w:p>
            <w:pPr>
              <w:pStyle w:val="TableParagraph"/>
              <w:spacing w:before="50"/>
              <w:ind w:left="156" w:right="148"/>
              <w:jc w:val="center"/>
              <w:rPr>
                <w:sz w:val="22"/>
              </w:rPr>
            </w:pPr>
            <w:r>
              <w:rPr>
                <w:spacing w:val="-5"/>
                <w:sz w:val="22"/>
              </w:rPr>
              <w:t>24</w:t>
            </w:r>
          </w:p>
        </w:tc>
        <w:tc>
          <w:tcPr>
            <w:tcW w:w="3055" w:type="dxa"/>
          </w:tcPr>
          <w:p>
            <w:pPr>
              <w:pStyle w:val="TableParagraph"/>
              <w:spacing w:before="50"/>
              <w:ind w:left="106"/>
              <w:rPr>
                <w:sz w:val="22"/>
              </w:rPr>
            </w:pPr>
            <w:r>
              <w:rPr>
                <w:spacing w:val="-4"/>
                <w:sz w:val="22"/>
              </w:rPr>
              <w:t>心包膜切除术</w:t>
            </w:r>
          </w:p>
        </w:tc>
        <w:tc>
          <w:tcPr>
            <w:tcW w:w="567" w:type="dxa"/>
          </w:tcPr>
          <w:p>
            <w:pPr>
              <w:pStyle w:val="TableParagraph"/>
              <w:spacing w:before="50"/>
              <w:ind w:left="155" w:right="148"/>
              <w:jc w:val="center"/>
              <w:rPr>
                <w:sz w:val="22"/>
              </w:rPr>
            </w:pPr>
            <w:r>
              <w:rPr>
                <w:spacing w:val="-5"/>
                <w:sz w:val="22"/>
              </w:rPr>
              <w:t>49</w:t>
            </w:r>
          </w:p>
        </w:tc>
        <w:tc>
          <w:tcPr>
            <w:tcW w:w="2977" w:type="dxa"/>
          </w:tcPr>
          <w:p>
            <w:pPr>
              <w:pStyle w:val="TableParagraph"/>
              <w:spacing w:before="50"/>
              <w:ind w:left="108"/>
              <w:rPr>
                <w:sz w:val="22"/>
              </w:rPr>
            </w:pPr>
            <w:r>
              <w:rPr>
                <w:spacing w:val="-4"/>
                <w:sz w:val="22"/>
              </w:rPr>
              <w:t>较轻面积Ⅲ度烧伤</w:t>
            </w:r>
          </w:p>
        </w:tc>
      </w:tr>
      <w:tr>
        <w:trPr>
          <w:trHeight w:val="385" w:hRule="atLeast"/>
        </w:trPr>
        <w:tc>
          <w:tcPr>
            <w:tcW w:w="567" w:type="dxa"/>
          </w:tcPr>
          <w:p>
            <w:pPr>
              <w:pStyle w:val="TableParagraph"/>
              <w:spacing w:before="52"/>
              <w:ind w:left="156" w:right="148"/>
              <w:jc w:val="center"/>
              <w:rPr>
                <w:sz w:val="22"/>
              </w:rPr>
            </w:pPr>
            <w:r>
              <w:rPr>
                <w:spacing w:val="-5"/>
                <w:sz w:val="22"/>
              </w:rPr>
              <w:t>25</w:t>
            </w:r>
          </w:p>
        </w:tc>
        <w:tc>
          <w:tcPr>
            <w:tcW w:w="3055" w:type="dxa"/>
          </w:tcPr>
          <w:p>
            <w:pPr>
              <w:pStyle w:val="TableParagraph"/>
              <w:spacing w:before="52"/>
              <w:ind w:left="106"/>
              <w:rPr>
                <w:sz w:val="22"/>
              </w:rPr>
            </w:pPr>
            <w:r>
              <w:rPr>
                <w:spacing w:val="-4"/>
                <w:sz w:val="22"/>
              </w:rPr>
              <w:t>早期原发性心肌病</w:t>
            </w:r>
          </w:p>
        </w:tc>
        <w:tc>
          <w:tcPr>
            <w:tcW w:w="567" w:type="dxa"/>
          </w:tcPr>
          <w:p>
            <w:pPr>
              <w:pStyle w:val="TableParagraph"/>
              <w:spacing w:before="52"/>
              <w:ind w:left="155" w:right="148"/>
              <w:jc w:val="center"/>
              <w:rPr>
                <w:sz w:val="22"/>
              </w:rPr>
            </w:pPr>
            <w:r>
              <w:rPr>
                <w:spacing w:val="-5"/>
                <w:sz w:val="22"/>
              </w:rPr>
              <w:t>50</w:t>
            </w:r>
          </w:p>
        </w:tc>
        <w:tc>
          <w:tcPr>
            <w:tcW w:w="2977" w:type="dxa"/>
          </w:tcPr>
          <w:p>
            <w:pPr>
              <w:pStyle w:val="TableParagraph"/>
              <w:spacing w:before="52"/>
              <w:ind w:left="108"/>
              <w:rPr>
                <w:sz w:val="22"/>
              </w:rPr>
            </w:pPr>
            <w:r>
              <w:rPr>
                <w:spacing w:val="-4"/>
                <w:sz w:val="22"/>
              </w:rPr>
              <w:t>轻度面部Ⅲ度烧伤</w:t>
            </w:r>
          </w:p>
        </w:tc>
      </w:tr>
    </w:tbl>
    <w:p>
      <w:pPr>
        <w:pStyle w:val="BodyText"/>
        <w:rPr>
          <w:sz w:val="20"/>
        </w:rPr>
      </w:pPr>
    </w:p>
    <w:p>
      <w:pPr>
        <w:spacing w:after="0"/>
        <w:rPr>
          <w:sz w:val="20"/>
        </w:rPr>
        <w:sectPr>
          <w:pgSz w:w="11910" w:h="16840"/>
          <w:pgMar w:header="484" w:footer="706" w:top="1240" w:bottom="900" w:left="980" w:right="980"/>
        </w:sectPr>
      </w:pPr>
    </w:p>
    <w:p>
      <w:pPr>
        <w:pStyle w:val="BodyText"/>
        <w:spacing w:before="8"/>
        <w:rPr>
          <w:sz w:val="16"/>
        </w:rPr>
      </w:pPr>
    </w:p>
    <w:p>
      <w:pPr>
        <w:pStyle w:val="Heading2"/>
        <w:numPr>
          <w:ilvl w:val="1"/>
          <w:numId w:val="14"/>
        </w:numPr>
        <w:tabs>
          <w:tab w:pos="930" w:val="left" w:leader="none"/>
          <w:tab w:pos="931" w:val="left" w:leader="none"/>
        </w:tabs>
        <w:spacing w:line="324" w:lineRule="auto" w:before="0" w:after="0"/>
        <w:ind w:left="930" w:right="0" w:hanging="778"/>
        <w:jc w:val="left"/>
        <w:rPr>
          <w:rFonts w:ascii="宋体" w:eastAsia="宋体" w:hint="eastAsia"/>
        </w:rPr>
      </w:pPr>
      <w:r>
        <w:rPr>
          <w:rFonts w:ascii="宋体" w:eastAsia="宋体" w:hint="eastAsia"/>
          <w:spacing w:val="-2"/>
        </w:rPr>
        <w:t>特定疾病的范</w:t>
      </w:r>
      <w:r>
        <w:rPr>
          <w:rFonts w:ascii="宋体" w:eastAsia="宋体" w:hint="eastAsia"/>
          <w:spacing w:val="-10"/>
        </w:rPr>
        <w:t>围</w:t>
      </w:r>
    </w:p>
    <w:p>
      <w:pPr>
        <w:spacing w:line="240" w:lineRule="auto" w:before="8"/>
        <w:rPr>
          <w:b/>
          <w:sz w:val="16"/>
        </w:rPr>
      </w:pPr>
      <w:r>
        <w:rPr/>
        <w:br w:type="column"/>
      </w:r>
      <w:r>
        <w:rPr>
          <w:b/>
          <w:sz w:val="16"/>
        </w:rPr>
      </w:r>
    </w:p>
    <w:p>
      <w:pPr>
        <w:pStyle w:val="BodyText"/>
        <w:spacing w:line="324" w:lineRule="auto"/>
        <w:ind w:left="152" w:right="152"/>
      </w:pPr>
      <w:r>
        <w:rPr/>
        <w:pict>
          <v:shape style="position:absolute;margin-left:173.059998pt;margin-top:33.780006pt;width:351.7pt;height:180.5pt;mso-position-horizontal-relative:page;mso-position-vertical-relative:paragraph;z-index:15736320" type="#_x0000_t202" id="docshape18"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7"/>
                    <w:gridCol w:w="3055"/>
                    <w:gridCol w:w="567"/>
                    <w:gridCol w:w="2835"/>
                  </w:tblGrid>
                  <w:tr>
                    <w:trPr>
                      <w:trHeight w:val="397" w:hRule="atLeast"/>
                    </w:trPr>
                    <w:tc>
                      <w:tcPr>
                        <w:tcW w:w="567" w:type="dxa"/>
                      </w:tcPr>
                      <w:p>
                        <w:pPr>
                          <w:pStyle w:val="TableParagraph"/>
                          <w:spacing w:before="56"/>
                          <w:ind w:right="217"/>
                          <w:jc w:val="right"/>
                          <w:rPr>
                            <w:sz w:val="22"/>
                          </w:rPr>
                        </w:pPr>
                        <w:r>
                          <w:rPr>
                            <w:w w:val="100"/>
                            <w:sz w:val="22"/>
                          </w:rPr>
                          <w:t>1</w:t>
                        </w:r>
                      </w:p>
                    </w:tc>
                    <w:tc>
                      <w:tcPr>
                        <w:tcW w:w="3055" w:type="dxa"/>
                      </w:tcPr>
                      <w:p>
                        <w:pPr>
                          <w:pStyle w:val="TableParagraph"/>
                          <w:spacing w:before="56"/>
                          <w:ind w:left="106"/>
                          <w:rPr>
                            <w:sz w:val="22"/>
                          </w:rPr>
                        </w:pPr>
                        <w:r>
                          <w:rPr>
                            <w:spacing w:val="-4"/>
                            <w:sz w:val="22"/>
                          </w:rPr>
                          <w:t>胃恶性肿瘤</w:t>
                        </w:r>
                      </w:p>
                    </w:tc>
                    <w:tc>
                      <w:tcPr>
                        <w:tcW w:w="567" w:type="dxa"/>
                      </w:tcPr>
                      <w:p>
                        <w:pPr>
                          <w:pStyle w:val="TableParagraph"/>
                          <w:spacing w:before="56"/>
                          <w:ind w:left="7"/>
                          <w:jc w:val="center"/>
                          <w:rPr>
                            <w:sz w:val="22"/>
                          </w:rPr>
                        </w:pPr>
                        <w:r>
                          <w:rPr>
                            <w:w w:val="100"/>
                            <w:sz w:val="22"/>
                          </w:rPr>
                          <w:t>9</w:t>
                        </w:r>
                      </w:p>
                    </w:tc>
                    <w:tc>
                      <w:tcPr>
                        <w:tcW w:w="2835" w:type="dxa"/>
                      </w:tcPr>
                      <w:p>
                        <w:pPr>
                          <w:pStyle w:val="TableParagraph"/>
                          <w:spacing w:before="56"/>
                          <w:ind w:left="108"/>
                          <w:rPr>
                            <w:sz w:val="22"/>
                          </w:rPr>
                        </w:pPr>
                        <w:r>
                          <w:rPr>
                            <w:spacing w:val="-4"/>
                            <w:sz w:val="22"/>
                          </w:rPr>
                          <w:t>前列腺癌</w:t>
                        </w:r>
                      </w:p>
                    </w:tc>
                  </w:tr>
                  <w:tr>
                    <w:trPr>
                      <w:trHeight w:val="397" w:hRule="atLeast"/>
                    </w:trPr>
                    <w:tc>
                      <w:tcPr>
                        <w:tcW w:w="567" w:type="dxa"/>
                      </w:tcPr>
                      <w:p>
                        <w:pPr>
                          <w:pStyle w:val="TableParagraph"/>
                          <w:spacing w:before="57"/>
                          <w:ind w:right="217"/>
                          <w:jc w:val="right"/>
                          <w:rPr>
                            <w:sz w:val="22"/>
                          </w:rPr>
                        </w:pPr>
                        <w:r>
                          <w:rPr>
                            <w:w w:val="100"/>
                            <w:sz w:val="22"/>
                          </w:rPr>
                          <w:t>2</w:t>
                        </w:r>
                      </w:p>
                    </w:tc>
                    <w:tc>
                      <w:tcPr>
                        <w:tcW w:w="3055" w:type="dxa"/>
                      </w:tcPr>
                      <w:p>
                        <w:pPr>
                          <w:pStyle w:val="TableParagraph"/>
                          <w:spacing w:before="57"/>
                          <w:ind w:left="106"/>
                          <w:rPr>
                            <w:sz w:val="22"/>
                          </w:rPr>
                        </w:pPr>
                        <w:r>
                          <w:rPr>
                            <w:spacing w:val="-4"/>
                            <w:sz w:val="22"/>
                          </w:rPr>
                          <w:t>肺恶性肿瘤</w:t>
                        </w:r>
                      </w:p>
                    </w:tc>
                    <w:tc>
                      <w:tcPr>
                        <w:tcW w:w="567" w:type="dxa"/>
                      </w:tcPr>
                      <w:p>
                        <w:pPr>
                          <w:pStyle w:val="TableParagraph"/>
                          <w:spacing w:before="57"/>
                          <w:ind w:left="155" w:right="148"/>
                          <w:jc w:val="center"/>
                          <w:rPr>
                            <w:sz w:val="22"/>
                          </w:rPr>
                        </w:pPr>
                        <w:r>
                          <w:rPr>
                            <w:spacing w:val="-5"/>
                            <w:sz w:val="22"/>
                          </w:rPr>
                          <w:t>10</w:t>
                        </w:r>
                      </w:p>
                    </w:tc>
                    <w:tc>
                      <w:tcPr>
                        <w:tcW w:w="2835" w:type="dxa"/>
                      </w:tcPr>
                      <w:p>
                        <w:pPr>
                          <w:pStyle w:val="TableParagraph"/>
                          <w:spacing w:before="57"/>
                          <w:ind w:left="108"/>
                          <w:rPr>
                            <w:sz w:val="22"/>
                          </w:rPr>
                        </w:pPr>
                        <w:r>
                          <w:rPr>
                            <w:spacing w:val="-5"/>
                            <w:sz w:val="22"/>
                          </w:rPr>
                          <w:t>睾丸癌</w:t>
                        </w:r>
                      </w:p>
                    </w:tc>
                  </w:tr>
                  <w:tr>
                    <w:trPr>
                      <w:trHeight w:val="570" w:hRule="atLeast"/>
                    </w:trPr>
                    <w:tc>
                      <w:tcPr>
                        <w:tcW w:w="567" w:type="dxa"/>
                      </w:tcPr>
                      <w:p>
                        <w:pPr>
                          <w:pStyle w:val="TableParagraph"/>
                          <w:spacing w:before="144"/>
                          <w:ind w:right="217"/>
                          <w:jc w:val="right"/>
                          <w:rPr>
                            <w:sz w:val="22"/>
                          </w:rPr>
                        </w:pPr>
                        <w:r>
                          <w:rPr>
                            <w:w w:val="100"/>
                            <w:sz w:val="22"/>
                          </w:rPr>
                          <w:t>3</w:t>
                        </w:r>
                      </w:p>
                    </w:tc>
                    <w:tc>
                      <w:tcPr>
                        <w:tcW w:w="3055" w:type="dxa"/>
                      </w:tcPr>
                      <w:p>
                        <w:pPr>
                          <w:pStyle w:val="TableParagraph"/>
                          <w:spacing w:before="144"/>
                          <w:ind w:left="106"/>
                          <w:rPr>
                            <w:sz w:val="22"/>
                          </w:rPr>
                        </w:pPr>
                        <w:r>
                          <w:rPr>
                            <w:spacing w:val="-4"/>
                            <w:sz w:val="22"/>
                          </w:rPr>
                          <w:t>肝恶性肿瘤</w:t>
                        </w:r>
                      </w:p>
                    </w:tc>
                    <w:tc>
                      <w:tcPr>
                        <w:tcW w:w="567" w:type="dxa"/>
                      </w:tcPr>
                      <w:p>
                        <w:pPr>
                          <w:pStyle w:val="TableParagraph"/>
                          <w:spacing w:before="144"/>
                          <w:ind w:left="155" w:right="148"/>
                          <w:jc w:val="center"/>
                          <w:rPr>
                            <w:sz w:val="22"/>
                          </w:rPr>
                        </w:pPr>
                        <w:r>
                          <w:rPr>
                            <w:spacing w:val="-5"/>
                            <w:sz w:val="22"/>
                          </w:rPr>
                          <w:t>11</w:t>
                        </w:r>
                      </w:p>
                    </w:tc>
                    <w:tc>
                      <w:tcPr>
                        <w:tcW w:w="2835" w:type="dxa"/>
                      </w:tcPr>
                      <w:p>
                        <w:pPr>
                          <w:pStyle w:val="TableParagraph"/>
                          <w:spacing w:line="280" w:lineRule="atLeast"/>
                          <w:ind w:left="108" w:right="93"/>
                          <w:rPr>
                            <w:sz w:val="22"/>
                          </w:rPr>
                        </w:pPr>
                        <w:r>
                          <w:rPr>
                            <w:spacing w:val="15"/>
                            <w:sz w:val="22"/>
                          </w:rPr>
                          <w:t>重大器官移植术或造血干</w:t>
                        </w:r>
                        <w:r>
                          <w:rPr>
                            <w:spacing w:val="-2"/>
                            <w:sz w:val="22"/>
                          </w:rPr>
                          <w:t>细胞移植术</w:t>
                        </w:r>
                      </w:p>
                    </w:tc>
                  </w:tr>
                  <w:tr>
                    <w:trPr>
                      <w:trHeight w:val="397" w:hRule="atLeast"/>
                    </w:trPr>
                    <w:tc>
                      <w:tcPr>
                        <w:tcW w:w="567" w:type="dxa"/>
                      </w:tcPr>
                      <w:p>
                        <w:pPr>
                          <w:pStyle w:val="TableParagraph"/>
                          <w:spacing w:before="55"/>
                          <w:ind w:right="217"/>
                          <w:jc w:val="right"/>
                          <w:rPr>
                            <w:sz w:val="22"/>
                          </w:rPr>
                        </w:pPr>
                        <w:r>
                          <w:rPr>
                            <w:w w:val="100"/>
                            <w:sz w:val="22"/>
                          </w:rPr>
                          <w:t>4</w:t>
                        </w:r>
                      </w:p>
                    </w:tc>
                    <w:tc>
                      <w:tcPr>
                        <w:tcW w:w="3055" w:type="dxa"/>
                      </w:tcPr>
                      <w:p>
                        <w:pPr>
                          <w:pStyle w:val="TableParagraph"/>
                          <w:spacing w:before="55"/>
                          <w:ind w:left="106"/>
                          <w:rPr>
                            <w:sz w:val="22"/>
                          </w:rPr>
                        </w:pPr>
                        <w:r>
                          <w:rPr>
                            <w:spacing w:val="-4"/>
                            <w:sz w:val="22"/>
                          </w:rPr>
                          <w:t>结直肠恶性肿瘤</w:t>
                        </w:r>
                      </w:p>
                    </w:tc>
                    <w:tc>
                      <w:tcPr>
                        <w:tcW w:w="567" w:type="dxa"/>
                      </w:tcPr>
                      <w:p>
                        <w:pPr>
                          <w:pStyle w:val="TableParagraph"/>
                          <w:spacing w:before="55"/>
                          <w:ind w:left="155" w:right="148"/>
                          <w:jc w:val="center"/>
                          <w:rPr>
                            <w:sz w:val="22"/>
                          </w:rPr>
                        </w:pPr>
                        <w:r>
                          <w:rPr>
                            <w:spacing w:val="-5"/>
                            <w:sz w:val="22"/>
                          </w:rPr>
                          <w:t>12</w:t>
                        </w:r>
                      </w:p>
                    </w:tc>
                    <w:tc>
                      <w:tcPr>
                        <w:tcW w:w="2835" w:type="dxa"/>
                      </w:tcPr>
                      <w:p>
                        <w:pPr>
                          <w:pStyle w:val="TableParagraph"/>
                          <w:spacing w:before="55"/>
                          <w:ind w:left="108"/>
                          <w:rPr>
                            <w:sz w:val="22"/>
                          </w:rPr>
                        </w:pPr>
                        <w:r>
                          <w:rPr>
                            <w:spacing w:val="-4"/>
                            <w:sz w:val="22"/>
                          </w:rPr>
                          <w:t>严重慢性肾衰竭</w:t>
                        </w:r>
                      </w:p>
                    </w:tc>
                  </w:tr>
                  <w:tr>
                    <w:trPr>
                      <w:trHeight w:val="397" w:hRule="atLeast"/>
                    </w:trPr>
                    <w:tc>
                      <w:tcPr>
                        <w:tcW w:w="567" w:type="dxa"/>
                      </w:tcPr>
                      <w:p>
                        <w:pPr>
                          <w:pStyle w:val="TableParagraph"/>
                          <w:spacing w:before="56"/>
                          <w:ind w:right="217"/>
                          <w:jc w:val="right"/>
                          <w:rPr>
                            <w:sz w:val="22"/>
                          </w:rPr>
                        </w:pPr>
                        <w:r>
                          <w:rPr>
                            <w:w w:val="100"/>
                            <w:sz w:val="22"/>
                          </w:rPr>
                          <w:t>5</w:t>
                        </w:r>
                      </w:p>
                    </w:tc>
                    <w:tc>
                      <w:tcPr>
                        <w:tcW w:w="3055" w:type="dxa"/>
                      </w:tcPr>
                      <w:p>
                        <w:pPr>
                          <w:pStyle w:val="TableParagraph"/>
                          <w:spacing w:before="56"/>
                          <w:ind w:left="106"/>
                          <w:rPr>
                            <w:sz w:val="22"/>
                          </w:rPr>
                        </w:pPr>
                        <w:r>
                          <w:rPr>
                            <w:spacing w:val="-4"/>
                            <w:sz w:val="22"/>
                          </w:rPr>
                          <w:t>乳腺恶性肿瘤</w:t>
                        </w:r>
                      </w:p>
                    </w:tc>
                    <w:tc>
                      <w:tcPr>
                        <w:tcW w:w="567" w:type="dxa"/>
                      </w:tcPr>
                      <w:p>
                        <w:pPr>
                          <w:pStyle w:val="TableParagraph"/>
                          <w:spacing w:before="56"/>
                          <w:ind w:left="155" w:right="148"/>
                          <w:jc w:val="center"/>
                          <w:rPr>
                            <w:sz w:val="22"/>
                          </w:rPr>
                        </w:pPr>
                        <w:r>
                          <w:rPr>
                            <w:spacing w:val="-5"/>
                            <w:sz w:val="22"/>
                          </w:rPr>
                          <w:t>13</w:t>
                        </w:r>
                      </w:p>
                    </w:tc>
                    <w:tc>
                      <w:tcPr>
                        <w:tcW w:w="2835" w:type="dxa"/>
                      </w:tcPr>
                      <w:p>
                        <w:pPr>
                          <w:pStyle w:val="TableParagraph"/>
                          <w:spacing w:before="56"/>
                          <w:ind w:left="108"/>
                          <w:rPr>
                            <w:sz w:val="22"/>
                          </w:rPr>
                        </w:pPr>
                        <w:r>
                          <w:rPr>
                            <w:spacing w:val="-4"/>
                            <w:sz w:val="22"/>
                          </w:rPr>
                          <w:t>多个肢体缺失</w:t>
                        </w:r>
                      </w:p>
                    </w:tc>
                  </w:tr>
                  <w:tr>
                    <w:trPr>
                      <w:trHeight w:val="570" w:hRule="atLeast"/>
                    </w:trPr>
                    <w:tc>
                      <w:tcPr>
                        <w:tcW w:w="567" w:type="dxa"/>
                      </w:tcPr>
                      <w:p>
                        <w:pPr>
                          <w:pStyle w:val="TableParagraph"/>
                          <w:spacing w:before="144"/>
                          <w:ind w:right="217"/>
                          <w:jc w:val="right"/>
                          <w:rPr>
                            <w:sz w:val="22"/>
                          </w:rPr>
                        </w:pPr>
                        <w:r>
                          <w:rPr>
                            <w:w w:val="100"/>
                            <w:sz w:val="22"/>
                          </w:rPr>
                          <w:t>6</w:t>
                        </w:r>
                      </w:p>
                    </w:tc>
                    <w:tc>
                      <w:tcPr>
                        <w:tcW w:w="3055" w:type="dxa"/>
                      </w:tcPr>
                      <w:p>
                        <w:pPr>
                          <w:pStyle w:val="TableParagraph"/>
                          <w:spacing w:before="144"/>
                          <w:ind w:left="106"/>
                          <w:rPr>
                            <w:sz w:val="22"/>
                          </w:rPr>
                        </w:pPr>
                        <w:r>
                          <w:rPr>
                            <w:spacing w:val="-4"/>
                            <w:sz w:val="22"/>
                          </w:rPr>
                          <w:t>子宫颈恶性肿瘤</w:t>
                        </w:r>
                      </w:p>
                    </w:tc>
                    <w:tc>
                      <w:tcPr>
                        <w:tcW w:w="567" w:type="dxa"/>
                      </w:tcPr>
                      <w:p>
                        <w:pPr>
                          <w:pStyle w:val="TableParagraph"/>
                          <w:spacing w:before="144"/>
                          <w:ind w:left="155" w:right="148"/>
                          <w:jc w:val="center"/>
                          <w:rPr>
                            <w:sz w:val="22"/>
                          </w:rPr>
                        </w:pPr>
                        <w:r>
                          <w:rPr>
                            <w:spacing w:val="-5"/>
                            <w:sz w:val="22"/>
                          </w:rPr>
                          <w:t>14</w:t>
                        </w:r>
                      </w:p>
                    </w:tc>
                    <w:tc>
                      <w:tcPr>
                        <w:tcW w:w="2835" w:type="dxa"/>
                      </w:tcPr>
                      <w:p>
                        <w:pPr>
                          <w:pStyle w:val="TableParagraph"/>
                          <w:ind w:left="108"/>
                          <w:rPr>
                            <w:sz w:val="22"/>
                          </w:rPr>
                        </w:pPr>
                        <w:r>
                          <w:rPr>
                            <w:spacing w:val="-3"/>
                            <w:sz w:val="22"/>
                          </w:rPr>
                          <w:t>急性重症肝炎或亚急性重</w:t>
                        </w:r>
                      </w:p>
                      <w:p>
                        <w:pPr>
                          <w:pStyle w:val="TableParagraph"/>
                          <w:spacing w:line="264" w:lineRule="exact" w:before="3"/>
                          <w:ind w:left="108"/>
                          <w:rPr>
                            <w:sz w:val="22"/>
                          </w:rPr>
                        </w:pPr>
                        <w:r>
                          <w:rPr>
                            <w:spacing w:val="-5"/>
                            <w:sz w:val="22"/>
                          </w:rPr>
                          <w:t>症肝炎</w:t>
                        </w:r>
                      </w:p>
                    </w:tc>
                  </w:tr>
                  <w:tr>
                    <w:trPr>
                      <w:trHeight w:val="397" w:hRule="atLeast"/>
                    </w:trPr>
                    <w:tc>
                      <w:tcPr>
                        <w:tcW w:w="567" w:type="dxa"/>
                      </w:tcPr>
                      <w:p>
                        <w:pPr>
                          <w:pStyle w:val="TableParagraph"/>
                          <w:spacing w:before="56"/>
                          <w:ind w:right="217"/>
                          <w:jc w:val="right"/>
                          <w:rPr>
                            <w:sz w:val="22"/>
                          </w:rPr>
                        </w:pPr>
                        <w:r>
                          <w:rPr>
                            <w:w w:val="100"/>
                            <w:sz w:val="22"/>
                          </w:rPr>
                          <w:t>7</w:t>
                        </w:r>
                      </w:p>
                    </w:tc>
                    <w:tc>
                      <w:tcPr>
                        <w:tcW w:w="3055" w:type="dxa"/>
                      </w:tcPr>
                      <w:p>
                        <w:pPr>
                          <w:pStyle w:val="TableParagraph"/>
                          <w:spacing w:before="56"/>
                          <w:ind w:left="106"/>
                          <w:rPr>
                            <w:sz w:val="22"/>
                          </w:rPr>
                        </w:pPr>
                        <w:r>
                          <w:rPr>
                            <w:spacing w:val="-4"/>
                            <w:sz w:val="22"/>
                          </w:rPr>
                          <w:t>卵巢恶性肿瘤</w:t>
                        </w:r>
                      </w:p>
                    </w:tc>
                    <w:tc>
                      <w:tcPr>
                        <w:tcW w:w="567" w:type="dxa"/>
                      </w:tcPr>
                      <w:p>
                        <w:pPr>
                          <w:pStyle w:val="TableParagraph"/>
                          <w:spacing w:before="56"/>
                          <w:ind w:left="155" w:right="148"/>
                          <w:jc w:val="center"/>
                          <w:rPr>
                            <w:sz w:val="22"/>
                          </w:rPr>
                        </w:pPr>
                        <w:r>
                          <w:rPr>
                            <w:spacing w:val="-5"/>
                            <w:sz w:val="22"/>
                          </w:rPr>
                          <w:t>15</w:t>
                        </w:r>
                      </w:p>
                    </w:tc>
                    <w:tc>
                      <w:tcPr>
                        <w:tcW w:w="2835" w:type="dxa"/>
                      </w:tcPr>
                      <w:p>
                        <w:pPr>
                          <w:pStyle w:val="TableParagraph"/>
                          <w:spacing w:before="56"/>
                          <w:ind w:left="108"/>
                          <w:rPr>
                            <w:sz w:val="22"/>
                          </w:rPr>
                        </w:pPr>
                        <w:r>
                          <w:rPr>
                            <w:spacing w:val="-4"/>
                            <w:sz w:val="22"/>
                          </w:rPr>
                          <w:t>严重慢性肝衰竭</w:t>
                        </w:r>
                      </w:p>
                    </w:tc>
                  </w:tr>
                  <w:tr>
                    <w:trPr>
                      <w:trHeight w:val="395" w:hRule="atLeast"/>
                    </w:trPr>
                    <w:tc>
                      <w:tcPr>
                        <w:tcW w:w="567" w:type="dxa"/>
                      </w:tcPr>
                      <w:p>
                        <w:pPr>
                          <w:pStyle w:val="TableParagraph"/>
                          <w:spacing w:before="57"/>
                          <w:ind w:right="217"/>
                          <w:jc w:val="right"/>
                          <w:rPr>
                            <w:sz w:val="22"/>
                          </w:rPr>
                        </w:pPr>
                        <w:r>
                          <w:rPr>
                            <w:w w:val="100"/>
                            <w:sz w:val="22"/>
                          </w:rPr>
                          <w:t>8</w:t>
                        </w:r>
                      </w:p>
                    </w:tc>
                    <w:tc>
                      <w:tcPr>
                        <w:tcW w:w="3055" w:type="dxa"/>
                      </w:tcPr>
                      <w:p>
                        <w:pPr>
                          <w:pStyle w:val="TableParagraph"/>
                          <w:spacing w:before="57"/>
                          <w:ind w:left="106"/>
                          <w:rPr>
                            <w:sz w:val="22"/>
                          </w:rPr>
                        </w:pPr>
                        <w:r>
                          <w:rPr>
                            <w:spacing w:val="-6"/>
                            <w:sz w:val="22"/>
                          </w:rPr>
                          <w:t>喉癌</w:t>
                        </w:r>
                      </w:p>
                    </w:tc>
                    <w:tc>
                      <w:tcPr>
                        <w:tcW w:w="567" w:type="dxa"/>
                      </w:tcPr>
                      <w:p>
                        <w:pPr>
                          <w:pStyle w:val="TableParagraph"/>
                          <w:rPr>
                            <w:rFonts w:ascii="Times New Roman"/>
                            <w:sz w:val="20"/>
                          </w:rPr>
                        </w:pPr>
                      </w:p>
                    </w:tc>
                    <w:tc>
                      <w:tcPr>
                        <w:tcW w:w="2835" w:type="dxa"/>
                      </w:tcPr>
                      <w:p>
                        <w:pPr>
                          <w:pStyle w:val="TableParagraph"/>
                          <w:rPr>
                            <w:rFonts w:ascii="Times New Roman"/>
                            <w:sz w:val="20"/>
                          </w:rPr>
                        </w:pPr>
                      </w:p>
                    </w:tc>
                  </w:tr>
                </w:tbl>
                <w:p>
                  <w:pPr>
                    <w:pStyle w:val="BodyText"/>
                  </w:pPr>
                </w:p>
              </w:txbxContent>
            </v:textbox>
            <w10:wrap type="none"/>
          </v:shape>
        </w:pict>
      </w:r>
      <w:r>
        <w:rPr/>
        <w:t>我们提供保障的特定疾病共有15种，名称如下，具体释义见“13 特定疾病</w:t>
      </w:r>
      <w:r>
        <w:rPr>
          <w:spacing w:val="-2"/>
        </w:rPr>
        <w:t>的定义”。</w:t>
      </w:r>
    </w:p>
    <w:p>
      <w:pPr>
        <w:spacing w:after="0" w:line="324" w:lineRule="auto"/>
        <w:sectPr>
          <w:type w:val="continuous"/>
          <w:pgSz w:w="11910" w:h="16840"/>
          <w:pgMar w:header="484" w:footer="706" w:top="1240" w:bottom="900" w:left="980" w:right="980"/>
          <w:cols w:num="2" w:equalWidth="0">
            <w:col w:w="2256" w:space="72"/>
            <w:col w:w="7622"/>
          </w:cols>
        </w:sectPr>
      </w:pPr>
    </w:p>
    <w:p>
      <w:pPr>
        <w:pStyle w:val="BodyText"/>
        <w:spacing w:before="7"/>
        <w:rPr>
          <w:sz w:val="14"/>
        </w:rPr>
      </w:pPr>
    </w:p>
    <w:p>
      <w:pPr>
        <w:spacing w:after="0"/>
        <w:rPr>
          <w:sz w:val="14"/>
        </w:rPr>
        <w:sectPr>
          <w:pgSz w:w="11910" w:h="16840"/>
          <w:pgMar w:header="484" w:footer="706" w:top="1240" w:bottom="900" w:left="980" w:right="980"/>
        </w:sectPr>
      </w:pPr>
    </w:p>
    <w:p>
      <w:pPr>
        <w:pStyle w:val="ListParagraph"/>
        <w:numPr>
          <w:ilvl w:val="1"/>
          <w:numId w:val="14"/>
        </w:numPr>
        <w:tabs>
          <w:tab w:pos="930" w:val="left" w:leader="none"/>
          <w:tab w:pos="931" w:val="left" w:leader="none"/>
        </w:tabs>
        <w:spacing w:line="324" w:lineRule="auto" w:before="70" w:after="0"/>
        <w:ind w:left="930" w:right="129" w:hanging="778"/>
        <w:jc w:val="left"/>
        <w:rPr>
          <w:b/>
          <w:sz w:val="22"/>
        </w:rPr>
      </w:pPr>
      <w:r>
        <w:rPr/>
        <w:pict>
          <v:shape style="position:absolute;margin-left:173.059998pt;margin-top:37.309998pt;width:351.7pt;height:99.55pt;mso-position-horizontal-relative:page;mso-position-vertical-relative:paragraph;z-index:15736832" type="#_x0000_t202" id="docshape19"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7"/>
                    <w:gridCol w:w="3055"/>
                    <w:gridCol w:w="567"/>
                    <w:gridCol w:w="2835"/>
                  </w:tblGrid>
                  <w:tr>
                    <w:trPr>
                      <w:trHeight w:val="387" w:hRule="atLeast"/>
                    </w:trPr>
                    <w:tc>
                      <w:tcPr>
                        <w:tcW w:w="567" w:type="dxa"/>
                      </w:tcPr>
                      <w:p>
                        <w:pPr>
                          <w:pStyle w:val="TableParagraph"/>
                          <w:spacing w:before="53"/>
                          <w:ind w:right="217"/>
                          <w:jc w:val="right"/>
                          <w:rPr>
                            <w:sz w:val="22"/>
                          </w:rPr>
                        </w:pPr>
                        <w:r>
                          <w:rPr>
                            <w:w w:val="100"/>
                            <w:sz w:val="22"/>
                          </w:rPr>
                          <w:t>1</w:t>
                        </w:r>
                      </w:p>
                    </w:tc>
                    <w:tc>
                      <w:tcPr>
                        <w:tcW w:w="3055" w:type="dxa"/>
                      </w:tcPr>
                      <w:p>
                        <w:pPr>
                          <w:pStyle w:val="TableParagraph"/>
                          <w:spacing w:before="53"/>
                          <w:ind w:left="106"/>
                          <w:rPr>
                            <w:sz w:val="22"/>
                          </w:rPr>
                        </w:pPr>
                        <w:r>
                          <w:rPr>
                            <w:spacing w:val="-4"/>
                            <w:sz w:val="22"/>
                          </w:rPr>
                          <w:t>严重脑中风后遗症</w:t>
                        </w:r>
                      </w:p>
                    </w:tc>
                    <w:tc>
                      <w:tcPr>
                        <w:tcW w:w="567" w:type="dxa"/>
                      </w:tcPr>
                      <w:p>
                        <w:pPr>
                          <w:pStyle w:val="TableParagraph"/>
                          <w:spacing w:before="53"/>
                          <w:ind w:left="226"/>
                          <w:rPr>
                            <w:sz w:val="22"/>
                          </w:rPr>
                        </w:pPr>
                        <w:r>
                          <w:rPr>
                            <w:w w:val="100"/>
                            <w:sz w:val="22"/>
                          </w:rPr>
                          <w:t>5</w:t>
                        </w:r>
                      </w:p>
                    </w:tc>
                    <w:tc>
                      <w:tcPr>
                        <w:tcW w:w="2835" w:type="dxa"/>
                      </w:tcPr>
                      <w:p>
                        <w:pPr>
                          <w:pStyle w:val="TableParagraph"/>
                          <w:spacing w:before="53"/>
                          <w:ind w:left="108"/>
                          <w:rPr>
                            <w:sz w:val="22"/>
                          </w:rPr>
                        </w:pPr>
                        <w:r>
                          <w:rPr>
                            <w:spacing w:val="-4"/>
                            <w:sz w:val="22"/>
                          </w:rPr>
                          <w:t>严重运动神经元病</w:t>
                        </w:r>
                      </w:p>
                    </w:tc>
                  </w:tr>
                  <w:tr>
                    <w:trPr>
                      <w:trHeight w:val="585" w:hRule="atLeast"/>
                    </w:trPr>
                    <w:tc>
                      <w:tcPr>
                        <w:tcW w:w="567" w:type="dxa"/>
                      </w:tcPr>
                      <w:p>
                        <w:pPr>
                          <w:pStyle w:val="TableParagraph"/>
                          <w:spacing w:before="150"/>
                          <w:ind w:right="217"/>
                          <w:jc w:val="right"/>
                          <w:rPr>
                            <w:sz w:val="22"/>
                          </w:rPr>
                        </w:pPr>
                        <w:r>
                          <w:rPr>
                            <w:w w:val="100"/>
                            <w:sz w:val="22"/>
                          </w:rPr>
                          <w:t>2</w:t>
                        </w:r>
                      </w:p>
                    </w:tc>
                    <w:tc>
                      <w:tcPr>
                        <w:tcW w:w="3055" w:type="dxa"/>
                      </w:tcPr>
                      <w:p>
                        <w:pPr>
                          <w:pStyle w:val="TableParagraph"/>
                          <w:spacing w:line="280" w:lineRule="atLeast" w:before="1"/>
                          <w:ind w:left="106" w:right="296"/>
                          <w:rPr>
                            <w:sz w:val="22"/>
                          </w:rPr>
                        </w:pPr>
                        <w:r>
                          <w:rPr>
                            <w:spacing w:val="-2"/>
                            <w:sz w:val="22"/>
                          </w:rPr>
                          <w:t>严重脑炎后遗症或严重脑膜</w:t>
                        </w:r>
                        <w:r>
                          <w:rPr>
                            <w:spacing w:val="-4"/>
                            <w:sz w:val="22"/>
                          </w:rPr>
                          <w:t>炎后遗症</w:t>
                        </w:r>
                      </w:p>
                    </w:tc>
                    <w:tc>
                      <w:tcPr>
                        <w:tcW w:w="567" w:type="dxa"/>
                      </w:tcPr>
                      <w:p>
                        <w:pPr>
                          <w:pStyle w:val="TableParagraph"/>
                          <w:spacing w:before="150"/>
                          <w:ind w:left="226"/>
                          <w:rPr>
                            <w:sz w:val="22"/>
                          </w:rPr>
                        </w:pPr>
                        <w:r>
                          <w:rPr>
                            <w:w w:val="100"/>
                            <w:sz w:val="22"/>
                          </w:rPr>
                          <w:t>6</w:t>
                        </w:r>
                      </w:p>
                    </w:tc>
                    <w:tc>
                      <w:tcPr>
                        <w:tcW w:w="2835" w:type="dxa"/>
                      </w:tcPr>
                      <w:p>
                        <w:pPr>
                          <w:pStyle w:val="TableParagraph"/>
                          <w:spacing w:before="150"/>
                          <w:ind w:left="108"/>
                          <w:rPr>
                            <w:sz w:val="22"/>
                          </w:rPr>
                        </w:pPr>
                        <w:r>
                          <w:rPr>
                            <w:spacing w:val="-4"/>
                            <w:sz w:val="22"/>
                          </w:rPr>
                          <w:t>严重多发性硬化症</w:t>
                        </w:r>
                      </w:p>
                    </w:tc>
                  </w:tr>
                  <w:tr>
                    <w:trPr>
                      <w:trHeight w:val="387" w:hRule="atLeast"/>
                    </w:trPr>
                    <w:tc>
                      <w:tcPr>
                        <w:tcW w:w="567" w:type="dxa"/>
                      </w:tcPr>
                      <w:p>
                        <w:pPr>
                          <w:pStyle w:val="TableParagraph"/>
                          <w:spacing w:before="52"/>
                          <w:ind w:right="217"/>
                          <w:jc w:val="right"/>
                          <w:rPr>
                            <w:sz w:val="22"/>
                          </w:rPr>
                        </w:pPr>
                        <w:r>
                          <w:rPr>
                            <w:w w:val="100"/>
                            <w:sz w:val="22"/>
                          </w:rPr>
                          <w:t>3</w:t>
                        </w:r>
                      </w:p>
                    </w:tc>
                    <w:tc>
                      <w:tcPr>
                        <w:tcW w:w="3055" w:type="dxa"/>
                      </w:tcPr>
                      <w:p>
                        <w:pPr>
                          <w:pStyle w:val="TableParagraph"/>
                          <w:spacing w:before="52"/>
                          <w:ind w:left="106"/>
                          <w:rPr>
                            <w:sz w:val="22"/>
                          </w:rPr>
                        </w:pPr>
                        <w:r>
                          <w:rPr>
                            <w:spacing w:val="-4"/>
                            <w:sz w:val="22"/>
                          </w:rPr>
                          <w:t>严重阿尔茨海默病</w:t>
                        </w:r>
                      </w:p>
                    </w:tc>
                    <w:tc>
                      <w:tcPr>
                        <w:tcW w:w="567" w:type="dxa"/>
                      </w:tcPr>
                      <w:p>
                        <w:pPr>
                          <w:pStyle w:val="TableParagraph"/>
                          <w:spacing w:before="52"/>
                          <w:ind w:left="226"/>
                          <w:rPr>
                            <w:sz w:val="22"/>
                          </w:rPr>
                        </w:pPr>
                        <w:r>
                          <w:rPr>
                            <w:w w:val="100"/>
                            <w:sz w:val="22"/>
                          </w:rPr>
                          <w:t>7</w:t>
                        </w:r>
                      </w:p>
                    </w:tc>
                    <w:tc>
                      <w:tcPr>
                        <w:tcW w:w="2835" w:type="dxa"/>
                      </w:tcPr>
                      <w:p>
                        <w:pPr>
                          <w:pStyle w:val="TableParagraph"/>
                          <w:spacing w:before="52"/>
                          <w:ind w:left="108"/>
                          <w:rPr>
                            <w:sz w:val="22"/>
                          </w:rPr>
                        </w:pPr>
                        <w:r>
                          <w:rPr>
                            <w:spacing w:val="-4"/>
                            <w:sz w:val="22"/>
                          </w:rPr>
                          <w:t>严重肌营养不良症</w:t>
                        </w:r>
                      </w:p>
                    </w:tc>
                  </w:tr>
                  <w:tr>
                    <w:trPr>
                      <w:trHeight w:val="582" w:hRule="atLeast"/>
                    </w:trPr>
                    <w:tc>
                      <w:tcPr>
                        <w:tcW w:w="567" w:type="dxa"/>
                      </w:tcPr>
                      <w:p>
                        <w:pPr>
                          <w:pStyle w:val="TableParagraph"/>
                          <w:spacing w:before="152"/>
                          <w:ind w:right="217"/>
                          <w:jc w:val="right"/>
                          <w:rPr>
                            <w:sz w:val="22"/>
                          </w:rPr>
                        </w:pPr>
                        <w:r>
                          <w:rPr>
                            <w:w w:val="100"/>
                            <w:sz w:val="22"/>
                          </w:rPr>
                          <w:t>4</w:t>
                        </w:r>
                      </w:p>
                    </w:tc>
                    <w:tc>
                      <w:tcPr>
                        <w:tcW w:w="3055" w:type="dxa"/>
                      </w:tcPr>
                      <w:p>
                        <w:pPr>
                          <w:pStyle w:val="TableParagraph"/>
                          <w:spacing w:before="152"/>
                          <w:ind w:left="106"/>
                          <w:rPr>
                            <w:sz w:val="22"/>
                          </w:rPr>
                        </w:pPr>
                        <w:r>
                          <w:rPr>
                            <w:spacing w:val="-3"/>
                            <w:sz w:val="22"/>
                          </w:rPr>
                          <w:t>严重原发性帕金森病</w:t>
                        </w:r>
                      </w:p>
                    </w:tc>
                    <w:tc>
                      <w:tcPr>
                        <w:tcW w:w="567" w:type="dxa"/>
                      </w:tcPr>
                      <w:p>
                        <w:pPr>
                          <w:pStyle w:val="TableParagraph"/>
                          <w:spacing w:before="152"/>
                          <w:ind w:left="226"/>
                          <w:rPr>
                            <w:sz w:val="22"/>
                          </w:rPr>
                        </w:pPr>
                        <w:r>
                          <w:rPr>
                            <w:w w:val="100"/>
                            <w:sz w:val="22"/>
                          </w:rPr>
                          <w:t>8</w:t>
                        </w:r>
                      </w:p>
                    </w:tc>
                    <w:tc>
                      <w:tcPr>
                        <w:tcW w:w="2835" w:type="dxa"/>
                      </w:tcPr>
                      <w:p>
                        <w:pPr>
                          <w:pStyle w:val="TableParagraph"/>
                          <w:spacing w:line="280" w:lineRule="atLeast"/>
                          <w:ind w:left="108" w:right="292"/>
                          <w:rPr>
                            <w:sz w:val="22"/>
                          </w:rPr>
                        </w:pPr>
                        <w:r>
                          <w:rPr>
                            <w:spacing w:val="-2"/>
                            <w:sz w:val="22"/>
                          </w:rPr>
                          <w:t>严重冠状动脉粥样硬化性</w:t>
                        </w:r>
                        <w:r>
                          <w:rPr>
                            <w:spacing w:val="-4"/>
                            <w:sz w:val="22"/>
                          </w:rPr>
                          <w:t>心脏病</w:t>
                        </w:r>
                      </w:p>
                    </w:tc>
                  </w:tr>
                </w:tbl>
                <w:p>
                  <w:pPr>
                    <w:pStyle w:val="BodyText"/>
                  </w:pPr>
                </w:p>
              </w:txbxContent>
            </v:textbox>
            <w10:wrap type="none"/>
          </v:shape>
        </w:pict>
      </w:r>
      <w:r>
        <w:rPr>
          <w:b/>
          <w:spacing w:val="-2"/>
          <w:sz w:val="22"/>
        </w:rPr>
        <w:t>老年特定重大</w:t>
      </w:r>
      <w:r>
        <w:rPr>
          <w:b/>
          <w:spacing w:val="-2"/>
          <w:sz w:val="22"/>
        </w:rPr>
        <w:t>疾病的范围</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5"/>
        <w:rPr>
          <w:b/>
          <w:sz w:val="28"/>
        </w:rPr>
      </w:pPr>
    </w:p>
    <w:p>
      <w:pPr>
        <w:pStyle w:val="Heading1"/>
        <w:spacing w:before="1"/>
      </w:pPr>
      <w:r>
        <w:rPr>
          <w:rFonts w:ascii="Wingdings" w:hAnsi="Wingdings" w:eastAsia="Wingdings"/>
          <w:b w:val="0"/>
          <w:w w:val="95"/>
          <w:position w:val="-5"/>
          <w:sz w:val="48"/>
        </w:rPr>
        <w:t></w:t>
      </w:r>
      <w:r>
        <w:rPr>
          <w:spacing w:val="-2"/>
          <w:w w:val="95"/>
        </w:rPr>
        <w:t>保险金的申请</w:t>
      </w:r>
    </w:p>
    <w:p>
      <w:pPr>
        <w:pStyle w:val="BodyText"/>
        <w:spacing w:line="324" w:lineRule="auto" w:before="70"/>
        <w:ind w:left="53" w:right="150"/>
      </w:pPr>
      <w:r>
        <w:rPr/>
        <w:br w:type="column"/>
      </w:r>
      <w:r>
        <w:rPr/>
        <w:t>我们提供保障的老年特定重大疾病共有8种，名称如下，具体释义见“14 老</w:t>
      </w:r>
      <w:r>
        <w:rPr>
          <w:spacing w:val="-2"/>
        </w:rPr>
        <w:t>年特定重大疾病的定义”。</w:t>
      </w:r>
    </w:p>
    <w:p>
      <w:pPr>
        <w:spacing w:after="0" w:line="324" w:lineRule="auto"/>
        <w:sectPr>
          <w:type w:val="continuous"/>
          <w:pgSz w:w="11910" w:h="16840"/>
          <w:pgMar w:header="484" w:footer="706" w:top="1240" w:bottom="900" w:left="980" w:right="980"/>
          <w:cols w:num="2" w:equalWidth="0">
            <w:col w:w="2388" w:space="40"/>
            <w:col w:w="7522"/>
          </w:cols>
        </w:sectPr>
      </w:pPr>
    </w:p>
    <w:p>
      <w:pPr>
        <w:pStyle w:val="BodyText"/>
        <w:spacing w:line="43" w:lineRule="exact"/>
        <w:ind w:left="126"/>
        <w:rPr>
          <w:sz w:val="4"/>
        </w:rPr>
      </w:pPr>
      <w:r>
        <w:rPr>
          <w:position w:val="0"/>
          <w:sz w:val="4"/>
        </w:rPr>
        <w:drawing>
          <wp:inline distT="0" distB="0" distL="0" distR="0">
            <wp:extent cx="6155689" cy="27431"/>
            <wp:effectExtent l="0" t="0" r="0" b="0"/>
            <wp:docPr id="17" name="image3.png"/>
            <wp:cNvGraphicFramePr>
              <a:graphicFrameLocks noChangeAspect="1"/>
            </wp:cNvGraphicFramePr>
            <a:graphic>
              <a:graphicData uri="http://schemas.openxmlformats.org/drawingml/2006/picture">
                <pic:pic>
                  <pic:nvPicPr>
                    <pic:cNvPr id="18" name="image3.png"/>
                    <pic:cNvPicPr/>
                  </pic:nvPicPr>
                  <pic:blipFill>
                    <a:blip r:embed="rId9" cstate="print"/>
                    <a:stretch>
                      <a:fillRect/>
                    </a:stretch>
                  </pic:blipFill>
                  <pic:spPr>
                    <a:xfrm>
                      <a:off x="0" y="0"/>
                      <a:ext cx="6155689" cy="27431"/>
                    </a:xfrm>
                    <a:prstGeom prst="rect">
                      <a:avLst/>
                    </a:prstGeom>
                  </pic:spPr>
                </pic:pic>
              </a:graphicData>
            </a:graphic>
          </wp:inline>
        </w:drawing>
      </w:r>
      <w:r>
        <w:rPr>
          <w:position w:val="0"/>
          <w:sz w:val="4"/>
        </w:rPr>
      </w:r>
    </w:p>
    <w:p>
      <w:pPr>
        <w:pStyle w:val="BodyText"/>
        <w:rPr>
          <w:sz w:val="20"/>
        </w:rPr>
      </w:pPr>
    </w:p>
    <w:p>
      <w:pPr>
        <w:pStyle w:val="BodyText"/>
        <w:spacing w:before="4"/>
        <w:rPr>
          <w:sz w:val="16"/>
        </w:rPr>
      </w:pPr>
    </w:p>
    <w:p>
      <w:pPr>
        <w:pStyle w:val="ListParagraph"/>
        <w:numPr>
          <w:ilvl w:val="1"/>
          <w:numId w:val="15"/>
        </w:numPr>
        <w:tabs>
          <w:tab w:pos="930" w:val="left" w:leader="none"/>
          <w:tab w:pos="931" w:val="left" w:leader="none"/>
          <w:tab w:pos="2480" w:val="left" w:leader="none"/>
        </w:tabs>
        <w:spacing w:line="240" w:lineRule="auto" w:before="0" w:after="0"/>
        <w:ind w:left="930" w:right="0" w:hanging="779"/>
        <w:jc w:val="left"/>
        <w:rPr>
          <w:sz w:val="22"/>
        </w:rPr>
      </w:pPr>
      <w:r>
        <w:rPr>
          <w:b/>
          <w:spacing w:val="-2"/>
          <w:sz w:val="22"/>
        </w:rPr>
        <w:t>受益</w:t>
      </w:r>
      <w:r>
        <w:rPr>
          <w:b/>
          <w:spacing w:val="-10"/>
          <w:sz w:val="22"/>
        </w:rPr>
        <w:t>人</w:t>
      </w:r>
      <w:r>
        <w:rPr>
          <w:b/>
          <w:sz w:val="22"/>
        </w:rPr>
        <w:tab/>
      </w:r>
      <w:r>
        <w:rPr>
          <w:spacing w:val="-2"/>
          <w:sz w:val="22"/>
        </w:rPr>
        <w:t>投保人或者被保险人可以指定一人或多人为身故保险金受益人</w:t>
      </w:r>
      <w:r>
        <w:rPr>
          <w:spacing w:val="-10"/>
          <w:sz w:val="22"/>
        </w:rPr>
        <w:t>。</w:t>
      </w:r>
    </w:p>
    <w:p>
      <w:pPr>
        <w:pStyle w:val="BodyText"/>
        <w:spacing w:line="324" w:lineRule="auto" w:before="98"/>
        <w:ind w:left="2480" w:right="150"/>
      </w:pPr>
      <w:r>
        <w:rPr>
          <w:spacing w:val="-2"/>
        </w:rPr>
        <w:t>身故保险金受益人为多人时，可以确定受益顺序和受益份额；如果没有确定份额，各受益人按照相等份额享有受益权。</w:t>
      </w:r>
    </w:p>
    <w:p>
      <w:pPr>
        <w:pStyle w:val="BodyText"/>
        <w:spacing w:line="324" w:lineRule="auto"/>
        <w:ind w:left="2480" w:right="150"/>
      </w:pPr>
      <w:r>
        <w:rPr>
          <w:spacing w:val="-2"/>
        </w:rPr>
        <w:t>被保险人为无民事行为能力人或限制民事行为能力人的，可以由其监护人指定受益人。</w:t>
      </w:r>
    </w:p>
    <w:p>
      <w:pPr>
        <w:pStyle w:val="BodyText"/>
        <w:spacing w:line="324" w:lineRule="auto"/>
        <w:ind w:left="2480" w:right="150"/>
      </w:pPr>
      <w:r>
        <w:rPr>
          <w:spacing w:val="-2"/>
        </w:rPr>
        <w:t>投保人或者被保险人可以变更身故保险金受益人并书面通知我们。我们收到变更受益人的书面通知后，在保险单或其它保险凭证上批注或附贴批单。</w:t>
      </w:r>
      <w:r>
        <w:rPr>
          <w:spacing w:val="80"/>
        </w:rPr>
        <w:t> </w:t>
      </w:r>
      <w:r>
        <w:rPr>
          <w:spacing w:val="-2"/>
        </w:rPr>
        <w:t>投保人在指定和变更身故保险金受益人时，必须经过被保险人同意。</w:t>
      </w:r>
    </w:p>
    <w:p>
      <w:pPr>
        <w:pStyle w:val="BodyText"/>
        <w:spacing w:line="324" w:lineRule="auto"/>
        <w:ind w:left="2480" w:right="150"/>
      </w:pPr>
      <w:r>
        <w:rPr>
          <w:spacing w:val="-2"/>
        </w:rPr>
        <w:t>被保险人身故后，有下列情形之一的，保险金作为被保险人的遗产，由我们依照中华人民共和国相关继承法律的规定履行给付保险金的义务：</w:t>
      </w:r>
    </w:p>
    <w:p>
      <w:pPr>
        <w:pStyle w:val="ListParagraph"/>
        <w:numPr>
          <w:ilvl w:val="2"/>
          <w:numId w:val="15"/>
        </w:numPr>
        <w:tabs>
          <w:tab w:pos="2935" w:val="left" w:leader="none"/>
        </w:tabs>
        <w:spacing w:line="279" w:lineRule="exact" w:before="0" w:after="0"/>
        <w:ind w:left="2934" w:right="0" w:hanging="455"/>
        <w:jc w:val="left"/>
        <w:rPr>
          <w:sz w:val="22"/>
        </w:rPr>
      </w:pPr>
      <w:r>
        <w:rPr>
          <w:spacing w:val="-3"/>
          <w:sz w:val="22"/>
        </w:rPr>
        <w:t>没有指定受益人，或者受益人指定不明无法确定的；</w:t>
      </w:r>
    </w:p>
    <w:p>
      <w:pPr>
        <w:pStyle w:val="ListParagraph"/>
        <w:numPr>
          <w:ilvl w:val="2"/>
          <w:numId w:val="15"/>
        </w:numPr>
        <w:tabs>
          <w:tab w:pos="2935" w:val="left" w:leader="none"/>
        </w:tabs>
        <w:spacing w:line="240" w:lineRule="auto" w:before="97" w:after="0"/>
        <w:ind w:left="2934" w:right="0" w:hanging="455"/>
        <w:jc w:val="left"/>
        <w:rPr>
          <w:sz w:val="22"/>
        </w:rPr>
      </w:pPr>
      <w:r>
        <w:rPr>
          <w:spacing w:val="-3"/>
          <w:sz w:val="22"/>
        </w:rPr>
        <w:t>受益人先于被保险人身故，没有其它受益人的；</w:t>
      </w:r>
    </w:p>
    <w:p>
      <w:pPr>
        <w:pStyle w:val="ListParagraph"/>
        <w:numPr>
          <w:ilvl w:val="2"/>
          <w:numId w:val="15"/>
        </w:numPr>
        <w:tabs>
          <w:tab w:pos="2935" w:val="left" w:leader="none"/>
        </w:tabs>
        <w:spacing w:line="240" w:lineRule="auto" w:before="98" w:after="0"/>
        <w:ind w:left="2934" w:right="0" w:hanging="455"/>
        <w:jc w:val="left"/>
        <w:rPr>
          <w:sz w:val="22"/>
        </w:rPr>
      </w:pPr>
      <w:r>
        <w:rPr>
          <w:spacing w:val="-3"/>
          <w:sz w:val="22"/>
        </w:rPr>
        <w:t>受益人依法丧失受益权或者放弃受益权，没有其它受益人的。</w:t>
      </w:r>
    </w:p>
    <w:p>
      <w:pPr>
        <w:pStyle w:val="BodyText"/>
        <w:spacing w:line="324" w:lineRule="auto" w:before="97"/>
        <w:ind w:left="2480" w:right="150"/>
      </w:pPr>
      <w:r>
        <w:rPr>
          <w:spacing w:val="-2"/>
        </w:rPr>
        <w:t>受益人与被保险人在同一事件中身故，且不能确定身故先后顺序的，推定受益人身故在先。</w:t>
      </w:r>
    </w:p>
    <w:p>
      <w:pPr>
        <w:pStyle w:val="BodyText"/>
        <w:spacing w:line="324" w:lineRule="auto"/>
        <w:ind w:left="2480" w:right="150"/>
      </w:pPr>
      <w:r>
        <w:rPr>
          <w:spacing w:val="-2"/>
        </w:rPr>
        <w:t>受益人故意造成被保险人身故、伤残、疾病的，或者故意杀害被保险人未遂的，该受益人丧失受益权。</w:t>
      </w:r>
    </w:p>
    <w:p>
      <w:pPr>
        <w:pStyle w:val="BodyText"/>
        <w:spacing w:line="324" w:lineRule="auto"/>
        <w:ind w:left="2480" w:right="150"/>
        <w:jc w:val="both"/>
      </w:pPr>
      <w:r>
        <w:rPr>
          <w:spacing w:val="-2"/>
        </w:rPr>
        <w:t>除另有约定外，全残保险金、重大疾病保险金、中度疾病保险金、轻度疾病保险金、中度疾病或轻度疾病豁免保险费、恶性肿瘤——重度二次给付保险金（若选）、特定疾病保险金（若选）、老年特定重大疾病关爱保险金（若选）的受益人为被保险人本人。</w:t>
      </w:r>
    </w:p>
    <w:p>
      <w:pPr>
        <w:pStyle w:val="BodyText"/>
        <w:spacing w:before="4"/>
        <w:rPr>
          <w:sz w:val="29"/>
        </w:rPr>
      </w:pPr>
    </w:p>
    <w:p>
      <w:pPr>
        <w:pStyle w:val="ListParagraph"/>
        <w:numPr>
          <w:ilvl w:val="1"/>
          <w:numId w:val="15"/>
        </w:numPr>
        <w:tabs>
          <w:tab w:pos="930" w:val="left" w:leader="none"/>
          <w:tab w:pos="931" w:val="left" w:leader="none"/>
        </w:tabs>
        <w:spacing w:line="324" w:lineRule="auto" w:before="0" w:after="0"/>
        <w:ind w:left="2480" w:right="152" w:hanging="2328"/>
        <w:jc w:val="left"/>
        <w:rPr>
          <w:sz w:val="22"/>
        </w:rPr>
      </w:pPr>
      <w:r>
        <w:rPr>
          <w:b/>
          <w:spacing w:val="11"/>
          <w:sz w:val="22"/>
        </w:rPr>
        <w:t>保险事故通知 </w:t>
      </w:r>
      <w:r>
        <w:rPr>
          <w:sz w:val="22"/>
        </w:rPr>
        <w:t>您或受益人在知道</w:t>
      </w:r>
      <w:r>
        <w:rPr>
          <w:b/>
          <w:sz w:val="22"/>
        </w:rPr>
        <w:t>保险事故</w:t>
      </w:r>
      <w:hyperlink w:history="true" w:anchor="_bookmark22">
        <w:r>
          <w:rPr>
            <w:rFonts w:ascii="PMingLiU-ExtB" w:eastAsia="PMingLiU-ExtB"/>
            <w:position w:val="10"/>
            <w:sz w:val="10"/>
          </w:rPr>
          <w:t>23</w:t>
        </w:r>
      </w:hyperlink>
      <w:r>
        <w:rPr>
          <w:sz w:val="22"/>
        </w:rPr>
        <w:t>发生后应当在10日内通知我们，若被保险人在</w:t>
      </w:r>
      <w:r>
        <w:rPr>
          <w:spacing w:val="-2"/>
          <w:sz w:val="22"/>
        </w:rPr>
        <w:t>合同有效期间内身故，您或受益人应当在10日内通知我们。</w:t>
      </w:r>
      <w:r>
        <w:rPr>
          <w:color w:val="000000"/>
          <w:spacing w:val="-2"/>
          <w:sz w:val="22"/>
          <w:shd w:fill="E4E4E4" w:color="auto" w:val="clear"/>
        </w:rPr>
        <w:t>如果您或受益人</w:t>
      </w:r>
    </w:p>
    <w:p>
      <w:pPr>
        <w:pStyle w:val="BodyText"/>
        <w:spacing w:before="8"/>
        <w:rPr>
          <w:sz w:val="26"/>
        </w:rPr>
      </w:pPr>
    </w:p>
    <w:p>
      <w:pPr>
        <w:spacing w:before="85"/>
        <w:ind w:left="152" w:right="0" w:firstLine="0"/>
        <w:jc w:val="left"/>
        <w:rPr>
          <w:sz w:val="18"/>
        </w:rPr>
      </w:pPr>
      <w:r>
        <w:rPr>
          <w:rFonts w:ascii="Times New Roman" w:eastAsia="Times New Roman"/>
          <w:sz w:val="18"/>
          <w:vertAlign w:val="superscript"/>
        </w:rPr>
        <w:t>23</w:t>
      </w:r>
      <w:r>
        <w:rPr>
          <w:rFonts w:ascii="Times New Roman" w:eastAsia="Times New Roman"/>
          <w:spacing w:val="-5"/>
          <w:sz w:val="18"/>
          <w:vertAlign w:val="baseline"/>
        </w:rPr>
        <w:t> </w:t>
      </w:r>
      <w:r>
        <w:rPr>
          <w:b/>
          <w:sz w:val="18"/>
          <w:vertAlign w:val="baseline"/>
        </w:rPr>
        <w:t>保险</w:t>
      </w:r>
      <w:r>
        <w:rPr>
          <w:b/>
          <w:sz w:val="18"/>
          <w:vertAlign w:val="baseline"/>
        </w:rPr>
        <w:t>事</w:t>
      </w:r>
      <w:r>
        <w:rPr>
          <w:b/>
          <w:sz w:val="18"/>
          <w:vertAlign w:val="baseline"/>
        </w:rPr>
        <w:t>故</w:t>
      </w:r>
      <w:r>
        <w:rPr>
          <w:b/>
          <w:sz w:val="18"/>
          <w:vertAlign w:val="baseline"/>
        </w:rPr>
        <w:t>：</w:t>
      </w:r>
      <w:r>
        <w:rPr>
          <w:spacing w:val="-1"/>
          <w:sz w:val="18"/>
          <w:vertAlign w:val="baseline"/>
        </w:rPr>
        <w:t>指本合同约定的保险责任范围内的事故。</w:t>
      </w:r>
    </w:p>
    <w:p>
      <w:pPr>
        <w:spacing w:after="0"/>
        <w:jc w:val="left"/>
        <w:rPr>
          <w:sz w:val="18"/>
        </w:rPr>
        <w:sectPr>
          <w:type w:val="continuous"/>
          <w:pgSz w:w="11910" w:h="16840"/>
          <w:pgMar w:header="484" w:footer="706" w:top="1240" w:bottom="900" w:left="980" w:right="980"/>
        </w:sectPr>
      </w:pPr>
    </w:p>
    <w:p>
      <w:pPr>
        <w:pStyle w:val="BodyText"/>
        <w:spacing w:before="7"/>
        <w:rPr>
          <w:sz w:val="14"/>
        </w:rPr>
      </w:pPr>
    </w:p>
    <w:p>
      <w:pPr>
        <w:pStyle w:val="BodyText"/>
        <w:spacing w:line="324" w:lineRule="auto" w:before="70"/>
        <w:ind w:left="2480" w:right="150"/>
        <w:jc w:val="both"/>
      </w:pPr>
      <w:r>
        <w:rPr>
          <w:color w:val="000000"/>
          <w:spacing w:val="-2"/>
          <w:shd w:fill="E4E4E4" w:color="auto" w:val="clear"/>
        </w:rPr>
        <w:t>故意或者因重大过失未及时通知，致使保险事故的性质、原因、损失程度等</w:t>
      </w:r>
      <w:r>
        <w:rPr>
          <w:color w:val="000000"/>
          <w:spacing w:val="40"/>
          <w:shd w:fill="E4E4E4" w:color="auto" w:val="clear"/>
        </w:rPr>
        <w:t> </w:t>
      </w:r>
      <w:r>
        <w:rPr>
          <w:color w:val="000000"/>
          <w:spacing w:val="-2"/>
          <w:shd w:fill="E4E4E4" w:color="auto" w:val="clear"/>
        </w:rPr>
        <w:t>难以确定的，我们对无法确定的部分，不承担给付保险金的责任，</w:t>
      </w:r>
      <w:r>
        <w:rPr>
          <w:color w:val="000000"/>
          <w:spacing w:val="-2"/>
        </w:rPr>
        <w:t>但我们通过其它途径已经及时知道或者应当及时知道保险事故发生或者虽未及时通知但不影响我们确定保险事故的性质、原因、损失程度的除外。</w:t>
      </w:r>
    </w:p>
    <w:p>
      <w:pPr>
        <w:pStyle w:val="BodyText"/>
        <w:spacing w:before="7"/>
        <w:rPr>
          <w:sz w:val="29"/>
        </w:rPr>
      </w:pPr>
    </w:p>
    <w:p>
      <w:pPr>
        <w:pStyle w:val="ListParagraph"/>
        <w:numPr>
          <w:ilvl w:val="1"/>
          <w:numId w:val="15"/>
        </w:numPr>
        <w:tabs>
          <w:tab w:pos="930" w:val="left" w:leader="none"/>
          <w:tab w:pos="931" w:val="left" w:leader="none"/>
          <w:tab w:pos="2480" w:val="left" w:leader="none"/>
        </w:tabs>
        <w:spacing w:line="240" w:lineRule="auto" w:before="0" w:after="0"/>
        <w:ind w:left="930" w:right="0" w:hanging="779"/>
        <w:jc w:val="left"/>
        <w:rPr>
          <w:sz w:val="22"/>
        </w:rPr>
      </w:pPr>
      <w:r>
        <w:rPr>
          <w:b/>
          <w:spacing w:val="-2"/>
          <w:sz w:val="22"/>
        </w:rPr>
        <w:t>保险金申</w:t>
      </w:r>
      <w:r>
        <w:rPr>
          <w:b/>
          <w:spacing w:val="-10"/>
          <w:sz w:val="22"/>
        </w:rPr>
        <w:t>请</w:t>
      </w:r>
      <w:r>
        <w:rPr>
          <w:b/>
          <w:sz w:val="22"/>
        </w:rPr>
        <w:tab/>
      </w:r>
      <w:r>
        <w:rPr>
          <w:spacing w:val="-2"/>
          <w:sz w:val="22"/>
        </w:rPr>
        <w:t>在申请保险金时，请按照下列方式办理</w:t>
      </w:r>
      <w:r>
        <w:rPr>
          <w:spacing w:val="-10"/>
          <w:sz w:val="22"/>
        </w:rPr>
        <w:t>：</w:t>
      </w:r>
    </w:p>
    <w:p>
      <w:pPr>
        <w:pStyle w:val="BodyText"/>
        <w:spacing w:before="3"/>
        <w:rPr>
          <w:sz w:val="29"/>
        </w:rPr>
      </w:pPr>
    </w:p>
    <w:p>
      <w:pPr>
        <w:spacing w:after="0"/>
        <w:rPr>
          <w:sz w:val="29"/>
        </w:rPr>
        <w:sectPr>
          <w:pgSz w:w="11910" w:h="16840"/>
          <w:pgMar w:header="484" w:footer="706" w:top="1240" w:bottom="900" w:left="980" w:right="980"/>
        </w:sectPr>
      </w:pPr>
    </w:p>
    <w:p>
      <w:pPr>
        <w:pStyle w:val="Heading2"/>
        <w:spacing w:line="261" w:lineRule="auto" w:before="72"/>
        <w:ind w:left="930"/>
      </w:pPr>
      <w:r>
        <w:rPr>
          <w:spacing w:val="-2"/>
        </w:rPr>
        <w:t>身故保险金的</w:t>
      </w:r>
      <w:r>
        <w:rPr>
          <w:spacing w:val="-6"/>
        </w:rPr>
        <w:t>申请</w:t>
      </w:r>
    </w:p>
    <w:p>
      <w:pPr>
        <w:pStyle w:val="BodyText"/>
        <w:spacing w:before="105"/>
        <w:ind w:left="187"/>
      </w:pPr>
      <w:r>
        <w:rPr/>
        <w:br w:type="column"/>
      </w:r>
      <w:r>
        <w:rPr>
          <w:spacing w:val="-3"/>
        </w:rPr>
        <w:t>在申请身故保险金时，申请人须填写理赔申请书，并提供下列证明和资料：</w:t>
      </w:r>
    </w:p>
    <w:p>
      <w:pPr>
        <w:pStyle w:val="ListParagraph"/>
        <w:numPr>
          <w:ilvl w:val="0"/>
          <w:numId w:val="16"/>
        </w:numPr>
        <w:tabs>
          <w:tab w:pos="642" w:val="left" w:leader="none"/>
        </w:tabs>
        <w:spacing w:line="240" w:lineRule="auto" w:before="97" w:after="0"/>
        <w:ind w:left="641" w:right="0" w:hanging="455"/>
        <w:jc w:val="left"/>
        <w:rPr>
          <w:sz w:val="22"/>
        </w:rPr>
      </w:pPr>
      <w:r>
        <w:rPr>
          <w:spacing w:val="-4"/>
          <w:sz w:val="22"/>
        </w:rPr>
        <w:t>保险合同；</w:t>
      </w:r>
    </w:p>
    <w:p>
      <w:pPr>
        <w:pStyle w:val="ListParagraph"/>
        <w:numPr>
          <w:ilvl w:val="0"/>
          <w:numId w:val="16"/>
        </w:numPr>
        <w:tabs>
          <w:tab w:pos="642" w:val="left" w:leader="none"/>
        </w:tabs>
        <w:spacing w:line="240" w:lineRule="auto" w:before="97" w:after="0"/>
        <w:ind w:left="641" w:right="0" w:hanging="455"/>
        <w:jc w:val="left"/>
        <w:rPr>
          <w:sz w:val="22"/>
        </w:rPr>
      </w:pPr>
      <w:r>
        <w:rPr>
          <w:spacing w:val="-3"/>
          <w:sz w:val="22"/>
        </w:rPr>
        <w:t>申请人的有效身份证件；</w:t>
      </w:r>
    </w:p>
    <w:p>
      <w:pPr>
        <w:pStyle w:val="ListParagraph"/>
        <w:numPr>
          <w:ilvl w:val="0"/>
          <w:numId w:val="16"/>
        </w:numPr>
        <w:tabs>
          <w:tab w:pos="642" w:val="left" w:leader="none"/>
        </w:tabs>
        <w:spacing w:line="324" w:lineRule="auto" w:before="100" w:after="0"/>
        <w:ind w:left="641" w:right="152" w:hanging="454"/>
        <w:jc w:val="left"/>
        <w:rPr>
          <w:sz w:val="22"/>
        </w:rPr>
      </w:pPr>
      <w:r>
        <w:rPr>
          <w:spacing w:val="-2"/>
          <w:sz w:val="22"/>
        </w:rPr>
        <w:t>国家卫生行政部门认定的医疗机构、公安部门或其它相关机构出具的被保险人的死亡证明；</w:t>
      </w:r>
    </w:p>
    <w:p>
      <w:pPr>
        <w:pStyle w:val="ListParagraph"/>
        <w:numPr>
          <w:ilvl w:val="0"/>
          <w:numId w:val="16"/>
        </w:numPr>
        <w:tabs>
          <w:tab w:pos="642" w:val="left" w:leader="none"/>
        </w:tabs>
        <w:spacing w:line="324" w:lineRule="auto" w:before="0" w:after="0"/>
        <w:ind w:left="187" w:right="203" w:firstLine="0"/>
        <w:jc w:val="left"/>
        <w:rPr>
          <w:sz w:val="22"/>
        </w:rPr>
      </w:pPr>
      <w:r>
        <w:rPr>
          <w:spacing w:val="-2"/>
          <w:sz w:val="22"/>
        </w:rPr>
        <w:t>所能提供的与确认保险事故的性质、原因等有关的其它证明和资料。</w:t>
      </w:r>
      <w:r>
        <w:rPr>
          <w:spacing w:val="-2"/>
          <w:sz w:val="22"/>
        </w:rPr>
        <w:t> 保险金作为被保险人遗产时，必须提供可证明合法继承权的相关权利文件。</w:t>
      </w:r>
    </w:p>
    <w:p>
      <w:pPr>
        <w:spacing w:after="0" w:line="324" w:lineRule="auto"/>
        <w:jc w:val="left"/>
        <w:rPr>
          <w:sz w:val="22"/>
        </w:rPr>
        <w:sectPr>
          <w:type w:val="continuous"/>
          <w:pgSz w:w="11910" w:h="16840"/>
          <w:pgMar w:header="484" w:footer="706" w:top="1240" w:bottom="900" w:left="980" w:right="980"/>
          <w:cols w:num="2" w:equalWidth="0">
            <w:col w:w="2253" w:space="40"/>
            <w:col w:w="7657"/>
          </w:cols>
        </w:sectPr>
      </w:pPr>
    </w:p>
    <w:p>
      <w:pPr>
        <w:pStyle w:val="BodyText"/>
        <w:spacing w:before="5"/>
        <w:rPr>
          <w:sz w:val="21"/>
        </w:rPr>
      </w:pPr>
    </w:p>
    <w:p>
      <w:pPr>
        <w:spacing w:after="0"/>
        <w:rPr>
          <w:sz w:val="21"/>
        </w:rPr>
        <w:sectPr>
          <w:type w:val="continuous"/>
          <w:pgSz w:w="11910" w:h="16840"/>
          <w:pgMar w:header="484" w:footer="706" w:top="1240" w:bottom="900" w:left="980" w:right="980"/>
        </w:sectPr>
      </w:pPr>
    </w:p>
    <w:p>
      <w:pPr>
        <w:pStyle w:val="Heading2"/>
        <w:spacing w:line="261" w:lineRule="auto" w:before="72"/>
        <w:ind w:left="930"/>
      </w:pPr>
      <w:r>
        <w:rPr>
          <w:spacing w:val="-2"/>
        </w:rPr>
        <w:t>全残保险金的</w:t>
      </w:r>
      <w:r>
        <w:rPr>
          <w:spacing w:val="-6"/>
        </w:rPr>
        <w:t>申请</w:t>
      </w:r>
    </w:p>
    <w:p>
      <w:pPr>
        <w:pStyle w:val="BodyText"/>
        <w:spacing w:line="324" w:lineRule="auto" w:before="102"/>
        <w:ind w:left="187" w:right="150"/>
      </w:pPr>
      <w:r>
        <w:rPr/>
        <w:br w:type="column"/>
      </w:r>
      <w:r>
        <w:rPr>
          <w:spacing w:val="-2"/>
        </w:rPr>
        <w:t>在申请全残保险金时，申请人须填写保险金给付申请书，并提供下列证明和</w:t>
      </w:r>
      <w:r>
        <w:rPr>
          <w:spacing w:val="-4"/>
        </w:rPr>
        <w:t>资料：</w:t>
      </w:r>
    </w:p>
    <w:p>
      <w:pPr>
        <w:pStyle w:val="ListParagraph"/>
        <w:numPr>
          <w:ilvl w:val="0"/>
          <w:numId w:val="17"/>
        </w:numPr>
        <w:tabs>
          <w:tab w:pos="642" w:val="left" w:leader="none"/>
        </w:tabs>
        <w:spacing w:line="282" w:lineRule="exact" w:before="0" w:after="0"/>
        <w:ind w:left="641" w:right="0" w:hanging="455"/>
        <w:jc w:val="left"/>
        <w:rPr>
          <w:sz w:val="22"/>
        </w:rPr>
      </w:pPr>
      <w:r>
        <w:rPr>
          <w:spacing w:val="-4"/>
          <w:sz w:val="22"/>
        </w:rPr>
        <w:t>保险合同；</w:t>
      </w:r>
    </w:p>
    <w:p>
      <w:pPr>
        <w:pStyle w:val="ListParagraph"/>
        <w:numPr>
          <w:ilvl w:val="0"/>
          <w:numId w:val="17"/>
        </w:numPr>
        <w:tabs>
          <w:tab w:pos="642" w:val="left" w:leader="none"/>
        </w:tabs>
        <w:spacing w:line="240" w:lineRule="auto" w:before="98" w:after="0"/>
        <w:ind w:left="641" w:right="0" w:hanging="455"/>
        <w:jc w:val="left"/>
        <w:rPr>
          <w:sz w:val="22"/>
        </w:rPr>
      </w:pPr>
      <w:r>
        <w:rPr>
          <w:spacing w:val="-3"/>
          <w:sz w:val="22"/>
        </w:rPr>
        <w:t>申请人的有效身份证件；</w:t>
      </w:r>
    </w:p>
    <w:p>
      <w:pPr>
        <w:pStyle w:val="ListParagraph"/>
        <w:numPr>
          <w:ilvl w:val="0"/>
          <w:numId w:val="17"/>
        </w:numPr>
        <w:tabs>
          <w:tab w:pos="642" w:val="left" w:leader="none"/>
        </w:tabs>
        <w:spacing w:line="324" w:lineRule="auto" w:before="99" w:after="0"/>
        <w:ind w:left="641" w:right="152" w:hanging="454"/>
        <w:jc w:val="left"/>
        <w:rPr>
          <w:sz w:val="22"/>
        </w:rPr>
      </w:pPr>
      <w:r>
        <w:rPr>
          <w:spacing w:val="-2"/>
          <w:sz w:val="22"/>
        </w:rPr>
        <w:t>由双方认可的具有伤残等级鉴定资格的鉴定机构出具的被保险人残疾程度鉴定书；</w:t>
      </w:r>
    </w:p>
    <w:p>
      <w:pPr>
        <w:pStyle w:val="ListParagraph"/>
        <w:numPr>
          <w:ilvl w:val="0"/>
          <w:numId w:val="17"/>
        </w:numPr>
        <w:tabs>
          <w:tab w:pos="642" w:val="left" w:leader="none"/>
        </w:tabs>
        <w:spacing w:line="279" w:lineRule="exact" w:before="0" w:after="0"/>
        <w:ind w:left="641" w:right="0" w:hanging="455"/>
        <w:jc w:val="left"/>
        <w:rPr>
          <w:sz w:val="22"/>
        </w:rPr>
      </w:pPr>
      <w:r>
        <w:rPr>
          <w:spacing w:val="-3"/>
          <w:sz w:val="22"/>
        </w:rPr>
        <w:t>所能提供的与确认保险事故的性质、原因等有关的其它证明和资料。</w:t>
      </w:r>
    </w:p>
    <w:p>
      <w:pPr>
        <w:spacing w:after="0" w:line="279" w:lineRule="exact"/>
        <w:jc w:val="left"/>
        <w:rPr>
          <w:sz w:val="22"/>
        </w:rPr>
        <w:sectPr>
          <w:type w:val="continuous"/>
          <w:pgSz w:w="11910" w:h="16840"/>
          <w:pgMar w:header="484" w:footer="706" w:top="1240" w:bottom="900" w:left="980" w:right="980"/>
          <w:cols w:num="2" w:equalWidth="0">
            <w:col w:w="2253" w:space="40"/>
            <w:col w:w="7657"/>
          </w:cols>
        </w:sectPr>
      </w:pPr>
    </w:p>
    <w:p>
      <w:pPr>
        <w:pStyle w:val="BodyText"/>
        <w:spacing w:before="5"/>
        <w:rPr>
          <w:sz w:val="29"/>
        </w:rPr>
      </w:pPr>
    </w:p>
    <w:p>
      <w:pPr>
        <w:spacing w:after="0"/>
        <w:rPr>
          <w:sz w:val="29"/>
        </w:rPr>
        <w:sectPr>
          <w:type w:val="continuous"/>
          <w:pgSz w:w="11910" w:h="16840"/>
          <w:pgMar w:header="484" w:footer="706" w:top="1240" w:bottom="900" w:left="980" w:right="980"/>
        </w:sectPr>
      </w:pPr>
    </w:p>
    <w:p>
      <w:pPr>
        <w:spacing w:line="261" w:lineRule="auto" w:before="73"/>
        <w:ind w:left="930" w:right="0" w:firstLine="0"/>
        <w:jc w:val="both"/>
        <w:rPr>
          <w:rFonts w:ascii="华文中宋" w:hAnsi="华文中宋" w:eastAsia="华文中宋" w:hint="eastAsia"/>
          <w:b/>
          <w:sz w:val="22"/>
        </w:rPr>
      </w:pPr>
      <w:r>
        <w:rPr>
          <w:rFonts w:ascii="华文中宋" w:hAnsi="华文中宋" w:eastAsia="华文中宋" w:hint="eastAsia"/>
          <w:b/>
          <w:spacing w:val="-2"/>
          <w:sz w:val="22"/>
        </w:rPr>
        <w:t>重大疾病保险</w:t>
      </w:r>
      <w:r>
        <w:rPr>
          <w:rFonts w:ascii="华文中宋" w:hAnsi="华文中宋" w:eastAsia="华文中宋" w:hint="eastAsia"/>
          <w:b/>
          <w:spacing w:val="-2"/>
          <w:sz w:val="22"/>
        </w:rPr>
        <w:t>金、中度疾病</w:t>
      </w:r>
      <w:r>
        <w:rPr>
          <w:rFonts w:ascii="华文中宋" w:hAnsi="华文中宋" w:eastAsia="华文中宋" w:hint="eastAsia"/>
          <w:b/>
          <w:spacing w:val="-2"/>
          <w:sz w:val="22"/>
        </w:rPr>
        <w:t>保险金、轻度</w:t>
      </w:r>
      <w:r>
        <w:rPr>
          <w:rFonts w:ascii="华文中宋" w:hAnsi="华文中宋" w:eastAsia="华文中宋" w:hint="eastAsia"/>
          <w:b/>
          <w:spacing w:val="-2"/>
          <w:sz w:val="22"/>
        </w:rPr>
        <w:t>疾病保险金、</w:t>
      </w:r>
      <w:r>
        <w:rPr>
          <w:rFonts w:ascii="华文中宋" w:hAnsi="华文中宋" w:eastAsia="华文中宋" w:hint="eastAsia"/>
          <w:b/>
          <w:spacing w:val="-2"/>
          <w:sz w:val="22"/>
        </w:rPr>
        <w:t>中度疾病或轻</w:t>
      </w:r>
      <w:r>
        <w:rPr>
          <w:rFonts w:ascii="华文中宋" w:hAnsi="华文中宋" w:eastAsia="华文中宋" w:hint="eastAsia"/>
          <w:b/>
          <w:spacing w:val="-2"/>
          <w:sz w:val="22"/>
        </w:rPr>
        <w:t>度疾病豁免保</w:t>
      </w:r>
      <w:r>
        <w:rPr>
          <w:rFonts w:ascii="华文中宋" w:hAnsi="华文中宋" w:eastAsia="华文中宋" w:hint="eastAsia"/>
          <w:b/>
          <w:spacing w:val="-2"/>
          <w:sz w:val="22"/>
        </w:rPr>
        <w:t>险费、恶性肿瘤——重度二</w:t>
      </w:r>
      <w:r>
        <w:rPr>
          <w:rFonts w:ascii="华文中宋" w:hAnsi="华文中宋" w:eastAsia="华文中宋" w:hint="eastAsia"/>
          <w:b/>
          <w:spacing w:val="-4"/>
          <w:sz w:val="22"/>
        </w:rPr>
        <w:t>次给付保险金</w:t>
      </w:r>
    </w:p>
    <w:p>
      <w:pPr>
        <w:spacing w:line="261" w:lineRule="auto" w:before="0"/>
        <w:ind w:left="930" w:right="0" w:firstLine="0"/>
        <w:jc w:val="left"/>
        <w:rPr>
          <w:rFonts w:ascii="华文中宋" w:eastAsia="华文中宋" w:hint="eastAsia"/>
          <w:b/>
          <w:sz w:val="22"/>
        </w:rPr>
      </w:pPr>
      <w:r>
        <w:rPr>
          <w:rFonts w:ascii="华文中宋" w:eastAsia="华文中宋" w:hint="eastAsia"/>
          <w:b/>
          <w:spacing w:val="-2"/>
          <w:sz w:val="22"/>
        </w:rPr>
        <w:t>（若选）、特</w:t>
      </w:r>
      <w:r>
        <w:rPr>
          <w:rFonts w:ascii="华文中宋" w:eastAsia="华文中宋" w:hint="eastAsia"/>
          <w:b/>
          <w:spacing w:val="-4"/>
          <w:sz w:val="22"/>
        </w:rPr>
        <w:t>定疾病保险金</w:t>
      </w:r>
    </w:p>
    <w:p>
      <w:pPr>
        <w:spacing w:line="261" w:lineRule="auto" w:before="0"/>
        <w:ind w:left="930" w:right="0" w:firstLine="0"/>
        <w:jc w:val="left"/>
        <w:rPr>
          <w:rFonts w:ascii="华文中宋" w:eastAsia="华文中宋" w:hint="eastAsia"/>
          <w:b/>
          <w:sz w:val="22"/>
        </w:rPr>
      </w:pPr>
      <w:r>
        <w:rPr>
          <w:rFonts w:ascii="华文中宋" w:eastAsia="华文中宋" w:hint="eastAsia"/>
          <w:b/>
          <w:spacing w:val="-2"/>
          <w:sz w:val="22"/>
        </w:rPr>
        <w:t>（若选）、老</w:t>
      </w:r>
      <w:r>
        <w:rPr>
          <w:rFonts w:ascii="华文中宋" w:eastAsia="华文中宋" w:hint="eastAsia"/>
          <w:b/>
          <w:spacing w:val="-4"/>
          <w:sz w:val="22"/>
        </w:rPr>
        <w:t>年特定重大疾</w:t>
      </w:r>
    </w:p>
    <w:p>
      <w:pPr>
        <w:pStyle w:val="BodyText"/>
        <w:spacing w:line="324" w:lineRule="auto" w:before="103"/>
        <w:ind w:left="187" w:right="176"/>
        <w:jc w:val="both"/>
      </w:pPr>
      <w:r>
        <w:rPr/>
        <w:br w:type="column"/>
      </w:r>
      <w:r>
        <w:rPr>
          <w:spacing w:val="-2"/>
        </w:rPr>
        <w:t>在申请重大疾病保险金、中度疾病保险金、轻度疾病保险金、中度疾病或轻</w:t>
      </w:r>
      <w:r>
        <w:rPr>
          <w:spacing w:val="-2"/>
        </w:rPr>
        <w:t>度疾病豁免保险费、恶性肿瘤——重度二次给付保险金（若选）、特定疾病</w:t>
      </w:r>
      <w:r>
        <w:rPr>
          <w:spacing w:val="-2"/>
        </w:rPr>
        <w:t>保险金（若选）、老年特定重大疾病关爱保险金（若选）时，申请人须填写理赔申请书，并须提供下列证明和资料：</w:t>
      </w:r>
    </w:p>
    <w:p>
      <w:pPr>
        <w:pStyle w:val="ListParagraph"/>
        <w:numPr>
          <w:ilvl w:val="0"/>
          <w:numId w:val="18"/>
        </w:numPr>
        <w:tabs>
          <w:tab w:pos="642" w:val="left" w:leader="none"/>
        </w:tabs>
        <w:spacing w:line="279" w:lineRule="exact" w:before="0" w:after="0"/>
        <w:ind w:left="641" w:right="0" w:hanging="455"/>
        <w:jc w:val="both"/>
        <w:rPr>
          <w:sz w:val="22"/>
        </w:rPr>
      </w:pPr>
      <w:r>
        <w:rPr>
          <w:spacing w:val="-4"/>
          <w:sz w:val="22"/>
        </w:rPr>
        <w:t>保险合同；</w:t>
      </w:r>
    </w:p>
    <w:p>
      <w:pPr>
        <w:pStyle w:val="ListParagraph"/>
        <w:numPr>
          <w:ilvl w:val="0"/>
          <w:numId w:val="18"/>
        </w:numPr>
        <w:tabs>
          <w:tab w:pos="642" w:val="left" w:leader="none"/>
        </w:tabs>
        <w:spacing w:line="240" w:lineRule="auto" w:before="100" w:after="0"/>
        <w:ind w:left="641" w:right="0" w:hanging="455"/>
        <w:jc w:val="both"/>
        <w:rPr>
          <w:sz w:val="22"/>
        </w:rPr>
      </w:pPr>
      <w:r>
        <w:rPr>
          <w:spacing w:val="-3"/>
          <w:sz w:val="22"/>
        </w:rPr>
        <w:t>受益人或其它有权领取保险金的人的有效身份证件；</w:t>
      </w:r>
    </w:p>
    <w:p>
      <w:pPr>
        <w:pStyle w:val="ListParagraph"/>
        <w:numPr>
          <w:ilvl w:val="0"/>
          <w:numId w:val="18"/>
        </w:numPr>
        <w:tabs>
          <w:tab w:pos="642" w:val="left" w:leader="none"/>
        </w:tabs>
        <w:spacing w:line="324" w:lineRule="auto" w:before="97" w:after="0"/>
        <w:ind w:left="641" w:right="152" w:hanging="454"/>
        <w:jc w:val="both"/>
        <w:rPr>
          <w:sz w:val="22"/>
        </w:rPr>
      </w:pPr>
      <w:r>
        <w:rPr>
          <w:spacing w:val="-2"/>
          <w:sz w:val="22"/>
        </w:rPr>
        <w:t>医院专科医生出具的附有病理显微镜检查、血液检验及其它科学方法检验报告的疾病诊断证明书，若接受外科手术者，还需提供外科手术证明</w:t>
      </w:r>
      <w:r>
        <w:rPr>
          <w:spacing w:val="-4"/>
          <w:sz w:val="22"/>
        </w:rPr>
        <w:t>文件；</w:t>
      </w:r>
    </w:p>
    <w:p>
      <w:pPr>
        <w:pStyle w:val="ListParagraph"/>
        <w:numPr>
          <w:ilvl w:val="0"/>
          <w:numId w:val="18"/>
        </w:numPr>
        <w:tabs>
          <w:tab w:pos="642" w:val="left" w:leader="none"/>
        </w:tabs>
        <w:spacing w:line="324" w:lineRule="auto" w:before="0" w:after="0"/>
        <w:ind w:left="187" w:right="150" w:firstLine="0"/>
        <w:jc w:val="left"/>
        <w:rPr>
          <w:sz w:val="22"/>
        </w:rPr>
      </w:pPr>
      <w:r>
        <w:rPr>
          <w:spacing w:val="-2"/>
          <w:sz w:val="22"/>
        </w:rPr>
        <w:t>所能提供的与确认保险事故的性质、原因等有关的其它证明和资料。</w:t>
      </w:r>
      <w:r>
        <w:rPr>
          <w:spacing w:val="40"/>
          <w:sz w:val="22"/>
        </w:rPr>
        <w:t> </w:t>
      </w:r>
      <w:r>
        <w:rPr>
          <w:spacing w:val="-2"/>
          <w:sz w:val="22"/>
        </w:rPr>
        <w:t>受益人申请重大疾病保险金、中度疾病保险金、轻度疾病保险金、中度疾病或轻度疾病豁免保险费、恶性肿瘤——重度二次给付保险金（若选）、特定疾病保险金（若选）、老年特定重大疾病关爱保险金（若选）时，我们若有</w:t>
      </w:r>
    </w:p>
    <w:p>
      <w:pPr>
        <w:spacing w:after="0" w:line="324" w:lineRule="auto"/>
        <w:jc w:val="left"/>
        <w:rPr>
          <w:sz w:val="22"/>
        </w:rPr>
        <w:sectPr>
          <w:type w:val="continuous"/>
          <w:pgSz w:w="11910" w:h="16840"/>
          <w:pgMar w:header="484" w:footer="706" w:top="1240" w:bottom="900" w:left="980" w:right="980"/>
          <w:cols w:num="2" w:equalWidth="0">
            <w:col w:w="2253" w:space="40"/>
            <w:col w:w="7657"/>
          </w:cols>
        </w:sectPr>
      </w:pPr>
    </w:p>
    <w:p>
      <w:pPr>
        <w:pStyle w:val="BodyText"/>
        <w:rPr>
          <w:sz w:val="12"/>
        </w:rPr>
      </w:pPr>
    </w:p>
    <w:p>
      <w:pPr>
        <w:spacing w:after="0"/>
        <w:rPr>
          <w:sz w:val="12"/>
        </w:rPr>
        <w:sectPr>
          <w:pgSz w:w="11910" w:h="16840"/>
          <w:pgMar w:header="484" w:footer="706" w:top="1240" w:bottom="900" w:left="980" w:right="980"/>
        </w:sectPr>
      </w:pPr>
    </w:p>
    <w:p>
      <w:pPr>
        <w:pStyle w:val="Heading2"/>
        <w:spacing w:before="73"/>
        <w:ind w:left="930"/>
      </w:pPr>
      <w:r>
        <w:rPr>
          <w:spacing w:val="-4"/>
        </w:rPr>
        <w:t>病关爱保险金</w:t>
      </w:r>
    </w:p>
    <w:p>
      <w:pPr>
        <w:spacing w:line="261" w:lineRule="auto" w:before="30"/>
        <w:ind w:left="930" w:right="0" w:firstLine="0"/>
        <w:jc w:val="left"/>
        <w:rPr>
          <w:rFonts w:ascii="华文中宋" w:eastAsia="华文中宋" w:hint="eastAsia"/>
          <w:b/>
          <w:sz w:val="22"/>
        </w:rPr>
      </w:pPr>
      <w:r>
        <w:rPr>
          <w:rFonts w:ascii="华文中宋" w:eastAsia="华文中宋" w:hint="eastAsia"/>
          <w:b/>
          <w:spacing w:val="-2"/>
          <w:sz w:val="22"/>
        </w:rPr>
        <w:t>（若选）的申</w:t>
      </w:r>
      <w:r>
        <w:rPr>
          <w:rFonts w:ascii="华文中宋" w:eastAsia="华文中宋" w:hint="eastAsia"/>
          <w:b/>
          <w:spacing w:val="-10"/>
          <w:sz w:val="22"/>
        </w:rPr>
        <w:t>请</w:t>
      </w:r>
    </w:p>
    <w:p>
      <w:pPr>
        <w:pStyle w:val="BodyText"/>
        <w:spacing w:line="324" w:lineRule="auto" w:before="103"/>
        <w:ind w:left="187" w:right="150"/>
      </w:pPr>
      <w:r>
        <w:rPr/>
        <w:br w:type="column"/>
      </w:r>
      <w:r>
        <w:rPr>
          <w:spacing w:val="-2"/>
        </w:rPr>
        <w:t>疑义，我们可以委托相关鉴定机构对被保险人的身体予以鉴定，其鉴定费用由我们负担。</w:t>
      </w:r>
    </w:p>
    <w:p>
      <w:pPr>
        <w:pStyle w:val="BodyText"/>
        <w:spacing w:line="324" w:lineRule="auto"/>
        <w:ind w:left="187" w:right="203"/>
      </w:pPr>
      <w:r>
        <w:rPr>
          <w:spacing w:val="-2"/>
        </w:rPr>
        <w:t>以上证明和资料不完整的，我们将及时一次性通知申请人补充提供有关的证明和资料。</w:t>
      </w:r>
    </w:p>
    <w:p>
      <w:pPr>
        <w:spacing w:after="0" w:line="324" w:lineRule="auto"/>
        <w:sectPr>
          <w:type w:val="continuous"/>
          <w:pgSz w:w="11910" w:h="16840"/>
          <w:pgMar w:header="484" w:footer="706" w:top="1240" w:bottom="900" w:left="980" w:right="980"/>
          <w:cols w:num="2" w:equalWidth="0">
            <w:col w:w="2253" w:space="40"/>
            <w:col w:w="7657"/>
          </w:cols>
        </w:sectPr>
      </w:pPr>
    </w:p>
    <w:p>
      <w:pPr>
        <w:pStyle w:val="BodyText"/>
        <w:spacing w:before="1"/>
        <w:rPr>
          <w:sz w:val="24"/>
        </w:rPr>
      </w:pPr>
    </w:p>
    <w:p>
      <w:pPr>
        <w:pStyle w:val="ListParagraph"/>
        <w:numPr>
          <w:ilvl w:val="1"/>
          <w:numId w:val="15"/>
        </w:numPr>
        <w:tabs>
          <w:tab w:pos="931" w:val="left" w:leader="none"/>
        </w:tabs>
        <w:spacing w:line="324" w:lineRule="auto" w:before="70" w:after="0"/>
        <w:ind w:left="2480" w:right="152" w:hanging="2328"/>
        <w:jc w:val="both"/>
        <w:rPr>
          <w:sz w:val="22"/>
        </w:rPr>
      </w:pPr>
      <w:r>
        <w:rPr>
          <w:b/>
          <w:sz w:val="22"/>
        </w:rPr>
        <w:t>保险金给付</w:t>
      </w:r>
      <w:r>
        <w:rPr>
          <w:b/>
          <w:spacing w:val="80"/>
          <w:w w:val="150"/>
          <w:sz w:val="22"/>
        </w:rPr>
        <w:t>  </w:t>
      </w:r>
      <w:r>
        <w:rPr>
          <w:sz w:val="22"/>
        </w:rPr>
        <w:t>我们在收到理赔申请书及合同约定的有关证明和资料后，将在5日内作出核</w:t>
      </w:r>
      <w:r>
        <w:rPr>
          <w:spacing w:val="-2"/>
          <w:sz w:val="22"/>
        </w:rPr>
        <w:t>定；情形复杂的，在30日内作出核定。对属于保险责任的，我们在与受益人达成给付保险金的协议后10日内，履行给付保险金义务。</w:t>
      </w:r>
    </w:p>
    <w:p>
      <w:pPr>
        <w:pStyle w:val="BodyText"/>
        <w:spacing w:line="324" w:lineRule="auto"/>
        <w:ind w:left="2480" w:right="150"/>
      </w:pPr>
      <w:r>
        <w:rPr>
          <w:spacing w:val="-2"/>
        </w:rPr>
        <w:t>我们未及时履行前款规定义务的，除支付保险金外，应当赔偿受益人因此受到的损失。</w:t>
      </w:r>
    </w:p>
    <w:p>
      <w:pPr>
        <w:pStyle w:val="BodyText"/>
        <w:spacing w:line="324" w:lineRule="auto"/>
        <w:ind w:left="2480" w:right="150"/>
        <w:jc w:val="both"/>
      </w:pPr>
      <w:r>
        <w:rPr>
          <w:spacing w:val="-2"/>
        </w:rPr>
        <w:t>赔偿损失范围和损失计算方法：按赔偿当时最近一次中国人民银行公布的金融机构人民币一年期定期存款基准利率以单利方式计算并支付逾期给付保险金的利息损失。</w:t>
      </w:r>
    </w:p>
    <w:p>
      <w:pPr>
        <w:pStyle w:val="BodyText"/>
        <w:spacing w:line="324" w:lineRule="auto"/>
        <w:ind w:left="2480" w:right="152"/>
      </w:pPr>
      <w:r>
        <w:rPr>
          <w:spacing w:val="2"/>
          <w:w w:val="100"/>
        </w:rPr>
        <w:t>对不属于保险责任的，我们自作出核定之日起</w:t>
      </w:r>
      <w:r>
        <w:rPr>
          <w:spacing w:val="4"/>
          <w:w w:val="100"/>
        </w:rPr>
        <w:t>3</w:t>
      </w:r>
      <w:r>
        <w:rPr>
          <w:spacing w:val="1"/>
          <w:w w:val="100"/>
        </w:rPr>
        <w:t>日内向受益人发出拒绝给付</w:t>
      </w:r>
      <w:r>
        <w:rPr>
          <w:spacing w:val="-3"/>
          <w:w w:val="100"/>
        </w:rPr>
        <w:t>保险金通知书并说明理由。</w:t>
      </w:r>
    </w:p>
    <w:p>
      <w:pPr>
        <w:pStyle w:val="BodyText"/>
        <w:spacing w:line="324" w:lineRule="auto"/>
        <w:ind w:left="2480" w:right="150"/>
        <w:jc w:val="both"/>
      </w:pPr>
      <w:r>
        <w:rPr>
          <w:spacing w:val="-2"/>
        </w:rPr>
        <w:t>我们在收到理赔申请书及有关证明和资料之日起60日内，对给付保险金的数额不能确定的，根据已有证明和资料可以确定的数额先予支付；我们最终确定给付保险金的数额后，将支付相应的差额。</w:t>
      </w:r>
    </w:p>
    <w:p>
      <w:pPr>
        <w:pStyle w:val="BodyText"/>
        <w:spacing w:before="2"/>
        <w:rPr>
          <w:sz w:val="29"/>
        </w:rPr>
      </w:pPr>
    </w:p>
    <w:p>
      <w:pPr>
        <w:pStyle w:val="ListParagraph"/>
        <w:numPr>
          <w:ilvl w:val="1"/>
          <w:numId w:val="15"/>
        </w:numPr>
        <w:tabs>
          <w:tab w:pos="931" w:val="left" w:leader="none"/>
        </w:tabs>
        <w:spacing w:line="324" w:lineRule="auto" w:before="0" w:after="0"/>
        <w:ind w:left="2480" w:right="150" w:hanging="2328"/>
        <w:jc w:val="both"/>
        <w:rPr>
          <w:sz w:val="22"/>
        </w:rPr>
      </w:pPr>
      <w:r>
        <w:rPr>
          <w:b/>
          <w:spacing w:val="34"/>
          <w:sz w:val="22"/>
        </w:rPr>
        <w:t>失踪处理   </w:t>
      </w:r>
      <w:r>
        <w:rPr>
          <w:sz w:val="22"/>
        </w:rPr>
        <w:t>如果被保险人在本合同有效期内失踪，而且被法院宣告死亡，我们以判决书</w:t>
      </w:r>
      <w:r>
        <w:rPr>
          <w:spacing w:val="-2"/>
          <w:sz w:val="22"/>
        </w:rPr>
        <w:t>宣告之日为准，按本合同的约定给付身故保险金，本合同终止。</w:t>
      </w:r>
    </w:p>
    <w:p>
      <w:pPr>
        <w:pStyle w:val="BodyText"/>
        <w:spacing w:line="324" w:lineRule="auto"/>
        <w:ind w:left="2480" w:right="150"/>
        <w:jc w:val="both"/>
      </w:pPr>
      <w:r>
        <w:rPr>
          <w:spacing w:val="-2"/>
        </w:rPr>
        <w:t>如果被保险人在宣告死亡后重新出现或者确知其没有死亡，受益人或者其它领取保险金的人应于知道后30日内向我们退还已给付的保险金，本合同的效力由我们双方依法协商处理。</w:t>
      </w:r>
    </w:p>
    <w:p>
      <w:pPr>
        <w:pStyle w:val="BodyText"/>
        <w:spacing w:before="6"/>
        <w:rPr>
          <w:sz w:val="29"/>
        </w:rPr>
      </w:pPr>
    </w:p>
    <w:p>
      <w:pPr>
        <w:pStyle w:val="ListParagraph"/>
        <w:numPr>
          <w:ilvl w:val="1"/>
          <w:numId w:val="15"/>
        </w:numPr>
        <w:tabs>
          <w:tab w:pos="931" w:val="left" w:leader="none"/>
        </w:tabs>
        <w:spacing w:line="324" w:lineRule="auto" w:before="0" w:after="0"/>
        <w:ind w:left="2480" w:right="152" w:hanging="2328"/>
        <w:jc w:val="both"/>
        <w:rPr>
          <w:sz w:val="22"/>
        </w:rPr>
      </w:pPr>
      <w:r>
        <w:rPr>
          <w:b/>
          <w:spacing w:val="-1"/>
          <w:w w:val="100"/>
          <w:sz w:val="22"/>
        </w:rPr>
        <w:t>诉讼时效</w:t>
      </w:r>
      <w:r>
        <w:rPr>
          <w:b/>
          <w:sz w:val="22"/>
        </w:rPr>
        <w:t>      </w:t>
      </w:r>
      <w:r>
        <w:rPr>
          <w:spacing w:val="2"/>
          <w:w w:val="100"/>
          <w:sz w:val="22"/>
        </w:rPr>
        <w:t>受益人或被保险人向我们请求给付身故保险金的诉讼时效期间为</w:t>
      </w:r>
      <w:r>
        <w:rPr>
          <w:spacing w:val="4"/>
          <w:w w:val="100"/>
          <w:sz w:val="22"/>
        </w:rPr>
        <w:t>5</w:t>
      </w:r>
      <w:r>
        <w:rPr>
          <w:spacing w:val="2"/>
          <w:w w:val="100"/>
          <w:sz w:val="22"/>
        </w:rPr>
        <w:t>年，向我们请求给付其它保险金的诉讼时效期间为2</w:t>
      </w:r>
      <w:r>
        <w:rPr>
          <w:spacing w:val="1"/>
          <w:w w:val="100"/>
          <w:sz w:val="22"/>
        </w:rPr>
        <w:t>年，自其知道或者应当知道保险</w:t>
      </w:r>
      <w:r>
        <w:rPr>
          <w:spacing w:val="-3"/>
          <w:w w:val="100"/>
          <w:sz w:val="22"/>
        </w:rPr>
        <w:t>事故发生之日起计算。</w:t>
      </w:r>
    </w:p>
    <w:p>
      <w:pPr>
        <w:pStyle w:val="BodyText"/>
        <w:spacing w:before="1"/>
        <w:rPr>
          <w:sz w:val="15"/>
        </w:rPr>
      </w:pPr>
    </w:p>
    <w:p>
      <w:pPr>
        <w:pStyle w:val="Heading1"/>
        <w:spacing w:before="100"/>
      </w:pPr>
      <w:r>
        <w:rPr>
          <w:rFonts w:ascii="Wingdings" w:hAnsi="Wingdings" w:eastAsia="Wingdings"/>
          <w:b w:val="0"/>
          <w:w w:val="95"/>
          <w:position w:val="-5"/>
          <w:sz w:val="48"/>
        </w:rPr>
        <w:t></w:t>
      </w:r>
      <w:r>
        <w:rPr>
          <w:w w:val="95"/>
        </w:rPr>
        <w:t>保险费的</w:t>
      </w:r>
      <w:r>
        <w:rPr>
          <w:w w:val="95"/>
        </w:rPr>
        <w:t>支</w:t>
      </w:r>
      <w:r>
        <w:rPr>
          <w:spacing w:val="-10"/>
          <w:w w:val="95"/>
        </w:rPr>
        <w:t>付</w:t>
      </w:r>
    </w:p>
    <w:p>
      <w:pPr>
        <w:pStyle w:val="BodyText"/>
        <w:spacing w:line="43" w:lineRule="exact"/>
        <w:ind w:left="126"/>
        <w:rPr>
          <w:sz w:val="4"/>
        </w:rPr>
      </w:pPr>
      <w:r>
        <w:rPr>
          <w:position w:val="0"/>
          <w:sz w:val="4"/>
        </w:rPr>
        <w:drawing>
          <wp:inline distT="0" distB="0" distL="0" distR="0">
            <wp:extent cx="6155689" cy="27431"/>
            <wp:effectExtent l="0" t="0" r="0" b="0"/>
            <wp:docPr id="19" name="image3.png"/>
            <wp:cNvGraphicFramePr>
              <a:graphicFrameLocks noChangeAspect="1"/>
            </wp:cNvGraphicFramePr>
            <a:graphic>
              <a:graphicData uri="http://schemas.openxmlformats.org/drawingml/2006/picture">
                <pic:pic>
                  <pic:nvPicPr>
                    <pic:cNvPr id="20" name="image3.png"/>
                    <pic:cNvPicPr/>
                  </pic:nvPicPr>
                  <pic:blipFill>
                    <a:blip r:embed="rId9" cstate="print"/>
                    <a:stretch>
                      <a:fillRect/>
                    </a:stretch>
                  </pic:blipFill>
                  <pic:spPr>
                    <a:xfrm>
                      <a:off x="0" y="0"/>
                      <a:ext cx="6155689" cy="27431"/>
                    </a:xfrm>
                    <a:prstGeom prst="rect">
                      <a:avLst/>
                    </a:prstGeom>
                  </pic:spPr>
                </pic:pic>
              </a:graphicData>
            </a:graphic>
          </wp:inline>
        </w:drawing>
      </w:r>
      <w:r>
        <w:rPr>
          <w:position w:val="0"/>
          <w:sz w:val="4"/>
        </w:rPr>
      </w:r>
    </w:p>
    <w:p>
      <w:pPr>
        <w:pStyle w:val="ListParagraph"/>
        <w:numPr>
          <w:ilvl w:val="1"/>
          <w:numId w:val="19"/>
        </w:numPr>
        <w:tabs>
          <w:tab w:pos="930" w:val="left" w:leader="none"/>
          <w:tab w:pos="931" w:val="left" w:leader="none"/>
        </w:tabs>
        <w:spacing w:line="240" w:lineRule="auto" w:before="466" w:after="0"/>
        <w:ind w:left="930" w:right="0" w:hanging="779"/>
        <w:jc w:val="left"/>
        <w:rPr>
          <w:sz w:val="22"/>
        </w:rPr>
      </w:pPr>
      <w:r>
        <w:rPr>
          <w:b/>
          <w:spacing w:val="7"/>
          <w:sz w:val="22"/>
        </w:rPr>
        <w:t>保险费的支付 </w:t>
      </w:r>
      <w:r>
        <w:rPr>
          <w:spacing w:val="-1"/>
          <w:sz w:val="22"/>
        </w:rPr>
        <w:t>本合同保险费支付方式和支付期限由您和我们约定并在保险单上载明。</w:t>
      </w:r>
    </w:p>
    <w:p>
      <w:pPr>
        <w:pStyle w:val="BodyText"/>
        <w:spacing w:line="324" w:lineRule="auto" w:before="97"/>
        <w:ind w:left="2480" w:right="150"/>
      </w:pPr>
      <w:r>
        <w:rPr>
          <w:spacing w:val="-2"/>
        </w:rPr>
        <w:t>分期支付保险费的，在支付首期保险费后，您应当按照约定，在每个保险费约定支付日支付其余各期的保险费。</w:t>
      </w:r>
    </w:p>
    <w:p>
      <w:pPr>
        <w:pStyle w:val="BodyText"/>
        <w:spacing w:before="7"/>
        <w:rPr>
          <w:sz w:val="29"/>
        </w:rPr>
      </w:pPr>
    </w:p>
    <w:p>
      <w:pPr>
        <w:pStyle w:val="ListParagraph"/>
        <w:numPr>
          <w:ilvl w:val="1"/>
          <w:numId w:val="19"/>
        </w:numPr>
        <w:tabs>
          <w:tab w:pos="930" w:val="left" w:leader="none"/>
          <w:tab w:pos="931" w:val="left" w:leader="none"/>
          <w:tab w:pos="2480" w:val="left" w:leader="none"/>
        </w:tabs>
        <w:spacing w:line="240" w:lineRule="auto" w:before="1" w:after="0"/>
        <w:ind w:left="930" w:right="0" w:hanging="779"/>
        <w:jc w:val="left"/>
        <w:rPr>
          <w:sz w:val="22"/>
        </w:rPr>
      </w:pPr>
      <w:r>
        <w:rPr>
          <w:b/>
          <w:spacing w:val="-2"/>
          <w:sz w:val="22"/>
        </w:rPr>
        <w:t>宽限</w:t>
      </w:r>
      <w:r>
        <w:rPr>
          <w:b/>
          <w:spacing w:val="-10"/>
          <w:sz w:val="22"/>
        </w:rPr>
        <w:t>期</w:t>
      </w:r>
      <w:r>
        <w:rPr>
          <w:b/>
          <w:sz w:val="22"/>
        </w:rPr>
        <w:tab/>
      </w:r>
      <w:r>
        <w:rPr>
          <w:sz w:val="22"/>
        </w:rPr>
        <w:t>分期支付保险费的，您支付首期保险费后，除本合同另有约定外，如果您</w:t>
      </w:r>
      <w:r>
        <w:rPr>
          <w:spacing w:val="-10"/>
          <w:sz w:val="22"/>
        </w:rPr>
        <w:t>到</w:t>
      </w:r>
    </w:p>
    <w:p>
      <w:pPr>
        <w:spacing w:after="0" w:line="240" w:lineRule="auto"/>
        <w:jc w:val="left"/>
        <w:rPr>
          <w:sz w:val="22"/>
        </w:rPr>
        <w:sectPr>
          <w:type w:val="continuous"/>
          <w:pgSz w:w="11910" w:h="16840"/>
          <w:pgMar w:header="484" w:footer="706" w:top="1240" w:bottom="900" w:left="980" w:right="980"/>
        </w:sectPr>
      </w:pPr>
    </w:p>
    <w:p>
      <w:pPr>
        <w:pStyle w:val="BodyText"/>
        <w:spacing w:before="7"/>
        <w:rPr>
          <w:sz w:val="14"/>
        </w:rPr>
      </w:pPr>
    </w:p>
    <w:p>
      <w:pPr>
        <w:pStyle w:val="BodyText"/>
        <w:spacing w:line="324" w:lineRule="auto" w:before="70"/>
        <w:ind w:left="2480" w:right="150"/>
        <w:jc w:val="both"/>
      </w:pPr>
      <w:r>
        <w:rPr>
          <w:spacing w:val="-2"/>
        </w:rPr>
        <w:t>期未支付保险费，自保险费约定支付日的次日零时起60日为宽限期。宽限期内发生的保险事故，我们仍会承担保险责任，但在给付保险金时会扣减您欠交的保险费。</w:t>
      </w:r>
    </w:p>
    <w:p>
      <w:pPr>
        <w:pStyle w:val="BodyText"/>
        <w:spacing w:line="324" w:lineRule="auto"/>
        <w:ind w:left="2480" w:right="150"/>
      </w:pPr>
      <w:r>
        <w:rPr>
          <w:color w:val="000000"/>
          <w:spacing w:val="-2"/>
          <w:shd w:fill="E4E4E4" w:color="auto" w:val="clear"/>
        </w:rPr>
        <w:t>如果您宽限期结束之后仍未支付保险费，则本合同自宽限期满的次日零时起</w:t>
      </w:r>
      <w:r>
        <w:rPr>
          <w:color w:val="000000"/>
          <w:spacing w:val="80"/>
          <w:w w:val="150"/>
          <w:shd w:fill="E4E4E4" w:color="auto" w:val="clear"/>
        </w:rPr>
        <w:t>                                       </w:t>
      </w:r>
      <w:r>
        <w:rPr>
          <w:color w:val="000000"/>
          <w:spacing w:val="-2"/>
          <w:shd w:fill="E4E4E4" w:color="auto" w:val="clear"/>
        </w:rPr>
        <w:t>效力中止。</w:t>
      </w:r>
    </w:p>
    <w:p>
      <w:pPr>
        <w:pStyle w:val="BodyText"/>
        <w:spacing w:before="11"/>
      </w:pPr>
    </w:p>
    <w:p>
      <w:pPr>
        <w:pStyle w:val="Heading1"/>
        <w:spacing w:before="1"/>
      </w:pPr>
      <w:r>
        <w:rPr>
          <w:rFonts w:ascii="Wingdings" w:hAnsi="Wingdings" w:eastAsia="Wingdings"/>
          <w:b w:val="0"/>
          <w:w w:val="95"/>
          <w:position w:val="-5"/>
          <w:sz w:val="48"/>
        </w:rPr>
        <w:t></w:t>
      </w:r>
      <w:r>
        <w:rPr>
          <w:w w:val="95"/>
        </w:rPr>
        <w:t>现金</w:t>
      </w:r>
      <w:r>
        <w:rPr>
          <w:w w:val="95"/>
        </w:rPr>
        <w:t>价</w:t>
      </w:r>
      <w:r>
        <w:rPr>
          <w:w w:val="95"/>
        </w:rPr>
        <w:t>值</w:t>
      </w:r>
      <w:r>
        <w:rPr>
          <w:w w:val="95"/>
        </w:rPr>
        <w:t>权</w:t>
      </w:r>
      <w:r>
        <w:rPr>
          <w:spacing w:val="-10"/>
          <w:w w:val="95"/>
        </w:rPr>
        <w:t>益</w:t>
      </w:r>
    </w:p>
    <w:p>
      <w:pPr>
        <w:pStyle w:val="BodyText"/>
        <w:spacing w:line="43" w:lineRule="exact"/>
        <w:ind w:left="126"/>
        <w:rPr>
          <w:sz w:val="4"/>
        </w:rPr>
      </w:pPr>
      <w:r>
        <w:rPr>
          <w:position w:val="0"/>
          <w:sz w:val="4"/>
        </w:rPr>
        <w:drawing>
          <wp:inline distT="0" distB="0" distL="0" distR="0">
            <wp:extent cx="6155689" cy="27431"/>
            <wp:effectExtent l="0" t="0" r="0" b="0"/>
            <wp:docPr id="21" name="image3.png"/>
            <wp:cNvGraphicFramePr>
              <a:graphicFrameLocks noChangeAspect="1"/>
            </wp:cNvGraphicFramePr>
            <a:graphic>
              <a:graphicData uri="http://schemas.openxmlformats.org/drawingml/2006/picture">
                <pic:pic>
                  <pic:nvPicPr>
                    <pic:cNvPr id="22" name="image3.png"/>
                    <pic:cNvPicPr/>
                  </pic:nvPicPr>
                  <pic:blipFill>
                    <a:blip r:embed="rId9" cstate="print"/>
                    <a:stretch>
                      <a:fillRect/>
                    </a:stretch>
                  </pic:blipFill>
                  <pic:spPr>
                    <a:xfrm>
                      <a:off x="0" y="0"/>
                      <a:ext cx="6155689" cy="27431"/>
                    </a:xfrm>
                    <a:prstGeom prst="rect">
                      <a:avLst/>
                    </a:prstGeom>
                  </pic:spPr>
                </pic:pic>
              </a:graphicData>
            </a:graphic>
          </wp:inline>
        </w:drawing>
      </w:r>
      <w:r>
        <w:rPr>
          <w:position w:val="0"/>
          <w:sz w:val="4"/>
        </w:rPr>
      </w:r>
    </w:p>
    <w:p>
      <w:pPr>
        <w:pStyle w:val="BodyText"/>
        <w:rPr>
          <w:b/>
          <w:sz w:val="20"/>
        </w:rPr>
      </w:pPr>
    </w:p>
    <w:p>
      <w:pPr>
        <w:pStyle w:val="BodyText"/>
        <w:spacing w:before="4"/>
        <w:rPr>
          <w:b/>
          <w:sz w:val="16"/>
        </w:rPr>
      </w:pPr>
    </w:p>
    <w:p>
      <w:pPr>
        <w:pStyle w:val="ListParagraph"/>
        <w:numPr>
          <w:ilvl w:val="1"/>
          <w:numId w:val="20"/>
        </w:numPr>
        <w:tabs>
          <w:tab w:pos="954" w:val="left" w:leader="none"/>
          <w:tab w:pos="955" w:val="left" w:leader="none"/>
          <w:tab w:pos="2504" w:val="left" w:leader="none"/>
        </w:tabs>
        <w:spacing w:line="240" w:lineRule="auto" w:before="0" w:after="0"/>
        <w:ind w:left="954" w:right="0" w:hanging="803"/>
        <w:jc w:val="left"/>
        <w:rPr>
          <w:sz w:val="22"/>
        </w:rPr>
      </w:pPr>
      <w:r>
        <w:rPr>
          <w:b/>
          <w:spacing w:val="-2"/>
          <w:sz w:val="22"/>
        </w:rPr>
        <w:t>现金价</w:t>
      </w:r>
      <w:r>
        <w:rPr>
          <w:b/>
          <w:spacing w:val="-10"/>
          <w:sz w:val="22"/>
        </w:rPr>
        <w:t>值</w:t>
      </w:r>
      <w:r>
        <w:rPr>
          <w:b/>
          <w:sz w:val="22"/>
        </w:rPr>
        <w:tab/>
      </w:r>
      <w:r>
        <w:rPr>
          <w:spacing w:val="-2"/>
          <w:sz w:val="22"/>
        </w:rPr>
        <w:t>本合同保单年度末的现金价值会在保险合同上载明</w:t>
      </w:r>
      <w:r>
        <w:rPr>
          <w:spacing w:val="-10"/>
          <w:sz w:val="22"/>
        </w:rPr>
        <w:t>。</w:t>
      </w:r>
    </w:p>
    <w:p>
      <w:pPr>
        <w:pStyle w:val="BodyText"/>
      </w:pPr>
    </w:p>
    <w:p>
      <w:pPr>
        <w:pStyle w:val="ListParagraph"/>
        <w:numPr>
          <w:ilvl w:val="1"/>
          <w:numId w:val="20"/>
        </w:numPr>
        <w:tabs>
          <w:tab w:pos="954" w:val="left" w:leader="none"/>
          <w:tab w:pos="955" w:val="left" w:leader="none"/>
          <w:tab w:pos="2504" w:val="left" w:leader="none"/>
        </w:tabs>
        <w:spacing w:line="324" w:lineRule="auto" w:before="197" w:after="0"/>
        <w:ind w:left="2504" w:right="152" w:hanging="2352"/>
        <w:jc w:val="left"/>
        <w:rPr>
          <w:sz w:val="22"/>
        </w:rPr>
      </w:pPr>
      <w:r>
        <w:rPr>
          <w:b/>
          <w:spacing w:val="-4"/>
          <w:sz w:val="22"/>
        </w:rPr>
        <w:t>保单贷款</w:t>
      </w:r>
      <w:r>
        <w:rPr>
          <w:b/>
          <w:sz w:val="22"/>
        </w:rPr>
        <w:tab/>
      </w:r>
      <w:r>
        <w:rPr>
          <w:spacing w:val="-2"/>
          <w:sz w:val="22"/>
        </w:rPr>
        <w:t>在本合同有效期内，您可以向我们申请贷款，经我们审核同意后办理贷款。</w:t>
      </w:r>
      <w:r>
        <w:rPr>
          <w:spacing w:val="12"/>
          <w:sz w:val="22"/>
        </w:rPr>
        <w:t>贷款金额不得超过本合同及其附加合同现金价值扣除各项欠款后余额</w:t>
      </w:r>
      <w:r>
        <w:rPr>
          <w:sz w:val="22"/>
        </w:rPr>
        <w:t>的 </w:t>
      </w:r>
      <w:r>
        <w:rPr>
          <w:spacing w:val="-2"/>
          <w:sz w:val="22"/>
        </w:rPr>
        <w:t>80%，每次贷款期限最长不超过6个月，保单贷款利率按您与我们签订的贷款协议中约定的利率执行。贷款本息在贷款到期时一并归还。若您到期未能足额偿还贷款本息，则您所欠的贷款本金及利息将作为新的贷款本金计息。</w:t>
      </w:r>
      <w:r>
        <w:rPr>
          <w:spacing w:val="40"/>
          <w:sz w:val="22"/>
        </w:rPr>
        <w:t> </w:t>
      </w:r>
      <w:r>
        <w:rPr>
          <w:color w:val="000000"/>
          <w:spacing w:val="-2"/>
          <w:sz w:val="22"/>
          <w:shd w:fill="E4E4E4" w:color="auto" w:val="clear"/>
        </w:rPr>
        <w:t>自您没还清的贷款本金及利息加上其它各项欠款达到本合同及其附加合同现</w:t>
      </w:r>
      <w:r>
        <w:rPr>
          <w:color w:val="000000"/>
          <w:spacing w:val="80"/>
          <w:w w:val="150"/>
          <w:sz w:val="22"/>
          <w:shd w:fill="E4E4E4" w:color="auto" w:val="clear"/>
        </w:rPr>
        <w:t>                                      </w:t>
      </w:r>
      <w:r>
        <w:rPr>
          <w:color w:val="000000"/>
          <w:spacing w:val="-2"/>
          <w:sz w:val="22"/>
          <w:shd w:fill="E4E4E4" w:color="auto" w:val="clear"/>
        </w:rPr>
        <w:t>金价值的次日零时，本合同及其附加合同效力中止。</w:t>
      </w:r>
    </w:p>
    <w:p>
      <w:pPr>
        <w:pStyle w:val="BodyText"/>
        <w:spacing w:before="8"/>
      </w:pPr>
    </w:p>
    <w:p>
      <w:pPr>
        <w:pStyle w:val="Heading1"/>
      </w:pPr>
      <w:r>
        <w:rPr>
          <w:rFonts w:ascii="Wingdings" w:hAnsi="Wingdings" w:eastAsia="Wingdings"/>
          <w:b w:val="0"/>
          <w:w w:val="95"/>
          <w:position w:val="-5"/>
          <w:sz w:val="48"/>
        </w:rPr>
        <w:t></w:t>
      </w:r>
      <w:r>
        <w:rPr>
          <w:w w:val="95"/>
        </w:rPr>
        <w:t>合同效力的中止及</w:t>
      </w:r>
      <w:r>
        <w:rPr>
          <w:w w:val="95"/>
        </w:rPr>
        <w:t>恢</w:t>
      </w:r>
      <w:r>
        <w:rPr>
          <w:spacing w:val="-10"/>
          <w:w w:val="95"/>
        </w:rPr>
        <w:t>复</w:t>
      </w:r>
    </w:p>
    <w:p>
      <w:pPr>
        <w:pStyle w:val="BodyText"/>
        <w:spacing w:line="43" w:lineRule="exact"/>
        <w:ind w:left="126"/>
        <w:rPr>
          <w:sz w:val="4"/>
        </w:rPr>
      </w:pPr>
      <w:r>
        <w:rPr>
          <w:position w:val="0"/>
          <w:sz w:val="4"/>
        </w:rPr>
        <w:drawing>
          <wp:inline distT="0" distB="0" distL="0" distR="0">
            <wp:extent cx="6155690" cy="27432"/>
            <wp:effectExtent l="0" t="0" r="0" b="0"/>
            <wp:docPr id="23" name="image3.png"/>
            <wp:cNvGraphicFramePr>
              <a:graphicFrameLocks noChangeAspect="1"/>
            </wp:cNvGraphicFramePr>
            <a:graphic>
              <a:graphicData uri="http://schemas.openxmlformats.org/drawingml/2006/picture">
                <pic:pic>
                  <pic:nvPicPr>
                    <pic:cNvPr id="24" name="image3.png"/>
                    <pic:cNvPicPr/>
                  </pic:nvPicPr>
                  <pic:blipFill>
                    <a:blip r:embed="rId9" cstate="print"/>
                    <a:stretch>
                      <a:fillRect/>
                    </a:stretch>
                  </pic:blipFill>
                  <pic:spPr>
                    <a:xfrm>
                      <a:off x="0" y="0"/>
                      <a:ext cx="6155690" cy="27432"/>
                    </a:xfrm>
                    <a:prstGeom prst="rect">
                      <a:avLst/>
                    </a:prstGeom>
                  </pic:spPr>
                </pic:pic>
              </a:graphicData>
            </a:graphic>
          </wp:inline>
        </w:drawing>
      </w:r>
      <w:r>
        <w:rPr>
          <w:position w:val="0"/>
          <w:sz w:val="4"/>
        </w:rPr>
      </w:r>
    </w:p>
    <w:p>
      <w:pPr>
        <w:pStyle w:val="ListParagraph"/>
        <w:numPr>
          <w:ilvl w:val="1"/>
          <w:numId w:val="21"/>
        </w:numPr>
        <w:tabs>
          <w:tab w:pos="966" w:val="left" w:leader="none"/>
          <w:tab w:pos="967" w:val="left" w:leader="none"/>
          <w:tab w:pos="2516" w:val="left" w:leader="none"/>
        </w:tabs>
        <w:spacing w:line="240" w:lineRule="auto" w:before="467" w:after="0"/>
        <w:ind w:left="966" w:right="0" w:hanging="815"/>
        <w:jc w:val="left"/>
        <w:rPr>
          <w:sz w:val="22"/>
        </w:rPr>
      </w:pPr>
      <w:r>
        <w:rPr>
          <w:b/>
          <w:spacing w:val="-2"/>
          <w:sz w:val="22"/>
        </w:rPr>
        <w:t>效力中</w:t>
      </w:r>
      <w:r>
        <w:rPr>
          <w:b/>
          <w:spacing w:val="-10"/>
          <w:sz w:val="22"/>
        </w:rPr>
        <w:t>止</w:t>
      </w:r>
      <w:r>
        <w:rPr>
          <w:b/>
          <w:sz w:val="22"/>
        </w:rPr>
        <w:tab/>
      </w:r>
      <w:r>
        <w:rPr>
          <w:color w:val="000000"/>
          <w:spacing w:val="-2"/>
          <w:sz w:val="22"/>
          <w:shd w:fill="E4E4E4" w:color="auto" w:val="clear"/>
        </w:rPr>
        <w:t>在本合同效力中止期间，我们不承担保险责任</w:t>
      </w:r>
      <w:r>
        <w:rPr>
          <w:color w:val="000000"/>
          <w:spacing w:val="-10"/>
          <w:sz w:val="22"/>
          <w:shd w:fill="E4E4E4" w:color="auto" w:val="clear"/>
        </w:rPr>
        <w:t>。</w:t>
      </w:r>
    </w:p>
    <w:p>
      <w:pPr>
        <w:pStyle w:val="BodyText"/>
        <w:rPr>
          <w:sz w:val="20"/>
        </w:rPr>
      </w:pPr>
    </w:p>
    <w:p>
      <w:pPr>
        <w:spacing w:after="0"/>
        <w:rPr>
          <w:sz w:val="20"/>
        </w:rPr>
        <w:sectPr>
          <w:pgSz w:w="11910" w:h="16840"/>
          <w:pgMar w:header="484" w:footer="706" w:top="1240" w:bottom="900" w:left="980" w:right="980"/>
        </w:sectPr>
      </w:pPr>
    </w:p>
    <w:p>
      <w:pPr>
        <w:pStyle w:val="BodyText"/>
        <w:spacing w:before="3"/>
        <w:rPr>
          <w:sz w:val="17"/>
        </w:rPr>
      </w:pPr>
    </w:p>
    <w:p>
      <w:pPr>
        <w:pStyle w:val="Heading2"/>
        <w:numPr>
          <w:ilvl w:val="1"/>
          <w:numId w:val="21"/>
        </w:numPr>
        <w:tabs>
          <w:tab w:pos="966" w:val="left" w:leader="none"/>
          <w:tab w:pos="967" w:val="left" w:leader="none"/>
        </w:tabs>
        <w:spacing w:line="324" w:lineRule="auto" w:before="0" w:after="0"/>
        <w:ind w:left="966" w:right="0" w:hanging="814"/>
        <w:jc w:val="left"/>
        <w:rPr>
          <w:rFonts w:ascii="宋体" w:eastAsia="宋体" w:hint="eastAsia"/>
        </w:rPr>
      </w:pPr>
      <w:r>
        <w:rPr>
          <w:rFonts w:ascii="宋体" w:eastAsia="宋体" w:hint="eastAsia"/>
          <w:spacing w:val="-2"/>
        </w:rPr>
        <w:t>效力恢复（</w:t>
      </w:r>
      <w:r>
        <w:rPr>
          <w:rFonts w:ascii="宋体" w:eastAsia="宋体" w:hint="eastAsia"/>
          <w:spacing w:val="-2"/>
        </w:rPr>
        <w:t>复</w:t>
      </w:r>
      <w:r>
        <w:rPr>
          <w:rFonts w:ascii="宋体" w:eastAsia="宋体" w:hint="eastAsia"/>
          <w:spacing w:val="-6"/>
        </w:rPr>
        <w:t>效）</w:t>
      </w:r>
    </w:p>
    <w:p>
      <w:pPr>
        <w:spacing w:line="240" w:lineRule="auto" w:before="3"/>
        <w:rPr>
          <w:b/>
          <w:sz w:val="17"/>
        </w:rPr>
      </w:pPr>
      <w:r>
        <w:rPr/>
        <w:br w:type="column"/>
      </w:r>
      <w:r>
        <w:rPr>
          <w:b/>
          <w:sz w:val="17"/>
        </w:rPr>
      </w:r>
    </w:p>
    <w:p>
      <w:pPr>
        <w:pStyle w:val="BodyText"/>
        <w:spacing w:line="324" w:lineRule="auto"/>
        <w:ind w:left="152" w:right="150"/>
      </w:pPr>
      <w:r>
        <w:rPr>
          <w:spacing w:val="-2"/>
        </w:rPr>
        <w:t>本合同效力中止后2年内，您可以申请恢复合同效力。经我们与您协商并达成协议，在您补交保险费之日起，合同效力恢复。</w:t>
      </w:r>
    </w:p>
    <w:p>
      <w:pPr>
        <w:pStyle w:val="BodyText"/>
        <w:spacing w:line="324" w:lineRule="auto"/>
        <w:ind w:left="152" w:right="152"/>
      </w:pPr>
      <w:r>
        <w:rPr>
          <w:spacing w:val="9"/>
          <w:w w:val="100"/>
        </w:rPr>
        <w:t>自本合同效力中止之日起满</w:t>
      </w:r>
      <w:r>
        <w:rPr>
          <w:spacing w:val="11"/>
          <w:w w:val="100"/>
        </w:rPr>
        <w:t>2</w:t>
      </w:r>
      <w:r>
        <w:rPr>
          <w:spacing w:val="8"/>
          <w:w w:val="100"/>
        </w:rPr>
        <w:t>年您和我们未达成协议的，我们有权解除合</w:t>
      </w:r>
      <w:r>
        <w:rPr>
          <w:spacing w:val="-3"/>
          <w:w w:val="100"/>
        </w:rPr>
        <w:t>同。我们解除合同的，向您退还合同效力中止时保险合同的现金价值。</w:t>
      </w:r>
    </w:p>
    <w:p>
      <w:pPr>
        <w:spacing w:after="0" w:line="324" w:lineRule="auto"/>
        <w:sectPr>
          <w:type w:val="continuous"/>
          <w:pgSz w:w="11910" w:h="16840"/>
          <w:pgMar w:header="484" w:footer="706" w:top="1240" w:bottom="900" w:left="980" w:right="980"/>
          <w:cols w:num="2" w:equalWidth="0">
            <w:col w:w="2292" w:space="72"/>
            <w:col w:w="7586"/>
          </w:cols>
        </w:sectPr>
      </w:pPr>
    </w:p>
    <w:p>
      <w:pPr>
        <w:pStyle w:val="BodyText"/>
        <w:spacing w:before="2"/>
        <w:rPr>
          <w:sz w:val="15"/>
        </w:rPr>
      </w:pPr>
    </w:p>
    <w:p>
      <w:pPr>
        <w:pStyle w:val="Heading1"/>
        <w:spacing w:before="100"/>
      </w:pPr>
      <w:r>
        <w:rPr>
          <w:rFonts w:ascii="Wingdings" w:hAnsi="Wingdings" w:eastAsia="Wingdings"/>
          <w:b w:val="0"/>
          <w:w w:val="95"/>
          <w:position w:val="-5"/>
          <w:sz w:val="48"/>
        </w:rPr>
        <w:t></w:t>
      </w:r>
      <w:r>
        <w:rPr>
          <w:spacing w:val="-2"/>
          <w:w w:val="95"/>
        </w:rPr>
        <w:t>其它需要关注的事项</w:t>
      </w:r>
    </w:p>
    <w:p>
      <w:pPr>
        <w:pStyle w:val="BodyText"/>
        <w:spacing w:line="43" w:lineRule="exact"/>
        <w:ind w:left="126"/>
        <w:rPr>
          <w:sz w:val="4"/>
        </w:rPr>
      </w:pPr>
      <w:r>
        <w:rPr>
          <w:position w:val="0"/>
          <w:sz w:val="4"/>
        </w:rPr>
        <w:drawing>
          <wp:inline distT="0" distB="0" distL="0" distR="0">
            <wp:extent cx="6198437" cy="27622"/>
            <wp:effectExtent l="0" t="0" r="0" b="0"/>
            <wp:docPr id="25" name="image6.png"/>
            <wp:cNvGraphicFramePr>
              <a:graphicFrameLocks noChangeAspect="1"/>
            </wp:cNvGraphicFramePr>
            <a:graphic>
              <a:graphicData uri="http://schemas.openxmlformats.org/drawingml/2006/picture">
                <pic:pic>
                  <pic:nvPicPr>
                    <pic:cNvPr id="26" name="image6.png"/>
                    <pic:cNvPicPr/>
                  </pic:nvPicPr>
                  <pic:blipFill>
                    <a:blip r:embed="rId12" cstate="print"/>
                    <a:stretch>
                      <a:fillRect/>
                    </a:stretch>
                  </pic:blipFill>
                  <pic:spPr>
                    <a:xfrm>
                      <a:off x="0" y="0"/>
                      <a:ext cx="6198437" cy="27622"/>
                    </a:xfrm>
                    <a:prstGeom prst="rect">
                      <a:avLst/>
                    </a:prstGeom>
                  </pic:spPr>
                </pic:pic>
              </a:graphicData>
            </a:graphic>
          </wp:inline>
        </w:drawing>
      </w:r>
      <w:r>
        <w:rPr>
          <w:position w:val="0"/>
          <w:sz w:val="4"/>
        </w:rPr>
      </w:r>
    </w:p>
    <w:p>
      <w:pPr>
        <w:pStyle w:val="BodyText"/>
        <w:rPr>
          <w:b/>
          <w:sz w:val="20"/>
        </w:rPr>
      </w:pPr>
    </w:p>
    <w:p>
      <w:pPr>
        <w:spacing w:after="0"/>
        <w:rPr>
          <w:sz w:val="20"/>
        </w:rPr>
        <w:sectPr>
          <w:type w:val="continuous"/>
          <w:pgSz w:w="11910" w:h="16840"/>
          <w:pgMar w:header="484" w:footer="706" w:top="1240" w:bottom="900" w:left="980" w:right="980"/>
        </w:sectPr>
      </w:pPr>
    </w:p>
    <w:p>
      <w:pPr>
        <w:pStyle w:val="BodyText"/>
        <w:spacing w:before="5"/>
        <w:rPr>
          <w:b/>
          <w:sz w:val="16"/>
        </w:rPr>
      </w:pPr>
    </w:p>
    <w:p>
      <w:pPr>
        <w:pStyle w:val="Heading2"/>
        <w:numPr>
          <w:ilvl w:val="1"/>
          <w:numId w:val="22"/>
        </w:numPr>
        <w:tabs>
          <w:tab w:pos="930" w:val="left" w:leader="none"/>
          <w:tab w:pos="931" w:val="left" w:leader="none"/>
        </w:tabs>
        <w:spacing w:line="324" w:lineRule="auto" w:before="0" w:after="0"/>
        <w:ind w:left="930" w:right="0" w:hanging="778"/>
        <w:jc w:val="left"/>
        <w:rPr>
          <w:rFonts w:ascii="宋体" w:eastAsia="宋体" w:hint="eastAsia"/>
        </w:rPr>
      </w:pPr>
      <w:r>
        <w:rPr>
          <w:rFonts w:ascii="宋体" w:eastAsia="宋体" w:hint="eastAsia"/>
          <w:spacing w:val="-2"/>
        </w:rPr>
        <w:t>明确说明与如</w:t>
      </w:r>
      <w:r>
        <w:rPr>
          <w:rFonts w:ascii="宋体" w:eastAsia="宋体" w:hint="eastAsia"/>
          <w:spacing w:val="-4"/>
        </w:rPr>
        <w:t>实告知</w:t>
      </w:r>
    </w:p>
    <w:p>
      <w:pPr>
        <w:spacing w:line="240" w:lineRule="auto" w:before="5"/>
        <w:rPr>
          <w:b/>
          <w:sz w:val="16"/>
        </w:rPr>
      </w:pPr>
      <w:r>
        <w:rPr/>
        <w:br w:type="column"/>
      </w:r>
      <w:r>
        <w:rPr>
          <w:b/>
          <w:sz w:val="16"/>
        </w:rPr>
      </w:r>
    </w:p>
    <w:p>
      <w:pPr>
        <w:pStyle w:val="BodyText"/>
        <w:ind w:left="152"/>
      </w:pPr>
      <w:r>
        <w:rPr>
          <w:spacing w:val="-3"/>
        </w:rPr>
        <w:t>订立本合同时，我们应向您说明本合同的内容。</w:t>
      </w:r>
    </w:p>
    <w:p>
      <w:pPr>
        <w:pStyle w:val="BodyText"/>
        <w:spacing w:line="324" w:lineRule="auto" w:before="100"/>
        <w:ind w:left="152" w:right="150"/>
        <w:jc w:val="both"/>
      </w:pPr>
      <w:r>
        <w:rPr>
          <w:spacing w:val="-2"/>
        </w:rPr>
        <w:t>对保险条款中免除我们责任的条款，我们在订立合同时应当在投保单、保险单或者其它保险凭证上作出足以引起您注意的提示，并对该条款的内容以书面或者口头形式向您作出明确说明，未作提示或者明确说明的，该条款不产</w:t>
      </w:r>
      <w:r>
        <w:rPr>
          <w:spacing w:val="-4"/>
        </w:rPr>
        <w:t>生效力。</w:t>
      </w:r>
    </w:p>
    <w:p>
      <w:pPr>
        <w:pStyle w:val="BodyText"/>
        <w:spacing w:line="279" w:lineRule="exact"/>
        <w:ind w:left="152"/>
      </w:pPr>
      <w:r>
        <w:rPr>
          <w:spacing w:val="-3"/>
        </w:rPr>
        <w:t>我们就您或被保险人的有关情况提出书面询问，您应当如实告知。</w:t>
      </w:r>
    </w:p>
    <w:p>
      <w:pPr>
        <w:spacing w:after="0" w:line="279" w:lineRule="exact"/>
        <w:sectPr>
          <w:type w:val="continuous"/>
          <w:pgSz w:w="11910" w:h="16840"/>
          <w:pgMar w:header="484" w:footer="706" w:top="1240" w:bottom="900" w:left="980" w:right="980"/>
          <w:cols w:num="2" w:equalWidth="0">
            <w:col w:w="2256" w:space="72"/>
            <w:col w:w="7622"/>
          </w:cols>
        </w:sectPr>
      </w:pPr>
    </w:p>
    <w:p>
      <w:pPr>
        <w:pStyle w:val="BodyText"/>
        <w:spacing w:before="7"/>
        <w:rPr>
          <w:sz w:val="14"/>
        </w:rPr>
      </w:pPr>
    </w:p>
    <w:p>
      <w:pPr>
        <w:pStyle w:val="BodyText"/>
        <w:spacing w:line="324" w:lineRule="auto" w:before="70"/>
        <w:ind w:left="2480" w:right="150"/>
      </w:pPr>
      <w:r>
        <w:rPr>
          <w:color w:val="000000"/>
          <w:spacing w:val="-2"/>
          <w:shd w:fill="E4E4E4" w:color="auto" w:val="clear"/>
        </w:rPr>
        <w:t>如果您故意或者因重大过失不履行前款规定的如实告知义务，足以影响我们</w:t>
      </w:r>
      <w:r>
        <w:rPr>
          <w:color w:val="000000"/>
          <w:spacing w:val="80"/>
          <w:w w:val="150"/>
          <w:shd w:fill="E4E4E4" w:color="auto" w:val="clear"/>
        </w:rPr>
        <w:t>                                       </w:t>
      </w:r>
      <w:r>
        <w:rPr>
          <w:color w:val="000000"/>
          <w:spacing w:val="-2"/>
          <w:shd w:fill="E4E4E4" w:color="auto" w:val="clear"/>
        </w:rPr>
        <w:t>决定是否同意承保或者提高保险费率的，我们有权解除本合同；</w:t>
      </w:r>
    </w:p>
    <w:p>
      <w:pPr>
        <w:pStyle w:val="BodyText"/>
        <w:spacing w:line="324" w:lineRule="auto"/>
        <w:ind w:left="2480" w:right="150"/>
      </w:pPr>
      <w:r>
        <w:rPr>
          <w:color w:val="000000"/>
          <w:spacing w:val="-2"/>
          <w:shd w:fill="E4E4E4" w:color="auto" w:val="clear"/>
        </w:rPr>
        <w:t>如果您故意不履行如实告知义务，对于本合同解除前发生的保险事故，我们</w:t>
      </w:r>
      <w:r>
        <w:rPr>
          <w:color w:val="000000"/>
          <w:spacing w:val="80"/>
          <w:w w:val="150"/>
          <w:shd w:fill="E4E4E4" w:color="auto" w:val="clear"/>
        </w:rPr>
        <w:t>                                       </w:t>
      </w:r>
      <w:r>
        <w:rPr>
          <w:color w:val="000000"/>
          <w:spacing w:val="-2"/>
          <w:shd w:fill="E4E4E4" w:color="auto" w:val="clear"/>
        </w:rPr>
        <w:t>不承担给付保险金的责任，并不退还保险费。</w:t>
      </w:r>
    </w:p>
    <w:p>
      <w:pPr>
        <w:pStyle w:val="BodyText"/>
        <w:spacing w:line="324" w:lineRule="auto"/>
        <w:ind w:left="2480" w:right="150"/>
        <w:jc w:val="both"/>
      </w:pPr>
      <w:r>
        <w:rPr>
          <w:color w:val="000000"/>
          <w:spacing w:val="-2"/>
          <w:shd w:fill="E4E4E4" w:color="auto" w:val="clear"/>
        </w:rPr>
        <w:t>如果您因重大过失未履行如实告知义务，对保险事故的发生有严重影响的，</w:t>
      </w:r>
      <w:r>
        <w:rPr>
          <w:color w:val="000000"/>
          <w:spacing w:val="40"/>
          <w:shd w:fill="E4E4E4" w:color="auto" w:val="clear"/>
        </w:rPr>
        <w:t> </w:t>
      </w:r>
      <w:r>
        <w:rPr>
          <w:color w:val="000000"/>
          <w:spacing w:val="-2"/>
          <w:shd w:fill="E4E4E4" w:color="auto" w:val="clear"/>
        </w:rPr>
        <w:t>对于本合同解除前发生的保险事故，我们不承担给付保险金的责任，但应当退还保险费。</w:t>
      </w:r>
    </w:p>
    <w:p>
      <w:pPr>
        <w:pStyle w:val="BodyText"/>
        <w:spacing w:line="324" w:lineRule="auto"/>
        <w:ind w:left="2480" w:right="150"/>
      </w:pPr>
      <w:r>
        <w:rPr>
          <w:spacing w:val="-2"/>
        </w:rPr>
        <w:t>我们在合同订立时已经知道您未如实告知的情况的，我们不得解除合同；发生保险事故的，我们承担给付保险金的责任。</w:t>
      </w:r>
    </w:p>
    <w:p>
      <w:pPr>
        <w:pStyle w:val="BodyText"/>
        <w:rPr>
          <w:sz w:val="24"/>
        </w:rPr>
      </w:pPr>
    </w:p>
    <w:p>
      <w:pPr>
        <w:spacing w:after="0"/>
        <w:rPr>
          <w:sz w:val="24"/>
        </w:rPr>
        <w:sectPr>
          <w:pgSz w:w="11910" w:h="16840"/>
          <w:pgMar w:header="484" w:footer="706" w:top="1240" w:bottom="900" w:left="980" w:right="980"/>
        </w:sectPr>
      </w:pPr>
    </w:p>
    <w:p>
      <w:pPr>
        <w:pStyle w:val="Heading2"/>
        <w:numPr>
          <w:ilvl w:val="1"/>
          <w:numId w:val="22"/>
        </w:numPr>
        <w:tabs>
          <w:tab w:pos="930" w:val="left" w:leader="none"/>
          <w:tab w:pos="931" w:val="left" w:leader="none"/>
        </w:tabs>
        <w:spacing w:line="324" w:lineRule="auto" w:before="70" w:after="0"/>
        <w:ind w:left="930" w:right="0" w:hanging="778"/>
        <w:jc w:val="left"/>
        <w:rPr>
          <w:rFonts w:ascii="宋体" w:eastAsia="宋体" w:hint="eastAsia"/>
        </w:rPr>
      </w:pPr>
      <w:r>
        <w:rPr>
          <w:rFonts w:ascii="宋体" w:eastAsia="宋体" w:hint="eastAsia"/>
          <w:spacing w:val="-2"/>
        </w:rPr>
        <w:t>本公司合同解</w:t>
      </w:r>
      <w:r>
        <w:rPr>
          <w:rFonts w:ascii="宋体" w:eastAsia="宋体" w:hint="eastAsia"/>
          <w:spacing w:val="-2"/>
        </w:rPr>
        <w:t>除权的限制</w:t>
      </w:r>
    </w:p>
    <w:p>
      <w:pPr>
        <w:pStyle w:val="BodyText"/>
        <w:spacing w:line="324" w:lineRule="auto" w:before="70"/>
        <w:ind w:left="152" w:right="152"/>
        <w:jc w:val="both"/>
      </w:pPr>
      <w:r>
        <w:rPr/>
        <w:br w:type="column"/>
      </w:r>
      <w:r>
        <w:rPr>
          <w:spacing w:val="-1"/>
          <w:w w:val="100"/>
        </w:rPr>
        <w:t>前条规定的合同解除权，自我们知道有解除事由之日起，超过30日不行使而</w:t>
      </w:r>
      <w:r>
        <w:rPr>
          <w:spacing w:val="2"/>
          <w:w w:val="100"/>
        </w:rPr>
        <w:t>消灭。自本合同成立之日起超过2</w:t>
      </w:r>
      <w:r>
        <w:rPr>
          <w:spacing w:val="1"/>
          <w:w w:val="100"/>
        </w:rPr>
        <w:t>年的，我们不得解除合同；发生保险事故</w:t>
      </w:r>
      <w:r>
        <w:rPr>
          <w:spacing w:val="-3"/>
          <w:w w:val="100"/>
        </w:rPr>
        <w:t>的，我们承担给付保险金的责任。</w:t>
      </w:r>
    </w:p>
    <w:p>
      <w:pPr>
        <w:spacing w:after="0" w:line="324" w:lineRule="auto"/>
        <w:jc w:val="both"/>
        <w:sectPr>
          <w:type w:val="continuous"/>
          <w:pgSz w:w="11910" w:h="16840"/>
          <w:pgMar w:header="484" w:footer="706" w:top="1240" w:bottom="900" w:left="980" w:right="980"/>
          <w:cols w:num="2" w:equalWidth="0">
            <w:col w:w="2256" w:space="72"/>
            <w:col w:w="7622"/>
          </w:cols>
        </w:sectPr>
      </w:pPr>
    </w:p>
    <w:p>
      <w:pPr>
        <w:pStyle w:val="BodyText"/>
        <w:rPr>
          <w:sz w:val="24"/>
        </w:rPr>
      </w:pPr>
    </w:p>
    <w:p>
      <w:pPr>
        <w:pStyle w:val="ListParagraph"/>
        <w:numPr>
          <w:ilvl w:val="1"/>
          <w:numId w:val="22"/>
        </w:numPr>
        <w:tabs>
          <w:tab w:pos="930" w:val="left" w:leader="none"/>
          <w:tab w:pos="931" w:val="left" w:leader="none"/>
          <w:tab w:pos="2480" w:val="left" w:leader="none"/>
        </w:tabs>
        <w:spacing w:line="240" w:lineRule="auto" w:before="70" w:after="0"/>
        <w:ind w:left="930" w:right="0" w:hanging="779"/>
        <w:jc w:val="left"/>
        <w:rPr>
          <w:sz w:val="22"/>
        </w:rPr>
      </w:pPr>
      <w:r>
        <w:rPr>
          <w:b/>
          <w:spacing w:val="-2"/>
          <w:sz w:val="22"/>
        </w:rPr>
        <w:t>投保年</w:t>
      </w:r>
      <w:r>
        <w:rPr>
          <w:b/>
          <w:spacing w:val="-10"/>
          <w:sz w:val="22"/>
        </w:rPr>
        <w:t>龄</w:t>
      </w:r>
      <w:r>
        <w:rPr>
          <w:b/>
          <w:sz w:val="22"/>
        </w:rPr>
        <w:tab/>
      </w:r>
      <w:r>
        <w:rPr>
          <w:spacing w:val="-2"/>
          <w:sz w:val="22"/>
        </w:rPr>
        <w:t>指您投保时被保险人的年龄，投保年龄以周岁计算</w:t>
      </w:r>
      <w:r>
        <w:rPr>
          <w:spacing w:val="-10"/>
          <w:sz w:val="22"/>
        </w:rPr>
        <w:t>。</w:t>
      </w:r>
    </w:p>
    <w:p>
      <w:pPr>
        <w:pStyle w:val="BodyText"/>
      </w:pPr>
    </w:p>
    <w:p>
      <w:pPr>
        <w:pStyle w:val="ListParagraph"/>
        <w:numPr>
          <w:ilvl w:val="1"/>
          <w:numId w:val="22"/>
        </w:numPr>
        <w:tabs>
          <w:tab w:pos="931" w:val="left" w:leader="none"/>
        </w:tabs>
        <w:spacing w:line="324" w:lineRule="auto" w:before="197" w:after="0"/>
        <w:ind w:left="2480" w:right="150" w:hanging="2328"/>
        <w:jc w:val="both"/>
        <w:rPr>
          <w:sz w:val="22"/>
        </w:rPr>
      </w:pPr>
      <w:r>
        <w:rPr>
          <w:b/>
          <w:spacing w:val="34"/>
          <w:sz w:val="22"/>
        </w:rPr>
        <w:t>年龄错误   </w:t>
      </w:r>
      <w:r>
        <w:rPr>
          <w:sz w:val="22"/>
        </w:rPr>
        <w:t>您在申请投保时，应将与有效身份证件相符的被保险人的出生日期在投保单</w:t>
      </w:r>
      <w:r>
        <w:rPr>
          <w:spacing w:val="-2"/>
          <w:sz w:val="22"/>
        </w:rPr>
        <w:t>上填明，如果发生错误按照下列方式办理：</w:t>
      </w:r>
    </w:p>
    <w:p>
      <w:pPr>
        <w:pStyle w:val="ListParagraph"/>
        <w:numPr>
          <w:ilvl w:val="2"/>
          <w:numId w:val="22"/>
        </w:numPr>
        <w:tabs>
          <w:tab w:pos="2935" w:val="left" w:leader="none"/>
        </w:tabs>
        <w:spacing w:line="324" w:lineRule="auto" w:before="0" w:after="0"/>
        <w:ind w:left="2934" w:right="152" w:hanging="454"/>
        <w:jc w:val="both"/>
        <w:rPr>
          <w:sz w:val="22"/>
        </w:rPr>
      </w:pPr>
      <w:r>
        <w:rPr>
          <w:spacing w:val="-2"/>
          <w:sz w:val="22"/>
        </w:rPr>
        <w:t>您申报的被保险人年龄不真实，并且其真实年龄不符合本合同约定投保年龄限制的，我们有权解除合同，并向您退还保险合同的现金价值。我们行使合同解除权适用“本公司合同解除权的限制”规定。</w:t>
      </w:r>
    </w:p>
    <w:p>
      <w:pPr>
        <w:pStyle w:val="ListParagraph"/>
        <w:numPr>
          <w:ilvl w:val="2"/>
          <w:numId w:val="22"/>
        </w:numPr>
        <w:tabs>
          <w:tab w:pos="2935" w:val="left" w:leader="none"/>
        </w:tabs>
        <w:spacing w:line="324" w:lineRule="auto" w:before="0" w:after="0"/>
        <w:ind w:left="2934" w:right="152" w:hanging="454"/>
        <w:jc w:val="both"/>
        <w:rPr>
          <w:sz w:val="22"/>
        </w:rPr>
      </w:pPr>
      <w:r>
        <w:rPr>
          <w:spacing w:val="-2"/>
          <w:sz w:val="22"/>
        </w:rPr>
        <w:t>您申报的被保险人年龄不真实，致使您实付保险费少于应付保险费的，我们有权更正并要求您补交保险费。</w:t>
      </w:r>
      <w:r>
        <w:rPr>
          <w:color w:val="000000"/>
          <w:spacing w:val="-2"/>
          <w:sz w:val="22"/>
          <w:shd w:fill="E4E4E4" w:color="auto" w:val="clear"/>
        </w:rPr>
        <w:t>若已经发生保险事故，在给付保险</w:t>
      </w:r>
      <w:r>
        <w:rPr>
          <w:color w:val="000000"/>
          <w:spacing w:val="40"/>
          <w:sz w:val="22"/>
          <w:shd w:fill="E4E4E4" w:color="auto" w:val="clear"/>
        </w:rPr>
        <w:t> </w:t>
      </w:r>
      <w:r>
        <w:rPr>
          <w:color w:val="000000"/>
          <w:spacing w:val="-2"/>
          <w:sz w:val="22"/>
          <w:shd w:fill="E4E4E4" w:color="auto" w:val="clear"/>
        </w:rPr>
        <w:t>金时按实付保险费和应付保险费的比例给付。</w:t>
      </w:r>
    </w:p>
    <w:p>
      <w:pPr>
        <w:pStyle w:val="ListParagraph"/>
        <w:numPr>
          <w:ilvl w:val="2"/>
          <w:numId w:val="22"/>
        </w:numPr>
        <w:tabs>
          <w:tab w:pos="2935" w:val="left" w:leader="none"/>
        </w:tabs>
        <w:spacing w:line="324" w:lineRule="auto" w:before="0" w:after="0"/>
        <w:ind w:left="2934" w:right="152" w:hanging="454"/>
        <w:jc w:val="both"/>
        <w:rPr>
          <w:sz w:val="22"/>
        </w:rPr>
      </w:pPr>
      <w:r>
        <w:rPr>
          <w:spacing w:val="-2"/>
          <w:sz w:val="22"/>
        </w:rPr>
        <w:t>您申报的被保险人年龄不真实，致使您实付保险费多于应付保险费的，我们会将多收的保险费退还给您。</w:t>
      </w:r>
    </w:p>
    <w:p>
      <w:pPr>
        <w:pStyle w:val="BodyText"/>
        <w:spacing w:before="1"/>
        <w:rPr>
          <w:sz w:val="29"/>
        </w:rPr>
      </w:pPr>
    </w:p>
    <w:p>
      <w:pPr>
        <w:pStyle w:val="ListParagraph"/>
        <w:numPr>
          <w:ilvl w:val="1"/>
          <w:numId w:val="22"/>
        </w:numPr>
        <w:tabs>
          <w:tab w:pos="931" w:val="left" w:leader="none"/>
        </w:tabs>
        <w:spacing w:line="324" w:lineRule="auto" w:before="0" w:after="0"/>
        <w:ind w:left="2480" w:right="150" w:hanging="2328"/>
        <w:jc w:val="both"/>
        <w:rPr>
          <w:sz w:val="22"/>
        </w:rPr>
      </w:pPr>
      <w:r>
        <w:rPr>
          <w:b/>
          <w:spacing w:val="34"/>
          <w:sz w:val="22"/>
        </w:rPr>
        <w:t>未还款项   </w:t>
      </w:r>
      <w:r>
        <w:rPr>
          <w:sz w:val="22"/>
        </w:rPr>
        <w:t>我们在给付各项保险金、退还现金价值或返还保险费时，如果您有欠交的保</w:t>
      </w:r>
      <w:r>
        <w:rPr>
          <w:spacing w:val="-2"/>
          <w:sz w:val="22"/>
        </w:rPr>
        <w:t>险费、保单贷款及利息或其它未还清款项，我们会在扣除上述未还款项后给</w:t>
      </w:r>
      <w:r>
        <w:rPr>
          <w:spacing w:val="-6"/>
          <w:sz w:val="22"/>
        </w:rPr>
        <w:t>付。</w:t>
      </w:r>
    </w:p>
    <w:p>
      <w:pPr>
        <w:pStyle w:val="BodyText"/>
        <w:spacing w:before="9"/>
        <w:rPr>
          <w:sz w:val="29"/>
        </w:rPr>
      </w:pPr>
    </w:p>
    <w:p>
      <w:pPr>
        <w:pStyle w:val="ListParagraph"/>
        <w:numPr>
          <w:ilvl w:val="1"/>
          <w:numId w:val="22"/>
        </w:numPr>
        <w:tabs>
          <w:tab w:pos="931" w:val="left" w:leader="none"/>
        </w:tabs>
        <w:spacing w:line="324" w:lineRule="auto" w:before="0" w:after="0"/>
        <w:ind w:left="2480" w:right="150" w:hanging="2328"/>
        <w:jc w:val="both"/>
        <w:rPr>
          <w:sz w:val="22"/>
        </w:rPr>
      </w:pPr>
      <w:r>
        <w:rPr>
          <w:b/>
          <w:spacing w:val="-1"/>
          <w:w w:val="100"/>
          <w:sz w:val="22"/>
        </w:rPr>
        <w:t>合同内容变更</w:t>
      </w:r>
      <w:r>
        <w:rPr>
          <w:b/>
          <w:spacing w:val="1"/>
          <w:sz w:val="22"/>
        </w:rPr>
        <w:t>  </w:t>
      </w:r>
      <w:r>
        <w:rPr>
          <w:spacing w:val="-1"/>
          <w:w w:val="100"/>
          <w:sz w:val="22"/>
        </w:rPr>
        <w:t>在本合同有效期内，经您与我们协商一致，可以变更本合同的有关内容。变</w:t>
      </w:r>
      <w:r>
        <w:rPr>
          <w:spacing w:val="6"/>
          <w:w w:val="100"/>
          <w:sz w:val="22"/>
        </w:rPr>
        <w:t>更本合同的，应当由我们在保险合同或者其它保险凭证上批注或者附贴批</w:t>
      </w:r>
      <w:r>
        <w:rPr>
          <w:spacing w:val="-1"/>
          <w:w w:val="100"/>
          <w:sz w:val="22"/>
        </w:rPr>
        <w:t>单。</w:t>
      </w:r>
    </w:p>
    <w:p>
      <w:pPr>
        <w:pStyle w:val="BodyText"/>
        <w:spacing w:before="6"/>
        <w:rPr>
          <w:sz w:val="29"/>
        </w:rPr>
      </w:pPr>
    </w:p>
    <w:p>
      <w:pPr>
        <w:pStyle w:val="ListParagraph"/>
        <w:numPr>
          <w:ilvl w:val="1"/>
          <w:numId w:val="22"/>
        </w:numPr>
        <w:tabs>
          <w:tab w:pos="930" w:val="left" w:leader="none"/>
          <w:tab w:pos="931" w:val="left" w:leader="none"/>
          <w:tab w:pos="2480" w:val="left" w:leader="none"/>
        </w:tabs>
        <w:spacing w:line="240" w:lineRule="auto" w:before="0" w:after="0"/>
        <w:ind w:left="930" w:right="0" w:hanging="779"/>
        <w:jc w:val="left"/>
        <w:rPr>
          <w:sz w:val="22"/>
        </w:rPr>
      </w:pPr>
      <w:r>
        <w:rPr>
          <w:b/>
          <w:spacing w:val="-2"/>
          <w:sz w:val="22"/>
        </w:rPr>
        <w:t>地址变</w:t>
      </w:r>
      <w:r>
        <w:rPr>
          <w:b/>
          <w:spacing w:val="-10"/>
          <w:sz w:val="22"/>
        </w:rPr>
        <w:t>更</w:t>
      </w:r>
      <w:r>
        <w:rPr>
          <w:b/>
          <w:sz w:val="22"/>
        </w:rPr>
        <w:tab/>
      </w:r>
      <w:r>
        <w:rPr>
          <w:sz w:val="22"/>
        </w:rPr>
        <w:t>为了保障您的合法权益，您的住所或通讯地址变更时，请及时以书面形式</w:t>
      </w:r>
      <w:r>
        <w:rPr>
          <w:spacing w:val="-10"/>
          <w:sz w:val="22"/>
        </w:rPr>
        <w:t>或</w:t>
      </w:r>
    </w:p>
    <w:p>
      <w:pPr>
        <w:spacing w:after="0" w:line="240" w:lineRule="auto"/>
        <w:jc w:val="left"/>
        <w:rPr>
          <w:sz w:val="22"/>
        </w:rPr>
        <w:sectPr>
          <w:type w:val="continuous"/>
          <w:pgSz w:w="11910" w:h="16840"/>
          <w:pgMar w:header="484" w:footer="706" w:top="1240" w:bottom="900" w:left="980" w:right="980"/>
        </w:sectPr>
      </w:pPr>
    </w:p>
    <w:p>
      <w:pPr>
        <w:pStyle w:val="BodyText"/>
        <w:spacing w:before="7"/>
        <w:rPr>
          <w:sz w:val="14"/>
        </w:rPr>
      </w:pPr>
    </w:p>
    <w:p>
      <w:pPr>
        <w:pStyle w:val="BodyText"/>
        <w:spacing w:line="324" w:lineRule="auto" w:before="70"/>
        <w:ind w:left="2480" w:right="150"/>
        <w:jc w:val="both"/>
      </w:pPr>
      <w:r>
        <w:rPr>
          <w:spacing w:val="-2"/>
        </w:rPr>
        <w:t>双方认可的其它形式通知我们。若您未以书面形式或双方认可的其它形式通知我们，我们按本合同载明的最后住所或通讯地址发送的有关通知，均视为已送达给您。</w:t>
      </w:r>
    </w:p>
    <w:p>
      <w:pPr>
        <w:pStyle w:val="BodyText"/>
        <w:spacing w:before="9"/>
        <w:rPr>
          <w:sz w:val="29"/>
        </w:rPr>
      </w:pPr>
    </w:p>
    <w:p>
      <w:pPr>
        <w:pStyle w:val="ListParagraph"/>
        <w:numPr>
          <w:ilvl w:val="1"/>
          <w:numId w:val="22"/>
        </w:numPr>
        <w:tabs>
          <w:tab w:pos="931" w:val="left" w:leader="none"/>
        </w:tabs>
        <w:spacing w:line="324" w:lineRule="auto" w:before="0" w:after="0"/>
        <w:ind w:left="2480" w:right="150" w:hanging="2328"/>
        <w:jc w:val="both"/>
        <w:rPr>
          <w:sz w:val="22"/>
        </w:rPr>
      </w:pPr>
      <w:r>
        <w:rPr>
          <w:b/>
          <w:spacing w:val="34"/>
          <w:sz w:val="22"/>
        </w:rPr>
        <w:t>争议处理   </w:t>
      </w:r>
      <w:r>
        <w:rPr>
          <w:sz w:val="22"/>
        </w:rPr>
        <w:t>本合同履行过程中，双方发生争议时，由当事人协商解决，协商不成的，当</w:t>
      </w:r>
      <w:r>
        <w:rPr>
          <w:spacing w:val="-2"/>
          <w:sz w:val="22"/>
        </w:rPr>
        <w:t>事人可依达成的仲裁协议通过仲裁解决。无仲裁协议或者仲裁协议无效的，可依法向人民法院提起诉讼。</w:t>
      </w:r>
    </w:p>
    <w:p>
      <w:pPr>
        <w:pStyle w:val="BodyText"/>
      </w:pPr>
    </w:p>
    <w:p>
      <w:pPr>
        <w:pStyle w:val="BodyText"/>
        <w:spacing w:before="11"/>
        <w:rPr>
          <w:sz w:val="24"/>
        </w:rPr>
      </w:pPr>
    </w:p>
    <w:p>
      <w:pPr>
        <w:pStyle w:val="Heading1"/>
      </w:pPr>
      <w:r>
        <w:rPr>
          <w:rFonts w:ascii="Wingdings" w:hAnsi="Wingdings" w:eastAsia="Wingdings"/>
          <w:b w:val="0"/>
          <w:w w:val="95"/>
          <w:position w:val="-5"/>
          <w:sz w:val="48"/>
        </w:rPr>
        <w:t></w:t>
      </w:r>
      <w:r>
        <w:rPr>
          <w:spacing w:val="-2"/>
          <w:w w:val="95"/>
        </w:rPr>
        <w:t>重大疾病的定义</w:t>
      </w:r>
    </w:p>
    <w:p>
      <w:pPr>
        <w:pStyle w:val="BodyText"/>
        <w:spacing w:line="43" w:lineRule="exact"/>
        <w:ind w:left="126"/>
        <w:rPr>
          <w:sz w:val="4"/>
        </w:rPr>
      </w:pPr>
      <w:r>
        <w:rPr>
          <w:position w:val="0"/>
          <w:sz w:val="4"/>
        </w:rPr>
        <w:drawing>
          <wp:inline distT="0" distB="0" distL="0" distR="0">
            <wp:extent cx="6155689" cy="27431"/>
            <wp:effectExtent l="0" t="0" r="0" b="0"/>
            <wp:docPr id="27" name="image3.png"/>
            <wp:cNvGraphicFramePr>
              <a:graphicFrameLocks noChangeAspect="1"/>
            </wp:cNvGraphicFramePr>
            <a:graphic>
              <a:graphicData uri="http://schemas.openxmlformats.org/drawingml/2006/picture">
                <pic:pic>
                  <pic:nvPicPr>
                    <pic:cNvPr id="28" name="image3.png"/>
                    <pic:cNvPicPr/>
                  </pic:nvPicPr>
                  <pic:blipFill>
                    <a:blip r:embed="rId9" cstate="print"/>
                    <a:stretch>
                      <a:fillRect/>
                    </a:stretch>
                  </pic:blipFill>
                  <pic:spPr>
                    <a:xfrm>
                      <a:off x="0" y="0"/>
                      <a:ext cx="6155689" cy="27431"/>
                    </a:xfrm>
                    <a:prstGeom prst="rect">
                      <a:avLst/>
                    </a:prstGeom>
                  </pic:spPr>
                </pic:pic>
              </a:graphicData>
            </a:graphic>
          </wp:inline>
        </w:drawing>
      </w:r>
      <w:r>
        <w:rPr>
          <w:position w:val="0"/>
          <w:sz w:val="4"/>
        </w:rPr>
      </w:r>
    </w:p>
    <w:p>
      <w:pPr>
        <w:pStyle w:val="BodyText"/>
        <w:spacing w:before="4"/>
        <w:rPr>
          <w:b/>
          <w:sz w:val="28"/>
        </w:rPr>
      </w:pPr>
    </w:p>
    <w:p>
      <w:pPr>
        <w:spacing w:after="0"/>
        <w:rPr>
          <w:sz w:val="28"/>
        </w:rPr>
        <w:sectPr>
          <w:pgSz w:w="11910" w:h="16840"/>
          <w:pgMar w:header="484" w:footer="706" w:top="1240" w:bottom="900" w:left="980" w:right="980"/>
        </w:sectPr>
      </w:pPr>
    </w:p>
    <w:p>
      <w:pPr>
        <w:pStyle w:val="Heading2"/>
        <w:numPr>
          <w:ilvl w:val="1"/>
          <w:numId w:val="23"/>
        </w:numPr>
        <w:tabs>
          <w:tab w:pos="954" w:val="left" w:leader="none"/>
          <w:tab w:pos="955" w:val="left" w:leader="none"/>
        </w:tabs>
        <w:spacing w:line="261" w:lineRule="auto" w:before="72" w:after="0"/>
        <w:ind w:left="954" w:right="0" w:hanging="802"/>
        <w:jc w:val="left"/>
      </w:pPr>
      <w:r>
        <w:rPr>
          <w:spacing w:val="-2"/>
        </w:rPr>
        <w:t>恶性肿瘤——</w:t>
      </w:r>
      <w:r>
        <w:rPr>
          <w:spacing w:val="-6"/>
        </w:rPr>
        <w:t>重度</w:t>
      </w:r>
    </w:p>
    <w:p>
      <w:pPr>
        <w:pStyle w:val="BodyText"/>
        <w:spacing w:line="324" w:lineRule="auto" w:before="102"/>
        <w:ind w:left="152" w:right="148"/>
        <w:rPr>
          <w:rFonts w:ascii="PMingLiU-ExtB" w:eastAsia="PMingLiU-ExtB"/>
          <w:sz w:val="10"/>
        </w:rPr>
      </w:pPr>
      <w:r>
        <w:rPr/>
        <w:br w:type="column"/>
      </w:r>
      <w:r>
        <w:rPr>
          <w:spacing w:val="-2"/>
        </w:rPr>
        <w:t>指恶性细胞不受控制的进行性增长和扩散，浸润和破坏周围正常组织，可以</w:t>
      </w:r>
      <w:r>
        <w:rPr/>
        <w:t>经血管、淋巴管和体腔扩散转移到身体其他部位，病灶经</w:t>
      </w:r>
      <w:r>
        <w:rPr>
          <w:b/>
        </w:rPr>
        <w:t>组织病理学检查</w:t>
      </w:r>
      <w:hyperlink w:history="true" w:anchor="_bookmark23">
        <w:r>
          <w:rPr>
            <w:rFonts w:ascii="PMingLiU-ExtB" w:eastAsia="PMingLiU-ExtB"/>
            <w:spacing w:val="-5"/>
            <w:position w:val="10"/>
            <w:sz w:val="10"/>
          </w:rPr>
          <w:t>24</w:t>
        </w:r>
      </w:hyperlink>
    </w:p>
    <w:p>
      <w:pPr>
        <w:pStyle w:val="BodyText"/>
        <w:spacing w:line="282" w:lineRule="exact"/>
        <w:ind w:left="152"/>
      </w:pPr>
      <w:r>
        <w:rPr/>
        <w:t>（</w:t>
      </w:r>
      <w:r>
        <w:rPr>
          <w:spacing w:val="9"/>
        </w:rPr>
        <w:t> 涵盖骨髓病理学检查</w:t>
      </w:r>
      <w:r>
        <w:rPr/>
        <w:t>）</w:t>
      </w:r>
      <w:r>
        <w:rPr>
          <w:spacing w:val="5"/>
        </w:rPr>
        <w:t> 结果明确诊断， 临床诊断属于世界卫生组织</w:t>
      </w:r>
    </w:p>
    <w:p>
      <w:pPr>
        <w:spacing w:line="324" w:lineRule="auto" w:before="98"/>
        <w:ind w:left="152" w:right="152" w:firstLine="0"/>
        <w:jc w:val="both"/>
        <w:rPr>
          <w:sz w:val="22"/>
        </w:rPr>
      </w:pPr>
      <w:r>
        <w:rPr>
          <w:spacing w:val="2"/>
          <w:w w:val="100"/>
          <w:sz w:val="22"/>
        </w:rPr>
        <w:t>（</w:t>
      </w:r>
      <w:r>
        <w:rPr>
          <w:spacing w:val="-1"/>
          <w:w w:val="100"/>
          <w:sz w:val="22"/>
        </w:rPr>
        <w:t>WHO，Worl</w:t>
      </w:r>
      <w:r>
        <w:rPr>
          <w:w w:val="100"/>
          <w:sz w:val="22"/>
        </w:rPr>
        <w:t>d</w:t>
      </w:r>
      <w:r>
        <w:rPr>
          <w:spacing w:val="2"/>
          <w:sz w:val="22"/>
        </w:rPr>
        <w:t> </w:t>
      </w:r>
      <w:r>
        <w:rPr>
          <w:spacing w:val="-1"/>
          <w:w w:val="100"/>
          <w:sz w:val="22"/>
        </w:rPr>
        <w:t>Hea</w:t>
      </w:r>
      <w:r>
        <w:rPr>
          <w:spacing w:val="-3"/>
          <w:w w:val="100"/>
          <w:sz w:val="22"/>
        </w:rPr>
        <w:t>l</w:t>
      </w:r>
      <w:r>
        <w:rPr>
          <w:spacing w:val="-1"/>
          <w:w w:val="100"/>
          <w:sz w:val="22"/>
        </w:rPr>
        <w:t>t</w:t>
      </w:r>
      <w:r>
        <w:rPr>
          <w:w w:val="100"/>
          <w:sz w:val="22"/>
        </w:rPr>
        <w:t>h</w:t>
      </w:r>
      <w:r>
        <w:rPr>
          <w:sz w:val="22"/>
        </w:rPr>
        <w:t> </w:t>
      </w:r>
      <w:r>
        <w:rPr>
          <w:spacing w:val="-1"/>
          <w:w w:val="100"/>
          <w:sz w:val="22"/>
        </w:rPr>
        <w:t>Organ</w:t>
      </w:r>
      <w:r>
        <w:rPr>
          <w:spacing w:val="-3"/>
          <w:w w:val="100"/>
          <w:sz w:val="22"/>
        </w:rPr>
        <w:t>i</w:t>
      </w:r>
      <w:r>
        <w:rPr>
          <w:spacing w:val="-1"/>
          <w:w w:val="100"/>
          <w:sz w:val="22"/>
        </w:rPr>
        <w:t>zatio</w:t>
      </w:r>
      <w:r>
        <w:rPr>
          <w:w w:val="100"/>
          <w:sz w:val="22"/>
        </w:rPr>
        <w:t>n</w:t>
      </w:r>
      <w:r>
        <w:rPr>
          <w:spacing w:val="2"/>
          <w:w w:val="100"/>
          <w:sz w:val="22"/>
        </w:rPr>
        <w:t>）</w:t>
      </w:r>
      <w:r>
        <w:rPr>
          <w:spacing w:val="-1"/>
          <w:w w:val="100"/>
          <w:sz w:val="22"/>
        </w:rPr>
        <w:t>《疾病和有关健康问题的国际统计分</w:t>
      </w:r>
      <w:r>
        <w:rPr>
          <w:spacing w:val="3"/>
          <w:w w:val="100"/>
          <w:sz w:val="22"/>
        </w:rPr>
        <w:t>类》第十次修订版</w:t>
      </w:r>
      <w:r>
        <w:rPr>
          <w:b/>
          <w:spacing w:val="4"/>
          <w:w w:val="100"/>
          <w:sz w:val="22"/>
        </w:rPr>
        <w:t>（</w:t>
      </w:r>
      <w:r>
        <w:rPr>
          <w:b/>
          <w:spacing w:val="2"/>
          <w:w w:val="99"/>
          <w:sz w:val="22"/>
        </w:rPr>
        <w:t>I</w:t>
      </w:r>
      <w:r>
        <w:rPr>
          <w:b/>
          <w:spacing w:val="-1"/>
          <w:w w:val="99"/>
          <w:sz w:val="22"/>
        </w:rPr>
        <w:t>CD-</w:t>
      </w:r>
      <w:r>
        <w:rPr>
          <w:b/>
          <w:spacing w:val="2"/>
          <w:w w:val="99"/>
          <w:sz w:val="22"/>
        </w:rPr>
        <w:t>1</w:t>
      </w:r>
      <w:r>
        <w:rPr>
          <w:b/>
          <w:spacing w:val="4"/>
          <w:w w:val="99"/>
          <w:sz w:val="22"/>
        </w:rPr>
        <w:t>0</w:t>
      </w:r>
      <w:r>
        <w:rPr>
          <w:b/>
          <w:spacing w:val="4"/>
          <w:w w:val="100"/>
          <w:sz w:val="22"/>
        </w:rPr>
        <w:t>）</w:t>
      </w:r>
      <w:hyperlink w:history="true" w:anchor="_bookmark24">
        <w:r>
          <w:rPr>
            <w:rFonts w:ascii="PMingLiU-ExtB" w:eastAsia="PMingLiU-ExtB"/>
            <w:w w:val="101"/>
            <w:position w:val="10"/>
            <w:sz w:val="10"/>
          </w:rPr>
          <w:t>2</w:t>
        </w:r>
        <w:r>
          <w:rPr>
            <w:rFonts w:ascii="PMingLiU-ExtB" w:eastAsia="PMingLiU-ExtB"/>
            <w:spacing w:val="2"/>
            <w:w w:val="101"/>
            <w:position w:val="10"/>
            <w:sz w:val="10"/>
          </w:rPr>
          <w:t>5</w:t>
        </w:r>
      </w:hyperlink>
      <w:r>
        <w:rPr>
          <w:spacing w:val="3"/>
          <w:w w:val="100"/>
          <w:sz w:val="22"/>
        </w:rPr>
        <w:t>的恶性肿瘤类别及</w:t>
      </w:r>
      <w:r>
        <w:rPr>
          <w:b/>
          <w:spacing w:val="3"/>
          <w:w w:val="100"/>
          <w:sz w:val="22"/>
        </w:rPr>
        <w:t>《国际疾病分类肿瘤学专</w:t>
      </w:r>
      <w:r>
        <w:rPr>
          <w:b/>
          <w:spacing w:val="4"/>
          <w:w w:val="100"/>
          <w:sz w:val="22"/>
        </w:rPr>
        <w:t>辑》第三版（</w:t>
      </w:r>
      <w:r>
        <w:rPr>
          <w:b/>
          <w:spacing w:val="2"/>
          <w:w w:val="99"/>
          <w:sz w:val="22"/>
        </w:rPr>
        <w:t>I</w:t>
      </w:r>
      <w:r>
        <w:rPr>
          <w:b/>
          <w:spacing w:val="-1"/>
          <w:w w:val="99"/>
          <w:sz w:val="22"/>
        </w:rPr>
        <w:t>CD-O</w:t>
      </w:r>
      <w:r>
        <w:rPr>
          <w:b/>
          <w:spacing w:val="2"/>
          <w:w w:val="99"/>
          <w:sz w:val="22"/>
        </w:rPr>
        <w:t>-</w:t>
      </w:r>
      <w:r>
        <w:rPr>
          <w:b/>
          <w:spacing w:val="4"/>
          <w:w w:val="99"/>
          <w:sz w:val="22"/>
        </w:rPr>
        <w:t>3</w:t>
      </w:r>
      <w:r>
        <w:rPr>
          <w:b/>
          <w:spacing w:val="4"/>
          <w:w w:val="100"/>
          <w:sz w:val="22"/>
        </w:rPr>
        <w:t>）</w:t>
      </w:r>
      <w:hyperlink w:history="true" w:anchor="_bookmark25">
        <w:r>
          <w:rPr>
            <w:rFonts w:ascii="PMingLiU-ExtB" w:eastAsia="PMingLiU-ExtB"/>
            <w:w w:val="101"/>
            <w:position w:val="10"/>
            <w:sz w:val="10"/>
          </w:rPr>
          <w:t>2</w:t>
        </w:r>
        <w:r>
          <w:rPr>
            <w:rFonts w:ascii="PMingLiU-ExtB" w:eastAsia="PMingLiU-ExtB"/>
            <w:spacing w:val="2"/>
            <w:w w:val="101"/>
            <w:position w:val="10"/>
            <w:sz w:val="10"/>
          </w:rPr>
          <w:t>6</w:t>
        </w:r>
      </w:hyperlink>
      <w:r>
        <w:rPr>
          <w:spacing w:val="3"/>
          <w:w w:val="100"/>
          <w:sz w:val="22"/>
        </w:rPr>
        <w:t>的肿瘤形态学编码属于</w:t>
      </w:r>
      <w:r>
        <w:rPr>
          <w:spacing w:val="4"/>
          <w:w w:val="100"/>
          <w:sz w:val="22"/>
        </w:rPr>
        <w:t>3、6、9（</w:t>
      </w:r>
      <w:r>
        <w:rPr>
          <w:spacing w:val="3"/>
          <w:w w:val="100"/>
          <w:sz w:val="22"/>
        </w:rPr>
        <w:t>恶性肿瘤</w:t>
      </w:r>
      <w:r>
        <w:rPr>
          <w:spacing w:val="4"/>
          <w:w w:val="100"/>
          <w:sz w:val="22"/>
        </w:rPr>
        <w:t>）</w:t>
      </w:r>
      <w:r>
        <w:rPr>
          <w:spacing w:val="2"/>
          <w:w w:val="100"/>
          <w:sz w:val="22"/>
        </w:rPr>
        <w:t>范畴</w:t>
      </w:r>
      <w:r>
        <w:rPr>
          <w:spacing w:val="-2"/>
          <w:w w:val="100"/>
          <w:sz w:val="22"/>
        </w:rPr>
        <w:t>的疾病。</w:t>
      </w:r>
    </w:p>
    <w:p>
      <w:pPr>
        <w:pStyle w:val="BodyText"/>
        <w:spacing w:line="281" w:lineRule="exact"/>
        <w:ind w:left="152"/>
      </w:pPr>
      <w:r>
        <w:rPr>
          <w:color w:val="000000"/>
          <w:spacing w:val="-3"/>
          <w:shd w:fill="E4E4E4" w:color="auto" w:val="clear"/>
        </w:rPr>
        <w:t>下列疾病不属于“恶性肿瘤——重度”，不在保障范围内：</w:t>
      </w:r>
    </w:p>
    <w:p>
      <w:pPr>
        <w:pStyle w:val="ListParagraph"/>
        <w:numPr>
          <w:ilvl w:val="0"/>
          <w:numId w:val="24"/>
        </w:numPr>
        <w:tabs>
          <w:tab w:pos="607" w:val="left" w:leader="none"/>
        </w:tabs>
        <w:spacing w:line="240" w:lineRule="auto" w:before="97" w:after="0"/>
        <w:ind w:left="606" w:right="0" w:hanging="455"/>
        <w:jc w:val="left"/>
        <w:rPr>
          <w:sz w:val="22"/>
        </w:rPr>
      </w:pPr>
      <w:r>
        <w:rPr>
          <w:color w:val="000000"/>
          <w:spacing w:val="-2"/>
          <w:sz w:val="22"/>
          <w:shd w:fill="E4E4E4" w:color="auto" w:val="clear"/>
        </w:rPr>
        <w:t>ICD-O-3肿瘤形态学编码属于0（良性肿瘤）、1（动态未定性肿瘤）、</w:t>
      </w:r>
      <w:r>
        <w:rPr>
          <w:color w:val="000000"/>
          <w:spacing w:val="-10"/>
          <w:sz w:val="22"/>
          <w:shd w:fill="E4E4E4" w:color="auto" w:val="clear"/>
        </w:rPr>
        <w:t>2</w:t>
      </w:r>
    </w:p>
    <w:p>
      <w:pPr>
        <w:pStyle w:val="BodyText"/>
        <w:spacing w:before="97"/>
        <w:ind w:left="606"/>
      </w:pPr>
      <w:r>
        <w:rPr>
          <w:color w:val="000000"/>
          <w:spacing w:val="-2"/>
          <w:shd w:fill="E4E4E4" w:color="auto" w:val="clear"/>
        </w:rPr>
        <w:t>（原位癌和非侵袭性癌）</w:t>
      </w:r>
      <w:r>
        <w:rPr>
          <w:color w:val="000000"/>
          <w:spacing w:val="-4"/>
          <w:shd w:fill="E4E4E4" w:color="auto" w:val="clear"/>
        </w:rPr>
        <w:t>范畴的疾病，如：</w:t>
      </w:r>
    </w:p>
    <w:p>
      <w:pPr>
        <w:pStyle w:val="ListParagraph"/>
        <w:numPr>
          <w:ilvl w:val="1"/>
          <w:numId w:val="24"/>
        </w:numPr>
        <w:tabs>
          <w:tab w:pos="892" w:val="left" w:leader="none"/>
        </w:tabs>
        <w:spacing w:line="324" w:lineRule="auto" w:before="100" w:after="0"/>
        <w:ind w:left="892" w:right="150" w:hanging="286"/>
        <w:jc w:val="left"/>
        <w:rPr>
          <w:sz w:val="22"/>
        </w:rPr>
      </w:pPr>
      <w:r>
        <w:rPr>
          <w:color w:val="000000"/>
          <w:spacing w:val="-2"/>
          <w:sz w:val="22"/>
          <w:shd w:fill="E4E4E4" w:color="auto" w:val="clear"/>
        </w:rPr>
        <w:t>原位癌，癌前病变，非浸润性癌，非侵袭性癌，肿瘤细胞未侵犯基</w:t>
      </w:r>
      <w:r>
        <w:rPr>
          <w:color w:val="000000"/>
          <w:spacing w:val="80"/>
          <w:w w:val="150"/>
          <w:sz w:val="22"/>
          <w:shd w:fill="E4E4E4" w:color="auto" w:val="clear"/>
        </w:rPr>
        <w:t>                                   </w:t>
      </w:r>
      <w:r>
        <w:rPr>
          <w:color w:val="000000"/>
          <w:spacing w:val="-2"/>
          <w:sz w:val="22"/>
          <w:shd w:fill="E4E4E4" w:color="auto" w:val="clear"/>
        </w:rPr>
        <w:t>底层，上皮内瘤变，细胞不典型性增生等；</w:t>
      </w:r>
    </w:p>
    <w:p>
      <w:pPr>
        <w:pStyle w:val="ListParagraph"/>
        <w:numPr>
          <w:ilvl w:val="1"/>
          <w:numId w:val="24"/>
        </w:numPr>
        <w:tabs>
          <w:tab w:pos="892" w:val="left" w:leader="none"/>
        </w:tabs>
        <w:spacing w:line="324" w:lineRule="auto" w:before="0" w:after="0"/>
        <w:ind w:left="892" w:right="150" w:hanging="286"/>
        <w:jc w:val="left"/>
        <w:rPr>
          <w:sz w:val="22"/>
        </w:rPr>
      </w:pPr>
      <w:r>
        <w:rPr>
          <w:color w:val="000000"/>
          <w:spacing w:val="-2"/>
          <w:sz w:val="22"/>
          <w:shd w:fill="E4E4E4" w:color="auto" w:val="clear"/>
        </w:rPr>
        <w:t>交界性肿瘤，交界恶性肿瘤，肿瘤低度恶性潜能，潜在低度恶性肿</w:t>
      </w:r>
      <w:r>
        <w:rPr>
          <w:color w:val="000000"/>
          <w:spacing w:val="80"/>
          <w:w w:val="150"/>
          <w:sz w:val="22"/>
          <w:shd w:fill="E4E4E4" w:color="auto" w:val="clear"/>
        </w:rPr>
        <w:t>                                   </w:t>
      </w:r>
      <w:r>
        <w:rPr>
          <w:color w:val="000000"/>
          <w:spacing w:val="-4"/>
          <w:sz w:val="22"/>
          <w:shd w:fill="E4E4E4" w:color="auto" w:val="clear"/>
        </w:rPr>
        <w:t>瘤等；</w:t>
      </w:r>
    </w:p>
    <w:p>
      <w:pPr>
        <w:spacing w:after="0" w:line="324" w:lineRule="auto"/>
        <w:jc w:val="left"/>
        <w:rPr>
          <w:sz w:val="22"/>
        </w:rPr>
        <w:sectPr>
          <w:type w:val="continuous"/>
          <w:pgSz w:w="11910" w:h="16840"/>
          <w:pgMar w:header="484" w:footer="706" w:top="1240" w:bottom="900" w:left="980" w:right="980"/>
          <w:cols w:num="2" w:equalWidth="0">
            <w:col w:w="2275" w:space="53"/>
            <w:col w:w="7622"/>
          </w:cols>
        </w:sectPr>
      </w:pPr>
    </w:p>
    <w:p>
      <w:pPr>
        <w:pStyle w:val="ListParagraph"/>
        <w:numPr>
          <w:ilvl w:val="0"/>
          <w:numId w:val="24"/>
        </w:numPr>
        <w:tabs>
          <w:tab w:pos="2814" w:val="left" w:leader="none"/>
        </w:tabs>
        <w:spacing w:line="279" w:lineRule="exact" w:before="0" w:after="0"/>
        <w:ind w:left="2813" w:right="0" w:hanging="334"/>
        <w:jc w:val="left"/>
        <w:rPr>
          <w:sz w:val="22"/>
        </w:rPr>
      </w:pPr>
      <w:r>
        <w:rPr/>
        <w:pict>
          <v:shape style="position:absolute;margin-left:195.75pt;margin-top:-5.037768pt;width:206.25pt;height:38.550pt;mso-position-horizontal-relative:page;mso-position-vertical-relative:paragraph;z-index:15737344" type="#_x0000_t202" id="docshape20" filled="false" stroked="false">
            <v:textbox inset="0,0,0,0">
              <w:txbxContent>
                <w:tbl>
                  <w:tblPr>
                    <w:tblW w:w="0" w:type="auto"/>
                    <w:jc w:val="left"/>
                    <w:tblCellSpacing w:w="45" w:type="dxa"/>
                    <w:tblInd w:w="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0"/>
                    <w:gridCol w:w="3304"/>
                  </w:tblGrid>
                  <w:tr>
                    <w:trPr>
                      <w:trHeight w:val="277" w:hRule="atLeast"/>
                    </w:trPr>
                    <w:tc>
                      <w:tcPr>
                        <w:tcW w:w="820" w:type="dxa"/>
                        <w:tcBorders>
                          <w:top w:val="nil"/>
                          <w:bottom w:val="nil"/>
                          <w:right w:val="nil"/>
                        </w:tcBorders>
                      </w:tcPr>
                      <w:p>
                        <w:pPr>
                          <w:pStyle w:val="TableParagraph"/>
                          <w:spacing w:line="258" w:lineRule="exact"/>
                          <w:ind w:left="-61" w:right="-72"/>
                          <w:rPr>
                            <w:rFonts w:ascii="PMingLiU-ExtB" w:eastAsia="PMingLiU-ExtB"/>
                            <w:sz w:val="10"/>
                          </w:rPr>
                        </w:pPr>
                        <w:r>
                          <w:rPr>
                            <w:b/>
                            <w:color w:val="000000"/>
                            <w:w w:val="95"/>
                            <w:sz w:val="22"/>
                            <w:shd w:fill="E4E4E4" w:color="auto" w:val="clear"/>
                          </w:rPr>
                          <w:t>TNM</w:t>
                        </w:r>
                        <w:r>
                          <w:rPr>
                            <w:b/>
                            <w:color w:val="000000"/>
                            <w:w w:val="95"/>
                            <w:sz w:val="22"/>
                            <w:shd w:fill="E4E4E4" w:color="auto" w:val="clear"/>
                          </w:rPr>
                          <w:t>分</w:t>
                        </w:r>
                        <w:r>
                          <w:rPr>
                            <w:b/>
                            <w:color w:val="000000"/>
                            <w:w w:val="95"/>
                            <w:sz w:val="22"/>
                            <w:shd w:fill="E4E4E4" w:color="auto" w:val="clear"/>
                          </w:rPr>
                          <w:t>期</w:t>
                        </w:r>
                        <w:hyperlink w:history="true" w:anchor="_bookmark26">
                          <w:r>
                            <w:rPr>
                              <w:rFonts w:ascii="PMingLiU-ExtB" w:eastAsia="PMingLiU-ExtB"/>
                              <w:color w:val="000000"/>
                              <w:spacing w:val="-10"/>
                              <w:w w:val="95"/>
                              <w:position w:val="10"/>
                              <w:sz w:val="10"/>
                            </w:rPr>
                            <w:t>2</w:t>
                          </w:r>
                        </w:hyperlink>
                      </w:p>
                    </w:tc>
                    <w:tc>
                      <w:tcPr>
                        <w:tcW w:w="3304" w:type="dxa"/>
                        <w:tcBorders>
                          <w:top w:val="nil"/>
                          <w:left w:val="nil"/>
                          <w:bottom w:val="nil"/>
                        </w:tcBorders>
                      </w:tcPr>
                      <w:p>
                        <w:pPr>
                          <w:pStyle w:val="TableParagraph"/>
                          <w:spacing w:line="258" w:lineRule="exact"/>
                          <w:ind w:left="-58"/>
                          <w:rPr>
                            <w:sz w:val="22"/>
                          </w:rPr>
                        </w:pPr>
                        <w:hyperlink w:history="true" w:anchor="_bookmark26">
                          <w:r>
                            <w:rPr>
                              <w:rFonts w:ascii="PMingLiU-ExtB" w:hAnsi="PMingLiU-ExtB" w:eastAsia="PMingLiU-ExtB"/>
                              <w:spacing w:val="-2"/>
                              <w:position w:val="10"/>
                              <w:sz w:val="10"/>
                            </w:rPr>
                            <w:t>7</w:t>
                          </w:r>
                        </w:hyperlink>
                        <w:r>
                          <w:rPr>
                            <w:color w:val="000000"/>
                            <w:spacing w:val="-3"/>
                            <w:sz w:val="22"/>
                            <w:shd w:fill="E4E4E4" w:color="auto" w:val="clear"/>
                          </w:rPr>
                          <w:t>为Ⅰ期或更轻分期的甲状腺癌；</w:t>
                        </w:r>
                      </w:p>
                    </w:tc>
                  </w:tr>
                  <w:tr>
                    <w:trPr>
                      <w:trHeight w:val="284" w:hRule="atLeast"/>
                    </w:trPr>
                    <w:tc>
                      <w:tcPr>
                        <w:tcW w:w="4124" w:type="dxa"/>
                        <w:gridSpan w:val="2"/>
                        <w:tcBorders>
                          <w:top w:val="nil"/>
                        </w:tcBorders>
                        <w:shd w:val="clear" w:color="auto" w:fill="E4E4E4"/>
                      </w:tcPr>
                      <w:p>
                        <w:pPr>
                          <w:pStyle w:val="TableParagraph"/>
                          <w:spacing w:line="263" w:lineRule="exact" w:before="2"/>
                          <w:ind w:left="-1" w:right="-15"/>
                          <w:rPr>
                            <w:sz w:val="22"/>
                          </w:rPr>
                        </w:pPr>
                        <w:r>
                          <w:rPr>
                            <w:spacing w:val="-2"/>
                            <w:sz w:val="22"/>
                          </w:rPr>
                          <w:t>TNM分期为T</w:t>
                        </w:r>
                        <w:r>
                          <w:rPr>
                            <w:spacing w:val="-2"/>
                            <w:position w:val="-2"/>
                            <w:sz w:val="11"/>
                          </w:rPr>
                          <w:t>1</w:t>
                        </w:r>
                        <w:r>
                          <w:rPr>
                            <w:spacing w:val="-2"/>
                            <w:sz w:val="22"/>
                          </w:rPr>
                          <w:t>N</w:t>
                        </w:r>
                        <w:r>
                          <w:rPr>
                            <w:spacing w:val="-2"/>
                            <w:position w:val="-2"/>
                            <w:sz w:val="11"/>
                          </w:rPr>
                          <w:t>0</w:t>
                        </w:r>
                        <w:r>
                          <w:rPr>
                            <w:spacing w:val="-2"/>
                            <w:sz w:val="22"/>
                          </w:rPr>
                          <w:t>M</w:t>
                        </w:r>
                        <w:r>
                          <w:rPr>
                            <w:spacing w:val="-2"/>
                            <w:position w:val="-2"/>
                            <w:sz w:val="11"/>
                          </w:rPr>
                          <w:t>0</w:t>
                        </w:r>
                        <w:r>
                          <w:rPr>
                            <w:spacing w:val="-3"/>
                            <w:sz w:val="22"/>
                          </w:rPr>
                          <w:t>期或更轻分期的前列腺癌；</w:t>
                        </w:r>
                      </w:p>
                    </w:tc>
                  </w:tr>
                </w:tbl>
                <w:p>
                  <w:pPr>
                    <w:pStyle w:val="BodyText"/>
                  </w:pPr>
                </w:p>
              </w:txbxContent>
            </v:textbox>
            <w10:wrap type="none"/>
          </v:shape>
        </w:pict>
      </w:r>
      <w:r>
        <w:rPr>
          <w:spacing w:val="-5"/>
          <w:sz w:val="22"/>
        </w:rPr>
        <w:t>(2)</w:t>
      </w:r>
    </w:p>
    <w:p>
      <w:pPr>
        <w:pStyle w:val="ListParagraph"/>
        <w:numPr>
          <w:ilvl w:val="0"/>
          <w:numId w:val="24"/>
        </w:numPr>
        <w:tabs>
          <w:tab w:pos="2814" w:val="left" w:leader="none"/>
        </w:tabs>
        <w:spacing w:line="240" w:lineRule="auto" w:before="97" w:after="0"/>
        <w:ind w:left="2813" w:right="0" w:hanging="334"/>
        <w:jc w:val="left"/>
        <w:rPr>
          <w:sz w:val="22"/>
        </w:rPr>
      </w:pPr>
      <w:r>
        <w:rPr>
          <w:spacing w:val="-5"/>
          <w:sz w:val="22"/>
        </w:rPr>
        <w:t>(3)</w:t>
      </w:r>
    </w:p>
    <w:p>
      <w:pPr>
        <w:pStyle w:val="BodyText"/>
        <w:spacing w:before="4"/>
        <w:rPr>
          <w:sz w:val="28"/>
        </w:rPr>
      </w:pPr>
    </w:p>
    <w:p>
      <w:pPr>
        <w:spacing w:line="242" w:lineRule="auto" w:before="0"/>
        <w:ind w:left="368" w:right="154" w:hanging="216"/>
        <w:jc w:val="left"/>
        <w:rPr>
          <w:sz w:val="18"/>
        </w:rPr>
      </w:pPr>
      <w:r>
        <w:rPr>
          <w:rFonts w:ascii="Times New Roman" w:eastAsia="Times New Roman"/>
          <w:sz w:val="18"/>
          <w:vertAlign w:val="superscript"/>
        </w:rPr>
        <w:t>24</w:t>
      </w:r>
      <w:r>
        <w:rPr>
          <w:rFonts w:ascii="Times New Roman" w:eastAsia="Times New Roman"/>
          <w:spacing w:val="48"/>
          <w:sz w:val="18"/>
          <w:vertAlign w:val="baseline"/>
        </w:rPr>
        <w:t> </w:t>
      </w:r>
      <w:r>
        <w:rPr>
          <w:b/>
          <w:sz w:val="18"/>
          <w:vertAlign w:val="baseline"/>
        </w:rPr>
        <w:t>组</w:t>
      </w:r>
      <w:r>
        <w:rPr>
          <w:b/>
          <w:sz w:val="18"/>
          <w:vertAlign w:val="baseline"/>
        </w:rPr>
        <w:t>织</w:t>
      </w:r>
      <w:r>
        <w:rPr>
          <w:b/>
          <w:sz w:val="18"/>
          <w:vertAlign w:val="baseline"/>
        </w:rPr>
        <w:t>病</w:t>
      </w:r>
      <w:r>
        <w:rPr>
          <w:b/>
          <w:sz w:val="18"/>
          <w:vertAlign w:val="baseline"/>
        </w:rPr>
        <w:t>理</w:t>
      </w:r>
      <w:r>
        <w:rPr>
          <w:b/>
          <w:sz w:val="18"/>
          <w:vertAlign w:val="baseline"/>
        </w:rPr>
        <w:t>学</w:t>
      </w:r>
      <w:r>
        <w:rPr>
          <w:b/>
          <w:sz w:val="18"/>
          <w:vertAlign w:val="baseline"/>
        </w:rPr>
        <w:t>检</w:t>
      </w:r>
      <w:r>
        <w:rPr>
          <w:b/>
          <w:sz w:val="18"/>
          <w:vertAlign w:val="baseline"/>
        </w:rPr>
        <w:t>查</w:t>
      </w:r>
      <w:r>
        <w:rPr>
          <w:b/>
          <w:sz w:val="18"/>
          <w:vertAlign w:val="baseline"/>
        </w:rPr>
        <w:t>：</w:t>
      </w:r>
      <w:r>
        <w:rPr>
          <w:sz w:val="18"/>
          <w:vertAlign w:val="baseline"/>
        </w:rPr>
        <w:t>组织病理学检查是通过局部切除、钳取、穿刺等手术方法，从患者机体采取病变组织块，经过包埋、</w:t>
      </w:r>
      <w:r>
        <w:rPr>
          <w:spacing w:val="-2"/>
          <w:sz w:val="18"/>
          <w:vertAlign w:val="baseline"/>
        </w:rPr>
        <w:t>切片后，进行病理检查的方法。</w:t>
      </w:r>
    </w:p>
    <w:p>
      <w:pPr>
        <w:spacing w:line="244" w:lineRule="auto" w:before="0"/>
        <w:ind w:left="368" w:right="153" w:firstLine="0"/>
        <w:jc w:val="left"/>
        <w:rPr>
          <w:sz w:val="18"/>
        </w:rPr>
      </w:pPr>
      <w:r>
        <w:rPr>
          <w:color w:val="000000"/>
          <w:spacing w:val="-2"/>
          <w:sz w:val="18"/>
          <w:shd w:fill="E4E4E4" w:color="auto" w:val="clear"/>
        </w:rPr>
        <w:t>需要明确的是，通过采集病变部位脱落细胞、细针吸取病变部位细胞、体腔积液分离病变细胞等方式获取病变细胞，制</w:t>
      </w:r>
      <w:r>
        <w:rPr>
          <w:color w:val="000000"/>
          <w:spacing w:val="80"/>
          <w:w w:val="150"/>
          <w:sz w:val="18"/>
          <w:shd w:fill="E4E4E4" w:color="auto" w:val="clear"/>
        </w:rPr>
        <w:t>                                                         </w:t>
      </w:r>
      <w:r>
        <w:rPr>
          <w:color w:val="000000"/>
          <w:spacing w:val="-2"/>
          <w:sz w:val="18"/>
          <w:shd w:fill="E4E4E4" w:color="auto" w:val="clear"/>
        </w:rPr>
        <w:t>成涂片，进行病理检查的方法，属于细胞病理学检查，不属于组织病理学检查。</w:t>
      </w:r>
    </w:p>
    <w:p>
      <w:pPr>
        <w:spacing w:line="244" w:lineRule="auto" w:before="0"/>
        <w:ind w:left="368" w:right="155" w:hanging="216"/>
        <w:jc w:val="both"/>
        <w:rPr>
          <w:sz w:val="18"/>
        </w:rPr>
      </w:pPr>
      <w:r>
        <w:rPr>
          <w:rFonts w:ascii="Times New Roman" w:eastAsia="Times New Roman"/>
          <w:sz w:val="18"/>
          <w:vertAlign w:val="superscript"/>
        </w:rPr>
        <w:t>25</w:t>
      </w:r>
      <w:r>
        <w:rPr>
          <w:rFonts w:ascii="Times New Roman" w:eastAsia="Times New Roman"/>
          <w:sz w:val="18"/>
          <w:vertAlign w:val="baseline"/>
        </w:rPr>
        <w:t> </w:t>
      </w:r>
      <w:r>
        <w:rPr>
          <w:b/>
          <w:sz w:val="18"/>
          <w:vertAlign w:val="baseline"/>
        </w:rPr>
        <w:t>（ICD-10）</w:t>
      </w:r>
      <w:r>
        <w:rPr>
          <w:sz w:val="18"/>
          <w:vertAlign w:val="baseline"/>
        </w:rPr>
        <w:t>：指《疾病和有关健康问题的国际统计分类》第十次修订版（ICD-10）,是世界卫生组织（WHO）发布的国际</w:t>
      </w:r>
      <w:r>
        <w:rPr>
          <w:spacing w:val="-2"/>
          <w:sz w:val="18"/>
          <w:vertAlign w:val="baseline"/>
        </w:rPr>
        <w:t>通用的疾病分类方法。</w:t>
      </w:r>
    </w:p>
    <w:p>
      <w:pPr>
        <w:spacing w:line="242" w:lineRule="auto" w:before="0"/>
        <w:ind w:left="368" w:right="152" w:hanging="216"/>
        <w:jc w:val="both"/>
        <w:rPr>
          <w:sz w:val="18"/>
        </w:rPr>
      </w:pPr>
      <w:r>
        <w:rPr>
          <w:rFonts w:ascii="Times New Roman" w:eastAsia="Times New Roman"/>
          <w:w w:val="100"/>
          <w:sz w:val="18"/>
          <w:vertAlign w:val="superscript"/>
        </w:rPr>
        <w:t>26</w:t>
      </w:r>
      <w:r>
        <w:rPr>
          <w:rFonts w:ascii="Times New Roman" w:eastAsia="Times New Roman"/>
          <w:spacing w:val="5"/>
          <w:sz w:val="18"/>
          <w:vertAlign w:val="baseline"/>
        </w:rPr>
        <w:t>  </w:t>
      </w:r>
      <w:r>
        <w:rPr>
          <w:b/>
          <w:spacing w:val="2"/>
          <w:w w:val="99"/>
          <w:sz w:val="18"/>
          <w:vertAlign w:val="baseline"/>
        </w:rPr>
        <w:t>《国际疾病分类肿瘤学专辑》第三版（</w:t>
      </w:r>
      <w:r>
        <w:rPr>
          <w:b/>
          <w:spacing w:val="1"/>
          <w:w w:val="99"/>
          <w:sz w:val="18"/>
          <w:vertAlign w:val="baseline"/>
        </w:rPr>
        <w:t>ICD-O-3</w:t>
      </w:r>
      <w:r>
        <w:rPr>
          <w:b/>
          <w:spacing w:val="4"/>
          <w:w w:val="99"/>
          <w:sz w:val="18"/>
          <w:vertAlign w:val="baseline"/>
        </w:rPr>
        <w:t>）</w:t>
      </w:r>
      <w:r>
        <w:rPr>
          <w:spacing w:val="2"/>
          <w:sz w:val="18"/>
          <w:vertAlign w:val="baseline"/>
        </w:rPr>
        <w:t>：《国际疾病分类肿瘤学专辑》第三版（</w:t>
      </w:r>
      <w:r>
        <w:rPr>
          <w:spacing w:val="1"/>
          <w:sz w:val="18"/>
          <w:vertAlign w:val="baseline"/>
        </w:rPr>
        <w:t>I</w:t>
      </w:r>
      <w:r>
        <w:rPr>
          <w:spacing w:val="-2"/>
          <w:sz w:val="18"/>
          <w:vertAlign w:val="baseline"/>
        </w:rPr>
        <w:t>C</w:t>
      </w:r>
      <w:r>
        <w:rPr>
          <w:spacing w:val="1"/>
          <w:sz w:val="18"/>
          <w:vertAlign w:val="baseline"/>
        </w:rPr>
        <w:t>D</w:t>
      </w:r>
      <w:r>
        <w:rPr>
          <w:spacing w:val="-2"/>
          <w:sz w:val="18"/>
          <w:vertAlign w:val="baseline"/>
        </w:rPr>
        <w:t>-</w:t>
      </w:r>
      <w:r>
        <w:rPr>
          <w:spacing w:val="1"/>
          <w:sz w:val="18"/>
          <w:vertAlign w:val="baseline"/>
        </w:rPr>
        <w:t>O</w:t>
      </w:r>
      <w:r>
        <w:rPr>
          <w:spacing w:val="-2"/>
          <w:sz w:val="18"/>
          <w:vertAlign w:val="baseline"/>
        </w:rPr>
        <w:t>-</w:t>
      </w:r>
      <w:r>
        <w:rPr>
          <w:spacing w:val="3"/>
          <w:sz w:val="18"/>
          <w:vertAlign w:val="baseline"/>
        </w:rPr>
        <w:t>3</w:t>
      </w:r>
      <w:r>
        <w:rPr>
          <w:spacing w:val="2"/>
          <w:sz w:val="18"/>
          <w:vertAlign w:val="baseline"/>
        </w:rPr>
        <w:t>），是</w:t>
      </w:r>
      <w:r>
        <w:rPr>
          <w:spacing w:val="1"/>
          <w:sz w:val="18"/>
          <w:vertAlign w:val="baseline"/>
        </w:rPr>
        <w:t>W</w:t>
      </w:r>
      <w:r>
        <w:rPr>
          <w:spacing w:val="-2"/>
          <w:sz w:val="18"/>
          <w:vertAlign w:val="baseline"/>
        </w:rPr>
        <w:t>H</w:t>
      </w:r>
      <w:r>
        <w:rPr>
          <w:spacing w:val="3"/>
          <w:sz w:val="18"/>
          <w:vertAlign w:val="baseline"/>
        </w:rPr>
        <w:t>O</w:t>
      </w:r>
      <w:r>
        <w:rPr>
          <w:spacing w:val="1"/>
          <w:sz w:val="18"/>
          <w:vertAlign w:val="baseline"/>
        </w:rPr>
        <w:t>发布的针</w:t>
      </w:r>
      <w:r>
        <w:rPr>
          <w:spacing w:val="2"/>
          <w:sz w:val="18"/>
          <w:vertAlign w:val="baseline"/>
        </w:rPr>
        <w:t>对</w:t>
      </w:r>
      <w:r>
        <w:rPr>
          <w:spacing w:val="1"/>
          <w:sz w:val="18"/>
          <w:vertAlign w:val="baseline"/>
        </w:rPr>
        <w:t>I</w:t>
      </w:r>
      <w:r>
        <w:rPr>
          <w:spacing w:val="-2"/>
          <w:sz w:val="18"/>
          <w:vertAlign w:val="baseline"/>
        </w:rPr>
        <w:t>C</w:t>
      </w:r>
      <w:r>
        <w:rPr>
          <w:spacing w:val="3"/>
          <w:sz w:val="18"/>
          <w:vertAlign w:val="baseline"/>
        </w:rPr>
        <w:t>D</w:t>
      </w:r>
      <w:r>
        <w:rPr>
          <w:spacing w:val="2"/>
          <w:sz w:val="18"/>
          <w:vertAlign w:val="baseline"/>
        </w:rPr>
        <w:t>中肿瘤形态学组织学细胞类型、动态、分化程度的补充编码。其中形态学编码：</w:t>
      </w:r>
      <w:r>
        <w:rPr>
          <w:spacing w:val="3"/>
          <w:sz w:val="18"/>
          <w:vertAlign w:val="baseline"/>
        </w:rPr>
        <w:t>0</w:t>
      </w:r>
      <w:r>
        <w:rPr>
          <w:spacing w:val="2"/>
          <w:sz w:val="18"/>
          <w:vertAlign w:val="baseline"/>
        </w:rPr>
        <w:t>代表良性肿瘤；</w:t>
      </w:r>
      <w:r>
        <w:rPr>
          <w:spacing w:val="3"/>
          <w:sz w:val="18"/>
          <w:vertAlign w:val="baseline"/>
        </w:rPr>
        <w:t>1</w:t>
      </w:r>
      <w:r>
        <w:rPr>
          <w:spacing w:val="1"/>
          <w:sz w:val="18"/>
          <w:vertAlign w:val="baseline"/>
        </w:rPr>
        <w:t>代表动态未定</w:t>
      </w:r>
      <w:r>
        <w:rPr>
          <w:sz w:val="18"/>
          <w:vertAlign w:val="baseline"/>
        </w:rPr>
        <w:t>性肿瘤；</w:t>
      </w:r>
      <w:r>
        <w:rPr>
          <w:spacing w:val="1"/>
          <w:sz w:val="18"/>
          <w:vertAlign w:val="baseline"/>
        </w:rPr>
        <w:t>2</w:t>
      </w:r>
      <w:r>
        <w:rPr>
          <w:sz w:val="18"/>
          <w:vertAlign w:val="baseline"/>
        </w:rPr>
        <w:t>代表原位癌和非侵袭性癌；</w:t>
      </w:r>
      <w:r>
        <w:rPr>
          <w:spacing w:val="1"/>
          <w:sz w:val="18"/>
          <w:vertAlign w:val="baseline"/>
        </w:rPr>
        <w:t>3</w:t>
      </w:r>
      <w:r>
        <w:rPr>
          <w:sz w:val="18"/>
          <w:vertAlign w:val="baseline"/>
        </w:rPr>
        <w:t>代表恶性肿瘤（</w:t>
      </w:r>
      <w:r>
        <w:rPr>
          <w:spacing w:val="1"/>
          <w:sz w:val="18"/>
          <w:vertAlign w:val="baseline"/>
        </w:rPr>
        <w:t>原发性</w:t>
      </w:r>
      <w:r>
        <w:rPr>
          <w:sz w:val="18"/>
          <w:vertAlign w:val="baseline"/>
        </w:rPr>
        <w:t>）</w:t>
      </w:r>
      <w:r>
        <w:rPr>
          <w:spacing w:val="2"/>
          <w:sz w:val="18"/>
          <w:vertAlign w:val="baseline"/>
        </w:rPr>
        <w:t>；</w:t>
      </w:r>
      <w:r>
        <w:rPr>
          <w:spacing w:val="1"/>
          <w:sz w:val="18"/>
          <w:vertAlign w:val="baseline"/>
        </w:rPr>
        <w:t>6</w:t>
      </w:r>
      <w:r>
        <w:rPr>
          <w:sz w:val="18"/>
          <w:vertAlign w:val="baseline"/>
        </w:rPr>
        <w:t>代表恶性肿瘤（</w:t>
      </w:r>
      <w:r>
        <w:rPr>
          <w:spacing w:val="1"/>
          <w:sz w:val="18"/>
          <w:vertAlign w:val="baseline"/>
        </w:rPr>
        <w:t>转移性</w:t>
      </w:r>
      <w:r>
        <w:rPr>
          <w:sz w:val="18"/>
          <w:vertAlign w:val="baseline"/>
        </w:rPr>
        <w:t>）</w:t>
      </w:r>
      <w:r>
        <w:rPr>
          <w:spacing w:val="2"/>
          <w:sz w:val="18"/>
          <w:vertAlign w:val="baseline"/>
        </w:rPr>
        <w:t>；</w:t>
      </w:r>
      <w:r>
        <w:rPr>
          <w:spacing w:val="1"/>
          <w:sz w:val="18"/>
          <w:vertAlign w:val="baseline"/>
        </w:rPr>
        <w:t>9</w:t>
      </w:r>
      <w:r>
        <w:rPr>
          <w:sz w:val="18"/>
          <w:vertAlign w:val="baseline"/>
        </w:rPr>
        <w:t>代表恶性肿瘤（原发性或转移性未肯定）。如果出现</w:t>
      </w:r>
      <w:r>
        <w:rPr>
          <w:spacing w:val="1"/>
          <w:sz w:val="18"/>
          <w:vertAlign w:val="baseline"/>
        </w:rPr>
        <w:t>I</w:t>
      </w:r>
      <w:r>
        <w:rPr>
          <w:spacing w:val="-2"/>
          <w:sz w:val="18"/>
          <w:vertAlign w:val="baseline"/>
        </w:rPr>
        <w:t>C</w:t>
      </w:r>
      <w:r>
        <w:rPr>
          <w:spacing w:val="1"/>
          <w:sz w:val="18"/>
          <w:vertAlign w:val="baseline"/>
        </w:rPr>
        <w:t>D</w:t>
      </w:r>
      <w:r>
        <w:rPr>
          <w:spacing w:val="-2"/>
          <w:sz w:val="18"/>
          <w:vertAlign w:val="baseline"/>
        </w:rPr>
        <w:t>-</w:t>
      </w:r>
      <w:r>
        <w:rPr>
          <w:spacing w:val="1"/>
          <w:sz w:val="18"/>
          <w:vertAlign w:val="baseline"/>
        </w:rPr>
        <w:t>1</w:t>
      </w:r>
      <w:r>
        <w:rPr>
          <w:spacing w:val="-2"/>
          <w:sz w:val="18"/>
          <w:vertAlign w:val="baseline"/>
        </w:rPr>
        <w:t>0</w:t>
      </w:r>
      <w:r>
        <w:rPr>
          <w:sz w:val="18"/>
          <w:vertAlign w:val="baseline"/>
        </w:rPr>
        <w:t>与</w:t>
      </w:r>
      <w:r>
        <w:rPr>
          <w:spacing w:val="1"/>
          <w:sz w:val="18"/>
          <w:vertAlign w:val="baseline"/>
        </w:rPr>
        <w:t>I</w:t>
      </w:r>
      <w:r>
        <w:rPr>
          <w:spacing w:val="-2"/>
          <w:sz w:val="18"/>
          <w:vertAlign w:val="baseline"/>
        </w:rPr>
        <w:t>C</w:t>
      </w:r>
      <w:r>
        <w:rPr>
          <w:spacing w:val="1"/>
          <w:sz w:val="18"/>
          <w:vertAlign w:val="baseline"/>
        </w:rPr>
        <w:t>D</w:t>
      </w:r>
      <w:r>
        <w:rPr>
          <w:spacing w:val="-2"/>
          <w:sz w:val="18"/>
          <w:vertAlign w:val="baseline"/>
        </w:rPr>
        <w:t>-</w:t>
      </w:r>
      <w:r>
        <w:rPr>
          <w:spacing w:val="1"/>
          <w:sz w:val="18"/>
          <w:vertAlign w:val="baseline"/>
        </w:rPr>
        <w:t>O</w:t>
      </w:r>
      <w:r>
        <w:rPr>
          <w:spacing w:val="-2"/>
          <w:sz w:val="18"/>
          <w:vertAlign w:val="baseline"/>
        </w:rPr>
        <w:t>-</w:t>
      </w:r>
      <w:r>
        <w:rPr>
          <w:spacing w:val="1"/>
          <w:sz w:val="18"/>
          <w:vertAlign w:val="baseline"/>
        </w:rPr>
        <w:t>3</w:t>
      </w:r>
      <w:r>
        <w:rPr>
          <w:sz w:val="18"/>
          <w:vertAlign w:val="baseline"/>
        </w:rPr>
        <w:t>不一致的情况，以</w:t>
      </w:r>
      <w:r>
        <w:rPr>
          <w:spacing w:val="1"/>
          <w:sz w:val="18"/>
          <w:vertAlign w:val="baseline"/>
        </w:rPr>
        <w:t>I</w:t>
      </w:r>
      <w:r>
        <w:rPr>
          <w:spacing w:val="-2"/>
          <w:sz w:val="18"/>
          <w:vertAlign w:val="baseline"/>
        </w:rPr>
        <w:t>C</w:t>
      </w:r>
      <w:r>
        <w:rPr>
          <w:spacing w:val="1"/>
          <w:sz w:val="18"/>
          <w:vertAlign w:val="baseline"/>
        </w:rPr>
        <w:t>D</w:t>
      </w:r>
      <w:r>
        <w:rPr>
          <w:spacing w:val="-2"/>
          <w:sz w:val="18"/>
          <w:vertAlign w:val="baseline"/>
        </w:rPr>
        <w:t>-</w:t>
      </w:r>
      <w:r>
        <w:rPr>
          <w:spacing w:val="1"/>
          <w:sz w:val="18"/>
          <w:vertAlign w:val="baseline"/>
        </w:rPr>
        <w:t>O</w:t>
      </w:r>
      <w:r>
        <w:rPr>
          <w:spacing w:val="-2"/>
          <w:sz w:val="18"/>
          <w:vertAlign w:val="baseline"/>
        </w:rPr>
        <w:t>-3</w:t>
      </w:r>
      <w:r>
        <w:rPr>
          <w:sz w:val="18"/>
          <w:vertAlign w:val="baseline"/>
        </w:rPr>
        <w:t>为准。</w:t>
      </w:r>
    </w:p>
    <w:p>
      <w:pPr>
        <w:spacing w:line="242" w:lineRule="auto" w:before="0"/>
        <w:ind w:left="368" w:right="152" w:hanging="216"/>
        <w:jc w:val="both"/>
        <w:rPr>
          <w:sz w:val="18"/>
        </w:rPr>
      </w:pPr>
      <w:r>
        <w:rPr>
          <w:rFonts w:ascii="Times New Roman" w:eastAsia="Times New Roman"/>
          <w:w w:val="100"/>
          <w:sz w:val="18"/>
          <w:vertAlign w:val="superscript"/>
        </w:rPr>
        <w:t>27</w:t>
      </w:r>
      <w:r>
        <w:rPr>
          <w:rFonts w:ascii="Times New Roman" w:eastAsia="Times New Roman"/>
          <w:spacing w:val="5"/>
          <w:sz w:val="18"/>
          <w:vertAlign w:val="baseline"/>
        </w:rPr>
        <w:t>  </w:t>
      </w:r>
      <w:r>
        <w:rPr>
          <w:b/>
          <w:spacing w:val="1"/>
          <w:w w:val="99"/>
          <w:sz w:val="18"/>
          <w:vertAlign w:val="baseline"/>
        </w:rPr>
        <w:t>TN</w:t>
      </w:r>
      <w:r>
        <w:rPr>
          <w:b/>
          <w:spacing w:val="3"/>
          <w:w w:val="99"/>
          <w:sz w:val="18"/>
          <w:vertAlign w:val="baseline"/>
        </w:rPr>
        <w:t>M</w:t>
      </w:r>
      <w:r>
        <w:rPr>
          <w:b/>
          <w:spacing w:val="3"/>
          <w:w w:val="99"/>
          <w:sz w:val="18"/>
          <w:vertAlign w:val="baseline"/>
        </w:rPr>
        <w:t>分期</w:t>
      </w:r>
      <w:r>
        <w:rPr>
          <w:spacing w:val="2"/>
          <w:sz w:val="18"/>
          <w:vertAlign w:val="baseline"/>
        </w:rPr>
        <w:t>：</w:t>
      </w:r>
      <w:r>
        <w:rPr>
          <w:spacing w:val="1"/>
          <w:sz w:val="18"/>
          <w:vertAlign w:val="baseline"/>
        </w:rPr>
        <w:t>T</w:t>
      </w:r>
      <w:r>
        <w:rPr>
          <w:spacing w:val="-2"/>
          <w:sz w:val="18"/>
          <w:vertAlign w:val="baseline"/>
        </w:rPr>
        <w:t>N</w:t>
      </w:r>
      <w:r>
        <w:rPr>
          <w:spacing w:val="3"/>
          <w:sz w:val="18"/>
          <w:vertAlign w:val="baseline"/>
        </w:rPr>
        <w:t>M</w:t>
      </w:r>
      <w:r>
        <w:rPr>
          <w:spacing w:val="2"/>
          <w:sz w:val="18"/>
          <w:vertAlign w:val="baseline"/>
        </w:rPr>
        <w:t>分期采用</w:t>
      </w:r>
      <w:r>
        <w:rPr>
          <w:spacing w:val="1"/>
          <w:sz w:val="18"/>
          <w:vertAlign w:val="baseline"/>
        </w:rPr>
        <w:t>A</w:t>
      </w:r>
      <w:r>
        <w:rPr>
          <w:spacing w:val="-2"/>
          <w:sz w:val="18"/>
          <w:vertAlign w:val="baseline"/>
        </w:rPr>
        <w:t>J</w:t>
      </w:r>
      <w:r>
        <w:rPr>
          <w:spacing w:val="1"/>
          <w:sz w:val="18"/>
          <w:vertAlign w:val="baseline"/>
        </w:rPr>
        <w:t>C</w:t>
      </w:r>
      <w:r>
        <w:rPr>
          <w:spacing w:val="3"/>
          <w:sz w:val="18"/>
          <w:vertAlign w:val="baseline"/>
        </w:rPr>
        <w:t>C</w:t>
      </w:r>
      <w:r>
        <w:rPr>
          <w:spacing w:val="2"/>
          <w:sz w:val="18"/>
          <w:vertAlign w:val="baseline"/>
        </w:rPr>
        <w:t>癌症分期手册标准。该标准由美国癌症联合委员会与国际抗癌联合会</w:t>
      </w:r>
      <w:r>
        <w:rPr>
          <w:spacing w:val="1"/>
          <w:sz w:val="18"/>
          <w:vertAlign w:val="baseline"/>
        </w:rPr>
        <w:t>T</w:t>
      </w:r>
      <w:r>
        <w:rPr>
          <w:spacing w:val="-2"/>
          <w:sz w:val="18"/>
          <w:vertAlign w:val="baseline"/>
        </w:rPr>
        <w:t>N</w:t>
      </w:r>
      <w:r>
        <w:rPr>
          <w:spacing w:val="3"/>
          <w:sz w:val="18"/>
          <w:vertAlign w:val="baseline"/>
        </w:rPr>
        <w:t>M</w:t>
      </w:r>
      <w:r>
        <w:rPr>
          <w:spacing w:val="1"/>
          <w:sz w:val="18"/>
          <w:vertAlign w:val="baseline"/>
        </w:rPr>
        <w:t>委员会联合制定，</w:t>
      </w:r>
      <w:r>
        <w:rPr>
          <w:spacing w:val="2"/>
          <w:sz w:val="18"/>
          <w:vertAlign w:val="baseline"/>
        </w:rPr>
        <w:t>是目前肿瘤医学分期的国际通用标准。</w:t>
      </w:r>
      <w:r>
        <w:rPr>
          <w:spacing w:val="3"/>
          <w:sz w:val="18"/>
          <w:vertAlign w:val="baseline"/>
        </w:rPr>
        <w:t>T</w:t>
      </w:r>
      <w:r>
        <w:rPr>
          <w:spacing w:val="1"/>
          <w:sz w:val="18"/>
          <w:vertAlign w:val="baseline"/>
        </w:rPr>
        <w:t>指原发肿瘤的大小、形态等；</w:t>
      </w:r>
      <w:r>
        <w:rPr>
          <w:spacing w:val="3"/>
          <w:sz w:val="18"/>
          <w:vertAlign w:val="baseline"/>
        </w:rPr>
        <w:t>N</w:t>
      </w:r>
      <w:r>
        <w:rPr>
          <w:spacing w:val="2"/>
          <w:sz w:val="18"/>
          <w:vertAlign w:val="baseline"/>
        </w:rPr>
        <w:t>指淋巴结的转移情况；</w:t>
      </w:r>
      <w:r>
        <w:rPr>
          <w:spacing w:val="3"/>
          <w:sz w:val="18"/>
          <w:vertAlign w:val="baseline"/>
        </w:rPr>
        <w:t>M</w:t>
      </w:r>
      <w:r>
        <w:rPr>
          <w:spacing w:val="1"/>
          <w:sz w:val="18"/>
          <w:vertAlign w:val="baseline"/>
        </w:rPr>
        <w:t>指有无其它脏器的转移</w:t>
      </w:r>
      <w:r>
        <w:rPr>
          <w:spacing w:val="2"/>
          <w:sz w:val="18"/>
          <w:vertAlign w:val="baseline"/>
        </w:rPr>
        <w:t>情况。甲状腺癌的</w:t>
      </w:r>
      <w:r>
        <w:rPr>
          <w:spacing w:val="1"/>
          <w:sz w:val="18"/>
          <w:vertAlign w:val="baseline"/>
        </w:rPr>
        <w:t>T</w:t>
      </w:r>
      <w:r>
        <w:rPr>
          <w:spacing w:val="-2"/>
          <w:sz w:val="18"/>
          <w:vertAlign w:val="baseline"/>
        </w:rPr>
        <w:t>N</w:t>
      </w:r>
      <w:r>
        <w:rPr>
          <w:spacing w:val="3"/>
          <w:sz w:val="18"/>
          <w:vertAlign w:val="baseline"/>
        </w:rPr>
        <w:t>M</w:t>
      </w:r>
      <w:r>
        <w:rPr>
          <w:spacing w:val="2"/>
          <w:sz w:val="18"/>
          <w:vertAlign w:val="baseline"/>
        </w:rPr>
        <w:t>分期采用目前现行的</w:t>
      </w:r>
      <w:r>
        <w:rPr>
          <w:spacing w:val="1"/>
          <w:sz w:val="18"/>
          <w:vertAlign w:val="baseline"/>
        </w:rPr>
        <w:t>A</w:t>
      </w:r>
      <w:r>
        <w:rPr>
          <w:spacing w:val="-2"/>
          <w:sz w:val="18"/>
          <w:vertAlign w:val="baseline"/>
        </w:rPr>
        <w:t>J</w:t>
      </w:r>
      <w:r>
        <w:rPr>
          <w:spacing w:val="1"/>
          <w:sz w:val="18"/>
          <w:vertAlign w:val="baseline"/>
        </w:rPr>
        <w:t>CC</w:t>
      </w:r>
      <w:r>
        <w:rPr>
          <w:spacing w:val="2"/>
          <w:sz w:val="18"/>
          <w:vertAlign w:val="baseline"/>
        </w:rPr>
        <w:t>第八版定义标准，我国国家卫生健康委员会</w:t>
      </w:r>
      <w:r>
        <w:rPr>
          <w:spacing w:val="1"/>
          <w:sz w:val="18"/>
          <w:vertAlign w:val="baseline"/>
        </w:rPr>
        <w:t>2</w:t>
      </w:r>
      <w:r>
        <w:rPr>
          <w:spacing w:val="-2"/>
          <w:sz w:val="18"/>
          <w:vertAlign w:val="baseline"/>
        </w:rPr>
        <w:t>0</w:t>
      </w:r>
      <w:r>
        <w:rPr>
          <w:spacing w:val="1"/>
          <w:sz w:val="18"/>
          <w:vertAlign w:val="baseline"/>
        </w:rPr>
        <w:t>18年发布的《甲状腺癌诊疗规范（2</w:t>
      </w:r>
      <w:r>
        <w:rPr>
          <w:spacing w:val="-2"/>
          <w:sz w:val="18"/>
          <w:vertAlign w:val="baseline"/>
        </w:rPr>
        <w:t>0</w:t>
      </w:r>
      <w:r>
        <w:rPr>
          <w:spacing w:val="1"/>
          <w:sz w:val="18"/>
          <w:vertAlign w:val="baseline"/>
        </w:rPr>
        <w:t>1</w:t>
      </w:r>
      <w:r>
        <w:rPr>
          <w:spacing w:val="-2"/>
          <w:sz w:val="18"/>
          <w:vertAlign w:val="baseline"/>
        </w:rPr>
        <w:t>8</w:t>
      </w:r>
      <w:r>
        <w:rPr>
          <w:sz w:val="18"/>
          <w:vertAlign w:val="baseline"/>
        </w:rPr>
        <w:t>年版）》也采用此定义标准，具体见附表。</w:t>
      </w:r>
    </w:p>
    <w:p>
      <w:pPr>
        <w:spacing w:after="0" w:line="242" w:lineRule="auto"/>
        <w:jc w:val="both"/>
        <w:rPr>
          <w:sz w:val="18"/>
        </w:rPr>
        <w:sectPr>
          <w:type w:val="continuous"/>
          <w:pgSz w:w="11910" w:h="16840"/>
          <w:pgMar w:header="484" w:footer="706" w:top="1240" w:bottom="900" w:left="980" w:right="980"/>
        </w:sectPr>
      </w:pPr>
    </w:p>
    <w:p>
      <w:pPr>
        <w:pStyle w:val="BodyText"/>
        <w:spacing w:before="7"/>
        <w:rPr>
          <w:sz w:val="14"/>
        </w:rPr>
      </w:pPr>
    </w:p>
    <w:p>
      <w:pPr>
        <w:pStyle w:val="ListParagraph"/>
        <w:numPr>
          <w:ilvl w:val="0"/>
          <w:numId w:val="24"/>
        </w:numPr>
        <w:tabs>
          <w:tab w:pos="2935" w:val="left" w:leader="none"/>
        </w:tabs>
        <w:spacing w:line="240" w:lineRule="auto" w:before="70" w:after="0"/>
        <w:ind w:left="2934" w:right="0" w:hanging="455"/>
        <w:jc w:val="left"/>
        <w:rPr>
          <w:sz w:val="22"/>
        </w:rPr>
      </w:pPr>
      <w:r>
        <w:rPr>
          <w:color w:val="000000"/>
          <w:spacing w:val="-3"/>
          <w:sz w:val="22"/>
          <w:shd w:fill="E4E4E4" w:color="auto" w:val="clear"/>
        </w:rPr>
        <w:t>黑色素瘤以外的未发生淋巴结和远处转移的皮肤恶性肿瘤；</w:t>
      </w:r>
    </w:p>
    <w:p>
      <w:pPr>
        <w:pStyle w:val="ListParagraph"/>
        <w:numPr>
          <w:ilvl w:val="0"/>
          <w:numId w:val="24"/>
        </w:numPr>
        <w:tabs>
          <w:tab w:pos="2935" w:val="left" w:leader="none"/>
        </w:tabs>
        <w:spacing w:line="240" w:lineRule="auto" w:before="100" w:after="0"/>
        <w:ind w:left="2934" w:right="0" w:hanging="455"/>
        <w:jc w:val="left"/>
        <w:rPr>
          <w:sz w:val="22"/>
        </w:rPr>
      </w:pPr>
      <w:r>
        <w:rPr>
          <w:color w:val="000000"/>
          <w:spacing w:val="-2"/>
          <w:sz w:val="22"/>
          <w:shd w:fill="E4E4E4" w:color="auto" w:val="clear"/>
        </w:rPr>
        <w:t>相当于Binet分期方案A</w:t>
      </w:r>
      <w:r>
        <w:rPr>
          <w:color w:val="000000"/>
          <w:spacing w:val="-3"/>
          <w:sz w:val="22"/>
          <w:shd w:fill="E4E4E4" w:color="auto" w:val="clear"/>
        </w:rPr>
        <w:t>期程度的慢性淋巴细胞白血病；</w:t>
      </w:r>
    </w:p>
    <w:p>
      <w:pPr>
        <w:pStyle w:val="ListParagraph"/>
        <w:numPr>
          <w:ilvl w:val="0"/>
          <w:numId w:val="24"/>
        </w:numPr>
        <w:tabs>
          <w:tab w:pos="2935" w:val="left" w:leader="none"/>
        </w:tabs>
        <w:spacing w:line="240" w:lineRule="auto" w:before="97" w:after="0"/>
        <w:ind w:left="2934" w:right="0" w:hanging="455"/>
        <w:jc w:val="left"/>
        <w:rPr>
          <w:sz w:val="22"/>
        </w:rPr>
      </w:pPr>
      <w:r>
        <w:rPr>
          <w:color w:val="000000"/>
          <w:spacing w:val="-2"/>
          <w:sz w:val="22"/>
          <w:shd w:fill="E4E4E4" w:color="auto" w:val="clear"/>
        </w:rPr>
        <w:t>相当于Ann</w:t>
      </w:r>
      <w:r>
        <w:rPr>
          <w:color w:val="000000"/>
          <w:spacing w:val="10"/>
          <w:sz w:val="22"/>
          <w:shd w:fill="E4E4E4" w:color="auto" w:val="clear"/>
        </w:rPr>
        <w:t> </w:t>
      </w:r>
      <w:r>
        <w:rPr>
          <w:color w:val="000000"/>
          <w:spacing w:val="-2"/>
          <w:sz w:val="22"/>
          <w:shd w:fill="E4E4E4" w:color="auto" w:val="clear"/>
        </w:rPr>
        <w:t>Arbor</w:t>
      </w:r>
      <w:r>
        <w:rPr>
          <w:color w:val="000000"/>
          <w:spacing w:val="-3"/>
          <w:sz w:val="22"/>
          <w:shd w:fill="E4E4E4" w:color="auto" w:val="clear"/>
        </w:rPr>
        <w:t>分期方案Ⅰ期程度的何杰金氏病；</w:t>
      </w:r>
    </w:p>
    <w:p>
      <w:pPr>
        <w:pStyle w:val="ListParagraph"/>
        <w:numPr>
          <w:ilvl w:val="0"/>
          <w:numId w:val="24"/>
        </w:numPr>
        <w:tabs>
          <w:tab w:pos="2935" w:val="left" w:leader="none"/>
        </w:tabs>
        <w:spacing w:line="324" w:lineRule="auto" w:before="98" w:after="0"/>
        <w:ind w:left="2934" w:right="150" w:hanging="454"/>
        <w:jc w:val="left"/>
        <w:rPr>
          <w:sz w:val="22"/>
        </w:rPr>
      </w:pPr>
      <w:r>
        <w:rPr>
          <w:color w:val="000000"/>
          <w:spacing w:val="-2"/>
          <w:sz w:val="22"/>
          <w:shd w:fill="E4E4E4" w:color="auto" w:val="clear"/>
        </w:rPr>
        <w:t>未发生淋巴结和远处转移且WHO分级为G1级别（核分裂像＜10/50HPF和</w:t>
      </w:r>
      <w:r>
        <w:rPr>
          <w:color w:val="000000"/>
          <w:spacing w:val="-2"/>
          <w:sz w:val="22"/>
        </w:rPr>
        <w:t> </w:t>
      </w:r>
      <w:r>
        <w:rPr>
          <w:color w:val="000000"/>
          <w:spacing w:val="-2"/>
          <w:sz w:val="22"/>
          <w:shd w:fill="E4E4E4" w:color="auto" w:val="clear"/>
        </w:rPr>
        <w:t>ki-67≤2%）或更轻分级的神经内分泌肿瘤。</w:t>
      </w:r>
    </w:p>
    <w:p>
      <w:pPr>
        <w:pStyle w:val="BodyText"/>
        <w:spacing w:before="7"/>
        <w:rPr>
          <w:sz w:val="21"/>
        </w:rPr>
      </w:pPr>
    </w:p>
    <w:p>
      <w:pPr>
        <w:spacing w:after="0"/>
        <w:rPr>
          <w:sz w:val="21"/>
        </w:rPr>
        <w:sectPr>
          <w:pgSz w:w="11910" w:h="16840"/>
          <w:pgMar w:header="484" w:footer="706" w:top="1240" w:bottom="900" w:left="980" w:right="980"/>
        </w:sectPr>
      </w:pPr>
    </w:p>
    <w:p>
      <w:pPr>
        <w:pStyle w:val="Heading2"/>
        <w:numPr>
          <w:ilvl w:val="1"/>
          <w:numId w:val="23"/>
        </w:numPr>
        <w:tabs>
          <w:tab w:pos="954" w:val="left" w:leader="none"/>
          <w:tab w:pos="955" w:val="left" w:leader="none"/>
        </w:tabs>
        <w:spacing w:line="261" w:lineRule="auto" w:before="72" w:after="0"/>
        <w:ind w:left="954" w:right="0" w:hanging="802"/>
        <w:jc w:val="left"/>
      </w:pPr>
      <w:r>
        <w:rPr>
          <w:spacing w:val="-2"/>
        </w:rPr>
        <w:t>较重急性心肌</w:t>
      </w:r>
      <w:r>
        <w:rPr>
          <w:spacing w:val="-6"/>
        </w:rPr>
        <w:t>梗死</w:t>
      </w:r>
    </w:p>
    <w:p>
      <w:pPr>
        <w:pStyle w:val="BodyText"/>
        <w:spacing w:line="324" w:lineRule="auto" w:before="103"/>
        <w:ind w:left="135" w:right="150"/>
        <w:jc w:val="both"/>
      </w:pPr>
      <w:r>
        <w:rPr/>
        <w:br w:type="column"/>
      </w:r>
      <w:r>
        <w:rPr>
          <w:spacing w:val="-1"/>
          <w:w w:val="100"/>
        </w:rPr>
        <w:t>急性心肌梗死指由于冠状动脉闭塞或梗阻引起部分心肌严重的持久性缺血造</w:t>
      </w:r>
      <w:r>
        <w:rPr>
          <w:spacing w:val="6"/>
          <w:w w:val="100"/>
        </w:rPr>
        <w:t>成急性心肌坏死。急性心肌梗死的诊断必须依据国际国内诊断标准，符合</w:t>
      </w:r>
      <w:r>
        <w:rPr>
          <w:w w:val="100"/>
        </w:rPr>
        <w:t> </w:t>
      </w:r>
      <w:r>
        <w:rPr>
          <w:spacing w:val="-1"/>
          <w:w w:val="100"/>
        </w:rPr>
        <w:t>(1)检测到肌酸激酶同工酶（CK-MB）或肌钙蛋白</w:t>
      </w:r>
      <w:r>
        <w:rPr>
          <w:spacing w:val="2"/>
          <w:w w:val="100"/>
        </w:rPr>
        <w:t>（</w:t>
      </w:r>
      <w:r>
        <w:rPr>
          <w:spacing w:val="-1"/>
          <w:w w:val="100"/>
        </w:rPr>
        <w:t>cTn）升高和/或降低的动</w:t>
      </w:r>
      <w:r>
        <w:rPr>
          <w:spacing w:val="2"/>
          <w:w w:val="100"/>
        </w:rPr>
        <w:t>态变化，至少一次达到或超过心肌梗死的临床诊断标准；</w:t>
      </w:r>
      <w:r>
        <w:rPr>
          <w:spacing w:val="-1"/>
          <w:w w:val="100"/>
        </w:rPr>
        <w:t>(2</w:t>
      </w:r>
      <w:r>
        <w:rPr>
          <w:spacing w:val="2"/>
          <w:w w:val="100"/>
        </w:rPr>
        <w:t>)同时存在下列</w:t>
      </w:r>
      <w:r>
        <w:rPr>
          <w:spacing w:val="-1"/>
          <w:w w:val="100"/>
        </w:rPr>
        <w:t>之一的证据，包括：缺血性胸痛症状、新发生的缺血性心电图改变、新生成</w:t>
      </w:r>
      <w:r>
        <w:rPr>
          <w:spacing w:val="3"/>
          <w:w w:val="100"/>
        </w:rPr>
        <w:t>的病理性</w:t>
      </w:r>
      <w:r>
        <w:rPr>
          <w:spacing w:val="4"/>
          <w:w w:val="100"/>
        </w:rPr>
        <w:t>Q</w:t>
      </w:r>
      <w:r>
        <w:rPr>
          <w:spacing w:val="1"/>
          <w:w w:val="100"/>
        </w:rPr>
        <w:t>波、影像学证据显示有新出现的心肌活性丧失或新出现局部室壁</w:t>
      </w:r>
      <w:r>
        <w:rPr>
          <w:spacing w:val="-3"/>
          <w:w w:val="100"/>
        </w:rPr>
        <w:t>运动异常、冠脉造影证实存在冠状动脉血栓。</w:t>
      </w:r>
    </w:p>
    <w:p>
      <w:pPr>
        <w:pStyle w:val="BodyText"/>
        <w:spacing w:line="324" w:lineRule="auto"/>
        <w:ind w:left="135" w:right="150"/>
      </w:pPr>
      <w:r>
        <w:rPr>
          <w:spacing w:val="-2"/>
        </w:rPr>
        <w:t>较重急性心肌梗死指依照上述标准被明确诊断为急性心肌梗死，并且必须同时满足下列至少一项条件：</w:t>
      </w:r>
    </w:p>
    <w:p>
      <w:pPr>
        <w:pStyle w:val="ListParagraph"/>
        <w:numPr>
          <w:ilvl w:val="0"/>
          <w:numId w:val="25"/>
        </w:numPr>
        <w:tabs>
          <w:tab w:pos="589" w:val="left" w:leader="none"/>
        </w:tabs>
        <w:spacing w:line="324" w:lineRule="auto" w:before="0" w:after="0"/>
        <w:ind w:left="588" w:right="152" w:hanging="454"/>
        <w:jc w:val="left"/>
        <w:rPr>
          <w:sz w:val="22"/>
        </w:rPr>
      </w:pPr>
      <w:r>
        <w:rPr>
          <w:spacing w:val="2"/>
          <w:w w:val="100"/>
          <w:sz w:val="22"/>
        </w:rPr>
        <w:t>心肌损伤标志物肌钙蛋白（</w:t>
      </w:r>
      <w:r>
        <w:rPr>
          <w:spacing w:val="-1"/>
          <w:w w:val="100"/>
          <w:sz w:val="22"/>
        </w:rPr>
        <w:t>cT</w:t>
      </w:r>
      <w:r>
        <w:rPr>
          <w:spacing w:val="4"/>
          <w:w w:val="100"/>
          <w:sz w:val="22"/>
        </w:rPr>
        <w:t>n）</w:t>
      </w:r>
      <w:r>
        <w:rPr>
          <w:spacing w:val="1"/>
          <w:w w:val="100"/>
          <w:sz w:val="22"/>
        </w:rPr>
        <w:t>升高，至少一次检测结果达到该检验</w:t>
      </w:r>
      <w:r>
        <w:rPr>
          <w:spacing w:val="-3"/>
          <w:w w:val="100"/>
          <w:sz w:val="22"/>
        </w:rPr>
        <w:t>正常参考值上限的</w:t>
      </w:r>
      <w:r>
        <w:rPr>
          <w:spacing w:val="-1"/>
          <w:w w:val="100"/>
          <w:sz w:val="22"/>
        </w:rPr>
        <w:t>1</w:t>
      </w:r>
      <w:r>
        <w:rPr>
          <w:spacing w:val="-3"/>
          <w:w w:val="100"/>
          <w:sz w:val="22"/>
        </w:rPr>
        <w:t>5</w:t>
      </w:r>
      <w:r>
        <w:rPr>
          <w:spacing w:val="-1"/>
          <w:w w:val="100"/>
          <w:sz w:val="22"/>
        </w:rPr>
        <w:t>倍</w:t>
      </w:r>
      <w:r>
        <w:rPr>
          <w:spacing w:val="-3"/>
          <w:w w:val="100"/>
          <w:sz w:val="22"/>
        </w:rPr>
        <w:t>（</w:t>
      </w:r>
      <w:r>
        <w:rPr>
          <w:spacing w:val="-1"/>
          <w:w w:val="100"/>
          <w:sz w:val="22"/>
        </w:rPr>
        <w:t>含）</w:t>
      </w:r>
      <w:r>
        <w:rPr>
          <w:spacing w:val="-2"/>
          <w:w w:val="100"/>
          <w:sz w:val="22"/>
        </w:rPr>
        <w:t>以上；</w:t>
      </w:r>
    </w:p>
    <w:p>
      <w:pPr>
        <w:pStyle w:val="ListParagraph"/>
        <w:numPr>
          <w:ilvl w:val="0"/>
          <w:numId w:val="25"/>
        </w:numPr>
        <w:tabs>
          <w:tab w:pos="589" w:val="left" w:leader="none"/>
        </w:tabs>
        <w:spacing w:line="324" w:lineRule="auto" w:before="0" w:after="0"/>
        <w:ind w:left="588" w:right="152" w:hanging="454"/>
        <w:jc w:val="left"/>
        <w:rPr>
          <w:sz w:val="22"/>
        </w:rPr>
      </w:pPr>
      <w:r>
        <w:rPr>
          <w:spacing w:val="3"/>
          <w:w w:val="100"/>
          <w:sz w:val="22"/>
        </w:rPr>
        <w:t>肌酸激酶同工酶</w:t>
      </w:r>
      <w:r>
        <w:rPr>
          <w:spacing w:val="4"/>
          <w:w w:val="100"/>
          <w:sz w:val="22"/>
        </w:rPr>
        <w:t>（</w:t>
      </w:r>
      <w:r>
        <w:rPr>
          <w:spacing w:val="-1"/>
          <w:w w:val="100"/>
          <w:sz w:val="22"/>
        </w:rPr>
        <w:t>CK-M</w:t>
      </w:r>
      <w:r>
        <w:rPr>
          <w:spacing w:val="2"/>
          <w:w w:val="100"/>
          <w:sz w:val="22"/>
        </w:rPr>
        <w:t>B</w:t>
      </w:r>
      <w:r>
        <w:rPr>
          <w:spacing w:val="4"/>
          <w:w w:val="100"/>
          <w:sz w:val="22"/>
        </w:rPr>
        <w:t>）</w:t>
      </w:r>
      <w:r>
        <w:rPr>
          <w:spacing w:val="1"/>
          <w:w w:val="100"/>
          <w:sz w:val="22"/>
        </w:rPr>
        <w:t>升高，至少一次检测结果达到该检验正常参</w:t>
      </w:r>
      <w:r>
        <w:rPr>
          <w:spacing w:val="-2"/>
          <w:w w:val="100"/>
          <w:sz w:val="22"/>
        </w:rPr>
        <w:t>考值上限的</w:t>
      </w:r>
      <w:r>
        <w:rPr>
          <w:spacing w:val="-3"/>
          <w:w w:val="100"/>
          <w:sz w:val="22"/>
        </w:rPr>
        <w:t>2</w:t>
      </w:r>
      <w:r>
        <w:rPr>
          <w:spacing w:val="-1"/>
          <w:w w:val="100"/>
          <w:sz w:val="22"/>
        </w:rPr>
        <w:t>倍</w:t>
      </w:r>
      <w:r>
        <w:rPr>
          <w:spacing w:val="-3"/>
          <w:w w:val="100"/>
          <w:sz w:val="22"/>
        </w:rPr>
        <w:t>（</w:t>
      </w:r>
      <w:r>
        <w:rPr>
          <w:spacing w:val="-1"/>
          <w:w w:val="100"/>
          <w:sz w:val="22"/>
        </w:rPr>
        <w:t>含）</w:t>
      </w:r>
      <w:r>
        <w:rPr>
          <w:spacing w:val="-2"/>
          <w:w w:val="100"/>
          <w:sz w:val="22"/>
        </w:rPr>
        <w:t>以上；</w:t>
      </w:r>
    </w:p>
    <w:p>
      <w:pPr>
        <w:pStyle w:val="ListParagraph"/>
        <w:numPr>
          <w:ilvl w:val="0"/>
          <w:numId w:val="25"/>
        </w:numPr>
        <w:tabs>
          <w:tab w:pos="589" w:val="left" w:leader="none"/>
        </w:tabs>
        <w:spacing w:line="282" w:lineRule="exact" w:before="0" w:after="0"/>
        <w:ind w:left="588" w:right="0" w:hanging="454"/>
        <w:jc w:val="left"/>
        <w:rPr>
          <w:sz w:val="22"/>
        </w:rPr>
      </w:pPr>
      <w:r>
        <w:rPr>
          <w:spacing w:val="17"/>
          <w:sz w:val="22"/>
        </w:rPr>
        <w:t>出现左心室收缩功能下降， 在确诊</w:t>
      </w:r>
      <w:r>
        <w:rPr>
          <w:sz w:val="22"/>
        </w:rPr>
        <w:t>6</w:t>
      </w:r>
      <w:r>
        <w:rPr>
          <w:spacing w:val="4"/>
          <w:sz w:val="22"/>
        </w:rPr>
        <w:t> 周以后， 检测左室射血分数</w:t>
      </w:r>
    </w:p>
    <w:p>
      <w:pPr>
        <w:pStyle w:val="BodyText"/>
        <w:spacing w:before="92"/>
        <w:ind w:left="588"/>
      </w:pPr>
      <w:r>
        <w:rPr>
          <w:spacing w:val="-2"/>
        </w:rPr>
        <w:t>（LVEF）低于50%（不含</w:t>
      </w:r>
      <w:r>
        <w:rPr>
          <w:spacing w:val="-5"/>
        </w:rPr>
        <w:t>）；</w:t>
      </w:r>
    </w:p>
    <w:p>
      <w:pPr>
        <w:pStyle w:val="ListParagraph"/>
        <w:numPr>
          <w:ilvl w:val="0"/>
          <w:numId w:val="25"/>
        </w:numPr>
        <w:tabs>
          <w:tab w:pos="589" w:val="left" w:leader="none"/>
        </w:tabs>
        <w:spacing w:line="324" w:lineRule="auto" w:before="97" w:after="0"/>
        <w:ind w:left="588" w:right="152" w:hanging="454"/>
        <w:jc w:val="left"/>
        <w:rPr>
          <w:sz w:val="22"/>
        </w:rPr>
      </w:pPr>
      <w:r>
        <w:rPr>
          <w:spacing w:val="-2"/>
          <w:sz w:val="22"/>
        </w:rPr>
        <w:t>影像学检查证实存在新发的乳头肌功能失调或断裂引起的中度（含）以上的二尖瓣反流；</w:t>
      </w:r>
    </w:p>
    <w:p>
      <w:pPr>
        <w:pStyle w:val="ListParagraph"/>
        <w:numPr>
          <w:ilvl w:val="0"/>
          <w:numId w:val="25"/>
        </w:numPr>
        <w:tabs>
          <w:tab w:pos="589" w:val="left" w:leader="none"/>
        </w:tabs>
        <w:spacing w:line="282" w:lineRule="exact" w:before="0" w:after="0"/>
        <w:ind w:left="588" w:right="0" w:hanging="454"/>
        <w:jc w:val="left"/>
        <w:rPr>
          <w:sz w:val="22"/>
        </w:rPr>
      </w:pPr>
      <w:r>
        <w:rPr>
          <w:spacing w:val="-3"/>
          <w:sz w:val="22"/>
        </w:rPr>
        <w:t>影像学检查证实存在新出现的室壁瘤；</w:t>
      </w:r>
    </w:p>
    <w:p>
      <w:pPr>
        <w:pStyle w:val="ListParagraph"/>
        <w:numPr>
          <w:ilvl w:val="0"/>
          <w:numId w:val="25"/>
        </w:numPr>
        <w:tabs>
          <w:tab w:pos="589" w:val="left" w:leader="none"/>
        </w:tabs>
        <w:spacing w:line="240" w:lineRule="auto" w:before="98" w:after="0"/>
        <w:ind w:left="588" w:right="0" w:hanging="454"/>
        <w:jc w:val="left"/>
        <w:rPr>
          <w:sz w:val="22"/>
        </w:rPr>
      </w:pPr>
      <w:r>
        <w:rPr>
          <w:spacing w:val="-3"/>
          <w:sz w:val="22"/>
        </w:rPr>
        <w:t>出现室性心动过速、心室颤动或心源性休克。</w:t>
      </w:r>
    </w:p>
    <w:p>
      <w:pPr>
        <w:pStyle w:val="BodyText"/>
        <w:spacing w:line="324" w:lineRule="auto" w:before="99"/>
        <w:ind w:left="135" w:right="150"/>
      </w:pPr>
      <w:r>
        <w:rPr>
          <w:color w:val="000000"/>
          <w:spacing w:val="8"/>
          <w:shd w:fill="E4E4E4" w:color="auto" w:val="clear"/>
        </w:rPr>
        <w:t>其他非冠状动脉阻塞性疾病所引起的肌钙蛋白</w:t>
      </w:r>
      <w:r>
        <w:rPr>
          <w:color w:val="000000"/>
          <w:shd w:fill="E4E4E4" w:color="auto" w:val="clear"/>
        </w:rPr>
        <w:t>（cTn）</w:t>
      </w:r>
      <w:r>
        <w:rPr>
          <w:color w:val="000000"/>
          <w:spacing w:val="7"/>
          <w:shd w:fill="E4E4E4" w:color="auto" w:val="clear"/>
        </w:rPr>
        <w:t>升高不在保障范围</w:t>
      </w:r>
      <w:r>
        <w:rPr>
          <w:color w:val="000000"/>
          <w:spacing w:val="-6"/>
          <w:shd w:fill="E4E4E4" w:color="auto" w:val="clear"/>
        </w:rPr>
        <w:t>内。</w:t>
      </w:r>
    </w:p>
    <w:p>
      <w:pPr>
        <w:spacing w:after="0" w:line="324" w:lineRule="auto"/>
        <w:sectPr>
          <w:type w:val="continuous"/>
          <w:pgSz w:w="11910" w:h="16840"/>
          <w:pgMar w:header="484" w:footer="706" w:top="1240" w:bottom="900" w:left="980" w:right="980"/>
          <w:cols w:num="2" w:equalWidth="0">
            <w:col w:w="2306" w:space="40"/>
            <w:col w:w="7604"/>
          </w:cols>
        </w:sectPr>
      </w:pPr>
    </w:p>
    <w:p>
      <w:pPr>
        <w:pStyle w:val="BodyText"/>
        <w:spacing w:before="5"/>
        <w:rPr>
          <w:sz w:val="21"/>
        </w:rPr>
      </w:pPr>
    </w:p>
    <w:p>
      <w:pPr>
        <w:spacing w:after="0"/>
        <w:rPr>
          <w:sz w:val="21"/>
        </w:rPr>
        <w:sectPr>
          <w:type w:val="continuous"/>
          <w:pgSz w:w="11910" w:h="16840"/>
          <w:pgMar w:header="484" w:footer="706" w:top="1240" w:bottom="900" w:left="980" w:right="980"/>
        </w:sectPr>
      </w:pPr>
    </w:p>
    <w:p>
      <w:pPr>
        <w:pStyle w:val="Heading2"/>
        <w:numPr>
          <w:ilvl w:val="1"/>
          <w:numId w:val="23"/>
        </w:numPr>
        <w:tabs>
          <w:tab w:pos="954" w:val="left" w:leader="none"/>
          <w:tab w:pos="955" w:val="left" w:leader="none"/>
        </w:tabs>
        <w:spacing w:line="261" w:lineRule="auto" w:before="75" w:after="0"/>
        <w:ind w:left="954" w:right="0" w:hanging="802"/>
        <w:jc w:val="left"/>
      </w:pPr>
      <w:r>
        <w:rPr>
          <w:spacing w:val="-2"/>
        </w:rPr>
        <w:t>严重脑中风后</w:t>
      </w:r>
      <w:r>
        <w:rPr>
          <w:spacing w:val="-6"/>
        </w:rPr>
        <w:t>遗症</w:t>
      </w:r>
    </w:p>
    <w:p>
      <w:pPr>
        <w:pStyle w:val="BodyText"/>
        <w:spacing w:before="105"/>
        <w:ind w:left="135"/>
      </w:pPr>
      <w:r>
        <w:rPr/>
        <w:br w:type="column"/>
      </w:r>
      <w:r>
        <w:rPr>
          <w:spacing w:val="-1"/>
        </w:rPr>
        <w:t>指因脑血管的突发病变引起脑血管出血、栓塞或梗塞，须由头颅断层扫描</w:t>
      </w:r>
    </w:p>
    <w:p>
      <w:pPr>
        <w:pStyle w:val="BodyText"/>
        <w:spacing w:line="324" w:lineRule="auto" w:before="97"/>
        <w:ind w:left="135" w:right="150"/>
        <w:jc w:val="both"/>
      </w:pPr>
      <w:r>
        <w:rPr>
          <w:spacing w:val="4"/>
          <w:w w:val="100"/>
        </w:rPr>
        <w:t>（</w:t>
      </w:r>
      <w:r>
        <w:rPr>
          <w:spacing w:val="-1"/>
          <w:w w:val="100"/>
        </w:rPr>
        <w:t>C</w:t>
      </w:r>
      <w:r>
        <w:rPr>
          <w:spacing w:val="4"/>
          <w:w w:val="100"/>
        </w:rPr>
        <w:t>T）</w:t>
      </w:r>
      <w:r>
        <w:rPr>
          <w:spacing w:val="3"/>
          <w:w w:val="100"/>
        </w:rPr>
        <w:t>、核磁共振检查</w:t>
      </w:r>
      <w:r>
        <w:rPr>
          <w:spacing w:val="2"/>
          <w:w w:val="100"/>
        </w:rPr>
        <w:t>（</w:t>
      </w:r>
      <w:r>
        <w:rPr>
          <w:spacing w:val="-1"/>
          <w:w w:val="100"/>
        </w:rPr>
        <w:t>MR</w:t>
      </w:r>
      <w:r>
        <w:rPr>
          <w:spacing w:val="4"/>
          <w:w w:val="100"/>
        </w:rPr>
        <w:t>I）</w:t>
      </w:r>
      <w:r>
        <w:rPr>
          <w:spacing w:val="1"/>
          <w:w w:val="100"/>
        </w:rPr>
        <w:t>等影像学检查证实，并导致神经系统永久性</w:t>
      </w:r>
      <w:r>
        <w:rPr>
          <w:spacing w:val="2"/>
          <w:w w:val="100"/>
        </w:rPr>
        <w:t>的功能障碍。神经系统永久性的功能障碍，指疾病确诊</w:t>
      </w:r>
      <w:r>
        <w:rPr>
          <w:spacing w:val="-1"/>
          <w:w w:val="100"/>
        </w:rPr>
        <w:t>18</w:t>
      </w:r>
      <w:r>
        <w:rPr>
          <w:spacing w:val="2"/>
          <w:w w:val="100"/>
        </w:rPr>
        <w:t>0天后，仍遗留下</w:t>
      </w:r>
      <w:r>
        <w:rPr>
          <w:spacing w:val="-3"/>
          <w:w w:val="100"/>
        </w:rPr>
        <w:t>列至少一种障碍：</w:t>
      </w:r>
    </w:p>
    <w:p>
      <w:pPr>
        <w:pStyle w:val="ListParagraph"/>
        <w:numPr>
          <w:ilvl w:val="0"/>
          <w:numId w:val="26"/>
        </w:numPr>
        <w:tabs>
          <w:tab w:pos="589" w:val="left" w:leader="none"/>
        </w:tabs>
        <w:spacing w:line="280" w:lineRule="exact" w:before="0" w:after="0"/>
        <w:ind w:left="588" w:right="0" w:hanging="454"/>
        <w:jc w:val="both"/>
        <w:rPr>
          <w:sz w:val="22"/>
        </w:rPr>
      </w:pPr>
      <w:r>
        <w:rPr>
          <w:spacing w:val="-2"/>
          <w:sz w:val="22"/>
        </w:rPr>
        <w:t>一肢（含）以上</w:t>
      </w:r>
      <w:r>
        <w:rPr>
          <w:b/>
          <w:spacing w:val="-2"/>
          <w:sz w:val="22"/>
        </w:rPr>
        <w:t>肢体</w:t>
      </w:r>
      <w:hyperlink w:history="true" w:anchor="_bookmark27">
        <w:r>
          <w:rPr>
            <w:rFonts w:ascii="PMingLiU-ExtB" w:eastAsia="PMingLiU-ExtB"/>
            <w:spacing w:val="-2"/>
            <w:position w:val="10"/>
            <w:sz w:val="10"/>
          </w:rPr>
          <w:t>28</w:t>
        </w:r>
      </w:hyperlink>
      <w:r>
        <w:rPr>
          <w:b/>
          <w:spacing w:val="-2"/>
          <w:sz w:val="22"/>
        </w:rPr>
        <w:t>肌力</w:t>
      </w:r>
      <w:hyperlink w:history="true" w:anchor="_bookmark28">
        <w:r>
          <w:rPr>
            <w:rFonts w:ascii="PMingLiU-ExtB" w:eastAsia="PMingLiU-ExtB"/>
            <w:spacing w:val="-2"/>
            <w:position w:val="10"/>
            <w:sz w:val="10"/>
          </w:rPr>
          <w:t>29</w:t>
        </w:r>
      </w:hyperlink>
      <w:r>
        <w:rPr>
          <w:spacing w:val="-2"/>
          <w:sz w:val="22"/>
        </w:rPr>
        <w:t>2级（含）</w:t>
      </w:r>
      <w:r>
        <w:rPr>
          <w:spacing w:val="-5"/>
          <w:sz w:val="22"/>
        </w:rPr>
        <w:t>以下；</w:t>
      </w:r>
    </w:p>
    <w:p>
      <w:pPr>
        <w:spacing w:after="0" w:line="280" w:lineRule="exact"/>
        <w:jc w:val="both"/>
        <w:rPr>
          <w:sz w:val="22"/>
        </w:rPr>
        <w:sectPr>
          <w:type w:val="continuous"/>
          <w:pgSz w:w="11910" w:h="16840"/>
          <w:pgMar w:header="484" w:footer="706" w:top="1240" w:bottom="900" w:left="980" w:right="980"/>
          <w:cols w:num="2" w:equalWidth="0">
            <w:col w:w="2306" w:space="40"/>
            <w:col w:w="7604"/>
          </w:cols>
        </w:sectPr>
      </w:pPr>
    </w:p>
    <w:p>
      <w:pPr>
        <w:pStyle w:val="BodyText"/>
        <w:spacing w:before="8"/>
        <w:rPr>
          <w:sz w:val="17"/>
        </w:rPr>
      </w:pPr>
    </w:p>
    <w:p>
      <w:pPr>
        <w:spacing w:before="85"/>
        <w:ind w:left="152" w:right="0" w:firstLine="0"/>
        <w:jc w:val="both"/>
        <w:rPr>
          <w:sz w:val="18"/>
        </w:rPr>
      </w:pPr>
      <w:r>
        <w:rPr>
          <w:rFonts w:ascii="Times New Roman" w:eastAsia="Times New Roman"/>
          <w:sz w:val="18"/>
          <w:vertAlign w:val="superscript"/>
        </w:rPr>
        <w:t>28</w:t>
      </w:r>
      <w:r>
        <w:rPr>
          <w:rFonts w:ascii="Times New Roman" w:eastAsia="Times New Roman"/>
          <w:spacing w:val="71"/>
          <w:sz w:val="18"/>
          <w:vertAlign w:val="baseline"/>
        </w:rPr>
        <w:t> </w:t>
      </w:r>
      <w:r>
        <w:rPr>
          <w:b/>
          <w:sz w:val="18"/>
          <w:vertAlign w:val="baseline"/>
        </w:rPr>
        <w:t>肢</w:t>
      </w:r>
      <w:r>
        <w:rPr>
          <w:b/>
          <w:sz w:val="18"/>
          <w:vertAlign w:val="baseline"/>
        </w:rPr>
        <w:t>体</w:t>
      </w:r>
      <w:r>
        <w:rPr>
          <w:spacing w:val="-1"/>
          <w:sz w:val="18"/>
          <w:vertAlign w:val="baseline"/>
        </w:rPr>
        <w:t>：肢体是指包括肩关节的整个上肢或包括髋关节的整个下肢。</w:t>
      </w:r>
    </w:p>
    <w:p>
      <w:pPr>
        <w:spacing w:line="242" w:lineRule="auto" w:before="2"/>
        <w:ind w:left="388" w:right="125" w:hanging="236"/>
        <w:jc w:val="both"/>
        <w:rPr>
          <w:sz w:val="18"/>
        </w:rPr>
      </w:pPr>
      <w:r>
        <w:rPr>
          <w:rFonts w:ascii="Times New Roman" w:eastAsia="Times New Roman"/>
          <w:sz w:val="18"/>
          <w:vertAlign w:val="superscript"/>
        </w:rPr>
        <w:t>29</w:t>
      </w:r>
      <w:r>
        <w:rPr>
          <w:rFonts w:ascii="Times New Roman" w:eastAsia="Times New Roman"/>
          <w:spacing w:val="53"/>
          <w:sz w:val="18"/>
          <w:vertAlign w:val="baseline"/>
        </w:rPr>
        <w:t> </w:t>
      </w:r>
      <w:r>
        <w:rPr>
          <w:b/>
          <w:sz w:val="18"/>
          <w:vertAlign w:val="baseline"/>
        </w:rPr>
        <w:t>肌</w:t>
      </w:r>
      <w:r>
        <w:rPr>
          <w:b/>
          <w:sz w:val="18"/>
          <w:vertAlign w:val="baseline"/>
        </w:rPr>
        <w:t>力</w:t>
      </w:r>
      <w:r>
        <w:rPr>
          <w:spacing w:val="-2"/>
          <w:sz w:val="18"/>
          <w:vertAlign w:val="baseline"/>
        </w:rPr>
        <w:t>：指肌肉收缩时的力量。肌力划分为 </w:t>
      </w:r>
      <w:r>
        <w:rPr>
          <w:rFonts w:ascii="Times New Roman" w:eastAsia="Times New Roman"/>
          <w:sz w:val="18"/>
          <w:vertAlign w:val="baseline"/>
        </w:rPr>
        <w:t>0-5</w:t>
      </w:r>
      <w:r>
        <w:rPr>
          <w:rFonts w:ascii="Times New Roman" w:eastAsia="Times New Roman"/>
          <w:spacing w:val="-11"/>
          <w:sz w:val="18"/>
          <w:vertAlign w:val="baseline"/>
        </w:rPr>
        <w:t> </w:t>
      </w:r>
      <w:r>
        <w:rPr>
          <w:sz w:val="18"/>
          <w:vertAlign w:val="baseline"/>
        </w:rPr>
        <w:t>级，具体为：</w:t>
      </w:r>
      <w:r>
        <w:rPr>
          <w:rFonts w:ascii="Times New Roman" w:eastAsia="Times New Roman"/>
          <w:sz w:val="18"/>
          <w:vertAlign w:val="baseline"/>
        </w:rPr>
        <w:t>0</w:t>
      </w:r>
      <w:r>
        <w:rPr>
          <w:rFonts w:ascii="Times New Roman" w:eastAsia="Times New Roman"/>
          <w:spacing w:val="-8"/>
          <w:sz w:val="18"/>
          <w:vertAlign w:val="baseline"/>
        </w:rPr>
        <w:t> </w:t>
      </w:r>
      <w:r>
        <w:rPr>
          <w:sz w:val="18"/>
          <w:vertAlign w:val="baseline"/>
        </w:rPr>
        <w:t>级：肌肉完全瘫痪，毫无收缩；</w:t>
      </w:r>
      <w:r>
        <w:rPr>
          <w:rFonts w:ascii="Times New Roman" w:eastAsia="Times New Roman"/>
          <w:sz w:val="18"/>
          <w:vertAlign w:val="baseline"/>
        </w:rPr>
        <w:t>1</w:t>
      </w:r>
      <w:r>
        <w:rPr>
          <w:rFonts w:ascii="Times New Roman" w:eastAsia="Times New Roman"/>
          <w:spacing w:val="-11"/>
          <w:sz w:val="18"/>
          <w:vertAlign w:val="baseline"/>
        </w:rPr>
        <w:t> </w:t>
      </w:r>
      <w:r>
        <w:rPr>
          <w:sz w:val="18"/>
          <w:vertAlign w:val="baseline"/>
        </w:rPr>
        <w:t>级：可看到或者触及肌肉</w:t>
      </w:r>
      <w:r>
        <w:rPr>
          <w:spacing w:val="-2"/>
          <w:sz w:val="18"/>
          <w:vertAlign w:val="baseline"/>
        </w:rPr>
        <w:t>轻微收缩，但不能产生动作；</w:t>
      </w:r>
      <w:r>
        <w:rPr>
          <w:rFonts w:ascii="Times New Roman" w:eastAsia="Times New Roman"/>
          <w:spacing w:val="-2"/>
          <w:sz w:val="18"/>
          <w:vertAlign w:val="baseline"/>
        </w:rPr>
        <w:t>2 </w:t>
      </w:r>
      <w:r>
        <w:rPr>
          <w:spacing w:val="-2"/>
          <w:sz w:val="18"/>
          <w:vertAlign w:val="baseline"/>
        </w:rPr>
        <w:t>级：肌肉在不受重力影响下，可进行运动，即肢体能在床面上移动，但不能抬高；</w:t>
      </w:r>
      <w:r>
        <w:rPr>
          <w:rFonts w:ascii="Times New Roman" w:eastAsia="Times New Roman"/>
          <w:spacing w:val="-2"/>
          <w:sz w:val="18"/>
          <w:vertAlign w:val="baseline"/>
        </w:rPr>
        <w:t>3 </w:t>
      </w:r>
      <w:r>
        <w:rPr>
          <w:spacing w:val="-2"/>
          <w:sz w:val="18"/>
          <w:vertAlign w:val="baseline"/>
        </w:rPr>
        <w:t>级：</w:t>
      </w:r>
      <w:r>
        <w:rPr>
          <w:spacing w:val="-2"/>
          <w:sz w:val="18"/>
          <w:vertAlign w:val="baseline"/>
        </w:rPr>
        <w:t>在和地心引力相反的方向中尚能完成其动作，但不能对抗外加阻力；</w:t>
      </w:r>
      <w:r>
        <w:rPr>
          <w:rFonts w:ascii="Times New Roman" w:eastAsia="Times New Roman"/>
          <w:spacing w:val="-2"/>
          <w:sz w:val="18"/>
          <w:vertAlign w:val="baseline"/>
        </w:rPr>
        <w:t>4 </w:t>
      </w:r>
      <w:r>
        <w:rPr>
          <w:spacing w:val="-2"/>
          <w:sz w:val="18"/>
          <w:vertAlign w:val="baseline"/>
        </w:rPr>
        <w:t>级：能对抗一定的阻力，但较正常人为低；</w:t>
      </w:r>
      <w:r>
        <w:rPr>
          <w:rFonts w:ascii="Times New Roman" w:eastAsia="Times New Roman"/>
          <w:spacing w:val="-2"/>
          <w:sz w:val="18"/>
          <w:vertAlign w:val="baseline"/>
        </w:rPr>
        <w:t>5 </w:t>
      </w:r>
      <w:r>
        <w:rPr>
          <w:spacing w:val="-2"/>
          <w:sz w:val="18"/>
          <w:vertAlign w:val="baseline"/>
        </w:rPr>
        <w:t>级：</w:t>
      </w:r>
      <w:r>
        <w:rPr>
          <w:spacing w:val="-2"/>
          <w:sz w:val="18"/>
          <w:vertAlign w:val="baseline"/>
        </w:rPr>
        <w:t>正常肌力。</w:t>
      </w:r>
    </w:p>
    <w:p>
      <w:pPr>
        <w:spacing w:after="0" w:line="242" w:lineRule="auto"/>
        <w:jc w:val="both"/>
        <w:rPr>
          <w:sz w:val="18"/>
        </w:rPr>
        <w:sectPr>
          <w:type w:val="continuous"/>
          <w:pgSz w:w="11910" w:h="16840"/>
          <w:pgMar w:header="484" w:footer="706" w:top="1240" w:bottom="900" w:left="980" w:right="980"/>
        </w:sectPr>
      </w:pPr>
    </w:p>
    <w:p>
      <w:pPr>
        <w:pStyle w:val="BodyText"/>
        <w:spacing w:before="7"/>
        <w:rPr>
          <w:sz w:val="14"/>
        </w:rPr>
      </w:pPr>
    </w:p>
    <w:p>
      <w:pPr>
        <w:pStyle w:val="Heading2"/>
        <w:numPr>
          <w:ilvl w:val="0"/>
          <w:numId w:val="26"/>
        </w:numPr>
        <w:tabs>
          <w:tab w:pos="2935" w:val="left" w:leader="none"/>
        </w:tabs>
        <w:spacing w:line="240" w:lineRule="auto" w:before="70" w:after="0"/>
        <w:ind w:left="2934" w:right="0" w:hanging="455"/>
        <w:jc w:val="left"/>
        <w:rPr>
          <w:rFonts w:ascii="宋体" w:eastAsia="宋体" w:hint="eastAsia"/>
          <w:b w:val="0"/>
        </w:rPr>
      </w:pPr>
      <w:r>
        <w:rPr>
          <w:rFonts w:ascii="宋体" w:eastAsia="宋体" w:hint="eastAsia"/>
          <w:spacing w:val="-2"/>
        </w:rPr>
        <w:t>语言能力完全丧失，或严重咀嚼吞咽功能障碍</w:t>
      </w:r>
      <w:hyperlink w:history="true" w:anchor="_bookmark29">
        <w:r>
          <w:rPr>
            <w:rFonts w:ascii="PMingLiU-ExtB" w:eastAsia="PMingLiU-ExtB"/>
            <w:b w:val="0"/>
            <w:spacing w:val="-5"/>
            <w:position w:val="10"/>
            <w:sz w:val="10"/>
          </w:rPr>
          <w:t>30</w:t>
        </w:r>
      </w:hyperlink>
      <w:r>
        <w:rPr>
          <w:rFonts w:ascii="宋体" w:eastAsia="宋体" w:hint="eastAsia"/>
          <w:b w:val="0"/>
          <w:spacing w:val="-5"/>
        </w:rPr>
        <w:t>；</w:t>
      </w:r>
    </w:p>
    <w:p>
      <w:pPr>
        <w:pStyle w:val="ListParagraph"/>
        <w:numPr>
          <w:ilvl w:val="0"/>
          <w:numId w:val="26"/>
        </w:numPr>
        <w:tabs>
          <w:tab w:pos="2935" w:val="left" w:leader="none"/>
        </w:tabs>
        <w:spacing w:line="324" w:lineRule="auto" w:before="100" w:after="0"/>
        <w:ind w:left="2934" w:right="152" w:hanging="454"/>
        <w:jc w:val="left"/>
        <w:rPr>
          <w:sz w:val="22"/>
        </w:rPr>
      </w:pPr>
      <w:r>
        <w:rPr>
          <w:spacing w:val="-2"/>
          <w:sz w:val="22"/>
        </w:rPr>
        <w:t>自主生活能力完全丧失，无法独立完成</w:t>
      </w:r>
      <w:r>
        <w:rPr>
          <w:b/>
          <w:spacing w:val="-2"/>
          <w:sz w:val="22"/>
        </w:rPr>
        <w:t>六项基本日常生活活动</w:t>
      </w:r>
      <w:hyperlink w:history="true" w:anchor="_bookmark30">
        <w:r>
          <w:rPr>
            <w:rFonts w:ascii="Times New Roman" w:eastAsia="Times New Roman"/>
            <w:spacing w:val="-2"/>
            <w:sz w:val="22"/>
            <w:vertAlign w:val="superscript"/>
          </w:rPr>
          <w:t>3</w:t>
        </w:r>
        <w:r>
          <w:rPr>
            <w:rFonts w:ascii="Times New Roman" w:eastAsia="Times New Roman"/>
            <w:spacing w:val="-2"/>
            <w:sz w:val="22"/>
            <w:vertAlign w:val="superscript"/>
          </w:rPr>
          <w:t>1</w:t>
        </w:r>
      </w:hyperlink>
      <w:r>
        <w:rPr>
          <w:spacing w:val="-2"/>
          <w:sz w:val="22"/>
          <w:vertAlign w:val="baseline"/>
        </w:rPr>
        <w:t>中的三</w:t>
      </w:r>
      <w:r>
        <w:rPr>
          <w:spacing w:val="-2"/>
          <w:sz w:val="22"/>
          <w:vertAlign w:val="baseline"/>
        </w:rPr>
        <w:t>项或三项以上。</w:t>
      </w:r>
    </w:p>
    <w:p>
      <w:pPr>
        <w:pStyle w:val="BodyText"/>
        <w:spacing w:before="2"/>
        <w:rPr>
          <w:sz w:val="29"/>
        </w:rPr>
      </w:pPr>
    </w:p>
    <w:tbl>
      <w:tblPr>
        <w:tblW w:w="0" w:type="auto"/>
        <w:jc w:val="left"/>
        <w:tblInd w:w="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3"/>
        <w:gridCol w:w="1603"/>
        <w:gridCol w:w="7464"/>
      </w:tblGrid>
      <w:tr>
        <w:trPr>
          <w:trHeight w:val="1114" w:hRule="atLeast"/>
        </w:trPr>
        <w:tc>
          <w:tcPr>
            <w:tcW w:w="673" w:type="dxa"/>
          </w:tcPr>
          <w:p>
            <w:pPr>
              <w:pStyle w:val="TableParagraph"/>
              <w:spacing w:before="5"/>
              <w:ind w:left="50"/>
              <w:rPr>
                <w:b/>
                <w:sz w:val="22"/>
              </w:rPr>
            </w:pPr>
            <w:r>
              <w:rPr>
                <w:b/>
                <w:spacing w:val="-4"/>
                <w:sz w:val="22"/>
              </w:rPr>
              <w:t>10.4</w:t>
            </w:r>
          </w:p>
        </w:tc>
        <w:tc>
          <w:tcPr>
            <w:tcW w:w="1603" w:type="dxa"/>
          </w:tcPr>
          <w:p>
            <w:pPr>
              <w:pStyle w:val="TableParagraph"/>
              <w:spacing w:line="322" w:lineRule="exact"/>
              <w:ind w:left="178"/>
              <w:rPr>
                <w:rFonts w:ascii="华文中宋" w:eastAsia="华文中宋" w:hint="eastAsia"/>
                <w:b/>
                <w:sz w:val="22"/>
              </w:rPr>
            </w:pPr>
            <w:r>
              <w:rPr>
                <w:rFonts w:ascii="华文中宋" w:eastAsia="华文中宋" w:hint="eastAsia"/>
                <w:b/>
                <w:spacing w:val="-4"/>
                <w:sz w:val="22"/>
              </w:rPr>
              <w:t>重大器官移植</w:t>
            </w:r>
          </w:p>
          <w:p>
            <w:pPr>
              <w:pStyle w:val="TableParagraph"/>
              <w:spacing w:line="380" w:lineRule="atLeast" w:before="1"/>
              <w:ind w:left="178" w:right="99"/>
              <w:rPr>
                <w:rFonts w:ascii="华文中宋" w:eastAsia="华文中宋" w:hint="eastAsia"/>
                <w:b/>
                <w:sz w:val="22"/>
              </w:rPr>
            </w:pPr>
            <w:r>
              <w:rPr>
                <w:rFonts w:ascii="华文中宋" w:eastAsia="华文中宋" w:hint="eastAsia"/>
                <w:b/>
                <w:spacing w:val="-2"/>
                <w:sz w:val="22"/>
              </w:rPr>
              <w:t>术或造血干细</w:t>
            </w:r>
            <w:r>
              <w:rPr>
                <w:rFonts w:ascii="华文中宋" w:eastAsia="华文中宋" w:hint="eastAsia"/>
                <w:b/>
                <w:spacing w:val="-4"/>
                <w:sz w:val="22"/>
              </w:rPr>
              <w:t>胞移植术</w:t>
            </w:r>
          </w:p>
        </w:tc>
        <w:tc>
          <w:tcPr>
            <w:tcW w:w="7464" w:type="dxa"/>
          </w:tcPr>
          <w:p>
            <w:pPr>
              <w:pStyle w:val="TableParagraph"/>
              <w:spacing w:line="324" w:lineRule="auto" w:before="5"/>
              <w:ind w:left="101" w:right="47"/>
              <w:rPr>
                <w:sz w:val="22"/>
              </w:rPr>
            </w:pPr>
            <w:r>
              <w:rPr>
                <w:spacing w:val="-2"/>
                <w:sz w:val="22"/>
              </w:rPr>
              <w:t>重大器官移植术，指因相应器官功能衰竭，已经实施了肾脏、肝脏、心脏、肺脏或小肠的异体移植手术。</w:t>
            </w:r>
          </w:p>
          <w:p>
            <w:pPr>
              <w:pStyle w:val="TableParagraph"/>
              <w:spacing w:line="279" w:lineRule="exact"/>
              <w:ind w:left="101"/>
              <w:rPr>
                <w:sz w:val="22"/>
              </w:rPr>
            </w:pPr>
            <w:r>
              <w:rPr>
                <w:spacing w:val="-1"/>
                <w:sz w:val="22"/>
              </w:rPr>
              <w:t>造血干细胞移植术，指因造血功能损害或造血系统恶性肿瘤，已经实施了造</w:t>
            </w:r>
          </w:p>
        </w:tc>
      </w:tr>
      <w:tr>
        <w:trPr>
          <w:trHeight w:val="360" w:hRule="atLeast"/>
        </w:trPr>
        <w:tc>
          <w:tcPr>
            <w:tcW w:w="673" w:type="dxa"/>
          </w:tcPr>
          <w:p>
            <w:pPr>
              <w:pStyle w:val="TableParagraph"/>
              <w:rPr>
                <w:rFonts w:ascii="Times New Roman"/>
                <w:sz w:val="20"/>
              </w:rPr>
            </w:pPr>
          </w:p>
        </w:tc>
        <w:tc>
          <w:tcPr>
            <w:tcW w:w="1603" w:type="dxa"/>
          </w:tcPr>
          <w:p>
            <w:pPr>
              <w:pStyle w:val="TableParagraph"/>
              <w:rPr>
                <w:rFonts w:ascii="Times New Roman"/>
                <w:sz w:val="20"/>
              </w:rPr>
            </w:pPr>
          </w:p>
        </w:tc>
        <w:tc>
          <w:tcPr>
            <w:tcW w:w="7464" w:type="dxa"/>
          </w:tcPr>
          <w:p>
            <w:pPr>
              <w:pStyle w:val="TableParagraph"/>
              <w:spacing w:before="30"/>
              <w:ind w:left="101"/>
              <w:rPr>
                <w:sz w:val="22"/>
              </w:rPr>
            </w:pPr>
            <w:r>
              <w:rPr>
                <w:sz w:val="22"/>
              </w:rPr>
              <w:t>血干细胞（包括骨髓造血干细胞、外周血造血干细胞和脐血造血干细胞）</w:t>
            </w:r>
            <w:r>
              <w:rPr>
                <w:spacing w:val="-10"/>
                <w:sz w:val="22"/>
              </w:rPr>
              <w:t>的</w:t>
            </w:r>
          </w:p>
        </w:tc>
      </w:tr>
      <w:tr>
        <w:trPr>
          <w:trHeight w:val="552" w:hRule="atLeast"/>
        </w:trPr>
        <w:tc>
          <w:tcPr>
            <w:tcW w:w="673" w:type="dxa"/>
          </w:tcPr>
          <w:p>
            <w:pPr>
              <w:pStyle w:val="TableParagraph"/>
              <w:rPr>
                <w:rFonts w:ascii="Times New Roman"/>
                <w:sz w:val="20"/>
              </w:rPr>
            </w:pPr>
          </w:p>
        </w:tc>
        <w:tc>
          <w:tcPr>
            <w:tcW w:w="1603" w:type="dxa"/>
          </w:tcPr>
          <w:p>
            <w:pPr>
              <w:pStyle w:val="TableParagraph"/>
              <w:rPr>
                <w:rFonts w:ascii="Times New Roman"/>
                <w:sz w:val="20"/>
              </w:rPr>
            </w:pPr>
          </w:p>
        </w:tc>
        <w:tc>
          <w:tcPr>
            <w:tcW w:w="7464" w:type="dxa"/>
          </w:tcPr>
          <w:p>
            <w:pPr>
              <w:pStyle w:val="TableParagraph"/>
              <w:spacing w:before="49"/>
              <w:ind w:left="101"/>
              <w:rPr>
                <w:sz w:val="22"/>
              </w:rPr>
            </w:pPr>
            <w:r>
              <w:rPr>
                <w:spacing w:val="-4"/>
                <w:sz w:val="22"/>
              </w:rPr>
              <w:t>移植手术。</w:t>
            </w:r>
          </w:p>
        </w:tc>
      </w:tr>
      <w:tr>
        <w:trPr>
          <w:trHeight w:val="1919" w:hRule="atLeast"/>
        </w:trPr>
        <w:tc>
          <w:tcPr>
            <w:tcW w:w="673" w:type="dxa"/>
          </w:tcPr>
          <w:p>
            <w:pPr>
              <w:pStyle w:val="TableParagraph"/>
              <w:spacing w:before="1"/>
              <w:rPr>
                <w:sz w:val="20"/>
              </w:rPr>
            </w:pPr>
          </w:p>
          <w:p>
            <w:pPr>
              <w:pStyle w:val="TableParagraph"/>
              <w:ind w:left="50"/>
              <w:rPr>
                <w:b/>
                <w:sz w:val="22"/>
              </w:rPr>
            </w:pPr>
            <w:r>
              <w:rPr>
                <w:b/>
                <w:spacing w:val="-4"/>
                <w:sz w:val="22"/>
              </w:rPr>
              <w:t>10.5</w:t>
            </w:r>
          </w:p>
        </w:tc>
        <w:tc>
          <w:tcPr>
            <w:tcW w:w="1603" w:type="dxa"/>
          </w:tcPr>
          <w:p>
            <w:pPr>
              <w:pStyle w:val="TableParagraph"/>
              <w:spacing w:line="261" w:lineRule="auto" w:before="224"/>
              <w:ind w:left="178" w:right="99"/>
              <w:jc w:val="both"/>
              <w:rPr>
                <w:rFonts w:ascii="华文中宋" w:eastAsia="华文中宋" w:hint="eastAsia"/>
                <w:b/>
                <w:sz w:val="22"/>
              </w:rPr>
            </w:pPr>
            <w:r>
              <w:rPr>
                <w:rFonts w:ascii="华文中宋" w:eastAsia="华文中宋" w:hint="eastAsia"/>
                <w:b/>
                <w:spacing w:val="-2"/>
                <w:sz w:val="22"/>
              </w:rPr>
              <w:t>冠状动脉搭桥</w:t>
            </w:r>
            <w:r>
              <w:rPr>
                <w:rFonts w:ascii="华文中宋" w:eastAsia="华文中宋" w:hint="eastAsia"/>
                <w:b/>
                <w:spacing w:val="-2"/>
                <w:sz w:val="22"/>
              </w:rPr>
              <w:t>术（或称冠状</w:t>
            </w:r>
            <w:r>
              <w:rPr>
                <w:rFonts w:ascii="华文中宋" w:eastAsia="华文中宋" w:hint="eastAsia"/>
                <w:b/>
                <w:spacing w:val="-2"/>
                <w:sz w:val="22"/>
              </w:rPr>
              <w:t>动脉旁路移植</w:t>
            </w:r>
            <w:r>
              <w:rPr>
                <w:rFonts w:ascii="华文中宋" w:eastAsia="华文中宋" w:hint="eastAsia"/>
                <w:b/>
                <w:spacing w:val="-6"/>
                <w:sz w:val="22"/>
              </w:rPr>
              <w:t>术）</w:t>
            </w:r>
          </w:p>
        </w:tc>
        <w:tc>
          <w:tcPr>
            <w:tcW w:w="7464" w:type="dxa"/>
          </w:tcPr>
          <w:p>
            <w:pPr>
              <w:pStyle w:val="TableParagraph"/>
              <w:spacing w:before="1"/>
              <w:rPr>
                <w:sz w:val="20"/>
              </w:rPr>
            </w:pPr>
          </w:p>
          <w:p>
            <w:pPr>
              <w:pStyle w:val="TableParagraph"/>
              <w:spacing w:line="324" w:lineRule="auto"/>
              <w:ind w:left="101" w:right="47"/>
              <w:rPr>
                <w:sz w:val="22"/>
              </w:rPr>
            </w:pPr>
            <w:r>
              <w:rPr>
                <w:spacing w:val="-2"/>
                <w:sz w:val="22"/>
              </w:rPr>
              <w:t>指为治疗严重的冠心病，已经实施了切开心包进行的冠状动脉血管旁路移植</w:t>
            </w:r>
            <w:r>
              <w:rPr>
                <w:spacing w:val="-4"/>
                <w:sz w:val="22"/>
              </w:rPr>
              <w:t>的手术。</w:t>
            </w:r>
          </w:p>
          <w:p>
            <w:pPr>
              <w:pStyle w:val="TableParagraph"/>
              <w:spacing w:line="279" w:lineRule="exact"/>
              <w:ind w:left="101"/>
              <w:rPr>
                <w:sz w:val="22"/>
              </w:rPr>
            </w:pPr>
            <w:r>
              <w:rPr>
                <w:color w:val="000000"/>
                <w:spacing w:val="-3"/>
                <w:sz w:val="22"/>
                <w:shd w:fill="E4E4E4" w:color="auto" w:val="clear"/>
              </w:rPr>
              <w:t>所有未切开心包的冠状动脉介入治疗不在保障范围内。</w:t>
            </w:r>
          </w:p>
        </w:tc>
      </w:tr>
      <w:tr>
        <w:trPr>
          <w:trHeight w:val="966" w:hRule="atLeast"/>
        </w:trPr>
        <w:tc>
          <w:tcPr>
            <w:tcW w:w="673" w:type="dxa"/>
          </w:tcPr>
          <w:p>
            <w:pPr>
              <w:pStyle w:val="TableParagraph"/>
              <w:spacing w:before="5"/>
              <w:rPr>
                <w:sz w:val="18"/>
              </w:rPr>
            </w:pPr>
          </w:p>
          <w:p>
            <w:pPr>
              <w:pStyle w:val="TableParagraph"/>
              <w:spacing w:before="1"/>
              <w:ind w:left="50"/>
              <w:rPr>
                <w:b/>
                <w:sz w:val="22"/>
              </w:rPr>
            </w:pPr>
            <w:r>
              <w:rPr>
                <w:b/>
                <w:spacing w:val="-4"/>
                <w:sz w:val="22"/>
              </w:rPr>
              <w:t>10.6</w:t>
            </w:r>
          </w:p>
        </w:tc>
        <w:tc>
          <w:tcPr>
            <w:tcW w:w="1603" w:type="dxa"/>
          </w:tcPr>
          <w:p>
            <w:pPr>
              <w:pStyle w:val="TableParagraph"/>
              <w:spacing w:line="380" w:lineRule="atLeast" w:before="175"/>
              <w:ind w:left="178" w:right="99"/>
              <w:rPr>
                <w:rFonts w:ascii="华文中宋" w:eastAsia="华文中宋" w:hint="eastAsia"/>
                <w:b/>
                <w:sz w:val="22"/>
              </w:rPr>
            </w:pPr>
            <w:r>
              <w:rPr>
                <w:rFonts w:ascii="华文中宋" w:eastAsia="华文中宋" w:hint="eastAsia"/>
                <w:b/>
                <w:spacing w:val="-2"/>
                <w:sz w:val="22"/>
              </w:rPr>
              <w:t>严重慢性肾衰</w:t>
            </w:r>
            <w:r>
              <w:rPr>
                <w:rFonts w:ascii="华文中宋" w:eastAsia="华文中宋" w:hint="eastAsia"/>
                <w:b/>
                <w:spacing w:val="-10"/>
                <w:sz w:val="22"/>
              </w:rPr>
              <w:t>竭</w:t>
            </w:r>
          </w:p>
        </w:tc>
        <w:tc>
          <w:tcPr>
            <w:tcW w:w="7464" w:type="dxa"/>
          </w:tcPr>
          <w:p>
            <w:pPr>
              <w:pStyle w:val="TableParagraph"/>
              <w:spacing w:line="380" w:lineRule="atLeast" w:before="138"/>
              <w:ind w:left="101" w:right="49"/>
              <w:rPr>
                <w:sz w:val="22"/>
              </w:rPr>
            </w:pPr>
            <w:r>
              <w:rPr>
                <w:spacing w:val="-2"/>
                <w:sz w:val="22"/>
              </w:rPr>
              <w:t>指双肾功能慢性不可逆性衰竭，依据肾脏病预后质量倡议（K/DOQI）制定的</w:t>
            </w:r>
            <w:r>
              <w:rPr>
                <w:sz w:val="22"/>
              </w:rPr>
              <w:t>指南，分期达到慢性肾脏病5期，且经诊断后已经进行了至少90</w:t>
            </w:r>
            <w:r>
              <w:rPr>
                <w:spacing w:val="-2"/>
                <w:sz w:val="22"/>
              </w:rPr>
              <w:t>天的规律性</w:t>
            </w:r>
          </w:p>
        </w:tc>
      </w:tr>
      <w:tr>
        <w:trPr>
          <w:trHeight w:val="534" w:hRule="atLeast"/>
        </w:trPr>
        <w:tc>
          <w:tcPr>
            <w:tcW w:w="673" w:type="dxa"/>
          </w:tcPr>
          <w:p>
            <w:pPr>
              <w:pStyle w:val="TableParagraph"/>
              <w:rPr>
                <w:rFonts w:ascii="Times New Roman"/>
                <w:sz w:val="20"/>
              </w:rPr>
            </w:pPr>
          </w:p>
        </w:tc>
        <w:tc>
          <w:tcPr>
            <w:tcW w:w="1603" w:type="dxa"/>
          </w:tcPr>
          <w:p>
            <w:pPr>
              <w:pStyle w:val="TableParagraph"/>
              <w:rPr>
                <w:rFonts w:ascii="Times New Roman"/>
                <w:sz w:val="20"/>
              </w:rPr>
            </w:pPr>
          </w:p>
        </w:tc>
        <w:tc>
          <w:tcPr>
            <w:tcW w:w="7464" w:type="dxa"/>
          </w:tcPr>
          <w:p>
            <w:pPr>
              <w:pStyle w:val="TableParagraph"/>
              <w:spacing w:before="30"/>
              <w:ind w:left="101"/>
              <w:rPr>
                <w:sz w:val="22"/>
              </w:rPr>
            </w:pPr>
            <w:r>
              <w:rPr>
                <w:spacing w:val="-3"/>
                <w:sz w:val="22"/>
              </w:rPr>
              <w:t>透析治疗。规律性透析是指每周进行血液透析或每天进行腹膜透析。</w:t>
            </w:r>
          </w:p>
        </w:tc>
      </w:tr>
      <w:tr>
        <w:trPr>
          <w:trHeight w:val="605" w:hRule="atLeast"/>
        </w:trPr>
        <w:tc>
          <w:tcPr>
            <w:tcW w:w="673" w:type="dxa"/>
          </w:tcPr>
          <w:p>
            <w:pPr>
              <w:pStyle w:val="TableParagraph"/>
              <w:spacing w:before="1"/>
              <w:rPr>
                <w:sz w:val="20"/>
              </w:rPr>
            </w:pPr>
          </w:p>
          <w:p>
            <w:pPr>
              <w:pStyle w:val="TableParagraph"/>
              <w:ind w:left="50"/>
              <w:rPr>
                <w:b/>
                <w:sz w:val="22"/>
              </w:rPr>
            </w:pPr>
            <w:r>
              <w:rPr>
                <w:b/>
                <w:spacing w:val="-4"/>
                <w:sz w:val="22"/>
              </w:rPr>
              <w:t>10.7</w:t>
            </w:r>
          </w:p>
        </w:tc>
        <w:tc>
          <w:tcPr>
            <w:tcW w:w="1603" w:type="dxa"/>
          </w:tcPr>
          <w:p>
            <w:pPr>
              <w:pStyle w:val="TableParagraph"/>
              <w:spacing w:before="224"/>
              <w:ind w:left="178"/>
              <w:rPr>
                <w:rFonts w:ascii="华文中宋" w:eastAsia="华文中宋" w:hint="eastAsia"/>
                <w:b/>
                <w:sz w:val="22"/>
              </w:rPr>
            </w:pPr>
            <w:r>
              <w:rPr>
                <w:rFonts w:ascii="华文中宋" w:eastAsia="华文中宋" w:hint="eastAsia"/>
                <w:b/>
                <w:spacing w:val="-4"/>
                <w:sz w:val="22"/>
              </w:rPr>
              <w:t>多个肢体缺失</w:t>
            </w:r>
          </w:p>
        </w:tc>
        <w:tc>
          <w:tcPr>
            <w:tcW w:w="7464" w:type="dxa"/>
          </w:tcPr>
          <w:p>
            <w:pPr>
              <w:pStyle w:val="TableParagraph"/>
              <w:spacing w:before="1"/>
              <w:rPr>
                <w:sz w:val="20"/>
              </w:rPr>
            </w:pPr>
          </w:p>
          <w:p>
            <w:pPr>
              <w:pStyle w:val="TableParagraph"/>
              <w:ind w:left="101"/>
              <w:rPr>
                <w:sz w:val="22"/>
              </w:rPr>
            </w:pPr>
            <w:r>
              <w:rPr>
                <w:sz w:val="22"/>
              </w:rPr>
              <w:t>指因疾病或意外伤害导致两个或两个以上肢体自腕关节或踝关节近端（</w:t>
            </w:r>
            <w:r>
              <w:rPr>
                <w:spacing w:val="-5"/>
                <w:sz w:val="22"/>
              </w:rPr>
              <w:t>靠近</w:t>
            </w:r>
          </w:p>
        </w:tc>
      </w:tr>
      <w:tr>
        <w:trPr>
          <w:trHeight w:val="534" w:hRule="atLeast"/>
        </w:trPr>
        <w:tc>
          <w:tcPr>
            <w:tcW w:w="673" w:type="dxa"/>
          </w:tcPr>
          <w:p>
            <w:pPr>
              <w:pStyle w:val="TableParagraph"/>
              <w:rPr>
                <w:rFonts w:ascii="Times New Roman"/>
                <w:sz w:val="20"/>
              </w:rPr>
            </w:pPr>
          </w:p>
        </w:tc>
        <w:tc>
          <w:tcPr>
            <w:tcW w:w="1603" w:type="dxa"/>
          </w:tcPr>
          <w:p>
            <w:pPr>
              <w:pStyle w:val="TableParagraph"/>
              <w:rPr>
                <w:rFonts w:ascii="Times New Roman"/>
                <w:sz w:val="20"/>
              </w:rPr>
            </w:pPr>
          </w:p>
        </w:tc>
        <w:tc>
          <w:tcPr>
            <w:tcW w:w="7464" w:type="dxa"/>
          </w:tcPr>
          <w:p>
            <w:pPr>
              <w:pStyle w:val="TableParagraph"/>
              <w:spacing w:before="30"/>
              <w:ind w:left="101"/>
              <w:rPr>
                <w:sz w:val="22"/>
              </w:rPr>
            </w:pPr>
            <w:r>
              <w:rPr>
                <w:spacing w:val="-2"/>
                <w:sz w:val="22"/>
              </w:rPr>
              <w:t>躯干端）</w:t>
            </w:r>
            <w:r>
              <w:rPr>
                <w:spacing w:val="-4"/>
                <w:sz w:val="22"/>
              </w:rPr>
              <w:t>以上完全性断离。</w:t>
            </w:r>
          </w:p>
        </w:tc>
      </w:tr>
      <w:tr>
        <w:trPr>
          <w:trHeight w:val="1366" w:hRule="atLeast"/>
        </w:trPr>
        <w:tc>
          <w:tcPr>
            <w:tcW w:w="673" w:type="dxa"/>
          </w:tcPr>
          <w:p>
            <w:pPr>
              <w:pStyle w:val="TableParagraph"/>
              <w:spacing w:before="1"/>
              <w:rPr>
                <w:sz w:val="20"/>
              </w:rPr>
            </w:pPr>
          </w:p>
          <w:p>
            <w:pPr>
              <w:pStyle w:val="TableParagraph"/>
              <w:ind w:left="50"/>
              <w:rPr>
                <w:b/>
                <w:sz w:val="22"/>
              </w:rPr>
            </w:pPr>
            <w:r>
              <w:rPr>
                <w:b/>
                <w:spacing w:val="-4"/>
                <w:sz w:val="22"/>
              </w:rPr>
              <w:t>10.8</w:t>
            </w:r>
          </w:p>
        </w:tc>
        <w:tc>
          <w:tcPr>
            <w:tcW w:w="1603" w:type="dxa"/>
          </w:tcPr>
          <w:p>
            <w:pPr>
              <w:pStyle w:val="TableParagraph"/>
              <w:spacing w:before="224"/>
              <w:ind w:left="178"/>
              <w:rPr>
                <w:rFonts w:ascii="华文中宋" w:eastAsia="华文中宋" w:hint="eastAsia"/>
                <w:b/>
                <w:sz w:val="22"/>
              </w:rPr>
            </w:pPr>
            <w:r>
              <w:rPr>
                <w:rFonts w:ascii="华文中宋" w:eastAsia="华文中宋" w:hint="eastAsia"/>
                <w:b/>
                <w:spacing w:val="-4"/>
                <w:sz w:val="22"/>
              </w:rPr>
              <w:t>急性重症肝炎</w:t>
            </w:r>
          </w:p>
          <w:p>
            <w:pPr>
              <w:pStyle w:val="TableParagraph"/>
              <w:spacing w:line="380" w:lineRule="atLeast" w:before="2"/>
              <w:ind w:left="178" w:right="99"/>
              <w:rPr>
                <w:rFonts w:ascii="华文中宋" w:eastAsia="华文中宋" w:hint="eastAsia"/>
                <w:b/>
                <w:sz w:val="22"/>
              </w:rPr>
            </w:pPr>
            <w:r>
              <w:rPr>
                <w:rFonts w:ascii="华文中宋" w:eastAsia="华文中宋" w:hint="eastAsia"/>
                <w:b/>
                <w:spacing w:val="-2"/>
                <w:sz w:val="22"/>
              </w:rPr>
              <w:t>或亚急性重症</w:t>
            </w:r>
            <w:r>
              <w:rPr>
                <w:rFonts w:ascii="华文中宋" w:eastAsia="华文中宋" w:hint="eastAsia"/>
                <w:b/>
                <w:spacing w:val="-6"/>
                <w:sz w:val="22"/>
              </w:rPr>
              <w:t>肝炎</w:t>
            </w:r>
          </w:p>
        </w:tc>
        <w:tc>
          <w:tcPr>
            <w:tcW w:w="7464" w:type="dxa"/>
          </w:tcPr>
          <w:p>
            <w:pPr>
              <w:pStyle w:val="TableParagraph"/>
              <w:spacing w:before="1"/>
              <w:rPr>
                <w:sz w:val="20"/>
              </w:rPr>
            </w:pPr>
          </w:p>
          <w:p>
            <w:pPr>
              <w:pStyle w:val="TableParagraph"/>
              <w:spacing w:line="324" w:lineRule="auto"/>
              <w:ind w:left="101" w:right="47"/>
              <w:rPr>
                <w:sz w:val="22"/>
              </w:rPr>
            </w:pPr>
            <w:r>
              <w:rPr>
                <w:spacing w:val="-2"/>
                <w:sz w:val="22"/>
              </w:rPr>
              <w:t>指因肝炎病毒感染引起肝脏组织弥漫性坏死，导致急性肝功能衰竭，且经血清学或病毒学检查证实，</w:t>
            </w:r>
            <w:r>
              <w:rPr>
                <w:color w:val="000000"/>
                <w:spacing w:val="-2"/>
                <w:sz w:val="22"/>
                <w:shd w:fill="E4E4E4" w:color="auto" w:val="clear"/>
              </w:rPr>
              <w:t>并须满足下列全部条件：</w:t>
            </w:r>
          </w:p>
          <w:p>
            <w:pPr>
              <w:pStyle w:val="TableParagraph"/>
              <w:spacing w:line="279" w:lineRule="exact"/>
              <w:ind w:left="101"/>
              <w:rPr>
                <w:sz w:val="22"/>
              </w:rPr>
            </w:pPr>
            <w:r>
              <w:rPr>
                <w:sz w:val="22"/>
              </w:rPr>
              <w:t>(1</w:t>
            </w:r>
            <w:r>
              <w:rPr>
                <w:spacing w:val="-4"/>
                <w:sz w:val="22"/>
              </w:rPr>
              <w:t>) 重度黄疸或黄疸迅速加重；</w:t>
            </w:r>
          </w:p>
        </w:tc>
      </w:tr>
      <w:tr>
        <w:trPr>
          <w:trHeight w:val="360" w:hRule="atLeast"/>
        </w:trPr>
        <w:tc>
          <w:tcPr>
            <w:tcW w:w="673" w:type="dxa"/>
          </w:tcPr>
          <w:p>
            <w:pPr>
              <w:pStyle w:val="TableParagraph"/>
              <w:rPr>
                <w:rFonts w:ascii="Times New Roman"/>
                <w:sz w:val="20"/>
              </w:rPr>
            </w:pPr>
          </w:p>
        </w:tc>
        <w:tc>
          <w:tcPr>
            <w:tcW w:w="1603" w:type="dxa"/>
          </w:tcPr>
          <w:p>
            <w:pPr>
              <w:pStyle w:val="TableParagraph"/>
              <w:rPr>
                <w:rFonts w:ascii="Times New Roman"/>
                <w:sz w:val="20"/>
              </w:rPr>
            </w:pPr>
          </w:p>
        </w:tc>
        <w:tc>
          <w:tcPr>
            <w:tcW w:w="7464" w:type="dxa"/>
          </w:tcPr>
          <w:p>
            <w:pPr>
              <w:pStyle w:val="TableParagraph"/>
              <w:spacing w:before="30"/>
              <w:ind w:left="101"/>
              <w:rPr>
                <w:sz w:val="22"/>
              </w:rPr>
            </w:pPr>
            <w:r>
              <w:rPr>
                <w:sz w:val="22"/>
              </w:rPr>
              <w:t>(2</w:t>
            </w:r>
            <w:r>
              <w:rPr>
                <w:spacing w:val="-2"/>
                <w:sz w:val="22"/>
              </w:rPr>
              <w:t>) 肝性脑病；</w:t>
            </w:r>
          </w:p>
        </w:tc>
      </w:tr>
      <w:tr>
        <w:trPr>
          <w:trHeight w:val="379" w:hRule="atLeast"/>
        </w:trPr>
        <w:tc>
          <w:tcPr>
            <w:tcW w:w="673" w:type="dxa"/>
          </w:tcPr>
          <w:p>
            <w:pPr>
              <w:pStyle w:val="TableParagraph"/>
              <w:rPr>
                <w:rFonts w:ascii="Times New Roman"/>
                <w:sz w:val="20"/>
              </w:rPr>
            </w:pPr>
          </w:p>
        </w:tc>
        <w:tc>
          <w:tcPr>
            <w:tcW w:w="1603" w:type="dxa"/>
          </w:tcPr>
          <w:p>
            <w:pPr>
              <w:pStyle w:val="TableParagraph"/>
              <w:rPr>
                <w:rFonts w:ascii="Times New Roman"/>
                <w:sz w:val="20"/>
              </w:rPr>
            </w:pPr>
          </w:p>
        </w:tc>
        <w:tc>
          <w:tcPr>
            <w:tcW w:w="7464" w:type="dxa"/>
          </w:tcPr>
          <w:p>
            <w:pPr>
              <w:pStyle w:val="TableParagraph"/>
              <w:spacing w:before="49"/>
              <w:ind w:left="101"/>
              <w:rPr>
                <w:sz w:val="22"/>
              </w:rPr>
            </w:pPr>
            <w:r>
              <w:rPr>
                <w:sz w:val="22"/>
              </w:rPr>
              <w:t>(3</w:t>
            </w:r>
            <w:r>
              <w:rPr>
                <w:spacing w:val="-12"/>
                <w:sz w:val="22"/>
              </w:rPr>
              <w:t>) </w:t>
            </w:r>
            <w:r>
              <w:rPr>
                <w:sz w:val="22"/>
              </w:rPr>
              <w:t>B</w:t>
            </w:r>
            <w:r>
              <w:rPr>
                <w:spacing w:val="-1"/>
                <w:sz w:val="22"/>
              </w:rPr>
              <w:t>超或其他影像学检查显示肝脏体积急速萎缩；</w:t>
            </w:r>
          </w:p>
        </w:tc>
      </w:tr>
      <w:tr>
        <w:trPr>
          <w:trHeight w:val="300" w:hRule="atLeast"/>
        </w:trPr>
        <w:tc>
          <w:tcPr>
            <w:tcW w:w="673" w:type="dxa"/>
          </w:tcPr>
          <w:p>
            <w:pPr>
              <w:pStyle w:val="TableParagraph"/>
              <w:rPr>
                <w:rFonts w:ascii="Times New Roman"/>
                <w:sz w:val="20"/>
              </w:rPr>
            </w:pPr>
          </w:p>
        </w:tc>
        <w:tc>
          <w:tcPr>
            <w:tcW w:w="1603" w:type="dxa"/>
          </w:tcPr>
          <w:p>
            <w:pPr>
              <w:pStyle w:val="TableParagraph"/>
              <w:rPr>
                <w:rFonts w:ascii="Times New Roman"/>
                <w:sz w:val="20"/>
              </w:rPr>
            </w:pPr>
          </w:p>
        </w:tc>
        <w:tc>
          <w:tcPr>
            <w:tcW w:w="7464" w:type="dxa"/>
          </w:tcPr>
          <w:p>
            <w:pPr>
              <w:pStyle w:val="TableParagraph"/>
              <w:spacing w:line="231" w:lineRule="exact" w:before="49"/>
              <w:ind w:left="101"/>
              <w:rPr>
                <w:sz w:val="22"/>
              </w:rPr>
            </w:pPr>
            <w:r>
              <w:rPr>
                <w:sz w:val="22"/>
              </w:rPr>
              <w:t>(4</w:t>
            </w:r>
            <w:r>
              <w:rPr>
                <w:spacing w:val="-3"/>
                <w:sz w:val="22"/>
              </w:rPr>
              <w:t>) 肝功能指标进行性恶化。</w:t>
            </w:r>
          </w:p>
        </w:tc>
      </w:tr>
    </w:tbl>
    <w:p>
      <w:pPr>
        <w:pStyle w:val="BodyText"/>
        <w:rPr>
          <w:sz w:val="20"/>
        </w:rPr>
      </w:pPr>
    </w:p>
    <w:p>
      <w:pPr>
        <w:pStyle w:val="BodyText"/>
        <w:rPr>
          <w:sz w:val="20"/>
        </w:rPr>
      </w:pPr>
    </w:p>
    <w:p>
      <w:pPr>
        <w:pStyle w:val="BodyText"/>
        <w:spacing w:before="2"/>
        <w:rPr>
          <w:sz w:val="16"/>
        </w:rPr>
      </w:pPr>
    </w:p>
    <w:p>
      <w:pPr>
        <w:spacing w:line="242" w:lineRule="auto" w:before="85"/>
        <w:ind w:left="388" w:right="181" w:hanging="236"/>
        <w:jc w:val="both"/>
        <w:rPr>
          <w:sz w:val="18"/>
        </w:rPr>
      </w:pPr>
      <w:r>
        <w:rPr>
          <w:rFonts w:ascii="Times New Roman" w:eastAsia="Times New Roman"/>
          <w:sz w:val="18"/>
          <w:vertAlign w:val="superscript"/>
        </w:rPr>
        <w:t>30</w:t>
      </w:r>
      <w:r>
        <w:rPr>
          <w:rFonts w:ascii="Times New Roman" w:eastAsia="Times New Roman"/>
          <w:sz w:val="18"/>
          <w:vertAlign w:val="baseline"/>
        </w:rPr>
        <w:t> </w:t>
      </w:r>
      <w:r>
        <w:rPr>
          <w:b/>
          <w:sz w:val="18"/>
          <w:vertAlign w:val="baseline"/>
        </w:rPr>
        <w:t>语言</w:t>
      </w:r>
      <w:r>
        <w:rPr>
          <w:b/>
          <w:sz w:val="18"/>
          <w:vertAlign w:val="baseline"/>
        </w:rPr>
        <w:t>能</w:t>
      </w:r>
      <w:r>
        <w:rPr>
          <w:b/>
          <w:sz w:val="18"/>
          <w:vertAlign w:val="baseline"/>
        </w:rPr>
        <w:t>力</w:t>
      </w:r>
      <w:r>
        <w:rPr>
          <w:b/>
          <w:sz w:val="18"/>
          <w:vertAlign w:val="baseline"/>
        </w:rPr>
        <w:t>完</w:t>
      </w:r>
      <w:r>
        <w:rPr>
          <w:b/>
          <w:sz w:val="18"/>
          <w:vertAlign w:val="baseline"/>
        </w:rPr>
        <w:t>全</w:t>
      </w:r>
      <w:r>
        <w:rPr>
          <w:b/>
          <w:sz w:val="18"/>
          <w:vertAlign w:val="baseline"/>
        </w:rPr>
        <w:t>丧</w:t>
      </w:r>
      <w:r>
        <w:rPr>
          <w:b/>
          <w:sz w:val="18"/>
          <w:vertAlign w:val="baseline"/>
        </w:rPr>
        <w:t>失</w:t>
      </w:r>
      <w:r>
        <w:rPr>
          <w:b/>
          <w:sz w:val="18"/>
          <w:vertAlign w:val="baseline"/>
        </w:rPr>
        <w:t>，</w:t>
      </w:r>
      <w:r>
        <w:rPr>
          <w:b/>
          <w:sz w:val="18"/>
          <w:vertAlign w:val="baseline"/>
        </w:rPr>
        <w:t>或</w:t>
      </w:r>
      <w:r>
        <w:rPr>
          <w:b/>
          <w:sz w:val="18"/>
          <w:vertAlign w:val="baseline"/>
        </w:rPr>
        <w:t>严</w:t>
      </w:r>
      <w:r>
        <w:rPr>
          <w:b/>
          <w:sz w:val="18"/>
          <w:vertAlign w:val="baseline"/>
        </w:rPr>
        <w:t>重</w:t>
      </w:r>
      <w:r>
        <w:rPr>
          <w:b/>
          <w:sz w:val="18"/>
          <w:vertAlign w:val="baseline"/>
        </w:rPr>
        <w:t>咀</w:t>
      </w:r>
      <w:r>
        <w:rPr>
          <w:b/>
          <w:sz w:val="18"/>
          <w:vertAlign w:val="baseline"/>
        </w:rPr>
        <w:t>嚼</w:t>
      </w:r>
      <w:r>
        <w:rPr>
          <w:b/>
          <w:sz w:val="18"/>
          <w:vertAlign w:val="baseline"/>
        </w:rPr>
        <w:t>吞</w:t>
      </w:r>
      <w:r>
        <w:rPr>
          <w:b/>
          <w:sz w:val="18"/>
          <w:vertAlign w:val="baseline"/>
        </w:rPr>
        <w:t>咽</w:t>
      </w:r>
      <w:r>
        <w:rPr>
          <w:b/>
          <w:sz w:val="18"/>
          <w:vertAlign w:val="baseline"/>
        </w:rPr>
        <w:t>功</w:t>
      </w:r>
      <w:r>
        <w:rPr>
          <w:b/>
          <w:sz w:val="18"/>
          <w:vertAlign w:val="baseline"/>
        </w:rPr>
        <w:t>能</w:t>
      </w:r>
      <w:r>
        <w:rPr>
          <w:b/>
          <w:sz w:val="18"/>
          <w:vertAlign w:val="baseline"/>
        </w:rPr>
        <w:t>障碍</w:t>
      </w:r>
      <w:r>
        <w:rPr>
          <w:sz w:val="18"/>
          <w:vertAlign w:val="baseline"/>
        </w:rPr>
        <w:t>：语言能力完全丧失，指无法发出四种语音（包括口唇音、齿舌音、口盖</w:t>
      </w:r>
      <w:r>
        <w:rPr>
          <w:spacing w:val="-2"/>
          <w:sz w:val="18"/>
          <w:vertAlign w:val="baseline"/>
        </w:rPr>
        <w:t>音和喉头音）中的任何三种、或声带全部切除，或因大脑语言中枢受伤害而患失语症；严重咀嚼吞咽功能障碍，指因牙</w:t>
      </w:r>
      <w:r>
        <w:rPr>
          <w:spacing w:val="-2"/>
          <w:sz w:val="18"/>
          <w:vertAlign w:val="baseline"/>
        </w:rPr>
        <w:t>齿以外的原因导致器质障碍或机能障碍，以致不能作咀嚼吞咽运动，除流质食物外不能摄取或吞咽的状态。</w:t>
      </w:r>
    </w:p>
    <w:p>
      <w:pPr>
        <w:spacing w:before="3"/>
        <w:ind w:left="152" w:right="0" w:firstLine="0"/>
        <w:jc w:val="left"/>
        <w:rPr>
          <w:sz w:val="18"/>
        </w:rPr>
      </w:pPr>
      <w:r>
        <w:rPr>
          <w:rFonts w:ascii="Times New Roman" w:eastAsia="Times New Roman"/>
          <w:position w:val="8"/>
          <w:sz w:val="15"/>
        </w:rPr>
        <w:t>3</w:t>
      </w:r>
      <w:bookmarkStart w:name="_bookmark30" w:id="2"/>
      <w:bookmarkEnd w:id="2"/>
      <w:r>
        <w:rPr>
          <w:rFonts w:ascii="Times New Roman" w:eastAsia="Times New Roman"/>
          <w:position w:val="8"/>
          <w:sz w:val="15"/>
        </w:rPr>
        <w:t>1</w:t>
      </w:r>
      <w:r>
        <w:rPr>
          <w:rFonts w:ascii="Times New Roman" w:eastAsia="Times New Roman"/>
          <w:spacing w:val="36"/>
          <w:position w:val="8"/>
          <w:sz w:val="15"/>
        </w:rPr>
        <w:t>  </w:t>
      </w:r>
      <w:r>
        <w:rPr>
          <w:b/>
          <w:sz w:val="18"/>
        </w:rPr>
        <w:t>六项</w:t>
      </w:r>
      <w:r>
        <w:rPr>
          <w:b/>
          <w:sz w:val="18"/>
        </w:rPr>
        <w:t>基</w:t>
      </w:r>
      <w:r>
        <w:rPr>
          <w:b/>
          <w:sz w:val="18"/>
        </w:rPr>
        <w:t>本</w:t>
      </w:r>
      <w:r>
        <w:rPr>
          <w:b/>
          <w:sz w:val="18"/>
        </w:rPr>
        <w:t>日</w:t>
      </w:r>
      <w:r>
        <w:rPr>
          <w:b/>
          <w:sz w:val="18"/>
        </w:rPr>
        <w:t>常</w:t>
      </w:r>
      <w:r>
        <w:rPr>
          <w:b/>
          <w:sz w:val="18"/>
        </w:rPr>
        <w:t>生</w:t>
      </w:r>
      <w:r>
        <w:rPr>
          <w:b/>
          <w:sz w:val="18"/>
        </w:rPr>
        <w:t>活</w:t>
      </w:r>
      <w:r>
        <w:rPr>
          <w:b/>
          <w:sz w:val="18"/>
        </w:rPr>
        <w:t>活动</w:t>
      </w:r>
      <w:r>
        <w:rPr>
          <w:spacing w:val="-1"/>
          <w:sz w:val="18"/>
        </w:rPr>
        <w:t>：六项基本日常生活活动是指：</w:t>
      </w:r>
    </w:p>
    <w:p>
      <w:pPr>
        <w:pStyle w:val="ListParagraph"/>
        <w:numPr>
          <w:ilvl w:val="0"/>
          <w:numId w:val="27"/>
        </w:numPr>
        <w:tabs>
          <w:tab w:pos="838" w:val="left" w:leader="none"/>
        </w:tabs>
        <w:spacing w:line="240" w:lineRule="auto" w:before="4" w:after="0"/>
        <w:ind w:left="837" w:right="0" w:hanging="450"/>
        <w:jc w:val="left"/>
        <w:rPr>
          <w:sz w:val="18"/>
        </w:rPr>
      </w:pPr>
      <w:r>
        <w:rPr>
          <w:spacing w:val="-1"/>
          <w:sz w:val="18"/>
        </w:rPr>
        <w:t>穿衣：自己能够穿衣及脱衣；</w:t>
      </w:r>
    </w:p>
    <w:p>
      <w:pPr>
        <w:pStyle w:val="ListParagraph"/>
        <w:numPr>
          <w:ilvl w:val="0"/>
          <w:numId w:val="27"/>
        </w:numPr>
        <w:tabs>
          <w:tab w:pos="838" w:val="left" w:leader="none"/>
        </w:tabs>
        <w:spacing w:line="240" w:lineRule="auto" w:before="2" w:after="0"/>
        <w:ind w:left="837" w:right="0" w:hanging="450"/>
        <w:jc w:val="left"/>
        <w:rPr>
          <w:sz w:val="18"/>
        </w:rPr>
      </w:pPr>
      <w:r>
        <w:rPr>
          <w:spacing w:val="-1"/>
          <w:sz w:val="18"/>
        </w:rPr>
        <w:t>移动：自己从一个房间到另一个房间；</w:t>
      </w:r>
    </w:p>
    <w:p>
      <w:pPr>
        <w:pStyle w:val="ListParagraph"/>
        <w:numPr>
          <w:ilvl w:val="0"/>
          <w:numId w:val="27"/>
        </w:numPr>
        <w:tabs>
          <w:tab w:pos="838" w:val="left" w:leader="none"/>
        </w:tabs>
        <w:spacing w:line="240" w:lineRule="auto" w:before="3" w:after="0"/>
        <w:ind w:left="837" w:right="0" w:hanging="450"/>
        <w:jc w:val="left"/>
        <w:rPr>
          <w:sz w:val="18"/>
        </w:rPr>
      </w:pPr>
      <w:r>
        <w:rPr>
          <w:spacing w:val="-1"/>
          <w:sz w:val="18"/>
        </w:rPr>
        <w:t>行动：自己上下床或上下轮椅；</w:t>
      </w:r>
    </w:p>
    <w:p>
      <w:pPr>
        <w:pStyle w:val="ListParagraph"/>
        <w:numPr>
          <w:ilvl w:val="0"/>
          <w:numId w:val="27"/>
        </w:numPr>
        <w:tabs>
          <w:tab w:pos="838" w:val="left" w:leader="none"/>
        </w:tabs>
        <w:spacing w:line="240" w:lineRule="auto" w:before="2" w:after="0"/>
        <w:ind w:left="837" w:right="0" w:hanging="450"/>
        <w:jc w:val="left"/>
        <w:rPr>
          <w:sz w:val="18"/>
        </w:rPr>
      </w:pPr>
      <w:r>
        <w:rPr>
          <w:spacing w:val="-1"/>
          <w:sz w:val="18"/>
        </w:rPr>
        <w:t>如厕：自己控制进行大小便；</w:t>
      </w:r>
    </w:p>
    <w:p>
      <w:pPr>
        <w:pStyle w:val="ListParagraph"/>
        <w:numPr>
          <w:ilvl w:val="0"/>
          <w:numId w:val="27"/>
        </w:numPr>
        <w:tabs>
          <w:tab w:pos="838" w:val="left" w:leader="none"/>
        </w:tabs>
        <w:spacing w:line="240" w:lineRule="auto" w:before="2" w:after="0"/>
        <w:ind w:left="837" w:right="0" w:hanging="450"/>
        <w:jc w:val="left"/>
        <w:rPr>
          <w:sz w:val="18"/>
        </w:rPr>
      </w:pPr>
      <w:r>
        <w:rPr>
          <w:spacing w:val="-1"/>
          <w:sz w:val="18"/>
        </w:rPr>
        <w:t>进食：自己从已准备好的碗或碟中取食物放入口中；</w:t>
      </w:r>
    </w:p>
    <w:p>
      <w:pPr>
        <w:pStyle w:val="ListParagraph"/>
        <w:numPr>
          <w:ilvl w:val="0"/>
          <w:numId w:val="27"/>
        </w:numPr>
        <w:tabs>
          <w:tab w:pos="838" w:val="left" w:leader="none"/>
        </w:tabs>
        <w:spacing w:line="240" w:lineRule="auto" w:before="5" w:after="0"/>
        <w:ind w:left="837" w:right="0" w:hanging="450"/>
        <w:jc w:val="left"/>
        <w:rPr>
          <w:sz w:val="18"/>
        </w:rPr>
      </w:pPr>
      <w:r>
        <w:rPr>
          <w:spacing w:val="-1"/>
          <w:sz w:val="18"/>
        </w:rPr>
        <w:t>洗澡：自己进行淋浴或盆浴。</w:t>
      </w:r>
    </w:p>
    <w:p>
      <w:pPr>
        <w:spacing w:before="2"/>
        <w:ind w:left="388" w:right="0" w:firstLine="0"/>
        <w:jc w:val="left"/>
        <w:rPr>
          <w:sz w:val="18"/>
        </w:rPr>
      </w:pPr>
      <w:r>
        <w:rPr>
          <w:color w:val="000000"/>
          <w:spacing w:val="-2"/>
          <w:sz w:val="18"/>
          <w:shd w:fill="E4E4E4" w:color="auto" w:val="clear"/>
        </w:rPr>
        <w:t>六项基本日常生活活动能力的鉴定不适用于</w:t>
      </w:r>
      <w:r>
        <w:rPr>
          <w:rFonts w:ascii="Times New Roman" w:eastAsia="Times New Roman"/>
          <w:color w:val="000000"/>
          <w:spacing w:val="-2"/>
          <w:sz w:val="18"/>
          <w:shd w:fill="E4E4E4" w:color="auto" w:val="clear"/>
        </w:rPr>
        <w:t>0-3</w:t>
      </w:r>
      <w:r>
        <w:rPr>
          <w:color w:val="000000"/>
          <w:spacing w:val="-4"/>
          <w:sz w:val="18"/>
          <w:shd w:fill="E4E4E4" w:color="auto" w:val="clear"/>
        </w:rPr>
        <w:t>周岁幼儿。</w:t>
      </w:r>
    </w:p>
    <w:p>
      <w:pPr>
        <w:spacing w:after="0"/>
        <w:jc w:val="left"/>
        <w:rPr>
          <w:sz w:val="18"/>
        </w:rPr>
        <w:sectPr>
          <w:pgSz w:w="11910" w:h="16840"/>
          <w:pgMar w:header="484" w:footer="706" w:top="1240" w:bottom="900" w:left="980" w:right="980"/>
        </w:sectPr>
      </w:pPr>
    </w:p>
    <w:p>
      <w:pPr>
        <w:pStyle w:val="BodyText"/>
        <w:rPr>
          <w:sz w:val="12"/>
        </w:rPr>
      </w:pPr>
    </w:p>
    <w:p>
      <w:pPr>
        <w:spacing w:after="0"/>
        <w:rPr>
          <w:sz w:val="12"/>
        </w:rPr>
        <w:sectPr>
          <w:pgSz w:w="11910" w:h="16840"/>
          <w:pgMar w:header="484" w:footer="706" w:top="1240" w:bottom="900" w:left="980" w:right="980"/>
        </w:sectPr>
      </w:pPr>
    </w:p>
    <w:p>
      <w:pPr>
        <w:pStyle w:val="Heading2"/>
        <w:numPr>
          <w:ilvl w:val="1"/>
          <w:numId w:val="28"/>
        </w:numPr>
        <w:tabs>
          <w:tab w:pos="954" w:val="left" w:leader="none"/>
          <w:tab w:pos="955" w:val="left" w:leader="none"/>
        </w:tabs>
        <w:spacing w:line="261" w:lineRule="auto" w:before="73" w:after="0"/>
        <w:ind w:left="954" w:right="0" w:hanging="802"/>
        <w:jc w:val="left"/>
      </w:pPr>
      <w:r>
        <w:rPr>
          <w:spacing w:val="-2"/>
        </w:rPr>
        <w:t>严重非恶性颅</w:t>
      </w:r>
      <w:r>
        <w:rPr>
          <w:spacing w:val="-4"/>
        </w:rPr>
        <w:t>内肿瘤</w:t>
      </w:r>
    </w:p>
    <w:p>
      <w:pPr>
        <w:pStyle w:val="BodyText"/>
        <w:spacing w:before="103"/>
        <w:ind w:left="152"/>
      </w:pPr>
      <w:r>
        <w:rPr/>
        <w:br w:type="column"/>
      </w:r>
      <w:r>
        <w:rPr>
          <w:spacing w:val="-2"/>
        </w:rPr>
        <w:t>指起源于脑、脑神经、脑被膜的非恶性肿瘤，ICD-O-3肿瘤形态学编码属于</w:t>
      </w:r>
      <w:r>
        <w:rPr>
          <w:spacing w:val="-10"/>
        </w:rPr>
        <w:t>0</w:t>
      </w:r>
    </w:p>
    <w:p>
      <w:pPr>
        <w:pStyle w:val="BodyText"/>
        <w:spacing w:line="324" w:lineRule="auto" w:before="100"/>
        <w:ind w:left="152" w:right="150"/>
        <w:jc w:val="both"/>
      </w:pPr>
      <w:r>
        <w:rPr>
          <w:spacing w:val="4"/>
          <w:w w:val="100"/>
        </w:rPr>
        <w:t>（</w:t>
      </w:r>
      <w:r>
        <w:rPr>
          <w:spacing w:val="3"/>
          <w:w w:val="100"/>
        </w:rPr>
        <w:t>良性肿瘤</w:t>
      </w:r>
      <w:r>
        <w:rPr>
          <w:spacing w:val="4"/>
          <w:w w:val="100"/>
        </w:rPr>
        <w:t>）</w:t>
      </w:r>
      <w:r>
        <w:rPr>
          <w:spacing w:val="2"/>
          <w:w w:val="100"/>
        </w:rPr>
        <w:t>、</w:t>
      </w:r>
      <w:r>
        <w:rPr>
          <w:spacing w:val="4"/>
          <w:w w:val="100"/>
        </w:rPr>
        <w:t>1（</w:t>
      </w:r>
      <w:r>
        <w:rPr>
          <w:spacing w:val="2"/>
          <w:w w:val="100"/>
        </w:rPr>
        <w:t>动态未定性肿瘤</w:t>
      </w:r>
      <w:r>
        <w:rPr>
          <w:spacing w:val="4"/>
          <w:w w:val="100"/>
        </w:rPr>
        <w:t>）</w:t>
      </w:r>
      <w:r>
        <w:rPr>
          <w:spacing w:val="1"/>
          <w:w w:val="100"/>
        </w:rPr>
        <w:t>范畴，并已经引起颅内压升高或神经</w:t>
      </w:r>
      <w:r>
        <w:rPr>
          <w:spacing w:val="-1"/>
          <w:w w:val="100"/>
        </w:rPr>
        <w:t>系统功能损害，出现视乳头水肿或视觉受损、听觉受损、面部或肢体瘫痪、</w:t>
      </w:r>
      <w:r>
        <w:rPr>
          <w:spacing w:val="2"/>
          <w:w w:val="100"/>
        </w:rPr>
        <w:t>癫痫等，须由头颅断层扫描</w:t>
      </w:r>
      <w:r>
        <w:rPr>
          <w:spacing w:val="4"/>
          <w:w w:val="100"/>
        </w:rPr>
        <w:t>（</w:t>
      </w:r>
      <w:r>
        <w:rPr>
          <w:spacing w:val="-1"/>
          <w:w w:val="100"/>
        </w:rPr>
        <w:t>C</w:t>
      </w:r>
      <w:r>
        <w:rPr>
          <w:spacing w:val="2"/>
          <w:w w:val="100"/>
        </w:rPr>
        <w:t>T</w:t>
      </w:r>
      <w:r>
        <w:rPr>
          <w:spacing w:val="4"/>
          <w:w w:val="100"/>
        </w:rPr>
        <w:t>）</w:t>
      </w:r>
      <w:r>
        <w:rPr>
          <w:spacing w:val="3"/>
          <w:w w:val="100"/>
        </w:rPr>
        <w:t>、核磁共振检查</w:t>
      </w:r>
      <w:r>
        <w:rPr>
          <w:spacing w:val="4"/>
          <w:w w:val="100"/>
        </w:rPr>
        <w:t>（</w:t>
      </w:r>
      <w:r>
        <w:rPr>
          <w:spacing w:val="-1"/>
          <w:w w:val="100"/>
        </w:rPr>
        <w:t>MR</w:t>
      </w:r>
      <w:r>
        <w:rPr>
          <w:spacing w:val="4"/>
          <w:w w:val="100"/>
        </w:rPr>
        <w:t>I）</w:t>
      </w:r>
      <w:r>
        <w:rPr>
          <w:spacing w:val="2"/>
          <w:w w:val="100"/>
        </w:rPr>
        <w:t>或正电子发射断</w:t>
      </w:r>
      <w:r>
        <w:rPr>
          <w:spacing w:val="-2"/>
          <w:w w:val="100"/>
        </w:rPr>
        <w:t>层扫描</w:t>
      </w:r>
      <w:r>
        <w:rPr>
          <w:spacing w:val="-1"/>
          <w:w w:val="100"/>
        </w:rPr>
        <w:t>（PE</w:t>
      </w:r>
      <w:r>
        <w:rPr>
          <w:spacing w:val="-3"/>
          <w:w w:val="100"/>
        </w:rPr>
        <w:t>T</w:t>
      </w:r>
      <w:r>
        <w:rPr>
          <w:spacing w:val="-1"/>
          <w:w w:val="100"/>
        </w:rPr>
        <w:t>）</w:t>
      </w:r>
      <w:r>
        <w:rPr>
          <w:spacing w:val="-3"/>
          <w:w w:val="100"/>
        </w:rPr>
        <w:t>等影像学检查证实，且须满足下列至少一项条件：</w:t>
      </w:r>
    </w:p>
    <w:p>
      <w:pPr>
        <w:pStyle w:val="ListParagraph"/>
        <w:numPr>
          <w:ilvl w:val="0"/>
          <w:numId w:val="29"/>
        </w:numPr>
        <w:tabs>
          <w:tab w:pos="607" w:val="left" w:leader="none"/>
        </w:tabs>
        <w:spacing w:line="279" w:lineRule="exact" w:before="0" w:after="0"/>
        <w:ind w:left="606" w:right="0" w:hanging="455"/>
        <w:jc w:val="left"/>
        <w:rPr>
          <w:sz w:val="22"/>
        </w:rPr>
      </w:pPr>
      <w:r>
        <w:rPr>
          <w:spacing w:val="-3"/>
          <w:sz w:val="22"/>
        </w:rPr>
        <w:t>已经实施了开颅进行的颅内肿瘤完全或部分切除手术；</w:t>
      </w:r>
    </w:p>
    <w:p>
      <w:pPr>
        <w:pStyle w:val="ListParagraph"/>
        <w:numPr>
          <w:ilvl w:val="0"/>
          <w:numId w:val="29"/>
        </w:numPr>
        <w:tabs>
          <w:tab w:pos="607" w:val="left" w:leader="none"/>
        </w:tabs>
        <w:spacing w:line="324" w:lineRule="auto" w:before="97" w:after="0"/>
        <w:ind w:left="152" w:right="407" w:firstLine="0"/>
        <w:jc w:val="left"/>
        <w:rPr>
          <w:sz w:val="22"/>
        </w:rPr>
      </w:pPr>
      <w:r>
        <w:rPr>
          <w:spacing w:val="-2"/>
          <w:sz w:val="22"/>
        </w:rPr>
        <w:t>已经实施了针对颅内肿瘤的放射治疗，如γ刀、质子重离子治疗等。</w:t>
      </w:r>
      <w:r>
        <w:rPr>
          <w:color w:val="000000"/>
          <w:spacing w:val="-2"/>
          <w:sz w:val="22"/>
          <w:shd w:fill="E4E4E4" w:color="auto" w:val="clear"/>
        </w:rPr>
        <w:t>下列疾病不在保障范围内：</w:t>
      </w:r>
    </w:p>
    <w:p>
      <w:pPr>
        <w:pStyle w:val="ListParagraph"/>
        <w:numPr>
          <w:ilvl w:val="0"/>
          <w:numId w:val="30"/>
        </w:numPr>
        <w:tabs>
          <w:tab w:pos="607" w:val="left" w:leader="none"/>
        </w:tabs>
        <w:spacing w:line="282" w:lineRule="exact" w:before="0" w:after="0"/>
        <w:ind w:left="606" w:right="0" w:hanging="455"/>
        <w:jc w:val="left"/>
        <w:rPr>
          <w:sz w:val="22"/>
        </w:rPr>
      </w:pPr>
      <w:r>
        <w:rPr>
          <w:color w:val="000000"/>
          <w:spacing w:val="-4"/>
          <w:sz w:val="22"/>
          <w:shd w:fill="E4E4E4" w:color="auto" w:val="clear"/>
        </w:rPr>
        <w:t>脑垂体瘤；</w:t>
      </w:r>
    </w:p>
    <w:p>
      <w:pPr>
        <w:pStyle w:val="ListParagraph"/>
        <w:numPr>
          <w:ilvl w:val="0"/>
          <w:numId w:val="30"/>
        </w:numPr>
        <w:tabs>
          <w:tab w:pos="607" w:val="left" w:leader="none"/>
        </w:tabs>
        <w:spacing w:line="240" w:lineRule="auto" w:before="97" w:after="0"/>
        <w:ind w:left="606" w:right="0" w:hanging="455"/>
        <w:jc w:val="left"/>
        <w:rPr>
          <w:sz w:val="22"/>
        </w:rPr>
      </w:pPr>
      <w:r>
        <w:rPr>
          <w:color w:val="000000"/>
          <w:spacing w:val="-4"/>
          <w:sz w:val="22"/>
          <w:shd w:fill="E4E4E4" w:color="auto" w:val="clear"/>
        </w:rPr>
        <w:t>脑囊肿；</w:t>
      </w:r>
    </w:p>
    <w:p>
      <w:pPr>
        <w:pStyle w:val="ListParagraph"/>
        <w:numPr>
          <w:ilvl w:val="0"/>
          <w:numId w:val="30"/>
        </w:numPr>
        <w:tabs>
          <w:tab w:pos="607" w:val="left" w:leader="none"/>
        </w:tabs>
        <w:spacing w:line="324" w:lineRule="auto" w:before="100" w:after="0"/>
        <w:ind w:left="606" w:right="152" w:hanging="454"/>
        <w:jc w:val="left"/>
        <w:rPr>
          <w:sz w:val="22"/>
        </w:rPr>
      </w:pPr>
      <w:r>
        <w:rPr>
          <w:color w:val="000000"/>
          <w:spacing w:val="-2"/>
          <w:sz w:val="22"/>
          <w:shd w:fill="E4E4E4" w:color="auto" w:val="clear"/>
        </w:rPr>
        <w:t>颅内血管性疾病（如脑动脉瘤、脑动静脉畸形、海绵状血管瘤、毛细血</w:t>
      </w:r>
      <w:r>
        <w:rPr>
          <w:color w:val="000000"/>
          <w:spacing w:val="80"/>
          <w:w w:val="150"/>
          <w:sz w:val="22"/>
          <w:shd w:fill="E4E4E4" w:color="auto" w:val="clear"/>
        </w:rPr>
        <w:t>                                    </w:t>
      </w:r>
      <w:r>
        <w:rPr>
          <w:color w:val="000000"/>
          <w:spacing w:val="-2"/>
          <w:sz w:val="22"/>
          <w:shd w:fill="E4E4E4" w:color="auto" w:val="clear"/>
        </w:rPr>
        <w:t>管扩张症等）。</w:t>
      </w:r>
    </w:p>
    <w:p>
      <w:pPr>
        <w:spacing w:after="0" w:line="324"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5"/>
        <w:rPr>
          <w:sz w:val="21"/>
        </w:rPr>
      </w:pPr>
    </w:p>
    <w:p>
      <w:pPr>
        <w:spacing w:after="0"/>
        <w:rPr>
          <w:sz w:val="21"/>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5" w:after="0"/>
        <w:ind w:left="954" w:right="0" w:hanging="803"/>
        <w:jc w:val="left"/>
      </w:pPr>
      <w:r>
        <w:rPr>
          <w:spacing w:val="-4"/>
        </w:rPr>
        <w:t>严重慢性肝衰</w:t>
      </w:r>
    </w:p>
    <w:p>
      <w:pPr>
        <w:spacing w:before="30"/>
        <w:ind w:left="954" w:right="0" w:firstLine="0"/>
        <w:jc w:val="left"/>
        <w:rPr>
          <w:rFonts w:ascii="华文中宋" w:eastAsia="华文中宋" w:hint="eastAsia"/>
          <w:b/>
          <w:sz w:val="22"/>
        </w:rPr>
      </w:pPr>
      <w:r>
        <w:rPr>
          <w:rFonts w:ascii="华文中宋" w:eastAsia="华文中宋" w:hint="eastAsia"/>
          <w:b/>
          <w:w w:val="100"/>
          <w:sz w:val="22"/>
        </w:rPr>
        <w:t>竭</w:t>
      </w:r>
    </w:p>
    <w:p>
      <w:pPr>
        <w:pStyle w:val="BodyText"/>
        <w:spacing w:before="105"/>
        <w:ind w:left="152"/>
      </w:pPr>
      <w:r>
        <w:rPr/>
        <w:br w:type="column"/>
      </w:r>
      <w:r>
        <w:rPr>
          <w:spacing w:val="-2"/>
        </w:rPr>
        <w:t>指因慢性肝脏疾病导致的肝衰竭，</w:t>
      </w:r>
      <w:r>
        <w:rPr>
          <w:color w:val="000000"/>
          <w:spacing w:val="-3"/>
          <w:shd w:fill="E4E4E4" w:color="auto" w:val="clear"/>
        </w:rPr>
        <w:t>且须满足下列全部条件：</w:t>
      </w:r>
    </w:p>
    <w:p>
      <w:pPr>
        <w:pStyle w:val="ListParagraph"/>
        <w:numPr>
          <w:ilvl w:val="0"/>
          <w:numId w:val="31"/>
        </w:numPr>
        <w:tabs>
          <w:tab w:pos="607" w:val="left" w:leader="none"/>
        </w:tabs>
        <w:spacing w:line="240" w:lineRule="auto" w:before="97" w:after="0"/>
        <w:ind w:left="606" w:right="0" w:hanging="455"/>
        <w:jc w:val="left"/>
        <w:rPr>
          <w:sz w:val="22"/>
        </w:rPr>
      </w:pPr>
      <w:r>
        <w:rPr>
          <w:spacing w:val="-4"/>
          <w:sz w:val="22"/>
        </w:rPr>
        <w:t>持续性黄疸；</w:t>
      </w:r>
    </w:p>
    <w:p>
      <w:pPr>
        <w:pStyle w:val="ListParagraph"/>
        <w:numPr>
          <w:ilvl w:val="0"/>
          <w:numId w:val="31"/>
        </w:numPr>
        <w:tabs>
          <w:tab w:pos="607" w:val="left" w:leader="none"/>
        </w:tabs>
        <w:spacing w:line="240" w:lineRule="auto" w:before="98" w:after="0"/>
        <w:ind w:left="606" w:right="0" w:hanging="455"/>
        <w:jc w:val="left"/>
        <w:rPr>
          <w:sz w:val="22"/>
        </w:rPr>
      </w:pPr>
      <w:r>
        <w:rPr>
          <w:spacing w:val="-5"/>
          <w:sz w:val="22"/>
        </w:rPr>
        <w:t>腹水；</w:t>
      </w:r>
    </w:p>
    <w:p>
      <w:pPr>
        <w:pStyle w:val="ListParagraph"/>
        <w:numPr>
          <w:ilvl w:val="0"/>
          <w:numId w:val="31"/>
        </w:numPr>
        <w:tabs>
          <w:tab w:pos="607" w:val="left" w:leader="none"/>
        </w:tabs>
        <w:spacing w:line="240" w:lineRule="auto" w:before="99" w:after="0"/>
        <w:ind w:left="606" w:right="0" w:hanging="455"/>
        <w:jc w:val="left"/>
        <w:rPr>
          <w:sz w:val="22"/>
        </w:rPr>
      </w:pPr>
      <w:r>
        <w:rPr>
          <w:spacing w:val="-4"/>
          <w:sz w:val="22"/>
        </w:rPr>
        <w:t>肝性脑病；</w:t>
      </w:r>
    </w:p>
    <w:p>
      <w:pPr>
        <w:pStyle w:val="ListParagraph"/>
        <w:numPr>
          <w:ilvl w:val="0"/>
          <w:numId w:val="31"/>
        </w:numPr>
        <w:tabs>
          <w:tab w:pos="607" w:val="left" w:leader="none"/>
        </w:tabs>
        <w:spacing w:line="324" w:lineRule="auto" w:before="98" w:after="0"/>
        <w:ind w:left="152" w:right="2168" w:firstLine="0"/>
        <w:jc w:val="left"/>
        <w:rPr>
          <w:sz w:val="22"/>
        </w:rPr>
      </w:pPr>
      <w:r>
        <w:rPr>
          <w:spacing w:val="-2"/>
          <w:sz w:val="22"/>
        </w:rPr>
        <w:t>充血性脾肿大伴脾功能亢进或食管胃底静脉曲张。</w:t>
      </w:r>
      <w:r>
        <w:rPr>
          <w:color w:val="000000"/>
          <w:spacing w:val="-2"/>
          <w:sz w:val="22"/>
          <w:shd w:fill="E4E4E4" w:color="auto" w:val="clear"/>
        </w:rPr>
        <w:t>因酗酒或药物滥用导致的肝衰竭不在保障范围内。</w:t>
      </w:r>
    </w:p>
    <w:p>
      <w:pPr>
        <w:spacing w:after="0" w:line="324"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7"/>
        <w:rPr>
          <w:sz w:val="21"/>
        </w:rPr>
      </w:pPr>
    </w:p>
    <w:p>
      <w:pPr>
        <w:spacing w:after="0"/>
        <w:rPr>
          <w:sz w:val="21"/>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2" w:after="0"/>
        <w:ind w:left="954" w:right="0" w:hanging="803"/>
        <w:jc w:val="left"/>
      </w:pPr>
      <w:r>
        <w:rPr>
          <w:spacing w:val="-4"/>
        </w:rPr>
        <w:t>严重脑炎后遗</w:t>
      </w:r>
    </w:p>
    <w:p>
      <w:pPr>
        <w:spacing w:line="261" w:lineRule="auto" w:before="30"/>
        <w:ind w:left="954" w:right="0" w:firstLine="0"/>
        <w:jc w:val="left"/>
        <w:rPr>
          <w:rFonts w:ascii="华文中宋" w:eastAsia="华文中宋" w:hint="eastAsia"/>
          <w:b/>
          <w:sz w:val="22"/>
        </w:rPr>
      </w:pPr>
      <w:r>
        <w:rPr>
          <w:rFonts w:ascii="华文中宋" w:eastAsia="华文中宋" w:hint="eastAsia"/>
          <w:b/>
          <w:spacing w:val="-2"/>
          <w:sz w:val="22"/>
        </w:rPr>
        <w:t>症或严重脑膜</w:t>
      </w:r>
      <w:r>
        <w:rPr>
          <w:rFonts w:ascii="华文中宋" w:eastAsia="华文中宋" w:hint="eastAsia"/>
          <w:b/>
          <w:spacing w:val="-4"/>
          <w:sz w:val="22"/>
        </w:rPr>
        <w:t>炎后遗症</w:t>
      </w:r>
    </w:p>
    <w:p>
      <w:pPr>
        <w:pStyle w:val="BodyText"/>
        <w:spacing w:line="324" w:lineRule="auto" w:before="103"/>
        <w:ind w:left="152" w:right="150"/>
        <w:jc w:val="both"/>
      </w:pPr>
      <w:r>
        <w:rPr/>
        <w:br w:type="column"/>
      </w:r>
      <w:r>
        <w:rPr>
          <w:spacing w:val="-2"/>
        </w:rPr>
        <w:t>指因患脑炎或脑膜炎导致的神经系统永久性的功能障碍。神经系统永久性的</w:t>
      </w:r>
      <w:r>
        <w:rPr>
          <w:spacing w:val="8"/>
        </w:rPr>
        <w:t>功能障碍，指经相关专科医生确诊疾病</w:t>
      </w:r>
      <w:r>
        <w:rPr/>
        <w:t>180</w:t>
      </w:r>
      <w:r>
        <w:rPr>
          <w:spacing w:val="7"/>
        </w:rPr>
        <w:t>天后，仍遗留下列至少一种障</w:t>
      </w:r>
      <w:r>
        <w:rPr>
          <w:spacing w:val="-6"/>
        </w:rPr>
        <w:t>碍：</w:t>
      </w:r>
    </w:p>
    <w:p>
      <w:pPr>
        <w:pStyle w:val="ListParagraph"/>
        <w:numPr>
          <w:ilvl w:val="0"/>
          <w:numId w:val="32"/>
        </w:numPr>
        <w:tabs>
          <w:tab w:pos="607" w:val="left" w:leader="none"/>
        </w:tabs>
        <w:spacing w:line="280" w:lineRule="exact" w:before="0" w:after="0"/>
        <w:ind w:left="606" w:right="0" w:hanging="455"/>
        <w:jc w:val="both"/>
        <w:rPr>
          <w:sz w:val="22"/>
        </w:rPr>
      </w:pPr>
      <w:r>
        <w:rPr>
          <w:spacing w:val="-2"/>
          <w:sz w:val="22"/>
        </w:rPr>
        <w:t>一肢（含）以上肢体肌力2级（含）</w:t>
      </w:r>
      <w:r>
        <w:rPr>
          <w:spacing w:val="-5"/>
          <w:sz w:val="22"/>
        </w:rPr>
        <w:t>以下；</w:t>
      </w:r>
    </w:p>
    <w:p>
      <w:pPr>
        <w:pStyle w:val="ListParagraph"/>
        <w:numPr>
          <w:ilvl w:val="0"/>
          <w:numId w:val="32"/>
        </w:numPr>
        <w:tabs>
          <w:tab w:pos="607" w:val="left" w:leader="none"/>
        </w:tabs>
        <w:spacing w:line="240" w:lineRule="auto" w:before="97" w:after="0"/>
        <w:ind w:left="606" w:right="0" w:hanging="455"/>
        <w:jc w:val="both"/>
        <w:rPr>
          <w:sz w:val="22"/>
        </w:rPr>
      </w:pPr>
      <w:r>
        <w:rPr>
          <w:spacing w:val="-3"/>
          <w:sz w:val="22"/>
        </w:rPr>
        <w:t>语言能力完全丧失，或严重咀嚼吞咽功能障碍；</w:t>
      </w:r>
    </w:p>
    <w:p>
      <w:pPr>
        <w:pStyle w:val="ListParagraph"/>
        <w:numPr>
          <w:ilvl w:val="0"/>
          <w:numId w:val="32"/>
        </w:numPr>
        <w:tabs>
          <w:tab w:pos="607" w:val="left" w:leader="none"/>
        </w:tabs>
        <w:spacing w:line="324" w:lineRule="auto" w:before="100" w:after="0"/>
        <w:ind w:left="606" w:right="150" w:hanging="454"/>
        <w:jc w:val="both"/>
        <w:rPr>
          <w:sz w:val="22"/>
        </w:rPr>
      </w:pPr>
      <w:r>
        <w:rPr>
          <w:spacing w:val="11"/>
          <w:sz w:val="22"/>
        </w:rPr>
        <w:t>由具有评估资格的专科医生根据临床痴呆评定量表</w:t>
      </w:r>
      <w:r>
        <w:rPr>
          <w:sz w:val="22"/>
        </w:rPr>
        <w:t>（CDR，Clinical Dementia Rating）评估结果为3分；</w:t>
      </w:r>
    </w:p>
    <w:p>
      <w:pPr>
        <w:pStyle w:val="ListParagraph"/>
        <w:numPr>
          <w:ilvl w:val="0"/>
          <w:numId w:val="32"/>
        </w:numPr>
        <w:tabs>
          <w:tab w:pos="607" w:val="left" w:leader="none"/>
        </w:tabs>
        <w:spacing w:line="324" w:lineRule="auto" w:before="0" w:after="0"/>
        <w:ind w:left="606" w:right="152" w:hanging="454"/>
        <w:jc w:val="both"/>
        <w:rPr>
          <w:sz w:val="22"/>
        </w:rPr>
      </w:pPr>
      <w:r>
        <w:rPr>
          <w:spacing w:val="-2"/>
          <w:sz w:val="22"/>
        </w:rPr>
        <w:t>自主生活能力完全丧失，无法独立完成六项基本日常生活活动中的三项或三项以上。</w:t>
      </w:r>
    </w:p>
    <w:p>
      <w:pPr>
        <w:spacing w:after="0" w:line="324" w:lineRule="auto"/>
        <w:jc w:val="both"/>
        <w:rPr>
          <w:sz w:val="22"/>
        </w:rPr>
        <w:sectPr>
          <w:type w:val="continuous"/>
          <w:pgSz w:w="11910" w:h="16840"/>
          <w:pgMar w:header="484" w:footer="706" w:top="1240" w:bottom="900" w:left="980" w:right="980"/>
          <w:cols w:num="2" w:equalWidth="0">
            <w:col w:w="2277" w:space="51"/>
            <w:col w:w="7622"/>
          </w:cols>
        </w:sectPr>
      </w:pPr>
    </w:p>
    <w:p>
      <w:pPr>
        <w:pStyle w:val="BodyText"/>
        <w:spacing w:before="4"/>
        <w:rPr>
          <w:sz w:val="21"/>
        </w:rPr>
      </w:pPr>
    </w:p>
    <w:p>
      <w:pPr>
        <w:pStyle w:val="ListParagraph"/>
        <w:numPr>
          <w:ilvl w:val="1"/>
          <w:numId w:val="28"/>
        </w:numPr>
        <w:tabs>
          <w:tab w:pos="955" w:val="left" w:leader="none"/>
        </w:tabs>
        <w:spacing w:line="302" w:lineRule="auto" w:before="73" w:after="0"/>
        <w:ind w:left="2480" w:right="150" w:hanging="2328"/>
        <w:jc w:val="both"/>
        <w:rPr>
          <w:sz w:val="22"/>
        </w:rPr>
      </w:pPr>
      <w:r>
        <w:rPr>
          <w:rFonts w:ascii="华文中宋" w:eastAsia="华文中宋" w:hint="eastAsia"/>
          <w:b/>
          <w:sz w:val="22"/>
        </w:rPr>
        <w:t>深度昏迷</w:t>
      </w:r>
      <w:r>
        <w:rPr>
          <w:rFonts w:ascii="华文中宋" w:eastAsia="华文中宋" w:hint="eastAsia"/>
          <w:b/>
          <w:spacing w:val="80"/>
          <w:w w:val="150"/>
          <w:sz w:val="22"/>
        </w:rPr>
        <w:t>   </w:t>
      </w:r>
      <w:r>
        <w:rPr>
          <w:sz w:val="22"/>
        </w:rPr>
        <w:t>指因疾病或意外伤害导致意识丧失，对外界刺激和体内需求均无反应，昏迷程度按照格拉斯哥昏迷分级（GCS，Glasgow Coma Scale）结果为5分或5分</w:t>
      </w:r>
      <w:r>
        <w:rPr>
          <w:spacing w:val="-2"/>
          <w:sz w:val="22"/>
        </w:rPr>
        <w:t>以下，且已经持续使用呼吸机及其他生命维持系统96小时以上。</w:t>
      </w:r>
    </w:p>
    <w:p>
      <w:pPr>
        <w:pStyle w:val="BodyText"/>
        <w:spacing w:before="20"/>
        <w:ind w:left="1173" w:right="1096"/>
        <w:jc w:val="center"/>
      </w:pPr>
      <w:r>
        <w:rPr>
          <w:color w:val="000000"/>
          <w:spacing w:val="-3"/>
          <w:shd w:fill="E4E4E4" w:color="auto" w:val="clear"/>
        </w:rPr>
        <w:t>因酗酒或药物滥用导致的深度昏迷不在保障范围内。</w:t>
      </w:r>
    </w:p>
    <w:p>
      <w:pPr>
        <w:spacing w:after="0"/>
        <w:jc w:val="center"/>
        <w:sectPr>
          <w:type w:val="continuous"/>
          <w:pgSz w:w="11910" w:h="16840"/>
          <w:pgMar w:header="484" w:footer="706" w:top="1240" w:bottom="900" w:left="980" w:right="980"/>
        </w:sectPr>
      </w:pPr>
    </w:p>
    <w:p>
      <w:pPr>
        <w:pStyle w:val="BodyText"/>
        <w:rPr>
          <w:sz w:val="12"/>
        </w:rPr>
      </w:pPr>
    </w:p>
    <w:p>
      <w:pPr>
        <w:pStyle w:val="ListParagraph"/>
        <w:numPr>
          <w:ilvl w:val="1"/>
          <w:numId w:val="28"/>
        </w:numPr>
        <w:tabs>
          <w:tab w:pos="955" w:val="left" w:leader="none"/>
        </w:tabs>
        <w:spacing w:line="302" w:lineRule="auto" w:before="73" w:after="0"/>
        <w:ind w:left="2480" w:right="150" w:hanging="2328"/>
        <w:jc w:val="both"/>
        <w:rPr>
          <w:sz w:val="22"/>
        </w:rPr>
      </w:pPr>
      <w:r>
        <w:rPr>
          <w:rFonts w:ascii="华文中宋" w:eastAsia="华文中宋" w:hint="eastAsia"/>
          <w:b/>
          <w:sz w:val="22"/>
        </w:rPr>
        <w:t>双耳失聪</w:t>
      </w:r>
      <w:r>
        <w:rPr>
          <w:rFonts w:ascii="华文中宋" w:eastAsia="华文中宋" w:hint="eastAsia"/>
          <w:b/>
          <w:spacing w:val="80"/>
          <w:w w:val="150"/>
          <w:sz w:val="22"/>
        </w:rPr>
        <w:t>   </w:t>
      </w:r>
      <w:r>
        <w:rPr>
          <w:sz w:val="22"/>
        </w:rPr>
        <w:t>指因疾病或意外伤害导致双耳听力</w:t>
      </w:r>
      <w:r>
        <w:rPr>
          <w:b/>
          <w:sz w:val="22"/>
        </w:rPr>
        <w:t>永久不可逆</w:t>
      </w:r>
      <w:hyperlink w:history="true" w:anchor="_bookmark31">
        <w:r>
          <w:rPr>
            <w:rFonts w:ascii="PMingLiU-ExtB" w:eastAsia="PMingLiU-ExtB"/>
            <w:position w:val="10"/>
            <w:sz w:val="10"/>
          </w:rPr>
          <w:t>32</w:t>
        </w:r>
      </w:hyperlink>
      <w:r>
        <w:rPr>
          <w:sz w:val="22"/>
        </w:rPr>
        <w:t>性丧失，在500赫兹、1000赫</w:t>
      </w:r>
      <w:r>
        <w:rPr>
          <w:spacing w:val="-2"/>
          <w:sz w:val="22"/>
        </w:rPr>
        <w:t>兹和2000赫兹语音频率下，平均听阈大于等于91分贝，且经纯音听力测试、声导抗检测或听觉诱发电位检测等证实。</w:t>
      </w:r>
    </w:p>
    <w:p>
      <w:pPr>
        <w:pStyle w:val="BodyText"/>
        <w:spacing w:line="324" w:lineRule="auto" w:before="20"/>
        <w:ind w:left="2480" w:right="150"/>
      </w:pPr>
      <w:r>
        <w:rPr>
          <w:color w:val="000000"/>
          <w:spacing w:val="-2"/>
          <w:shd w:fill="E4E4E4" w:color="auto" w:val="clear"/>
        </w:rPr>
        <w:t>被保险人申请理赔时年龄必须在三周岁以上，并且提供理赔当时的听力丧失</w:t>
      </w:r>
      <w:r>
        <w:rPr>
          <w:color w:val="000000"/>
          <w:spacing w:val="80"/>
          <w:w w:val="150"/>
          <w:shd w:fill="E4E4E4" w:color="auto" w:val="clear"/>
        </w:rPr>
        <w:t>                                       </w:t>
      </w:r>
      <w:r>
        <w:rPr>
          <w:color w:val="000000"/>
          <w:spacing w:val="-2"/>
          <w:shd w:fill="E4E4E4" w:color="auto" w:val="clear"/>
        </w:rPr>
        <w:t>诊断及检查证据。</w:t>
      </w:r>
    </w:p>
    <w:p>
      <w:pPr>
        <w:pStyle w:val="BodyText"/>
        <w:spacing w:before="2"/>
        <w:rPr>
          <w:sz w:val="27"/>
        </w:rPr>
      </w:pPr>
    </w:p>
    <w:p>
      <w:pPr>
        <w:pStyle w:val="ListParagraph"/>
        <w:numPr>
          <w:ilvl w:val="1"/>
          <w:numId w:val="28"/>
        </w:numPr>
        <w:tabs>
          <w:tab w:pos="955" w:val="left" w:leader="none"/>
          <w:tab w:pos="2480" w:val="left" w:leader="none"/>
        </w:tabs>
        <w:spacing w:line="283" w:lineRule="auto" w:before="1" w:after="0"/>
        <w:ind w:left="2480" w:right="150" w:hanging="2328"/>
        <w:jc w:val="left"/>
        <w:rPr>
          <w:sz w:val="22"/>
        </w:rPr>
      </w:pPr>
      <w:r>
        <w:rPr>
          <w:rFonts w:ascii="华文中宋" w:eastAsia="华文中宋" w:hint="eastAsia"/>
          <w:b/>
          <w:spacing w:val="-4"/>
          <w:sz w:val="22"/>
        </w:rPr>
        <w:t>双目失明</w:t>
      </w:r>
      <w:r>
        <w:rPr>
          <w:rFonts w:ascii="华文中宋" w:eastAsia="华文中宋" w:hint="eastAsia"/>
          <w:b/>
          <w:sz w:val="22"/>
        </w:rPr>
        <w:tab/>
      </w:r>
      <w:r>
        <w:rPr>
          <w:spacing w:val="-2"/>
          <w:sz w:val="22"/>
        </w:rPr>
        <w:t>指因疾病或意外伤害导致双眼视力永久不可逆性丧失，双眼中较好眼须满足下列至少一项条件：</w:t>
      </w:r>
    </w:p>
    <w:p>
      <w:pPr>
        <w:pStyle w:val="ListParagraph"/>
        <w:numPr>
          <w:ilvl w:val="2"/>
          <w:numId w:val="28"/>
        </w:numPr>
        <w:tabs>
          <w:tab w:pos="2935" w:val="left" w:leader="none"/>
        </w:tabs>
        <w:spacing w:line="240" w:lineRule="auto" w:before="46" w:after="0"/>
        <w:ind w:left="2934" w:right="0" w:hanging="455"/>
        <w:jc w:val="left"/>
        <w:rPr>
          <w:sz w:val="22"/>
        </w:rPr>
      </w:pPr>
      <w:r>
        <w:rPr>
          <w:spacing w:val="-4"/>
          <w:sz w:val="22"/>
        </w:rPr>
        <w:t>眼球缺失或摘除；</w:t>
      </w:r>
    </w:p>
    <w:p>
      <w:pPr>
        <w:pStyle w:val="ListParagraph"/>
        <w:numPr>
          <w:ilvl w:val="2"/>
          <w:numId w:val="28"/>
        </w:numPr>
        <w:tabs>
          <w:tab w:pos="2935" w:val="left" w:leader="none"/>
        </w:tabs>
        <w:spacing w:line="324" w:lineRule="auto" w:before="97" w:after="0"/>
        <w:ind w:left="2934" w:right="152" w:hanging="454"/>
        <w:jc w:val="left"/>
        <w:rPr>
          <w:sz w:val="22"/>
        </w:rPr>
      </w:pPr>
      <w:r>
        <w:rPr>
          <w:spacing w:val="-2"/>
          <w:sz w:val="22"/>
        </w:rPr>
        <w:t>矫正视力低于0.02（采用国际标准视力表，如果使用其他视力表应进行</w:t>
      </w:r>
      <w:r>
        <w:rPr>
          <w:spacing w:val="-4"/>
          <w:sz w:val="22"/>
        </w:rPr>
        <w:t>换算）；</w:t>
      </w:r>
    </w:p>
    <w:p>
      <w:pPr>
        <w:pStyle w:val="ListParagraph"/>
        <w:numPr>
          <w:ilvl w:val="2"/>
          <w:numId w:val="28"/>
        </w:numPr>
        <w:tabs>
          <w:tab w:pos="2935" w:val="left" w:leader="none"/>
        </w:tabs>
        <w:spacing w:line="282" w:lineRule="exact" w:before="0" w:after="0"/>
        <w:ind w:left="2934" w:right="0" w:hanging="455"/>
        <w:jc w:val="left"/>
        <w:rPr>
          <w:sz w:val="22"/>
        </w:rPr>
      </w:pPr>
      <w:r>
        <w:rPr>
          <w:spacing w:val="-2"/>
          <w:sz w:val="22"/>
        </w:rPr>
        <w:t>视野半径小于5</w:t>
      </w:r>
      <w:r>
        <w:rPr>
          <w:spacing w:val="-6"/>
          <w:sz w:val="22"/>
        </w:rPr>
        <w:t>度。</w:t>
      </w:r>
    </w:p>
    <w:p>
      <w:pPr>
        <w:pStyle w:val="BodyText"/>
        <w:spacing w:line="324" w:lineRule="auto" w:before="98"/>
        <w:ind w:left="2480" w:right="150"/>
      </w:pPr>
      <w:r>
        <w:rPr>
          <w:color w:val="000000"/>
          <w:spacing w:val="-2"/>
          <w:shd w:fill="E4E4E4" w:color="auto" w:val="clear"/>
        </w:rPr>
        <w:t>被保险人申请理赔时年龄必须在三周岁以上，并且提供理赔当时的视力丧失诊断及检查证据。</w:t>
      </w:r>
    </w:p>
    <w:p>
      <w:pPr>
        <w:pStyle w:val="BodyText"/>
        <w:spacing w:before="2"/>
        <w:rPr>
          <w:sz w:val="27"/>
        </w:rPr>
      </w:pPr>
    </w:p>
    <w:p>
      <w:pPr>
        <w:pStyle w:val="ListParagraph"/>
        <w:numPr>
          <w:ilvl w:val="1"/>
          <w:numId w:val="28"/>
        </w:numPr>
        <w:tabs>
          <w:tab w:pos="955" w:val="left" w:leader="none"/>
          <w:tab w:pos="2480" w:val="left" w:leader="none"/>
        </w:tabs>
        <w:spacing w:line="283" w:lineRule="auto" w:before="0" w:after="0"/>
        <w:ind w:left="2480" w:right="150" w:hanging="2328"/>
        <w:jc w:val="left"/>
        <w:rPr>
          <w:sz w:val="22"/>
        </w:rPr>
      </w:pPr>
      <w:r>
        <w:rPr>
          <w:rFonts w:ascii="华文中宋" w:eastAsia="华文中宋" w:hint="eastAsia"/>
          <w:b/>
          <w:spacing w:val="-6"/>
          <w:sz w:val="22"/>
        </w:rPr>
        <w:t>瘫痪</w:t>
      </w:r>
      <w:r>
        <w:rPr>
          <w:rFonts w:ascii="华文中宋" w:eastAsia="华文中宋" w:hint="eastAsia"/>
          <w:b/>
          <w:sz w:val="22"/>
        </w:rPr>
        <w:tab/>
      </w:r>
      <w:r>
        <w:rPr>
          <w:spacing w:val="-2"/>
          <w:sz w:val="22"/>
        </w:rPr>
        <w:t>指因疾病或意外伤害导致两肢或两肢以上肢体随意运动功能永久完全丧失。肢体随意运动功能永久完全丧失，指疾病确诊180天后或意外伤害发生180天</w:t>
      </w:r>
    </w:p>
    <w:p>
      <w:pPr>
        <w:pStyle w:val="BodyText"/>
        <w:spacing w:line="324" w:lineRule="auto" w:before="47"/>
        <w:ind w:left="2480" w:right="152"/>
      </w:pPr>
      <w:r>
        <w:rPr>
          <w:spacing w:val="2"/>
          <w:w w:val="100"/>
        </w:rPr>
        <w:t>后，每肢三大关节中的两大关节仍然完全僵硬，或肢体肌力在</w:t>
      </w:r>
      <w:r>
        <w:rPr>
          <w:spacing w:val="4"/>
          <w:w w:val="100"/>
        </w:rPr>
        <w:t>2级（</w:t>
      </w:r>
      <w:r>
        <w:rPr>
          <w:spacing w:val="2"/>
          <w:w w:val="100"/>
        </w:rPr>
        <w:t>含</w:t>
      </w:r>
      <w:r>
        <w:rPr>
          <w:spacing w:val="4"/>
          <w:w w:val="100"/>
        </w:rPr>
        <w:t>）</w:t>
      </w:r>
      <w:r>
        <w:rPr>
          <w:w w:val="100"/>
        </w:rPr>
        <w:t>以</w:t>
      </w:r>
      <w:r>
        <w:rPr>
          <w:spacing w:val="-1"/>
          <w:w w:val="100"/>
        </w:rPr>
        <w:t>下。</w:t>
      </w:r>
    </w:p>
    <w:p>
      <w:pPr>
        <w:pStyle w:val="BodyText"/>
        <w:spacing w:before="2"/>
        <w:rPr>
          <w:sz w:val="27"/>
        </w:rPr>
      </w:pPr>
    </w:p>
    <w:p>
      <w:pPr>
        <w:pStyle w:val="ListParagraph"/>
        <w:numPr>
          <w:ilvl w:val="1"/>
          <w:numId w:val="28"/>
        </w:numPr>
        <w:tabs>
          <w:tab w:pos="955" w:val="left" w:leader="none"/>
          <w:tab w:pos="2480" w:val="left" w:leader="none"/>
        </w:tabs>
        <w:spacing w:line="280" w:lineRule="auto" w:before="1" w:after="0"/>
        <w:ind w:left="2480" w:right="150" w:hanging="2328"/>
        <w:jc w:val="left"/>
        <w:rPr>
          <w:sz w:val="22"/>
        </w:rPr>
      </w:pPr>
      <w:r>
        <w:rPr>
          <w:rFonts w:ascii="华文中宋" w:eastAsia="华文中宋" w:hint="eastAsia"/>
          <w:b/>
          <w:spacing w:val="-2"/>
          <w:sz w:val="22"/>
        </w:rPr>
        <w:t>心脏瓣膜手术</w:t>
      </w:r>
      <w:r>
        <w:rPr>
          <w:rFonts w:ascii="华文中宋" w:eastAsia="华文中宋" w:hint="eastAsia"/>
          <w:b/>
          <w:sz w:val="22"/>
        </w:rPr>
        <w:tab/>
      </w:r>
      <w:r>
        <w:rPr>
          <w:spacing w:val="-2"/>
          <w:sz w:val="22"/>
        </w:rPr>
        <w:t>指为治疗心脏瓣膜疾病，已经实施了切开心脏进行的心脏瓣膜置换或修复的</w:t>
      </w:r>
      <w:r>
        <w:rPr>
          <w:spacing w:val="-4"/>
          <w:sz w:val="22"/>
        </w:rPr>
        <w:t>手术。</w:t>
      </w:r>
    </w:p>
    <w:p>
      <w:pPr>
        <w:pStyle w:val="BodyText"/>
        <w:spacing w:before="52"/>
        <w:ind w:left="2480"/>
      </w:pPr>
      <w:r>
        <w:rPr>
          <w:color w:val="000000"/>
          <w:spacing w:val="-3"/>
          <w:shd w:fill="E4E4E4" w:color="auto" w:val="clear"/>
        </w:rPr>
        <w:t>所有未切开心脏的心脏瓣膜介入手术不在保障范围内。</w:t>
      </w:r>
    </w:p>
    <w:p>
      <w:pPr>
        <w:pStyle w:val="BodyText"/>
        <w:spacing w:before="3"/>
        <w:rPr>
          <w:sz w:val="29"/>
        </w:rPr>
      </w:pPr>
    </w:p>
    <w:p>
      <w:pPr>
        <w:spacing w:after="0"/>
        <w:rPr>
          <w:sz w:val="29"/>
        </w:rPr>
        <w:sectPr>
          <w:pgSz w:w="11910" w:h="16840"/>
          <w:pgMar w:header="484" w:footer="706" w:top="1240" w:bottom="900" w:left="980" w:right="980"/>
        </w:sectPr>
      </w:pPr>
    </w:p>
    <w:p>
      <w:pPr>
        <w:pStyle w:val="Heading2"/>
        <w:numPr>
          <w:ilvl w:val="1"/>
          <w:numId w:val="28"/>
        </w:numPr>
        <w:tabs>
          <w:tab w:pos="955" w:val="left" w:leader="none"/>
        </w:tabs>
        <w:spacing w:line="261" w:lineRule="auto" w:before="72" w:after="0"/>
        <w:ind w:left="954" w:right="0" w:hanging="802"/>
        <w:jc w:val="left"/>
      </w:pPr>
      <w:r>
        <w:rPr>
          <w:spacing w:val="-2"/>
        </w:rPr>
        <w:t>严重阿尔茨海</w:t>
      </w:r>
      <w:r>
        <w:rPr>
          <w:spacing w:val="-6"/>
        </w:rPr>
        <w:t>默病</w:t>
      </w:r>
    </w:p>
    <w:p>
      <w:pPr>
        <w:pStyle w:val="BodyText"/>
        <w:spacing w:line="324" w:lineRule="auto" w:before="102"/>
        <w:ind w:left="152" w:right="150"/>
        <w:jc w:val="both"/>
      </w:pPr>
      <w:r>
        <w:rPr/>
        <w:br w:type="column"/>
      </w:r>
      <w:r>
        <w:rPr>
          <w:spacing w:val="-1"/>
          <w:w w:val="100"/>
        </w:rPr>
        <w:t>指因大脑进行性、不可逆性改变导致智能严重衰退或丧失，临床表现为严重的认知功能障碍、精神行为异常和社交能力减退等，其日常生活必须持续受</w:t>
      </w:r>
      <w:r>
        <w:rPr>
          <w:spacing w:val="2"/>
          <w:w w:val="100"/>
        </w:rPr>
        <w:t>到他人监护。须由头颅断层扫描（</w:t>
      </w:r>
      <w:r>
        <w:rPr>
          <w:spacing w:val="-1"/>
          <w:w w:val="100"/>
        </w:rPr>
        <w:t>C</w:t>
      </w:r>
      <w:r>
        <w:rPr>
          <w:spacing w:val="4"/>
          <w:w w:val="100"/>
        </w:rPr>
        <w:t>T）</w:t>
      </w:r>
      <w:r>
        <w:rPr>
          <w:spacing w:val="3"/>
          <w:w w:val="100"/>
        </w:rPr>
        <w:t>、核磁共振检查</w:t>
      </w:r>
      <w:r>
        <w:rPr>
          <w:spacing w:val="2"/>
          <w:w w:val="100"/>
        </w:rPr>
        <w:t>（</w:t>
      </w:r>
      <w:r>
        <w:rPr>
          <w:spacing w:val="-1"/>
          <w:w w:val="100"/>
        </w:rPr>
        <w:t>MR</w:t>
      </w:r>
      <w:r>
        <w:rPr>
          <w:spacing w:val="4"/>
          <w:w w:val="100"/>
        </w:rPr>
        <w:t>I）</w:t>
      </w:r>
      <w:r>
        <w:rPr>
          <w:spacing w:val="2"/>
          <w:w w:val="100"/>
        </w:rPr>
        <w:t>或正电子发</w:t>
      </w:r>
      <w:r>
        <w:rPr>
          <w:spacing w:val="3"/>
          <w:w w:val="100"/>
        </w:rPr>
        <w:t>射断层扫描</w:t>
      </w:r>
      <w:r>
        <w:rPr>
          <w:spacing w:val="4"/>
          <w:w w:val="100"/>
        </w:rPr>
        <w:t>（</w:t>
      </w:r>
      <w:r>
        <w:rPr>
          <w:spacing w:val="-1"/>
          <w:w w:val="100"/>
        </w:rPr>
        <w:t>PE</w:t>
      </w:r>
      <w:r>
        <w:rPr>
          <w:spacing w:val="4"/>
          <w:w w:val="100"/>
        </w:rPr>
        <w:t>T）</w:t>
      </w:r>
      <w:r>
        <w:rPr>
          <w:spacing w:val="1"/>
          <w:w w:val="100"/>
        </w:rPr>
        <w:t>等影像学检查证实，并经相关专科医生确诊，且须满足</w:t>
      </w:r>
      <w:r>
        <w:rPr>
          <w:spacing w:val="-3"/>
          <w:w w:val="100"/>
        </w:rPr>
        <w:t>下列至少一项条件：</w:t>
      </w:r>
    </w:p>
    <w:p>
      <w:pPr>
        <w:pStyle w:val="ListParagraph"/>
        <w:numPr>
          <w:ilvl w:val="0"/>
          <w:numId w:val="33"/>
        </w:numPr>
        <w:tabs>
          <w:tab w:pos="607" w:val="left" w:leader="none"/>
        </w:tabs>
        <w:spacing w:line="324" w:lineRule="auto" w:before="0" w:after="0"/>
        <w:ind w:left="606" w:right="150" w:hanging="454"/>
        <w:jc w:val="left"/>
        <w:rPr>
          <w:sz w:val="22"/>
        </w:rPr>
      </w:pPr>
      <w:r>
        <w:rPr>
          <w:spacing w:val="11"/>
          <w:sz w:val="22"/>
        </w:rPr>
        <w:t>由具有评估资格的专科医生根据临床痴呆评定量表</w:t>
      </w:r>
      <w:r>
        <w:rPr>
          <w:sz w:val="22"/>
        </w:rPr>
        <w:t>（CDR，Clinical Dementia Rating）评估结果为3分；</w:t>
      </w:r>
    </w:p>
    <w:p>
      <w:pPr>
        <w:pStyle w:val="ListParagraph"/>
        <w:numPr>
          <w:ilvl w:val="0"/>
          <w:numId w:val="33"/>
        </w:numPr>
        <w:tabs>
          <w:tab w:pos="607" w:val="left" w:leader="none"/>
        </w:tabs>
        <w:spacing w:line="324" w:lineRule="auto" w:before="0" w:after="0"/>
        <w:ind w:left="606" w:right="152" w:hanging="454"/>
        <w:jc w:val="left"/>
        <w:rPr>
          <w:sz w:val="22"/>
        </w:rPr>
      </w:pPr>
      <w:r>
        <w:rPr>
          <w:spacing w:val="-2"/>
          <w:sz w:val="22"/>
        </w:rPr>
        <w:t>自主生活能力完全丧失，无法独立完成六项基本日常生活活动中的三项或三项以上。</w:t>
      </w:r>
    </w:p>
    <w:p>
      <w:pPr>
        <w:pStyle w:val="BodyText"/>
        <w:spacing w:line="279" w:lineRule="exact"/>
        <w:ind w:left="152"/>
      </w:pPr>
      <w:r>
        <w:rPr>
          <w:color w:val="000000"/>
          <w:spacing w:val="-3"/>
          <w:shd w:fill="E4E4E4" w:color="auto" w:val="clear"/>
        </w:rPr>
        <w:t>阿尔茨海默病之外的其他类型痴呆不在保障范围内。</w:t>
      </w:r>
    </w:p>
    <w:p>
      <w:pPr>
        <w:spacing w:after="0" w:line="279" w:lineRule="exact"/>
        <w:sectPr>
          <w:type w:val="continuous"/>
          <w:pgSz w:w="11910" w:h="16840"/>
          <w:pgMar w:header="484" w:footer="706" w:top="1240" w:bottom="900" w:left="980" w:right="980"/>
          <w:cols w:num="2" w:equalWidth="0">
            <w:col w:w="2277" w:space="51"/>
            <w:col w:w="7622"/>
          </w:cols>
        </w:sectPr>
      </w:pPr>
    </w:p>
    <w:p>
      <w:pPr>
        <w:pStyle w:val="BodyText"/>
        <w:rPr>
          <w:sz w:val="20"/>
        </w:rPr>
      </w:pPr>
    </w:p>
    <w:p>
      <w:pPr>
        <w:pStyle w:val="BodyText"/>
        <w:rPr>
          <w:sz w:val="20"/>
        </w:rPr>
      </w:pPr>
    </w:p>
    <w:p>
      <w:pPr>
        <w:pStyle w:val="BodyText"/>
        <w:spacing w:before="9"/>
        <w:rPr>
          <w:sz w:val="20"/>
        </w:rPr>
      </w:pPr>
    </w:p>
    <w:p>
      <w:pPr>
        <w:spacing w:before="85"/>
        <w:ind w:left="152" w:right="0" w:firstLine="0"/>
        <w:jc w:val="left"/>
        <w:rPr>
          <w:sz w:val="18"/>
        </w:rPr>
      </w:pPr>
      <w:r>
        <w:rPr>
          <w:rFonts w:ascii="Times New Roman" w:eastAsia="Times New Roman"/>
          <w:sz w:val="18"/>
          <w:vertAlign w:val="superscript"/>
        </w:rPr>
        <w:t>32</w:t>
      </w:r>
      <w:r>
        <w:rPr>
          <w:rFonts w:ascii="Times New Roman" w:eastAsia="Times New Roman"/>
          <w:spacing w:val="37"/>
          <w:sz w:val="18"/>
          <w:vertAlign w:val="baseline"/>
        </w:rPr>
        <w:t> </w:t>
      </w:r>
      <w:r>
        <w:rPr>
          <w:b/>
          <w:sz w:val="18"/>
          <w:vertAlign w:val="baseline"/>
        </w:rPr>
        <w:t>永久</w:t>
      </w:r>
      <w:r>
        <w:rPr>
          <w:b/>
          <w:sz w:val="18"/>
          <w:vertAlign w:val="baseline"/>
        </w:rPr>
        <w:t>不</w:t>
      </w:r>
      <w:r>
        <w:rPr>
          <w:b/>
          <w:sz w:val="18"/>
          <w:vertAlign w:val="baseline"/>
        </w:rPr>
        <w:t>可</w:t>
      </w:r>
      <w:r>
        <w:rPr>
          <w:b/>
          <w:sz w:val="18"/>
          <w:vertAlign w:val="baseline"/>
        </w:rPr>
        <w:t>逆</w:t>
      </w:r>
      <w:r>
        <w:rPr>
          <w:sz w:val="18"/>
          <w:vertAlign w:val="baseline"/>
        </w:rPr>
        <w:t>：指自疾病确诊或意外伤害发生之日起，经过积极治疗</w:t>
      </w:r>
      <w:r>
        <w:rPr>
          <w:rFonts w:ascii="Times New Roman" w:eastAsia="Times New Roman"/>
          <w:sz w:val="18"/>
          <w:vertAlign w:val="baseline"/>
        </w:rPr>
        <w:t>180</w:t>
      </w:r>
      <w:r>
        <w:rPr>
          <w:spacing w:val="-1"/>
          <w:sz w:val="18"/>
          <w:vertAlign w:val="baseline"/>
        </w:rPr>
        <w:t>天后，仍无法通过现有医疗手段恢复。</w:t>
      </w:r>
    </w:p>
    <w:p>
      <w:pPr>
        <w:spacing w:after="0"/>
        <w:jc w:val="left"/>
        <w:rPr>
          <w:sz w:val="18"/>
        </w:rPr>
        <w:sectPr>
          <w:type w:val="continuous"/>
          <w:pgSz w:w="11910" w:h="16840"/>
          <w:pgMar w:header="484" w:footer="706" w:top="1240" w:bottom="900" w:left="980" w:right="980"/>
        </w:sectPr>
      </w:pPr>
    </w:p>
    <w:p>
      <w:pPr>
        <w:pStyle w:val="BodyText"/>
        <w:rPr>
          <w:sz w:val="12"/>
        </w:rPr>
      </w:pPr>
    </w:p>
    <w:p>
      <w:pPr>
        <w:pStyle w:val="ListParagraph"/>
        <w:numPr>
          <w:ilvl w:val="1"/>
          <w:numId w:val="28"/>
        </w:numPr>
        <w:tabs>
          <w:tab w:pos="955" w:val="left" w:leader="none"/>
          <w:tab w:pos="2480" w:val="left" w:leader="none"/>
        </w:tabs>
        <w:spacing w:line="283" w:lineRule="auto" w:before="73" w:after="0"/>
        <w:ind w:left="2480" w:right="150" w:hanging="2328"/>
        <w:jc w:val="left"/>
        <w:rPr>
          <w:sz w:val="22"/>
        </w:rPr>
      </w:pPr>
      <w:r>
        <w:rPr>
          <w:rFonts w:ascii="华文中宋" w:eastAsia="华文中宋" w:hint="eastAsia"/>
          <w:b/>
          <w:spacing w:val="-4"/>
          <w:sz w:val="22"/>
        </w:rPr>
        <w:t>严重脑损伤</w:t>
      </w:r>
      <w:r>
        <w:rPr>
          <w:rFonts w:ascii="华文中宋" w:eastAsia="华文中宋" w:hint="eastAsia"/>
          <w:b/>
          <w:sz w:val="22"/>
        </w:rPr>
        <w:tab/>
      </w:r>
      <w:r>
        <w:rPr>
          <w:spacing w:val="-2"/>
          <w:sz w:val="22"/>
        </w:rPr>
        <w:t>指因头部遭受机械性外力，引起脑重要部位损伤，导致神经系统永久性的功能障碍。须由头颅断层扫描（CT）、核磁共振检查（MRI）或正电子发射断</w:t>
      </w:r>
    </w:p>
    <w:p>
      <w:pPr>
        <w:pStyle w:val="BodyText"/>
        <w:spacing w:line="324" w:lineRule="auto" w:before="46"/>
        <w:ind w:left="2480" w:right="150"/>
      </w:pPr>
      <w:r>
        <w:rPr>
          <w:spacing w:val="-2"/>
        </w:rPr>
        <w:t>层扫描（PET）等影像学检查证实。神经系统永久性的功能障碍，指脑损伤 180天后，仍遗留下列至少一种障碍：</w:t>
      </w:r>
    </w:p>
    <w:p>
      <w:pPr>
        <w:pStyle w:val="ListParagraph"/>
        <w:numPr>
          <w:ilvl w:val="2"/>
          <w:numId w:val="28"/>
        </w:numPr>
        <w:tabs>
          <w:tab w:pos="2935" w:val="left" w:leader="none"/>
        </w:tabs>
        <w:spacing w:line="282" w:lineRule="exact" w:before="0" w:after="0"/>
        <w:ind w:left="2934" w:right="0" w:hanging="455"/>
        <w:jc w:val="left"/>
        <w:rPr>
          <w:sz w:val="22"/>
        </w:rPr>
      </w:pPr>
      <w:r>
        <w:rPr>
          <w:spacing w:val="-2"/>
          <w:sz w:val="22"/>
        </w:rPr>
        <w:t>一肢（含）以上肢体肌力2级（含）</w:t>
      </w:r>
      <w:r>
        <w:rPr>
          <w:spacing w:val="-5"/>
          <w:sz w:val="22"/>
        </w:rPr>
        <w:t>以下；</w:t>
      </w:r>
    </w:p>
    <w:p>
      <w:pPr>
        <w:pStyle w:val="ListParagraph"/>
        <w:numPr>
          <w:ilvl w:val="2"/>
          <w:numId w:val="28"/>
        </w:numPr>
        <w:tabs>
          <w:tab w:pos="2935" w:val="left" w:leader="none"/>
        </w:tabs>
        <w:spacing w:line="240" w:lineRule="auto" w:before="97" w:after="0"/>
        <w:ind w:left="2934" w:right="0" w:hanging="455"/>
        <w:jc w:val="left"/>
        <w:rPr>
          <w:sz w:val="22"/>
        </w:rPr>
      </w:pPr>
      <w:r>
        <w:rPr>
          <w:spacing w:val="-3"/>
          <w:sz w:val="22"/>
        </w:rPr>
        <w:t>语言能力完全丧失，或严重咀嚼吞咽功能障碍；</w:t>
      </w:r>
    </w:p>
    <w:p>
      <w:pPr>
        <w:pStyle w:val="ListParagraph"/>
        <w:numPr>
          <w:ilvl w:val="2"/>
          <w:numId w:val="28"/>
        </w:numPr>
        <w:tabs>
          <w:tab w:pos="2935" w:val="left" w:leader="none"/>
        </w:tabs>
        <w:spacing w:line="324" w:lineRule="auto" w:before="98" w:after="0"/>
        <w:ind w:left="2934" w:right="152" w:hanging="454"/>
        <w:jc w:val="left"/>
        <w:rPr>
          <w:sz w:val="22"/>
        </w:rPr>
      </w:pPr>
      <w:r>
        <w:rPr>
          <w:spacing w:val="-2"/>
          <w:sz w:val="22"/>
        </w:rPr>
        <w:t>自主生活能力完全丧失，无法独立完成六项基本日常生活活动中的三项或三项以上。</w:t>
      </w:r>
    </w:p>
    <w:p>
      <w:pPr>
        <w:pStyle w:val="BodyText"/>
        <w:spacing w:before="7"/>
        <w:rPr>
          <w:sz w:val="21"/>
        </w:rPr>
      </w:pPr>
    </w:p>
    <w:p>
      <w:pPr>
        <w:spacing w:after="0"/>
        <w:rPr>
          <w:sz w:val="21"/>
        </w:rPr>
        <w:sectPr>
          <w:pgSz w:w="11910" w:h="16840"/>
          <w:pgMar w:header="484" w:footer="706" w:top="1240" w:bottom="900" w:left="980" w:right="980"/>
        </w:sectPr>
      </w:pPr>
    </w:p>
    <w:p>
      <w:pPr>
        <w:pStyle w:val="Heading2"/>
        <w:numPr>
          <w:ilvl w:val="1"/>
          <w:numId w:val="28"/>
        </w:numPr>
        <w:tabs>
          <w:tab w:pos="955" w:val="left" w:leader="none"/>
        </w:tabs>
        <w:spacing w:line="261" w:lineRule="auto" w:before="73" w:after="0"/>
        <w:ind w:left="954" w:right="0" w:hanging="802"/>
        <w:jc w:val="left"/>
      </w:pPr>
      <w:r>
        <w:rPr>
          <w:spacing w:val="-2"/>
        </w:rPr>
        <w:t>严重原发性帕</w:t>
      </w:r>
      <w:r>
        <w:rPr>
          <w:spacing w:val="-4"/>
        </w:rPr>
        <w:t>金森病</w:t>
      </w:r>
    </w:p>
    <w:p>
      <w:pPr>
        <w:pStyle w:val="BodyText"/>
        <w:spacing w:line="324" w:lineRule="auto" w:before="103"/>
        <w:ind w:left="152" w:right="150"/>
        <w:jc w:val="both"/>
      </w:pPr>
      <w:r>
        <w:rPr/>
        <w:br w:type="column"/>
      </w:r>
      <w:r>
        <w:rPr>
          <w:spacing w:val="-2"/>
        </w:rPr>
        <w:t>是一种中枢神经系统的退行性疾病，临床表现为运动迟缓、静止性震颤或肌强直等，经相关专科医生确诊，且须满足自主生活能力完全丧失，无法独立完成六项基本日常生活活动中的三项或三项以上。</w:t>
      </w:r>
    </w:p>
    <w:p>
      <w:pPr>
        <w:pStyle w:val="BodyText"/>
        <w:spacing w:line="280" w:lineRule="exact"/>
        <w:ind w:left="152"/>
      </w:pPr>
      <w:r>
        <w:rPr>
          <w:color w:val="000000"/>
          <w:spacing w:val="-3"/>
          <w:shd w:fill="E4E4E4" w:color="auto" w:val="clear"/>
        </w:rPr>
        <w:t>继发性帕金森综合征、帕金森叠加综合征不在保障范围内。</w:t>
      </w:r>
    </w:p>
    <w:p>
      <w:pPr>
        <w:spacing w:after="0" w:line="280" w:lineRule="exact"/>
        <w:sectPr>
          <w:type w:val="continuous"/>
          <w:pgSz w:w="11910" w:h="16840"/>
          <w:pgMar w:header="484" w:footer="706" w:top="1240" w:bottom="900" w:left="980" w:right="980"/>
          <w:cols w:num="2" w:equalWidth="0">
            <w:col w:w="2277" w:space="51"/>
            <w:col w:w="7622"/>
          </w:cols>
        </w:sectPr>
      </w:pPr>
    </w:p>
    <w:p>
      <w:pPr>
        <w:pStyle w:val="BodyText"/>
        <w:spacing w:before="4"/>
        <w:rPr>
          <w:sz w:val="29"/>
        </w:rPr>
      </w:pPr>
    </w:p>
    <w:p>
      <w:pPr>
        <w:pStyle w:val="ListParagraph"/>
        <w:numPr>
          <w:ilvl w:val="1"/>
          <w:numId w:val="28"/>
        </w:numPr>
        <w:tabs>
          <w:tab w:pos="955" w:val="left" w:leader="none"/>
          <w:tab w:pos="2480" w:val="left" w:leader="none"/>
        </w:tabs>
        <w:spacing w:line="280" w:lineRule="auto" w:before="73" w:after="0"/>
        <w:ind w:left="2480" w:right="150" w:hanging="2328"/>
        <w:jc w:val="left"/>
        <w:rPr>
          <w:sz w:val="22"/>
        </w:rPr>
      </w:pPr>
      <w:r>
        <w:rPr>
          <w:rFonts w:ascii="华文中宋" w:hAnsi="华文中宋" w:eastAsia="华文中宋" w:hint="eastAsia"/>
          <w:b/>
          <w:spacing w:val="-2"/>
          <w:sz w:val="22"/>
        </w:rPr>
        <w:t>严重Ⅲ度烧伤</w:t>
      </w:r>
      <w:r>
        <w:rPr>
          <w:rFonts w:ascii="华文中宋" w:hAnsi="华文中宋" w:eastAsia="华文中宋" w:hint="eastAsia"/>
          <w:b/>
          <w:sz w:val="22"/>
        </w:rPr>
        <w:tab/>
      </w:r>
      <w:r>
        <w:rPr>
          <w:spacing w:val="-2"/>
          <w:sz w:val="22"/>
        </w:rPr>
        <w:t>指烧伤程度为Ⅲ度，且Ⅲ度烧伤的面积达到全身体表面积的20%或20%以上。体表面积根据《中国新九分法》计算。</w:t>
      </w:r>
    </w:p>
    <w:p>
      <w:pPr>
        <w:pStyle w:val="BodyText"/>
        <w:spacing w:before="9"/>
        <w:rPr>
          <w:sz w:val="25"/>
        </w:rPr>
      </w:pPr>
    </w:p>
    <w:p>
      <w:pPr>
        <w:spacing w:after="0"/>
        <w:rPr>
          <w:sz w:val="25"/>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2" w:after="0"/>
        <w:ind w:left="954" w:right="0" w:hanging="803"/>
        <w:jc w:val="left"/>
      </w:pPr>
      <w:r>
        <w:rPr>
          <w:spacing w:val="-4"/>
        </w:rPr>
        <w:t>严重特发性肺</w:t>
      </w:r>
    </w:p>
    <w:p>
      <w:pPr>
        <w:spacing w:before="30"/>
        <w:ind w:left="954" w:right="0" w:firstLine="0"/>
        <w:jc w:val="left"/>
        <w:rPr>
          <w:rFonts w:ascii="华文中宋" w:eastAsia="华文中宋" w:hint="eastAsia"/>
          <w:b/>
          <w:sz w:val="22"/>
        </w:rPr>
      </w:pPr>
      <w:r>
        <w:rPr>
          <w:rFonts w:ascii="华文中宋" w:eastAsia="华文中宋" w:hint="eastAsia"/>
          <w:b/>
          <w:spacing w:val="-5"/>
          <w:sz w:val="22"/>
        </w:rPr>
        <w:t>动脉高压</w:t>
      </w:r>
    </w:p>
    <w:p>
      <w:pPr>
        <w:spacing w:line="324" w:lineRule="auto" w:before="102"/>
        <w:ind w:left="152" w:right="150" w:firstLine="0"/>
        <w:jc w:val="both"/>
        <w:rPr>
          <w:sz w:val="22"/>
        </w:rPr>
      </w:pPr>
      <w:r>
        <w:rPr/>
        <w:br w:type="column"/>
      </w:r>
      <w:r>
        <w:rPr>
          <w:spacing w:val="-2"/>
          <w:sz w:val="22"/>
        </w:rPr>
        <w:t>指不明原因的肺动脉压力持续性增高，进行性发展而导致的慢性疾病，已经</w:t>
      </w:r>
      <w:r>
        <w:rPr>
          <w:spacing w:val="4"/>
          <w:sz w:val="22"/>
        </w:rPr>
        <w:t>造成永久不可逆性的体力活动能力受限，达到</w:t>
      </w:r>
      <w:r>
        <w:rPr>
          <w:b/>
          <w:spacing w:val="10"/>
          <w:sz w:val="22"/>
        </w:rPr>
        <w:t>美国纽约心脏病学会</w:t>
      </w:r>
      <w:r>
        <w:rPr>
          <w:b/>
          <w:sz w:val="22"/>
        </w:rPr>
        <w:t>（New York Heart Association，NYHA）心功能状态分级</w:t>
      </w:r>
      <w:hyperlink w:history="true" w:anchor="_bookmark32">
        <w:r>
          <w:rPr>
            <w:rFonts w:ascii="PMingLiU-ExtB" w:eastAsia="PMingLiU-ExtB"/>
            <w:position w:val="10"/>
            <w:sz w:val="10"/>
          </w:rPr>
          <w:t>33</w:t>
        </w:r>
      </w:hyperlink>
      <w:r>
        <w:rPr>
          <w:sz w:val="22"/>
        </w:rPr>
        <w:t>IV级，且静息状态下肺</w:t>
      </w:r>
      <w:r>
        <w:rPr>
          <w:spacing w:val="-2"/>
          <w:sz w:val="22"/>
        </w:rPr>
        <w:t>动脉平均压在36mmHg（含）以上。</w:t>
      </w:r>
    </w:p>
    <w:p>
      <w:pPr>
        <w:spacing w:after="0" w:line="324" w:lineRule="auto"/>
        <w:jc w:val="both"/>
        <w:rPr>
          <w:sz w:val="22"/>
        </w:rPr>
        <w:sectPr>
          <w:type w:val="continuous"/>
          <w:pgSz w:w="11910" w:h="16840"/>
          <w:pgMar w:header="484" w:footer="706" w:top="1240" w:bottom="900" w:left="980" w:right="980"/>
          <w:cols w:num="2" w:equalWidth="0">
            <w:col w:w="2277" w:space="51"/>
            <w:col w:w="7622"/>
          </w:cols>
        </w:sectPr>
      </w:pPr>
    </w:p>
    <w:p>
      <w:pPr>
        <w:pStyle w:val="BodyText"/>
        <w:spacing w:before="5"/>
        <w:rPr>
          <w:sz w:val="21"/>
        </w:rPr>
      </w:pPr>
    </w:p>
    <w:p>
      <w:pPr>
        <w:spacing w:after="0"/>
        <w:rPr>
          <w:sz w:val="21"/>
        </w:rPr>
        <w:sectPr>
          <w:type w:val="continuous"/>
          <w:pgSz w:w="11910" w:h="16840"/>
          <w:pgMar w:header="484" w:footer="706" w:top="1240" w:bottom="900" w:left="980" w:right="980"/>
        </w:sectPr>
      </w:pPr>
    </w:p>
    <w:p>
      <w:pPr>
        <w:pStyle w:val="Heading2"/>
        <w:numPr>
          <w:ilvl w:val="1"/>
          <w:numId w:val="28"/>
        </w:numPr>
        <w:tabs>
          <w:tab w:pos="955" w:val="left" w:leader="none"/>
        </w:tabs>
        <w:spacing w:line="261" w:lineRule="auto" w:before="75" w:after="0"/>
        <w:ind w:left="954" w:right="0" w:hanging="802"/>
        <w:jc w:val="left"/>
      </w:pPr>
      <w:r>
        <w:rPr>
          <w:spacing w:val="-2"/>
        </w:rPr>
        <w:t>严重运动神经</w:t>
      </w:r>
      <w:r>
        <w:rPr>
          <w:spacing w:val="-6"/>
        </w:rPr>
        <w:t>元病</w:t>
      </w:r>
    </w:p>
    <w:p>
      <w:pPr>
        <w:pStyle w:val="BodyText"/>
        <w:spacing w:line="324" w:lineRule="auto" w:before="105"/>
        <w:ind w:left="152" w:right="150"/>
        <w:jc w:val="both"/>
      </w:pPr>
      <w:r>
        <w:rPr/>
        <w:br w:type="column"/>
      </w:r>
      <w:r>
        <w:rPr>
          <w:spacing w:val="6"/>
          <w:w w:val="100"/>
        </w:rPr>
        <w:t>是一组中枢神经系统运动神经元的进行性变性疾病，包括进行性脊肌萎缩</w:t>
      </w:r>
      <w:r>
        <w:rPr>
          <w:spacing w:val="1"/>
          <w:w w:val="100"/>
        </w:rPr>
        <w:t>症、进行性延髓麻痹症、原发性侧索硬化症、肌萎缩性侧索硬化症,经相关</w:t>
      </w:r>
      <w:r>
        <w:rPr>
          <w:spacing w:val="-3"/>
          <w:w w:val="100"/>
        </w:rPr>
        <w:t>专科医生确诊，且须满足下列至少一项条件：</w:t>
      </w:r>
    </w:p>
    <w:p>
      <w:pPr>
        <w:pStyle w:val="ListParagraph"/>
        <w:numPr>
          <w:ilvl w:val="0"/>
          <w:numId w:val="34"/>
        </w:numPr>
        <w:tabs>
          <w:tab w:pos="607" w:val="left" w:leader="none"/>
        </w:tabs>
        <w:spacing w:line="280" w:lineRule="exact" w:before="0" w:after="0"/>
        <w:ind w:left="606" w:right="0" w:hanging="455"/>
        <w:jc w:val="both"/>
        <w:rPr>
          <w:sz w:val="22"/>
        </w:rPr>
      </w:pPr>
      <w:r>
        <w:rPr>
          <w:spacing w:val="-3"/>
          <w:sz w:val="22"/>
        </w:rPr>
        <w:t>严重咀嚼吞咽功能障碍；</w:t>
      </w:r>
    </w:p>
    <w:p>
      <w:pPr>
        <w:pStyle w:val="ListParagraph"/>
        <w:numPr>
          <w:ilvl w:val="0"/>
          <w:numId w:val="34"/>
        </w:numPr>
        <w:tabs>
          <w:tab w:pos="607" w:val="left" w:leader="none"/>
        </w:tabs>
        <w:spacing w:line="324" w:lineRule="auto" w:before="97" w:after="0"/>
        <w:ind w:left="606" w:right="150" w:hanging="454"/>
        <w:jc w:val="both"/>
        <w:rPr>
          <w:sz w:val="22"/>
        </w:rPr>
      </w:pPr>
      <w:r>
        <w:rPr>
          <w:spacing w:val="7"/>
          <w:sz w:val="22"/>
        </w:rPr>
        <w:t>呼吸肌麻痹导致严重呼吸困难，且已经持续使用呼吸机</w:t>
      </w:r>
      <w:r>
        <w:rPr>
          <w:spacing w:val="10"/>
          <w:sz w:val="22"/>
        </w:rPr>
        <w:t>7天（含）</w:t>
      </w:r>
      <w:r>
        <w:rPr>
          <w:sz w:val="22"/>
        </w:rPr>
        <w:t>以</w:t>
      </w:r>
      <w:r>
        <w:rPr>
          <w:spacing w:val="-6"/>
          <w:sz w:val="22"/>
        </w:rPr>
        <w:t>上；</w:t>
      </w:r>
    </w:p>
    <w:p>
      <w:pPr>
        <w:pStyle w:val="ListParagraph"/>
        <w:numPr>
          <w:ilvl w:val="0"/>
          <w:numId w:val="34"/>
        </w:numPr>
        <w:tabs>
          <w:tab w:pos="607" w:val="left" w:leader="none"/>
        </w:tabs>
        <w:spacing w:line="324" w:lineRule="auto" w:before="0" w:after="0"/>
        <w:ind w:left="606" w:right="152" w:hanging="454"/>
        <w:jc w:val="both"/>
        <w:rPr>
          <w:sz w:val="22"/>
        </w:rPr>
      </w:pPr>
      <w:r>
        <w:rPr>
          <w:spacing w:val="-2"/>
          <w:sz w:val="22"/>
        </w:rPr>
        <w:t>自主生活能力完全丧失，无法独立完成六项基本日常生活活动中的三项或三项以上。</w:t>
      </w:r>
    </w:p>
    <w:p>
      <w:pPr>
        <w:spacing w:after="0" w:line="324" w:lineRule="auto"/>
        <w:jc w:val="both"/>
        <w:rPr>
          <w:sz w:val="22"/>
        </w:rPr>
        <w:sectPr>
          <w:type w:val="continuous"/>
          <w:pgSz w:w="11910" w:h="16840"/>
          <w:pgMar w:header="484" w:footer="706" w:top="1240" w:bottom="900" w:left="980" w:right="980"/>
          <w:cols w:num="2" w:equalWidth="0">
            <w:col w:w="2277" w:space="51"/>
            <w:col w:w="7622"/>
          </w:cols>
        </w:sectPr>
      </w:pPr>
    </w:p>
    <w:p>
      <w:pPr>
        <w:pStyle w:val="BodyText"/>
        <w:spacing w:before="5"/>
        <w:rPr>
          <w:sz w:val="21"/>
        </w:rPr>
      </w:pPr>
    </w:p>
    <w:p>
      <w:pPr>
        <w:pStyle w:val="ListParagraph"/>
        <w:numPr>
          <w:ilvl w:val="1"/>
          <w:numId w:val="28"/>
        </w:numPr>
        <w:tabs>
          <w:tab w:pos="955" w:val="left" w:leader="none"/>
          <w:tab w:pos="2480" w:val="left" w:leader="none"/>
        </w:tabs>
        <w:spacing w:line="280" w:lineRule="auto" w:before="75" w:after="0"/>
        <w:ind w:left="2480" w:right="150" w:hanging="2328"/>
        <w:jc w:val="left"/>
        <w:rPr>
          <w:sz w:val="22"/>
        </w:rPr>
      </w:pPr>
      <w:r>
        <w:rPr>
          <w:rFonts w:ascii="华文中宋" w:eastAsia="华文中宋" w:hint="eastAsia"/>
          <w:b/>
          <w:spacing w:val="-2"/>
          <w:sz w:val="22"/>
        </w:rPr>
        <w:t>语言能力丧失</w:t>
      </w:r>
      <w:r>
        <w:rPr>
          <w:rFonts w:ascii="华文中宋" w:eastAsia="华文中宋" w:hint="eastAsia"/>
          <w:b/>
          <w:sz w:val="22"/>
        </w:rPr>
        <w:tab/>
      </w:r>
      <w:r>
        <w:rPr>
          <w:spacing w:val="-2"/>
          <w:sz w:val="22"/>
        </w:rPr>
        <w:t>指因疾病或意外伤害导致语言能力完全丧失，经过积极治疗至少12个月（声带完全切除不受此时间限制），仍无法通过现有医疗手段恢复。</w:t>
      </w:r>
    </w:p>
    <w:p>
      <w:pPr>
        <w:pStyle w:val="BodyText"/>
        <w:spacing w:before="11"/>
        <w:rPr>
          <w:sz w:val="13"/>
        </w:rPr>
      </w:pPr>
    </w:p>
    <w:p>
      <w:pPr>
        <w:spacing w:line="242" w:lineRule="auto" w:before="85"/>
        <w:ind w:left="368" w:right="150" w:hanging="216"/>
        <w:jc w:val="both"/>
        <w:rPr>
          <w:sz w:val="18"/>
        </w:rPr>
      </w:pPr>
      <w:r>
        <w:rPr>
          <w:rFonts w:ascii="Times New Roman" w:hAnsi="Times New Roman" w:eastAsia="Times New Roman"/>
          <w:w w:val="100"/>
          <w:sz w:val="18"/>
          <w:vertAlign w:val="superscript"/>
        </w:rPr>
        <w:t>33</w:t>
      </w:r>
      <w:r>
        <w:rPr>
          <w:rFonts w:ascii="Times New Roman" w:hAnsi="Times New Roman" w:eastAsia="Times New Roman"/>
          <w:spacing w:val="5"/>
          <w:sz w:val="18"/>
          <w:vertAlign w:val="baseline"/>
        </w:rPr>
        <w:t>  </w:t>
      </w:r>
      <w:r>
        <w:rPr>
          <w:b/>
          <w:w w:val="99"/>
          <w:sz w:val="18"/>
          <w:vertAlign w:val="baseline"/>
        </w:rPr>
        <w:t>美国纽约心脏病学会（</w:t>
      </w:r>
      <w:r>
        <w:rPr>
          <w:b/>
          <w:spacing w:val="1"/>
          <w:w w:val="99"/>
          <w:sz w:val="18"/>
          <w:vertAlign w:val="baseline"/>
        </w:rPr>
        <w:t>Ne</w:t>
      </w:r>
      <w:r>
        <w:rPr>
          <w:b/>
          <w:w w:val="99"/>
          <w:sz w:val="18"/>
          <w:vertAlign w:val="baseline"/>
        </w:rPr>
        <w:t>w</w:t>
      </w:r>
      <w:r>
        <w:rPr>
          <w:b/>
          <w:spacing w:val="1"/>
          <w:sz w:val="18"/>
          <w:vertAlign w:val="baseline"/>
        </w:rPr>
        <w:t> </w:t>
      </w:r>
      <w:r>
        <w:rPr>
          <w:b/>
          <w:spacing w:val="1"/>
          <w:w w:val="99"/>
          <w:sz w:val="18"/>
          <w:vertAlign w:val="baseline"/>
        </w:rPr>
        <w:t>Yor</w:t>
      </w:r>
      <w:r>
        <w:rPr>
          <w:b/>
          <w:w w:val="99"/>
          <w:sz w:val="18"/>
          <w:vertAlign w:val="baseline"/>
        </w:rPr>
        <w:t>k</w:t>
      </w:r>
      <w:r>
        <w:rPr>
          <w:b/>
          <w:spacing w:val="-1"/>
          <w:sz w:val="18"/>
          <w:vertAlign w:val="baseline"/>
        </w:rPr>
        <w:t> </w:t>
      </w:r>
      <w:r>
        <w:rPr>
          <w:b/>
          <w:spacing w:val="1"/>
          <w:w w:val="99"/>
          <w:sz w:val="18"/>
          <w:vertAlign w:val="baseline"/>
        </w:rPr>
        <w:t>Hear</w:t>
      </w:r>
      <w:r>
        <w:rPr>
          <w:b/>
          <w:w w:val="99"/>
          <w:sz w:val="18"/>
          <w:vertAlign w:val="baseline"/>
        </w:rPr>
        <w:t>t</w:t>
      </w:r>
      <w:r>
        <w:rPr>
          <w:b/>
          <w:spacing w:val="-1"/>
          <w:sz w:val="18"/>
          <w:vertAlign w:val="baseline"/>
        </w:rPr>
        <w:t> </w:t>
      </w:r>
      <w:r>
        <w:rPr>
          <w:b/>
          <w:spacing w:val="1"/>
          <w:w w:val="99"/>
          <w:sz w:val="18"/>
          <w:vertAlign w:val="baseline"/>
        </w:rPr>
        <w:t>Associat</w:t>
      </w:r>
      <w:r>
        <w:rPr>
          <w:b/>
          <w:spacing w:val="-2"/>
          <w:w w:val="99"/>
          <w:sz w:val="18"/>
          <w:vertAlign w:val="baseline"/>
        </w:rPr>
        <w:t>i</w:t>
      </w:r>
      <w:r>
        <w:rPr>
          <w:b/>
          <w:spacing w:val="1"/>
          <w:w w:val="99"/>
          <w:sz w:val="18"/>
          <w:vertAlign w:val="baseline"/>
        </w:rPr>
        <w:t>o</w:t>
      </w:r>
      <w:r>
        <w:rPr>
          <w:b/>
          <w:spacing w:val="-2"/>
          <w:w w:val="99"/>
          <w:sz w:val="18"/>
          <w:vertAlign w:val="baseline"/>
        </w:rPr>
        <w:t>n</w:t>
      </w:r>
      <w:r>
        <w:rPr>
          <w:b/>
          <w:w w:val="99"/>
          <w:sz w:val="18"/>
          <w:vertAlign w:val="baseline"/>
        </w:rPr>
        <w:t>，</w:t>
      </w:r>
      <w:r>
        <w:rPr>
          <w:b/>
          <w:spacing w:val="1"/>
          <w:w w:val="99"/>
          <w:sz w:val="18"/>
          <w:vertAlign w:val="baseline"/>
        </w:rPr>
        <w:t>NYHA</w:t>
      </w:r>
      <w:r>
        <w:rPr>
          <w:b/>
          <w:spacing w:val="2"/>
          <w:w w:val="99"/>
          <w:sz w:val="18"/>
          <w:vertAlign w:val="baseline"/>
        </w:rPr>
        <w:t>）</w:t>
      </w:r>
      <w:r>
        <w:rPr>
          <w:b/>
          <w:w w:val="99"/>
          <w:sz w:val="18"/>
          <w:vertAlign w:val="baseline"/>
        </w:rPr>
        <w:t>心功能状态分级</w:t>
      </w:r>
      <w:r>
        <w:rPr>
          <w:sz w:val="18"/>
          <w:vertAlign w:val="baseline"/>
        </w:rPr>
        <w:t>：美国纽约心脏病学会</w:t>
      </w:r>
      <w:r>
        <w:rPr>
          <w:spacing w:val="-3"/>
          <w:sz w:val="18"/>
          <w:vertAlign w:val="baseline"/>
        </w:rPr>
        <w:t>（</w:t>
      </w:r>
      <w:r>
        <w:rPr>
          <w:spacing w:val="1"/>
          <w:sz w:val="18"/>
          <w:vertAlign w:val="baseline"/>
        </w:rPr>
        <w:t>N</w:t>
      </w:r>
      <w:r>
        <w:rPr>
          <w:spacing w:val="-2"/>
          <w:sz w:val="18"/>
          <w:vertAlign w:val="baseline"/>
        </w:rPr>
        <w:t>e</w:t>
      </w:r>
      <w:r>
        <w:rPr>
          <w:sz w:val="18"/>
          <w:vertAlign w:val="baseline"/>
        </w:rPr>
        <w:t>w</w:t>
      </w:r>
      <w:r>
        <w:rPr>
          <w:spacing w:val="2"/>
          <w:sz w:val="18"/>
          <w:vertAlign w:val="baseline"/>
        </w:rPr>
        <w:t> </w:t>
      </w:r>
      <w:r>
        <w:rPr>
          <w:spacing w:val="1"/>
          <w:sz w:val="18"/>
          <w:vertAlign w:val="baseline"/>
        </w:rPr>
        <w:t>Y</w:t>
      </w:r>
      <w:r>
        <w:rPr>
          <w:spacing w:val="-2"/>
          <w:sz w:val="18"/>
          <w:vertAlign w:val="baseline"/>
        </w:rPr>
        <w:t>o</w:t>
      </w:r>
      <w:r>
        <w:rPr>
          <w:spacing w:val="1"/>
          <w:sz w:val="18"/>
          <w:vertAlign w:val="baseline"/>
        </w:rPr>
        <w:t>r</w:t>
      </w:r>
      <w:r>
        <w:rPr>
          <w:sz w:val="18"/>
          <w:vertAlign w:val="baseline"/>
        </w:rPr>
        <w:t>k </w:t>
      </w:r>
      <w:r>
        <w:rPr>
          <w:spacing w:val="1"/>
          <w:sz w:val="18"/>
          <w:vertAlign w:val="baseline"/>
        </w:rPr>
        <w:t>H</w:t>
      </w:r>
      <w:r>
        <w:rPr>
          <w:spacing w:val="-2"/>
          <w:sz w:val="18"/>
          <w:vertAlign w:val="baseline"/>
        </w:rPr>
        <w:t>e</w:t>
      </w:r>
      <w:r>
        <w:rPr>
          <w:spacing w:val="1"/>
          <w:sz w:val="18"/>
          <w:vertAlign w:val="baseline"/>
        </w:rPr>
        <w:t>a</w:t>
      </w:r>
      <w:r>
        <w:rPr>
          <w:spacing w:val="-2"/>
          <w:sz w:val="18"/>
          <w:vertAlign w:val="baseline"/>
        </w:rPr>
        <w:t>r</w:t>
      </w:r>
      <w:r>
        <w:rPr>
          <w:sz w:val="18"/>
          <w:vertAlign w:val="baseline"/>
        </w:rPr>
        <w:t>t </w:t>
      </w:r>
      <w:r>
        <w:rPr>
          <w:spacing w:val="1"/>
          <w:sz w:val="18"/>
          <w:vertAlign w:val="baseline"/>
        </w:rPr>
        <w:t>A</w:t>
      </w:r>
      <w:r>
        <w:rPr>
          <w:spacing w:val="-2"/>
          <w:sz w:val="18"/>
          <w:vertAlign w:val="baseline"/>
        </w:rPr>
        <w:t>s</w:t>
      </w:r>
      <w:r>
        <w:rPr>
          <w:spacing w:val="1"/>
          <w:sz w:val="18"/>
          <w:vertAlign w:val="baseline"/>
        </w:rPr>
        <w:t>s</w:t>
      </w:r>
      <w:r>
        <w:rPr>
          <w:spacing w:val="-2"/>
          <w:sz w:val="18"/>
          <w:vertAlign w:val="baseline"/>
        </w:rPr>
        <w:t>o</w:t>
      </w:r>
      <w:r>
        <w:rPr>
          <w:spacing w:val="1"/>
          <w:sz w:val="18"/>
          <w:vertAlign w:val="baseline"/>
        </w:rPr>
        <w:t>c</w:t>
      </w:r>
      <w:r>
        <w:rPr>
          <w:spacing w:val="-2"/>
          <w:sz w:val="18"/>
          <w:vertAlign w:val="baseline"/>
        </w:rPr>
        <w:t>i</w:t>
      </w:r>
      <w:r>
        <w:rPr>
          <w:spacing w:val="1"/>
          <w:sz w:val="18"/>
          <w:vertAlign w:val="baseline"/>
        </w:rPr>
        <w:t>a</w:t>
      </w:r>
      <w:r>
        <w:rPr>
          <w:spacing w:val="-2"/>
          <w:sz w:val="18"/>
          <w:vertAlign w:val="baseline"/>
        </w:rPr>
        <w:t>t</w:t>
      </w:r>
      <w:r>
        <w:rPr>
          <w:spacing w:val="1"/>
          <w:sz w:val="18"/>
          <w:vertAlign w:val="baseline"/>
        </w:rPr>
        <w:t>i</w:t>
      </w:r>
      <w:r>
        <w:rPr>
          <w:spacing w:val="-2"/>
          <w:sz w:val="18"/>
          <w:vertAlign w:val="baseline"/>
        </w:rPr>
        <w:t>o</w:t>
      </w:r>
      <w:r>
        <w:rPr>
          <w:spacing w:val="3"/>
          <w:sz w:val="18"/>
          <w:vertAlign w:val="baseline"/>
        </w:rPr>
        <w:t>n</w:t>
      </w:r>
      <w:r>
        <w:rPr>
          <w:spacing w:val="2"/>
          <w:sz w:val="18"/>
          <w:vertAlign w:val="baseline"/>
        </w:rPr>
        <w:t>，</w:t>
      </w:r>
      <w:r>
        <w:rPr>
          <w:spacing w:val="1"/>
          <w:sz w:val="18"/>
          <w:vertAlign w:val="baseline"/>
        </w:rPr>
        <w:t>N</w:t>
      </w:r>
      <w:r>
        <w:rPr>
          <w:spacing w:val="-2"/>
          <w:sz w:val="18"/>
          <w:vertAlign w:val="baseline"/>
        </w:rPr>
        <w:t>Y</w:t>
      </w:r>
      <w:r>
        <w:rPr>
          <w:spacing w:val="1"/>
          <w:sz w:val="18"/>
          <w:vertAlign w:val="baseline"/>
        </w:rPr>
        <w:t>H</w:t>
      </w:r>
      <w:r>
        <w:rPr>
          <w:spacing w:val="3"/>
          <w:sz w:val="18"/>
          <w:vertAlign w:val="baseline"/>
        </w:rPr>
        <w:t>A</w:t>
      </w:r>
      <w:r>
        <w:rPr>
          <w:spacing w:val="2"/>
          <w:sz w:val="18"/>
          <w:vertAlign w:val="baseline"/>
        </w:rPr>
        <w:t>）</w:t>
      </w:r>
      <w:r>
        <w:rPr>
          <w:spacing w:val="1"/>
          <w:sz w:val="18"/>
          <w:vertAlign w:val="baseline"/>
        </w:rPr>
        <w:t>将心功能状态分为四级：Ⅰ级：心脏病病人日常活动量不受限制，一般活动不引起乏力、呼吸困</w:t>
      </w:r>
      <w:r>
        <w:rPr>
          <w:sz w:val="18"/>
          <w:vertAlign w:val="baseline"/>
        </w:rPr>
        <w:t>难等心衰症状。Ⅱ级：心脏病病人体力活动轻度受限制，休息时无自觉症状，一般活动下可出现心衰症状。Ⅲ级：心脏病病人体力活动明显受限，低于平时一般活动即引起心衰症状。Ⅳ级：心脏病病人不能从事任何体力活动，休息状态下也存在心衰症状，活动后加重。</w:t>
      </w:r>
    </w:p>
    <w:p>
      <w:pPr>
        <w:spacing w:after="0" w:line="242" w:lineRule="auto"/>
        <w:jc w:val="both"/>
        <w:rPr>
          <w:sz w:val="18"/>
        </w:rPr>
        <w:sectPr>
          <w:type w:val="continuous"/>
          <w:pgSz w:w="11910" w:h="16840"/>
          <w:pgMar w:header="484" w:footer="706" w:top="1240" w:bottom="900" w:left="980" w:right="980"/>
        </w:sectPr>
      </w:pPr>
    </w:p>
    <w:p>
      <w:pPr>
        <w:pStyle w:val="BodyText"/>
        <w:spacing w:before="7"/>
        <w:rPr>
          <w:sz w:val="14"/>
        </w:rPr>
      </w:pPr>
    </w:p>
    <w:p>
      <w:pPr>
        <w:pStyle w:val="BodyText"/>
        <w:spacing w:before="70"/>
        <w:ind w:left="2480"/>
      </w:pPr>
      <w:r>
        <w:rPr>
          <w:color w:val="000000"/>
          <w:spacing w:val="-3"/>
          <w:shd w:fill="E4E4E4" w:color="auto" w:val="clear"/>
        </w:rPr>
        <w:t>精神心理因素所致的语言能力丧失不在保障范围内。</w:t>
      </w:r>
    </w:p>
    <w:p>
      <w:pPr>
        <w:pStyle w:val="BodyText"/>
        <w:spacing w:line="324" w:lineRule="auto" w:before="100"/>
        <w:ind w:left="2480" w:right="150"/>
      </w:pPr>
      <w:r>
        <w:rPr>
          <w:color w:val="000000"/>
          <w:spacing w:val="-2"/>
          <w:shd w:fill="E4E4E4" w:color="auto" w:val="clear"/>
        </w:rPr>
        <w:t>被保险人申请理赔时年龄必须在三周岁以上，并且提供理赔当时的语言能力</w:t>
      </w:r>
      <w:r>
        <w:rPr>
          <w:color w:val="000000"/>
          <w:spacing w:val="80"/>
          <w:w w:val="150"/>
          <w:shd w:fill="E4E4E4" w:color="auto" w:val="clear"/>
        </w:rPr>
        <w:t>                                       </w:t>
      </w:r>
      <w:r>
        <w:rPr>
          <w:color w:val="000000"/>
          <w:spacing w:val="-2"/>
          <w:shd w:fill="E4E4E4" w:color="auto" w:val="clear"/>
        </w:rPr>
        <w:t>丧失诊断及检查证据。</w:t>
      </w:r>
    </w:p>
    <w:p>
      <w:pPr>
        <w:pStyle w:val="BodyText"/>
        <w:spacing w:before="5"/>
        <w:rPr>
          <w:sz w:val="21"/>
        </w:rPr>
      </w:pPr>
    </w:p>
    <w:p>
      <w:pPr>
        <w:spacing w:after="0"/>
        <w:rPr>
          <w:sz w:val="21"/>
        </w:rPr>
        <w:sectPr>
          <w:pgSz w:w="11910" w:h="16840"/>
          <w:pgMar w:header="484" w:footer="706" w:top="1240" w:bottom="900" w:left="980" w:right="980"/>
        </w:sectPr>
      </w:pPr>
    </w:p>
    <w:p>
      <w:pPr>
        <w:pStyle w:val="Heading2"/>
        <w:numPr>
          <w:ilvl w:val="1"/>
          <w:numId w:val="28"/>
        </w:numPr>
        <w:tabs>
          <w:tab w:pos="955" w:val="left" w:leader="none"/>
        </w:tabs>
        <w:spacing w:line="261" w:lineRule="auto" w:before="75" w:after="0"/>
        <w:ind w:left="954" w:right="0" w:hanging="802"/>
        <w:jc w:val="left"/>
      </w:pPr>
      <w:r>
        <w:rPr>
          <w:spacing w:val="-2"/>
        </w:rPr>
        <w:t>重型再生障碍</w:t>
      </w:r>
      <w:r>
        <w:rPr>
          <w:spacing w:val="-4"/>
        </w:rPr>
        <w:t>性贫血</w:t>
      </w:r>
    </w:p>
    <w:p>
      <w:pPr>
        <w:pStyle w:val="BodyText"/>
        <w:spacing w:line="324" w:lineRule="auto" w:before="105"/>
        <w:ind w:left="152" w:right="150"/>
      </w:pPr>
      <w:r>
        <w:rPr/>
        <w:br w:type="column"/>
      </w:r>
      <w:r>
        <w:rPr>
          <w:spacing w:val="-2"/>
        </w:rPr>
        <w:t>指因骨髓造血功能慢性持续性衰竭导致的贫血、中性粒细胞减少及血小板减少，</w:t>
      </w:r>
      <w:r>
        <w:rPr>
          <w:color w:val="000000"/>
          <w:spacing w:val="-2"/>
          <w:shd w:fill="E4E4E4" w:color="auto" w:val="clear"/>
        </w:rPr>
        <w:t>且须满足下列全部条件：</w:t>
      </w:r>
    </w:p>
    <w:p>
      <w:pPr>
        <w:pStyle w:val="ListParagraph"/>
        <w:numPr>
          <w:ilvl w:val="0"/>
          <w:numId w:val="35"/>
        </w:numPr>
        <w:tabs>
          <w:tab w:pos="607" w:val="left" w:leader="none"/>
        </w:tabs>
        <w:spacing w:line="324" w:lineRule="auto" w:before="0" w:after="0"/>
        <w:ind w:left="606" w:right="150" w:hanging="454"/>
        <w:jc w:val="left"/>
        <w:rPr>
          <w:sz w:val="22"/>
        </w:rPr>
      </w:pPr>
      <w:r>
        <w:rPr>
          <w:spacing w:val="-2"/>
          <w:sz w:val="22"/>
        </w:rPr>
        <w:t>骨髓穿刺检查或骨髓活检结果支持诊断：骨髓细胞增生程度＜正常的</w:t>
      </w:r>
      <w:r>
        <w:rPr>
          <w:spacing w:val="40"/>
          <w:sz w:val="22"/>
        </w:rPr>
        <w:t> </w:t>
      </w:r>
      <w:r>
        <w:rPr>
          <w:spacing w:val="-2"/>
          <w:sz w:val="22"/>
        </w:rPr>
        <w:t>25%；如≥正常的25%但＜50%，则残存的造血细胞应＜30%；</w:t>
      </w:r>
    </w:p>
    <w:p>
      <w:pPr>
        <w:pStyle w:val="ListParagraph"/>
        <w:numPr>
          <w:ilvl w:val="0"/>
          <w:numId w:val="35"/>
        </w:numPr>
        <w:tabs>
          <w:tab w:pos="607" w:val="left" w:leader="none"/>
        </w:tabs>
        <w:spacing w:line="324" w:lineRule="auto" w:before="0" w:after="0"/>
        <w:ind w:left="1060" w:right="3049" w:hanging="908"/>
        <w:jc w:val="left"/>
        <w:rPr>
          <w:sz w:val="22"/>
        </w:rPr>
      </w:pPr>
      <w:r>
        <w:rPr/>
        <w:drawing>
          <wp:anchor distT="0" distB="0" distL="0" distR="0" allowOverlap="1" layoutInCell="1" locked="0" behindDoc="1" simplePos="0" relativeHeight="484577280">
            <wp:simplePos x="0" y="0"/>
            <wp:positionH relativeFrom="page">
              <wp:posOffset>2485707</wp:posOffset>
            </wp:positionH>
            <wp:positionV relativeFrom="paragraph">
              <wp:posOffset>258381</wp:posOffset>
            </wp:positionV>
            <wp:extent cx="140335" cy="140334"/>
            <wp:effectExtent l="0" t="0" r="0" b="0"/>
            <wp:wrapNone/>
            <wp:docPr id="29" name="image7.png"/>
            <wp:cNvGraphicFramePr>
              <a:graphicFrameLocks noChangeAspect="1"/>
            </wp:cNvGraphicFramePr>
            <a:graphic>
              <a:graphicData uri="http://schemas.openxmlformats.org/drawingml/2006/picture">
                <pic:pic>
                  <pic:nvPicPr>
                    <pic:cNvPr id="30"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20.345020pt;width:11.05pt;height:11.05pt;mso-position-horizontal-relative:page;mso-position-vertical-relative:paragraph;z-index:-18738688" type="#_x0000_t202" id="docshape21" filled="false" stroked="false">
            <v:textbox inset="0,0,0,0">
              <w:txbxContent>
                <w:p>
                  <w:pPr>
                    <w:spacing w:line="219" w:lineRule="exact" w:before="2"/>
                    <w:ind w:left="62" w:right="0" w:firstLine="0"/>
                    <w:jc w:val="left"/>
                    <w:rPr>
                      <w:sz w:val="19"/>
                    </w:rPr>
                  </w:pPr>
                  <w:r>
                    <w:rPr>
                      <w:sz w:val="19"/>
                    </w:rPr>
                    <w:t>1</w:t>
                  </w:r>
                </w:p>
              </w:txbxContent>
            </v:textbox>
            <w10:wrap type="none"/>
          </v:shape>
        </w:pict>
      </w:r>
      <w:r>
        <w:rPr/>
        <w:drawing>
          <wp:anchor distT="0" distB="0" distL="0" distR="0" allowOverlap="1" layoutInCell="1" locked="0" behindDoc="1" simplePos="0" relativeHeight="484578304">
            <wp:simplePos x="0" y="0"/>
            <wp:positionH relativeFrom="page">
              <wp:posOffset>2485707</wp:posOffset>
            </wp:positionH>
            <wp:positionV relativeFrom="paragraph">
              <wp:posOffset>499681</wp:posOffset>
            </wp:positionV>
            <wp:extent cx="140335" cy="140334"/>
            <wp:effectExtent l="0" t="0" r="0" b="0"/>
            <wp:wrapNone/>
            <wp:docPr id="31" name="image7.png"/>
            <wp:cNvGraphicFramePr>
              <a:graphicFrameLocks noChangeAspect="1"/>
            </wp:cNvGraphicFramePr>
            <a:graphic>
              <a:graphicData uri="http://schemas.openxmlformats.org/drawingml/2006/picture">
                <pic:pic>
                  <pic:nvPicPr>
                    <pic:cNvPr id="32"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39.34502pt;width:11.05pt;height:11.05pt;mso-position-horizontal-relative:page;mso-position-vertical-relative:paragraph;z-index:-18737664" type="#_x0000_t202" id="docshape22" filled="false" stroked="false">
            <v:textbox inset="0,0,0,0">
              <w:txbxContent>
                <w:p>
                  <w:pPr>
                    <w:spacing w:line="219" w:lineRule="exact" w:before="1"/>
                    <w:ind w:left="62" w:right="0" w:firstLine="0"/>
                    <w:jc w:val="left"/>
                    <w:rPr>
                      <w:sz w:val="19"/>
                    </w:rPr>
                  </w:pPr>
                  <w:r>
                    <w:rPr>
                      <w:sz w:val="19"/>
                    </w:rPr>
                    <w:t>2</w:t>
                  </w:r>
                </w:p>
              </w:txbxContent>
            </v:textbox>
            <w10:wrap type="none"/>
          </v:shape>
        </w:pict>
      </w:r>
      <w:r>
        <w:rPr>
          <w:spacing w:val="-2"/>
          <w:sz w:val="22"/>
        </w:rPr>
        <w:t>外周血象须具备以下三项条件中的两项：中性粒细胞绝对值＜0.5×10</w:t>
      </w:r>
      <w:r>
        <w:rPr>
          <w:spacing w:val="-2"/>
          <w:position w:val="11"/>
          <w:sz w:val="11"/>
        </w:rPr>
        <w:t>9</w:t>
      </w:r>
      <w:r>
        <w:rPr>
          <w:spacing w:val="-2"/>
          <w:sz w:val="22"/>
        </w:rPr>
        <w:t>/L；</w:t>
      </w:r>
      <w:r>
        <w:rPr>
          <w:spacing w:val="40"/>
          <w:sz w:val="22"/>
        </w:rPr>
        <w:t> </w:t>
      </w:r>
      <w:r>
        <w:rPr>
          <w:spacing w:val="-2"/>
          <w:sz w:val="22"/>
        </w:rPr>
        <w:t>网织红细胞计数＜20×10</w:t>
      </w:r>
      <w:r>
        <w:rPr>
          <w:spacing w:val="-2"/>
          <w:position w:val="11"/>
          <w:sz w:val="11"/>
        </w:rPr>
        <w:t>9</w:t>
      </w:r>
      <w:r>
        <w:rPr>
          <w:spacing w:val="-2"/>
          <w:sz w:val="22"/>
        </w:rPr>
        <w:t>/L；</w:t>
      </w:r>
    </w:p>
    <w:p>
      <w:pPr>
        <w:pStyle w:val="BodyText"/>
        <w:spacing w:line="280" w:lineRule="exact"/>
        <w:ind w:left="1060"/>
      </w:pPr>
      <w:r>
        <w:rPr/>
        <w:drawing>
          <wp:anchor distT="0" distB="0" distL="0" distR="0" allowOverlap="1" layoutInCell="1" locked="0" behindDoc="0" simplePos="0" relativeHeight="15739904">
            <wp:simplePos x="0" y="0"/>
            <wp:positionH relativeFrom="page">
              <wp:posOffset>2485707</wp:posOffset>
            </wp:positionH>
            <wp:positionV relativeFrom="paragraph">
              <wp:posOffset>16069</wp:posOffset>
            </wp:positionV>
            <wp:extent cx="140335" cy="140334"/>
            <wp:effectExtent l="0" t="0" r="0" b="0"/>
            <wp:wrapNone/>
            <wp:docPr id="33" name="image8.png"/>
            <wp:cNvGraphicFramePr>
              <a:graphicFrameLocks noChangeAspect="1"/>
            </wp:cNvGraphicFramePr>
            <a:graphic>
              <a:graphicData uri="http://schemas.openxmlformats.org/drawingml/2006/picture">
                <pic:pic>
                  <pic:nvPicPr>
                    <pic:cNvPr id="34" name="image8.png"/>
                    <pic:cNvPicPr/>
                  </pic:nvPicPr>
                  <pic:blipFill>
                    <a:blip r:embed="rId16" cstate="print"/>
                    <a:stretch>
                      <a:fillRect/>
                    </a:stretch>
                  </pic:blipFill>
                  <pic:spPr>
                    <a:xfrm>
                      <a:off x="0" y="0"/>
                      <a:ext cx="140335" cy="140334"/>
                    </a:xfrm>
                    <a:prstGeom prst="rect">
                      <a:avLst/>
                    </a:prstGeom>
                  </pic:spPr>
                </pic:pic>
              </a:graphicData>
            </a:graphic>
          </wp:anchor>
        </w:drawing>
      </w:r>
      <w:r>
        <w:rPr/>
        <w:pict>
          <v:shape style="position:absolute;margin-left:195.725006pt;margin-top:1.265332pt;width:11.05pt;height:11.05pt;mso-position-horizontal-relative:page;mso-position-vertical-relative:paragraph;z-index:15740416" type="#_x0000_t202" id="docshape23" filled="false" stroked="false">
            <v:textbox inset="0,0,0,0">
              <w:txbxContent>
                <w:p>
                  <w:pPr>
                    <w:spacing w:line="220" w:lineRule="exact" w:before="0"/>
                    <w:ind w:left="62" w:right="0" w:firstLine="0"/>
                    <w:jc w:val="left"/>
                    <w:rPr>
                      <w:sz w:val="19"/>
                    </w:rPr>
                  </w:pPr>
                  <w:r>
                    <w:rPr>
                      <w:sz w:val="19"/>
                    </w:rPr>
                    <w:t>3</w:t>
                  </w:r>
                </w:p>
              </w:txbxContent>
            </v:textbox>
            <w10:wrap type="none"/>
          </v:shape>
        </w:pict>
      </w:r>
      <w:r>
        <w:rPr>
          <w:spacing w:val="-2"/>
        </w:rPr>
        <w:t>血小板绝对值＜20×10</w:t>
      </w:r>
      <w:r>
        <w:rPr>
          <w:spacing w:val="-2"/>
          <w:position w:val="11"/>
          <w:sz w:val="11"/>
        </w:rPr>
        <w:t>9</w:t>
      </w:r>
      <w:r>
        <w:rPr>
          <w:spacing w:val="-2"/>
        </w:rPr>
        <w:t>/L</w:t>
      </w:r>
      <w:r>
        <w:rPr>
          <w:spacing w:val="-10"/>
        </w:rPr>
        <w:t>。</w:t>
      </w:r>
    </w:p>
    <w:p>
      <w:pPr>
        <w:spacing w:after="0" w:line="280" w:lineRule="exact"/>
        <w:sectPr>
          <w:type w:val="continuous"/>
          <w:pgSz w:w="11910" w:h="16840"/>
          <w:pgMar w:header="484" w:footer="706" w:top="1240" w:bottom="900" w:left="980" w:right="980"/>
          <w:cols w:num="2" w:equalWidth="0">
            <w:col w:w="2277" w:space="51"/>
            <w:col w:w="7622"/>
          </w:cols>
        </w:sectPr>
      </w:pPr>
    </w:p>
    <w:p>
      <w:pPr>
        <w:pStyle w:val="BodyText"/>
        <w:spacing w:before="12"/>
        <w:rPr>
          <w:sz w:val="28"/>
        </w:rPr>
      </w:pPr>
    </w:p>
    <w:p>
      <w:pPr>
        <w:pStyle w:val="ListParagraph"/>
        <w:numPr>
          <w:ilvl w:val="1"/>
          <w:numId w:val="28"/>
        </w:numPr>
        <w:tabs>
          <w:tab w:pos="955" w:val="left" w:leader="none"/>
          <w:tab w:pos="2480" w:val="left" w:leader="none"/>
        </w:tabs>
        <w:spacing w:line="240" w:lineRule="auto" w:before="75" w:after="0"/>
        <w:ind w:left="954" w:right="0" w:hanging="803"/>
        <w:jc w:val="left"/>
        <w:rPr>
          <w:sz w:val="22"/>
        </w:rPr>
      </w:pPr>
      <w:r>
        <w:rPr>
          <w:rFonts w:ascii="华文中宋" w:eastAsia="华文中宋" w:hint="eastAsia"/>
          <w:b/>
          <w:spacing w:val="-2"/>
          <w:sz w:val="22"/>
        </w:rPr>
        <w:t>主动脉手</w:t>
      </w:r>
      <w:r>
        <w:rPr>
          <w:rFonts w:ascii="华文中宋" w:eastAsia="华文中宋" w:hint="eastAsia"/>
          <w:b/>
          <w:spacing w:val="-12"/>
          <w:sz w:val="22"/>
        </w:rPr>
        <w:t>术</w:t>
      </w:r>
      <w:r>
        <w:rPr>
          <w:rFonts w:ascii="华文中宋" w:eastAsia="华文中宋" w:hint="eastAsia"/>
          <w:b/>
          <w:sz w:val="22"/>
        </w:rPr>
        <w:tab/>
      </w:r>
      <w:r>
        <w:rPr>
          <w:sz w:val="22"/>
        </w:rPr>
        <w:t>指为治疗主动脉疾病或主动脉创伤，已经实施了开胸（含胸腔镜下）或开</w:t>
      </w:r>
      <w:r>
        <w:rPr>
          <w:spacing w:val="-10"/>
          <w:sz w:val="22"/>
        </w:rPr>
        <w:t>腹</w:t>
      </w:r>
    </w:p>
    <w:p>
      <w:pPr>
        <w:pStyle w:val="BodyText"/>
        <w:spacing w:line="324" w:lineRule="auto" w:before="60"/>
        <w:ind w:left="2480" w:right="150"/>
        <w:jc w:val="both"/>
      </w:pPr>
      <w:r>
        <w:rPr>
          <w:spacing w:val="-2"/>
        </w:rPr>
        <w:t>（含腹腔镜下）进行的切除、置换、修补病损主动脉血管、主动脉创伤后修复的手术。主动脉指升主动脉、主动脉弓和降主动脉（含胸主动脉和腹主动脉），</w:t>
      </w:r>
      <w:r>
        <w:rPr>
          <w:color w:val="000000"/>
          <w:spacing w:val="-2"/>
          <w:shd w:fill="E4E4E4" w:color="auto" w:val="clear"/>
        </w:rPr>
        <w:t>不包括升主动脉、主动脉弓和降主动脉的分支血管。</w:t>
      </w:r>
    </w:p>
    <w:p>
      <w:pPr>
        <w:pStyle w:val="BodyText"/>
        <w:spacing w:line="280" w:lineRule="exact"/>
        <w:ind w:left="2480"/>
      </w:pPr>
      <w:r>
        <w:rPr>
          <w:color w:val="000000"/>
          <w:spacing w:val="-3"/>
          <w:shd w:fill="E4E4E4" w:color="auto" w:val="clear"/>
        </w:rPr>
        <w:t>所有未实施开胸或开腹的动脉内介入治疗不在保障范围内。</w:t>
      </w:r>
    </w:p>
    <w:p>
      <w:pPr>
        <w:pStyle w:val="BodyText"/>
        <w:spacing w:before="2"/>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61" w:lineRule="auto" w:before="75" w:after="0"/>
        <w:ind w:left="954" w:right="0" w:hanging="802"/>
        <w:jc w:val="left"/>
      </w:pPr>
      <w:r>
        <w:rPr>
          <w:spacing w:val="-2"/>
        </w:rPr>
        <w:t>严重慢性呼吸</w:t>
      </w:r>
      <w:r>
        <w:rPr>
          <w:spacing w:val="-6"/>
        </w:rPr>
        <w:t>衰竭</w:t>
      </w:r>
    </w:p>
    <w:p>
      <w:pPr>
        <w:pStyle w:val="BodyText"/>
        <w:spacing w:line="324" w:lineRule="auto" w:before="106"/>
        <w:ind w:left="152" w:right="152"/>
      </w:pPr>
      <w:r>
        <w:rPr/>
        <w:br w:type="column"/>
      </w:r>
      <w:r>
        <w:rPr>
          <w:spacing w:val="-2"/>
        </w:rPr>
        <w:t>指因慢性呼吸系统疾病导致永久不可逆性的呼吸衰竭，</w:t>
      </w:r>
      <w:r>
        <w:rPr>
          <w:color w:val="000000"/>
          <w:spacing w:val="-2"/>
          <w:shd w:fill="E4E4E4" w:color="auto" w:val="clear"/>
        </w:rPr>
        <w:t>经过积极治疗180天</w:t>
      </w:r>
      <w:r>
        <w:rPr>
          <w:color w:val="000000"/>
          <w:spacing w:val="80"/>
          <w:w w:val="150"/>
          <w:shd w:fill="E4E4E4" w:color="auto" w:val="clear"/>
        </w:rPr>
        <w:t>                                       </w:t>
      </w:r>
      <w:r>
        <w:rPr>
          <w:color w:val="000000"/>
          <w:spacing w:val="-2"/>
          <w:shd w:fill="E4E4E4" w:color="auto" w:val="clear"/>
        </w:rPr>
        <w:t>后满足以下所有条件：</w:t>
      </w:r>
    </w:p>
    <w:p>
      <w:pPr>
        <w:pStyle w:val="ListParagraph"/>
        <w:numPr>
          <w:ilvl w:val="0"/>
          <w:numId w:val="36"/>
        </w:numPr>
        <w:tabs>
          <w:tab w:pos="607" w:val="left" w:leader="none"/>
        </w:tabs>
        <w:spacing w:line="279" w:lineRule="exact" w:before="0" w:after="0"/>
        <w:ind w:left="606" w:right="0" w:hanging="455"/>
        <w:jc w:val="left"/>
        <w:rPr>
          <w:sz w:val="22"/>
        </w:rPr>
      </w:pPr>
      <w:r>
        <w:rPr>
          <w:spacing w:val="-3"/>
          <w:sz w:val="22"/>
        </w:rPr>
        <w:t>静息时出现呼吸困难；</w:t>
      </w:r>
    </w:p>
    <w:p>
      <w:pPr>
        <w:pStyle w:val="ListParagraph"/>
        <w:numPr>
          <w:ilvl w:val="0"/>
          <w:numId w:val="36"/>
        </w:numPr>
        <w:tabs>
          <w:tab w:pos="607" w:val="left" w:leader="none"/>
        </w:tabs>
        <w:spacing w:line="240" w:lineRule="auto" w:before="99" w:after="0"/>
        <w:ind w:left="606" w:right="0" w:hanging="455"/>
        <w:jc w:val="left"/>
        <w:rPr>
          <w:sz w:val="22"/>
        </w:rPr>
      </w:pPr>
      <w:r>
        <w:rPr>
          <w:spacing w:val="-2"/>
          <w:sz w:val="22"/>
        </w:rPr>
        <w:t>肺功能第一秒用力呼气容积（FEV</w:t>
      </w:r>
      <w:r>
        <w:rPr>
          <w:spacing w:val="-2"/>
          <w:position w:val="-2"/>
          <w:sz w:val="11"/>
        </w:rPr>
        <w:t>1</w:t>
      </w:r>
      <w:r>
        <w:rPr>
          <w:spacing w:val="-2"/>
          <w:sz w:val="22"/>
        </w:rPr>
        <w:t>）占预计值的百分比＜30%；</w:t>
      </w:r>
    </w:p>
    <w:p>
      <w:pPr>
        <w:pStyle w:val="ListParagraph"/>
        <w:numPr>
          <w:ilvl w:val="0"/>
          <w:numId w:val="36"/>
        </w:numPr>
        <w:tabs>
          <w:tab w:pos="607" w:val="left" w:leader="none"/>
        </w:tabs>
        <w:spacing w:line="240" w:lineRule="auto" w:before="98" w:after="0"/>
        <w:ind w:left="606" w:right="0" w:hanging="455"/>
        <w:jc w:val="left"/>
        <w:rPr>
          <w:sz w:val="22"/>
        </w:rPr>
      </w:pPr>
      <w:r>
        <w:rPr>
          <w:spacing w:val="-2"/>
          <w:sz w:val="22"/>
        </w:rPr>
        <w:t>在静息状态、呼吸空气条件下，动脉血氧分压（PaO</w:t>
      </w:r>
      <w:r>
        <w:rPr>
          <w:spacing w:val="-2"/>
          <w:position w:val="-2"/>
          <w:sz w:val="11"/>
        </w:rPr>
        <w:t>2</w:t>
      </w:r>
      <w:r>
        <w:rPr>
          <w:spacing w:val="-2"/>
          <w:sz w:val="22"/>
        </w:rPr>
        <w:t>）＜50mmHg</w:t>
      </w:r>
      <w:r>
        <w:rPr>
          <w:spacing w:val="-10"/>
          <w:sz w:val="22"/>
        </w:rPr>
        <w:t>。</w:t>
      </w:r>
    </w:p>
    <w:p>
      <w:pPr>
        <w:spacing w:after="0" w:line="240"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2"/>
        <w:rPr>
          <w:sz w:val="29"/>
        </w:rPr>
      </w:pPr>
    </w:p>
    <w:p>
      <w:pPr>
        <w:pStyle w:val="ListParagraph"/>
        <w:numPr>
          <w:ilvl w:val="1"/>
          <w:numId w:val="28"/>
        </w:numPr>
        <w:tabs>
          <w:tab w:pos="955" w:val="left" w:leader="none"/>
        </w:tabs>
        <w:spacing w:line="302" w:lineRule="auto" w:before="75" w:after="0"/>
        <w:ind w:left="2480" w:right="150" w:hanging="2328"/>
        <w:jc w:val="both"/>
        <w:rPr>
          <w:sz w:val="22"/>
        </w:rPr>
      </w:pPr>
      <w:r>
        <w:rPr>
          <w:rFonts w:ascii="华文中宋" w:eastAsia="华文中宋" w:hint="eastAsia"/>
          <w:b/>
          <w:sz w:val="22"/>
        </w:rPr>
        <w:t>严重克罗恩病</w:t>
      </w:r>
      <w:r>
        <w:rPr>
          <w:rFonts w:ascii="华文中宋" w:eastAsia="华文中宋" w:hint="eastAsia"/>
          <w:b/>
          <w:spacing w:val="80"/>
          <w:w w:val="150"/>
          <w:sz w:val="22"/>
        </w:rPr>
        <w:t> </w:t>
      </w:r>
      <w:r>
        <w:rPr>
          <w:sz w:val="22"/>
        </w:rPr>
        <w:t>指一种慢性肉芽肿性肠炎，具有特征性的克罗恩病（Crohn病）病理组织学</w:t>
      </w:r>
      <w:r>
        <w:rPr>
          <w:spacing w:val="-2"/>
          <w:sz w:val="22"/>
        </w:rPr>
        <w:t>变化，须根据组织病理学特点诊断，且已经造成瘘管形成并伴有肠梗阻或肠</w:t>
      </w:r>
      <w:r>
        <w:rPr>
          <w:spacing w:val="-4"/>
          <w:sz w:val="22"/>
        </w:rPr>
        <w:t>穿孔。</w:t>
      </w:r>
    </w:p>
    <w:p>
      <w:pPr>
        <w:pStyle w:val="BodyText"/>
        <w:spacing w:before="2"/>
        <w:rPr>
          <w:sz w:val="23"/>
        </w:rPr>
      </w:pPr>
    </w:p>
    <w:p>
      <w:pPr>
        <w:spacing w:after="0"/>
        <w:rPr>
          <w:sz w:val="23"/>
        </w:rPr>
        <w:sectPr>
          <w:type w:val="continuous"/>
          <w:pgSz w:w="11910" w:h="16840"/>
          <w:pgMar w:header="484" w:footer="706" w:top="1240" w:bottom="900" w:left="980" w:right="980"/>
        </w:sectPr>
      </w:pPr>
    </w:p>
    <w:p>
      <w:pPr>
        <w:pStyle w:val="Heading2"/>
        <w:numPr>
          <w:ilvl w:val="1"/>
          <w:numId w:val="28"/>
        </w:numPr>
        <w:tabs>
          <w:tab w:pos="955" w:val="left" w:leader="none"/>
        </w:tabs>
        <w:spacing w:line="261" w:lineRule="auto" w:before="72" w:after="0"/>
        <w:ind w:left="954" w:right="0" w:hanging="802"/>
        <w:jc w:val="left"/>
      </w:pPr>
      <w:r>
        <w:rPr>
          <w:spacing w:val="-2"/>
        </w:rPr>
        <w:t>严重溃疡性结</w:t>
      </w:r>
      <w:r>
        <w:rPr>
          <w:spacing w:val="-6"/>
        </w:rPr>
        <w:t>肠炎</w:t>
      </w:r>
    </w:p>
    <w:p>
      <w:pPr>
        <w:pStyle w:val="BodyText"/>
        <w:spacing w:line="324" w:lineRule="auto" w:before="102"/>
        <w:ind w:left="152" w:right="150"/>
        <w:jc w:val="both"/>
      </w:pPr>
      <w:r>
        <w:rPr/>
        <w:br w:type="column"/>
      </w:r>
      <w:r>
        <w:rPr>
          <w:spacing w:val="6"/>
          <w:w w:val="100"/>
        </w:rPr>
        <w:t>指伴有致命性电解质紊乱的急性暴发性溃疡性结肠炎，病变已经累及全结</w:t>
      </w:r>
      <w:r>
        <w:rPr>
          <w:spacing w:val="-1"/>
          <w:w w:val="100"/>
        </w:rPr>
        <w:t>肠，表现为严重的血便和系统性症状体征，须根据组织病理学特点诊断，且</w:t>
      </w:r>
      <w:r>
        <w:rPr>
          <w:spacing w:val="-3"/>
          <w:w w:val="100"/>
        </w:rPr>
        <w:t>已经实施了结肠切除或回肠造瘘术。</w:t>
      </w:r>
    </w:p>
    <w:p>
      <w:pPr>
        <w:pStyle w:val="BodyText"/>
        <w:spacing w:before="6"/>
        <w:rPr>
          <w:sz w:val="29"/>
        </w:rPr>
      </w:pPr>
    </w:p>
    <w:p>
      <w:pPr>
        <w:pStyle w:val="Heading2"/>
        <w:spacing w:line="324" w:lineRule="auto" w:before="0"/>
        <w:ind w:left="152" w:right="152"/>
        <w:jc w:val="both"/>
        <w:rPr>
          <w:rFonts w:ascii="宋体" w:eastAsia="宋体" w:hint="eastAsia"/>
        </w:rPr>
      </w:pPr>
      <w:r>
        <w:rPr>
          <w:rFonts w:ascii="宋体" w:eastAsia="宋体" w:hint="eastAsia"/>
          <w:spacing w:val="-2"/>
        </w:rPr>
        <w:t>以上是中国保险行业协会与中国医师协会制定的《重大疾病保险的疾病定义使用规范(2020年修订版)》所规范的28种重大疾病种类，以下是本公司为扩</w:t>
      </w:r>
      <w:r>
        <w:rPr>
          <w:rFonts w:ascii="宋体" w:eastAsia="宋体" w:hint="eastAsia"/>
          <w:spacing w:val="-2"/>
        </w:rPr>
        <w:t>大保障范围所增设的92</w:t>
      </w:r>
      <w:r>
        <w:rPr>
          <w:rFonts w:ascii="宋体" w:eastAsia="宋体" w:hint="eastAsia"/>
          <w:spacing w:val="-2"/>
        </w:rPr>
        <w:t>种重大疾病。</w:t>
      </w:r>
    </w:p>
    <w:p>
      <w:pPr>
        <w:spacing w:after="0" w:line="324" w:lineRule="auto"/>
        <w:jc w:val="both"/>
        <w:rPr>
          <w:rFonts w:ascii="宋体" w:eastAsia="宋体" w:hint="eastAsia"/>
        </w:rPr>
        <w:sectPr>
          <w:type w:val="continuous"/>
          <w:pgSz w:w="11910" w:h="16840"/>
          <w:pgMar w:header="484" w:footer="706" w:top="1240" w:bottom="900" w:left="980" w:right="980"/>
          <w:cols w:num="2" w:equalWidth="0">
            <w:col w:w="2277" w:space="51"/>
            <w:col w:w="7622"/>
          </w:cols>
        </w:sectPr>
      </w:pPr>
    </w:p>
    <w:p>
      <w:pPr>
        <w:pStyle w:val="BodyText"/>
        <w:rPr>
          <w:b/>
          <w:sz w:val="20"/>
        </w:rPr>
      </w:pPr>
    </w:p>
    <w:p>
      <w:pPr>
        <w:pStyle w:val="BodyText"/>
        <w:spacing w:before="8"/>
        <w:rPr>
          <w:b/>
          <w:sz w:val="21"/>
        </w:rPr>
      </w:pPr>
    </w:p>
    <w:p>
      <w:pPr>
        <w:spacing w:after="0"/>
        <w:rPr>
          <w:sz w:val="21"/>
        </w:rPr>
        <w:sectPr>
          <w:pgSz w:w="11910" w:h="16840"/>
          <w:pgMar w:header="484" w:footer="706" w:top="1240" w:bottom="900" w:left="980" w:right="980"/>
        </w:sectPr>
      </w:pPr>
    </w:p>
    <w:p>
      <w:pPr>
        <w:pStyle w:val="ListParagraph"/>
        <w:numPr>
          <w:ilvl w:val="1"/>
          <w:numId w:val="28"/>
        </w:numPr>
        <w:tabs>
          <w:tab w:pos="955" w:val="left" w:leader="none"/>
        </w:tabs>
        <w:spacing w:line="261" w:lineRule="auto" w:before="75" w:after="0"/>
        <w:ind w:left="954" w:right="38" w:hanging="802"/>
        <w:jc w:val="left"/>
        <w:rPr>
          <w:rFonts w:ascii="华文中宋" w:eastAsia="华文中宋" w:hint="eastAsia"/>
          <w:b/>
          <w:sz w:val="22"/>
        </w:rPr>
      </w:pPr>
      <w:r>
        <w:rPr>
          <w:rFonts w:ascii="华文中宋" w:eastAsia="华文中宋" w:hint="eastAsia"/>
          <w:b/>
          <w:spacing w:val="-18"/>
          <w:sz w:val="22"/>
        </w:rPr>
        <w:t>严重多发性硬</w:t>
      </w:r>
      <w:r>
        <w:rPr>
          <w:rFonts w:ascii="华文中宋" w:eastAsia="华文中宋" w:hint="eastAsia"/>
          <w:b/>
          <w:spacing w:val="-6"/>
          <w:sz w:val="22"/>
        </w:rPr>
        <w:t>化症</w:t>
      </w:r>
    </w:p>
    <w:p>
      <w:pPr>
        <w:pStyle w:val="BodyText"/>
        <w:spacing w:line="324" w:lineRule="auto" w:before="105"/>
        <w:ind w:left="152" w:right="150"/>
        <w:jc w:val="both"/>
      </w:pPr>
      <w:r>
        <w:rPr/>
        <w:br w:type="column"/>
      </w:r>
      <w:r>
        <w:rPr>
          <w:spacing w:val="-1"/>
          <w:w w:val="100"/>
        </w:rPr>
        <w:t>多发性硬化为中枢神经系统白质多灶性脱髓鞘病变，病变有时累及灰质。多发性硬化必须明确诊断，并且已经造成永久不可逆的神经系统功能损害。永</w:t>
      </w:r>
      <w:r>
        <w:rPr>
          <w:spacing w:val="2"/>
          <w:w w:val="100"/>
        </w:rPr>
        <w:t>久不可逆的神经系统损害指被保险人持续</w:t>
      </w:r>
      <w:r>
        <w:rPr>
          <w:spacing w:val="-1"/>
          <w:w w:val="100"/>
        </w:rPr>
        <w:t>18</w:t>
      </w:r>
      <w:r>
        <w:rPr>
          <w:spacing w:val="2"/>
          <w:w w:val="100"/>
        </w:rPr>
        <w:t>0</w:t>
      </w:r>
      <w:r>
        <w:rPr>
          <w:spacing w:val="1"/>
          <w:w w:val="100"/>
        </w:rPr>
        <w:t>天无法独立完成下列基本日常</w:t>
      </w:r>
      <w:r>
        <w:rPr>
          <w:spacing w:val="-2"/>
          <w:w w:val="100"/>
        </w:rPr>
        <w:t>生活活动：</w:t>
      </w:r>
    </w:p>
    <w:p>
      <w:pPr>
        <w:pStyle w:val="ListParagraph"/>
        <w:numPr>
          <w:ilvl w:val="0"/>
          <w:numId w:val="37"/>
        </w:numPr>
        <w:tabs>
          <w:tab w:pos="607" w:val="left" w:leader="none"/>
        </w:tabs>
        <w:spacing w:line="279" w:lineRule="exact" w:before="0" w:after="0"/>
        <w:ind w:left="606" w:right="0" w:hanging="455"/>
        <w:jc w:val="both"/>
        <w:rPr>
          <w:sz w:val="22"/>
        </w:rPr>
      </w:pPr>
      <w:r>
        <w:rPr>
          <w:spacing w:val="-3"/>
          <w:sz w:val="22"/>
        </w:rPr>
        <w:t>移动：自己从一个房间移动到另一个房间；或者</w:t>
      </w:r>
    </w:p>
    <w:p>
      <w:pPr>
        <w:pStyle w:val="ListParagraph"/>
        <w:numPr>
          <w:ilvl w:val="0"/>
          <w:numId w:val="37"/>
        </w:numPr>
        <w:tabs>
          <w:tab w:pos="607" w:val="left" w:leader="none"/>
        </w:tabs>
        <w:spacing w:line="240" w:lineRule="auto" w:before="97" w:after="0"/>
        <w:ind w:left="606" w:right="0" w:hanging="455"/>
        <w:jc w:val="both"/>
        <w:rPr>
          <w:sz w:val="22"/>
        </w:rPr>
      </w:pPr>
      <w:r>
        <w:rPr>
          <w:spacing w:val="-3"/>
          <w:sz w:val="22"/>
        </w:rPr>
        <w:t>进食：自己从已准备好的碗或碟中取食物放入口中。</w:t>
      </w:r>
    </w:p>
    <w:p>
      <w:pPr>
        <w:spacing w:after="0" w:line="240" w:lineRule="auto"/>
        <w:jc w:val="both"/>
        <w:rPr>
          <w:sz w:val="22"/>
        </w:rPr>
        <w:sectPr>
          <w:type w:val="continuous"/>
          <w:pgSz w:w="11910" w:h="16840"/>
          <w:pgMar w:header="484" w:footer="706" w:top="1240" w:bottom="900" w:left="980" w:right="980"/>
          <w:cols w:num="2" w:equalWidth="0">
            <w:col w:w="2217" w:space="111"/>
            <w:col w:w="7622"/>
          </w:cols>
        </w:sectPr>
      </w:pPr>
    </w:p>
    <w:p>
      <w:pPr>
        <w:pStyle w:val="BodyText"/>
        <w:spacing w:before="5"/>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3" w:after="0"/>
        <w:ind w:left="954" w:right="0" w:hanging="803"/>
        <w:jc w:val="left"/>
      </w:pPr>
      <w:r>
        <w:rPr>
          <w:spacing w:val="-2"/>
        </w:rPr>
        <w:t>严重1</w:t>
      </w:r>
      <w:r>
        <w:rPr>
          <w:spacing w:val="-5"/>
        </w:rPr>
        <w:t>型糖尿</w:t>
      </w:r>
    </w:p>
    <w:p>
      <w:pPr>
        <w:spacing w:before="30"/>
        <w:ind w:left="954" w:right="0" w:firstLine="0"/>
        <w:jc w:val="left"/>
        <w:rPr>
          <w:rFonts w:ascii="华文中宋" w:eastAsia="华文中宋" w:hint="eastAsia"/>
          <w:b/>
          <w:sz w:val="22"/>
        </w:rPr>
      </w:pPr>
      <w:r>
        <w:rPr>
          <w:rFonts w:ascii="华文中宋" w:eastAsia="华文中宋" w:hint="eastAsia"/>
          <w:b/>
          <w:w w:val="100"/>
          <w:sz w:val="22"/>
        </w:rPr>
        <w:t>病</w:t>
      </w:r>
    </w:p>
    <w:p>
      <w:pPr>
        <w:pStyle w:val="BodyText"/>
        <w:spacing w:line="324" w:lineRule="auto" w:before="103"/>
        <w:ind w:left="152" w:right="150"/>
        <w:jc w:val="both"/>
      </w:pPr>
      <w:r>
        <w:rPr/>
        <w:br w:type="column"/>
      </w:r>
      <w:r>
        <w:rPr>
          <w:spacing w:val="4"/>
          <w:w w:val="100"/>
        </w:rPr>
        <w:t>1</w:t>
      </w:r>
      <w:r>
        <w:rPr>
          <w:spacing w:val="1"/>
          <w:w w:val="100"/>
        </w:rPr>
        <w:t>型糖尿病的特征为由于胰岛素分泌绝对不足引起严重胰岛素缺乏导致慢性</w:t>
      </w:r>
      <w:r>
        <w:rPr>
          <w:spacing w:val="-1"/>
          <w:w w:val="100"/>
        </w:rPr>
        <w:t>血糖升高，需要依赖外源性胰岛素进行机体的葡萄糖代谢和维持生命。被保</w:t>
      </w:r>
      <w:r>
        <w:rPr>
          <w:spacing w:val="3"/>
          <w:w w:val="100"/>
        </w:rPr>
        <w:t>险人的</w:t>
      </w:r>
      <w:r>
        <w:rPr>
          <w:spacing w:val="4"/>
          <w:w w:val="100"/>
        </w:rPr>
        <w:t>1</w:t>
      </w:r>
      <w:r>
        <w:rPr>
          <w:spacing w:val="2"/>
          <w:w w:val="100"/>
        </w:rPr>
        <w:t>型糖尿病必须明确诊断，</w:t>
      </w:r>
      <w:r>
        <w:rPr>
          <w:color w:val="000000"/>
          <w:spacing w:val="2"/>
          <w:w w:val="100"/>
          <w:shd w:fill="E4E4E4" w:color="auto" w:val="clear"/>
        </w:rPr>
        <w:t>而且有血胰岛素测定及血</w:t>
      </w:r>
      <w:r>
        <w:rPr>
          <w:color w:val="000000"/>
          <w:spacing w:val="4"/>
          <w:w w:val="100"/>
          <w:shd w:fill="E4E4E4" w:color="auto" w:val="clear"/>
        </w:rPr>
        <w:t>C</w:t>
      </w:r>
      <w:r>
        <w:rPr>
          <w:color w:val="000000"/>
          <w:spacing w:val="3"/>
          <w:w w:val="100"/>
          <w:shd w:fill="E4E4E4" w:color="auto" w:val="clear"/>
        </w:rPr>
        <w:t>肽或尿</w:t>
      </w:r>
      <w:r>
        <w:rPr>
          <w:color w:val="000000"/>
          <w:spacing w:val="4"/>
          <w:w w:val="100"/>
          <w:shd w:fill="E4E4E4" w:color="auto" w:val="clear"/>
        </w:rPr>
        <w:t>C</w:t>
      </w:r>
      <w:r>
        <w:rPr>
          <w:color w:val="000000"/>
          <w:spacing w:val="2"/>
          <w:w w:val="100"/>
          <w:shd w:fill="E4E4E4" w:color="auto" w:val="clear"/>
        </w:rPr>
        <w:t>肽测定</w:t>
      </w:r>
      <w:r>
        <w:rPr>
          <w:color w:val="000000"/>
          <w:spacing w:val="2"/>
          <w:w w:val="100"/>
          <w:shd w:fill="E4E4E4" w:color="auto" w:val="clear"/>
        </w:rPr>
        <w:t>                                                                                                                                  </w:t>
      </w:r>
      <w:r>
        <w:rPr>
          <w:color w:val="000000"/>
          <w:spacing w:val="-3"/>
          <w:w w:val="100"/>
          <w:shd w:fill="E4E4E4" w:color="auto" w:val="clear"/>
        </w:rPr>
        <w:t>结果支持诊断，并且满足下列全部条件：</w:t>
      </w:r>
    </w:p>
    <w:p>
      <w:pPr>
        <w:pStyle w:val="ListParagraph"/>
        <w:numPr>
          <w:ilvl w:val="0"/>
          <w:numId w:val="38"/>
        </w:numPr>
        <w:tabs>
          <w:tab w:pos="607" w:val="left" w:leader="none"/>
        </w:tabs>
        <w:spacing w:line="279" w:lineRule="exact" w:before="0" w:after="0"/>
        <w:ind w:left="606" w:right="0" w:hanging="455"/>
        <w:jc w:val="both"/>
        <w:rPr>
          <w:sz w:val="22"/>
        </w:rPr>
      </w:pPr>
      <w:r>
        <w:rPr>
          <w:spacing w:val="-2"/>
          <w:sz w:val="22"/>
        </w:rPr>
        <w:t>已经持续性地接受外源性胰岛素注射治疗连续180</w:t>
      </w:r>
      <w:r>
        <w:rPr>
          <w:spacing w:val="-4"/>
          <w:sz w:val="22"/>
        </w:rPr>
        <w:t>天以上；</w:t>
      </w:r>
    </w:p>
    <w:p>
      <w:pPr>
        <w:pStyle w:val="ListParagraph"/>
        <w:numPr>
          <w:ilvl w:val="0"/>
          <w:numId w:val="38"/>
        </w:numPr>
        <w:tabs>
          <w:tab w:pos="607" w:val="left" w:leader="none"/>
        </w:tabs>
        <w:spacing w:line="324" w:lineRule="auto" w:before="99" w:after="0"/>
        <w:ind w:left="606" w:right="152" w:hanging="454"/>
        <w:jc w:val="both"/>
        <w:rPr>
          <w:sz w:val="22"/>
        </w:rPr>
      </w:pPr>
      <w:r>
        <w:rPr>
          <w:spacing w:val="6"/>
          <w:w w:val="100"/>
          <w:sz w:val="22"/>
        </w:rPr>
        <w:t>因需要已经接受了下列治疗：因严重心律失常植入了心脏起搏器；或</w:t>
      </w:r>
      <w:r>
        <w:rPr>
          <w:spacing w:val="-3"/>
          <w:w w:val="100"/>
          <w:sz w:val="22"/>
        </w:rPr>
        <w:t>因坏疽自跖趾关节或以上切除了一趾或多趾。</w:t>
      </w:r>
    </w:p>
    <w:p>
      <w:pPr>
        <w:spacing w:after="0" w:line="324" w:lineRule="auto"/>
        <w:jc w:val="both"/>
        <w:rPr>
          <w:sz w:val="22"/>
        </w:rPr>
        <w:sectPr>
          <w:type w:val="continuous"/>
          <w:pgSz w:w="11910" w:h="16840"/>
          <w:pgMar w:header="484" w:footer="706" w:top="1240" w:bottom="900" w:left="980" w:right="980"/>
          <w:cols w:num="2" w:equalWidth="0">
            <w:col w:w="2233" w:space="95"/>
            <w:col w:w="7622"/>
          </w:cols>
        </w:sectPr>
      </w:pPr>
    </w:p>
    <w:p>
      <w:pPr>
        <w:pStyle w:val="BodyText"/>
        <w:spacing w:before="5"/>
        <w:rPr>
          <w:sz w:val="21"/>
        </w:rPr>
      </w:pPr>
    </w:p>
    <w:p>
      <w:pPr>
        <w:spacing w:after="0"/>
        <w:rPr>
          <w:sz w:val="21"/>
        </w:rPr>
        <w:sectPr>
          <w:type w:val="continuous"/>
          <w:pgSz w:w="11910" w:h="16840"/>
          <w:pgMar w:header="484" w:footer="706" w:top="1240" w:bottom="900" w:left="980" w:right="980"/>
        </w:sectPr>
      </w:pPr>
    </w:p>
    <w:p>
      <w:pPr>
        <w:pStyle w:val="Heading2"/>
        <w:numPr>
          <w:ilvl w:val="1"/>
          <w:numId w:val="28"/>
        </w:numPr>
        <w:tabs>
          <w:tab w:pos="955" w:val="left" w:leader="none"/>
        </w:tabs>
        <w:spacing w:line="261" w:lineRule="auto" w:before="75" w:after="0"/>
        <w:ind w:left="954" w:right="0" w:hanging="802"/>
        <w:jc w:val="left"/>
      </w:pPr>
      <w:r>
        <w:rPr>
          <w:spacing w:val="-2"/>
        </w:rPr>
        <w:t>严重类风湿性</w:t>
      </w:r>
      <w:r>
        <w:rPr>
          <w:spacing w:val="-4"/>
        </w:rPr>
        <w:t>关节炎</w:t>
      </w:r>
    </w:p>
    <w:p>
      <w:pPr>
        <w:pStyle w:val="BodyText"/>
        <w:spacing w:line="324" w:lineRule="auto" w:before="105"/>
        <w:ind w:left="152" w:right="150"/>
        <w:jc w:val="both"/>
      </w:pPr>
      <w:r>
        <w:rPr/>
        <w:br w:type="column"/>
      </w:r>
      <w:r>
        <w:rPr>
          <w:spacing w:val="6"/>
          <w:w w:val="100"/>
        </w:rPr>
        <w:t>类风湿性关节炎为广泛分布的慢性进行性多关节病变，表现为关节严重变</w:t>
      </w:r>
      <w:r>
        <w:rPr>
          <w:spacing w:val="-1"/>
          <w:w w:val="100"/>
        </w:rPr>
        <w:t>形，侵犯至少三个主要关节或关节组，如：双手（多手指</w:t>
      </w:r>
      <w:r>
        <w:rPr>
          <w:spacing w:val="2"/>
          <w:w w:val="100"/>
        </w:rPr>
        <w:t>）</w:t>
      </w:r>
      <w:r>
        <w:rPr>
          <w:spacing w:val="-1"/>
          <w:w w:val="100"/>
        </w:rPr>
        <w:t>关节、双足</w:t>
      </w:r>
      <w:r>
        <w:rPr>
          <w:spacing w:val="2"/>
          <w:w w:val="100"/>
        </w:rPr>
        <w:t>（</w:t>
      </w:r>
      <w:r>
        <w:rPr>
          <w:w w:val="100"/>
        </w:rPr>
        <w:t>多足趾</w:t>
      </w:r>
      <w:r>
        <w:rPr>
          <w:spacing w:val="-1"/>
          <w:w w:val="100"/>
        </w:rPr>
        <w:t>）关节、双腕关节、双膝关节和双髋关节。类风湿性关节炎必须明确诊</w:t>
      </w:r>
      <w:r>
        <w:rPr>
          <w:spacing w:val="4"/>
          <w:w w:val="100"/>
        </w:rPr>
        <w:t>断,</w:t>
      </w:r>
      <w:r>
        <w:rPr>
          <w:color w:val="000000"/>
          <w:spacing w:val="2"/>
          <w:w w:val="100"/>
          <w:shd w:fill="E4E4E4" w:color="auto" w:val="clear"/>
        </w:rPr>
        <w:t>并且已经达到类风湿性关节炎功能分级Ⅲ级以上的功能障碍</w:t>
      </w:r>
      <w:r>
        <w:rPr>
          <w:color w:val="000000"/>
          <w:spacing w:val="4"/>
          <w:w w:val="100"/>
          <w:shd w:fill="E4E4E4" w:color="auto" w:val="clear"/>
        </w:rPr>
        <w:t>（</w:t>
      </w:r>
      <w:r>
        <w:rPr>
          <w:color w:val="000000"/>
          <w:spacing w:val="2"/>
          <w:w w:val="100"/>
          <w:shd w:fill="E4E4E4" w:color="auto" w:val="clear"/>
        </w:rPr>
        <w:t>关节活动                                                                                                                                  </w:t>
      </w:r>
      <w:r>
        <w:rPr>
          <w:color w:val="000000"/>
          <w:spacing w:val="-3"/>
          <w:w w:val="100"/>
          <w:shd w:fill="E4E4E4" w:color="auto" w:val="clear"/>
        </w:rPr>
        <w:t>严重限制，不能完成大部分的日常工作和活动</w:t>
      </w:r>
      <w:r>
        <w:rPr>
          <w:color w:val="000000"/>
          <w:spacing w:val="-1"/>
          <w:w w:val="100"/>
          <w:shd w:fill="E4E4E4" w:color="auto" w:val="clear"/>
        </w:rPr>
        <w:t>）</w:t>
      </w:r>
      <w:r>
        <w:rPr>
          <w:color w:val="000000"/>
          <w:spacing w:val="-3"/>
          <w:w w:val="100"/>
          <w:shd w:fill="E4E4E4" w:color="auto" w:val="clear"/>
        </w:rPr>
        <w:t>并且满足下列全部条件：</w:t>
      </w:r>
    </w:p>
    <w:p>
      <w:pPr>
        <w:pStyle w:val="ListParagraph"/>
        <w:numPr>
          <w:ilvl w:val="0"/>
          <w:numId w:val="39"/>
        </w:numPr>
        <w:tabs>
          <w:tab w:pos="607" w:val="left" w:leader="none"/>
        </w:tabs>
        <w:spacing w:line="278" w:lineRule="exact" w:before="0" w:after="0"/>
        <w:ind w:left="606" w:right="0" w:hanging="455"/>
        <w:jc w:val="left"/>
        <w:rPr>
          <w:sz w:val="22"/>
        </w:rPr>
      </w:pPr>
      <w:r>
        <w:rPr>
          <w:spacing w:val="-5"/>
          <w:sz w:val="22"/>
        </w:rPr>
        <w:t>晨僵；</w:t>
      </w:r>
    </w:p>
    <w:p>
      <w:pPr>
        <w:pStyle w:val="ListParagraph"/>
        <w:numPr>
          <w:ilvl w:val="0"/>
          <w:numId w:val="39"/>
        </w:numPr>
        <w:tabs>
          <w:tab w:pos="607" w:val="left" w:leader="none"/>
        </w:tabs>
        <w:spacing w:line="240" w:lineRule="auto" w:before="100" w:after="0"/>
        <w:ind w:left="606" w:right="0" w:hanging="455"/>
        <w:jc w:val="left"/>
        <w:rPr>
          <w:sz w:val="22"/>
        </w:rPr>
      </w:pPr>
      <w:r>
        <w:rPr>
          <w:spacing w:val="-4"/>
          <w:sz w:val="22"/>
        </w:rPr>
        <w:t>对称性关节炎；</w:t>
      </w:r>
    </w:p>
    <w:p>
      <w:pPr>
        <w:pStyle w:val="ListParagraph"/>
        <w:numPr>
          <w:ilvl w:val="0"/>
          <w:numId w:val="39"/>
        </w:numPr>
        <w:tabs>
          <w:tab w:pos="607" w:val="left" w:leader="none"/>
        </w:tabs>
        <w:spacing w:line="240" w:lineRule="auto" w:before="97" w:after="0"/>
        <w:ind w:left="606" w:right="0" w:hanging="455"/>
        <w:jc w:val="left"/>
        <w:rPr>
          <w:sz w:val="22"/>
        </w:rPr>
      </w:pPr>
      <w:r>
        <w:rPr>
          <w:spacing w:val="-3"/>
          <w:sz w:val="22"/>
        </w:rPr>
        <w:t>类风湿性皮下结节；</w:t>
      </w:r>
    </w:p>
    <w:p>
      <w:pPr>
        <w:pStyle w:val="ListParagraph"/>
        <w:numPr>
          <w:ilvl w:val="0"/>
          <w:numId w:val="39"/>
        </w:numPr>
        <w:tabs>
          <w:tab w:pos="607" w:val="left" w:leader="none"/>
        </w:tabs>
        <w:spacing w:line="240" w:lineRule="auto" w:before="98" w:after="0"/>
        <w:ind w:left="606" w:right="0" w:hanging="455"/>
        <w:jc w:val="left"/>
        <w:rPr>
          <w:sz w:val="22"/>
        </w:rPr>
      </w:pPr>
      <w:r>
        <w:rPr>
          <w:spacing w:val="-3"/>
          <w:sz w:val="22"/>
        </w:rPr>
        <w:t>类风湿因子滴度升高；</w:t>
      </w:r>
    </w:p>
    <w:p>
      <w:pPr>
        <w:pStyle w:val="ListParagraph"/>
        <w:numPr>
          <w:ilvl w:val="0"/>
          <w:numId w:val="39"/>
        </w:numPr>
        <w:tabs>
          <w:tab w:pos="607" w:val="left" w:leader="none"/>
        </w:tabs>
        <w:spacing w:line="240" w:lineRule="auto" w:before="99" w:after="0"/>
        <w:ind w:left="606" w:right="0" w:hanging="455"/>
        <w:jc w:val="left"/>
        <w:rPr>
          <w:sz w:val="22"/>
        </w:rPr>
      </w:pPr>
      <w:r>
        <w:rPr>
          <w:spacing w:val="-2"/>
          <w:sz w:val="22"/>
        </w:rPr>
        <w:t>X线显示严重的关节（软骨和骨）</w:t>
      </w:r>
      <w:r>
        <w:rPr>
          <w:spacing w:val="-4"/>
          <w:sz w:val="22"/>
        </w:rPr>
        <w:t>破坏和关节畸形。</w:t>
      </w:r>
    </w:p>
    <w:p>
      <w:pPr>
        <w:spacing w:after="0" w:line="240"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3"/>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2" w:after="0"/>
        <w:ind w:left="954" w:right="38" w:hanging="955"/>
        <w:jc w:val="right"/>
      </w:pPr>
      <w:r>
        <w:rPr>
          <w:spacing w:val="-4"/>
        </w:rPr>
        <w:t>严重幼年型类</w:t>
      </w:r>
    </w:p>
    <w:p>
      <w:pPr>
        <w:spacing w:before="30"/>
        <w:ind w:left="0" w:right="38" w:firstLine="0"/>
        <w:jc w:val="right"/>
        <w:rPr>
          <w:rFonts w:ascii="华文中宋" w:eastAsia="华文中宋" w:hint="eastAsia"/>
          <w:b/>
          <w:sz w:val="22"/>
        </w:rPr>
      </w:pPr>
      <w:r>
        <w:rPr>
          <w:rFonts w:ascii="华文中宋" w:eastAsia="华文中宋" w:hint="eastAsia"/>
          <w:b/>
          <w:spacing w:val="-4"/>
          <w:sz w:val="22"/>
        </w:rPr>
        <w:t>风湿性关节炎</w:t>
      </w:r>
    </w:p>
    <w:p>
      <w:pPr>
        <w:pStyle w:val="BodyText"/>
        <w:spacing w:line="324" w:lineRule="auto" w:before="102"/>
        <w:ind w:left="152" w:right="150"/>
      </w:pPr>
      <w:r>
        <w:rPr/>
        <w:br w:type="column"/>
      </w:r>
      <w:r>
        <w:rPr>
          <w:spacing w:val="-2"/>
        </w:rPr>
        <w:t>幼年型类风湿关节炎是一种儿童期发病的慢性关节炎，其特点为在高热和系统性病征出现数月后发生关节炎。</w:t>
      </w:r>
    </w:p>
    <w:p>
      <w:pPr>
        <w:pStyle w:val="BodyText"/>
        <w:spacing w:line="324" w:lineRule="auto"/>
        <w:ind w:left="152" w:right="150"/>
      </w:pPr>
      <w:r>
        <w:rPr>
          <w:color w:val="000000"/>
          <w:spacing w:val="-2"/>
          <w:shd w:fill="E4E4E4" w:color="auto" w:val="clear"/>
        </w:rPr>
        <w:t>仅对实际接受了膝关节或髋关节置换手术治疗的严重的幼年型类风湿关节炎</w:t>
      </w:r>
      <w:r>
        <w:rPr>
          <w:color w:val="000000"/>
          <w:spacing w:val="80"/>
          <w:w w:val="150"/>
          <w:shd w:fill="E4E4E4" w:color="auto" w:val="clear"/>
        </w:rPr>
        <w:t>                                      </w:t>
      </w:r>
      <w:r>
        <w:rPr>
          <w:color w:val="000000"/>
          <w:spacing w:val="-2"/>
          <w:shd w:fill="E4E4E4" w:color="auto" w:val="clear"/>
        </w:rPr>
        <w:t>予以理赔。</w:t>
      </w:r>
    </w:p>
    <w:p>
      <w:pPr>
        <w:spacing w:after="0" w:line="324" w:lineRule="auto"/>
        <w:sectPr>
          <w:type w:val="continuous"/>
          <w:pgSz w:w="11910" w:h="16840"/>
          <w:pgMar w:header="484" w:footer="706" w:top="1240" w:bottom="900" w:left="980" w:right="980"/>
          <w:cols w:num="2" w:equalWidth="0">
            <w:col w:w="2317" w:space="47"/>
            <w:col w:w="7586"/>
          </w:cols>
        </w:sectPr>
      </w:pPr>
    </w:p>
    <w:p>
      <w:pPr>
        <w:pStyle w:val="BodyText"/>
        <w:spacing w:before="7"/>
        <w:rPr>
          <w:sz w:val="21"/>
        </w:rPr>
      </w:pPr>
    </w:p>
    <w:p>
      <w:pPr>
        <w:spacing w:after="0"/>
        <w:rPr>
          <w:sz w:val="21"/>
        </w:rPr>
        <w:sectPr>
          <w:type w:val="continuous"/>
          <w:pgSz w:w="11910" w:h="16840"/>
          <w:pgMar w:header="484" w:footer="706" w:top="1240" w:bottom="900" w:left="980" w:right="980"/>
        </w:sectPr>
      </w:pPr>
    </w:p>
    <w:p>
      <w:pPr>
        <w:pStyle w:val="Heading2"/>
        <w:numPr>
          <w:ilvl w:val="1"/>
          <w:numId w:val="28"/>
        </w:numPr>
        <w:tabs>
          <w:tab w:pos="931" w:val="left" w:leader="none"/>
        </w:tabs>
        <w:spacing w:line="240" w:lineRule="auto" w:before="73" w:after="0"/>
        <w:ind w:left="930" w:right="0" w:hanging="779"/>
        <w:jc w:val="left"/>
      </w:pPr>
      <w:r>
        <w:rPr>
          <w:spacing w:val="-4"/>
        </w:rPr>
        <w:t>重症急性坏死</w:t>
      </w:r>
    </w:p>
    <w:p>
      <w:pPr>
        <w:spacing w:before="30"/>
        <w:ind w:left="930" w:right="0" w:firstLine="0"/>
        <w:jc w:val="left"/>
        <w:rPr>
          <w:rFonts w:ascii="华文中宋" w:eastAsia="华文中宋" w:hint="eastAsia"/>
          <w:b/>
          <w:sz w:val="22"/>
        </w:rPr>
      </w:pPr>
      <w:r>
        <w:rPr>
          <w:rFonts w:ascii="华文中宋" w:eastAsia="华文中宋" w:hint="eastAsia"/>
          <w:b/>
          <w:spacing w:val="-5"/>
          <w:sz w:val="22"/>
        </w:rPr>
        <w:t>性筋膜炎</w:t>
      </w:r>
    </w:p>
    <w:p>
      <w:pPr>
        <w:pStyle w:val="BodyText"/>
        <w:spacing w:line="324" w:lineRule="auto" w:before="103"/>
        <w:ind w:left="152" w:right="150"/>
        <w:jc w:val="both"/>
      </w:pPr>
      <w:r>
        <w:rPr/>
        <w:br w:type="column"/>
      </w:r>
      <w:r>
        <w:rPr>
          <w:spacing w:val="-2"/>
        </w:rPr>
        <w:t>是一种由细菌侵入皮下组织和筋膜引起的急性坏死性软组织感染，可伴有毒血症、败血症、中毒性休克、弥漫性血管内凝血及多器官衰竭。</w:t>
      </w:r>
      <w:r>
        <w:rPr>
          <w:color w:val="000000"/>
          <w:spacing w:val="-2"/>
          <w:shd w:fill="E4E4E4" w:color="auto" w:val="clear"/>
        </w:rPr>
        <w:t>必须满足以下所有条件：</w:t>
      </w:r>
    </w:p>
    <w:p>
      <w:pPr>
        <w:pStyle w:val="ListParagraph"/>
        <w:numPr>
          <w:ilvl w:val="0"/>
          <w:numId w:val="40"/>
        </w:numPr>
        <w:tabs>
          <w:tab w:pos="607" w:val="left" w:leader="none"/>
        </w:tabs>
        <w:spacing w:line="280" w:lineRule="exact" w:before="0" w:after="0"/>
        <w:ind w:left="606" w:right="0" w:hanging="455"/>
        <w:jc w:val="both"/>
        <w:rPr>
          <w:sz w:val="22"/>
        </w:rPr>
      </w:pPr>
      <w:r>
        <w:rPr>
          <w:spacing w:val="-3"/>
          <w:sz w:val="22"/>
        </w:rPr>
        <w:t>细菌培养和临床表现符合坏死性筋膜炎诊断标准；</w:t>
      </w:r>
    </w:p>
    <w:p>
      <w:pPr>
        <w:spacing w:after="0" w:line="280" w:lineRule="exact"/>
        <w:jc w:val="both"/>
        <w:rPr>
          <w:sz w:val="22"/>
        </w:rPr>
        <w:sectPr>
          <w:type w:val="continuous"/>
          <w:pgSz w:w="11910" w:h="16840"/>
          <w:pgMar w:header="484" w:footer="706" w:top="1240" w:bottom="900" w:left="980" w:right="980"/>
          <w:cols w:num="2" w:equalWidth="0">
            <w:col w:w="2253" w:space="75"/>
            <w:col w:w="7622"/>
          </w:cols>
        </w:sectPr>
      </w:pPr>
    </w:p>
    <w:p>
      <w:pPr>
        <w:pStyle w:val="BodyText"/>
        <w:spacing w:before="7"/>
        <w:rPr>
          <w:sz w:val="14"/>
        </w:rPr>
      </w:pPr>
    </w:p>
    <w:p>
      <w:pPr>
        <w:pStyle w:val="ListParagraph"/>
        <w:numPr>
          <w:ilvl w:val="0"/>
          <w:numId w:val="40"/>
        </w:numPr>
        <w:tabs>
          <w:tab w:pos="2935" w:val="left" w:leader="none"/>
        </w:tabs>
        <w:spacing w:line="240" w:lineRule="auto" w:before="70" w:after="0"/>
        <w:ind w:left="2934" w:right="0" w:hanging="455"/>
        <w:jc w:val="left"/>
        <w:rPr>
          <w:sz w:val="22"/>
        </w:rPr>
      </w:pPr>
      <w:r>
        <w:rPr>
          <w:spacing w:val="-3"/>
          <w:sz w:val="22"/>
        </w:rPr>
        <w:t>病情迅速恶化，有脓毒血症表现；</w:t>
      </w:r>
    </w:p>
    <w:p>
      <w:pPr>
        <w:pStyle w:val="ListParagraph"/>
        <w:numPr>
          <w:ilvl w:val="0"/>
          <w:numId w:val="40"/>
        </w:numPr>
        <w:tabs>
          <w:tab w:pos="2935" w:val="left" w:leader="none"/>
        </w:tabs>
        <w:spacing w:line="240" w:lineRule="auto" w:before="100" w:after="0"/>
        <w:ind w:left="2934" w:right="0" w:hanging="455"/>
        <w:jc w:val="left"/>
        <w:rPr>
          <w:sz w:val="22"/>
        </w:rPr>
      </w:pPr>
      <w:r>
        <w:rPr>
          <w:spacing w:val="-2"/>
          <w:sz w:val="22"/>
        </w:rPr>
        <w:t>受感染肢体被截肢（自腕关节或踝关节近端）</w:t>
      </w:r>
      <w:r>
        <w:rPr>
          <w:spacing w:val="-10"/>
          <w:sz w:val="22"/>
        </w:rPr>
        <w:t>。</w:t>
      </w:r>
    </w:p>
    <w:p>
      <w:pPr>
        <w:pStyle w:val="BodyText"/>
        <w:spacing w:before="2"/>
        <w:rPr>
          <w:sz w:val="29"/>
        </w:rPr>
      </w:pPr>
    </w:p>
    <w:p>
      <w:pPr>
        <w:spacing w:after="0"/>
        <w:rPr>
          <w:sz w:val="29"/>
        </w:rPr>
        <w:sectPr>
          <w:pgSz w:w="11910" w:h="16840"/>
          <w:pgMar w:header="484" w:footer="706" w:top="1240" w:bottom="900" w:left="980" w:right="980"/>
        </w:sectPr>
      </w:pPr>
    </w:p>
    <w:p>
      <w:pPr>
        <w:pStyle w:val="Heading2"/>
        <w:numPr>
          <w:ilvl w:val="1"/>
          <w:numId w:val="28"/>
        </w:numPr>
        <w:tabs>
          <w:tab w:pos="931" w:val="left" w:leader="none"/>
        </w:tabs>
        <w:spacing w:line="261" w:lineRule="auto" w:before="73" w:after="0"/>
        <w:ind w:left="930" w:right="0" w:hanging="778"/>
        <w:jc w:val="left"/>
      </w:pPr>
      <w:r>
        <w:rPr>
          <w:spacing w:val="-2"/>
        </w:rPr>
        <w:t>严重系统性硬</w:t>
      </w:r>
      <w:r>
        <w:rPr>
          <w:spacing w:val="-6"/>
        </w:rPr>
        <w:t>皮病</w:t>
      </w:r>
    </w:p>
    <w:p>
      <w:pPr>
        <w:pStyle w:val="BodyText"/>
        <w:spacing w:line="324" w:lineRule="auto" w:before="103"/>
        <w:ind w:left="152" w:right="150"/>
        <w:jc w:val="both"/>
      </w:pPr>
      <w:r>
        <w:rPr/>
        <w:br w:type="column"/>
      </w:r>
      <w:r>
        <w:rPr>
          <w:spacing w:val="-1"/>
          <w:w w:val="100"/>
        </w:rPr>
        <w:t>指一种以局限性或弥漫性皮肤增厚和皮肤、血管、内脏器官异常纤维化为特</w:t>
      </w:r>
      <w:r>
        <w:rPr>
          <w:spacing w:val="6"/>
          <w:w w:val="100"/>
        </w:rPr>
        <w:t>征的结缔组织病。本病须经专科医师明确诊断，并须满足下列至少一项条</w:t>
      </w:r>
      <w:r>
        <w:rPr>
          <w:spacing w:val="-1"/>
          <w:w w:val="100"/>
        </w:rPr>
        <w:t>件：</w:t>
      </w:r>
    </w:p>
    <w:p>
      <w:pPr>
        <w:pStyle w:val="ListParagraph"/>
        <w:numPr>
          <w:ilvl w:val="0"/>
          <w:numId w:val="41"/>
        </w:numPr>
        <w:tabs>
          <w:tab w:pos="607" w:val="left" w:leader="none"/>
        </w:tabs>
        <w:spacing w:line="280" w:lineRule="exact" w:before="0" w:after="0"/>
        <w:ind w:left="606" w:right="0" w:hanging="455"/>
        <w:jc w:val="left"/>
        <w:rPr>
          <w:sz w:val="22"/>
        </w:rPr>
      </w:pPr>
      <w:r>
        <w:rPr>
          <w:spacing w:val="-3"/>
          <w:sz w:val="22"/>
        </w:rPr>
        <w:t>肺脏：肺部病变进而发展为肺间质纤维化和肺动脉高压；</w:t>
      </w:r>
    </w:p>
    <w:p>
      <w:pPr>
        <w:pStyle w:val="ListParagraph"/>
        <w:numPr>
          <w:ilvl w:val="0"/>
          <w:numId w:val="41"/>
        </w:numPr>
        <w:tabs>
          <w:tab w:pos="607" w:val="left" w:leader="none"/>
        </w:tabs>
        <w:spacing w:line="240" w:lineRule="auto" w:before="100" w:after="0"/>
        <w:ind w:left="606" w:right="0" w:hanging="455"/>
        <w:jc w:val="left"/>
        <w:rPr>
          <w:sz w:val="22"/>
        </w:rPr>
      </w:pPr>
      <w:r>
        <w:rPr>
          <w:spacing w:val="-3"/>
          <w:sz w:val="22"/>
        </w:rPr>
        <w:t>心脏：心功能受损达到美国纽约心脏病学会心功能状态分级Ⅳ级；</w:t>
      </w:r>
    </w:p>
    <w:p>
      <w:pPr>
        <w:pStyle w:val="ListParagraph"/>
        <w:numPr>
          <w:ilvl w:val="0"/>
          <w:numId w:val="41"/>
        </w:numPr>
        <w:tabs>
          <w:tab w:pos="607" w:val="left" w:leader="none"/>
        </w:tabs>
        <w:spacing w:line="324" w:lineRule="auto" w:before="97" w:after="0"/>
        <w:ind w:left="152" w:right="848" w:firstLine="0"/>
        <w:jc w:val="left"/>
        <w:rPr>
          <w:sz w:val="22"/>
        </w:rPr>
      </w:pPr>
      <w:r>
        <w:rPr>
          <w:spacing w:val="-2"/>
          <w:sz w:val="22"/>
        </w:rPr>
        <w:t>肾脏：肾脏受损导致双肾功能慢性不可逆衰竭，达到尿毒症期。</w:t>
      </w:r>
      <w:r>
        <w:rPr>
          <w:color w:val="000000"/>
          <w:spacing w:val="-2"/>
          <w:sz w:val="22"/>
          <w:shd w:fill="E4E4E4" w:color="auto" w:val="clear"/>
        </w:rPr>
        <w:t>下列疾病不在保障范围内：</w:t>
      </w:r>
    </w:p>
    <w:p>
      <w:pPr>
        <w:pStyle w:val="ListParagraph"/>
        <w:numPr>
          <w:ilvl w:val="0"/>
          <w:numId w:val="42"/>
        </w:numPr>
        <w:tabs>
          <w:tab w:pos="607" w:val="left" w:leader="none"/>
        </w:tabs>
        <w:spacing w:line="282" w:lineRule="exact" w:before="0" w:after="0"/>
        <w:ind w:left="606" w:right="0" w:hanging="455"/>
        <w:jc w:val="left"/>
        <w:rPr>
          <w:sz w:val="22"/>
        </w:rPr>
      </w:pPr>
      <w:r>
        <w:rPr>
          <w:color w:val="000000"/>
          <w:spacing w:val="-2"/>
          <w:sz w:val="22"/>
          <w:shd w:fill="E4E4E4" w:color="auto" w:val="clear"/>
        </w:rPr>
        <w:t>局部性硬皮病（如：带状硬皮病、硬斑病</w:t>
      </w:r>
      <w:r>
        <w:rPr>
          <w:color w:val="000000"/>
          <w:spacing w:val="-5"/>
          <w:sz w:val="22"/>
          <w:shd w:fill="E4E4E4" w:color="auto" w:val="clear"/>
        </w:rPr>
        <w:t>）；</w:t>
      </w:r>
      <w:r>
        <w:rPr>
          <w:color w:val="000000"/>
          <w:spacing w:val="40"/>
          <w:sz w:val="22"/>
          <w:shd w:fill="E4E4E4" w:color="auto" w:val="clear"/>
        </w:rPr>
        <w:t> </w:t>
      </w:r>
    </w:p>
    <w:p>
      <w:pPr>
        <w:pStyle w:val="ListParagraph"/>
        <w:numPr>
          <w:ilvl w:val="0"/>
          <w:numId w:val="42"/>
        </w:numPr>
        <w:tabs>
          <w:tab w:pos="607" w:val="left" w:leader="none"/>
        </w:tabs>
        <w:spacing w:line="240" w:lineRule="auto" w:before="97" w:after="0"/>
        <w:ind w:left="606" w:right="0" w:hanging="455"/>
        <w:jc w:val="left"/>
        <w:rPr>
          <w:sz w:val="22"/>
        </w:rPr>
      </w:pPr>
      <w:r>
        <w:rPr>
          <w:color w:val="000000"/>
          <w:spacing w:val="-3"/>
          <w:sz w:val="22"/>
          <w:shd w:fill="E4E4E4" w:color="auto" w:val="clear"/>
        </w:rPr>
        <w:t>嗜酸性粒细胞性筋膜炎；</w:t>
      </w:r>
    </w:p>
    <w:p>
      <w:pPr>
        <w:pStyle w:val="ListParagraph"/>
        <w:numPr>
          <w:ilvl w:val="0"/>
          <w:numId w:val="42"/>
        </w:numPr>
        <w:tabs>
          <w:tab w:pos="607" w:val="left" w:leader="none"/>
        </w:tabs>
        <w:spacing w:line="240" w:lineRule="auto" w:before="98" w:after="0"/>
        <w:ind w:left="606" w:right="0" w:hanging="455"/>
        <w:jc w:val="left"/>
        <w:rPr>
          <w:sz w:val="22"/>
        </w:rPr>
      </w:pPr>
      <w:r>
        <w:rPr>
          <w:color w:val="000000"/>
          <w:spacing w:val="-2"/>
          <w:sz w:val="22"/>
          <w:shd w:fill="E4E4E4" w:color="auto" w:val="clear"/>
        </w:rPr>
        <w:t>CREST</w:t>
      </w:r>
      <w:r>
        <w:rPr>
          <w:color w:val="000000"/>
          <w:spacing w:val="-4"/>
          <w:sz w:val="22"/>
          <w:shd w:fill="E4E4E4" w:color="auto" w:val="clear"/>
        </w:rPr>
        <w:t>综合征。</w:t>
      </w:r>
    </w:p>
    <w:p>
      <w:pPr>
        <w:spacing w:after="0" w:line="240" w:lineRule="auto"/>
        <w:jc w:val="left"/>
        <w:rPr>
          <w:sz w:val="22"/>
        </w:rPr>
        <w:sectPr>
          <w:type w:val="continuous"/>
          <w:pgSz w:w="11910" w:h="16840"/>
          <w:pgMar w:header="484" w:footer="706" w:top="1240" w:bottom="900" w:left="980" w:right="980"/>
          <w:cols w:num="2" w:equalWidth="0">
            <w:col w:w="2253" w:space="75"/>
            <w:col w:w="7622"/>
          </w:cols>
        </w:sectPr>
      </w:pPr>
    </w:p>
    <w:p>
      <w:pPr>
        <w:pStyle w:val="BodyText"/>
        <w:spacing w:before="4"/>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3" w:after="0"/>
        <w:ind w:left="954" w:right="0" w:hanging="803"/>
        <w:jc w:val="left"/>
      </w:pPr>
      <w:r>
        <w:rPr>
          <w:spacing w:val="-4"/>
        </w:rPr>
        <w:t>急性坏死胰腺</w:t>
      </w:r>
    </w:p>
    <w:p>
      <w:pPr>
        <w:spacing w:before="30"/>
        <w:ind w:left="954" w:right="0" w:firstLine="0"/>
        <w:jc w:val="left"/>
        <w:rPr>
          <w:rFonts w:ascii="华文中宋" w:eastAsia="华文中宋" w:hint="eastAsia"/>
          <w:b/>
          <w:sz w:val="22"/>
        </w:rPr>
      </w:pPr>
      <w:r>
        <w:rPr>
          <w:rFonts w:ascii="华文中宋" w:eastAsia="华文中宋" w:hint="eastAsia"/>
          <w:b/>
          <w:spacing w:val="-4"/>
          <w:sz w:val="22"/>
        </w:rPr>
        <w:t>炎开腹手术</w:t>
      </w:r>
    </w:p>
    <w:p>
      <w:pPr>
        <w:pStyle w:val="BodyText"/>
        <w:spacing w:line="324" w:lineRule="auto" w:before="103"/>
        <w:ind w:left="152" w:right="150"/>
      </w:pPr>
      <w:r>
        <w:rPr/>
        <w:br w:type="column"/>
      </w:r>
      <w:r>
        <w:rPr>
          <w:spacing w:val="-2"/>
        </w:rPr>
        <w:t>指为治疗急性坏死性胰腺炎，实际实施了开腹进行的坏死组织清除术、病灶切除术或胰腺部分切除术。</w:t>
      </w:r>
    </w:p>
    <w:p>
      <w:pPr>
        <w:pStyle w:val="BodyText"/>
        <w:spacing w:line="282" w:lineRule="exact"/>
        <w:ind w:left="152"/>
      </w:pPr>
      <w:r>
        <w:rPr>
          <w:color w:val="000000"/>
          <w:spacing w:val="-3"/>
          <w:shd w:fill="E4E4E4" w:color="auto" w:val="clear"/>
        </w:rPr>
        <w:t>因酒精作用所致的急性胰腺炎以及腹腔镜手术不在保障范围内。</w:t>
      </w:r>
    </w:p>
    <w:p>
      <w:pPr>
        <w:spacing w:after="0" w:line="282" w:lineRule="exact"/>
        <w:sectPr>
          <w:type w:val="continuous"/>
          <w:pgSz w:w="11910" w:h="16840"/>
          <w:pgMar w:header="484" w:footer="706" w:top="1240" w:bottom="900" w:left="980" w:right="980"/>
          <w:cols w:num="2" w:equalWidth="0">
            <w:col w:w="2277" w:space="51"/>
            <w:col w:w="7622"/>
          </w:cols>
        </w:sectPr>
      </w:pPr>
    </w:p>
    <w:p>
      <w:pPr>
        <w:pStyle w:val="BodyText"/>
        <w:spacing w:before="2"/>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3" w:after="0"/>
        <w:ind w:left="954" w:right="0" w:hanging="803"/>
        <w:jc w:val="left"/>
      </w:pPr>
      <w:r>
        <w:rPr>
          <w:spacing w:val="-4"/>
        </w:rPr>
        <w:t>严重原发性硬</w:t>
      </w:r>
    </w:p>
    <w:p>
      <w:pPr>
        <w:spacing w:before="30"/>
        <w:ind w:left="954" w:right="0" w:firstLine="0"/>
        <w:jc w:val="left"/>
        <w:rPr>
          <w:rFonts w:ascii="华文中宋" w:eastAsia="华文中宋" w:hint="eastAsia"/>
          <w:b/>
          <w:sz w:val="22"/>
        </w:rPr>
      </w:pPr>
      <w:r>
        <w:rPr>
          <w:rFonts w:ascii="华文中宋" w:eastAsia="华文中宋" w:hint="eastAsia"/>
          <w:b/>
          <w:spacing w:val="-4"/>
          <w:sz w:val="22"/>
        </w:rPr>
        <w:t>化性胆管炎</w:t>
      </w:r>
    </w:p>
    <w:p>
      <w:pPr>
        <w:pStyle w:val="BodyText"/>
        <w:spacing w:line="324" w:lineRule="auto" w:before="103"/>
        <w:ind w:left="152" w:right="150"/>
        <w:jc w:val="both"/>
      </w:pPr>
      <w:r>
        <w:rPr/>
        <w:br w:type="column"/>
      </w:r>
      <w:r>
        <w:rPr>
          <w:spacing w:val="-2"/>
        </w:rPr>
        <w:t>原发性硬化性胆管炎指一种胆汁淤积综合征，其特征是肝内、肝外胆道因非细菌性炎症、慢性纤维化逐渐狭窄，并最终导致完全阻塞而发展为胆汁於积性肝硬化。</w:t>
      </w:r>
      <w:r>
        <w:rPr>
          <w:color w:val="000000"/>
          <w:spacing w:val="-2"/>
          <w:shd w:fill="E4E4E4" w:color="auto" w:val="clear"/>
        </w:rPr>
        <w:t>须满足下列全部条件：</w:t>
      </w:r>
    </w:p>
    <w:p>
      <w:pPr>
        <w:pStyle w:val="ListParagraph"/>
        <w:numPr>
          <w:ilvl w:val="0"/>
          <w:numId w:val="43"/>
        </w:numPr>
        <w:tabs>
          <w:tab w:pos="607" w:val="left" w:leader="none"/>
        </w:tabs>
        <w:spacing w:line="280" w:lineRule="exact" w:before="0" w:after="0"/>
        <w:ind w:left="606" w:right="0" w:hanging="455"/>
        <w:jc w:val="left"/>
        <w:rPr>
          <w:sz w:val="22"/>
        </w:rPr>
      </w:pPr>
      <w:r>
        <w:rPr>
          <w:spacing w:val="-4"/>
          <w:sz w:val="22"/>
        </w:rPr>
        <w:t>持续性黄疸病史；</w:t>
      </w:r>
    </w:p>
    <w:p>
      <w:pPr>
        <w:pStyle w:val="ListParagraph"/>
        <w:numPr>
          <w:ilvl w:val="0"/>
          <w:numId w:val="43"/>
        </w:numPr>
        <w:tabs>
          <w:tab w:pos="607" w:val="left" w:leader="none"/>
        </w:tabs>
        <w:spacing w:line="240" w:lineRule="auto" w:before="100" w:after="0"/>
        <w:ind w:left="606" w:right="0" w:hanging="455"/>
        <w:jc w:val="left"/>
        <w:rPr>
          <w:sz w:val="22"/>
        </w:rPr>
      </w:pPr>
      <w:r>
        <w:rPr>
          <w:spacing w:val="-2"/>
          <w:sz w:val="22"/>
        </w:rPr>
        <w:t>总胆红素和直接胆红素同时升高，血清ALP＞200U/L；</w:t>
      </w:r>
    </w:p>
    <w:p>
      <w:pPr>
        <w:pStyle w:val="ListParagraph"/>
        <w:numPr>
          <w:ilvl w:val="0"/>
          <w:numId w:val="43"/>
        </w:numPr>
        <w:tabs>
          <w:tab w:pos="607" w:val="left" w:leader="none"/>
        </w:tabs>
        <w:spacing w:line="240" w:lineRule="auto" w:before="97" w:after="0"/>
        <w:ind w:left="606" w:right="0" w:hanging="455"/>
        <w:jc w:val="left"/>
        <w:rPr>
          <w:sz w:val="22"/>
        </w:rPr>
      </w:pPr>
      <w:r>
        <w:rPr>
          <w:spacing w:val="-2"/>
          <w:sz w:val="22"/>
        </w:rPr>
        <w:t>经内镜逆行胰胆管造影（ERCP）</w:t>
      </w:r>
      <w:r>
        <w:rPr>
          <w:spacing w:val="-4"/>
          <w:sz w:val="22"/>
        </w:rPr>
        <w:t>影像学检查确诊；</w:t>
      </w:r>
    </w:p>
    <w:p>
      <w:pPr>
        <w:pStyle w:val="ListParagraph"/>
        <w:numPr>
          <w:ilvl w:val="0"/>
          <w:numId w:val="43"/>
        </w:numPr>
        <w:tabs>
          <w:tab w:pos="607" w:val="left" w:leader="none"/>
        </w:tabs>
        <w:spacing w:line="240" w:lineRule="auto" w:before="97" w:after="0"/>
        <w:ind w:left="606" w:right="0" w:hanging="455"/>
        <w:jc w:val="left"/>
        <w:rPr>
          <w:sz w:val="22"/>
        </w:rPr>
      </w:pPr>
      <w:r>
        <w:rPr>
          <w:spacing w:val="-3"/>
          <w:sz w:val="22"/>
        </w:rPr>
        <w:t>出现胆汁於积性肝硬化或门脉高压。</w:t>
      </w:r>
    </w:p>
    <w:p>
      <w:pPr>
        <w:pStyle w:val="BodyText"/>
        <w:spacing w:before="100"/>
        <w:ind w:left="152"/>
      </w:pPr>
      <w:r>
        <w:rPr>
          <w:color w:val="000000"/>
          <w:spacing w:val="-3"/>
          <w:shd w:fill="E4E4E4" w:color="auto" w:val="clear"/>
        </w:rPr>
        <w:t>因肿瘤或胆管损伤等继发性的硬化性胆管炎不在保障范围内。</w:t>
      </w:r>
    </w:p>
    <w:p>
      <w:pPr>
        <w:spacing w:after="0"/>
        <w:sectPr>
          <w:type w:val="continuous"/>
          <w:pgSz w:w="11910" w:h="16840"/>
          <w:pgMar w:header="484" w:footer="706" w:top="1240" w:bottom="900" w:left="980" w:right="980"/>
          <w:cols w:num="2" w:equalWidth="0">
            <w:col w:w="2277" w:space="51"/>
            <w:col w:w="7622"/>
          </w:cols>
        </w:sectPr>
      </w:pPr>
    </w:p>
    <w:p>
      <w:pPr>
        <w:pStyle w:val="BodyText"/>
        <w:spacing w:before="2"/>
        <w:rPr>
          <w:sz w:val="29"/>
        </w:rPr>
      </w:pPr>
    </w:p>
    <w:p>
      <w:pPr>
        <w:pStyle w:val="ListParagraph"/>
        <w:numPr>
          <w:ilvl w:val="1"/>
          <w:numId w:val="28"/>
        </w:numPr>
        <w:tabs>
          <w:tab w:pos="955" w:val="left" w:leader="none"/>
          <w:tab w:pos="2480" w:val="left" w:leader="none"/>
        </w:tabs>
        <w:spacing w:line="283" w:lineRule="auto" w:before="73" w:after="0"/>
        <w:ind w:left="2480" w:right="150" w:hanging="2328"/>
        <w:jc w:val="left"/>
        <w:rPr>
          <w:sz w:val="22"/>
        </w:rPr>
      </w:pPr>
      <w:r>
        <w:rPr>
          <w:rFonts w:ascii="华文中宋" w:eastAsia="华文中宋" w:hint="eastAsia"/>
          <w:b/>
          <w:spacing w:val="-4"/>
          <w:sz w:val="22"/>
        </w:rPr>
        <w:t>颅脑手术</w:t>
      </w:r>
      <w:r>
        <w:rPr>
          <w:rFonts w:ascii="华文中宋" w:eastAsia="华文中宋" w:hint="eastAsia"/>
          <w:b/>
          <w:sz w:val="22"/>
        </w:rPr>
        <w:tab/>
      </w:r>
      <w:r>
        <w:rPr>
          <w:spacing w:val="-2"/>
          <w:sz w:val="22"/>
        </w:rPr>
        <w:t>被保险人确已实施全麻下的开颅手术（</w:t>
      </w:r>
      <w:r>
        <w:rPr>
          <w:color w:val="000000"/>
          <w:spacing w:val="-2"/>
          <w:sz w:val="22"/>
          <w:shd w:fill="E4E4E4" w:color="auto" w:val="clear"/>
        </w:rPr>
        <w:t>不包括颅骨钻孔手术和经鼻蝶窦入颅</w:t>
      </w:r>
      <w:r>
        <w:rPr>
          <w:color w:val="000000"/>
          <w:spacing w:val="80"/>
          <w:w w:val="150"/>
          <w:sz w:val="22"/>
          <w:shd w:fill="E4E4E4" w:color="auto" w:val="clear"/>
        </w:rPr>
        <w:t>                                       </w:t>
      </w:r>
      <w:r>
        <w:rPr>
          <w:color w:val="000000"/>
          <w:spacing w:val="-4"/>
          <w:sz w:val="22"/>
          <w:shd w:fill="E4E4E4" w:color="auto" w:val="clear"/>
        </w:rPr>
        <w:t>手术</w:t>
      </w:r>
      <w:r>
        <w:rPr>
          <w:color w:val="000000"/>
          <w:spacing w:val="-4"/>
          <w:sz w:val="22"/>
        </w:rPr>
        <w:t>）。</w:t>
      </w:r>
    </w:p>
    <w:p>
      <w:pPr>
        <w:pStyle w:val="BodyText"/>
        <w:spacing w:line="324" w:lineRule="auto" w:before="46"/>
        <w:ind w:left="2480" w:right="150"/>
      </w:pPr>
      <w:r>
        <w:rPr>
          <w:color w:val="000000"/>
          <w:spacing w:val="-2"/>
          <w:shd w:fill="E4E4E4" w:color="auto" w:val="clear"/>
        </w:rPr>
        <w:t>因外伤及除脑垂体瘤、脑囊肿、颅内血管性疾病以外的良性颅内肿瘤而实施</w:t>
      </w:r>
      <w:r>
        <w:rPr>
          <w:color w:val="000000"/>
          <w:spacing w:val="80"/>
          <w:w w:val="150"/>
          <w:shd w:fill="E4E4E4" w:color="auto" w:val="clear"/>
        </w:rPr>
        <w:t>                                       </w:t>
      </w:r>
      <w:r>
        <w:rPr>
          <w:color w:val="000000"/>
          <w:spacing w:val="-2"/>
          <w:shd w:fill="E4E4E4" w:color="auto" w:val="clear"/>
        </w:rPr>
        <w:t>的脑外科手术不在保障范围之内。</w:t>
      </w:r>
    </w:p>
    <w:p>
      <w:pPr>
        <w:pStyle w:val="BodyText"/>
        <w:spacing w:line="282" w:lineRule="exact"/>
        <w:ind w:left="2480"/>
      </w:pPr>
      <w:r>
        <w:rPr>
          <w:color w:val="000000"/>
          <w:spacing w:val="-3"/>
          <w:shd w:fill="E4E4E4" w:color="auto" w:val="clear"/>
        </w:rPr>
        <w:t>理赔时必须提供由神经外科医生出具的诊断书及手术报告。</w:t>
      </w:r>
    </w:p>
    <w:p>
      <w:pPr>
        <w:pStyle w:val="BodyText"/>
        <w:spacing w:before="3"/>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31" w:val="left" w:leader="none"/>
        </w:tabs>
        <w:spacing w:line="240" w:lineRule="auto" w:before="72" w:after="0"/>
        <w:ind w:left="930" w:right="0" w:hanging="779"/>
        <w:jc w:val="left"/>
      </w:pPr>
      <w:r>
        <w:rPr>
          <w:spacing w:val="-4"/>
        </w:rPr>
        <w:t>系统性红斑狼</w:t>
      </w:r>
    </w:p>
    <w:p>
      <w:pPr>
        <w:spacing w:line="261" w:lineRule="auto" w:before="30"/>
        <w:ind w:left="930" w:right="0" w:firstLine="0"/>
        <w:jc w:val="left"/>
        <w:rPr>
          <w:rFonts w:ascii="华文中宋" w:hAnsi="华文中宋" w:eastAsia="华文中宋" w:hint="eastAsia"/>
          <w:b/>
          <w:sz w:val="22"/>
        </w:rPr>
      </w:pPr>
      <w:r>
        <w:rPr>
          <w:rFonts w:ascii="华文中宋" w:hAnsi="华文中宋" w:eastAsia="华文中宋" w:hint="eastAsia"/>
          <w:b/>
          <w:spacing w:val="-2"/>
          <w:sz w:val="22"/>
        </w:rPr>
        <w:t>疮-Ⅲ型或以</w:t>
      </w:r>
      <w:r>
        <w:rPr>
          <w:rFonts w:ascii="华文中宋" w:hAnsi="华文中宋" w:eastAsia="华文中宋" w:hint="eastAsia"/>
          <w:b/>
          <w:spacing w:val="-2"/>
          <w:sz w:val="22"/>
        </w:rPr>
        <w:t>上狼疮性肾炎</w:t>
      </w:r>
    </w:p>
    <w:p>
      <w:pPr>
        <w:pStyle w:val="BodyText"/>
        <w:spacing w:line="324" w:lineRule="auto" w:before="102"/>
        <w:ind w:left="152" w:right="150"/>
      </w:pPr>
      <w:r>
        <w:rPr/>
        <w:br w:type="column"/>
      </w:r>
      <w:r>
        <w:rPr>
          <w:spacing w:val="-2"/>
        </w:rPr>
        <w:t>系统性红斑狼疮是由多种因素引起，累及多系统的自身免疫性疾病。其特点是生成自身抗体对抗多种自身抗原。多见于育龄妇女。</w:t>
      </w:r>
    </w:p>
    <w:p>
      <w:pPr>
        <w:pStyle w:val="BodyText"/>
        <w:spacing w:line="282" w:lineRule="exact"/>
        <w:ind w:left="152"/>
      </w:pPr>
      <w:r>
        <w:rPr/>
        <w:t>此处所指的系统性红斑狼疮仅限于累及肾脏（经肾脏活检确认的，符合 </w:t>
      </w:r>
      <w:r>
        <w:rPr>
          <w:spacing w:val="-5"/>
        </w:rPr>
        <w:t>WHO</w:t>
      </w:r>
    </w:p>
    <w:p>
      <w:pPr>
        <w:spacing w:after="0" w:line="282" w:lineRule="exact"/>
        <w:sectPr>
          <w:type w:val="continuous"/>
          <w:pgSz w:w="11910" w:h="16840"/>
          <w:pgMar w:header="484" w:footer="706" w:top="1240" w:bottom="900" w:left="980" w:right="980"/>
          <w:cols w:num="2" w:equalWidth="0">
            <w:col w:w="2253" w:space="75"/>
            <w:col w:w="7622"/>
          </w:cols>
        </w:sectPr>
      </w:pPr>
    </w:p>
    <w:p>
      <w:pPr>
        <w:pStyle w:val="BodyText"/>
        <w:spacing w:before="7"/>
        <w:rPr>
          <w:sz w:val="14"/>
        </w:rPr>
      </w:pPr>
    </w:p>
    <w:p>
      <w:pPr>
        <w:pStyle w:val="BodyText"/>
        <w:spacing w:line="324" w:lineRule="auto" w:before="70"/>
        <w:ind w:left="2480" w:right="152"/>
      </w:pPr>
      <w:r>
        <w:rPr>
          <w:spacing w:val="-2"/>
        </w:rPr>
        <w:t>诊断标准定义Ⅲ型至Ⅴ型狼疮性肾炎）的系统性红斑狼疮。</w:t>
      </w:r>
      <w:r>
        <w:rPr>
          <w:color w:val="000000"/>
          <w:spacing w:val="-2"/>
          <w:shd w:fill="E4E4E4" w:color="auto" w:val="clear"/>
        </w:rPr>
        <w:t>其他类型的红斑</w:t>
      </w:r>
      <w:r>
        <w:rPr>
          <w:color w:val="000000"/>
          <w:spacing w:val="80"/>
          <w:w w:val="150"/>
          <w:shd w:fill="E4E4E4" w:color="auto" w:val="clear"/>
        </w:rPr>
        <w:t>                                       </w:t>
      </w:r>
      <w:r>
        <w:rPr>
          <w:color w:val="000000"/>
          <w:spacing w:val="-2"/>
          <w:shd w:fill="E4E4E4" w:color="auto" w:val="clear"/>
        </w:rPr>
        <w:t>性狼疮，如盘状狼疮、仅累及血液及关节的狼疮不在保障范围内。</w:t>
      </w:r>
    </w:p>
    <w:p>
      <w:pPr>
        <w:pStyle w:val="BodyText"/>
        <w:spacing w:line="324" w:lineRule="auto"/>
        <w:ind w:left="2480" w:right="3500"/>
      </w:pPr>
      <w:r>
        <w:rPr>
          <w:spacing w:val="-2"/>
        </w:rPr>
        <w:t>世界卫生组织（WHO）狼疮性肾炎分型： Ⅰ型（微小病变型）镜下阴性，尿液正常</w:t>
      </w:r>
    </w:p>
    <w:p>
      <w:pPr>
        <w:pStyle w:val="BodyText"/>
        <w:spacing w:line="324" w:lineRule="auto"/>
        <w:ind w:left="2480" w:right="2622"/>
      </w:pPr>
      <w:r>
        <w:rPr>
          <w:spacing w:val="-2"/>
        </w:rPr>
        <w:t>Ⅱ型（系膜病变型）中度蛋白尿，偶有尿沉渣改变 Ⅲ型（局灶及节段增生型）蛋白尿，尿沉渣改变</w:t>
      </w:r>
    </w:p>
    <w:p>
      <w:pPr>
        <w:pStyle w:val="BodyText"/>
        <w:spacing w:line="324" w:lineRule="auto"/>
        <w:ind w:left="2480" w:right="1302"/>
      </w:pPr>
      <w:r>
        <w:rPr>
          <w:spacing w:val="-2"/>
        </w:rPr>
        <w:t>Ⅳ型（弥漫增生型）急性肾炎伴有尿沉渣改变及／或肾病综合征 Ⅴ型（膜型）肾病综合征或重度蛋白尿</w:t>
      </w:r>
    </w:p>
    <w:p>
      <w:pPr>
        <w:pStyle w:val="BodyText"/>
        <w:rPr>
          <w:sz w:val="27"/>
        </w:rPr>
      </w:pPr>
    </w:p>
    <w:p>
      <w:pPr>
        <w:pStyle w:val="ListParagraph"/>
        <w:numPr>
          <w:ilvl w:val="1"/>
          <w:numId w:val="28"/>
        </w:numPr>
        <w:tabs>
          <w:tab w:pos="955" w:val="left" w:leader="none"/>
          <w:tab w:pos="2480" w:val="left" w:leader="none"/>
        </w:tabs>
        <w:spacing w:line="283" w:lineRule="auto" w:before="0" w:after="0"/>
        <w:ind w:left="2480" w:right="150" w:hanging="2328"/>
        <w:jc w:val="left"/>
        <w:rPr>
          <w:sz w:val="22"/>
        </w:rPr>
      </w:pPr>
      <w:r>
        <w:rPr>
          <w:rFonts w:ascii="华文中宋" w:eastAsia="华文中宋" w:hint="eastAsia"/>
          <w:b/>
          <w:spacing w:val="-2"/>
          <w:sz w:val="22"/>
        </w:rPr>
        <w:t>线粒体脑肌病</w:t>
      </w:r>
      <w:r>
        <w:rPr>
          <w:rFonts w:ascii="华文中宋" w:eastAsia="华文中宋" w:hint="eastAsia"/>
          <w:b/>
          <w:sz w:val="22"/>
        </w:rPr>
        <w:tab/>
      </w:r>
      <w:r>
        <w:rPr>
          <w:spacing w:val="-2"/>
          <w:sz w:val="22"/>
        </w:rPr>
        <w:t>是一组由于线粒体结构、功能异常所导致的以脑和肌肉受累为主的多系统疾病，其中肌肉损害主要表现为骨骼肌极度不能耐受疲劳。须经相关专科医生</w:t>
      </w:r>
    </w:p>
    <w:p>
      <w:pPr>
        <w:pStyle w:val="BodyText"/>
        <w:spacing w:line="324" w:lineRule="auto" w:before="46"/>
        <w:ind w:left="2480" w:right="150"/>
      </w:pPr>
      <w:r>
        <w:rPr>
          <w:spacing w:val="-2"/>
        </w:rPr>
        <w:t>明确诊断。须满足以下条件中的至少两项：眼外肌麻痹、共济失调、癫痫反复发作、视神经病变、智力障碍。</w:t>
      </w:r>
    </w:p>
    <w:p>
      <w:pPr>
        <w:pStyle w:val="BodyText"/>
        <w:spacing w:line="324" w:lineRule="auto"/>
        <w:ind w:left="2480" w:right="152"/>
      </w:pPr>
      <w:r>
        <w:rPr/>
        <w:t>本项疾病责任不受“3.1 责任免除”中第（9）项“遗传性疾病，先天性畸</w:t>
      </w:r>
      <w:r>
        <w:rPr>
          <w:spacing w:val="-2"/>
        </w:rPr>
        <w:t>形、变形或染色体异常”的限制。</w:t>
      </w:r>
    </w:p>
    <w:p>
      <w:pPr>
        <w:pStyle w:val="BodyText"/>
        <w:spacing w:before="5"/>
        <w:rPr>
          <w:sz w:val="21"/>
        </w:rPr>
      </w:pPr>
    </w:p>
    <w:p>
      <w:pPr>
        <w:spacing w:after="0"/>
        <w:rPr>
          <w:sz w:val="21"/>
        </w:rPr>
        <w:sectPr>
          <w:pgSz w:w="11910" w:h="16840"/>
          <w:pgMar w:header="484" w:footer="706" w:top="1240" w:bottom="900" w:left="980" w:right="980"/>
        </w:sectPr>
      </w:pPr>
    </w:p>
    <w:p>
      <w:pPr>
        <w:pStyle w:val="Heading2"/>
        <w:numPr>
          <w:ilvl w:val="1"/>
          <w:numId w:val="28"/>
        </w:numPr>
        <w:tabs>
          <w:tab w:pos="955" w:val="left" w:leader="none"/>
        </w:tabs>
        <w:spacing w:line="240" w:lineRule="auto" w:before="75" w:after="0"/>
        <w:ind w:left="954" w:right="0" w:hanging="803"/>
        <w:jc w:val="both"/>
      </w:pPr>
      <w:r>
        <w:rPr>
          <w:spacing w:val="-4"/>
        </w:rPr>
        <w:t>经输血导致的</w:t>
      </w:r>
    </w:p>
    <w:p>
      <w:pPr>
        <w:spacing w:line="261" w:lineRule="auto" w:before="30"/>
        <w:ind w:left="954" w:right="0" w:firstLine="0"/>
        <w:jc w:val="both"/>
        <w:rPr>
          <w:rFonts w:ascii="华文中宋" w:eastAsia="华文中宋" w:hint="eastAsia"/>
          <w:b/>
          <w:sz w:val="22"/>
        </w:rPr>
      </w:pPr>
      <w:r>
        <w:rPr>
          <w:rFonts w:ascii="华文中宋" w:eastAsia="华文中宋" w:hint="eastAsia"/>
          <w:b/>
          <w:spacing w:val="-2"/>
          <w:sz w:val="22"/>
        </w:rPr>
        <w:t>人类免疫缺陷</w:t>
      </w:r>
      <w:r>
        <w:rPr>
          <w:rFonts w:ascii="华文中宋" w:eastAsia="华文中宋" w:hint="eastAsia"/>
          <w:b/>
          <w:spacing w:val="-2"/>
          <w:sz w:val="22"/>
        </w:rPr>
        <w:t>病毒（HIV）</w:t>
      </w:r>
      <w:r>
        <w:rPr>
          <w:rFonts w:ascii="华文中宋" w:eastAsia="华文中宋" w:hint="eastAsia"/>
          <w:b/>
          <w:spacing w:val="-6"/>
          <w:sz w:val="22"/>
        </w:rPr>
        <w:t>感染</w:t>
      </w:r>
    </w:p>
    <w:p>
      <w:pPr>
        <w:pStyle w:val="BodyText"/>
        <w:spacing w:before="105"/>
        <w:ind w:left="152"/>
      </w:pPr>
      <w:r>
        <w:rPr/>
        <w:br w:type="column"/>
      </w:r>
      <w:r>
        <w:rPr>
          <w:spacing w:val="-2"/>
        </w:rPr>
        <w:t>被保险人感染上人类免疫缺陷病毒（HIV）</w:t>
      </w:r>
      <w:r>
        <w:rPr>
          <w:color w:val="000000"/>
          <w:spacing w:val="-3"/>
          <w:shd w:fill="E4E4E4" w:color="auto" w:val="clear"/>
        </w:rPr>
        <w:t>并且满足下列全部条件：</w:t>
      </w:r>
    </w:p>
    <w:p>
      <w:pPr>
        <w:pStyle w:val="ListParagraph"/>
        <w:numPr>
          <w:ilvl w:val="0"/>
          <w:numId w:val="44"/>
        </w:numPr>
        <w:tabs>
          <w:tab w:pos="607" w:val="left" w:leader="none"/>
        </w:tabs>
        <w:spacing w:line="240" w:lineRule="auto" w:before="97" w:after="0"/>
        <w:ind w:left="606" w:right="0" w:hanging="455"/>
        <w:jc w:val="left"/>
        <w:rPr>
          <w:sz w:val="22"/>
        </w:rPr>
      </w:pPr>
      <w:r>
        <w:rPr>
          <w:spacing w:val="-2"/>
          <w:sz w:val="22"/>
        </w:rPr>
        <w:t>被保险人因输血而感染</w:t>
      </w:r>
      <w:r>
        <w:rPr>
          <w:spacing w:val="-4"/>
          <w:sz w:val="22"/>
        </w:rPr>
        <w:t>HIV；</w:t>
      </w:r>
    </w:p>
    <w:p>
      <w:pPr>
        <w:pStyle w:val="ListParagraph"/>
        <w:numPr>
          <w:ilvl w:val="0"/>
          <w:numId w:val="44"/>
        </w:numPr>
        <w:tabs>
          <w:tab w:pos="607" w:val="left" w:leader="none"/>
        </w:tabs>
        <w:spacing w:line="324" w:lineRule="auto" w:before="98" w:after="0"/>
        <w:ind w:left="606" w:right="152" w:hanging="454"/>
        <w:jc w:val="left"/>
        <w:rPr>
          <w:sz w:val="22"/>
        </w:rPr>
      </w:pPr>
      <w:r>
        <w:rPr>
          <w:spacing w:val="-2"/>
          <w:sz w:val="22"/>
        </w:rPr>
        <w:t>提供输血治疗的输血中心或医院出具该项输血感染属医疗责任事故的报告，或者法院终审裁定为医疗责任并且不准上诉；</w:t>
      </w:r>
    </w:p>
    <w:p>
      <w:pPr>
        <w:pStyle w:val="ListParagraph"/>
        <w:numPr>
          <w:ilvl w:val="0"/>
          <w:numId w:val="44"/>
        </w:numPr>
        <w:tabs>
          <w:tab w:pos="607" w:val="left" w:leader="none"/>
        </w:tabs>
        <w:spacing w:line="282" w:lineRule="exact" w:before="0" w:after="0"/>
        <w:ind w:left="606" w:right="0" w:hanging="455"/>
        <w:jc w:val="left"/>
        <w:rPr>
          <w:sz w:val="22"/>
        </w:rPr>
      </w:pPr>
      <w:r>
        <w:rPr>
          <w:spacing w:val="-3"/>
          <w:sz w:val="22"/>
        </w:rPr>
        <w:t>受感染的被保险人不是血友病患者。</w:t>
      </w:r>
    </w:p>
    <w:p>
      <w:pPr>
        <w:pStyle w:val="BodyText"/>
        <w:spacing w:line="324" w:lineRule="auto" w:before="97"/>
        <w:ind w:left="152" w:right="150"/>
      </w:pPr>
      <w:r>
        <w:rPr>
          <w:color w:val="000000"/>
          <w:spacing w:val="-2"/>
          <w:shd w:fill="E4E4E4" w:color="auto" w:val="clear"/>
        </w:rPr>
        <w:t>在任何治愈艾滋病（AIDS）或阻止HIV病毒作用的疗法被发现以后，或能防</w:t>
      </w:r>
      <w:r>
        <w:rPr>
          <w:color w:val="000000"/>
          <w:spacing w:val="80"/>
          <w:w w:val="150"/>
          <w:shd w:fill="E4E4E4" w:color="auto" w:val="clear"/>
        </w:rPr>
        <w:t>                                       </w:t>
      </w:r>
      <w:r>
        <w:rPr>
          <w:color w:val="000000"/>
          <w:spacing w:val="-2"/>
          <w:shd w:fill="E4E4E4" w:color="auto" w:val="clear"/>
        </w:rPr>
        <w:t>止AIDS发生的医疗方法被研究出来以后，则我们不再予以赔付。</w:t>
      </w:r>
    </w:p>
    <w:p>
      <w:pPr>
        <w:pStyle w:val="BodyText"/>
        <w:spacing w:line="324" w:lineRule="auto"/>
        <w:ind w:left="152" w:right="150"/>
        <w:jc w:val="both"/>
      </w:pPr>
      <w:r>
        <w:rPr>
          <w:color w:val="000000"/>
          <w:spacing w:val="-2"/>
          <w:shd w:fill="E4E4E4" w:color="auto" w:val="clear"/>
        </w:rPr>
        <w:t>任何因其他传播方式（包括：性传播或静脉注射毒品）导致的HIV感染不在</w:t>
      </w:r>
      <w:r>
        <w:rPr>
          <w:color w:val="000000"/>
          <w:spacing w:val="40"/>
          <w:shd w:fill="E4E4E4" w:color="auto" w:val="clear"/>
        </w:rPr>
        <w:t> </w:t>
      </w:r>
      <w:r>
        <w:rPr>
          <w:color w:val="000000"/>
          <w:spacing w:val="-2"/>
          <w:shd w:fill="E4E4E4" w:color="auto" w:val="clear"/>
        </w:rPr>
        <w:t>保障范围内。我们必须拥有获得使用被保险人的所有血液样本的权利和能够对这些样本进行独立检验的权利。</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5"/>
        <w:rPr>
          <w:sz w:val="21"/>
        </w:rPr>
      </w:pPr>
    </w:p>
    <w:p>
      <w:pPr>
        <w:spacing w:after="0"/>
        <w:rPr>
          <w:sz w:val="21"/>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3" w:after="0"/>
        <w:ind w:left="954" w:right="0" w:hanging="803"/>
        <w:jc w:val="left"/>
      </w:pPr>
      <w:r>
        <w:rPr>
          <w:spacing w:val="-4"/>
        </w:rPr>
        <w:t>丝虫病所致严</w:t>
      </w:r>
    </w:p>
    <w:p>
      <w:pPr>
        <w:spacing w:before="30"/>
        <w:ind w:left="954" w:right="0" w:firstLine="0"/>
        <w:jc w:val="left"/>
        <w:rPr>
          <w:rFonts w:ascii="华文中宋" w:eastAsia="华文中宋" w:hint="eastAsia"/>
          <w:b/>
          <w:sz w:val="22"/>
        </w:rPr>
      </w:pPr>
      <w:r>
        <w:rPr>
          <w:rFonts w:ascii="华文中宋" w:eastAsia="华文中宋" w:hint="eastAsia"/>
          <w:b/>
          <w:spacing w:val="-5"/>
          <w:sz w:val="22"/>
        </w:rPr>
        <w:t>重象皮肿</w:t>
      </w:r>
    </w:p>
    <w:p>
      <w:pPr>
        <w:pStyle w:val="BodyText"/>
        <w:spacing w:line="324" w:lineRule="auto" w:before="103"/>
        <w:ind w:left="152" w:right="150"/>
        <w:jc w:val="both"/>
      </w:pPr>
      <w:r>
        <w:rPr/>
        <w:br w:type="column"/>
      </w:r>
      <w:r>
        <w:rPr>
          <w:spacing w:val="-1"/>
          <w:w w:val="100"/>
        </w:rPr>
        <w:t>指因丝虫感染导致淋巴阻塞性出现严重淋巴水肿，达到国际淋巴学会淋巴肿</w:t>
      </w:r>
      <w:r>
        <w:rPr>
          <w:spacing w:val="2"/>
          <w:w w:val="100"/>
        </w:rPr>
        <w:t>分期第Ⅲ期，临床表现为肢体象皮肿，患肢较健肢增粗</w:t>
      </w:r>
      <w:r>
        <w:rPr>
          <w:spacing w:val="-1"/>
          <w:w w:val="100"/>
        </w:rPr>
        <w:t>30</w:t>
      </w:r>
      <w:r>
        <w:rPr>
          <w:spacing w:val="1"/>
          <w:w w:val="100"/>
        </w:rPr>
        <w:t>%以上，日常生活</w:t>
      </w:r>
      <w:r>
        <w:rPr>
          <w:spacing w:val="-3"/>
          <w:w w:val="100"/>
        </w:rPr>
        <w:t>不能自理。此病症须经专科医生根据临床表现和微丝蚴的化验结果确诊。</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6"/>
        <w:rPr>
          <w:sz w:val="21"/>
        </w:rPr>
      </w:pPr>
    </w:p>
    <w:p>
      <w:pPr>
        <w:pStyle w:val="ListParagraph"/>
        <w:numPr>
          <w:ilvl w:val="1"/>
          <w:numId w:val="28"/>
        </w:numPr>
        <w:tabs>
          <w:tab w:pos="955" w:val="left" w:leader="none"/>
          <w:tab w:pos="2480" w:val="left" w:leader="none"/>
        </w:tabs>
        <w:spacing w:line="280" w:lineRule="auto" w:before="75" w:after="0"/>
        <w:ind w:left="2480" w:right="150" w:hanging="2328"/>
        <w:jc w:val="left"/>
        <w:rPr>
          <w:sz w:val="22"/>
        </w:rPr>
      </w:pPr>
      <w:r>
        <w:rPr>
          <w:rFonts w:ascii="华文中宋" w:eastAsia="华文中宋" w:hint="eastAsia"/>
          <w:b/>
          <w:spacing w:val="-4"/>
          <w:sz w:val="22"/>
        </w:rPr>
        <w:t>胰腺移植</w:t>
      </w:r>
      <w:r>
        <w:rPr>
          <w:rFonts w:ascii="华文中宋" w:eastAsia="华文中宋" w:hint="eastAsia"/>
          <w:b/>
          <w:sz w:val="22"/>
        </w:rPr>
        <w:tab/>
      </w:r>
      <w:r>
        <w:rPr>
          <w:spacing w:val="-2"/>
          <w:sz w:val="22"/>
        </w:rPr>
        <w:t>指因胰腺功能衰竭，已经实施了在全身麻醉下进行的胰腺的异体器官移植手术。</w:t>
      </w:r>
      <w:r>
        <w:rPr>
          <w:color w:val="000000"/>
          <w:spacing w:val="-2"/>
          <w:sz w:val="22"/>
          <w:shd w:fill="E4E4E4" w:color="auto" w:val="clear"/>
        </w:rPr>
        <w:t>单纯胰岛移植、部分胰腺组织或细胞的移植不在保障范围之内。</w:t>
      </w:r>
    </w:p>
    <w:p>
      <w:pPr>
        <w:pStyle w:val="BodyText"/>
        <w:spacing w:before="6"/>
        <w:rPr>
          <w:sz w:val="25"/>
        </w:rPr>
      </w:pPr>
    </w:p>
    <w:p>
      <w:pPr>
        <w:spacing w:after="0"/>
        <w:rPr>
          <w:sz w:val="25"/>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5" w:after="0"/>
        <w:ind w:left="954" w:right="0" w:hanging="803"/>
        <w:jc w:val="left"/>
      </w:pPr>
      <w:r>
        <w:rPr>
          <w:spacing w:val="-4"/>
        </w:rPr>
        <w:t>严重慢性复发</w:t>
      </w:r>
    </w:p>
    <w:p>
      <w:pPr>
        <w:spacing w:before="30"/>
        <w:ind w:left="954" w:right="0" w:firstLine="0"/>
        <w:jc w:val="left"/>
        <w:rPr>
          <w:rFonts w:ascii="华文中宋" w:eastAsia="华文中宋" w:hint="eastAsia"/>
          <w:b/>
          <w:sz w:val="22"/>
        </w:rPr>
      </w:pPr>
      <w:r>
        <w:rPr>
          <w:rFonts w:ascii="华文中宋" w:eastAsia="华文中宋" w:hint="eastAsia"/>
          <w:b/>
          <w:spacing w:val="-5"/>
          <w:sz w:val="22"/>
        </w:rPr>
        <w:t>性胰腺炎</w:t>
      </w:r>
    </w:p>
    <w:p>
      <w:pPr>
        <w:pStyle w:val="BodyText"/>
        <w:spacing w:line="324" w:lineRule="auto" w:before="106"/>
        <w:ind w:left="152" w:right="150"/>
      </w:pPr>
      <w:r>
        <w:rPr/>
        <w:br w:type="column"/>
      </w:r>
      <w:r>
        <w:rPr>
          <w:spacing w:val="2"/>
          <w:w w:val="100"/>
        </w:rPr>
        <w:t>指慢性反复发作</w:t>
      </w:r>
      <w:r>
        <w:rPr>
          <w:spacing w:val="4"/>
          <w:w w:val="100"/>
        </w:rPr>
        <w:t>（3</w:t>
      </w:r>
      <w:r>
        <w:rPr>
          <w:spacing w:val="3"/>
          <w:w w:val="100"/>
        </w:rPr>
        <w:t>次及以上</w:t>
      </w:r>
      <w:r>
        <w:rPr>
          <w:spacing w:val="4"/>
          <w:w w:val="100"/>
        </w:rPr>
        <w:t>）</w:t>
      </w:r>
      <w:r>
        <w:rPr>
          <w:spacing w:val="1"/>
          <w:w w:val="100"/>
        </w:rPr>
        <w:t>的胰腺炎症导致胰腺的广泛纤维化、坏死、</w:t>
      </w:r>
      <w:r>
        <w:rPr>
          <w:spacing w:val="6"/>
          <w:w w:val="100"/>
        </w:rPr>
        <w:t>弥漫性钙化及假性囊肿形成，造成胰腺功能障碍出现严重糖尿病和营养不</w:t>
      </w:r>
    </w:p>
    <w:p>
      <w:pPr>
        <w:spacing w:after="0" w:line="324" w:lineRule="auto"/>
        <w:sectPr>
          <w:type w:val="continuous"/>
          <w:pgSz w:w="11910" w:h="16840"/>
          <w:pgMar w:header="484" w:footer="706" w:top="1240" w:bottom="900" w:left="980" w:right="980"/>
          <w:cols w:num="2" w:equalWidth="0">
            <w:col w:w="2277" w:space="51"/>
            <w:col w:w="7622"/>
          </w:cols>
        </w:sectPr>
      </w:pPr>
    </w:p>
    <w:p>
      <w:pPr>
        <w:pStyle w:val="BodyText"/>
        <w:spacing w:before="7"/>
        <w:rPr>
          <w:sz w:val="14"/>
        </w:rPr>
      </w:pPr>
    </w:p>
    <w:p>
      <w:pPr>
        <w:pStyle w:val="BodyText"/>
        <w:spacing w:before="70"/>
        <w:ind w:left="2480"/>
      </w:pPr>
      <w:r>
        <w:rPr>
          <w:spacing w:val="-2"/>
        </w:rPr>
        <w:t>良。</w:t>
      </w:r>
      <w:r>
        <w:rPr>
          <w:color w:val="000000"/>
          <w:spacing w:val="-3"/>
          <w:shd w:fill="E4E4E4" w:color="auto" w:val="clear"/>
        </w:rPr>
        <w:t>必须满足以下所有条件：</w:t>
      </w:r>
    </w:p>
    <w:p>
      <w:pPr>
        <w:pStyle w:val="ListParagraph"/>
        <w:numPr>
          <w:ilvl w:val="2"/>
          <w:numId w:val="28"/>
        </w:numPr>
        <w:tabs>
          <w:tab w:pos="2935" w:val="left" w:leader="none"/>
        </w:tabs>
        <w:spacing w:line="324" w:lineRule="auto" w:before="100" w:after="0"/>
        <w:ind w:left="2934" w:right="152" w:hanging="454"/>
        <w:jc w:val="left"/>
        <w:rPr>
          <w:sz w:val="22"/>
        </w:rPr>
      </w:pPr>
      <w:r>
        <w:rPr>
          <w:spacing w:val="6"/>
          <w:w w:val="100"/>
          <w:sz w:val="22"/>
        </w:rPr>
        <w:t>医疗记录证实存在有腹痛等典型症状的慢性胰腺炎急性反复发作超过</w:t>
      </w:r>
      <w:r>
        <w:rPr>
          <w:spacing w:val="-2"/>
          <w:w w:val="100"/>
          <w:sz w:val="22"/>
        </w:rPr>
        <w:t>三次；</w:t>
      </w:r>
    </w:p>
    <w:p>
      <w:pPr>
        <w:pStyle w:val="ListParagraph"/>
        <w:numPr>
          <w:ilvl w:val="2"/>
          <w:numId w:val="28"/>
        </w:numPr>
        <w:tabs>
          <w:tab w:pos="2935" w:val="left" w:leader="none"/>
        </w:tabs>
        <w:spacing w:line="324" w:lineRule="auto" w:before="0" w:after="0"/>
        <w:ind w:left="2934" w:right="150" w:hanging="454"/>
        <w:jc w:val="left"/>
        <w:rPr>
          <w:sz w:val="22"/>
        </w:rPr>
      </w:pPr>
      <w:r>
        <w:rPr>
          <w:spacing w:val="-2"/>
          <w:sz w:val="22"/>
        </w:rPr>
        <w:t>CT显示胰腺广泛钙化或逆行胰胆管造影（ERCP）显示胰管扭曲、扩张和</w:t>
      </w:r>
      <w:r>
        <w:rPr>
          <w:spacing w:val="-4"/>
          <w:sz w:val="22"/>
        </w:rPr>
        <w:t>狭窄；</w:t>
      </w:r>
    </w:p>
    <w:p>
      <w:pPr>
        <w:pStyle w:val="ListParagraph"/>
        <w:numPr>
          <w:ilvl w:val="2"/>
          <w:numId w:val="28"/>
        </w:numPr>
        <w:tabs>
          <w:tab w:pos="2935" w:val="left" w:leader="none"/>
        </w:tabs>
        <w:spacing w:line="324" w:lineRule="auto" w:before="0" w:after="0"/>
        <w:ind w:left="2480" w:right="2497" w:firstLine="0"/>
        <w:jc w:val="left"/>
        <w:rPr>
          <w:sz w:val="22"/>
        </w:rPr>
      </w:pPr>
      <w:r>
        <w:rPr>
          <w:spacing w:val="-2"/>
          <w:sz w:val="22"/>
        </w:rPr>
        <w:t>接受胰岛素替代治疗和酶替代治疗180天以上。</w:t>
      </w:r>
      <w:r>
        <w:rPr>
          <w:color w:val="000000"/>
          <w:spacing w:val="-2"/>
          <w:sz w:val="22"/>
          <w:shd w:fill="E4E4E4" w:color="auto" w:val="clear"/>
        </w:rPr>
        <w:t>酒精导致的慢性复发性胰腺炎不在保障范围内。</w:t>
      </w:r>
    </w:p>
    <w:p>
      <w:pPr>
        <w:pStyle w:val="BodyText"/>
        <w:spacing w:before="4"/>
        <w:rPr>
          <w:sz w:val="21"/>
        </w:rPr>
      </w:pPr>
    </w:p>
    <w:p>
      <w:pPr>
        <w:spacing w:after="0"/>
        <w:rPr>
          <w:sz w:val="21"/>
        </w:rPr>
        <w:sectPr>
          <w:pgSz w:w="11910" w:h="16840"/>
          <w:pgMar w:header="484" w:footer="706" w:top="1240" w:bottom="900" w:left="980" w:right="980"/>
        </w:sectPr>
      </w:pPr>
    </w:p>
    <w:p>
      <w:pPr>
        <w:pStyle w:val="Heading2"/>
        <w:numPr>
          <w:ilvl w:val="1"/>
          <w:numId w:val="28"/>
        </w:numPr>
        <w:tabs>
          <w:tab w:pos="955" w:val="left" w:leader="none"/>
        </w:tabs>
        <w:spacing w:line="261" w:lineRule="auto" w:before="73" w:after="0"/>
        <w:ind w:left="954" w:right="0" w:hanging="802"/>
        <w:jc w:val="left"/>
      </w:pPr>
      <w:r>
        <w:rPr>
          <w:spacing w:val="-2"/>
        </w:rPr>
        <w:t>严重肾髓质囊</w:t>
      </w:r>
      <w:r>
        <w:rPr>
          <w:spacing w:val="-6"/>
        </w:rPr>
        <w:t>性病</w:t>
      </w:r>
    </w:p>
    <w:p>
      <w:pPr>
        <w:pStyle w:val="BodyText"/>
        <w:spacing w:before="103"/>
        <w:ind w:left="152"/>
      </w:pPr>
      <w:r>
        <w:rPr/>
        <w:br w:type="column"/>
      </w:r>
      <w:r>
        <w:rPr>
          <w:spacing w:val="-2"/>
        </w:rPr>
        <w:t>肾髓质囊性病的诊断须</w:t>
      </w:r>
      <w:r>
        <w:rPr>
          <w:color w:val="000000"/>
          <w:spacing w:val="-2"/>
          <w:shd w:fill="E4E4E4" w:color="auto" w:val="clear"/>
        </w:rPr>
        <w:t>同时符合下列要求</w:t>
      </w:r>
      <w:r>
        <w:rPr>
          <w:color w:val="000000"/>
          <w:spacing w:val="-10"/>
        </w:rPr>
        <w:t>：</w:t>
      </w:r>
    </w:p>
    <w:p>
      <w:pPr>
        <w:pStyle w:val="ListParagraph"/>
        <w:numPr>
          <w:ilvl w:val="0"/>
          <w:numId w:val="45"/>
        </w:numPr>
        <w:tabs>
          <w:tab w:pos="607" w:val="left" w:leader="none"/>
        </w:tabs>
        <w:spacing w:line="240" w:lineRule="auto" w:before="97" w:after="0"/>
        <w:ind w:left="606" w:right="0" w:hanging="455"/>
        <w:jc w:val="left"/>
        <w:rPr>
          <w:sz w:val="22"/>
        </w:rPr>
      </w:pPr>
      <w:r>
        <w:rPr>
          <w:spacing w:val="-3"/>
          <w:sz w:val="22"/>
        </w:rPr>
        <w:t>肾髓质有囊肿、肾小管萎缩及间质纤维化等病理改变；</w:t>
      </w:r>
    </w:p>
    <w:p>
      <w:pPr>
        <w:pStyle w:val="ListParagraph"/>
        <w:numPr>
          <w:ilvl w:val="0"/>
          <w:numId w:val="45"/>
        </w:numPr>
        <w:tabs>
          <w:tab w:pos="607" w:val="left" w:leader="none"/>
        </w:tabs>
        <w:spacing w:line="240" w:lineRule="auto" w:before="100" w:after="0"/>
        <w:ind w:left="606" w:right="0" w:hanging="455"/>
        <w:jc w:val="left"/>
        <w:rPr>
          <w:sz w:val="22"/>
        </w:rPr>
      </w:pPr>
      <w:r>
        <w:rPr>
          <w:spacing w:val="-4"/>
          <w:sz w:val="22"/>
        </w:rPr>
        <w:t>肾功能衰竭；</w:t>
      </w:r>
    </w:p>
    <w:p>
      <w:pPr>
        <w:pStyle w:val="ListParagraph"/>
        <w:numPr>
          <w:ilvl w:val="0"/>
          <w:numId w:val="45"/>
        </w:numPr>
        <w:tabs>
          <w:tab w:pos="607" w:val="left" w:leader="none"/>
        </w:tabs>
        <w:spacing w:line="324" w:lineRule="auto" w:before="97" w:after="0"/>
        <w:ind w:left="152" w:right="4369" w:firstLine="0"/>
        <w:jc w:val="left"/>
        <w:rPr>
          <w:sz w:val="22"/>
        </w:rPr>
      </w:pPr>
      <w:r>
        <w:rPr>
          <w:spacing w:val="-2"/>
          <w:sz w:val="22"/>
        </w:rPr>
        <w:t>诊断须由肾组织活检确定。</w:t>
      </w:r>
      <w:r>
        <w:rPr>
          <w:color w:val="000000"/>
          <w:spacing w:val="-2"/>
          <w:sz w:val="22"/>
          <w:shd w:fill="E4E4E4" w:color="auto" w:val="clear"/>
        </w:rPr>
        <w:t>以下情况不在保障范围内：</w:t>
      </w:r>
    </w:p>
    <w:p>
      <w:pPr>
        <w:pStyle w:val="ListParagraph"/>
        <w:numPr>
          <w:ilvl w:val="0"/>
          <w:numId w:val="46"/>
        </w:numPr>
        <w:tabs>
          <w:tab w:pos="607" w:val="left" w:leader="none"/>
        </w:tabs>
        <w:spacing w:line="282" w:lineRule="exact" w:before="0" w:after="0"/>
        <w:ind w:left="606" w:right="0" w:hanging="455"/>
        <w:jc w:val="left"/>
        <w:rPr>
          <w:sz w:val="22"/>
        </w:rPr>
      </w:pPr>
      <w:r>
        <w:rPr>
          <w:color w:val="000000"/>
          <w:spacing w:val="-4"/>
          <w:sz w:val="22"/>
          <w:shd w:fill="E4E4E4" w:color="auto" w:val="clear"/>
        </w:rPr>
        <w:t>多囊肾；</w:t>
      </w:r>
    </w:p>
    <w:p>
      <w:pPr>
        <w:pStyle w:val="ListParagraph"/>
        <w:numPr>
          <w:ilvl w:val="0"/>
          <w:numId w:val="46"/>
        </w:numPr>
        <w:tabs>
          <w:tab w:pos="607" w:val="left" w:leader="none"/>
        </w:tabs>
        <w:spacing w:line="240" w:lineRule="auto" w:before="98" w:after="0"/>
        <w:ind w:left="606" w:right="0" w:hanging="455"/>
        <w:jc w:val="left"/>
        <w:rPr>
          <w:sz w:val="22"/>
        </w:rPr>
      </w:pPr>
      <w:r>
        <w:rPr>
          <w:color w:val="000000"/>
          <w:spacing w:val="-3"/>
          <w:sz w:val="22"/>
          <w:shd w:fill="E4E4E4" w:color="auto" w:val="clear"/>
        </w:rPr>
        <w:t>多囊性肾发育不良和髓质海绵肾。</w:t>
      </w:r>
    </w:p>
    <w:p>
      <w:pPr>
        <w:spacing w:after="0" w:line="240"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2"/>
        <w:rPr>
          <w:sz w:val="29"/>
        </w:rPr>
      </w:pPr>
    </w:p>
    <w:p>
      <w:pPr>
        <w:pStyle w:val="ListParagraph"/>
        <w:numPr>
          <w:ilvl w:val="1"/>
          <w:numId w:val="28"/>
        </w:numPr>
        <w:tabs>
          <w:tab w:pos="955" w:val="left" w:leader="none"/>
        </w:tabs>
        <w:spacing w:line="302" w:lineRule="auto" w:before="75" w:after="0"/>
        <w:ind w:left="2480" w:right="150" w:hanging="2328"/>
        <w:jc w:val="both"/>
        <w:rPr>
          <w:sz w:val="22"/>
        </w:rPr>
      </w:pPr>
      <w:r>
        <w:rPr>
          <w:rFonts w:ascii="华文中宋" w:hAnsi="华文中宋" w:eastAsia="华文中宋" w:hint="eastAsia"/>
          <w:b/>
          <w:sz w:val="22"/>
        </w:rPr>
        <w:t>肺源性心脏病 </w:t>
      </w:r>
      <w:r>
        <w:rPr>
          <w:sz w:val="22"/>
        </w:rPr>
        <w:t>指因慢性肺部疾病导致慢性心功能损害造成永久不可逆性的心功能衰竭。心</w:t>
      </w:r>
      <w:r>
        <w:rPr>
          <w:spacing w:val="-2"/>
          <w:sz w:val="22"/>
        </w:rPr>
        <w:t>功能衰竭程度达到纽约心脏病学会的心功能分级标准之心功能Ⅳ级。被保险人永久不可逆性的体力活动能力受限，不能从事任何体力活动。</w:t>
      </w:r>
    </w:p>
    <w:p>
      <w:pPr>
        <w:pStyle w:val="BodyText"/>
        <w:spacing w:before="2"/>
        <w:rPr>
          <w:sz w:val="23"/>
        </w:rPr>
      </w:pPr>
    </w:p>
    <w:p>
      <w:pPr>
        <w:spacing w:after="0"/>
        <w:rPr>
          <w:sz w:val="23"/>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2" w:after="0"/>
        <w:ind w:left="954" w:right="0" w:hanging="803"/>
        <w:jc w:val="left"/>
      </w:pPr>
      <w:r>
        <w:rPr>
          <w:spacing w:val="-4"/>
        </w:rPr>
        <w:t>特发性慢性肾</w:t>
      </w:r>
    </w:p>
    <w:p>
      <w:pPr>
        <w:spacing w:line="261" w:lineRule="auto" w:before="30"/>
        <w:ind w:left="954" w:right="0" w:firstLine="0"/>
        <w:jc w:val="left"/>
        <w:rPr>
          <w:rFonts w:ascii="华文中宋" w:eastAsia="华文中宋" w:hint="eastAsia"/>
          <w:b/>
          <w:sz w:val="22"/>
        </w:rPr>
      </w:pPr>
      <w:r>
        <w:rPr>
          <w:rFonts w:ascii="华文中宋" w:eastAsia="华文中宋" w:hint="eastAsia"/>
          <w:b/>
          <w:spacing w:val="-2"/>
          <w:sz w:val="22"/>
        </w:rPr>
        <w:t>上腺皮质功能</w:t>
      </w:r>
      <w:r>
        <w:rPr>
          <w:rFonts w:ascii="华文中宋" w:eastAsia="华文中宋" w:hint="eastAsia"/>
          <w:b/>
          <w:spacing w:val="-6"/>
          <w:sz w:val="22"/>
        </w:rPr>
        <w:t>衰竭</w:t>
      </w:r>
    </w:p>
    <w:p>
      <w:pPr>
        <w:pStyle w:val="BodyText"/>
        <w:spacing w:line="324" w:lineRule="auto" w:before="102"/>
        <w:ind w:left="152" w:right="150"/>
      </w:pPr>
      <w:r>
        <w:rPr/>
        <w:br w:type="column"/>
      </w:r>
      <w:r>
        <w:rPr>
          <w:spacing w:val="-2"/>
        </w:rPr>
        <w:t>指自身免疫性肾上腺炎（既往称：特发性肾上腺皮质萎缩）导致肾上腺萎缩和慢性肾上腺皮质功能减退。</w:t>
      </w:r>
      <w:r>
        <w:rPr>
          <w:color w:val="000000"/>
          <w:spacing w:val="-2"/>
          <w:shd w:fill="E4E4E4" w:color="auto" w:val="clear"/>
        </w:rPr>
        <w:t>必须满足以下所有条件：</w:t>
      </w:r>
    </w:p>
    <w:p>
      <w:pPr>
        <w:pStyle w:val="ListParagraph"/>
        <w:numPr>
          <w:ilvl w:val="0"/>
          <w:numId w:val="47"/>
        </w:numPr>
        <w:tabs>
          <w:tab w:pos="607" w:val="left" w:leader="none"/>
        </w:tabs>
        <w:spacing w:line="282" w:lineRule="exact" w:before="0" w:after="0"/>
        <w:ind w:left="606" w:right="0" w:hanging="455"/>
        <w:jc w:val="left"/>
        <w:rPr>
          <w:sz w:val="22"/>
        </w:rPr>
      </w:pPr>
      <w:r>
        <w:rPr>
          <w:spacing w:val="-3"/>
          <w:sz w:val="22"/>
        </w:rPr>
        <w:t>必须由专科医生明确诊断，符合所有以下诊断标准：</w:t>
      </w:r>
    </w:p>
    <w:p>
      <w:pPr>
        <w:pStyle w:val="BodyText"/>
        <w:spacing w:before="98"/>
        <w:ind w:left="1060"/>
      </w:pPr>
      <w:r>
        <w:rPr/>
        <w:drawing>
          <wp:anchor distT="0" distB="0" distL="0" distR="0" allowOverlap="1" layoutInCell="1" locked="0" behindDoc="0" simplePos="0" relativeHeight="15740928">
            <wp:simplePos x="0" y="0"/>
            <wp:positionH relativeFrom="page">
              <wp:posOffset>2485707</wp:posOffset>
            </wp:positionH>
            <wp:positionV relativeFrom="paragraph">
              <wp:posOffset>79311</wp:posOffset>
            </wp:positionV>
            <wp:extent cx="140335" cy="140334"/>
            <wp:effectExtent l="0" t="0" r="0" b="0"/>
            <wp:wrapNone/>
            <wp:docPr id="35" name="image8.png"/>
            <wp:cNvGraphicFramePr>
              <a:graphicFrameLocks noChangeAspect="1"/>
            </wp:cNvGraphicFramePr>
            <a:graphic>
              <a:graphicData uri="http://schemas.openxmlformats.org/drawingml/2006/picture">
                <pic:pic>
                  <pic:nvPicPr>
                    <pic:cNvPr id="36" name="image8.png"/>
                    <pic:cNvPicPr/>
                  </pic:nvPicPr>
                  <pic:blipFill>
                    <a:blip r:embed="rId16" cstate="print"/>
                    <a:stretch>
                      <a:fillRect/>
                    </a:stretch>
                  </pic:blipFill>
                  <pic:spPr>
                    <a:xfrm>
                      <a:off x="0" y="0"/>
                      <a:ext cx="140335" cy="140334"/>
                    </a:xfrm>
                    <a:prstGeom prst="rect">
                      <a:avLst/>
                    </a:prstGeom>
                  </pic:spPr>
                </pic:pic>
              </a:graphicData>
            </a:graphic>
          </wp:anchor>
        </w:drawing>
      </w:r>
      <w:r>
        <w:rPr/>
        <w:pict>
          <v:shape style="position:absolute;margin-left:195.725006pt;margin-top:6.244989pt;width:11.05pt;height:11.05pt;mso-position-horizontal-relative:page;mso-position-vertical-relative:paragraph;z-index:15741440" type="#_x0000_t202" id="docshape24" filled="false" stroked="false">
            <v:textbox inset="0,0,0,0">
              <w:txbxContent>
                <w:p>
                  <w:pPr>
                    <w:spacing w:line="220" w:lineRule="exact" w:before="0"/>
                    <w:ind w:left="62" w:right="0" w:firstLine="0"/>
                    <w:jc w:val="left"/>
                    <w:rPr>
                      <w:sz w:val="19"/>
                    </w:rPr>
                  </w:pPr>
                  <w:r>
                    <w:rPr>
                      <w:sz w:val="19"/>
                    </w:rPr>
                    <w:t>1</w:t>
                  </w:r>
                </w:p>
              </w:txbxContent>
            </v:textbox>
            <w10:wrap type="none"/>
          </v:shape>
        </w:pict>
      </w:r>
      <w:r>
        <w:rPr>
          <w:spacing w:val="-2"/>
        </w:rPr>
        <w:t>血浆促肾上腺皮质激素（ACTH）水平测定，＞100pg/ml；</w:t>
      </w:r>
    </w:p>
    <w:p>
      <w:pPr>
        <w:pStyle w:val="BodyText"/>
        <w:spacing w:line="324" w:lineRule="auto" w:before="97"/>
        <w:ind w:left="1060" w:right="152"/>
      </w:pPr>
      <w:r>
        <w:rPr/>
        <w:drawing>
          <wp:anchor distT="0" distB="0" distL="0" distR="0" allowOverlap="1" layoutInCell="1" locked="0" behindDoc="0" simplePos="0" relativeHeight="15741952">
            <wp:simplePos x="0" y="0"/>
            <wp:positionH relativeFrom="page">
              <wp:posOffset>2485707</wp:posOffset>
            </wp:positionH>
            <wp:positionV relativeFrom="paragraph">
              <wp:posOffset>79184</wp:posOffset>
            </wp:positionV>
            <wp:extent cx="140335" cy="140334"/>
            <wp:effectExtent l="0" t="0" r="0" b="0"/>
            <wp:wrapNone/>
            <wp:docPr id="37" name="image7.png"/>
            <wp:cNvGraphicFramePr>
              <a:graphicFrameLocks noChangeAspect="1"/>
            </wp:cNvGraphicFramePr>
            <a:graphic>
              <a:graphicData uri="http://schemas.openxmlformats.org/drawingml/2006/picture">
                <pic:pic>
                  <pic:nvPicPr>
                    <pic:cNvPr id="38"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6.234998pt;width:11.05pt;height:11.05pt;mso-position-horizontal-relative:page;mso-position-vertical-relative:paragraph;z-index:15742464" type="#_x0000_t202" id="docshape25" filled="false" stroked="false">
            <v:textbox inset="0,0,0,0">
              <w:txbxContent>
                <w:p>
                  <w:pPr>
                    <w:spacing w:line="219" w:lineRule="exact" w:before="2"/>
                    <w:ind w:left="62" w:right="0" w:firstLine="0"/>
                    <w:jc w:val="left"/>
                    <w:rPr>
                      <w:sz w:val="19"/>
                    </w:rPr>
                  </w:pPr>
                  <w:r>
                    <w:rPr>
                      <w:sz w:val="19"/>
                    </w:rPr>
                    <w:t>2</w:t>
                  </w:r>
                </w:p>
              </w:txbxContent>
            </v:textbox>
            <w10:wrap type="none"/>
          </v:shape>
        </w:pict>
      </w:r>
      <w:r>
        <w:rPr>
          <w:spacing w:val="-2"/>
        </w:rPr>
        <w:t>血浆肾素活性、血管紧张素Ⅱ和醛固酮测定，显示为原发性肾上腺皮质功能减退症；</w:t>
      </w:r>
    </w:p>
    <w:p>
      <w:pPr>
        <w:pStyle w:val="BodyText"/>
        <w:spacing w:line="324" w:lineRule="auto"/>
        <w:ind w:left="1060" w:right="152"/>
      </w:pPr>
      <w:r>
        <w:rPr/>
        <w:drawing>
          <wp:anchor distT="0" distB="0" distL="0" distR="0" allowOverlap="1" layoutInCell="1" locked="0" behindDoc="0" simplePos="0" relativeHeight="15742976">
            <wp:simplePos x="0" y="0"/>
            <wp:positionH relativeFrom="page">
              <wp:posOffset>2485707</wp:posOffset>
            </wp:positionH>
            <wp:positionV relativeFrom="paragraph">
              <wp:posOffset>17081</wp:posOffset>
            </wp:positionV>
            <wp:extent cx="140335" cy="140334"/>
            <wp:effectExtent l="0" t="0" r="0" b="0"/>
            <wp:wrapNone/>
            <wp:docPr id="39" name="image8.png"/>
            <wp:cNvGraphicFramePr>
              <a:graphicFrameLocks noChangeAspect="1"/>
            </wp:cNvGraphicFramePr>
            <a:graphic>
              <a:graphicData uri="http://schemas.openxmlformats.org/drawingml/2006/picture">
                <pic:pic>
                  <pic:nvPicPr>
                    <pic:cNvPr id="40" name="image8.png"/>
                    <pic:cNvPicPr/>
                  </pic:nvPicPr>
                  <pic:blipFill>
                    <a:blip r:embed="rId16" cstate="print"/>
                    <a:stretch>
                      <a:fillRect/>
                    </a:stretch>
                  </pic:blipFill>
                  <pic:spPr>
                    <a:xfrm>
                      <a:off x="0" y="0"/>
                      <a:ext cx="140335" cy="140334"/>
                    </a:xfrm>
                    <a:prstGeom prst="rect">
                      <a:avLst/>
                    </a:prstGeom>
                  </pic:spPr>
                </pic:pic>
              </a:graphicData>
            </a:graphic>
          </wp:anchor>
        </w:drawing>
      </w:r>
      <w:r>
        <w:rPr/>
        <w:pict>
          <v:shape style="position:absolute;margin-left:195.725006pt;margin-top:1.344989pt;width:11.05pt;height:11.05pt;mso-position-horizontal-relative:page;mso-position-vertical-relative:paragraph;z-index:15743488" type="#_x0000_t202" id="docshape26" filled="false" stroked="false">
            <v:textbox inset="0,0,0,0">
              <w:txbxContent>
                <w:p>
                  <w:pPr>
                    <w:spacing w:line="220" w:lineRule="exact" w:before="0"/>
                    <w:ind w:left="62" w:right="0" w:firstLine="0"/>
                    <w:jc w:val="left"/>
                    <w:rPr>
                      <w:sz w:val="19"/>
                    </w:rPr>
                  </w:pPr>
                  <w:r>
                    <w:rPr>
                      <w:sz w:val="19"/>
                    </w:rPr>
                    <w:t>3</w:t>
                  </w:r>
                </w:p>
              </w:txbxContent>
            </v:textbox>
            <w10:wrap type="none"/>
          </v:shape>
        </w:pict>
      </w:r>
      <w:r>
        <w:rPr>
          <w:spacing w:val="-2"/>
        </w:rPr>
        <w:t>促肾上腺皮质激素（ACTH）刺激试验显示为原发性肾上腺皮质功能</w:t>
      </w:r>
      <w:r>
        <w:rPr>
          <w:spacing w:val="-4"/>
        </w:rPr>
        <w:t>减退症。</w:t>
      </w:r>
    </w:p>
    <w:p>
      <w:pPr>
        <w:pStyle w:val="ListParagraph"/>
        <w:numPr>
          <w:ilvl w:val="0"/>
          <w:numId w:val="47"/>
        </w:numPr>
        <w:tabs>
          <w:tab w:pos="607" w:val="left" w:leader="none"/>
        </w:tabs>
        <w:spacing w:line="282" w:lineRule="exact" w:before="0" w:after="0"/>
        <w:ind w:left="606" w:right="0" w:hanging="455"/>
        <w:jc w:val="left"/>
        <w:rPr>
          <w:sz w:val="22"/>
        </w:rPr>
      </w:pPr>
      <w:r>
        <w:rPr>
          <w:spacing w:val="-2"/>
          <w:sz w:val="22"/>
        </w:rPr>
        <w:t>已经采用皮质类固醇替代治疗180</w:t>
      </w:r>
      <w:r>
        <w:rPr>
          <w:spacing w:val="-4"/>
          <w:sz w:val="22"/>
        </w:rPr>
        <w:t>天以上。</w:t>
      </w:r>
    </w:p>
    <w:p>
      <w:pPr>
        <w:pStyle w:val="BodyText"/>
        <w:spacing w:line="324" w:lineRule="auto" w:before="97"/>
        <w:ind w:left="152" w:right="150"/>
      </w:pPr>
      <w:r>
        <w:rPr>
          <w:color w:val="000000"/>
          <w:spacing w:val="-2"/>
          <w:shd w:fill="E4E4E4" w:color="auto" w:val="clear"/>
        </w:rPr>
        <w:t>肾上腺结核、HIV感染或艾滋病、感染、肿瘤所致的原发性肾上腺皮质功能</w:t>
      </w:r>
      <w:r>
        <w:rPr>
          <w:color w:val="000000"/>
          <w:spacing w:val="80"/>
          <w:w w:val="150"/>
          <w:shd w:fill="E4E4E4" w:color="auto" w:val="clear"/>
        </w:rPr>
        <w:t>                                       </w:t>
      </w:r>
      <w:r>
        <w:rPr>
          <w:color w:val="000000"/>
          <w:spacing w:val="-2"/>
          <w:shd w:fill="E4E4E4" w:color="auto" w:val="clear"/>
        </w:rPr>
        <w:t>减退和继发性肾上腺皮质功能减退不在保障范围内。</w:t>
      </w:r>
    </w:p>
    <w:p>
      <w:pPr>
        <w:spacing w:after="0" w:line="324" w:lineRule="auto"/>
        <w:sectPr>
          <w:type w:val="continuous"/>
          <w:pgSz w:w="11910" w:h="16840"/>
          <w:pgMar w:header="484" w:footer="706" w:top="1240" w:bottom="900" w:left="980" w:right="980"/>
          <w:cols w:num="2" w:equalWidth="0">
            <w:col w:w="2277" w:space="51"/>
            <w:col w:w="7622"/>
          </w:cols>
        </w:sectPr>
      </w:pPr>
    </w:p>
    <w:p>
      <w:pPr>
        <w:pStyle w:val="BodyText"/>
        <w:spacing w:before="7"/>
        <w:rPr>
          <w:sz w:val="21"/>
        </w:rPr>
      </w:pPr>
    </w:p>
    <w:p>
      <w:pPr>
        <w:spacing w:after="0"/>
        <w:rPr>
          <w:sz w:val="21"/>
        </w:rPr>
        <w:sectPr>
          <w:type w:val="continuous"/>
          <w:pgSz w:w="11910" w:h="16840"/>
          <w:pgMar w:header="484" w:footer="706" w:top="1240" w:bottom="900" w:left="980" w:right="980"/>
        </w:sectPr>
      </w:pPr>
    </w:p>
    <w:p>
      <w:pPr>
        <w:pStyle w:val="ListParagraph"/>
        <w:numPr>
          <w:ilvl w:val="1"/>
          <w:numId w:val="28"/>
        </w:numPr>
        <w:tabs>
          <w:tab w:pos="955" w:val="left" w:leader="none"/>
        </w:tabs>
        <w:spacing w:line="240" w:lineRule="auto" w:before="73" w:after="0"/>
        <w:ind w:left="954" w:right="0" w:hanging="803"/>
        <w:jc w:val="left"/>
        <w:rPr>
          <w:rFonts w:ascii="华文中宋" w:eastAsia="华文中宋" w:hint="eastAsia"/>
          <w:b/>
          <w:sz w:val="22"/>
        </w:rPr>
      </w:pPr>
      <w:r>
        <w:rPr>
          <w:rFonts w:ascii="华文中宋" w:eastAsia="华文中宋" w:hint="eastAsia"/>
          <w:b/>
          <w:spacing w:val="-4"/>
          <w:sz w:val="22"/>
        </w:rPr>
        <w:t>严重进行性核</w:t>
      </w:r>
    </w:p>
    <w:p>
      <w:pPr>
        <w:spacing w:before="30"/>
        <w:ind w:left="954" w:right="0" w:firstLine="0"/>
        <w:jc w:val="left"/>
        <w:rPr>
          <w:rFonts w:ascii="华文中宋" w:eastAsia="华文中宋" w:hint="eastAsia"/>
          <w:b/>
          <w:sz w:val="22"/>
        </w:rPr>
      </w:pPr>
      <w:r>
        <w:rPr>
          <w:rFonts w:ascii="华文中宋" w:eastAsia="华文中宋" w:hint="eastAsia"/>
          <w:b/>
          <w:spacing w:val="-5"/>
          <w:sz w:val="22"/>
        </w:rPr>
        <w:t>上性麻痹</w:t>
      </w:r>
    </w:p>
    <w:p>
      <w:pPr>
        <w:spacing w:line="261" w:lineRule="auto" w:before="30"/>
        <w:ind w:left="954" w:right="65" w:firstLine="0"/>
        <w:jc w:val="left"/>
        <w:rPr>
          <w:rFonts w:ascii="华文中宋" w:eastAsia="华文中宋" w:hint="eastAsia"/>
          <w:b/>
          <w:sz w:val="22"/>
        </w:rPr>
      </w:pPr>
      <w:r>
        <w:rPr>
          <w:rFonts w:ascii="华文中宋" w:eastAsia="华文中宋" w:hint="eastAsia"/>
          <w:b/>
          <w:spacing w:val="-2"/>
          <w:sz w:val="22"/>
        </w:rPr>
        <w:t>（Steele- Rchardson-</w:t>
      </w:r>
    </w:p>
    <w:p>
      <w:pPr>
        <w:pStyle w:val="BodyText"/>
        <w:spacing w:line="324" w:lineRule="auto" w:before="103"/>
        <w:ind w:left="152" w:right="150"/>
        <w:jc w:val="both"/>
      </w:pPr>
      <w:r>
        <w:rPr/>
        <w:br w:type="column"/>
      </w:r>
      <w:r>
        <w:rPr>
          <w:spacing w:val="7"/>
          <w:w w:val="100"/>
        </w:rPr>
        <w:t>进行性核上性麻痹（</w:t>
      </w:r>
      <w:r>
        <w:rPr>
          <w:spacing w:val="-1"/>
          <w:w w:val="100"/>
        </w:rPr>
        <w:t>PS</w:t>
      </w:r>
      <w:r>
        <w:rPr>
          <w:spacing w:val="7"/>
          <w:w w:val="100"/>
        </w:rPr>
        <w:t>P）又称</w:t>
      </w:r>
      <w:r>
        <w:rPr>
          <w:spacing w:val="-1"/>
          <w:w w:val="100"/>
        </w:rPr>
        <w:t>Steel</w:t>
      </w:r>
      <w:r>
        <w:rPr>
          <w:spacing w:val="-3"/>
          <w:w w:val="100"/>
        </w:rPr>
        <w:t>e</w:t>
      </w:r>
      <w:r>
        <w:rPr>
          <w:spacing w:val="-1"/>
          <w:w w:val="100"/>
        </w:rPr>
        <w:t>-Rcha</w:t>
      </w:r>
      <w:r>
        <w:rPr>
          <w:spacing w:val="-3"/>
          <w:w w:val="100"/>
        </w:rPr>
        <w:t>r</w:t>
      </w:r>
      <w:r>
        <w:rPr>
          <w:spacing w:val="-1"/>
          <w:w w:val="100"/>
        </w:rPr>
        <w:t>dson-</w:t>
      </w:r>
      <w:r>
        <w:rPr>
          <w:spacing w:val="-3"/>
          <w:w w:val="100"/>
        </w:rPr>
        <w:t>O</w:t>
      </w:r>
      <w:r>
        <w:rPr>
          <w:spacing w:val="-1"/>
          <w:w w:val="100"/>
        </w:rPr>
        <w:t>lszew</w:t>
      </w:r>
      <w:r>
        <w:rPr>
          <w:spacing w:val="-3"/>
          <w:w w:val="100"/>
        </w:rPr>
        <w:t>s</w:t>
      </w:r>
      <w:r>
        <w:rPr>
          <w:spacing w:val="-1"/>
          <w:w w:val="100"/>
        </w:rPr>
        <w:t>k</w:t>
      </w:r>
      <w:r>
        <w:rPr>
          <w:spacing w:val="7"/>
          <w:w w:val="100"/>
        </w:rPr>
        <w:t>i</w:t>
      </w:r>
      <w:r>
        <w:rPr>
          <w:spacing w:val="5"/>
          <w:w w:val="100"/>
        </w:rPr>
        <w:t>综合征，是一</w:t>
      </w:r>
      <w:r>
        <w:rPr>
          <w:spacing w:val="-1"/>
          <w:w w:val="100"/>
        </w:rPr>
        <w:t>种少见的神经系统变性疾病，以假球麻痹、垂直性核上性眼肌麻痹、锥体外</w:t>
      </w:r>
      <w:r>
        <w:rPr>
          <w:spacing w:val="2"/>
          <w:w w:val="100"/>
        </w:rPr>
        <w:t>系肌僵直、步态共济失调和轻度痴呆为主要临床特征。</w:t>
      </w:r>
      <w:r>
        <w:rPr>
          <w:spacing w:val="-1"/>
          <w:w w:val="100"/>
        </w:rPr>
        <w:t>PS</w:t>
      </w:r>
      <w:r>
        <w:rPr>
          <w:spacing w:val="2"/>
          <w:w w:val="100"/>
        </w:rPr>
        <w:t>P必须由三级医院</w:t>
      </w:r>
      <w:r>
        <w:rPr>
          <w:spacing w:val="-1"/>
          <w:w w:val="100"/>
        </w:rPr>
        <w:t>的神经内科专科医生确诊，并且被保险人自主生活能力完全丧失，</w:t>
      </w:r>
      <w:r>
        <w:rPr>
          <w:color w:val="000000"/>
          <w:spacing w:val="-1"/>
          <w:w w:val="100"/>
          <w:shd w:fill="E4E4E4" w:color="auto" w:val="clear"/>
        </w:rPr>
        <w:t>无法独立</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rPr>
          <w:sz w:val="12"/>
        </w:rPr>
      </w:pPr>
    </w:p>
    <w:p>
      <w:pPr>
        <w:spacing w:after="0"/>
        <w:rPr>
          <w:sz w:val="12"/>
        </w:rPr>
        <w:sectPr>
          <w:pgSz w:w="11910" w:h="16840"/>
          <w:pgMar w:header="484" w:footer="706" w:top="1240" w:bottom="900" w:left="980" w:right="980"/>
        </w:sectPr>
      </w:pPr>
    </w:p>
    <w:p>
      <w:pPr>
        <w:pStyle w:val="Heading2"/>
        <w:spacing w:line="261" w:lineRule="auto" w:before="73"/>
      </w:pPr>
      <w:r>
        <w:rPr>
          <w:spacing w:val="-2"/>
        </w:rPr>
        <w:t>Olszewski</w:t>
      </w:r>
      <w:r>
        <w:rPr>
          <w:spacing w:val="-2"/>
        </w:rPr>
        <w:t>综</w:t>
      </w:r>
      <w:r>
        <w:rPr>
          <w:spacing w:val="-4"/>
        </w:rPr>
        <w:t>合征）</w:t>
      </w:r>
    </w:p>
    <w:p>
      <w:pPr>
        <w:pStyle w:val="BodyText"/>
        <w:spacing w:before="103"/>
        <w:ind w:left="199"/>
      </w:pPr>
      <w:r>
        <w:rPr/>
        <w:br w:type="column"/>
      </w:r>
      <w:r>
        <w:rPr>
          <w:color w:val="000000"/>
          <w:spacing w:val="-3"/>
          <w:shd w:fill="E4E4E4" w:color="auto" w:val="clear"/>
        </w:rPr>
        <w:t>完成六项基本日常生活活动中的三项或三项以上。</w:t>
      </w:r>
    </w:p>
    <w:p>
      <w:pPr>
        <w:spacing w:after="0"/>
        <w:sectPr>
          <w:type w:val="continuous"/>
          <w:pgSz w:w="11910" w:h="16840"/>
          <w:pgMar w:header="484" w:footer="706" w:top="1240" w:bottom="900" w:left="980" w:right="980"/>
          <w:cols w:num="2" w:equalWidth="0">
            <w:col w:w="2242" w:space="40"/>
            <w:col w:w="7668"/>
          </w:cols>
        </w:sectPr>
      </w:pPr>
    </w:p>
    <w:p>
      <w:pPr>
        <w:pStyle w:val="BodyText"/>
        <w:spacing w:before="11"/>
        <w:rPr>
          <w:sz w:val="23"/>
        </w:rPr>
      </w:pPr>
    </w:p>
    <w:p>
      <w:pPr>
        <w:pStyle w:val="ListParagraph"/>
        <w:numPr>
          <w:ilvl w:val="1"/>
          <w:numId w:val="28"/>
        </w:numPr>
        <w:tabs>
          <w:tab w:pos="955" w:val="left" w:leader="none"/>
          <w:tab w:pos="2480" w:val="left" w:leader="none"/>
        </w:tabs>
        <w:spacing w:line="283" w:lineRule="auto" w:before="73" w:after="0"/>
        <w:ind w:left="2480" w:right="150" w:hanging="2328"/>
        <w:jc w:val="left"/>
        <w:rPr>
          <w:sz w:val="22"/>
        </w:rPr>
      </w:pPr>
      <w:r>
        <w:rPr>
          <w:rFonts w:ascii="华文中宋" w:eastAsia="华文中宋" w:hint="eastAsia"/>
          <w:b/>
          <w:spacing w:val="-4"/>
          <w:sz w:val="22"/>
        </w:rPr>
        <w:t>严重哮喘</w:t>
      </w:r>
      <w:r>
        <w:rPr>
          <w:rFonts w:ascii="华文中宋" w:eastAsia="华文中宋" w:hint="eastAsia"/>
          <w:b/>
          <w:sz w:val="22"/>
        </w:rPr>
        <w:tab/>
      </w:r>
      <w:r>
        <w:rPr>
          <w:spacing w:val="-2"/>
          <w:sz w:val="22"/>
        </w:rPr>
        <w:t>指一种反复发作的严重支气管阻塞性疾病，经我们认可的专科医生确诊，</w:t>
      </w:r>
      <w:r>
        <w:rPr>
          <w:color w:val="000000"/>
          <w:spacing w:val="-2"/>
          <w:sz w:val="22"/>
          <w:shd w:fill="E4E4E4" w:color="auto" w:val="clear"/>
        </w:rPr>
        <w:t>且</w:t>
      </w:r>
      <w:r>
        <w:rPr>
          <w:color w:val="000000"/>
          <w:spacing w:val="80"/>
          <w:w w:val="150"/>
          <w:sz w:val="22"/>
          <w:shd w:fill="E4E4E4" w:color="auto" w:val="clear"/>
        </w:rPr>
        <w:t>                                       </w:t>
      </w:r>
      <w:r>
        <w:rPr>
          <w:color w:val="000000"/>
          <w:spacing w:val="-2"/>
          <w:sz w:val="22"/>
          <w:shd w:fill="E4E4E4" w:color="auto" w:val="clear"/>
        </w:rPr>
        <w:t>必须同时符合下列所有标准：</w:t>
      </w:r>
    </w:p>
    <w:p>
      <w:pPr>
        <w:pStyle w:val="ListParagraph"/>
        <w:numPr>
          <w:ilvl w:val="2"/>
          <w:numId w:val="28"/>
        </w:numPr>
        <w:tabs>
          <w:tab w:pos="2935" w:val="left" w:leader="none"/>
        </w:tabs>
        <w:spacing w:line="324" w:lineRule="auto" w:before="46" w:after="0"/>
        <w:ind w:left="2934" w:right="152" w:hanging="454"/>
        <w:jc w:val="left"/>
        <w:rPr>
          <w:sz w:val="22"/>
        </w:rPr>
      </w:pPr>
      <w:r>
        <w:rPr>
          <w:spacing w:val="-2"/>
          <w:sz w:val="22"/>
        </w:rPr>
        <w:t>过去两年中曾因哮喘持续状态（指哮喘持续发作24小时以上不能缓解）住院治疗；</w:t>
      </w:r>
    </w:p>
    <w:p>
      <w:pPr>
        <w:pStyle w:val="ListParagraph"/>
        <w:numPr>
          <w:ilvl w:val="2"/>
          <w:numId w:val="28"/>
        </w:numPr>
        <w:tabs>
          <w:tab w:pos="2935" w:val="left" w:leader="none"/>
        </w:tabs>
        <w:spacing w:line="282" w:lineRule="exact" w:before="0" w:after="0"/>
        <w:ind w:left="2934" w:right="0" w:hanging="455"/>
        <w:jc w:val="left"/>
        <w:rPr>
          <w:sz w:val="22"/>
        </w:rPr>
      </w:pPr>
      <w:r>
        <w:rPr>
          <w:spacing w:val="-3"/>
          <w:sz w:val="22"/>
        </w:rPr>
        <w:t>因慢性过度换气导致胸廓畸形；</w:t>
      </w:r>
    </w:p>
    <w:p>
      <w:pPr>
        <w:pStyle w:val="ListParagraph"/>
        <w:numPr>
          <w:ilvl w:val="2"/>
          <w:numId w:val="28"/>
        </w:numPr>
        <w:tabs>
          <w:tab w:pos="2935" w:val="left" w:leader="none"/>
        </w:tabs>
        <w:spacing w:line="240" w:lineRule="auto" w:before="98" w:after="0"/>
        <w:ind w:left="2934" w:right="0" w:hanging="455"/>
        <w:jc w:val="left"/>
        <w:rPr>
          <w:sz w:val="22"/>
        </w:rPr>
      </w:pPr>
      <w:r>
        <w:rPr>
          <w:spacing w:val="-3"/>
          <w:sz w:val="22"/>
        </w:rPr>
        <w:t>在家中需要医生处方的氧气治疗法；</w:t>
      </w:r>
    </w:p>
    <w:p>
      <w:pPr>
        <w:pStyle w:val="ListParagraph"/>
        <w:numPr>
          <w:ilvl w:val="2"/>
          <w:numId w:val="28"/>
        </w:numPr>
        <w:tabs>
          <w:tab w:pos="2935" w:val="left" w:leader="none"/>
        </w:tabs>
        <w:spacing w:line="240" w:lineRule="auto" w:before="97" w:after="0"/>
        <w:ind w:left="2934" w:right="0" w:hanging="455"/>
        <w:jc w:val="left"/>
        <w:rPr>
          <w:sz w:val="22"/>
        </w:rPr>
      </w:pPr>
      <w:r>
        <w:rPr>
          <w:spacing w:val="-3"/>
          <w:sz w:val="22"/>
        </w:rPr>
        <w:t>持续日常服用口服类固醇激素治疗持续至少六个月。</w:t>
      </w:r>
    </w:p>
    <w:p>
      <w:pPr>
        <w:pStyle w:val="BodyText"/>
        <w:spacing w:before="5"/>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2" w:after="0"/>
        <w:ind w:left="954" w:right="0" w:hanging="803"/>
        <w:jc w:val="left"/>
      </w:pPr>
      <w:r>
        <w:rPr>
          <w:spacing w:val="-4"/>
        </w:rPr>
        <w:t>严重冠状动脉</w:t>
      </w:r>
    </w:p>
    <w:p>
      <w:pPr>
        <w:spacing w:line="261" w:lineRule="auto" w:before="30"/>
        <w:ind w:left="954" w:right="0" w:firstLine="0"/>
        <w:jc w:val="left"/>
        <w:rPr>
          <w:rFonts w:ascii="华文中宋" w:eastAsia="华文中宋" w:hint="eastAsia"/>
          <w:b/>
          <w:sz w:val="22"/>
        </w:rPr>
      </w:pPr>
      <w:r>
        <w:rPr>
          <w:rFonts w:ascii="华文中宋" w:eastAsia="华文中宋" w:hint="eastAsia"/>
          <w:b/>
          <w:spacing w:val="-2"/>
          <w:sz w:val="22"/>
        </w:rPr>
        <w:t>粥样硬化性心</w:t>
      </w:r>
      <w:r>
        <w:rPr>
          <w:rFonts w:ascii="华文中宋" w:eastAsia="华文中宋" w:hint="eastAsia"/>
          <w:b/>
          <w:spacing w:val="-6"/>
          <w:sz w:val="22"/>
        </w:rPr>
        <w:t>脏病</w:t>
      </w:r>
    </w:p>
    <w:p>
      <w:pPr>
        <w:pStyle w:val="BodyText"/>
        <w:spacing w:line="324" w:lineRule="auto" w:before="102"/>
        <w:ind w:left="152" w:right="150"/>
      </w:pPr>
      <w:r>
        <w:rPr/>
        <w:br w:type="column"/>
      </w:r>
      <w:r>
        <w:rPr>
          <w:spacing w:val="-2"/>
        </w:rPr>
        <w:t>指经冠状动脉造影检查明确诊断为主要血管严重狭窄性病变，须满足下列至少一项条件：</w:t>
      </w:r>
    </w:p>
    <w:p>
      <w:pPr>
        <w:pStyle w:val="ListParagraph"/>
        <w:numPr>
          <w:ilvl w:val="0"/>
          <w:numId w:val="48"/>
        </w:numPr>
        <w:tabs>
          <w:tab w:pos="607" w:val="left" w:leader="none"/>
        </w:tabs>
        <w:spacing w:line="324" w:lineRule="auto" w:before="0" w:after="0"/>
        <w:ind w:left="606" w:right="152" w:hanging="454"/>
        <w:jc w:val="left"/>
        <w:rPr>
          <w:sz w:val="22"/>
        </w:rPr>
      </w:pPr>
      <w:r>
        <w:rPr>
          <w:spacing w:val="2"/>
          <w:w w:val="100"/>
          <w:sz w:val="22"/>
        </w:rPr>
        <w:t>左冠状动脉主干和右冠状动脉中，一支血管管腔堵塞</w:t>
      </w:r>
      <w:r>
        <w:rPr>
          <w:spacing w:val="-1"/>
          <w:w w:val="100"/>
          <w:sz w:val="22"/>
        </w:rPr>
        <w:t>75</w:t>
      </w:r>
      <w:r>
        <w:rPr>
          <w:spacing w:val="1"/>
          <w:w w:val="100"/>
          <w:sz w:val="22"/>
        </w:rPr>
        <w:t>%以上，另一支</w:t>
      </w:r>
      <w:r>
        <w:rPr>
          <w:spacing w:val="-3"/>
          <w:w w:val="100"/>
          <w:sz w:val="22"/>
        </w:rPr>
        <w:t>血管管腔堵塞</w:t>
      </w:r>
      <w:r>
        <w:rPr>
          <w:spacing w:val="-1"/>
          <w:w w:val="100"/>
          <w:sz w:val="22"/>
        </w:rPr>
        <w:t>60</w:t>
      </w:r>
      <w:r>
        <w:rPr>
          <w:spacing w:val="-2"/>
          <w:w w:val="100"/>
          <w:sz w:val="22"/>
        </w:rPr>
        <w:t>%以上；</w:t>
      </w:r>
    </w:p>
    <w:p>
      <w:pPr>
        <w:pStyle w:val="ListParagraph"/>
        <w:numPr>
          <w:ilvl w:val="0"/>
          <w:numId w:val="48"/>
        </w:numPr>
        <w:tabs>
          <w:tab w:pos="607" w:val="left" w:leader="none"/>
        </w:tabs>
        <w:spacing w:line="324" w:lineRule="auto" w:before="0" w:after="0"/>
        <w:ind w:left="606" w:right="150" w:hanging="454"/>
        <w:jc w:val="left"/>
        <w:rPr>
          <w:sz w:val="22"/>
        </w:rPr>
      </w:pPr>
      <w:r>
        <w:rPr>
          <w:spacing w:val="2"/>
          <w:w w:val="100"/>
          <w:sz w:val="22"/>
        </w:rPr>
        <w:t>左前降支、左旋支和右冠状动脉中，至少一支血管管腔堵塞</w:t>
      </w:r>
      <w:r>
        <w:rPr>
          <w:spacing w:val="-1"/>
          <w:w w:val="100"/>
          <w:sz w:val="22"/>
        </w:rPr>
        <w:t>75</w:t>
      </w:r>
      <w:r>
        <w:rPr>
          <w:spacing w:val="3"/>
          <w:w w:val="100"/>
          <w:sz w:val="22"/>
        </w:rPr>
        <w:t>%以上，</w:t>
      </w:r>
      <w:r>
        <w:rPr>
          <w:spacing w:val="-3"/>
          <w:w w:val="100"/>
          <w:sz w:val="22"/>
        </w:rPr>
        <w:t>其他两支血管管腔堵塞</w:t>
      </w:r>
      <w:r>
        <w:rPr>
          <w:spacing w:val="-1"/>
          <w:w w:val="100"/>
          <w:sz w:val="22"/>
        </w:rPr>
        <w:t>60</w:t>
      </w:r>
      <w:r>
        <w:rPr>
          <w:spacing w:val="-3"/>
          <w:w w:val="100"/>
          <w:sz w:val="22"/>
        </w:rPr>
        <w:t>%以上。</w:t>
      </w:r>
    </w:p>
    <w:p>
      <w:pPr>
        <w:pStyle w:val="BodyText"/>
        <w:spacing w:line="324" w:lineRule="auto"/>
        <w:ind w:left="152" w:right="150"/>
      </w:pPr>
      <w:r>
        <w:rPr>
          <w:color w:val="000000"/>
          <w:spacing w:val="-2"/>
          <w:shd w:fill="E4E4E4" w:color="auto" w:val="clear"/>
        </w:rPr>
        <w:t>左前降支的分支血管、左旋支的分支血管及右冠状动脉的分支血管的狭窄不</w:t>
      </w:r>
      <w:r>
        <w:rPr>
          <w:color w:val="000000"/>
          <w:spacing w:val="80"/>
          <w:w w:val="150"/>
          <w:shd w:fill="E4E4E4" w:color="auto" w:val="clear"/>
        </w:rPr>
        <w:t>                                       </w:t>
      </w:r>
      <w:r>
        <w:rPr>
          <w:color w:val="000000"/>
          <w:spacing w:val="-2"/>
          <w:shd w:fill="E4E4E4" w:color="auto" w:val="clear"/>
        </w:rPr>
        <w:t>作为保障的衡量指标。</w:t>
      </w:r>
    </w:p>
    <w:p>
      <w:pPr>
        <w:spacing w:after="0" w:line="324" w:lineRule="auto"/>
        <w:sectPr>
          <w:type w:val="continuous"/>
          <w:pgSz w:w="11910" w:h="16840"/>
          <w:pgMar w:header="484" w:footer="706" w:top="1240" w:bottom="900" w:left="980" w:right="980"/>
          <w:cols w:num="2" w:equalWidth="0">
            <w:col w:w="2277" w:space="51"/>
            <w:col w:w="7622"/>
          </w:cols>
        </w:sectPr>
      </w:pPr>
    </w:p>
    <w:p>
      <w:pPr>
        <w:pStyle w:val="BodyText"/>
        <w:spacing w:before="4"/>
        <w:rPr>
          <w:sz w:val="21"/>
        </w:rPr>
      </w:pPr>
    </w:p>
    <w:p>
      <w:pPr>
        <w:pStyle w:val="ListParagraph"/>
        <w:numPr>
          <w:ilvl w:val="1"/>
          <w:numId w:val="28"/>
        </w:numPr>
        <w:tabs>
          <w:tab w:pos="955" w:val="left" w:leader="none"/>
        </w:tabs>
        <w:spacing w:line="302" w:lineRule="auto" w:before="73" w:after="0"/>
        <w:ind w:left="2480" w:right="150" w:hanging="2328"/>
        <w:jc w:val="both"/>
        <w:rPr>
          <w:sz w:val="22"/>
        </w:rPr>
      </w:pPr>
      <w:r>
        <w:rPr>
          <w:rFonts w:ascii="华文中宋" w:eastAsia="华文中宋" w:hint="eastAsia"/>
          <w:b/>
          <w:spacing w:val="30"/>
          <w:sz w:val="22"/>
        </w:rPr>
        <w:t>植物人状态   </w:t>
      </w:r>
      <w:r>
        <w:rPr>
          <w:sz w:val="22"/>
        </w:rPr>
        <w:t>植物人状态指由于严重颅脑外伤造成大脑和/或脑干严重损害导致完全永久</w:t>
      </w:r>
      <w:r>
        <w:rPr>
          <w:spacing w:val="-2"/>
          <w:sz w:val="22"/>
        </w:rPr>
        <w:t>性的对自身和环境的意识丧失和中枢神经系统功能丧失，仅残存植物神经功能的疾病状态。必须明确诊断并且具有严重颅脑外伤和脑损害的证据。</w:t>
      </w:r>
      <w:r>
        <w:rPr>
          <w:color w:val="000000"/>
          <w:spacing w:val="-2"/>
          <w:sz w:val="22"/>
          <w:shd w:fill="E4E4E4" w:color="auto" w:val="clear"/>
        </w:rPr>
        <w:t>植物</w:t>
      </w:r>
    </w:p>
    <w:p>
      <w:pPr>
        <w:pStyle w:val="BodyText"/>
        <w:spacing w:line="324" w:lineRule="auto" w:before="20"/>
        <w:ind w:left="2480" w:right="152"/>
      </w:pPr>
      <w:r>
        <w:rPr>
          <w:color w:val="000000"/>
          <w:spacing w:val="-2"/>
          <w:shd w:fill="E4E4E4" w:color="auto" w:val="clear"/>
        </w:rPr>
        <w:t>人状态必须持续30天以上方可申请理赔。由于酗酒或滥用药物所致的植物人状态除外。</w:t>
      </w:r>
    </w:p>
    <w:p>
      <w:pPr>
        <w:pStyle w:val="BodyText"/>
        <w:spacing w:before="7"/>
        <w:rPr>
          <w:sz w:val="21"/>
        </w:rPr>
      </w:pPr>
    </w:p>
    <w:p>
      <w:pPr>
        <w:spacing w:after="0"/>
        <w:rPr>
          <w:sz w:val="21"/>
        </w:rPr>
        <w:sectPr>
          <w:type w:val="continuous"/>
          <w:pgSz w:w="11910" w:h="16840"/>
          <w:pgMar w:header="484" w:footer="706" w:top="1240" w:bottom="900" w:left="980" w:right="980"/>
        </w:sectPr>
      </w:pPr>
    </w:p>
    <w:p>
      <w:pPr>
        <w:pStyle w:val="ListParagraph"/>
        <w:numPr>
          <w:ilvl w:val="1"/>
          <w:numId w:val="28"/>
        </w:numPr>
        <w:tabs>
          <w:tab w:pos="955" w:val="left" w:leader="none"/>
        </w:tabs>
        <w:spacing w:line="240" w:lineRule="auto" w:before="73" w:after="0"/>
        <w:ind w:left="954" w:right="126" w:hanging="955"/>
        <w:jc w:val="right"/>
        <w:rPr>
          <w:rFonts w:ascii="华文中宋" w:eastAsia="华文中宋" w:hint="eastAsia"/>
          <w:b/>
          <w:sz w:val="22"/>
        </w:rPr>
      </w:pPr>
      <w:r>
        <w:rPr>
          <w:rFonts w:ascii="华文中宋" w:eastAsia="华文中宋" w:hint="eastAsia"/>
          <w:b/>
          <w:spacing w:val="-4"/>
          <w:sz w:val="22"/>
        </w:rPr>
        <w:t>严重疯牛病</w:t>
      </w:r>
    </w:p>
    <w:p>
      <w:pPr>
        <w:spacing w:before="30"/>
        <w:ind w:left="0" w:right="38" w:firstLine="0"/>
        <w:jc w:val="right"/>
        <w:rPr>
          <w:rFonts w:ascii="华文中宋" w:eastAsia="华文中宋" w:hint="eastAsia"/>
          <w:b/>
          <w:sz w:val="22"/>
        </w:rPr>
      </w:pPr>
      <w:r>
        <w:rPr>
          <w:rFonts w:ascii="华文中宋" w:eastAsia="华文中宋" w:hint="eastAsia"/>
          <w:b/>
          <w:spacing w:val="-2"/>
          <w:sz w:val="22"/>
        </w:rPr>
        <w:t>（</w:t>
      </w:r>
      <w:r>
        <w:rPr>
          <w:rFonts w:ascii="华文中宋" w:eastAsia="华文中宋" w:hint="eastAsia"/>
          <w:b/>
          <w:spacing w:val="-4"/>
          <w:sz w:val="22"/>
        </w:rPr>
        <w:t>克-雅氏病</w:t>
      </w:r>
    </w:p>
    <w:p>
      <w:pPr>
        <w:spacing w:line="261" w:lineRule="auto" w:before="30"/>
        <w:ind w:left="954" w:right="52" w:firstLine="0"/>
        <w:jc w:val="left"/>
        <w:rPr>
          <w:rFonts w:ascii="华文中宋" w:eastAsia="华文中宋" w:hint="eastAsia"/>
          <w:b/>
          <w:sz w:val="22"/>
        </w:rPr>
      </w:pPr>
      <w:r>
        <w:rPr>
          <w:rFonts w:ascii="华文中宋" w:eastAsia="华文中宋" w:hint="eastAsia"/>
          <w:b/>
          <w:spacing w:val="-2"/>
          <w:sz w:val="22"/>
        </w:rPr>
        <w:t>/CJD/人类</w:t>
      </w:r>
      <w:r>
        <w:rPr>
          <w:rFonts w:ascii="华文中宋" w:eastAsia="华文中宋" w:hint="eastAsia"/>
          <w:b/>
          <w:spacing w:val="-4"/>
          <w:sz w:val="22"/>
        </w:rPr>
        <w:t>疯牛病）</w:t>
      </w:r>
    </w:p>
    <w:p>
      <w:pPr>
        <w:pStyle w:val="BodyText"/>
        <w:spacing w:line="324" w:lineRule="auto" w:before="103"/>
        <w:ind w:left="152" w:right="150"/>
        <w:jc w:val="both"/>
      </w:pPr>
      <w:r>
        <w:rPr/>
        <w:br w:type="column"/>
      </w:r>
      <w:r>
        <w:rPr>
          <w:spacing w:val="-1"/>
          <w:w w:val="100"/>
        </w:rPr>
        <w:t>是一种传染性海绵状脑病，临床表现为快速进行性痴呆、肌阵挛和特征性脑</w:t>
      </w:r>
      <w:r>
        <w:rPr>
          <w:spacing w:val="2"/>
          <w:w w:val="100"/>
        </w:rPr>
        <w:t>电图变化。本病须经三级医院的专科医生根据</w:t>
      </w:r>
      <w:r>
        <w:rPr>
          <w:spacing w:val="-1"/>
          <w:w w:val="100"/>
        </w:rPr>
        <w:t>WH</w:t>
      </w:r>
      <w:r>
        <w:rPr>
          <w:spacing w:val="4"/>
          <w:w w:val="100"/>
        </w:rPr>
        <w:t>O</w:t>
      </w:r>
      <w:r>
        <w:rPr>
          <w:spacing w:val="1"/>
          <w:w w:val="100"/>
        </w:rPr>
        <w:t>诊断标准明确诊断，并且</w:t>
      </w:r>
      <w:r>
        <w:rPr>
          <w:spacing w:val="-1"/>
          <w:w w:val="100"/>
        </w:rPr>
        <w:t>被保险人自主生活能力完全丧失，</w:t>
      </w:r>
      <w:r>
        <w:rPr>
          <w:color w:val="000000"/>
          <w:spacing w:val="-1"/>
          <w:w w:val="100"/>
          <w:shd w:fill="E4E4E4" w:color="auto" w:val="clear"/>
        </w:rPr>
        <w:t>无法独立完成六项基本日常生活活动中的</w:t>
      </w:r>
      <w:r>
        <w:rPr>
          <w:color w:val="000000"/>
          <w:spacing w:val="-1"/>
          <w:w w:val="100"/>
          <w:shd w:fill="E4E4E4" w:color="auto" w:val="clear"/>
        </w:rPr>
        <w:t>                                                                                                                                  </w:t>
      </w:r>
      <w:r>
        <w:rPr>
          <w:color w:val="000000"/>
          <w:spacing w:val="-3"/>
          <w:w w:val="100"/>
          <w:shd w:fill="E4E4E4" w:color="auto" w:val="clear"/>
        </w:rPr>
        <w:t>三项或三项以上。</w:t>
      </w:r>
    </w:p>
    <w:p>
      <w:pPr>
        <w:pStyle w:val="BodyText"/>
        <w:spacing w:line="279" w:lineRule="exact"/>
        <w:ind w:left="152"/>
      </w:pPr>
      <w:r>
        <w:rPr>
          <w:color w:val="000000"/>
          <w:spacing w:val="-3"/>
          <w:shd w:fill="E4E4E4" w:color="auto" w:val="clear"/>
        </w:rPr>
        <w:t>疑似病例不在保障范围内。</w:t>
      </w:r>
    </w:p>
    <w:p>
      <w:pPr>
        <w:spacing w:after="0" w:line="279" w:lineRule="exact"/>
        <w:sectPr>
          <w:type w:val="continuous"/>
          <w:pgSz w:w="11910" w:h="16840"/>
          <w:pgMar w:header="484" w:footer="706" w:top="1240" w:bottom="900" w:left="980" w:right="980"/>
          <w:cols w:num="2" w:equalWidth="0">
            <w:col w:w="2185" w:space="143"/>
            <w:col w:w="7622"/>
          </w:cols>
        </w:sectPr>
      </w:pPr>
    </w:p>
    <w:p>
      <w:pPr>
        <w:pStyle w:val="BodyText"/>
        <w:spacing w:before="4"/>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61" w:lineRule="auto" w:before="73" w:after="0"/>
        <w:ind w:left="954" w:right="0" w:hanging="802"/>
        <w:jc w:val="left"/>
      </w:pPr>
      <w:r>
        <w:rPr>
          <w:spacing w:val="-2"/>
        </w:rPr>
        <w:t>严重自身免疫</w:t>
      </w:r>
      <w:r>
        <w:rPr>
          <w:spacing w:val="-4"/>
        </w:rPr>
        <w:t>性肝炎</w:t>
      </w:r>
    </w:p>
    <w:p>
      <w:pPr>
        <w:pStyle w:val="BodyText"/>
        <w:spacing w:line="324" w:lineRule="auto" w:before="103"/>
        <w:ind w:left="152" w:right="150"/>
        <w:jc w:val="both"/>
      </w:pPr>
      <w:r>
        <w:rPr/>
        <w:br w:type="column"/>
      </w:r>
      <w:r>
        <w:rPr>
          <w:spacing w:val="-2"/>
        </w:rPr>
        <w:t>自身免疫性肝炎是一种原因不明的慢性肝脏的坏死性炎性疾病，机体免疫机制被破坏，产生针对肝脏自身抗原的抗体导致自身免疫反应，从而破坏肝细胞造成肝脏炎症坏死，进而发展为肝硬化。</w:t>
      </w:r>
      <w:r>
        <w:rPr>
          <w:color w:val="000000"/>
          <w:spacing w:val="-2"/>
          <w:shd w:fill="E4E4E4" w:color="auto" w:val="clear"/>
        </w:rPr>
        <w:t>必须满足以下所有条件：</w:t>
      </w:r>
    </w:p>
    <w:p>
      <w:pPr>
        <w:pStyle w:val="ListParagraph"/>
        <w:numPr>
          <w:ilvl w:val="0"/>
          <w:numId w:val="49"/>
        </w:numPr>
        <w:tabs>
          <w:tab w:pos="607" w:val="left" w:leader="none"/>
        </w:tabs>
        <w:spacing w:line="280" w:lineRule="exact" w:before="0" w:after="0"/>
        <w:ind w:left="606" w:right="0" w:hanging="455"/>
        <w:jc w:val="both"/>
        <w:rPr>
          <w:sz w:val="22"/>
        </w:rPr>
      </w:pPr>
      <w:r>
        <w:rPr>
          <w:spacing w:val="-2"/>
          <w:sz w:val="22"/>
        </w:rPr>
        <w:t>高γ</w:t>
      </w:r>
      <w:r>
        <w:rPr>
          <w:spacing w:val="-4"/>
          <w:sz w:val="22"/>
        </w:rPr>
        <w:t>球蛋白血症；</w:t>
      </w:r>
    </w:p>
    <w:p>
      <w:pPr>
        <w:spacing w:after="0" w:line="280" w:lineRule="exact"/>
        <w:jc w:val="both"/>
        <w:rPr>
          <w:sz w:val="22"/>
        </w:rPr>
        <w:sectPr>
          <w:type w:val="continuous"/>
          <w:pgSz w:w="11910" w:h="16840"/>
          <w:pgMar w:header="484" w:footer="706" w:top="1240" w:bottom="900" w:left="980" w:right="980"/>
          <w:cols w:num="2" w:equalWidth="0">
            <w:col w:w="2277" w:space="51"/>
            <w:col w:w="7622"/>
          </w:cols>
        </w:sectPr>
      </w:pPr>
    </w:p>
    <w:p>
      <w:pPr>
        <w:pStyle w:val="BodyText"/>
        <w:spacing w:before="7"/>
        <w:rPr>
          <w:sz w:val="14"/>
        </w:rPr>
      </w:pPr>
    </w:p>
    <w:p>
      <w:pPr>
        <w:pStyle w:val="ListParagraph"/>
        <w:numPr>
          <w:ilvl w:val="0"/>
          <w:numId w:val="49"/>
        </w:numPr>
        <w:tabs>
          <w:tab w:pos="2935" w:val="left" w:leader="none"/>
        </w:tabs>
        <w:spacing w:line="324" w:lineRule="auto" w:before="70" w:after="0"/>
        <w:ind w:left="2934" w:right="150" w:hanging="454"/>
        <w:jc w:val="left"/>
        <w:rPr>
          <w:sz w:val="22"/>
        </w:rPr>
      </w:pPr>
      <w:r>
        <w:rPr>
          <w:spacing w:val="-2"/>
          <w:sz w:val="22"/>
        </w:rPr>
        <w:t>血液中存在高水平的自身免疫抗体，如ANA（抗核抗体）、SMA（抗平滑肌抗体）、抗LKM1抗体或抗-SLA/LP抗体；</w:t>
      </w:r>
    </w:p>
    <w:p>
      <w:pPr>
        <w:pStyle w:val="ListParagraph"/>
        <w:numPr>
          <w:ilvl w:val="0"/>
          <w:numId w:val="49"/>
        </w:numPr>
        <w:tabs>
          <w:tab w:pos="2935" w:val="left" w:leader="none"/>
        </w:tabs>
        <w:spacing w:line="282" w:lineRule="exact" w:before="0" w:after="0"/>
        <w:ind w:left="2934" w:right="0" w:hanging="455"/>
        <w:jc w:val="left"/>
        <w:rPr>
          <w:sz w:val="22"/>
        </w:rPr>
      </w:pPr>
      <w:r>
        <w:rPr>
          <w:spacing w:val="-3"/>
          <w:sz w:val="22"/>
        </w:rPr>
        <w:t>肝脏活检证实免疫性肝炎；</w:t>
      </w:r>
    </w:p>
    <w:p>
      <w:pPr>
        <w:pStyle w:val="ListParagraph"/>
        <w:numPr>
          <w:ilvl w:val="0"/>
          <w:numId w:val="49"/>
        </w:numPr>
        <w:tabs>
          <w:tab w:pos="2935" w:val="left" w:leader="none"/>
        </w:tabs>
        <w:spacing w:line="240" w:lineRule="auto" w:before="98" w:after="0"/>
        <w:ind w:left="2934" w:right="0" w:hanging="455"/>
        <w:jc w:val="left"/>
        <w:rPr>
          <w:sz w:val="22"/>
        </w:rPr>
      </w:pPr>
      <w:r>
        <w:rPr>
          <w:spacing w:val="-3"/>
          <w:sz w:val="22"/>
        </w:rPr>
        <w:t>临床已经出现腹水、食道静脉曲张和脾肿大等肝硬化表现。</w:t>
      </w:r>
    </w:p>
    <w:p>
      <w:pPr>
        <w:pStyle w:val="BodyText"/>
        <w:spacing w:before="4"/>
        <w:rPr>
          <w:sz w:val="29"/>
        </w:rPr>
      </w:pPr>
    </w:p>
    <w:p>
      <w:pPr>
        <w:spacing w:after="0"/>
        <w:rPr>
          <w:sz w:val="29"/>
        </w:rPr>
        <w:sectPr>
          <w:pgSz w:w="11910" w:h="16840"/>
          <w:pgMar w:header="484" w:footer="706" w:top="1240" w:bottom="900" w:left="980" w:right="980"/>
        </w:sectPr>
      </w:pPr>
    </w:p>
    <w:p>
      <w:pPr>
        <w:pStyle w:val="Heading2"/>
        <w:numPr>
          <w:ilvl w:val="1"/>
          <w:numId w:val="28"/>
        </w:numPr>
        <w:tabs>
          <w:tab w:pos="955" w:val="left" w:leader="none"/>
        </w:tabs>
        <w:spacing w:line="240" w:lineRule="auto" w:before="73" w:after="0"/>
        <w:ind w:left="954" w:right="0" w:hanging="803"/>
        <w:jc w:val="left"/>
      </w:pPr>
      <w:r>
        <w:rPr>
          <w:spacing w:val="-4"/>
        </w:rPr>
        <w:t>一肢及单眼缺</w:t>
      </w:r>
    </w:p>
    <w:p>
      <w:pPr>
        <w:spacing w:before="30"/>
        <w:ind w:left="954" w:right="0" w:firstLine="0"/>
        <w:jc w:val="left"/>
        <w:rPr>
          <w:rFonts w:ascii="华文中宋" w:eastAsia="华文中宋" w:hint="eastAsia"/>
          <w:b/>
          <w:sz w:val="22"/>
        </w:rPr>
      </w:pPr>
      <w:r>
        <w:rPr>
          <w:rFonts w:ascii="华文中宋" w:eastAsia="华文中宋" w:hint="eastAsia"/>
          <w:b/>
          <w:w w:val="100"/>
          <w:sz w:val="22"/>
        </w:rPr>
        <w:t>失</w:t>
      </w:r>
    </w:p>
    <w:p>
      <w:pPr>
        <w:pStyle w:val="BodyText"/>
        <w:spacing w:line="324" w:lineRule="auto" w:before="103"/>
        <w:ind w:left="152" w:right="150"/>
      </w:pPr>
      <w:r>
        <w:rPr/>
        <w:br w:type="column"/>
      </w:r>
      <w:r>
        <w:rPr>
          <w:spacing w:val="-2"/>
        </w:rPr>
        <w:t>因疾病或意外伤害导致单眼视力丧失及任何一肢自腕关节或踝关节近端（靠近躯干端）以上完全性断离。</w:t>
      </w:r>
    </w:p>
    <w:p>
      <w:pPr>
        <w:pStyle w:val="BodyText"/>
        <w:spacing w:line="324" w:lineRule="auto"/>
        <w:ind w:left="152" w:right="150"/>
      </w:pPr>
      <w:r>
        <w:rPr>
          <w:spacing w:val="6"/>
          <w:w w:val="100"/>
        </w:rPr>
        <w:t>单眼视力丧失指单眼视力永久不可逆性丧失，患眼须满足下列至少一项条</w:t>
      </w:r>
      <w:r>
        <w:rPr>
          <w:spacing w:val="-1"/>
          <w:w w:val="100"/>
        </w:rPr>
        <w:t>件：</w:t>
      </w:r>
    </w:p>
    <w:p>
      <w:pPr>
        <w:pStyle w:val="ListParagraph"/>
        <w:numPr>
          <w:ilvl w:val="0"/>
          <w:numId w:val="50"/>
        </w:numPr>
        <w:tabs>
          <w:tab w:pos="607" w:val="left" w:leader="none"/>
        </w:tabs>
        <w:spacing w:line="279" w:lineRule="exact" w:before="0" w:after="0"/>
        <w:ind w:left="606" w:right="0" w:hanging="455"/>
        <w:jc w:val="left"/>
        <w:rPr>
          <w:sz w:val="22"/>
        </w:rPr>
      </w:pPr>
      <w:r>
        <w:rPr>
          <w:spacing w:val="-4"/>
          <w:sz w:val="22"/>
        </w:rPr>
        <w:t>眼球缺失或摘除；</w:t>
      </w:r>
    </w:p>
    <w:p>
      <w:pPr>
        <w:pStyle w:val="ListParagraph"/>
        <w:numPr>
          <w:ilvl w:val="0"/>
          <w:numId w:val="50"/>
        </w:numPr>
        <w:tabs>
          <w:tab w:pos="607" w:val="left" w:leader="none"/>
        </w:tabs>
        <w:spacing w:line="324" w:lineRule="auto" w:before="99" w:after="0"/>
        <w:ind w:left="606" w:right="152" w:hanging="454"/>
        <w:jc w:val="left"/>
        <w:rPr>
          <w:sz w:val="22"/>
        </w:rPr>
      </w:pPr>
      <w:r>
        <w:rPr>
          <w:spacing w:val="-2"/>
          <w:sz w:val="22"/>
        </w:rPr>
        <w:t>矫正视力低于0.02（采用国际标准视力表，如果使用其它视力表应进行</w:t>
      </w:r>
      <w:r>
        <w:rPr>
          <w:spacing w:val="-4"/>
          <w:sz w:val="22"/>
        </w:rPr>
        <w:t>换算）；</w:t>
      </w:r>
    </w:p>
    <w:p>
      <w:pPr>
        <w:pStyle w:val="ListParagraph"/>
        <w:numPr>
          <w:ilvl w:val="0"/>
          <w:numId w:val="50"/>
        </w:numPr>
        <w:tabs>
          <w:tab w:pos="607" w:val="left" w:leader="none"/>
        </w:tabs>
        <w:spacing w:line="279" w:lineRule="exact" w:before="0" w:after="0"/>
        <w:ind w:left="606" w:right="0" w:hanging="455"/>
        <w:jc w:val="left"/>
        <w:rPr>
          <w:sz w:val="22"/>
        </w:rPr>
      </w:pPr>
      <w:r>
        <w:rPr>
          <w:spacing w:val="-2"/>
          <w:sz w:val="22"/>
        </w:rPr>
        <w:t>视野半径小于5</w:t>
      </w:r>
      <w:r>
        <w:rPr>
          <w:spacing w:val="-6"/>
          <w:sz w:val="22"/>
        </w:rPr>
        <w:t>度。</w:t>
      </w:r>
    </w:p>
    <w:p>
      <w:pPr>
        <w:pStyle w:val="BodyText"/>
        <w:spacing w:line="324" w:lineRule="auto" w:before="100"/>
        <w:ind w:left="152" w:right="150"/>
      </w:pPr>
      <w:r>
        <w:rPr>
          <w:color w:val="000000"/>
          <w:spacing w:val="-2"/>
          <w:shd w:fill="E4E4E4" w:color="auto" w:val="clear"/>
        </w:rPr>
        <w:t>被保险人申请理赔时年龄必须在三周岁以上，并且提供理赔当时的视力丧失</w:t>
      </w:r>
      <w:r>
        <w:rPr>
          <w:color w:val="000000"/>
          <w:spacing w:val="80"/>
          <w:w w:val="150"/>
          <w:shd w:fill="E4E4E4" w:color="auto" w:val="clear"/>
        </w:rPr>
        <w:t>                                       </w:t>
      </w:r>
      <w:r>
        <w:rPr>
          <w:color w:val="000000"/>
          <w:spacing w:val="-2"/>
          <w:shd w:fill="E4E4E4" w:color="auto" w:val="clear"/>
        </w:rPr>
        <w:t>诊断及检查证据。</w:t>
      </w:r>
    </w:p>
    <w:p>
      <w:pPr>
        <w:pStyle w:val="BodyText"/>
        <w:spacing w:line="279" w:lineRule="exact"/>
        <w:ind w:left="152"/>
      </w:pPr>
      <w:r>
        <w:rPr>
          <w:color w:val="000000"/>
          <w:spacing w:val="-3"/>
          <w:shd w:fill="E4E4E4" w:color="auto" w:val="clear"/>
        </w:rPr>
        <w:t>投保时已有单眼缺失或有一肢缺失的不在保障范围内。</w:t>
      </w:r>
    </w:p>
    <w:p>
      <w:pPr>
        <w:spacing w:after="0" w:line="279" w:lineRule="exact"/>
        <w:sectPr>
          <w:type w:val="continuous"/>
          <w:pgSz w:w="11910" w:h="16840"/>
          <w:pgMar w:header="484" w:footer="706" w:top="1240" w:bottom="900" w:left="980" w:right="980"/>
          <w:cols w:num="2" w:equalWidth="0">
            <w:col w:w="2277" w:space="51"/>
            <w:col w:w="7622"/>
          </w:cols>
        </w:sectPr>
      </w:pPr>
    </w:p>
    <w:p>
      <w:pPr>
        <w:pStyle w:val="BodyText"/>
        <w:spacing w:before="5"/>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2" w:after="0"/>
        <w:ind w:left="954" w:right="0" w:hanging="803"/>
        <w:jc w:val="left"/>
      </w:pPr>
      <w:r>
        <w:rPr>
          <w:spacing w:val="-4"/>
        </w:rPr>
        <w:t>因职业关系导</w:t>
      </w:r>
    </w:p>
    <w:p>
      <w:pPr>
        <w:spacing w:line="261" w:lineRule="auto" w:before="30"/>
        <w:ind w:left="954" w:right="0" w:firstLine="0"/>
        <w:jc w:val="left"/>
        <w:rPr>
          <w:rFonts w:ascii="华文中宋" w:eastAsia="华文中宋" w:hint="eastAsia"/>
          <w:b/>
          <w:sz w:val="22"/>
        </w:rPr>
      </w:pPr>
      <w:r>
        <w:rPr>
          <w:rFonts w:ascii="华文中宋" w:eastAsia="华文中宋" w:hint="eastAsia"/>
          <w:b/>
          <w:spacing w:val="-2"/>
          <w:sz w:val="22"/>
        </w:rPr>
        <w:t>致的人类免疫</w:t>
      </w:r>
      <w:r>
        <w:rPr>
          <w:rFonts w:ascii="华文中宋" w:eastAsia="华文中宋" w:hint="eastAsia"/>
          <w:b/>
          <w:spacing w:val="-4"/>
          <w:sz w:val="22"/>
        </w:rPr>
        <w:t>缺陷病毒感染</w:t>
      </w:r>
    </w:p>
    <w:p>
      <w:pPr>
        <w:pStyle w:val="BodyText"/>
        <w:spacing w:line="324" w:lineRule="auto" w:before="103"/>
        <w:ind w:left="152" w:right="150"/>
      </w:pPr>
      <w:r>
        <w:rPr/>
        <w:br w:type="column"/>
      </w:r>
      <w:r>
        <w:rPr>
          <w:spacing w:val="-2"/>
        </w:rPr>
        <w:t>被保险人在其常规职业工作过程中遭遇外伤，或者职业需要处理血液或者其他体液时感染上人类免疫缺陷病毒（HIV）。</w:t>
      </w:r>
      <w:r>
        <w:rPr>
          <w:color w:val="000000"/>
          <w:spacing w:val="-2"/>
          <w:shd w:fill="E4E4E4" w:color="auto" w:val="clear"/>
        </w:rPr>
        <w:t>必须满足下列全部条件：</w:t>
      </w:r>
    </w:p>
    <w:p>
      <w:pPr>
        <w:pStyle w:val="ListParagraph"/>
        <w:numPr>
          <w:ilvl w:val="0"/>
          <w:numId w:val="51"/>
        </w:numPr>
        <w:tabs>
          <w:tab w:pos="607" w:val="left" w:leader="none"/>
        </w:tabs>
        <w:spacing w:line="324" w:lineRule="auto" w:before="0" w:after="0"/>
        <w:ind w:left="606" w:right="152" w:hanging="454"/>
        <w:jc w:val="both"/>
        <w:rPr>
          <w:sz w:val="22"/>
        </w:rPr>
      </w:pPr>
      <w:r>
        <w:rPr>
          <w:spacing w:val="-2"/>
          <w:sz w:val="22"/>
        </w:rPr>
        <w:t>感染必须是在被保险人正在从事其职业工作中发生，该职业必须属于以下列职业：医生和牙科医生、护士、医院化验室工作人员、医院护工、医生助理和牙医助理、救护车工作人员、助产士、消防队员、警察、狱</w:t>
      </w:r>
      <w:r>
        <w:rPr>
          <w:spacing w:val="-6"/>
          <w:sz w:val="22"/>
        </w:rPr>
        <w:t>警；</w:t>
      </w:r>
    </w:p>
    <w:p>
      <w:pPr>
        <w:pStyle w:val="ListParagraph"/>
        <w:numPr>
          <w:ilvl w:val="0"/>
          <w:numId w:val="51"/>
        </w:numPr>
        <w:tabs>
          <w:tab w:pos="607" w:val="left" w:leader="none"/>
        </w:tabs>
        <w:spacing w:line="279" w:lineRule="exact" w:before="0" w:after="0"/>
        <w:ind w:left="606" w:right="0" w:hanging="455"/>
        <w:jc w:val="both"/>
        <w:rPr>
          <w:sz w:val="22"/>
        </w:rPr>
      </w:pPr>
      <w:r>
        <w:rPr>
          <w:spacing w:val="-2"/>
          <w:sz w:val="22"/>
        </w:rPr>
        <w:t>血清转化必须出现在事故发生后的6</w:t>
      </w:r>
      <w:r>
        <w:rPr>
          <w:spacing w:val="-4"/>
          <w:sz w:val="22"/>
        </w:rPr>
        <w:t>个月以内；</w:t>
      </w:r>
    </w:p>
    <w:p>
      <w:pPr>
        <w:pStyle w:val="ListParagraph"/>
        <w:numPr>
          <w:ilvl w:val="0"/>
          <w:numId w:val="51"/>
        </w:numPr>
        <w:tabs>
          <w:tab w:pos="607" w:val="left" w:leader="none"/>
        </w:tabs>
        <w:spacing w:line="324" w:lineRule="auto" w:before="97" w:after="0"/>
        <w:ind w:left="606" w:right="152" w:hanging="454"/>
        <w:jc w:val="both"/>
        <w:rPr>
          <w:sz w:val="22"/>
        </w:rPr>
      </w:pPr>
      <w:r>
        <w:rPr>
          <w:spacing w:val="-2"/>
          <w:sz w:val="22"/>
        </w:rPr>
        <w:t>必须提供被保险人在所报事故发生后的5天以内进行的检查报告，该报告必须显示被保险人血液HIV病毒阴性和/或HIV抗体阴性；</w:t>
      </w:r>
    </w:p>
    <w:p>
      <w:pPr>
        <w:pStyle w:val="ListParagraph"/>
        <w:numPr>
          <w:ilvl w:val="0"/>
          <w:numId w:val="51"/>
        </w:numPr>
        <w:tabs>
          <w:tab w:pos="607" w:val="left" w:leader="none"/>
        </w:tabs>
        <w:spacing w:line="324" w:lineRule="auto" w:before="0" w:after="0"/>
        <w:ind w:left="606" w:right="152" w:hanging="454"/>
        <w:jc w:val="both"/>
        <w:rPr>
          <w:sz w:val="22"/>
        </w:rPr>
      </w:pPr>
      <w:r>
        <w:rPr>
          <w:spacing w:val="-2"/>
          <w:sz w:val="22"/>
        </w:rPr>
        <w:t>必须在事故发生后的12个月内证实被保险人体内存在HIV病毒或者HIV抗</w:t>
      </w:r>
      <w:r>
        <w:rPr>
          <w:spacing w:val="-6"/>
          <w:sz w:val="22"/>
        </w:rPr>
        <w:t>体。</w:t>
      </w:r>
    </w:p>
    <w:p>
      <w:pPr>
        <w:pStyle w:val="BodyText"/>
        <w:spacing w:line="324" w:lineRule="auto"/>
        <w:ind w:left="152" w:right="150"/>
        <w:jc w:val="both"/>
      </w:pPr>
      <w:r>
        <w:rPr>
          <w:color w:val="000000"/>
          <w:spacing w:val="-2"/>
          <w:shd w:fill="E4E4E4" w:color="auto" w:val="clear"/>
        </w:rPr>
        <w:t>在任何治愈艾滋病（AIDS）或阻止人类免疫缺陷病毒（HIV）作用的疗法被</w:t>
      </w:r>
      <w:r>
        <w:rPr>
          <w:color w:val="000000"/>
          <w:spacing w:val="40"/>
          <w:shd w:fill="E4E4E4" w:color="auto" w:val="clear"/>
        </w:rPr>
        <w:t> </w:t>
      </w:r>
      <w:r>
        <w:rPr>
          <w:color w:val="000000"/>
          <w:spacing w:val="-2"/>
          <w:shd w:fill="E4E4E4" w:color="auto" w:val="clear"/>
        </w:rPr>
        <w:t>发现以后，或能防止艾滋病（AIDS）发生的医疗方法被研究出来以后，则我们不再予以赔付。</w:t>
      </w:r>
    </w:p>
    <w:p>
      <w:pPr>
        <w:pStyle w:val="BodyText"/>
        <w:spacing w:line="324" w:lineRule="auto"/>
        <w:ind w:left="152" w:right="152"/>
      </w:pPr>
      <w:r>
        <w:rPr>
          <w:color w:val="000000"/>
          <w:spacing w:val="-2"/>
          <w:shd w:fill="E4E4E4" w:color="auto" w:val="clear"/>
        </w:rPr>
        <w:t>任何因其他传播方式（包括：性传播或静脉注射毒品）导致的HIV感染不在</w:t>
      </w:r>
      <w:r>
        <w:rPr>
          <w:color w:val="000000"/>
          <w:spacing w:val="80"/>
          <w:w w:val="150"/>
          <w:shd w:fill="E4E4E4" w:color="auto" w:val="clear"/>
        </w:rPr>
        <w:t>                                       </w:t>
      </w:r>
      <w:r>
        <w:rPr>
          <w:color w:val="000000"/>
          <w:spacing w:val="-2"/>
          <w:shd w:fill="E4E4E4" w:color="auto" w:val="clear"/>
        </w:rPr>
        <w:t>保障范围内。</w:t>
      </w:r>
    </w:p>
    <w:p>
      <w:pPr>
        <w:spacing w:after="0" w:line="324" w:lineRule="auto"/>
        <w:sectPr>
          <w:type w:val="continuous"/>
          <w:pgSz w:w="11910" w:h="16840"/>
          <w:pgMar w:header="484" w:footer="706" w:top="1240" w:bottom="900" w:left="980" w:right="980"/>
          <w:cols w:num="2" w:equalWidth="0">
            <w:col w:w="2277" w:space="51"/>
            <w:col w:w="7622"/>
          </w:cols>
        </w:sectPr>
      </w:pPr>
    </w:p>
    <w:p>
      <w:pPr>
        <w:pStyle w:val="BodyText"/>
        <w:spacing w:before="2"/>
        <w:rPr>
          <w:sz w:val="21"/>
        </w:rPr>
      </w:pPr>
    </w:p>
    <w:p>
      <w:pPr>
        <w:spacing w:after="0"/>
        <w:rPr>
          <w:sz w:val="21"/>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5" w:after="0"/>
        <w:ind w:left="954" w:right="0" w:hanging="803"/>
        <w:jc w:val="left"/>
      </w:pPr>
      <w:r>
        <w:rPr>
          <w:spacing w:val="-4"/>
        </w:rPr>
        <w:t>严重瑞氏综合</w:t>
      </w:r>
    </w:p>
    <w:p>
      <w:pPr>
        <w:spacing w:before="30"/>
        <w:ind w:left="954" w:right="0" w:firstLine="0"/>
        <w:jc w:val="left"/>
        <w:rPr>
          <w:rFonts w:ascii="华文中宋" w:eastAsia="华文中宋" w:hint="eastAsia"/>
          <w:b/>
          <w:sz w:val="22"/>
        </w:rPr>
      </w:pPr>
      <w:r>
        <w:rPr>
          <w:rFonts w:ascii="华文中宋" w:eastAsia="华文中宋" w:hint="eastAsia"/>
          <w:b/>
          <w:w w:val="100"/>
          <w:sz w:val="22"/>
        </w:rPr>
        <w:t>征</w:t>
      </w:r>
    </w:p>
    <w:p>
      <w:pPr>
        <w:pStyle w:val="BodyText"/>
        <w:spacing w:line="324" w:lineRule="auto" w:before="105"/>
        <w:ind w:left="152" w:right="150"/>
      </w:pPr>
      <w:r>
        <w:rPr/>
        <w:br w:type="column"/>
      </w:r>
      <w:r>
        <w:rPr>
          <w:spacing w:val="6"/>
          <w:w w:val="100"/>
        </w:rPr>
        <w:t>瑞氏综合征是线粒体功能障碍性疾病。导致脂肪代谢障碍，引起短链脂肪</w:t>
      </w:r>
      <w:r>
        <w:rPr>
          <w:spacing w:val="-1"/>
          <w:w w:val="100"/>
        </w:rPr>
        <w:t>酸、血氨升高，造成脑水肿。主要临床表现为急性发热、反复呕吐、惊厥及</w:t>
      </w:r>
    </w:p>
    <w:p>
      <w:pPr>
        <w:spacing w:after="0" w:line="324" w:lineRule="auto"/>
        <w:sectPr>
          <w:type w:val="continuous"/>
          <w:pgSz w:w="11910" w:h="16840"/>
          <w:pgMar w:header="484" w:footer="706" w:top="1240" w:bottom="900" w:left="980" w:right="980"/>
          <w:cols w:num="2" w:equalWidth="0">
            <w:col w:w="2277" w:space="51"/>
            <w:col w:w="7622"/>
          </w:cols>
        </w:sectPr>
      </w:pPr>
    </w:p>
    <w:p>
      <w:pPr>
        <w:pStyle w:val="BodyText"/>
        <w:spacing w:before="7"/>
        <w:rPr>
          <w:sz w:val="14"/>
        </w:rPr>
      </w:pPr>
    </w:p>
    <w:p>
      <w:pPr>
        <w:pStyle w:val="BodyText"/>
        <w:spacing w:line="324" w:lineRule="auto" w:before="70"/>
        <w:ind w:left="2480" w:right="150"/>
      </w:pPr>
      <w:r>
        <w:rPr>
          <w:spacing w:val="-2"/>
        </w:rPr>
        <w:t>意识障碍等等。肝脏活检是确诊的重要手段。瑞氏综合征需由三级医院的儿科专科医生确诊，</w:t>
      </w:r>
      <w:r>
        <w:rPr>
          <w:color w:val="000000"/>
          <w:spacing w:val="-2"/>
          <w:shd w:fill="E4E4E4" w:color="auto" w:val="clear"/>
        </w:rPr>
        <w:t>并符合下列所有条件：</w:t>
      </w:r>
    </w:p>
    <w:p>
      <w:pPr>
        <w:pStyle w:val="ListParagraph"/>
        <w:numPr>
          <w:ilvl w:val="2"/>
          <w:numId w:val="28"/>
        </w:numPr>
        <w:tabs>
          <w:tab w:pos="2935" w:val="left" w:leader="none"/>
        </w:tabs>
        <w:spacing w:line="282" w:lineRule="exact" w:before="0" w:after="0"/>
        <w:ind w:left="2934" w:right="0" w:hanging="455"/>
        <w:jc w:val="left"/>
        <w:rPr>
          <w:sz w:val="22"/>
        </w:rPr>
      </w:pPr>
      <w:r>
        <w:rPr>
          <w:spacing w:val="-3"/>
          <w:sz w:val="22"/>
        </w:rPr>
        <w:t>有脑水肿和颅内压升高的脑脊液检查和影像学检查证据；</w:t>
      </w:r>
    </w:p>
    <w:p>
      <w:pPr>
        <w:pStyle w:val="ListParagraph"/>
        <w:numPr>
          <w:ilvl w:val="2"/>
          <w:numId w:val="28"/>
        </w:numPr>
        <w:tabs>
          <w:tab w:pos="2935" w:val="left" w:leader="none"/>
        </w:tabs>
        <w:spacing w:line="240" w:lineRule="auto" w:before="98" w:after="0"/>
        <w:ind w:left="2934" w:right="0" w:hanging="455"/>
        <w:jc w:val="left"/>
        <w:rPr>
          <w:sz w:val="22"/>
        </w:rPr>
      </w:pPr>
      <w:r>
        <w:rPr>
          <w:spacing w:val="-2"/>
          <w:sz w:val="22"/>
        </w:rPr>
        <w:t>血氨超过正常值的3</w:t>
      </w:r>
      <w:r>
        <w:rPr>
          <w:spacing w:val="-6"/>
          <w:sz w:val="22"/>
        </w:rPr>
        <w:t>倍；</w:t>
      </w:r>
    </w:p>
    <w:p>
      <w:pPr>
        <w:pStyle w:val="ListParagraph"/>
        <w:numPr>
          <w:ilvl w:val="2"/>
          <w:numId w:val="28"/>
        </w:numPr>
        <w:tabs>
          <w:tab w:pos="2935" w:val="left" w:leader="none"/>
        </w:tabs>
        <w:spacing w:line="240" w:lineRule="auto" w:before="99" w:after="0"/>
        <w:ind w:left="2934" w:right="0" w:hanging="455"/>
        <w:jc w:val="left"/>
        <w:rPr>
          <w:sz w:val="22"/>
        </w:rPr>
      </w:pPr>
      <w:r>
        <w:rPr>
          <w:spacing w:val="-2"/>
          <w:sz w:val="22"/>
        </w:rPr>
        <w:t>临床出现昏迷，病程至少达到疾病分期第3</w:t>
      </w:r>
      <w:r>
        <w:rPr>
          <w:spacing w:val="-6"/>
          <w:sz w:val="22"/>
        </w:rPr>
        <w:t>期。</w:t>
      </w:r>
    </w:p>
    <w:p>
      <w:pPr>
        <w:pStyle w:val="BodyText"/>
      </w:pPr>
    </w:p>
    <w:p>
      <w:pPr>
        <w:pStyle w:val="ListParagraph"/>
        <w:numPr>
          <w:ilvl w:val="1"/>
          <w:numId w:val="28"/>
        </w:numPr>
        <w:tabs>
          <w:tab w:pos="955" w:val="left" w:leader="none"/>
        </w:tabs>
        <w:spacing w:line="302" w:lineRule="auto" w:before="165" w:after="0"/>
        <w:ind w:left="2480" w:right="150" w:hanging="2328"/>
        <w:jc w:val="both"/>
        <w:rPr>
          <w:sz w:val="22"/>
        </w:rPr>
      </w:pPr>
      <w:r>
        <w:rPr>
          <w:rFonts w:ascii="华文中宋" w:eastAsia="华文中宋" w:hint="eastAsia"/>
          <w:b/>
          <w:spacing w:val="22"/>
          <w:sz w:val="22"/>
        </w:rPr>
        <w:t>严重川崎病  </w:t>
      </w:r>
      <w:r>
        <w:rPr>
          <w:sz w:val="22"/>
        </w:rPr>
        <w:t>指一种原因未明的血管炎综合征，临床表现为急性发热，皮肤粘膜病损和淋</w:t>
      </w:r>
      <w:r>
        <w:rPr>
          <w:spacing w:val="-2"/>
          <w:sz w:val="22"/>
        </w:rPr>
        <w:t>巴结肿大。本病必须经专科医生明确诊断，且必须由血管造影或超声心动图检查证实，满足下列至少一项条件：</w:t>
      </w:r>
    </w:p>
    <w:p>
      <w:pPr>
        <w:pStyle w:val="ListParagraph"/>
        <w:numPr>
          <w:ilvl w:val="2"/>
          <w:numId w:val="28"/>
        </w:numPr>
        <w:tabs>
          <w:tab w:pos="2935" w:val="left" w:leader="none"/>
        </w:tabs>
        <w:spacing w:line="240" w:lineRule="auto" w:before="20" w:after="0"/>
        <w:ind w:left="2934" w:right="0" w:hanging="455"/>
        <w:jc w:val="both"/>
        <w:rPr>
          <w:sz w:val="22"/>
        </w:rPr>
      </w:pPr>
      <w:r>
        <w:rPr>
          <w:spacing w:val="-2"/>
          <w:sz w:val="22"/>
        </w:rPr>
        <w:t>伴有冠状动脉瘤，且冠状动脉瘤于最初急性发病后持续至少180</w:t>
      </w:r>
      <w:r>
        <w:rPr>
          <w:spacing w:val="-6"/>
          <w:sz w:val="22"/>
        </w:rPr>
        <w:t>天；</w:t>
      </w:r>
    </w:p>
    <w:p>
      <w:pPr>
        <w:pStyle w:val="ListParagraph"/>
        <w:numPr>
          <w:ilvl w:val="2"/>
          <w:numId w:val="28"/>
        </w:numPr>
        <w:tabs>
          <w:tab w:pos="2935" w:val="left" w:leader="none"/>
        </w:tabs>
        <w:spacing w:line="240" w:lineRule="auto" w:before="100" w:after="0"/>
        <w:ind w:left="2934" w:right="0" w:hanging="455"/>
        <w:jc w:val="both"/>
        <w:rPr>
          <w:sz w:val="22"/>
        </w:rPr>
      </w:pPr>
      <w:r>
        <w:rPr>
          <w:spacing w:val="-3"/>
          <w:sz w:val="22"/>
        </w:rPr>
        <w:t>伴有冠状动脉瘤，且实际接受了对冠状动脉瘤进行的手术治疗。</w:t>
      </w:r>
    </w:p>
    <w:p>
      <w:pPr>
        <w:pStyle w:val="BodyText"/>
      </w:pPr>
    </w:p>
    <w:p>
      <w:pPr>
        <w:pStyle w:val="ListParagraph"/>
        <w:numPr>
          <w:ilvl w:val="1"/>
          <w:numId w:val="28"/>
        </w:numPr>
        <w:tabs>
          <w:tab w:pos="955" w:val="left" w:leader="none"/>
          <w:tab w:pos="2480" w:val="left" w:leader="none"/>
        </w:tabs>
        <w:spacing w:line="283" w:lineRule="auto" w:before="164" w:after="0"/>
        <w:ind w:left="2480" w:right="150" w:hanging="2328"/>
        <w:jc w:val="left"/>
        <w:rPr>
          <w:sz w:val="22"/>
        </w:rPr>
      </w:pPr>
      <w:r>
        <w:rPr>
          <w:rFonts w:ascii="华文中宋" w:eastAsia="华文中宋" w:hint="eastAsia"/>
          <w:b/>
          <w:spacing w:val="-4"/>
          <w:sz w:val="22"/>
        </w:rPr>
        <w:t>严重心肌炎</w:t>
      </w:r>
      <w:r>
        <w:rPr>
          <w:rFonts w:ascii="华文中宋" w:eastAsia="华文中宋" w:hint="eastAsia"/>
          <w:b/>
          <w:sz w:val="22"/>
        </w:rPr>
        <w:tab/>
      </w:r>
      <w:r>
        <w:rPr>
          <w:spacing w:val="-2"/>
          <w:sz w:val="22"/>
        </w:rPr>
        <w:t>指被保险人因严重心肌炎性病变导致心功能损害造成持续的永久不可逆性的心功能衰竭。</w:t>
      </w:r>
      <w:r>
        <w:rPr>
          <w:color w:val="000000"/>
          <w:spacing w:val="-2"/>
          <w:sz w:val="22"/>
          <w:shd w:fill="E4E4E4" w:color="auto" w:val="clear"/>
        </w:rPr>
        <w:t>必须满足以下所有条件：</w:t>
      </w:r>
    </w:p>
    <w:p>
      <w:pPr>
        <w:pStyle w:val="ListParagraph"/>
        <w:numPr>
          <w:ilvl w:val="2"/>
          <w:numId w:val="28"/>
        </w:numPr>
        <w:tabs>
          <w:tab w:pos="2935" w:val="left" w:leader="none"/>
        </w:tabs>
        <w:spacing w:line="324" w:lineRule="auto" w:before="46" w:after="0"/>
        <w:ind w:left="2934" w:right="152" w:hanging="454"/>
        <w:jc w:val="left"/>
        <w:rPr>
          <w:sz w:val="22"/>
        </w:rPr>
      </w:pPr>
      <w:r>
        <w:rPr>
          <w:spacing w:val="-2"/>
          <w:sz w:val="22"/>
        </w:rPr>
        <w:t>心功能衰竭程度达到纽约心脏病学会的心功能分级标准之心功能Ⅳ级，或左室射血分数低于30%；</w:t>
      </w:r>
    </w:p>
    <w:p>
      <w:pPr>
        <w:pStyle w:val="ListParagraph"/>
        <w:numPr>
          <w:ilvl w:val="2"/>
          <w:numId w:val="28"/>
        </w:numPr>
        <w:tabs>
          <w:tab w:pos="2935" w:val="left" w:leader="none"/>
        </w:tabs>
        <w:spacing w:line="282" w:lineRule="exact" w:before="0" w:after="0"/>
        <w:ind w:left="2934" w:right="0" w:hanging="455"/>
        <w:jc w:val="left"/>
        <w:rPr>
          <w:sz w:val="22"/>
        </w:rPr>
      </w:pPr>
      <w:r>
        <w:rPr>
          <w:spacing w:val="-2"/>
          <w:sz w:val="22"/>
        </w:rPr>
        <w:t>持续不间断180</w:t>
      </w:r>
      <w:r>
        <w:rPr>
          <w:spacing w:val="-4"/>
          <w:sz w:val="22"/>
        </w:rPr>
        <w:t>天以上；</w:t>
      </w:r>
    </w:p>
    <w:p>
      <w:pPr>
        <w:pStyle w:val="ListParagraph"/>
        <w:numPr>
          <w:ilvl w:val="2"/>
          <w:numId w:val="28"/>
        </w:numPr>
        <w:tabs>
          <w:tab w:pos="2935" w:val="left" w:leader="none"/>
        </w:tabs>
        <w:spacing w:line="240" w:lineRule="auto" w:before="98" w:after="0"/>
        <w:ind w:left="2934" w:right="0" w:hanging="455"/>
        <w:jc w:val="left"/>
        <w:rPr>
          <w:sz w:val="22"/>
        </w:rPr>
      </w:pPr>
      <w:r>
        <w:rPr>
          <w:spacing w:val="-3"/>
          <w:sz w:val="22"/>
        </w:rPr>
        <w:t>被保险人永久不可逆性的体力活动能力受限，不能从事任何体力活动。</w:t>
      </w:r>
    </w:p>
    <w:p>
      <w:pPr>
        <w:pStyle w:val="BodyText"/>
        <w:spacing w:before="2"/>
        <w:rPr>
          <w:sz w:val="29"/>
        </w:rPr>
      </w:pPr>
    </w:p>
    <w:p>
      <w:pPr>
        <w:spacing w:after="0"/>
        <w:rPr>
          <w:sz w:val="29"/>
        </w:rPr>
        <w:sectPr>
          <w:pgSz w:w="11910" w:h="16840"/>
          <w:pgMar w:header="484" w:footer="706" w:top="1240" w:bottom="900" w:left="980" w:right="980"/>
        </w:sectPr>
      </w:pPr>
    </w:p>
    <w:p>
      <w:pPr>
        <w:pStyle w:val="Heading2"/>
        <w:numPr>
          <w:ilvl w:val="1"/>
          <w:numId w:val="28"/>
        </w:numPr>
        <w:tabs>
          <w:tab w:pos="955" w:val="left" w:leader="none"/>
        </w:tabs>
        <w:spacing w:line="240" w:lineRule="auto" w:before="75" w:after="0"/>
        <w:ind w:left="954" w:right="0" w:hanging="803"/>
        <w:jc w:val="left"/>
      </w:pPr>
      <w:r>
        <w:rPr>
          <w:spacing w:val="-4"/>
        </w:rPr>
        <w:t>需手术切除的</w:t>
      </w:r>
    </w:p>
    <w:p>
      <w:pPr>
        <w:spacing w:before="30"/>
        <w:ind w:left="954" w:right="0" w:firstLine="0"/>
        <w:jc w:val="left"/>
        <w:rPr>
          <w:rFonts w:ascii="华文中宋" w:eastAsia="华文中宋" w:hint="eastAsia"/>
          <w:b/>
          <w:sz w:val="22"/>
        </w:rPr>
      </w:pPr>
      <w:r>
        <w:rPr>
          <w:rFonts w:ascii="华文中宋" w:eastAsia="华文中宋" w:hint="eastAsia"/>
          <w:b/>
          <w:spacing w:val="-4"/>
          <w:sz w:val="22"/>
        </w:rPr>
        <w:t>嗜铬细胞瘤</w:t>
      </w:r>
    </w:p>
    <w:p>
      <w:pPr>
        <w:pStyle w:val="BodyText"/>
        <w:spacing w:line="324" w:lineRule="auto" w:before="105"/>
        <w:ind w:left="152" w:right="150"/>
      </w:pPr>
      <w:r>
        <w:rPr/>
        <w:br w:type="column"/>
      </w:r>
      <w:r>
        <w:rPr>
          <w:spacing w:val="-2"/>
        </w:rPr>
        <w:t>指发生在肾上腺或肾上腺外嗜铬组织的以分泌过多的儿茶酚胺为表现的神经内分泌肿瘤。嗜铬细胞瘤必须明确诊断，</w:t>
      </w:r>
      <w:r>
        <w:rPr>
          <w:color w:val="000000"/>
          <w:spacing w:val="-2"/>
          <w:shd w:fill="E4E4E4" w:color="auto" w:val="clear"/>
        </w:rPr>
        <w:t>并且满足下列所有条件：</w:t>
      </w:r>
    </w:p>
    <w:p>
      <w:pPr>
        <w:pStyle w:val="ListParagraph"/>
        <w:numPr>
          <w:ilvl w:val="0"/>
          <w:numId w:val="52"/>
        </w:numPr>
        <w:tabs>
          <w:tab w:pos="607" w:val="left" w:leader="none"/>
        </w:tabs>
        <w:spacing w:line="279" w:lineRule="exact" w:before="0" w:after="0"/>
        <w:ind w:left="606" w:right="0" w:hanging="455"/>
        <w:jc w:val="left"/>
        <w:rPr>
          <w:sz w:val="22"/>
        </w:rPr>
      </w:pPr>
      <w:r>
        <w:rPr>
          <w:spacing w:val="-3"/>
          <w:sz w:val="22"/>
        </w:rPr>
        <w:t>临床有高血压症候群表现；</w:t>
      </w:r>
    </w:p>
    <w:p>
      <w:pPr>
        <w:pStyle w:val="ListParagraph"/>
        <w:numPr>
          <w:ilvl w:val="0"/>
          <w:numId w:val="52"/>
        </w:numPr>
        <w:tabs>
          <w:tab w:pos="607" w:val="left" w:leader="none"/>
        </w:tabs>
        <w:spacing w:line="240" w:lineRule="auto" w:before="100" w:after="0"/>
        <w:ind w:left="606" w:right="0" w:hanging="455"/>
        <w:jc w:val="left"/>
        <w:rPr>
          <w:sz w:val="22"/>
        </w:rPr>
      </w:pPr>
      <w:r>
        <w:rPr>
          <w:spacing w:val="-3"/>
          <w:sz w:val="22"/>
        </w:rPr>
        <w:t>已经实施了嗜铬细胞瘤切除手术。</w:t>
      </w:r>
    </w:p>
    <w:p>
      <w:pPr>
        <w:spacing w:after="0" w:line="240"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2"/>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61" w:lineRule="auto" w:before="73" w:after="0"/>
        <w:ind w:left="954" w:right="0" w:hanging="802"/>
        <w:jc w:val="left"/>
      </w:pPr>
      <w:r>
        <w:rPr>
          <w:spacing w:val="-2"/>
        </w:rPr>
        <w:t>严重肠道疾病</w:t>
      </w:r>
      <w:r>
        <w:rPr>
          <w:spacing w:val="-4"/>
        </w:rPr>
        <w:t>并发症</w:t>
      </w:r>
    </w:p>
    <w:p>
      <w:pPr>
        <w:pStyle w:val="BodyText"/>
        <w:spacing w:before="103"/>
        <w:ind w:left="152"/>
      </w:pPr>
      <w:r>
        <w:rPr/>
        <w:br w:type="column"/>
      </w:r>
      <w:r>
        <w:rPr>
          <w:spacing w:val="-2"/>
        </w:rPr>
        <w:t>严重肠道疾病或外伤导致小肠损害并发症，</w:t>
      </w:r>
      <w:r>
        <w:rPr>
          <w:color w:val="000000"/>
          <w:spacing w:val="-3"/>
          <w:shd w:fill="E4E4E4" w:color="auto" w:val="clear"/>
        </w:rPr>
        <w:t>必须满足以下所有条件：</w:t>
      </w:r>
    </w:p>
    <w:p>
      <w:pPr>
        <w:pStyle w:val="ListParagraph"/>
        <w:numPr>
          <w:ilvl w:val="0"/>
          <w:numId w:val="53"/>
        </w:numPr>
        <w:tabs>
          <w:tab w:pos="607" w:val="left" w:leader="none"/>
        </w:tabs>
        <w:spacing w:line="240" w:lineRule="auto" w:before="99" w:after="0"/>
        <w:ind w:left="606" w:right="0" w:hanging="455"/>
        <w:jc w:val="left"/>
        <w:rPr>
          <w:sz w:val="22"/>
        </w:rPr>
      </w:pPr>
      <w:r>
        <w:rPr>
          <w:spacing w:val="-3"/>
          <w:sz w:val="22"/>
        </w:rPr>
        <w:t>至少切除了三分之二小肠；</w:t>
      </w:r>
    </w:p>
    <w:p>
      <w:pPr>
        <w:pStyle w:val="ListParagraph"/>
        <w:numPr>
          <w:ilvl w:val="0"/>
          <w:numId w:val="53"/>
        </w:numPr>
        <w:tabs>
          <w:tab w:pos="607" w:val="left" w:leader="none"/>
        </w:tabs>
        <w:spacing w:line="240" w:lineRule="auto" w:before="98" w:after="0"/>
        <w:ind w:left="606" w:right="0" w:hanging="455"/>
        <w:jc w:val="left"/>
        <w:rPr>
          <w:sz w:val="22"/>
        </w:rPr>
      </w:pPr>
      <w:r>
        <w:rPr>
          <w:spacing w:val="-2"/>
          <w:sz w:val="22"/>
        </w:rPr>
        <w:t>完全肠外营养支持3</w:t>
      </w:r>
      <w:r>
        <w:rPr>
          <w:spacing w:val="-4"/>
          <w:sz w:val="22"/>
        </w:rPr>
        <w:t>个月以上。</w:t>
      </w:r>
    </w:p>
    <w:p>
      <w:pPr>
        <w:spacing w:after="0" w:line="240"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2"/>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5" w:after="0"/>
        <w:ind w:left="954" w:right="0" w:hanging="803"/>
        <w:jc w:val="left"/>
      </w:pPr>
      <w:r>
        <w:rPr>
          <w:spacing w:val="-4"/>
        </w:rPr>
        <w:t>严重Ⅲ度房室</w:t>
      </w:r>
    </w:p>
    <w:p>
      <w:pPr>
        <w:spacing w:before="30"/>
        <w:ind w:left="954" w:right="0" w:firstLine="0"/>
        <w:jc w:val="left"/>
        <w:rPr>
          <w:rFonts w:ascii="华文中宋" w:eastAsia="华文中宋" w:hint="eastAsia"/>
          <w:b/>
          <w:sz w:val="22"/>
        </w:rPr>
      </w:pPr>
      <w:r>
        <w:rPr>
          <w:rFonts w:ascii="华文中宋" w:eastAsia="华文中宋" w:hint="eastAsia"/>
          <w:b/>
          <w:spacing w:val="-5"/>
          <w:sz w:val="22"/>
        </w:rPr>
        <w:t>传导阻滞</w:t>
      </w:r>
    </w:p>
    <w:p>
      <w:pPr>
        <w:pStyle w:val="BodyText"/>
        <w:spacing w:line="324" w:lineRule="auto" w:before="105"/>
        <w:ind w:left="152" w:right="150"/>
      </w:pPr>
      <w:r>
        <w:rPr/>
        <w:br w:type="column"/>
      </w:r>
      <w:r>
        <w:rPr>
          <w:spacing w:val="-2"/>
        </w:rPr>
        <w:t>指心房激动在房室交界区、房室束及其分支内发生阻滞，不能正常地传到心室的心脏传导性疾病，</w:t>
      </w:r>
      <w:r>
        <w:rPr>
          <w:color w:val="000000"/>
          <w:spacing w:val="-2"/>
          <w:shd w:fill="E4E4E4" w:color="auto" w:val="clear"/>
        </w:rPr>
        <w:t>须满足下列所有条件：</w:t>
      </w:r>
    </w:p>
    <w:p>
      <w:pPr>
        <w:pStyle w:val="ListParagraph"/>
        <w:numPr>
          <w:ilvl w:val="0"/>
          <w:numId w:val="54"/>
        </w:numPr>
        <w:tabs>
          <w:tab w:pos="607" w:val="left" w:leader="none"/>
        </w:tabs>
        <w:spacing w:line="279" w:lineRule="exact" w:before="0" w:after="0"/>
        <w:ind w:left="606" w:right="0" w:hanging="455"/>
        <w:jc w:val="left"/>
        <w:rPr>
          <w:sz w:val="22"/>
        </w:rPr>
      </w:pPr>
      <w:r>
        <w:rPr>
          <w:spacing w:val="-2"/>
          <w:sz w:val="22"/>
        </w:rPr>
        <w:t>心电图显示房室搏动彼此独立，心室率＜50</w:t>
      </w:r>
      <w:r>
        <w:rPr>
          <w:spacing w:val="-4"/>
          <w:sz w:val="22"/>
        </w:rPr>
        <w:t>次/分钟；</w:t>
      </w:r>
    </w:p>
    <w:p>
      <w:pPr>
        <w:pStyle w:val="ListParagraph"/>
        <w:numPr>
          <w:ilvl w:val="0"/>
          <w:numId w:val="54"/>
        </w:numPr>
        <w:tabs>
          <w:tab w:pos="607" w:val="left" w:leader="none"/>
        </w:tabs>
        <w:spacing w:line="240" w:lineRule="auto" w:before="100" w:after="0"/>
        <w:ind w:left="606" w:right="0" w:hanging="455"/>
        <w:jc w:val="left"/>
        <w:rPr>
          <w:sz w:val="22"/>
        </w:rPr>
      </w:pPr>
      <w:r>
        <w:rPr>
          <w:spacing w:val="-3"/>
          <w:sz w:val="22"/>
        </w:rPr>
        <w:t>出现阿-斯综合征或心力衰竭的表现；</w:t>
      </w:r>
    </w:p>
    <w:p>
      <w:pPr>
        <w:pStyle w:val="ListParagraph"/>
        <w:numPr>
          <w:ilvl w:val="0"/>
          <w:numId w:val="54"/>
        </w:numPr>
        <w:tabs>
          <w:tab w:pos="607" w:val="left" w:leader="none"/>
        </w:tabs>
        <w:spacing w:line="324" w:lineRule="auto" w:before="97" w:after="0"/>
        <w:ind w:left="606" w:right="152" w:hanging="454"/>
        <w:jc w:val="left"/>
        <w:rPr>
          <w:sz w:val="22"/>
        </w:rPr>
      </w:pPr>
      <w:r>
        <w:rPr>
          <w:spacing w:val="-2"/>
          <w:sz w:val="22"/>
        </w:rPr>
        <w:t>必须持续性依赖心脏起搏器维持心脏正常功能，且已经放置永久性心脏</w:t>
      </w:r>
      <w:r>
        <w:rPr>
          <w:spacing w:val="-4"/>
          <w:sz w:val="22"/>
        </w:rPr>
        <w:t>起搏器。</w:t>
      </w:r>
    </w:p>
    <w:p>
      <w:pPr>
        <w:spacing w:after="0" w:line="324"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7"/>
        <w:rPr>
          <w:sz w:val="21"/>
        </w:rPr>
      </w:pPr>
    </w:p>
    <w:p>
      <w:pPr>
        <w:pStyle w:val="ListParagraph"/>
        <w:numPr>
          <w:ilvl w:val="1"/>
          <w:numId w:val="28"/>
        </w:numPr>
        <w:tabs>
          <w:tab w:pos="955" w:val="left" w:leader="none"/>
          <w:tab w:pos="2480" w:val="left" w:leader="none"/>
        </w:tabs>
        <w:spacing w:line="240" w:lineRule="auto" w:before="73" w:after="0"/>
        <w:ind w:left="954" w:right="0" w:hanging="803"/>
        <w:jc w:val="left"/>
        <w:rPr>
          <w:sz w:val="22"/>
        </w:rPr>
      </w:pPr>
      <w:r>
        <w:rPr>
          <w:rFonts w:ascii="华文中宋" w:eastAsia="华文中宋" w:hint="eastAsia"/>
          <w:b/>
          <w:spacing w:val="-2"/>
          <w:sz w:val="22"/>
        </w:rPr>
        <w:t>重症手足口</w:t>
      </w:r>
      <w:r>
        <w:rPr>
          <w:rFonts w:ascii="华文中宋" w:eastAsia="华文中宋" w:hint="eastAsia"/>
          <w:b/>
          <w:spacing w:val="-12"/>
          <w:sz w:val="22"/>
        </w:rPr>
        <w:t>病</w:t>
      </w:r>
      <w:r>
        <w:rPr>
          <w:rFonts w:ascii="华文中宋" w:eastAsia="华文中宋" w:hint="eastAsia"/>
          <w:b/>
          <w:sz w:val="22"/>
        </w:rPr>
        <w:tab/>
      </w:r>
      <w:r>
        <w:rPr>
          <w:sz w:val="22"/>
        </w:rPr>
        <w:t>指由肠道病毒引起的急性传染病，主要症状表现为手、足、口腔等部位的</w:t>
      </w:r>
      <w:r>
        <w:rPr>
          <w:spacing w:val="-10"/>
          <w:sz w:val="22"/>
        </w:rPr>
        <w:t>斑</w:t>
      </w:r>
    </w:p>
    <w:p>
      <w:pPr>
        <w:spacing w:after="0" w:line="240" w:lineRule="auto"/>
        <w:jc w:val="left"/>
        <w:rPr>
          <w:sz w:val="22"/>
        </w:rPr>
        <w:sectPr>
          <w:type w:val="continuous"/>
          <w:pgSz w:w="11910" w:h="16840"/>
          <w:pgMar w:header="484" w:footer="706" w:top="1240" w:bottom="900" w:left="980" w:right="980"/>
        </w:sectPr>
      </w:pPr>
    </w:p>
    <w:p>
      <w:pPr>
        <w:pStyle w:val="BodyText"/>
        <w:spacing w:before="7"/>
        <w:rPr>
          <w:sz w:val="14"/>
        </w:rPr>
      </w:pPr>
    </w:p>
    <w:p>
      <w:pPr>
        <w:pStyle w:val="BodyText"/>
        <w:spacing w:line="324" w:lineRule="auto" w:before="70"/>
        <w:ind w:left="2480" w:right="150"/>
      </w:pPr>
      <w:r>
        <w:rPr>
          <w:spacing w:val="-2"/>
        </w:rPr>
        <w:t>丘疹、疱疹。经我们认可的医院的儿科专科医生确诊为患有手足口病，并伴有下列三项中的任意一项并发症：</w:t>
      </w:r>
    </w:p>
    <w:p>
      <w:pPr>
        <w:pStyle w:val="ListParagraph"/>
        <w:numPr>
          <w:ilvl w:val="2"/>
          <w:numId w:val="28"/>
        </w:numPr>
        <w:tabs>
          <w:tab w:pos="2935" w:val="left" w:leader="none"/>
        </w:tabs>
        <w:spacing w:line="324" w:lineRule="auto" w:before="0" w:after="0"/>
        <w:ind w:left="2934" w:right="152" w:hanging="454"/>
        <w:jc w:val="left"/>
        <w:rPr>
          <w:sz w:val="22"/>
        </w:rPr>
      </w:pPr>
      <w:r>
        <w:rPr>
          <w:spacing w:val="-2"/>
          <w:sz w:val="22"/>
        </w:rPr>
        <w:t>有脑膜炎或脑炎并发症，且导致意识障碍或瘫痪的临床表现及实验室检</w:t>
      </w:r>
      <w:r>
        <w:rPr>
          <w:spacing w:val="-4"/>
          <w:sz w:val="22"/>
        </w:rPr>
        <w:t>查证据；</w:t>
      </w:r>
    </w:p>
    <w:p>
      <w:pPr>
        <w:pStyle w:val="ListParagraph"/>
        <w:numPr>
          <w:ilvl w:val="2"/>
          <w:numId w:val="28"/>
        </w:numPr>
        <w:tabs>
          <w:tab w:pos="2935" w:val="left" w:leader="none"/>
        </w:tabs>
        <w:spacing w:line="282" w:lineRule="exact" w:before="0" w:after="0"/>
        <w:ind w:left="2934" w:right="0" w:hanging="455"/>
        <w:jc w:val="left"/>
        <w:rPr>
          <w:sz w:val="22"/>
        </w:rPr>
      </w:pPr>
      <w:r>
        <w:rPr>
          <w:spacing w:val="-3"/>
          <w:sz w:val="22"/>
        </w:rPr>
        <w:t>有肺水肿并发症，且导致呼吸衰竭的临床表现及实验室检查证据；</w:t>
      </w:r>
    </w:p>
    <w:p>
      <w:pPr>
        <w:pStyle w:val="ListParagraph"/>
        <w:numPr>
          <w:ilvl w:val="2"/>
          <w:numId w:val="28"/>
        </w:numPr>
        <w:tabs>
          <w:tab w:pos="2935" w:val="left" w:leader="none"/>
        </w:tabs>
        <w:spacing w:line="324" w:lineRule="auto" w:before="97" w:after="0"/>
        <w:ind w:left="2934" w:right="152" w:hanging="454"/>
        <w:jc w:val="left"/>
        <w:rPr>
          <w:sz w:val="22"/>
        </w:rPr>
      </w:pPr>
      <w:r>
        <w:rPr>
          <w:spacing w:val="-2"/>
          <w:sz w:val="22"/>
        </w:rPr>
        <w:t>有心肌炎并发症，且导致心脏扩大或心力衰竭的临床表现及实验室检查</w:t>
      </w:r>
      <w:r>
        <w:rPr>
          <w:spacing w:val="-4"/>
          <w:sz w:val="22"/>
        </w:rPr>
        <w:t>证据。</w:t>
      </w:r>
    </w:p>
    <w:p>
      <w:pPr>
        <w:pStyle w:val="BodyText"/>
        <w:spacing w:before="8"/>
        <w:rPr>
          <w:sz w:val="21"/>
        </w:rPr>
      </w:pPr>
    </w:p>
    <w:p>
      <w:pPr>
        <w:spacing w:after="0"/>
        <w:rPr>
          <w:sz w:val="21"/>
        </w:rPr>
        <w:sectPr>
          <w:pgSz w:w="11910" w:h="16840"/>
          <w:pgMar w:header="484" w:footer="706" w:top="1240" w:bottom="900" w:left="980" w:right="980"/>
        </w:sectPr>
      </w:pPr>
    </w:p>
    <w:p>
      <w:pPr>
        <w:pStyle w:val="Heading2"/>
        <w:numPr>
          <w:ilvl w:val="1"/>
          <w:numId w:val="28"/>
        </w:numPr>
        <w:tabs>
          <w:tab w:pos="955" w:val="left" w:leader="none"/>
        </w:tabs>
        <w:spacing w:line="261" w:lineRule="auto" w:before="72" w:after="0"/>
        <w:ind w:left="954" w:right="0" w:hanging="802"/>
        <w:jc w:val="left"/>
      </w:pPr>
      <w:r>
        <w:rPr>
          <w:spacing w:val="-2"/>
        </w:rPr>
        <w:t>严重感染性心</w:t>
      </w:r>
      <w:r>
        <w:rPr>
          <w:spacing w:val="-4"/>
        </w:rPr>
        <w:t>内膜炎</w:t>
      </w:r>
    </w:p>
    <w:p>
      <w:pPr>
        <w:pStyle w:val="BodyText"/>
        <w:spacing w:before="102"/>
        <w:ind w:left="152"/>
      </w:pPr>
      <w:r>
        <w:rPr/>
        <w:br w:type="column"/>
      </w:r>
      <w:r>
        <w:rPr>
          <w:spacing w:val="-2"/>
        </w:rPr>
        <w:t>指因感染性病原体造成心脏内膜发炎，</w:t>
      </w:r>
      <w:r>
        <w:rPr>
          <w:color w:val="000000"/>
          <w:spacing w:val="-3"/>
          <w:shd w:fill="E4E4E4" w:color="auto" w:val="clear"/>
        </w:rPr>
        <w:t>并符合下列所有条件：</w:t>
      </w:r>
    </w:p>
    <w:p>
      <w:pPr>
        <w:pStyle w:val="ListParagraph"/>
        <w:numPr>
          <w:ilvl w:val="0"/>
          <w:numId w:val="55"/>
        </w:numPr>
        <w:tabs>
          <w:tab w:pos="607" w:val="left" w:leader="none"/>
        </w:tabs>
        <w:spacing w:line="240" w:lineRule="auto" w:before="98" w:after="0"/>
        <w:ind w:left="606" w:right="0" w:hanging="455"/>
        <w:jc w:val="left"/>
        <w:rPr>
          <w:sz w:val="22"/>
        </w:rPr>
      </w:pPr>
      <w:r>
        <w:rPr>
          <w:spacing w:val="-3"/>
          <w:sz w:val="22"/>
        </w:rPr>
        <w:t>血液培养测试结果为阳性，证实存在感染病原体：</w:t>
      </w:r>
    </w:p>
    <w:p>
      <w:pPr>
        <w:pStyle w:val="BodyText"/>
        <w:spacing w:line="324" w:lineRule="auto" w:before="99"/>
        <w:ind w:left="1060" w:right="152"/>
      </w:pPr>
      <w:r>
        <w:rPr/>
        <w:drawing>
          <wp:anchor distT="0" distB="0" distL="0" distR="0" allowOverlap="1" layoutInCell="1" locked="0" behindDoc="0" simplePos="0" relativeHeight="15744000">
            <wp:simplePos x="0" y="0"/>
            <wp:positionH relativeFrom="page">
              <wp:posOffset>2485707</wp:posOffset>
            </wp:positionH>
            <wp:positionV relativeFrom="paragraph">
              <wp:posOffset>79451</wp:posOffset>
            </wp:positionV>
            <wp:extent cx="140335" cy="140334"/>
            <wp:effectExtent l="0" t="0" r="0" b="0"/>
            <wp:wrapNone/>
            <wp:docPr id="41" name="image7.png"/>
            <wp:cNvGraphicFramePr>
              <a:graphicFrameLocks noChangeAspect="1"/>
            </wp:cNvGraphicFramePr>
            <a:graphic>
              <a:graphicData uri="http://schemas.openxmlformats.org/drawingml/2006/picture">
                <pic:pic>
                  <pic:nvPicPr>
                    <pic:cNvPr id="42"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6.256018pt;width:11.05pt;height:11.05pt;mso-position-horizontal-relative:page;mso-position-vertical-relative:paragraph;z-index:15744512" type="#_x0000_t202" id="docshape27" filled="false" stroked="false">
            <v:textbox inset="0,0,0,0">
              <w:txbxContent>
                <w:p>
                  <w:pPr>
                    <w:spacing w:line="219" w:lineRule="exact" w:before="1"/>
                    <w:ind w:left="62" w:right="0" w:firstLine="0"/>
                    <w:jc w:val="left"/>
                    <w:rPr>
                      <w:sz w:val="19"/>
                    </w:rPr>
                  </w:pPr>
                  <w:r>
                    <w:rPr>
                      <w:sz w:val="19"/>
                    </w:rPr>
                    <w:t>1</w:t>
                  </w:r>
                </w:p>
              </w:txbxContent>
            </v:textbox>
            <w10:wrap type="none"/>
          </v:shape>
        </w:pict>
      </w:r>
      <w:r>
        <w:rPr>
          <w:spacing w:val="-2"/>
        </w:rPr>
        <w:t>微生物：在赘生物、栓塞的赘生物或心脏内脓疡经培养或组织检查证实有微生物；或</w:t>
      </w:r>
    </w:p>
    <w:p>
      <w:pPr>
        <w:pStyle w:val="BodyText"/>
        <w:spacing w:line="324" w:lineRule="auto"/>
        <w:ind w:left="1060" w:right="152"/>
      </w:pPr>
      <w:r>
        <w:rPr/>
        <w:drawing>
          <wp:anchor distT="0" distB="0" distL="0" distR="0" allowOverlap="1" layoutInCell="1" locked="0" behindDoc="0" simplePos="0" relativeHeight="15745024">
            <wp:simplePos x="0" y="0"/>
            <wp:positionH relativeFrom="page">
              <wp:posOffset>2485707</wp:posOffset>
            </wp:positionH>
            <wp:positionV relativeFrom="paragraph">
              <wp:posOffset>17589</wp:posOffset>
            </wp:positionV>
            <wp:extent cx="140335" cy="140334"/>
            <wp:effectExtent l="0" t="0" r="0" b="0"/>
            <wp:wrapNone/>
            <wp:docPr id="43" name="image7.png"/>
            <wp:cNvGraphicFramePr>
              <a:graphicFrameLocks noChangeAspect="1"/>
            </wp:cNvGraphicFramePr>
            <a:graphic>
              <a:graphicData uri="http://schemas.openxmlformats.org/drawingml/2006/picture">
                <pic:pic>
                  <pic:nvPicPr>
                    <pic:cNvPr id="44"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1.384998pt;width:11.05pt;height:11.05pt;mso-position-horizontal-relative:page;mso-position-vertical-relative:paragraph;z-index:15745536" type="#_x0000_t202" id="docshape28" filled="false" stroked="false">
            <v:textbox inset="0,0,0,0">
              <w:txbxContent>
                <w:p>
                  <w:pPr>
                    <w:spacing w:line="219" w:lineRule="exact" w:before="2"/>
                    <w:ind w:left="62" w:right="0" w:firstLine="0"/>
                    <w:jc w:val="left"/>
                    <w:rPr>
                      <w:sz w:val="19"/>
                    </w:rPr>
                  </w:pPr>
                  <w:r>
                    <w:rPr>
                      <w:sz w:val="19"/>
                    </w:rPr>
                    <w:t>2</w:t>
                  </w:r>
                </w:p>
              </w:txbxContent>
            </v:textbox>
            <w10:wrap type="none"/>
          </v:shape>
        </w:pict>
      </w:r>
      <w:r>
        <w:rPr>
          <w:spacing w:val="-2"/>
        </w:rPr>
        <w:t>病理性病灶：组织病理学检查证实赘生物或心脏内脓疡有活动性心内膜炎；或</w:t>
      </w:r>
    </w:p>
    <w:p>
      <w:pPr>
        <w:pStyle w:val="BodyText"/>
        <w:spacing w:line="324" w:lineRule="auto"/>
        <w:ind w:left="1060" w:right="615"/>
      </w:pPr>
      <w:r>
        <w:rPr/>
        <w:drawing>
          <wp:anchor distT="0" distB="0" distL="0" distR="0" allowOverlap="1" layoutInCell="1" locked="0" behindDoc="0" simplePos="0" relativeHeight="15746048">
            <wp:simplePos x="0" y="0"/>
            <wp:positionH relativeFrom="page">
              <wp:posOffset>2485707</wp:posOffset>
            </wp:positionH>
            <wp:positionV relativeFrom="paragraph">
              <wp:posOffset>17081</wp:posOffset>
            </wp:positionV>
            <wp:extent cx="140335" cy="140334"/>
            <wp:effectExtent l="0" t="0" r="0" b="0"/>
            <wp:wrapNone/>
            <wp:docPr id="45" name="image8.png"/>
            <wp:cNvGraphicFramePr>
              <a:graphicFrameLocks noChangeAspect="1"/>
            </wp:cNvGraphicFramePr>
            <a:graphic>
              <a:graphicData uri="http://schemas.openxmlformats.org/drawingml/2006/picture">
                <pic:pic>
                  <pic:nvPicPr>
                    <pic:cNvPr id="46" name="image8.png"/>
                    <pic:cNvPicPr/>
                  </pic:nvPicPr>
                  <pic:blipFill>
                    <a:blip r:embed="rId16" cstate="print"/>
                    <a:stretch>
                      <a:fillRect/>
                    </a:stretch>
                  </pic:blipFill>
                  <pic:spPr>
                    <a:xfrm>
                      <a:off x="0" y="0"/>
                      <a:ext cx="140335" cy="140334"/>
                    </a:xfrm>
                    <a:prstGeom prst="rect">
                      <a:avLst/>
                    </a:prstGeom>
                  </pic:spPr>
                </pic:pic>
              </a:graphicData>
            </a:graphic>
          </wp:anchor>
        </w:drawing>
      </w:r>
      <w:r>
        <w:rPr/>
        <w:pict>
          <v:shape style="position:absolute;margin-left:195.725006pt;margin-top:1.344989pt;width:11.05pt;height:11.05pt;mso-position-horizontal-relative:page;mso-position-vertical-relative:paragraph;z-index:15746560" type="#_x0000_t202" id="docshape29" filled="false" stroked="false">
            <v:textbox inset="0,0,0,0">
              <w:txbxContent>
                <w:p>
                  <w:pPr>
                    <w:spacing w:line="220" w:lineRule="exact" w:before="0"/>
                    <w:ind w:left="62" w:right="0" w:firstLine="0"/>
                    <w:jc w:val="left"/>
                    <w:rPr>
                      <w:sz w:val="19"/>
                    </w:rPr>
                  </w:pPr>
                  <w:r>
                    <w:rPr>
                      <w:sz w:val="19"/>
                    </w:rPr>
                    <w:t>3</w:t>
                  </w:r>
                </w:p>
              </w:txbxContent>
            </v:textbox>
            <w10:wrap type="none"/>
          </v:shape>
        </w:pict>
      </w:r>
      <w:r>
        <w:rPr/>
        <w:drawing>
          <wp:anchor distT="0" distB="0" distL="0" distR="0" allowOverlap="1" layoutInCell="1" locked="0" behindDoc="0" simplePos="0" relativeHeight="15747072">
            <wp:simplePos x="0" y="0"/>
            <wp:positionH relativeFrom="page">
              <wp:posOffset>2485707</wp:posOffset>
            </wp:positionH>
            <wp:positionV relativeFrom="paragraph">
              <wp:posOffset>258381</wp:posOffset>
            </wp:positionV>
            <wp:extent cx="140335" cy="140334"/>
            <wp:effectExtent l="0" t="0" r="0" b="0"/>
            <wp:wrapNone/>
            <wp:docPr id="47" name="image7.png"/>
            <wp:cNvGraphicFramePr>
              <a:graphicFrameLocks noChangeAspect="1"/>
            </wp:cNvGraphicFramePr>
            <a:graphic>
              <a:graphicData uri="http://schemas.openxmlformats.org/drawingml/2006/picture">
                <pic:pic>
                  <pic:nvPicPr>
                    <pic:cNvPr id="48"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20.34499pt;width:11.05pt;height:11.05pt;mso-position-horizontal-relative:page;mso-position-vertical-relative:paragraph;z-index:15747584" type="#_x0000_t202" id="docshape30" filled="false" stroked="false">
            <v:textbox inset="0,0,0,0">
              <w:txbxContent>
                <w:p>
                  <w:pPr>
                    <w:spacing w:line="219" w:lineRule="exact" w:before="2"/>
                    <w:ind w:left="62" w:right="0" w:firstLine="0"/>
                    <w:jc w:val="left"/>
                    <w:rPr>
                      <w:sz w:val="19"/>
                    </w:rPr>
                  </w:pPr>
                  <w:r>
                    <w:rPr>
                      <w:sz w:val="19"/>
                    </w:rPr>
                    <w:t>4</w:t>
                  </w:r>
                </w:p>
              </w:txbxContent>
            </v:textbox>
            <w10:wrap type="none"/>
          </v:shape>
        </w:pict>
      </w:r>
      <w:r>
        <w:rPr>
          <w:spacing w:val="-2"/>
        </w:rPr>
        <w:t>分别两次血液培养证实有典型的病原体且与心内膜炎吻合；或持续血液培养证实有病原体阳性反应，且与心内膜炎吻合。</w:t>
      </w:r>
    </w:p>
    <w:p>
      <w:pPr>
        <w:pStyle w:val="ListParagraph"/>
        <w:numPr>
          <w:ilvl w:val="0"/>
          <w:numId w:val="55"/>
        </w:numPr>
        <w:tabs>
          <w:tab w:pos="607" w:val="left" w:leader="none"/>
        </w:tabs>
        <w:spacing w:line="324" w:lineRule="auto" w:before="0" w:after="0"/>
        <w:ind w:left="606" w:right="152" w:hanging="454"/>
        <w:jc w:val="left"/>
        <w:rPr>
          <w:sz w:val="22"/>
        </w:rPr>
      </w:pPr>
      <w:r>
        <w:rPr>
          <w:sz w:val="22"/>
        </w:rPr>
        <w:t>心内膜炎引起中度心瓣膜闭锁不全（</w:t>
      </w:r>
      <w:r>
        <w:rPr>
          <w:spacing w:val="-7"/>
          <w:sz w:val="22"/>
        </w:rPr>
        <w:t>指返流分数 </w:t>
      </w:r>
      <w:r>
        <w:rPr>
          <w:sz w:val="22"/>
        </w:rPr>
        <w:t>20%或以上）或中度心瓣膜狭窄（</w:t>
      </w:r>
      <w:r>
        <w:rPr>
          <w:spacing w:val="-3"/>
          <w:sz w:val="22"/>
        </w:rPr>
        <w:t>指心瓣膜开口范围小于或等于正常的 </w:t>
      </w:r>
      <w:r>
        <w:rPr>
          <w:sz w:val="22"/>
        </w:rPr>
        <w:t>30%）；及</w:t>
      </w:r>
    </w:p>
    <w:p>
      <w:pPr>
        <w:pStyle w:val="ListParagraph"/>
        <w:numPr>
          <w:ilvl w:val="0"/>
          <w:numId w:val="55"/>
        </w:numPr>
        <w:tabs>
          <w:tab w:pos="607" w:val="left" w:leader="none"/>
        </w:tabs>
        <w:spacing w:line="279" w:lineRule="exact" w:before="0" w:after="0"/>
        <w:ind w:left="606" w:right="0" w:hanging="455"/>
        <w:jc w:val="left"/>
        <w:rPr>
          <w:sz w:val="22"/>
        </w:rPr>
      </w:pPr>
      <w:r>
        <w:rPr>
          <w:spacing w:val="-3"/>
          <w:sz w:val="22"/>
        </w:rPr>
        <w:t>心内膜炎及心瓣膜病损须经心脏专科医生确诊。</w:t>
      </w:r>
    </w:p>
    <w:p>
      <w:pPr>
        <w:spacing w:after="0" w:line="279" w:lineRule="exact"/>
        <w:jc w:val="left"/>
        <w:rPr>
          <w:sz w:val="22"/>
        </w:rPr>
        <w:sectPr>
          <w:type w:val="continuous"/>
          <w:pgSz w:w="11910" w:h="16840"/>
          <w:pgMar w:header="484" w:footer="706" w:top="1240" w:bottom="900" w:left="980" w:right="980"/>
          <w:cols w:num="2" w:equalWidth="0">
            <w:col w:w="2277" w:space="51"/>
            <w:col w:w="7622"/>
          </w:cols>
        </w:sectPr>
      </w:pPr>
    </w:p>
    <w:p>
      <w:pPr>
        <w:pStyle w:val="BodyText"/>
        <w:spacing w:before="2"/>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2" w:after="0"/>
        <w:ind w:left="954" w:right="0" w:hanging="803"/>
        <w:jc w:val="left"/>
      </w:pPr>
      <w:r>
        <w:rPr>
          <w:spacing w:val="-4"/>
        </w:rPr>
        <w:t>败血症导致的</w:t>
      </w:r>
    </w:p>
    <w:p>
      <w:pPr>
        <w:spacing w:line="261" w:lineRule="auto" w:before="30"/>
        <w:ind w:left="954" w:right="0" w:firstLine="0"/>
        <w:jc w:val="left"/>
        <w:rPr>
          <w:rFonts w:ascii="华文中宋" w:eastAsia="华文中宋" w:hint="eastAsia"/>
          <w:b/>
          <w:sz w:val="22"/>
        </w:rPr>
      </w:pPr>
      <w:r>
        <w:rPr>
          <w:rFonts w:ascii="华文中宋" w:eastAsia="华文中宋" w:hint="eastAsia"/>
          <w:b/>
          <w:spacing w:val="-2"/>
          <w:sz w:val="22"/>
        </w:rPr>
        <w:t>多器官功能障</w:t>
      </w:r>
      <w:r>
        <w:rPr>
          <w:rFonts w:ascii="华文中宋" w:eastAsia="华文中宋" w:hint="eastAsia"/>
          <w:b/>
          <w:spacing w:val="-4"/>
          <w:sz w:val="22"/>
        </w:rPr>
        <w:t>碍综合症</w:t>
      </w:r>
    </w:p>
    <w:p>
      <w:pPr>
        <w:pStyle w:val="BodyText"/>
        <w:spacing w:line="324" w:lineRule="auto" w:before="102"/>
        <w:ind w:left="152" w:right="150"/>
        <w:jc w:val="both"/>
      </w:pPr>
      <w:r>
        <w:rPr/>
        <w:br w:type="column"/>
      </w:r>
      <w:r>
        <w:rPr>
          <w:spacing w:val="-2"/>
        </w:rPr>
        <w:t>指由我们认可医院的专科医生确诊为败血症，并由血液或骨髓检查证实致病菌，伴发一个或多个器官系统生理功能障碍，并因该疾病入住重症监护病房</w:t>
      </w:r>
      <w:r>
        <w:rPr>
          <w:spacing w:val="-9"/>
        </w:rPr>
        <w:t>至少 </w:t>
      </w:r>
      <w:r>
        <w:rPr/>
        <w:t>96</w:t>
      </w:r>
      <w:r>
        <w:rPr>
          <w:spacing w:val="-5"/>
        </w:rPr>
        <w:t> 小时，同时至少满足以下一条标准：</w:t>
      </w:r>
    </w:p>
    <w:p>
      <w:pPr>
        <w:pStyle w:val="ListParagraph"/>
        <w:numPr>
          <w:ilvl w:val="0"/>
          <w:numId w:val="56"/>
        </w:numPr>
        <w:tabs>
          <w:tab w:pos="607" w:val="left" w:leader="none"/>
        </w:tabs>
        <w:spacing w:line="280" w:lineRule="exact" w:before="0" w:after="0"/>
        <w:ind w:left="606" w:right="0" w:hanging="455"/>
        <w:jc w:val="left"/>
        <w:rPr>
          <w:sz w:val="22"/>
        </w:rPr>
      </w:pPr>
      <w:r>
        <w:rPr>
          <w:spacing w:val="-3"/>
          <w:sz w:val="22"/>
        </w:rPr>
        <w:t>呼吸衰竭，需要进行气管插管机械通气；</w:t>
      </w:r>
    </w:p>
    <w:p>
      <w:pPr>
        <w:pStyle w:val="ListParagraph"/>
        <w:numPr>
          <w:ilvl w:val="0"/>
          <w:numId w:val="56"/>
        </w:numPr>
        <w:tabs>
          <w:tab w:pos="607" w:val="left" w:leader="none"/>
        </w:tabs>
        <w:spacing w:line="240" w:lineRule="auto" w:before="98" w:after="0"/>
        <w:ind w:left="606" w:right="0" w:hanging="455"/>
        <w:jc w:val="left"/>
        <w:rPr>
          <w:sz w:val="22"/>
        </w:rPr>
      </w:pPr>
      <w:r>
        <w:rPr>
          <w:spacing w:val="-2"/>
          <w:sz w:val="22"/>
        </w:rPr>
        <w:t>凝血血小板计数＜50×10³</w:t>
      </w:r>
      <w:r>
        <w:rPr>
          <w:spacing w:val="-4"/>
          <w:sz w:val="22"/>
        </w:rPr>
        <w:t>/微升；</w:t>
      </w:r>
    </w:p>
    <w:p>
      <w:pPr>
        <w:pStyle w:val="ListParagraph"/>
        <w:numPr>
          <w:ilvl w:val="0"/>
          <w:numId w:val="56"/>
        </w:numPr>
        <w:tabs>
          <w:tab w:pos="607" w:val="left" w:leader="none"/>
        </w:tabs>
        <w:spacing w:line="240" w:lineRule="auto" w:before="90" w:after="0"/>
        <w:ind w:left="606" w:right="0" w:hanging="455"/>
        <w:jc w:val="left"/>
        <w:rPr>
          <w:sz w:val="22"/>
        </w:rPr>
      </w:pPr>
      <w:r>
        <w:rPr>
          <w:spacing w:val="-2"/>
          <w:sz w:val="22"/>
        </w:rPr>
        <w:t>肝功能不全，胆红素＞6mg/dl</w:t>
      </w:r>
      <w:r>
        <w:rPr>
          <w:spacing w:val="-18"/>
          <w:sz w:val="22"/>
        </w:rPr>
        <w:t> 或＞</w:t>
      </w:r>
      <w:r>
        <w:rPr>
          <w:spacing w:val="-2"/>
          <w:sz w:val="22"/>
        </w:rPr>
        <w:t>102</w:t>
      </w:r>
      <w:r>
        <w:rPr>
          <w:rFonts w:ascii="等线 Light" w:hAnsi="等线 Light" w:eastAsia="等线 Light"/>
          <w:b w:val="0"/>
          <w:spacing w:val="-2"/>
          <w:sz w:val="22"/>
        </w:rPr>
        <w:t>μ</w:t>
      </w:r>
      <w:r>
        <w:rPr>
          <w:spacing w:val="-2"/>
          <w:sz w:val="22"/>
        </w:rPr>
        <w:t>mol/L；</w:t>
      </w:r>
    </w:p>
    <w:p>
      <w:pPr>
        <w:pStyle w:val="ListParagraph"/>
        <w:numPr>
          <w:ilvl w:val="0"/>
          <w:numId w:val="56"/>
        </w:numPr>
        <w:tabs>
          <w:tab w:pos="607" w:val="left" w:leader="none"/>
        </w:tabs>
        <w:spacing w:line="240" w:lineRule="auto" w:before="57" w:after="0"/>
        <w:ind w:left="606" w:right="0" w:hanging="455"/>
        <w:jc w:val="left"/>
        <w:rPr>
          <w:sz w:val="22"/>
        </w:rPr>
      </w:pPr>
      <w:r>
        <w:rPr>
          <w:spacing w:val="-4"/>
          <w:sz w:val="22"/>
        </w:rPr>
        <w:t>已经使用强心剂；</w:t>
      </w:r>
    </w:p>
    <w:p>
      <w:pPr>
        <w:pStyle w:val="ListParagraph"/>
        <w:numPr>
          <w:ilvl w:val="0"/>
          <w:numId w:val="56"/>
        </w:numPr>
        <w:tabs>
          <w:tab w:pos="607" w:val="left" w:leader="none"/>
        </w:tabs>
        <w:spacing w:line="240" w:lineRule="auto" w:before="98" w:after="0"/>
        <w:ind w:left="606" w:right="0" w:hanging="455"/>
        <w:jc w:val="left"/>
        <w:rPr>
          <w:sz w:val="22"/>
        </w:rPr>
      </w:pPr>
      <w:r>
        <w:rPr>
          <w:spacing w:val="-2"/>
          <w:sz w:val="22"/>
        </w:rPr>
        <w:t>昏迷：格拉斯哥昏迷评分（GCS）≤9；</w:t>
      </w:r>
    </w:p>
    <w:p>
      <w:pPr>
        <w:pStyle w:val="ListParagraph"/>
        <w:numPr>
          <w:ilvl w:val="0"/>
          <w:numId w:val="56"/>
        </w:numPr>
        <w:tabs>
          <w:tab w:pos="607" w:val="left" w:leader="none"/>
        </w:tabs>
        <w:spacing w:line="280" w:lineRule="auto" w:before="90" w:after="0"/>
        <w:ind w:left="152" w:right="284" w:firstLine="0"/>
        <w:jc w:val="left"/>
        <w:rPr>
          <w:sz w:val="22"/>
        </w:rPr>
      </w:pPr>
      <w:r>
        <w:rPr>
          <w:sz w:val="22"/>
        </w:rPr>
        <w:t>肾功能衰竭，血清肌酐＞300</w:t>
      </w:r>
      <w:r>
        <w:rPr>
          <w:rFonts w:ascii="等线 Light" w:hAnsi="等线 Light" w:eastAsia="等线 Light"/>
          <w:b w:val="0"/>
          <w:sz w:val="22"/>
        </w:rPr>
        <w:t>μ</w:t>
      </w:r>
      <w:r>
        <w:rPr>
          <w:sz w:val="22"/>
        </w:rPr>
        <w:t>mol/L</w:t>
      </w:r>
      <w:r>
        <w:rPr>
          <w:spacing w:val="-20"/>
          <w:sz w:val="22"/>
        </w:rPr>
        <w:t> 或＞</w:t>
      </w:r>
      <w:r>
        <w:rPr>
          <w:sz w:val="22"/>
        </w:rPr>
        <w:t>3.5mg/dl</w:t>
      </w:r>
      <w:r>
        <w:rPr>
          <w:spacing w:val="-12"/>
          <w:sz w:val="22"/>
        </w:rPr>
        <w:t> 或尿量＜</w:t>
      </w:r>
      <w:r>
        <w:rPr>
          <w:sz w:val="22"/>
        </w:rPr>
        <w:t>500ml/d。</w:t>
      </w:r>
      <w:r>
        <w:rPr>
          <w:color w:val="000000"/>
          <w:spacing w:val="-2"/>
          <w:sz w:val="22"/>
          <w:shd w:fill="E4E4E4" w:color="auto" w:val="clear"/>
        </w:rPr>
        <w:t>非败血症引起的多器官功能障碍综合症不在保障范围内。</w:t>
      </w:r>
    </w:p>
    <w:p>
      <w:pPr>
        <w:spacing w:after="0" w:line="280"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7"/>
        <w:rPr>
          <w:sz w:val="25"/>
        </w:rPr>
      </w:pPr>
    </w:p>
    <w:p>
      <w:pPr>
        <w:spacing w:after="0"/>
        <w:rPr>
          <w:sz w:val="25"/>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5" w:after="0"/>
        <w:ind w:left="954" w:right="0" w:hanging="803"/>
        <w:jc w:val="left"/>
      </w:pPr>
      <w:r>
        <w:rPr>
          <w:spacing w:val="-4"/>
        </w:rPr>
        <w:t>因器官移植导</w:t>
      </w:r>
    </w:p>
    <w:p>
      <w:pPr>
        <w:spacing w:line="261" w:lineRule="auto" w:before="30"/>
        <w:ind w:left="954" w:right="0" w:firstLine="0"/>
        <w:jc w:val="left"/>
        <w:rPr>
          <w:rFonts w:ascii="华文中宋" w:eastAsia="华文中宋" w:hint="eastAsia"/>
          <w:b/>
          <w:sz w:val="22"/>
        </w:rPr>
      </w:pPr>
      <w:r>
        <w:rPr>
          <w:rFonts w:ascii="华文中宋" w:eastAsia="华文中宋" w:hint="eastAsia"/>
          <w:b/>
          <w:spacing w:val="-2"/>
          <w:sz w:val="22"/>
        </w:rPr>
        <w:t>致的艾滋病病</w:t>
      </w:r>
      <w:r>
        <w:rPr>
          <w:rFonts w:ascii="华文中宋" w:eastAsia="华文中宋" w:hint="eastAsia"/>
          <w:b/>
          <w:spacing w:val="-4"/>
          <w:sz w:val="22"/>
        </w:rPr>
        <w:t>毒感染</w:t>
      </w:r>
    </w:p>
    <w:p>
      <w:pPr>
        <w:pStyle w:val="BodyText"/>
        <w:spacing w:line="324" w:lineRule="auto" w:before="105"/>
        <w:ind w:left="152" w:right="152"/>
      </w:pPr>
      <w:r>
        <w:rPr/>
        <w:br w:type="column"/>
      </w:r>
      <w:r>
        <w:rPr>
          <w:spacing w:val="2"/>
          <w:w w:val="100"/>
        </w:rPr>
        <w:t>被保险人因接受器官移植感染上人类免疫缺陷病毒</w:t>
      </w:r>
      <w:r>
        <w:rPr>
          <w:spacing w:val="4"/>
          <w:w w:val="100"/>
        </w:rPr>
        <w:t>（</w:t>
      </w:r>
      <w:r>
        <w:rPr>
          <w:spacing w:val="-1"/>
          <w:w w:val="100"/>
        </w:rPr>
        <w:t>HI</w:t>
      </w:r>
      <w:r>
        <w:rPr>
          <w:spacing w:val="4"/>
          <w:w w:val="100"/>
        </w:rPr>
        <w:t>V</w:t>
      </w:r>
      <w:r>
        <w:rPr>
          <w:spacing w:val="2"/>
          <w:w w:val="100"/>
        </w:rPr>
        <w:t>）</w:t>
      </w:r>
      <w:r>
        <w:rPr>
          <w:color w:val="000000"/>
          <w:spacing w:val="2"/>
          <w:w w:val="100"/>
          <w:shd w:fill="E4E4E4" w:color="auto" w:val="clear"/>
        </w:rPr>
        <w:t>并且满足下列全</w:t>
      </w:r>
      <w:r>
        <w:rPr>
          <w:color w:val="000000"/>
          <w:spacing w:val="-2"/>
          <w:w w:val="100"/>
          <w:shd w:fill="E4E4E4" w:color="auto" w:val="clear"/>
        </w:rPr>
        <w:t>部条件：</w:t>
      </w:r>
    </w:p>
    <w:p>
      <w:pPr>
        <w:pStyle w:val="ListParagraph"/>
        <w:numPr>
          <w:ilvl w:val="0"/>
          <w:numId w:val="57"/>
        </w:numPr>
        <w:tabs>
          <w:tab w:pos="607" w:val="left" w:leader="none"/>
        </w:tabs>
        <w:spacing w:line="279" w:lineRule="exact" w:before="0" w:after="0"/>
        <w:ind w:left="606" w:right="0" w:hanging="455"/>
        <w:jc w:val="left"/>
        <w:rPr>
          <w:sz w:val="22"/>
        </w:rPr>
      </w:pPr>
      <w:r>
        <w:rPr>
          <w:spacing w:val="-2"/>
          <w:sz w:val="22"/>
        </w:rPr>
        <w:t>被保险人接受器官移植，并因此感染人类免疫缺陷病毒（HIV）；</w:t>
      </w:r>
    </w:p>
    <w:p>
      <w:pPr>
        <w:pStyle w:val="ListParagraph"/>
        <w:numPr>
          <w:ilvl w:val="0"/>
          <w:numId w:val="57"/>
        </w:numPr>
        <w:tabs>
          <w:tab w:pos="607" w:val="left" w:leader="none"/>
        </w:tabs>
        <w:spacing w:line="324" w:lineRule="auto" w:before="99" w:after="0"/>
        <w:ind w:left="606" w:right="152" w:hanging="454"/>
        <w:jc w:val="left"/>
        <w:rPr>
          <w:sz w:val="22"/>
        </w:rPr>
      </w:pPr>
      <w:r>
        <w:rPr>
          <w:spacing w:val="-2"/>
          <w:sz w:val="22"/>
        </w:rPr>
        <w:t>提供器官移植治疗的器官移植中心或医院出具该项器官移植感染，属于医疗责任事故的报告，或者法院终审裁定为医疗责任并且不准上诉；</w:t>
      </w:r>
    </w:p>
    <w:p>
      <w:pPr>
        <w:spacing w:after="0" w:line="324"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7"/>
        <w:rPr>
          <w:sz w:val="14"/>
        </w:rPr>
      </w:pPr>
    </w:p>
    <w:p>
      <w:pPr>
        <w:pStyle w:val="ListParagraph"/>
        <w:numPr>
          <w:ilvl w:val="0"/>
          <w:numId w:val="57"/>
        </w:numPr>
        <w:tabs>
          <w:tab w:pos="2935" w:val="left" w:leader="none"/>
        </w:tabs>
        <w:spacing w:line="240" w:lineRule="auto" w:before="70" w:after="0"/>
        <w:ind w:left="2934" w:right="0" w:hanging="455"/>
        <w:jc w:val="both"/>
        <w:rPr>
          <w:sz w:val="22"/>
        </w:rPr>
      </w:pPr>
      <w:r>
        <w:rPr>
          <w:spacing w:val="-3"/>
          <w:sz w:val="22"/>
        </w:rPr>
        <w:t>提供器官移植治疗的器官移植中心或医院必须拥有合法经营执照。</w:t>
      </w:r>
    </w:p>
    <w:p>
      <w:pPr>
        <w:pStyle w:val="BodyText"/>
        <w:spacing w:line="324" w:lineRule="auto" w:before="100"/>
        <w:ind w:left="2480" w:right="150"/>
        <w:jc w:val="both"/>
      </w:pPr>
      <w:r>
        <w:rPr>
          <w:color w:val="000000"/>
          <w:spacing w:val="-2"/>
          <w:shd w:fill="E4E4E4" w:color="auto" w:val="clear"/>
        </w:rPr>
        <w:t>在任何治愈艾滋病（AIDS）或阻止人类免疫缺陷病毒（HIV）作用的疗法被</w:t>
      </w:r>
      <w:r>
        <w:rPr>
          <w:color w:val="000000"/>
          <w:spacing w:val="40"/>
          <w:shd w:fill="E4E4E4" w:color="auto" w:val="clear"/>
        </w:rPr>
        <w:t> </w:t>
      </w:r>
      <w:r>
        <w:rPr>
          <w:color w:val="000000"/>
          <w:spacing w:val="-2"/>
          <w:shd w:fill="E4E4E4" w:color="auto" w:val="clear"/>
        </w:rPr>
        <w:t>发现以后，或能防止艾滋病（AIDS）发生的医疗方法被研究出来以后，则我们不再予以赔付。</w:t>
      </w:r>
    </w:p>
    <w:p>
      <w:pPr>
        <w:pStyle w:val="BodyText"/>
        <w:spacing w:line="324" w:lineRule="auto"/>
        <w:ind w:left="2480" w:right="152"/>
      </w:pPr>
      <w:r>
        <w:rPr>
          <w:color w:val="000000"/>
          <w:spacing w:val="-2"/>
          <w:shd w:fill="E4E4E4" w:color="auto" w:val="clear"/>
        </w:rPr>
        <w:t>任何因其他传播方式（包括：性传播或静脉注射毒品）导致的HIV感染不在</w:t>
      </w:r>
      <w:r>
        <w:rPr>
          <w:color w:val="000000"/>
          <w:spacing w:val="80"/>
          <w:w w:val="150"/>
          <w:shd w:fill="E4E4E4" w:color="auto" w:val="clear"/>
        </w:rPr>
        <w:t>                                       </w:t>
      </w:r>
      <w:r>
        <w:rPr>
          <w:color w:val="000000"/>
          <w:spacing w:val="-2"/>
          <w:shd w:fill="E4E4E4" w:color="auto" w:val="clear"/>
        </w:rPr>
        <w:t>保障范围内。</w:t>
      </w:r>
    </w:p>
    <w:p>
      <w:pPr>
        <w:pStyle w:val="BodyText"/>
        <w:spacing w:before="3"/>
        <w:rPr>
          <w:sz w:val="21"/>
        </w:rPr>
      </w:pPr>
    </w:p>
    <w:p>
      <w:pPr>
        <w:spacing w:after="0"/>
        <w:rPr>
          <w:sz w:val="21"/>
        </w:rPr>
        <w:sectPr>
          <w:pgSz w:w="11910" w:h="16840"/>
          <w:pgMar w:header="484" w:footer="706" w:top="1240" w:bottom="900" w:left="980" w:right="980"/>
        </w:sectPr>
      </w:pPr>
    </w:p>
    <w:p>
      <w:pPr>
        <w:pStyle w:val="Heading2"/>
        <w:numPr>
          <w:ilvl w:val="1"/>
          <w:numId w:val="28"/>
        </w:numPr>
        <w:tabs>
          <w:tab w:pos="955" w:val="left" w:leader="none"/>
        </w:tabs>
        <w:spacing w:line="261" w:lineRule="auto" w:before="75" w:after="0"/>
        <w:ind w:left="954" w:right="0" w:hanging="802"/>
        <w:jc w:val="left"/>
      </w:pPr>
      <w:r>
        <w:rPr>
          <w:spacing w:val="-2"/>
        </w:rPr>
        <w:t>严重肺淋巴管</w:t>
      </w:r>
      <w:r>
        <w:rPr>
          <w:spacing w:val="-4"/>
        </w:rPr>
        <w:t>肌瘤病</w:t>
      </w:r>
    </w:p>
    <w:p>
      <w:pPr>
        <w:pStyle w:val="BodyText"/>
        <w:spacing w:line="324" w:lineRule="auto" w:before="105"/>
        <w:ind w:left="152" w:right="150"/>
      </w:pPr>
      <w:r>
        <w:rPr/>
        <w:br w:type="column"/>
      </w:r>
      <w:r>
        <w:rPr>
          <w:spacing w:val="-2"/>
        </w:rPr>
        <w:t>肺淋巴管肌瘤病是一种弥漫性肺部疾病，主要病理改变为肺间质、支气管、血管和淋巴管内出现未成熟的平滑肌异常增生，</w:t>
      </w:r>
      <w:r>
        <w:rPr>
          <w:color w:val="000000"/>
          <w:spacing w:val="-2"/>
          <w:shd w:fill="E4E4E4" w:color="auto" w:val="clear"/>
        </w:rPr>
        <w:t>同时需满足下列全部条件：</w:t>
      </w:r>
    </w:p>
    <w:p>
      <w:pPr>
        <w:pStyle w:val="ListParagraph"/>
        <w:numPr>
          <w:ilvl w:val="0"/>
          <w:numId w:val="58"/>
        </w:numPr>
        <w:tabs>
          <w:tab w:pos="607" w:val="left" w:leader="none"/>
        </w:tabs>
        <w:spacing w:line="279" w:lineRule="exact" w:before="0" w:after="0"/>
        <w:ind w:left="606" w:right="0" w:hanging="455"/>
        <w:jc w:val="left"/>
        <w:rPr>
          <w:sz w:val="22"/>
        </w:rPr>
      </w:pPr>
      <w:r>
        <w:rPr>
          <w:spacing w:val="-3"/>
          <w:sz w:val="22"/>
        </w:rPr>
        <w:t>经组织病理学诊断；</w:t>
      </w:r>
    </w:p>
    <w:p>
      <w:pPr>
        <w:pStyle w:val="ListParagraph"/>
        <w:numPr>
          <w:ilvl w:val="0"/>
          <w:numId w:val="58"/>
        </w:numPr>
        <w:tabs>
          <w:tab w:pos="607" w:val="left" w:leader="none"/>
        </w:tabs>
        <w:spacing w:line="240" w:lineRule="auto" w:before="100" w:after="0"/>
        <w:ind w:left="606" w:right="0" w:hanging="455"/>
        <w:jc w:val="left"/>
        <w:rPr>
          <w:sz w:val="22"/>
        </w:rPr>
      </w:pPr>
      <w:r>
        <w:rPr>
          <w:spacing w:val="-2"/>
          <w:sz w:val="22"/>
        </w:rPr>
        <w:t>CT</w:t>
      </w:r>
      <w:r>
        <w:rPr>
          <w:spacing w:val="-3"/>
          <w:sz w:val="22"/>
        </w:rPr>
        <w:t>显示双肺弥漫性囊性改变；</w:t>
      </w:r>
    </w:p>
    <w:p>
      <w:pPr>
        <w:pStyle w:val="ListParagraph"/>
        <w:numPr>
          <w:ilvl w:val="0"/>
          <w:numId w:val="58"/>
        </w:numPr>
        <w:tabs>
          <w:tab w:pos="607" w:val="left" w:leader="none"/>
        </w:tabs>
        <w:spacing w:line="324" w:lineRule="auto" w:before="97" w:after="0"/>
        <w:ind w:left="606" w:right="152" w:hanging="454"/>
        <w:jc w:val="left"/>
        <w:rPr>
          <w:sz w:val="22"/>
        </w:rPr>
      </w:pPr>
      <w:r>
        <w:rPr>
          <w:spacing w:val="-2"/>
          <w:sz w:val="22"/>
        </w:rPr>
        <w:t>休息时出现呼吸困难并经我们认可医院的专科医生认可有必要进行肺移</w:t>
      </w:r>
      <w:r>
        <w:rPr>
          <w:spacing w:val="-4"/>
          <w:sz w:val="22"/>
        </w:rPr>
        <w:t>植手术。</w:t>
      </w:r>
    </w:p>
    <w:p>
      <w:pPr>
        <w:spacing w:after="0" w:line="324"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8"/>
        <w:rPr>
          <w:sz w:val="21"/>
        </w:rPr>
      </w:pPr>
    </w:p>
    <w:p>
      <w:pPr>
        <w:spacing w:after="0"/>
        <w:rPr>
          <w:sz w:val="21"/>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2" w:after="0"/>
        <w:ind w:left="954" w:right="0" w:hanging="803"/>
        <w:jc w:val="left"/>
      </w:pPr>
      <w:r>
        <w:rPr>
          <w:spacing w:val="-4"/>
        </w:rPr>
        <w:t>严重原发性骨</w:t>
      </w:r>
    </w:p>
    <w:p>
      <w:pPr>
        <w:spacing w:before="30"/>
        <w:ind w:left="954" w:right="0" w:firstLine="0"/>
        <w:jc w:val="left"/>
        <w:rPr>
          <w:rFonts w:ascii="华文中宋" w:eastAsia="华文中宋" w:hint="eastAsia"/>
          <w:b/>
          <w:sz w:val="22"/>
        </w:rPr>
      </w:pPr>
      <w:r>
        <w:rPr>
          <w:rFonts w:ascii="华文中宋" w:eastAsia="华文中宋" w:hint="eastAsia"/>
          <w:b/>
          <w:spacing w:val="-5"/>
          <w:sz w:val="22"/>
        </w:rPr>
        <w:t>髓纤维化</w:t>
      </w:r>
    </w:p>
    <w:p>
      <w:pPr>
        <w:pStyle w:val="BodyText"/>
        <w:spacing w:line="324" w:lineRule="auto" w:before="102"/>
        <w:ind w:left="152" w:right="150"/>
        <w:jc w:val="both"/>
      </w:pPr>
      <w:r>
        <w:rPr/>
        <w:br w:type="column"/>
      </w:r>
      <w:r>
        <w:rPr>
          <w:spacing w:val="-1"/>
          <w:w w:val="100"/>
        </w:rPr>
        <w:t>原发性骨髓纤维化为原因不明的骨髓中成纤维细胞增殖，伴有髓外造血，表现为进行性贫血、脾肿大等症状。本疾病须根据骨髓的活组织检查和周围血象检查由我们认可的医院血液科专科医生明确诊断，</w:t>
      </w:r>
      <w:r>
        <w:rPr>
          <w:color w:val="000000"/>
          <w:spacing w:val="-1"/>
          <w:w w:val="100"/>
          <w:shd w:fill="E4E4E4" w:color="auto" w:val="clear"/>
        </w:rPr>
        <w:t>并至少符合下列条件中</w:t>
      </w:r>
      <w:r>
        <w:rPr>
          <w:color w:val="000000"/>
          <w:spacing w:val="-1"/>
          <w:w w:val="100"/>
          <w:shd w:fill="E4E4E4" w:color="auto" w:val="clear"/>
        </w:rPr>
        <w:t>                                                                                                                                  </w:t>
      </w:r>
      <w:r>
        <w:rPr>
          <w:color w:val="000000"/>
          <w:spacing w:val="2"/>
          <w:w w:val="100"/>
          <w:shd w:fill="E4E4E4" w:color="auto" w:val="clear"/>
        </w:rPr>
        <w:t>的三项，且符合条件的状态持续</w:t>
      </w:r>
      <w:r>
        <w:rPr>
          <w:color w:val="000000"/>
          <w:spacing w:val="-1"/>
          <w:w w:val="100"/>
          <w:shd w:fill="E4E4E4" w:color="auto" w:val="clear"/>
        </w:rPr>
        <w:t>18</w:t>
      </w:r>
      <w:r>
        <w:rPr>
          <w:color w:val="000000"/>
          <w:spacing w:val="4"/>
          <w:w w:val="100"/>
          <w:shd w:fill="E4E4E4" w:color="auto" w:val="clear"/>
        </w:rPr>
        <w:t>0</w:t>
      </w:r>
      <w:r>
        <w:rPr>
          <w:color w:val="000000"/>
          <w:spacing w:val="1"/>
          <w:w w:val="100"/>
          <w:shd w:fill="E4E4E4" w:color="auto" w:val="clear"/>
        </w:rPr>
        <w:t>天及以上，并已经实际实施了针对此症</w:t>
      </w:r>
      <w:r>
        <w:rPr>
          <w:color w:val="000000"/>
          <w:spacing w:val="-2"/>
          <w:w w:val="100"/>
          <w:shd w:fill="E4E4E4" w:color="auto" w:val="clear"/>
        </w:rPr>
        <w:t>的治疗：</w:t>
      </w:r>
    </w:p>
    <w:p>
      <w:pPr>
        <w:pStyle w:val="BodyText"/>
        <w:spacing w:line="280" w:lineRule="exact"/>
        <w:ind w:left="152"/>
      </w:pPr>
      <w:r>
        <w:rPr/>
        <w:t>(1</w:t>
      </w:r>
      <w:r>
        <w:rPr>
          <w:spacing w:val="-1"/>
        </w:rPr>
        <w:t>) 血红蛋白＜</w:t>
      </w:r>
      <w:r>
        <w:rPr>
          <w:spacing w:val="-2"/>
        </w:rPr>
        <w:t>100g/L；</w:t>
      </w:r>
    </w:p>
    <w:p>
      <w:pPr>
        <w:pStyle w:val="BodyText"/>
        <w:spacing w:before="98"/>
        <w:ind w:left="152"/>
      </w:pPr>
      <w:r>
        <w:rPr/>
        <w:t>(2</w:t>
      </w:r>
      <w:r>
        <w:rPr>
          <w:spacing w:val="-1"/>
        </w:rPr>
        <w:t>) 白细胞计数＞</w:t>
      </w:r>
      <w:r>
        <w:rPr>
          <w:spacing w:val="-2"/>
        </w:rPr>
        <w:t>25×10</w:t>
      </w:r>
      <w:r>
        <w:rPr>
          <w:spacing w:val="-2"/>
          <w:position w:val="11"/>
          <w:sz w:val="11"/>
        </w:rPr>
        <w:t>9</w:t>
      </w:r>
      <w:r>
        <w:rPr>
          <w:spacing w:val="-2"/>
        </w:rPr>
        <w:t>/L；</w:t>
      </w:r>
    </w:p>
    <w:p>
      <w:pPr>
        <w:pStyle w:val="BodyText"/>
        <w:spacing w:before="97"/>
        <w:ind w:left="152"/>
      </w:pPr>
      <w:r>
        <w:rPr/>
        <w:t>(3</w:t>
      </w:r>
      <w:r>
        <w:rPr>
          <w:spacing w:val="-3"/>
        </w:rPr>
        <w:t>) 外周血原始细胞≥</w:t>
      </w:r>
      <w:r>
        <w:rPr>
          <w:spacing w:val="-4"/>
        </w:rPr>
        <w:t>1%；</w:t>
      </w:r>
    </w:p>
    <w:p>
      <w:pPr>
        <w:pStyle w:val="BodyText"/>
        <w:spacing w:before="100"/>
        <w:ind w:left="152"/>
      </w:pPr>
      <w:r>
        <w:rPr/>
        <w:t>(4</w:t>
      </w:r>
      <w:r>
        <w:rPr>
          <w:spacing w:val="-3"/>
        </w:rPr>
        <w:t>) 血小板计数＜</w:t>
      </w:r>
      <w:r>
        <w:rPr/>
        <w:t>100×10</w:t>
      </w:r>
      <w:r>
        <w:rPr>
          <w:position w:val="11"/>
          <w:sz w:val="11"/>
        </w:rPr>
        <w:t>9</w:t>
      </w:r>
      <w:r>
        <w:rPr/>
        <w:t>/L</w:t>
      </w:r>
      <w:r>
        <w:rPr>
          <w:spacing w:val="-10"/>
        </w:rPr>
        <w:t>。</w:t>
      </w:r>
    </w:p>
    <w:p>
      <w:pPr>
        <w:pStyle w:val="BodyText"/>
        <w:spacing w:before="97"/>
        <w:ind w:left="152"/>
      </w:pPr>
      <w:r>
        <w:rPr>
          <w:color w:val="000000"/>
          <w:spacing w:val="-3"/>
          <w:shd w:fill="E4E4E4" w:color="auto" w:val="clear"/>
        </w:rPr>
        <w:t>任何其它病因导致的继发性骨髓纤维化不在保障范围内。</w:t>
      </w:r>
    </w:p>
    <w:p>
      <w:pPr>
        <w:spacing w:after="0"/>
        <w:sectPr>
          <w:type w:val="continuous"/>
          <w:pgSz w:w="11910" w:h="16840"/>
          <w:pgMar w:header="484" w:footer="706" w:top="1240" w:bottom="900" w:left="980" w:right="980"/>
          <w:cols w:num="2" w:equalWidth="0">
            <w:col w:w="2277" w:space="51"/>
            <w:col w:w="7622"/>
          </w:cols>
        </w:sectPr>
      </w:pPr>
    </w:p>
    <w:p>
      <w:pPr>
        <w:pStyle w:val="BodyText"/>
        <w:spacing w:before="2"/>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5" w:after="0"/>
        <w:ind w:left="954" w:right="0" w:hanging="803"/>
        <w:jc w:val="left"/>
      </w:pPr>
      <w:r>
        <w:rPr>
          <w:spacing w:val="-4"/>
        </w:rPr>
        <w:t>严重骨髓增生</w:t>
      </w:r>
    </w:p>
    <w:p>
      <w:pPr>
        <w:spacing w:before="30"/>
        <w:ind w:left="954" w:right="0" w:firstLine="0"/>
        <w:jc w:val="left"/>
        <w:rPr>
          <w:rFonts w:ascii="华文中宋" w:eastAsia="华文中宋" w:hint="eastAsia"/>
          <w:b/>
          <w:sz w:val="22"/>
        </w:rPr>
      </w:pPr>
      <w:r>
        <w:rPr>
          <w:rFonts w:ascii="华文中宋" w:eastAsia="华文中宋" w:hint="eastAsia"/>
          <w:b/>
          <w:spacing w:val="-4"/>
          <w:sz w:val="22"/>
        </w:rPr>
        <w:t>异常综合征</w:t>
      </w:r>
    </w:p>
    <w:p>
      <w:pPr>
        <w:pStyle w:val="BodyText"/>
        <w:spacing w:line="324" w:lineRule="auto" w:before="105"/>
        <w:ind w:left="152" w:right="150"/>
        <w:jc w:val="both"/>
      </w:pPr>
      <w:r>
        <w:rPr/>
        <w:br w:type="column"/>
      </w:r>
      <w:r>
        <w:rPr/>
        <w:t>严重骨髓增生异常综合征（Myelodysplastic Syndromes，MDS）是起源于造</w:t>
      </w:r>
      <w:r>
        <w:rPr>
          <w:spacing w:val="-2"/>
        </w:rPr>
        <w:t>血干细胞的一组异质性髓系克隆性疾病，特点是髓系细胞发育异常，表现为无效造血、难治性血细胞减少，所指的严重骨髓异常增生综合征需由我们认可医院的骨髓检查支持诊断，并由血液科专科医生确诊，同时须满足下列条</w:t>
      </w:r>
      <w:r>
        <w:rPr>
          <w:spacing w:val="-4"/>
        </w:rPr>
        <w:t>件之一：</w:t>
      </w:r>
    </w:p>
    <w:p>
      <w:pPr>
        <w:pStyle w:val="ListParagraph"/>
        <w:numPr>
          <w:ilvl w:val="0"/>
          <w:numId w:val="59"/>
        </w:numPr>
        <w:tabs>
          <w:tab w:pos="607" w:val="left" w:leader="none"/>
        </w:tabs>
        <w:spacing w:line="278" w:lineRule="exact" w:before="0" w:after="0"/>
        <w:ind w:left="606" w:right="0" w:hanging="455"/>
        <w:jc w:val="both"/>
        <w:rPr>
          <w:sz w:val="22"/>
        </w:rPr>
      </w:pPr>
      <w:r>
        <w:rPr>
          <w:spacing w:val="-2"/>
          <w:sz w:val="22"/>
        </w:rPr>
        <w:t>已接受至少累计30</w:t>
      </w:r>
      <w:r>
        <w:rPr>
          <w:spacing w:val="-3"/>
          <w:sz w:val="22"/>
        </w:rPr>
        <w:t>日的化疗或已接受骨髓移植治疗；</w:t>
      </w:r>
    </w:p>
    <w:p>
      <w:pPr>
        <w:pStyle w:val="ListParagraph"/>
        <w:numPr>
          <w:ilvl w:val="0"/>
          <w:numId w:val="59"/>
        </w:numPr>
        <w:tabs>
          <w:tab w:pos="607" w:val="left" w:leader="none"/>
        </w:tabs>
        <w:spacing w:line="324" w:lineRule="auto" w:before="100" w:after="0"/>
        <w:ind w:left="606" w:right="152" w:hanging="454"/>
        <w:jc w:val="both"/>
        <w:rPr>
          <w:sz w:val="22"/>
        </w:rPr>
      </w:pPr>
      <w:r>
        <w:rPr>
          <w:spacing w:val="-2"/>
          <w:sz w:val="22"/>
        </w:rPr>
        <w:t>根据“骨髓增生异常综合征修订国际预后积分系统（IPSS-R）”积分≥ 3，属于中危及以上组。</w:t>
      </w:r>
    </w:p>
    <w:p>
      <w:pPr>
        <w:pStyle w:val="BodyText"/>
        <w:spacing w:line="324" w:lineRule="auto"/>
        <w:ind w:left="152" w:right="1081"/>
      </w:pPr>
      <w:r>
        <w:rPr>
          <w:color w:val="000000"/>
          <w:spacing w:val="-2"/>
          <w:shd w:fill="E4E4E4" w:color="auto" w:val="clear"/>
        </w:rPr>
        <w:t>化疗日数的计算以被保险人实际服用、注射化疗药物的天数为准。</w:t>
      </w:r>
      <w:r>
        <w:rPr>
          <w:color w:val="000000"/>
          <w:spacing w:val="80"/>
          <w:w w:val="150"/>
          <w:shd w:fill="E4E4E4" w:color="auto" w:val="clear"/>
        </w:rPr>
        <w:t>                                 </w:t>
      </w:r>
      <w:r>
        <w:rPr>
          <w:color w:val="000000"/>
          <w:spacing w:val="-2"/>
          <w:shd w:fill="E4E4E4" w:color="auto" w:val="clear"/>
        </w:rPr>
        <w:t>疑似病例不在保障范围之内。</w:t>
      </w:r>
    </w:p>
    <w:p>
      <w:pPr>
        <w:spacing w:after="0" w:line="324" w:lineRule="auto"/>
        <w:sectPr>
          <w:type w:val="continuous"/>
          <w:pgSz w:w="11910" w:h="16840"/>
          <w:pgMar w:header="484" w:footer="706" w:top="1240" w:bottom="900" w:left="980" w:right="980"/>
          <w:cols w:num="2" w:equalWidth="0">
            <w:col w:w="2277" w:space="51"/>
            <w:col w:w="7622"/>
          </w:cols>
        </w:sectPr>
      </w:pPr>
    </w:p>
    <w:p>
      <w:pPr>
        <w:pStyle w:val="BodyText"/>
        <w:rPr>
          <w:sz w:val="12"/>
        </w:rPr>
      </w:pPr>
    </w:p>
    <w:p>
      <w:pPr>
        <w:spacing w:after="0"/>
        <w:rPr>
          <w:sz w:val="12"/>
        </w:rPr>
        <w:sectPr>
          <w:pgSz w:w="11910" w:h="16840"/>
          <w:pgMar w:header="484" w:footer="706" w:top="1240" w:bottom="900" w:left="980" w:right="980"/>
        </w:sectPr>
      </w:pPr>
    </w:p>
    <w:p>
      <w:pPr>
        <w:pStyle w:val="Heading2"/>
        <w:numPr>
          <w:ilvl w:val="1"/>
          <w:numId w:val="28"/>
        </w:numPr>
        <w:tabs>
          <w:tab w:pos="955" w:val="left" w:leader="none"/>
        </w:tabs>
        <w:spacing w:line="240" w:lineRule="auto" w:before="73" w:after="0"/>
        <w:ind w:left="954" w:right="0" w:hanging="803"/>
        <w:jc w:val="left"/>
      </w:pPr>
      <w:r>
        <w:rPr>
          <w:spacing w:val="-4"/>
        </w:rPr>
        <w:t>埃博拉病毒感</w:t>
      </w:r>
    </w:p>
    <w:p>
      <w:pPr>
        <w:pStyle w:val="BodyText"/>
        <w:spacing w:before="103"/>
        <w:ind w:left="152"/>
      </w:pPr>
      <w:r>
        <w:rPr/>
        <w:br w:type="column"/>
      </w:r>
      <w:r>
        <w:rPr>
          <w:spacing w:val="-2"/>
        </w:rPr>
        <w:t>指埃博拉病毒感染导致的急性出血性传染病。</w:t>
      </w:r>
      <w:r>
        <w:rPr>
          <w:color w:val="000000"/>
          <w:spacing w:val="-3"/>
          <w:shd w:fill="E4E4E4" w:color="auto" w:val="clear"/>
        </w:rPr>
        <w:t>必须满足下列全部条件：</w:t>
      </w:r>
    </w:p>
    <w:p>
      <w:pPr>
        <w:spacing w:after="0"/>
        <w:sectPr>
          <w:type w:val="continuous"/>
          <w:pgSz w:w="11910" w:h="16840"/>
          <w:pgMar w:header="484" w:footer="706" w:top="1240" w:bottom="900" w:left="980" w:right="980"/>
          <w:cols w:num="2" w:equalWidth="0">
            <w:col w:w="2277" w:space="51"/>
            <w:col w:w="7622"/>
          </w:cols>
        </w:sectPr>
      </w:pPr>
    </w:p>
    <w:p>
      <w:pPr>
        <w:pStyle w:val="BodyText"/>
        <w:spacing w:before="6"/>
        <w:rPr>
          <w:sz w:val="4"/>
        </w:rPr>
      </w:pPr>
    </w:p>
    <w:tbl>
      <w:tblPr>
        <w:tblW w:w="0" w:type="auto"/>
        <w:jc w:val="left"/>
        <w:tblInd w:w="9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24"/>
        <w:gridCol w:w="1045"/>
        <w:gridCol w:w="6968"/>
      </w:tblGrid>
      <w:tr>
        <w:trPr>
          <w:trHeight w:val="353" w:hRule="atLeast"/>
        </w:trPr>
        <w:tc>
          <w:tcPr>
            <w:tcW w:w="924" w:type="dxa"/>
          </w:tcPr>
          <w:p>
            <w:pPr>
              <w:pStyle w:val="TableParagraph"/>
              <w:spacing w:line="322" w:lineRule="exact"/>
              <w:ind w:left="50"/>
              <w:rPr>
                <w:rFonts w:ascii="华文中宋" w:eastAsia="华文中宋" w:hint="eastAsia"/>
                <w:b/>
                <w:sz w:val="22"/>
              </w:rPr>
            </w:pPr>
            <w:r>
              <w:rPr>
                <w:rFonts w:ascii="华文中宋" w:eastAsia="华文中宋" w:hint="eastAsia"/>
                <w:b/>
                <w:w w:val="100"/>
                <w:sz w:val="22"/>
              </w:rPr>
              <w:t>染</w:t>
            </w:r>
          </w:p>
        </w:tc>
        <w:tc>
          <w:tcPr>
            <w:tcW w:w="1045" w:type="dxa"/>
          </w:tcPr>
          <w:p>
            <w:pPr>
              <w:pStyle w:val="TableParagraph"/>
              <w:spacing w:before="5"/>
              <w:ind w:right="59"/>
              <w:jc w:val="right"/>
              <w:rPr>
                <w:sz w:val="22"/>
              </w:rPr>
            </w:pPr>
            <w:r>
              <w:rPr>
                <w:spacing w:val="-5"/>
                <w:sz w:val="22"/>
              </w:rPr>
              <w:t>(1)</w:t>
            </w:r>
          </w:p>
        </w:tc>
        <w:tc>
          <w:tcPr>
            <w:tcW w:w="6968" w:type="dxa"/>
          </w:tcPr>
          <w:p>
            <w:pPr>
              <w:pStyle w:val="TableParagraph"/>
              <w:spacing w:before="5"/>
              <w:ind w:left="60"/>
              <w:rPr>
                <w:sz w:val="22"/>
              </w:rPr>
            </w:pPr>
            <w:r>
              <w:rPr>
                <w:spacing w:val="-3"/>
                <w:sz w:val="22"/>
              </w:rPr>
              <w:t>有实验室检查证据证实存在埃博拉病毒感染，经国家认可的有合法资质</w:t>
            </w:r>
          </w:p>
        </w:tc>
      </w:tr>
      <w:tr>
        <w:trPr>
          <w:trHeight w:val="741" w:hRule="atLeast"/>
        </w:trPr>
        <w:tc>
          <w:tcPr>
            <w:tcW w:w="924" w:type="dxa"/>
          </w:tcPr>
          <w:p>
            <w:pPr>
              <w:pStyle w:val="TableParagraph"/>
              <w:rPr>
                <w:rFonts w:ascii="Times New Roman"/>
                <w:sz w:val="22"/>
              </w:rPr>
            </w:pPr>
          </w:p>
        </w:tc>
        <w:tc>
          <w:tcPr>
            <w:tcW w:w="1045" w:type="dxa"/>
          </w:tcPr>
          <w:p>
            <w:pPr>
              <w:pStyle w:val="TableParagraph"/>
              <w:spacing w:before="12"/>
              <w:rPr>
                <w:sz w:val="31"/>
              </w:rPr>
            </w:pPr>
          </w:p>
          <w:p>
            <w:pPr>
              <w:pStyle w:val="TableParagraph"/>
              <w:ind w:right="59"/>
              <w:jc w:val="right"/>
              <w:rPr>
                <w:sz w:val="22"/>
              </w:rPr>
            </w:pPr>
            <w:r>
              <w:rPr>
                <w:spacing w:val="-5"/>
                <w:sz w:val="22"/>
              </w:rPr>
              <w:t>(2)</w:t>
            </w:r>
          </w:p>
        </w:tc>
        <w:tc>
          <w:tcPr>
            <w:tcW w:w="6968" w:type="dxa"/>
          </w:tcPr>
          <w:p>
            <w:pPr>
              <w:pStyle w:val="TableParagraph"/>
              <w:spacing w:before="30"/>
              <w:ind w:left="60"/>
              <w:rPr>
                <w:sz w:val="22"/>
              </w:rPr>
            </w:pPr>
            <w:r>
              <w:rPr>
                <w:spacing w:val="-3"/>
                <w:sz w:val="22"/>
              </w:rPr>
              <w:t>的传染病专家确诊、并上报国家疾病控制中心接受了隔离和治疗；</w:t>
            </w:r>
          </w:p>
          <w:p>
            <w:pPr>
              <w:pStyle w:val="TableParagraph"/>
              <w:spacing w:before="98"/>
              <w:ind w:left="60"/>
              <w:rPr>
                <w:sz w:val="22"/>
              </w:rPr>
            </w:pPr>
            <w:r>
              <w:rPr>
                <w:spacing w:val="-3"/>
                <w:sz w:val="22"/>
              </w:rPr>
              <w:t>存在广泛出血的临床表现；</w:t>
            </w:r>
          </w:p>
        </w:tc>
      </w:tr>
      <w:tr>
        <w:trPr>
          <w:trHeight w:val="301" w:hRule="atLeast"/>
        </w:trPr>
        <w:tc>
          <w:tcPr>
            <w:tcW w:w="924" w:type="dxa"/>
          </w:tcPr>
          <w:p>
            <w:pPr>
              <w:pStyle w:val="TableParagraph"/>
              <w:rPr>
                <w:rFonts w:ascii="Times New Roman"/>
                <w:sz w:val="22"/>
              </w:rPr>
            </w:pPr>
          </w:p>
        </w:tc>
        <w:tc>
          <w:tcPr>
            <w:tcW w:w="1045" w:type="dxa"/>
          </w:tcPr>
          <w:p>
            <w:pPr>
              <w:pStyle w:val="TableParagraph"/>
              <w:spacing w:line="231" w:lineRule="exact" w:before="50"/>
              <w:ind w:right="59"/>
              <w:jc w:val="right"/>
              <w:rPr>
                <w:sz w:val="22"/>
              </w:rPr>
            </w:pPr>
            <w:r>
              <w:rPr>
                <w:spacing w:val="-5"/>
                <w:sz w:val="22"/>
              </w:rPr>
              <w:t>(3)</w:t>
            </w:r>
          </w:p>
        </w:tc>
        <w:tc>
          <w:tcPr>
            <w:tcW w:w="6968" w:type="dxa"/>
          </w:tcPr>
          <w:p>
            <w:pPr>
              <w:pStyle w:val="TableParagraph"/>
              <w:spacing w:line="231" w:lineRule="exact" w:before="50"/>
              <w:ind w:left="60"/>
              <w:rPr>
                <w:sz w:val="22"/>
              </w:rPr>
            </w:pPr>
            <w:r>
              <w:rPr>
                <w:spacing w:val="-2"/>
                <w:sz w:val="22"/>
              </w:rPr>
              <w:t>病程持续30</w:t>
            </w:r>
            <w:r>
              <w:rPr>
                <w:spacing w:val="-4"/>
                <w:sz w:val="22"/>
              </w:rPr>
              <w:t>天以上。</w:t>
            </w:r>
          </w:p>
        </w:tc>
      </w:tr>
    </w:tbl>
    <w:p>
      <w:pPr>
        <w:pStyle w:val="BodyText"/>
        <w:spacing w:line="324" w:lineRule="auto" w:before="129"/>
        <w:ind w:left="2480" w:right="150"/>
      </w:pPr>
      <w:r>
        <w:rPr>
          <w:color w:val="000000"/>
          <w:spacing w:val="-2"/>
          <w:shd w:fill="E4E4E4" w:color="auto" w:val="clear"/>
        </w:rPr>
        <w:t>单纯实验室诊断但没有临床出血表现的或者在确诊之前已经死亡的不在保障</w:t>
      </w:r>
      <w:r>
        <w:rPr>
          <w:color w:val="000000"/>
          <w:spacing w:val="-4"/>
          <w:shd w:fill="E4E4E4" w:color="auto" w:val="clear"/>
        </w:rPr>
        <w:t>范围内。</w:t>
      </w:r>
    </w:p>
    <w:p>
      <w:pPr>
        <w:pStyle w:val="BodyText"/>
        <w:spacing w:before="3"/>
        <w:rPr>
          <w:sz w:val="27"/>
        </w:rPr>
      </w:pPr>
    </w:p>
    <w:p>
      <w:pPr>
        <w:pStyle w:val="ListParagraph"/>
        <w:numPr>
          <w:ilvl w:val="1"/>
          <w:numId w:val="28"/>
        </w:numPr>
        <w:tabs>
          <w:tab w:pos="955" w:val="left" w:leader="none"/>
        </w:tabs>
        <w:spacing w:line="302" w:lineRule="auto" w:before="0" w:after="0"/>
        <w:ind w:left="2480" w:right="150" w:hanging="2328"/>
        <w:jc w:val="both"/>
        <w:rPr>
          <w:sz w:val="22"/>
        </w:rPr>
      </w:pPr>
      <w:r>
        <w:rPr>
          <w:rFonts w:ascii="华文中宋" w:hAnsi="华文中宋" w:eastAsia="华文中宋" w:hint="eastAsia"/>
          <w:b/>
          <w:spacing w:val="-2"/>
          <w:w w:val="100"/>
          <w:sz w:val="22"/>
        </w:rPr>
        <w:t>严重面部烧伤</w:t>
      </w:r>
      <w:r>
        <w:rPr>
          <w:rFonts w:ascii="华文中宋" w:hAnsi="华文中宋" w:eastAsia="华文中宋" w:hint="eastAsia"/>
          <w:b/>
          <w:spacing w:val="-3"/>
          <w:sz w:val="22"/>
        </w:rPr>
        <w:t>   </w:t>
      </w:r>
      <w:r>
        <w:rPr>
          <w:spacing w:val="7"/>
          <w:w w:val="100"/>
          <w:sz w:val="22"/>
        </w:rPr>
        <w:t>指面部烧伤程度为Ⅲ度，且Ⅲ度烧伤的面积达到面部表面积的</w:t>
      </w:r>
      <w:r>
        <w:rPr>
          <w:spacing w:val="-1"/>
          <w:w w:val="100"/>
          <w:sz w:val="22"/>
        </w:rPr>
        <w:t>80</w:t>
      </w:r>
      <w:r>
        <w:rPr>
          <w:spacing w:val="8"/>
          <w:w w:val="100"/>
          <w:sz w:val="22"/>
        </w:rPr>
        <w:t>%或</w:t>
      </w:r>
      <w:r>
        <w:rPr>
          <w:spacing w:val="-1"/>
          <w:w w:val="100"/>
          <w:sz w:val="22"/>
        </w:rPr>
        <w:t>80</w:t>
      </w:r>
      <w:r>
        <w:rPr>
          <w:spacing w:val="3"/>
          <w:w w:val="100"/>
          <w:sz w:val="22"/>
        </w:rPr>
        <w:t>%以</w:t>
      </w:r>
      <w:r>
        <w:rPr>
          <w:spacing w:val="6"/>
          <w:w w:val="100"/>
          <w:sz w:val="22"/>
        </w:rPr>
        <w:t>上。面部的范围指上至发际、下至下颌下缘、两侧至下颌支后缘之间的区</w:t>
      </w:r>
      <w:r>
        <w:rPr>
          <w:spacing w:val="-1"/>
          <w:w w:val="100"/>
          <w:sz w:val="22"/>
        </w:rPr>
        <w:t>域，包括额部、眼部、眶部、鼻部、口唇部、颏部、颧部、颊部和腮腺咬肌</w:t>
      </w:r>
    </w:p>
    <w:p>
      <w:pPr>
        <w:pStyle w:val="BodyText"/>
        <w:spacing w:before="20"/>
        <w:ind w:left="2480"/>
      </w:pPr>
      <w:r>
        <w:rPr>
          <w:spacing w:val="-6"/>
        </w:rPr>
        <w:t>部。</w:t>
      </w:r>
    </w:p>
    <w:p>
      <w:pPr>
        <w:pStyle w:val="BodyText"/>
        <w:spacing w:before="2"/>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5" w:after="0"/>
        <w:ind w:left="954" w:right="0" w:hanging="803"/>
        <w:jc w:val="left"/>
      </w:pPr>
      <w:r>
        <w:rPr>
          <w:spacing w:val="-4"/>
        </w:rPr>
        <w:t>主动脉夹层血</w:t>
      </w:r>
    </w:p>
    <w:p>
      <w:pPr>
        <w:spacing w:before="30"/>
        <w:ind w:left="954" w:right="0" w:firstLine="0"/>
        <w:jc w:val="left"/>
        <w:rPr>
          <w:rFonts w:ascii="华文中宋" w:eastAsia="华文中宋" w:hint="eastAsia"/>
          <w:b/>
          <w:sz w:val="22"/>
        </w:rPr>
      </w:pPr>
      <w:r>
        <w:rPr>
          <w:rFonts w:ascii="华文中宋" w:eastAsia="华文中宋" w:hint="eastAsia"/>
          <w:b/>
          <w:w w:val="100"/>
          <w:sz w:val="22"/>
        </w:rPr>
        <w:t>肿</w:t>
      </w:r>
    </w:p>
    <w:p>
      <w:pPr>
        <w:pStyle w:val="BodyText"/>
        <w:spacing w:line="324" w:lineRule="auto" w:before="105"/>
        <w:ind w:left="152" w:right="150"/>
        <w:jc w:val="both"/>
      </w:pPr>
      <w:r>
        <w:rPr/>
        <w:br w:type="column"/>
      </w:r>
      <w:r>
        <w:rPr>
          <w:spacing w:val="-1"/>
          <w:w w:val="100"/>
        </w:rPr>
        <w:t>指主动脉腔内的血流通过主动脉内膜的破裂口进入主动脉内壁而形成血肿。</w:t>
      </w:r>
      <w:r>
        <w:rPr>
          <w:spacing w:val="2"/>
          <w:w w:val="100"/>
        </w:rPr>
        <w:t>被保险人需通过断层扫描</w:t>
      </w:r>
      <w:r>
        <w:rPr>
          <w:spacing w:val="4"/>
          <w:w w:val="100"/>
        </w:rPr>
        <w:t>（</w:t>
      </w:r>
      <w:r>
        <w:rPr>
          <w:spacing w:val="-1"/>
          <w:w w:val="100"/>
        </w:rPr>
        <w:t>C</w:t>
      </w:r>
      <w:r>
        <w:rPr>
          <w:spacing w:val="4"/>
          <w:w w:val="100"/>
        </w:rPr>
        <w:t>T）</w:t>
      </w:r>
      <w:r>
        <w:rPr>
          <w:spacing w:val="3"/>
          <w:w w:val="100"/>
        </w:rPr>
        <w:t>、核磁共振检查</w:t>
      </w:r>
      <w:r>
        <w:rPr>
          <w:spacing w:val="2"/>
          <w:w w:val="100"/>
        </w:rPr>
        <w:t>（</w:t>
      </w:r>
      <w:r>
        <w:rPr>
          <w:spacing w:val="-1"/>
          <w:w w:val="100"/>
        </w:rPr>
        <w:t>MR</w:t>
      </w:r>
      <w:r>
        <w:rPr>
          <w:spacing w:val="4"/>
          <w:w w:val="100"/>
        </w:rPr>
        <w:t>I）</w:t>
      </w:r>
      <w:r>
        <w:rPr>
          <w:spacing w:val="2"/>
          <w:w w:val="100"/>
        </w:rPr>
        <w:t>、磁共振血管检验</w:t>
      </w:r>
      <w:r>
        <w:rPr>
          <w:spacing w:val="-1"/>
          <w:w w:val="100"/>
        </w:rPr>
        <w:t>法</w:t>
      </w:r>
      <w:r>
        <w:rPr>
          <w:spacing w:val="-3"/>
          <w:w w:val="100"/>
        </w:rPr>
        <w:t>（</w:t>
      </w:r>
      <w:r>
        <w:rPr>
          <w:spacing w:val="-1"/>
          <w:w w:val="100"/>
        </w:rPr>
        <w:t>MRA）</w:t>
      </w:r>
      <w:r>
        <w:rPr>
          <w:spacing w:val="-3"/>
          <w:w w:val="100"/>
        </w:rPr>
        <w:t>或血管扫描等检查，</w:t>
      </w:r>
      <w:r>
        <w:rPr>
          <w:color w:val="000000"/>
          <w:spacing w:val="-3"/>
          <w:w w:val="100"/>
          <w:shd w:fill="E4E4E4" w:color="auto" w:val="clear"/>
        </w:rPr>
        <w:t>并且实施了胸腹切开的直视主动脉手术。</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6"/>
        <w:rPr>
          <w:sz w:val="21"/>
        </w:rPr>
      </w:pPr>
    </w:p>
    <w:p>
      <w:pPr>
        <w:spacing w:after="0"/>
        <w:rPr>
          <w:sz w:val="21"/>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3" w:after="0"/>
        <w:ind w:left="954" w:right="0" w:hanging="803"/>
        <w:jc w:val="left"/>
      </w:pPr>
      <w:r>
        <w:rPr>
          <w:spacing w:val="-4"/>
        </w:rPr>
        <w:t>严重慢性缩窄</w:t>
      </w:r>
    </w:p>
    <w:p>
      <w:pPr>
        <w:spacing w:before="30"/>
        <w:ind w:left="954" w:right="0" w:firstLine="0"/>
        <w:jc w:val="left"/>
        <w:rPr>
          <w:rFonts w:ascii="华文中宋" w:eastAsia="华文中宋" w:hint="eastAsia"/>
          <w:b/>
          <w:sz w:val="22"/>
        </w:rPr>
      </w:pPr>
      <w:r>
        <w:rPr>
          <w:rFonts w:ascii="华文中宋" w:eastAsia="华文中宋" w:hint="eastAsia"/>
          <w:b/>
          <w:spacing w:val="-5"/>
          <w:sz w:val="22"/>
        </w:rPr>
        <w:t>型心包炎</w:t>
      </w:r>
    </w:p>
    <w:p>
      <w:pPr>
        <w:pStyle w:val="BodyText"/>
        <w:spacing w:line="324" w:lineRule="auto" w:before="103"/>
        <w:ind w:left="152" w:right="150"/>
        <w:jc w:val="both"/>
      </w:pPr>
      <w:r>
        <w:rPr/>
        <w:br w:type="column"/>
      </w:r>
      <w:r>
        <w:rPr>
          <w:spacing w:val="-1"/>
          <w:w w:val="100"/>
        </w:rPr>
        <w:t>由于慢性心包炎症导致心包脏层和壁层广泛瘢痕粘连、增厚和钙化，心包腔</w:t>
      </w:r>
      <w:r>
        <w:rPr>
          <w:spacing w:val="6"/>
          <w:w w:val="100"/>
        </w:rPr>
        <w:t>闭塞，形成一个纤维瘢痕外壳，使心脏和大血管根部受压，阻碍心脏的舒</w:t>
      </w:r>
      <w:r>
        <w:rPr>
          <w:spacing w:val="-3"/>
          <w:w w:val="100"/>
        </w:rPr>
        <w:t>张。被保险人被明确诊断为慢性缩窄性心包炎</w:t>
      </w:r>
      <w:r>
        <w:rPr>
          <w:color w:val="000000"/>
          <w:spacing w:val="-3"/>
          <w:w w:val="100"/>
          <w:shd w:fill="E4E4E4" w:color="auto" w:val="clear"/>
        </w:rPr>
        <w:t>且必须满足以下所有条件：</w:t>
      </w:r>
    </w:p>
    <w:p>
      <w:pPr>
        <w:pStyle w:val="ListParagraph"/>
        <w:numPr>
          <w:ilvl w:val="0"/>
          <w:numId w:val="60"/>
        </w:numPr>
        <w:tabs>
          <w:tab w:pos="607" w:val="left" w:leader="none"/>
        </w:tabs>
        <w:spacing w:line="324" w:lineRule="auto" w:before="0" w:after="0"/>
        <w:ind w:left="606" w:right="150" w:hanging="454"/>
        <w:jc w:val="both"/>
        <w:rPr>
          <w:sz w:val="22"/>
        </w:rPr>
      </w:pPr>
      <w:r>
        <w:rPr>
          <w:spacing w:val="2"/>
          <w:w w:val="100"/>
          <w:sz w:val="22"/>
        </w:rPr>
        <w:t>心功能衰竭达到美国纽约心脏病学会心功能状态分级Ⅳ级，并持续</w:t>
      </w:r>
      <w:r>
        <w:rPr>
          <w:spacing w:val="-1"/>
          <w:w w:val="100"/>
          <w:sz w:val="22"/>
        </w:rPr>
        <w:t>18</w:t>
      </w:r>
      <w:r>
        <w:rPr>
          <w:w w:val="100"/>
          <w:sz w:val="22"/>
        </w:rPr>
        <w:t>0</w:t>
      </w:r>
      <w:r>
        <w:rPr>
          <w:spacing w:val="-2"/>
          <w:w w:val="100"/>
          <w:sz w:val="22"/>
        </w:rPr>
        <w:t>天以上；</w:t>
      </w:r>
    </w:p>
    <w:p>
      <w:pPr>
        <w:pStyle w:val="ListParagraph"/>
        <w:numPr>
          <w:ilvl w:val="0"/>
          <w:numId w:val="60"/>
        </w:numPr>
        <w:tabs>
          <w:tab w:pos="607" w:val="left" w:leader="none"/>
        </w:tabs>
        <w:spacing w:line="324" w:lineRule="auto" w:before="0" w:after="0"/>
        <w:ind w:left="1060" w:right="848" w:hanging="908"/>
        <w:jc w:val="both"/>
        <w:rPr>
          <w:sz w:val="22"/>
        </w:rPr>
      </w:pPr>
      <w:r>
        <w:rPr/>
        <w:drawing>
          <wp:anchor distT="0" distB="0" distL="0" distR="0" allowOverlap="1" layoutInCell="1" locked="0" behindDoc="1" simplePos="0" relativeHeight="484587520">
            <wp:simplePos x="0" y="0"/>
            <wp:positionH relativeFrom="page">
              <wp:posOffset>2485707</wp:posOffset>
            </wp:positionH>
            <wp:positionV relativeFrom="paragraph">
              <wp:posOffset>257886</wp:posOffset>
            </wp:positionV>
            <wp:extent cx="140335" cy="140334"/>
            <wp:effectExtent l="0" t="0" r="0" b="0"/>
            <wp:wrapNone/>
            <wp:docPr id="49" name="image8.png"/>
            <wp:cNvGraphicFramePr>
              <a:graphicFrameLocks noChangeAspect="1"/>
            </wp:cNvGraphicFramePr>
            <a:graphic>
              <a:graphicData uri="http://schemas.openxmlformats.org/drawingml/2006/picture">
                <pic:pic>
                  <pic:nvPicPr>
                    <pic:cNvPr id="50" name="image8.png"/>
                    <pic:cNvPicPr/>
                  </pic:nvPicPr>
                  <pic:blipFill>
                    <a:blip r:embed="rId16" cstate="print"/>
                    <a:stretch>
                      <a:fillRect/>
                    </a:stretch>
                  </pic:blipFill>
                  <pic:spPr>
                    <a:xfrm>
                      <a:off x="0" y="0"/>
                      <a:ext cx="140335" cy="140334"/>
                    </a:xfrm>
                    <a:prstGeom prst="rect">
                      <a:avLst/>
                    </a:prstGeom>
                  </pic:spPr>
                </pic:pic>
              </a:graphicData>
            </a:graphic>
          </wp:anchor>
        </w:drawing>
      </w:r>
      <w:r>
        <w:rPr/>
        <w:pict>
          <v:shape style="position:absolute;margin-left:195.725006pt;margin-top:20.305988pt;width:11.05pt;height:11.05pt;mso-position-horizontal-relative:page;mso-position-vertical-relative:paragraph;z-index:-18728448" type="#_x0000_t202" id="docshape31" filled="false" stroked="false">
            <v:textbox inset="0,0,0,0">
              <w:txbxContent>
                <w:p>
                  <w:pPr>
                    <w:spacing w:line="220" w:lineRule="exact" w:before="0"/>
                    <w:ind w:left="62" w:right="0" w:firstLine="0"/>
                    <w:jc w:val="left"/>
                    <w:rPr>
                      <w:sz w:val="19"/>
                    </w:rPr>
                  </w:pPr>
                  <w:r>
                    <w:rPr>
                      <w:sz w:val="19"/>
                    </w:rPr>
                    <w:t>1</w:t>
                  </w:r>
                </w:p>
              </w:txbxContent>
            </v:textbox>
            <w10:wrap type="none"/>
          </v:shape>
        </w:pict>
      </w:r>
      <w:r>
        <w:rPr>
          <w:spacing w:val="-2"/>
          <w:sz w:val="22"/>
        </w:rPr>
        <w:t>实际接受了以下任何一种手术路径的心包剥脱或心包切除手术：胸骨正中切口；</w:t>
      </w:r>
    </w:p>
    <w:p>
      <w:pPr>
        <w:pStyle w:val="BodyText"/>
        <w:spacing w:line="324" w:lineRule="auto"/>
        <w:ind w:left="1060" w:right="4794"/>
      </w:pPr>
      <w:r>
        <w:rPr/>
        <w:drawing>
          <wp:anchor distT="0" distB="0" distL="0" distR="0" allowOverlap="1" layoutInCell="1" locked="0" behindDoc="0" simplePos="0" relativeHeight="15749120">
            <wp:simplePos x="0" y="0"/>
            <wp:positionH relativeFrom="page">
              <wp:posOffset>2485707</wp:posOffset>
            </wp:positionH>
            <wp:positionV relativeFrom="paragraph">
              <wp:posOffset>17589</wp:posOffset>
            </wp:positionV>
            <wp:extent cx="140335" cy="140334"/>
            <wp:effectExtent l="0" t="0" r="0" b="0"/>
            <wp:wrapNone/>
            <wp:docPr id="51" name="image7.png"/>
            <wp:cNvGraphicFramePr>
              <a:graphicFrameLocks noChangeAspect="1"/>
            </wp:cNvGraphicFramePr>
            <a:graphic>
              <a:graphicData uri="http://schemas.openxmlformats.org/drawingml/2006/picture">
                <pic:pic>
                  <pic:nvPicPr>
                    <pic:cNvPr id="52"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1.384998pt;width:11.05pt;height:11.05pt;mso-position-horizontal-relative:page;mso-position-vertical-relative:paragraph;z-index:15749632" type="#_x0000_t202" id="docshape32" filled="false" stroked="false">
            <v:textbox inset="0,0,0,0">
              <w:txbxContent>
                <w:p>
                  <w:pPr>
                    <w:spacing w:line="219" w:lineRule="exact" w:before="2"/>
                    <w:ind w:left="62" w:right="0" w:firstLine="0"/>
                    <w:jc w:val="left"/>
                    <w:rPr>
                      <w:sz w:val="19"/>
                    </w:rPr>
                  </w:pPr>
                  <w:r>
                    <w:rPr>
                      <w:sz w:val="19"/>
                    </w:rPr>
                    <w:t>2</w:t>
                  </w:r>
                </w:p>
              </w:txbxContent>
            </v:textbox>
            <w10:wrap type="none"/>
          </v:shape>
        </w:pict>
      </w:r>
      <w:r>
        <w:rPr/>
        <w:drawing>
          <wp:anchor distT="0" distB="0" distL="0" distR="0" allowOverlap="1" layoutInCell="1" locked="0" behindDoc="0" simplePos="0" relativeHeight="15750144">
            <wp:simplePos x="0" y="0"/>
            <wp:positionH relativeFrom="page">
              <wp:posOffset>2485707</wp:posOffset>
            </wp:positionH>
            <wp:positionV relativeFrom="paragraph">
              <wp:posOffset>258889</wp:posOffset>
            </wp:positionV>
            <wp:extent cx="140335" cy="140334"/>
            <wp:effectExtent l="0" t="0" r="0" b="0"/>
            <wp:wrapNone/>
            <wp:docPr id="53" name="image7.png"/>
            <wp:cNvGraphicFramePr>
              <a:graphicFrameLocks noChangeAspect="1"/>
            </wp:cNvGraphicFramePr>
            <a:graphic>
              <a:graphicData uri="http://schemas.openxmlformats.org/drawingml/2006/picture">
                <pic:pic>
                  <pic:nvPicPr>
                    <pic:cNvPr id="54"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20.384998pt;width:11.05pt;height:11.05pt;mso-position-horizontal-relative:page;mso-position-vertical-relative:paragraph;z-index:15750656" type="#_x0000_t202" id="docshape33" filled="false" stroked="false">
            <v:textbox inset="0,0,0,0">
              <w:txbxContent>
                <w:p>
                  <w:pPr>
                    <w:spacing w:line="220" w:lineRule="exact" w:before="1"/>
                    <w:ind w:left="62" w:right="0" w:firstLine="0"/>
                    <w:jc w:val="left"/>
                    <w:rPr>
                      <w:sz w:val="19"/>
                    </w:rPr>
                  </w:pPr>
                  <w:r>
                    <w:rPr>
                      <w:sz w:val="19"/>
                    </w:rPr>
                    <w:t>3</w:t>
                  </w:r>
                </w:p>
              </w:txbxContent>
            </v:textbox>
            <w10:wrap type="none"/>
          </v:shape>
        </w:pict>
      </w:r>
      <w:r>
        <w:rPr>
          <w:spacing w:val="-2"/>
        </w:rPr>
        <w:t>双侧前胸切口；</w:t>
      </w:r>
      <w:r>
        <w:rPr>
          <w:spacing w:val="-2"/>
        </w:rPr>
        <w:t> 左前胸肋间切口。</w:t>
      </w:r>
    </w:p>
    <w:p>
      <w:pPr>
        <w:pStyle w:val="BodyText"/>
        <w:spacing w:line="282" w:lineRule="exact"/>
        <w:ind w:left="152"/>
      </w:pPr>
      <w:r>
        <w:rPr>
          <w:color w:val="000000"/>
          <w:spacing w:val="-3"/>
          <w:shd w:fill="E4E4E4" w:color="auto" w:val="clear"/>
        </w:rPr>
        <w:t>经胸腔镜、胸壁打孔进行的手术、心包粘连松解手术不在保障范围内。</w:t>
      </w:r>
    </w:p>
    <w:p>
      <w:pPr>
        <w:spacing w:after="0" w:line="282" w:lineRule="exact"/>
        <w:sectPr>
          <w:type w:val="continuous"/>
          <w:pgSz w:w="11910" w:h="16840"/>
          <w:pgMar w:header="484" w:footer="706" w:top="1240" w:bottom="900" w:left="980" w:right="980"/>
          <w:cols w:num="2" w:equalWidth="0">
            <w:col w:w="2277" w:space="51"/>
            <w:col w:w="7622"/>
          </w:cols>
        </w:sectPr>
      </w:pPr>
    </w:p>
    <w:p>
      <w:pPr>
        <w:pStyle w:val="BodyText"/>
        <w:spacing w:before="11"/>
        <w:rPr>
          <w:sz w:val="28"/>
        </w:rPr>
      </w:pPr>
    </w:p>
    <w:p>
      <w:pPr>
        <w:spacing w:after="0"/>
        <w:rPr>
          <w:sz w:val="28"/>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5" w:after="0"/>
        <w:ind w:left="954" w:right="0" w:hanging="803"/>
        <w:jc w:val="left"/>
      </w:pPr>
      <w:r>
        <w:rPr>
          <w:spacing w:val="-4"/>
        </w:rPr>
        <w:t>艾森门格综合</w:t>
      </w:r>
    </w:p>
    <w:p>
      <w:pPr>
        <w:spacing w:before="30"/>
        <w:ind w:left="954" w:right="0" w:firstLine="0"/>
        <w:jc w:val="left"/>
        <w:rPr>
          <w:rFonts w:ascii="华文中宋" w:eastAsia="华文中宋" w:hint="eastAsia"/>
          <w:b/>
          <w:sz w:val="22"/>
        </w:rPr>
      </w:pPr>
      <w:r>
        <w:rPr>
          <w:rFonts w:ascii="华文中宋" w:eastAsia="华文中宋" w:hint="eastAsia"/>
          <w:b/>
          <w:w w:val="100"/>
          <w:sz w:val="22"/>
        </w:rPr>
        <w:t>征</w:t>
      </w:r>
    </w:p>
    <w:p>
      <w:pPr>
        <w:pStyle w:val="BodyText"/>
        <w:spacing w:line="324" w:lineRule="auto" w:before="105"/>
        <w:ind w:left="152" w:right="150"/>
      </w:pPr>
      <w:r>
        <w:rPr/>
        <w:br w:type="column"/>
      </w:r>
      <w:r>
        <w:rPr>
          <w:spacing w:val="-2"/>
        </w:rPr>
        <w:t>因心脏病导致的严重肺动脉高压及右向左分流。诊断必须由心脏专科医生经超声心动图和心导管检查证实及</w:t>
      </w:r>
      <w:r>
        <w:rPr>
          <w:color w:val="000000"/>
          <w:spacing w:val="-2"/>
          <w:shd w:fill="E4E4E4" w:color="auto" w:val="clear"/>
        </w:rPr>
        <w:t>需符合以下所有标准：</w:t>
      </w:r>
    </w:p>
    <w:p>
      <w:pPr>
        <w:pStyle w:val="ListParagraph"/>
        <w:numPr>
          <w:ilvl w:val="0"/>
          <w:numId w:val="61"/>
        </w:numPr>
        <w:tabs>
          <w:tab w:pos="607" w:val="left" w:leader="none"/>
        </w:tabs>
        <w:spacing w:line="279" w:lineRule="exact" w:before="0" w:after="0"/>
        <w:ind w:left="606" w:right="0" w:hanging="455"/>
        <w:jc w:val="left"/>
        <w:rPr>
          <w:sz w:val="22"/>
        </w:rPr>
      </w:pPr>
      <w:r>
        <w:rPr>
          <w:spacing w:val="-2"/>
          <w:sz w:val="22"/>
        </w:rPr>
        <w:t>平均肺动脉压高于40mmHg；</w:t>
      </w:r>
    </w:p>
    <w:p>
      <w:pPr>
        <w:pStyle w:val="ListParagraph"/>
        <w:numPr>
          <w:ilvl w:val="0"/>
          <w:numId w:val="61"/>
        </w:numPr>
        <w:tabs>
          <w:tab w:pos="607" w:val="left" w:leader="none"/>
        </w:tabs>
        <w:spacing w:line="240" w:lineRule="auto" w:before="99" w:after="0"/>
        <w:ind w:left="606" w:right="0" w:hanging="455"/>
        <w:jc w:val="left"/>
        <w:rPr>
          <w:sz w:val="22"/>
        </w:rPr>
      </w:pPr>
      <w:r>
        <w:rPr>
          <w:spacing w:val="-2"/>
          <w:sz w:val="22"/>
        </w:rPr>
        <w:t>肺血管阻力高于3mm/L/min（Wood单位</w:t>
      </w:r>
      <w:r>
        <w:rPr>
          <w:spacing w:val="-5"/>
          <w:sz w:val="22"/>
        </w:rPr>
        <w:t>）；</w:t>
      </w:r>
    </w:p>
    <w:p>
      <w:pPr>
        <w:pStyle w:val="ListParagraph"/>
        <w:numPr>
          <w:ilvl w:val="0"/>
          <w:numId w:val="61"/>
        </w:numPr>
        <w:tabs>
          <w:tab w:pos="607" w:val="left" w:leader="none"/>
        </w:tabs>
        <w:spacing w:line="240" w:lineRule="auto" w:before="98" w:after="0"/>
        <w:ind w:left="606" w:right="0" w:hanging="455"/>
        <w:jc w:val="left"/>
        <w:rPr>
          <w:sz w:val="22"/>
        </w:rPr>
      </w:pPr>
      <w:r>
        <w:rPr>
          <w:spacing w:val="-2"/>
          <w:sz w:val="22"/>
        </w:rPr>
        <w:t>正常肺微血管楔压低于15mmHg</w:t>
      </w:r>
      <w:r>
        <w:rPr>
          <w:spacing w:val="-10"/>
          <w:sz w:val="22"/>
        </w:rPr>
        <w:t>。</w:t>
      </w:r>
    </w:p>
    <w:p>
      <w:pPr>
        <w:pStyle w:val="BodyText"/>
        <w:spacing w:before="97"/>
        <w:ind w:left="152"/>
      </w:pPr>
      <w:r>
        <w:rPr>
          <w:color w:val="000000"/>
          <w:spacing w:val="-3"/>
          <w:shd w:fill="E4E4E4" w:color="auto" w:val="clear"/>
        </w:rPr>
        <w:t>先天性心脏病所致的艾森门格综合征不在保障范围内。</w:t>
      </w:r>
    </w:p>
    <w:p>
      <w:pPr>
        <w:spacing w:after="0"/>
        <w:sectPr>
          <w:type w:val="continuous"/>
          <w:pgSz w:w="11910" w:h="16840"/>
          <w:pgMar w:header="484" w:footer="706" w:top="1240" w:bottom="900" w:left="980" w:right="980"/>
          <w:cols w:num="2" w:equalWidth="0">
            <w:col w:w="2277" w:space="51"/>
            <w:col w:w="7622"/>
          </w:cols>
        </w:sectPr>
      </w:pPr>
    </w:p>
    <w:p>
      <w:pPr>
        <w:pStyle w:val="BodyText"/>
        <w:spacing w:before="5"/>
        <w:rPr>
          <w:sz w:val="29"/>
        </w:rPr>
      </w:pPr>
    </w:p>
    <w:p>
      <w:pPr>
        <w:pStyle w:val="ListParagraph"/>
        <w:numPr>
          <w:ilvl w:val="1"/>
          <w:numId w:val="28"/>
        </w:numPr>
        <w:tabs>
          <w:tab w:pos="955" w:val="left" w:leader="none"/>
          <w:tab w:pos="2480" w:val="left" w:leader="none"/>
        </w:tabs>
        <w:spacing w:line="240" w:lineRule="auto" w:before="72" w:after="0"/>
        <w:ind w:left="954" w:right="0" w:hanging="803"/>
        <w:jc w:val="left"/>
        <w:rPr>
          <w:sz w:val="22"/>
        </w:rPr>
      </w:pPr>
      <w:r>
        <w:rPr>
          <w:rFonts w:ascii="华文中宋" w:eastAsia="华文中宋" w:hint="eastAsia"/>
          <w:b/>
          <w:spacing w:val="-2"/>
          <w:sz w:val="22"/>
        </w:rPr>
        <w:t>严重脊髓小</w:t>
      </w:r>
      <w:r>
        <w:rPr>
          <w:rFonts w:ascii="华文中宋" w:eastAsia="华文中宋" w:hint="eastAsia"/>
          <w:b/>
          <w:spacing w:val="-12"/>
          <w:sz w:val="22"/>
        </w:rPr>
        <w:t>脑</w:t>
      </w:r>
      <w:r>
        <w:rPr>
          <w:rFonts w:ascii="华文中宋" w:eastAsia="华文中宋" w:hint="eastAsia"/>
          <w:b/>
          <w:sz w:val="22"/>
        </w:rPr>
        <w:tab/>
      </w:r>
      <w:r>
        <w:rPr>
          <w:spacing w:val="-2"/>
          <w:sz w:val="22"/>
        </w:rPr>
        <w:t>脊髓小脑变性症为一组以小脑萎缩和共济失调为主要临床特点的疾病。</w:t>
      </w:r>
      <w:r>
        <w:rPr>
          <w:color w:val="000000"/>
          <w:spacing w:val="-2"/>
          <w:sz w:val="22"/>
          <w:shd w:fill="E4E4E4" w:color="auto" w:val="clear"/>
        </w:rPr>
        <w:t>必</w:t>
      </w:r>
      <w:r>
        <w:rPr>
          <w:color w:val="000000"/>
          <w:spacing w:val="-10"/>
          <w:sz w:val="22"/>
          <w:shd w:fill="E4E4E4" w:color="auto" w:val="clear"/>
        </w:rPr>
        <w:t>须</w:t>
      </w:r>
    </w:p>
    <w:p>
      <w:pPr>
        <w:spacing w:after="0" w:line="240" w:lineRule="auto"/>
        <w:jc w:val="left"/>
        <w:rPr>
          <w:sz w:val="22"/>
        </w:rPr>
        <w:sectPr>
          <w:type w:val="continuous"/>
          <w:pgSz w:w="11910" w:h="16840"/>
          <w:pgMar w:header="484" w:footer="706" w:top="1240" w:bottom="900" w:left="980" w:right="980"/>
        </w:sectPr>
      </w:pPr>
    </w:p>
    <w:p>
      <w:pPr>
        <w:pStyle w:val="BodyText"/>
        <w:rPr>
          <w:sz w:val="12"/>
        </w:rPr>
      </w:pPr>
    </w:p>
    <w:p>
      <w:pPr>
        <w:tabs>
          <w:tab w:pos="2480" w:val="left" w:leader="none"/>
        </w:tabs>
        <w:spacing w:before="73"/>
        <w:ind w:left="954" w:right="0" w:firstLine="0"/>
        <w:jc w:val="left"/>
        <w:rPr>
          <w:sz w:val="22"/>
        </w:rPr>
      </w:pPr>
      <w:r>
        <w:rPr>
          <w:rFonts w:ascii="华文中宋" w:eastAsia="华文中宋" w:hint="eastAsia"/>
          <w:b/>
          <w:spacing w:val="-2"/>
          <w:sz w:val="22"/>
        </w:rPr>
        <w:t>变</w:t>
      </w:r>
      <w:r>
        <w:rPr>
          <w:rFonts w:ascii="华文中宋" w:eastAsia="华文中宋" w:hint="eastAsia"/>
          <w:b/>
          <w:spacing w:val="-2"/>
          <w:sz w:val="22"/>
        </w:rPr>
        <w:t>性</w:t>
      </w:r>
      <w:r>
        <w:rPr>
          <w:rFonts w:ascii="华文中宋" w:eastAsia="华文中宋" w:hint="eastAsia"/>
          <w:b/>
          <w:spacing w:val="-10"/>
          <w:sz w:val="22"/>
        </w:rPr>
        <w:t>症</w:t>
      </w:r>
      <w:r>
        <w:rPr>
          <w:rFonts w:ascii="华文中宋" w:eastAsia="华文中宋" w:hint="eastAsia"/>
          <w:b/>
          <w:sz w:val="22"/>
        </w:rPr>
        <w:tab/>
      </w:r>
      <w:r>
        <w:rPr>
          <w:color w:val="000000"/>
          <w:spacing w:val="-2"/>
          <w:sz w:val="22"/>
          <w:shd w:fill="E4E4E4" w:color="auto" w:val="clear"/>
        </w:rPr>
        <w:t>符合</w:t>
      </w:r>
      <w:r>
        <w:rPr>
          <w:color w:val="000000"/>
          <w:spacing w:val="-2"/>
          <w:sz w:val="22"/>
          <w:shd w:fill="E4E4E4" w:color="auto" w:val="clear"/>
        </w:rPr>
        <w:t>以</w:t>
      </w:r>
      <w:r>
        <w:rPr>
          <w:color w:val="000000"/>
          <w:spacing w:val="-2"/>
          <w:sz w:val="22"/>
          <w:shd w:fill="E4E4E4" w:color="auto" w:val="clear"/>
        </w:rPr>
        <w:t>下</w:t>
      </w:r>
      <w:r>
        <w:rPr>
          <w:color w:val="000000"/>
          <w:spacing w:val="-2"/>
          <w:sz w:val="22"/>
          <w:shd w:fill="E4E4E4" w:color="auto" w:val="clear"/>
        </w:rPr>
        <w:t>所</w:t>
      </w:r>
      <w:r>
        <w:rPr>
          <w:color w:val="000000"/>
          <w:spacing w:val="-2"/>
          <w:sz w:val="22"/>
          <w:shd w:fill="E4E4E4" w:color="auto" w:val="clear"/>
        </w:rPr>
        <w:t>有</w:t>
      </w:r>
      <w:r>
        <w:rPr>
          <w:color w:val="000000"/>
          <w:spacing w:val="-2"/>
          <w:sz w:val="22"/>
          <w:shd w:fill="E4E4E4" w:color="auto" w:val="clear"/>
        </w:rPr>
        <w:t>条</w:t>
      </w:r>
      <w:r>
        <w:rPr>
          <w:color w:val="000000"/>
          <w:spacing w:val="-2"/>
          <w:sz w:val="22"/>
          <w:shd w:fill="E4E4E4" w:color="auto" w:val="clear"/>
        </w:rPr>
        <w:t>件</w:t>
      </w:r>
      <w:r>
        <w:rPr>
          <w:color w:val="000000"/>
          <w:spacing w:val="-10"/>
          <w:sz w:val="22"/>
          <w:shd w:fill="E4E4E4" w:color="auto" w:val="clear"/>
        </w:rPr>
        <w:t>：</w:t>
      </w:r>
    </w:p>
    <w:p>
      <w:pPr>
        <w:pStyle w:val="ListParagraph"/>
        <w:numPr>
          <w:ilvl w:val="2"/>
          <w:numId w:val="28"/>
        </w:numPr>
        <w:tabs>
          <w:tab w:pos="2935" w:val="left" w:leader="none"/>
        </w:tabs>
        <w:spacing w:line="324" w:lineRule="auto" w:before="62" w:after="0"/>
        <w:ind w:left="3388" w:right="1729" w:hanging="908"/>
        <w:jc w:val="left"/>
        <w:rPr>
          <w:sz w:val="22"/>
        </w:rPr>
      </w:pPr>
      <w:r>
        <w:rPr/>
        <w:drawing>
          <wp:anchor distT="0" distB="0" distL="0" distR="0" allowOverlap="1" layoutInCell="1" locked="0" behindDoc="1" simplePos="0" relativeHeight="484590592">
            <wp:simplePos x="0" y="0"/>
            <wp:positionH relativeFrom="page">
              <wp:posOffset>2485707</wp:posOffset>
            </wp:positionH>
            <wp:positionV relativeFrom="paragraph">
              <wp:posOffset>297243</wp:posOffset>
            </wp:positionV>
            <wp:extent cx="140335" cy="140334"/>
            <wp:effectExtent l="0" t="0" r="0" b="0"/>
            <wp:wrapNone/>
            <wp:docPr id="55" name="image8.png"/>
            <wp:cNvGraphicFramePr>
              <a:graphicFrameLocks noChangeAspect="1"/>
            </wp:cNvGraphicFramePr>
            <a:graphic>
              <a:graphicData uri="http://schemas.openxmlformats.org/drawingml/2006/picture">
                <pic:pic>
                  <pic:nvPicPr>
                    <pic:cNvPr id="56" name="image8.png"/>
                    <pic:cNvPicPr/>
                  </pic:nvPicPr>
                  <pic:blipFill>
                    <a:blip r:embed="rId16" cstate="print"/>
                    <a:stretch>
                      <a:fillRect/>
                    </a:stretch>
                  </pic:blipFill>
                  <pic:spPr>
                    <a:xfrm>
                      <a:off x="0" y="0"/>
                      <a:ext cx="140335" cy="140334"/>
                    </a:xfrm>
                    <a:prstGeom prst="rect">
                      <a:avLst/>
                    </a:prstGeom>
                  </pic:spPr>
                </pic:pic>
              </a:graphicData>
            </a:graphic>
          </wp:anchor>
        </w:drawing>
      </w:r>
      <w:r>
        <w:rPr/>
        <w:pict>
          <v:shape style="position:absolute;margin-left:195.725006pt;margin-top:23.40498pt;width:11.05pt;height:11.05pt;mso-position-horizontal-relative:page;mso-position-vertical-relative:paragraph;z-index:-18725376" type="#_x0000_t202" id="docshape34" filled="false" stroked="false">
            <v:textbox inset="0,0,0,0">
              <w:txbxContent>
                <w:p>
                  <w:pPr>
                    <w:spacing w:line="220" w:lineRule="exact" w:before="0"/>
                    <w:ind w:left="62" w:right="0" w:firstLine="0"/>
                    <w:jc w:val="left"/>
                    <w:rPr>
                      <w:sz w:val="19"/>
                    </w:rPr>
                  </w:pPr>
                  <w:r>
                    <w:rPr>
                      <w:sz w:val="19"/>
                    </w:rPr>
                    <w:t>1</w:t>
                  </w:r>
                </w:p>
              </w:txbxContent>
            </v:textbox>
            <w10:wrap type="none"/>
          </v:shape>
        </w:pict>
      </w:r>
      <w:r>
        <w:rPr>
          <w:spacing w:val="-2"/>
          <w:sz w:val="22"/>
        </w:rPr>
        <w:t>脊髓小脑变性症必须由医院诊断，并有以下证据支持：影像学检查证实存在小脑萎缩；</w:t>
      </w:r>
    </w:p>
    <w:p>
      <w:pPr>
        <w:pStyle w:val="BodyText"/>
        <w:spacing w:line="279" w:lineRule="exact"/>
        <w:ind w:left="3388"/>
      </w:pPr>
      <w:r>
        <w:rPr/>
        <w:drawing>
          <wp:anchor distT="0" distB="0" distL="0" distR="0" allowOverlap="1" layoutInCell="1" locked="0" behindDoc="0" simplePos="0" relativeHeight="15752192">
            <wp:simplePos x="0" y="0"/>
            <wp:positionH relativeFrom="page">
              <wp:posOffset>2485707</wp:posOffset>
            </wp:positionH>
            <wp:positionV relativeFrom="paragraph">
              <wp:posOffset>15898</wp:posOffset>
            </wp:positionV>
            <wp:extent cx="140335" cy="140334"/>
            <wp:effectExtent l="0" t="0" r="0" b="0"/>
            <wp:wrapNone/>
            <wp:docPr id="57" name="image7.png"/>
            <wp:cNvGraphicFramePr>
              <a:graphicFrameLocks noChangeAspect="1"/>
            </wp:cNvGraphicFramePr>
            <a:graphic>
              <a:graphicData uri="http://schemas.openxmlformats.org/drawingml/2006/picture">
                <pic:pic>
                  <pic:nvPicPr>
                    <pic:cNvPr id="58"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1.251855pt;width:11.05pt;height:11.05pt;mso-position-horizontal-relative:page;mso-position-vertical-relative:paragraph;z-index:15752704" type="#_x0000_t202" id="docshape35" filled="false" stroked="false">
            <v:textbox inset="0,0,0,0">
              <w:txbxContent>
                <w:p>
                  <w:pPr>
                    <w:spacing w:line="219" w:lineRule="exact" w:before="2"/>
                    <w:ind w:left="62" w:right="0" w:firstLine="0"/>
                    <w:jc w:val="left"/>
                    <w:rPr>
                      <w:sz w:val="19"/>
                    </w:rPr>
                  </w:pPr>
                  <w:r>
                    <w:rPr>
                      <w:sz w:val="19"/>
                    </w:rPr>
                    <w:t>2</w:t>
                  </w:r>
                </w:p>
              </w:txbxContent>
            </v:textbox>
            <w10:wrap type="none"/>
          </v:shape>
        </w:pict>
      </w:r>
      <w:r>
        <w:rPr>
          <w:spacing w:val="-3"/>
        </w:rPr>
        <w:t>临床表现存在共济失调、语言障碍和肌张力异常。</w:t>
      </w:r>
    </w:p>
    <w:p>
      <w:pPr>
        <w:pStyle w:val="ListParagraph"/>
        <w:numPr>
          <w:ilvl w:val="2"/>
          <w:numId w:val="28"/>
        </w:numPr>
        <w:tabs>
          <w:tab w:pos="2935" w:val="left" w:leader="none"/>
        </w:tabs>
        <w:spacing w:line="324" w:lineRule="auto" w:before="100" w:after="0"/>
        <w:ind w:left="2934" w:right="152" w:hanging="454"/>
        <w:jc w:val="left"/>
        <w:rPr>
          <w:sz w:val="22"/>
        </w:rPr>
      </w:pPr>
      <w:r>
        <w:rPr>
          <w:spacing w:val="-2"/>
          <w:sz w:val="22"/>
        </w:rPr>
        <w:t>被保险人运动功能严重障碍，自主生活能力完全丧失，</w:t>
      </w:r>
      <w:r>
        <w:rPr>
          <w:color w:val="000000"/>
          <w:spacing w:val="-2"/>
          <w:sz w:val="22"/>
          <w:shd w:fill="E4E4E4" w:color="auto" w:val="clear"/>
        </w:rPr>
        <w:t>无法独立完成六</w:t>
      </w:r>
      <w:r>
        <w:rPr>
          <w:color w:val="000000"/>
          <w:spacing w:val="80"/>
          <w:w w:val="150"/>
          <w:sz w:val="22"/>
          <w:shd w:fill="E4E4E4" w:color="auto" w:val="clear"/>
        </w:rPr>
        <w:t>                                    </w:t>
      </w:r>
      <w:r>
        <w:rPr>
          <w:color w:val="000000"/>
          <w:spacing w:val="-2"/>
          <w:sz w:val="22"/>
          <w:shd w:fill="E4E4E4" w:color="auto" w:val="clear"/>
        </w:rPr>
        <w:t>项基本日常生活活动中的三项或三项以上。</w:t>
      </w:r>
    </w:p>
    <w:p>
      <w:pPr>
        <w:pStyle w:val="BodyText"/>
        <w:spacing w:before="5"/>
        <w:rPr>
          <w:sz w:val="21"/>
        </w:rPr>
      </w:pPr>
    </w:p>
    <w:p>
      <w:pPr>
        <w:spacing w:after="0"/>
        <w:rPr>
          <w:sz w:val="21"/>
        </w:rPr>
        <w:sectPr>
          <w:pgSz w:w="11910" w:h="16840"/>
          <w:pgMar w:header="484" w:footer="706" w:top="1240" w:bottom="900" w:left="980" w:right="980"/>
        </w:sectPr>
      </w:pPr>
    </w:p>
    <w:p>
      <w:pPr>
        <w:pStyle w:val="Heading2"/>
        <w:numPr>
          <w:ilvl w:val="1"/>
          <w:numId w:val="28"/>
        </w:numPr>
        <w:tabs>
          <w:tab w:pos="955" w:val="left" w:leader="none"/>
        </w:tabs>
        <w:spacing w:line="240" w:lineRule="auto" w:before="75" w:after="0"/>
        <w:ind w:left="954" w:right="0" w:hanging="955"/>
        <w:jc w:val="right"/>
      </w:pPr>
      <w:r>
        <w:rPr>
          <w:spacing w:val="-4"/>
        </w:rPr>
        <w:t>严重进行性多</w:t>
      </w:r>
    </w:p>
    <w:p>
      <w:pPr>
        <w:spacing w:before="30"/>
        <w:ind w:left="0" w:right="0" w:firstLine="0"/>
        <w:jc w:val="right"/>
        <w:rPr>
          <w:rFonts w:ascii="华文中宋" w:eastAsia="华文中宋" w:hint="eastAsia"/>
          <w:b/>
          <w:sz w:val="22"/>
        </w:rPr>
      </w:pPr>
      <w:r>
        <w:rPr>
          <w:rFonts w:ascii="华文中宋" w:eastAsia="华文中宋" w:hint="eastAsia"/>
          <w:b/>
          <w:spacing w:val="-4"/>
          <w:sz w:val="22"/>
        </w:rPr>
        <w:t>灶性白质脑病</w:t>
      </w:r>
    </w:p>
    <w:p>
      <w:pPr>
        <w:pStyle w:val="BodyText"/>
        <w:spacing w:line="324" w:lineRule="auto" w:before="105"/>
        <w:ind w:left="152" w:right="150"/>
      </w:pPr>
      <w:r>
        <w:rPr/>
        <w:br w:type="column"/>
      </w:r>
      <w:r>
        <w:rPr>
          <w:spacing w:val="-2"/>
        </w:rPr>
        <w:t>是一种亚急性脱髓鞘脑病，其病原体多为乳头多瘤空泡病毒，常常发生于免疫缺陷病人。</w:t>
      </w:r>
      <w:r>
        <w:rPr>
          <w:color w:val="000000"/>
          <w:spacing w:val="-2"/>
          <w:shd w:fill="E4E4E4" w:color="auto" w:val="clear"/>
        </w:rPr>
        <w:t>必须满足下列所有条件：</w:t>
      </w:r>
    </w:p>
    <w:p>
      <w:pPr>
        <w:pStyle w:val="ListParagraph"/>
        <w:numPr>
          <w:ilvl w:val="0"/>
          <w:numId w:val="62"/>
        </w:numPr>
        <w:tabs>
          <w:tab w:pos="607" w:val="left" w:leader="none"/>
        </w:tabs>
        <w:spacing w:line="279" w:lineRule="exact" w:before="0" w:after="0"/>
        <w:ind w:left="606" w:right="0" w:hanging="455"/>
        <w:jc w:val="left"/>
        <w:rPr>
          <w:sz w:val="22"/>
        </w:rPr>
      </w:pPr>
      <w:r>
        <w:rPr>
          <w:spacing w:val="-3"/>
          <w:sz w:val="22"/>
        </w:rPr>
        <w:t>根据脑组织活检确诊；</w:t>
      </w:r>
    </w:p>
    <w:p>
      <w:pPr>
        <w:pStyle w:val="ListParagraph"/>
        <w:numPr>
          <w:ilvl w:val="0"/>
          <w:numId w:val="62"/>
        </w:numPr>
        <w:tabs>
          <w:tab w:pos="607" w:val="left" w:leader="none"/>
        </w:tabs>
        <w:spacing w:line="324" w:lineRule="auto" w:before="100" w:after="0"/>
        <w:ind w:left="606" w:right="150" w:hanging="454"/>
        <w:jc w:val="left"/>
        <w:rPr>
          <w:sz w:val="22"/>
        </w:rPr>
      </w:pPr>
      <w:r>
        <w:rPr>
          <w:spacing w:val="-2"/>
          <w:sz w:val="22"/>
        </w:rPr>
        <w:t>永久不可逆丧失自主生活能力，</w:t>
      </w:r>
      <w:r>
        <w:rPr>
          <w:color w:val="000000"/>
          <w:spacing w:val="-2"/>
          <w:sz w:val="22"/>
          <w:shd w:fill="E4E4E4" w:color="auto" w:val="clear"/>
        </w:rPr>
        <w:t>无法独立完成六项基本日常生活活动中</w:t>
      </w:r>
      <w:r>
        <w:rPr>
          <w:color w:val="000000"/>
          <w:spacing w:val="80"/>
          <w:w w:val="150"/>
          <w:sz w:val="22"/>
          <w:shd w:fill="E4E4E4" w:color="auto" w:val="clear"/>
        </w:rPr>
        <w:t>                                    </w:t>
      </w:r>
      <w:r>
        <w:rPr>
          <w:color w:val="000000"/>
          <w:spacing w:val="-2"/>
          <w:sz w:val="22"/>
          <w:shd w:fill="E4E4E4" w:color="auto" w:val="clear"/>
        </w:rPr>
        <w:t>的三项或三项以上。</w:t>
      </w:r>
    </w:p>
    <w:p>
      <w:pPr>
        <w:spacing w:after="0" w:line="324"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4"/>
        <w:rPr>
          <w:sz w:val="21"/>
        </w:rPr>
      </w:pPr>
    </w:p>
    <w:p>
      <w:pPr>
        <w:spacing w:after="0"/>
        <w:rPr>
          <w:sz w:val="21"/>
        </w:rPr>
        <w:sectPr>
          <w:type w:val="continuous"/>
          <w:pgSz w:w="11910" w:h="16840"/>
          <w:pgMar w:header="484" w:footer="706" w:top="1240" w:bottom="900" w:left="980" w:right="980"/>
        </w:sectPr>
      </w:pPr>
    </w:p>
    <w:p>
      <w:pPr>
        <w:pStyle w:val="Heading2"/>
        <w:numPr>
          <w:ilvl w:val="1"/>
          <w:numId w:val="28"/>
        </w:numPr>
        <w:tabs>
          <w:tab w:pos="955" w:val="left" w:leader="none"/>
        </w:tabs>
        <w:spacing w:line="261" w:lineRule="auto" w:before="75" w:after="0"/>
        <w:ind w:left="954" w:right="0" w:hanging="802"/>
        <w:jc w:val="left"/>
      </w:pPr>
      <w:r>
        <w:rPr>
          <w:spacing w:val="-2"/>
        </w:rPr>
        <w:t>严重强直性脊</w:t>
      </w:r>
      <w:r>
        <w:rPr>
          <w:spacing w:val="-6"/>
        </w:rPr>
        <w:t>柱炎</w:t>
      </w:r>
    </w:p>
    <w:p>
      <w:pPr>
        <w:pStyle w:val="BodyText"/>
        <w:spacing w:line="324" w:lineRule="auto" w:before="106"/>
        <w:ind w:left="152" w:right="150"/>
      </w:pPr>
      <w:r>
        <w:rPr/>
        <w:br w:type="column"/>
      </w:r>
      <w:r>
        <w:rPr>
          <w:spacing w:val="-2"/>
        </w:rPr>
        <w:t>强直性脊柱炎是一种慢性全身性炎性疾病，主要侵犯脊柱导致脊柱畸形。强直性脊柱炎</w:t>
      </w:r>
      <w:r>
        <w:rPr>
          <w:color w:val="000000"/>
          <w:spacing w:val="-2"/>
          <w:shd w:fill="E4E4E4" w:color="auto" w:val="clear"/>
        </w:rPr>
        <w:t>必须明确诊断并且满足下列所有条件：</w:t>
      </w:r>
    </w:p>
    <w:p>
      <w:pPr>
        <w:pStyle w:val="ListParagraph"/>
        <w:numPr>
          <w:ilvl w:val="0"/>
          <w:numId w:val="63"/>
        </w:numPr>
        <w:tabs>
          <w:tab w:pos="607" w:val="left" w:leader="none"/>
        </w:tabs>
        <w:spacing w:line="279" w:lineRule="exact" w:before="0" w:after="0"/>
        <w:ind w:left="606" w:right="0" w:hanging="455"/>
        <w:jc w:val="left"/>
        <w:rPr>
          <w:sz w:val="22"/>
        </w:rPr>
      </w:pPr>
      <w:r>
        <w:rPr>
          <w:spacing w:val="-4"/>
          <w:sz w:val="22"/>
        </w:rPr>
        <w:t>严重脊柱畸形；</w:t>
      </w:r>
    </w:p>
    <w:p>
      <w:pPr>
        <w:pStyle w:val="ListParagraph"/>
        <w:numPr>
          <w:ilvl w:val="0"/>
          <w:numId w:val="63"/>
        </w:numPr>
        <w:tabs>
          <w:tab w:pos="607" w:val="left" w:leader="none"/>
        </w:tabs>
        <w:spacing w:line="324" w:lineRule="auto" w:before="99" w:after="0"/>
        <w:ind w:left="606" w:right="150" w:hanging="454"/>
        <w:jc w:val="left"/>
        <w:rPr>
          <w:sz w:val="22"/>
        </w:rPr>
      </w:pPr>
      <w:r>
        <w:rPr>
          <w:spacing w:val="-2"/>
          <w:sz w:val="22"/>
        </w:rPr>
        <w:t>永久不可逆丧失自主生活能力，</w:t>
      </w:r>
      <w:r>
        <w:rPr>
          <w:color w:val="000000"/>
          <w:spacing w:val="-2"/>
          <w:sz w:val="22"/>
          <w:shd w:fill="E4E4E4" w:color="auto" w:val="clear"/>
        </w:rPr>
        <w:t>无法独立完成六项基本日常生活活动中</w:t>
      </w:r>
      <w:r>
        <w:rPr>
          <w:color w:val="000000"/>
          <w:spacing w:val="80"/>
          <w:w w:val="150"/>
          <w:sz w:val="22"/>
          <w:shd w:fill="E4E4E4" w:color="auto" w:val="clear"/>
        </w:rPr>
        <w:t>                                    </w:t>
      </w:r>
      <w:r>
        <w:rPr>
          <w:color w:val="000000"/>
          <w:spacing w:val="-2"/>
          <w:sz w:val="22"/>
          <w:shd w:fill="E4E4E4" w:color="auto" w:val="clear"/>
        </w:rPr>
        <w:t>的三项或三项以上。</w:t>
      </w:r>
    </w:p>
    <w:p>
      <w:pPr>
        <w:spacing w:after="0" w:line="324"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5"/>
        <w:rPr>
          <w:sz w:val="21"/>
        </w:rPr>
      </w:pPr>
    </w:p>
    <w:p>
      <w:pPr>
        <w:spacing w:after="0"/>
        <w:rPr>
          <w:sz w:val="21"/>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5" w:after="0"/>
        <w:ind w:left="954" w:right="0" w:hanging="955"/>
        <w:jc w:val="right"/>
      </w:pPr>
      <w:r>
        <w:rPr>
          <w:spacing w:val="-4"/>
        </w:rPr>
        <w:t>严重多处臂丛</w:t>
      </w:r>
    </w:p>
    <w:p>
      <w:pPr>
        <w:spacing w:before="30"/>
        <w:ind w:left="0" w:right="0" w:firstLine="0"/>
        <w:jc w:val="right"/>
        <w:rPr>
          <w:rFonts w:ascii="华文中宋" w:eastAsia="华文中宋" w:hint="eastAsia"/>
          <w:b/>
          <w:sz w:val="22"/>
        </w:rPr>
      </w:pPr>
      <w:r>
        <w:rPr>
          <w:rFonts w:ascii="华文中宋" w:eastAsia="华文中宋" w:hint="eastAsia"/>
          <w:b/>
          <w:spacing w:val="-4"/>
          <w:sz w:val="22"/>
        </w:rPr>
        <w:t>神经根性撕脱</w:t>
      </w:r>
    </w:p>
    <w:p>
      <w:pPr>
        <w:pStyle w:val="BodyText"/>
        <w:spacing w:line="324" w:lineRule="auto" w:before="105"/>
        <w:ind w:left="152" w:right="152"/>
      </w:pPr>
      <w:r>
        <w:rPr/>
        <w:br w:type="column"/>
      </w:r>
      <w:r>
        <w:rPr>
          <w:spacing w:val="2"/>
          <w:w w:val="100"/>
        </w:rPr>
        <w:t>由于疾病或意外导致至少两根臂丛神经根性撕脱，且自确诊</w:t>
      </w:r>
      <w:r>
        <w:rPr>
          <w:spacing w:val="-1"/>
          <w:w w:val="100"/>
        </w:rPr>
        <w:t>18</w:t>
      </w:r>
      <w:r>
        <w:rPr>
          <w:spacing w:val="2"/>
          <w:w w:val="100"/>
        </w:rPr>
        <w:t>0天后仍遗留</w:t>
      </w:r>
      <w:r>
        <w:rPr>
          <w:spacing w:val="-3"/>
          <w:w w:val="100"/>
        </w:rPr>
        <w:t>双侧手臂感觉功能与运动功能完全永久性丧失。</w:t>
      </w:r>
      <w:r>
        <w:rPr>
          <w:color w:val="000000"/>
          <w:spacing w:val="-3"/>
          <w:w w:val="100"/>
          <w:shd w:fill="E4E4E4" w:color="auto" w:val="clear"/>
        </w:rPr>
        <w:t>须有电生理检查结果证实。</w:t>
      </w:r>
    </w:p>
    <w:p>
      <w:pPr>
        <w:spacing w:after="0" w:line="324" w:lineRule="auto"/>
        <w:sectPr>
          <w:type w:val="continuous"/>
          <w:pgSz w:w="11910" w:h="16840"/>
          <w:pgMar w:header="484" w:footer="706" w:top="1240" w:bottom="900" w:left="980" w:right="980"/>
          <w:cols w:num="2" w:equalWidth="0">
            <w:col w:w="2277" w:space="51"/>
            <w:col w:w="7622"/>
          </w:cols>
        </w:sectPr>
      </w:pPr>
    </w:p>
    <w:p>
      <w:pPr>
        <w:pStyle w:val="BodyText"/>
        <w:spacing w:before="5"/>
        <w:rPr>
          <w:sz w:val="21"/>
        </w:rPr>
      </w:pPr>
    </w:p>
    <w:p>
      <w:pPr>
        <w:spacing w:after="0"/>
        <w:rPr>
          <w:sz w:val="21"/>
        </w:rPr>
        <w:sectPr>
          <w:type w:val="continuous"/>
          <w:pgSz w:w="11910" w:h="16840"/>
          <w:pgMar w:header="484" w:footer="706" w:top="1240" w:bottom="900" w:left="980" w:right="980"/>
        </w:sectPr>
      </w:pPr>
    </w:p>
    <w:p>
      <w:pPr>
        <w:pStyle w:val="Heading2"/>
        <w:numPr>
          <w:ilvl w:val="1"/>
          <w:numId w:val="28"/>
        </w:numPr>
        <w:tabs>
          <w:tab w:pos="955" w:val="left" w:leader="none"/>
        </w:tabs>
        <w:spacing w:line="261" w:lineRule="auto" w:before="75" w:after="0"/>
        <w:ind w:left="954" w:right="0" w:hanging="802"/>
        <w:jc w:val="left"/>
      </w:pPr>
      <w:r>
        <w:rPr>
          <w:spacing w:val="-2"/>
        </w:rPr>
        <w:t>溶血性尿毒综</w:t>
      </w:r>
      <w:r>
        <w:rPr>
          <w:spacing w:val="-6"/>
        </w:rPr>
        <w:t>合征</w:t>
      </w:r>
    </w:p>
    <w:p>
      <w:pPr>
        <w:pStyle w:val="BodyText"/>
        <w:spacing w:line="324" w:lineRule="auto" w:before="105"/>
        <w:ind w:left="152" w:right="150"/>
        <w:jc w:val="both"/>
      </w:pPr>
      <w:r>
        <w:rPr/>
        <w:br w:type="column"/>
      </w:r>
      <w:r>
        <w:rPr>
          <w:spacing w:val="-2"/>
        </w:rPr>
        <w:t>一种由于感染导致的急性综合征，引起红细胞溶血，肾功能衰竭及尿毒症。溶血尿毒综合征必须由血液和肾脏专科医师诊断，</w:t>
      </w:r>
      <w:r>
        <w:rPr>
          <w:color w:val="000000"/>
          <w:spacing w:val="-2"/>
          <w:shd w:fill="E4E4E4" w:color="auto" w:val="clear"/>
        </w:rPr>
        <w:t>被保险人理赔时年龄须在</w:t>
      </w:r>
      <w:r>
        <w:rPr>
          <w:color w:val="000000"/>
          <w:spacing w:val="40"/>
          <w:shd w:fill="E4E4E4" w:color="auto" w:val="clear"/>
        </w:rPr>
        <w:t> </w:t>
      </w:r>
      <w:r>
        <w:rPr>
          <w:color w:val="000000"/>
          <w:spacing w:val="-2"/>
          <w:shd w:fill="E4E4E4" w:color="auto" w:val="clear"/>
        </w:rPr>
        <w:t>二十五周岁以下，并且满足下列所有条件：</w:t>
      </w:r>
    </w:p>
    <w:p>
      <w:pPr>
        <w:pStyle w:val="ListParagraph"/>
        <w:numPr>
          <w:ilvl w:val="0"/>
          <w:numId w:val="64"/>
        </w:numPr>
        <w:tabs>
          <w:tab w:pos="607" w:val="left" w:leader="none"/>
        </w:tabs>
        <w:spacing w:line="280" w:lineRule="exact" w:before="0" w:after="0"/>
        <w:ind w:left="606" w:right="0" w:hanging="455"/>
        <w:jc w:val="both"/>
        <w:rPr>
          <w:sz w:val="22"/>
        </w:rPr>
      </w:pPr>
      <w:r>
        <w:rPr>
          <w:spacing w:val="-3"/>
          <w:sz w:val="22"/>
        </w:rPr>
        <w:t>实验室检查确认有溶血性贫血、血尿、尿毒症、血小板减少性紫癜；</w:t>
      </w:r>
    </w:p>
    <w:p>
      <w:pPr>
        <w:pStyle w:val="ListParagraph"/>
        <w:numPr>
          <w:ilvl w:val="0"/>
          <w:numId w:val="64"/>
        </w:numPr>
        <w:tabs>
          <w:tab w:pos="607" w:val="left" w:leader="none"/>
        </w:tabs>
        <w:spacing w:line="240" w:lineRule="auto" w:before="97" w:after="0"/>
        <w:ind w:left="606" w:right="0" w:hanging="455"/>
        <w:jc w:val="both"/>
        <w:rPr>
          <w:sz w:val="22"/>
        </w:rPr>
      </w:pPr>
      <w:r>
        <w:rPr>
          <w:spacing w:val="-3"/>
          <w:sz w:val="22"/>
        </w:rPr>
        <w:t>因肾脏功能衰竭实施了肾脏透析治疗。</w:t>
      </w:r>
    </w:p>
    <w:p>
      <w:pPr>
        <w:pStyle w:val="BodyText"/>
        <w:spacing w:line="324" w:lineRule="auto" w:before="98"/>
        <w:ind w:left="152" w:right="150"/>
      </w:pPr>
      <w:r>
        <w:rPr>
          <w:color w:val="000000"/>
          <w:spacing w:val="-2"/>
          <w:shd w:fill="E4E4E4" w:color="auto" w:val="clear"/>
        </w:rPr>
        <w:t>任何非因感染导致的溶血性贫血，如：自身免疫性溶血性贫血、与红细胞膜</w:t>
      </w:r>
      <w:r>
        <w:rPr>
          <w:color w:val="000000"/>
          <w:spacing w:val="80"/>
          <w:w w:val="150"/>
          <w:shd w:fill="E4E4E4" w:color="auto" w:val="clear"/>
        </w:rPr>
        <w:t>                                       </w:t>
      </w:r>
      <w:r>
        <w:rPr>
          <w:color w:val="000000"/>
          <w:spacing w:val="-2"/>
          <w:shd w:fill="E4E4E4" w:color="auto" w:val="clear"/>
        </w:rPr>
        <w:t>缺陷有关的溶血性贫血、红细胞酶病、血红蛋白病等，不在保障范围内。</w:t>
      </w:r>
    </w:p>
    <w:p>
      <w:pPr>
        <w:spacing w:after="0" w:line="324" w:lineRule="auto"/>
        <w:sectPr>
          <w:type w:val="continuous"/>
          <w:pgSz w:w="11910" w:h="16840"/>
          <w:pgMar w:header="484" w:footer="706" w:top="1240" w:bottom="900" w:left="980" w:right="980"/>
          <w:cols w:num="2" w:equalWidth="0">
            <w:col w:w="2277" w:space="51"/>
            <w:col w:w="7622"/>
          </w:cols>
        </w:sectPr>
      </w:pPr>
    </w:p>
    <w:p>
      <w:pPr>
        <w:pStyle w:val="BodyText"/>
        <w:spacing w:before="7"/>
        <w:rPr>
          <w:sz w:val="21"/>
        </w:rPr>
      </w:pPr>
    </w:p>
    <w:p>
      <w:pPr>
        <w:spacing w:after="0"/>
        <w:rPr>
          <w:sz w:val="21"/>
        </w:rPr>
        <w:sectPr>
          <w:type w:val="continuous"/>
          <w:pgSz w:w="11910" w:h="16840"/>
          <w:pgMar w:header="484" w:footer="706" w:top="1240" w:bottom="900" w:left="980" w:right="980"/>
        </w:sectPr>
      </w:pPr>
    </w:p>
    <w:p>
      <w:pPr>
        <w:pStyle w:val="Heading2"/>
        <w:numPr>
          <w:ilvl w:val="1"/>
          <w:numId w:val="28"/>
        </w:numPr>
        <w:tabs>
          <w:tab w:pos="955" w:val="left" w:leader="none"/>
        </w:tabs>
        <w:spacing w:line="261" w:lineRule="auto" w:before="72" w:after="0"/>
        <w:ind w:left="954" w:right="38" w:hanging="802"/>
        <w:jc w:val="left"/>
      </w:pPr>
      <w:r>
        <w:rPr>
          <w:spacing w:val="-2"/>
        </w:rPr>
        <w:t>Brugada</w:t>
      </w:r>
      <w:r>
        <w:rPr>
          <w:spacing w:val="-2"/>
        </w:rPr>
        <w:t>综</w:t>
      </w:r>
      <w:r>
        <w:rPr>
          <w:spacing w:val="-6"/>
        </w:rPr>
        <w:t>合征</w:t>
      </w:r>
    </w:p>
    <w:p>
      <w:pPr>
        <w:pStyle w:val="BodyText"/>
        <w:spacing w:line="324" w:lineRule="auto" w:before="103"/>
        <w:ind w:left="152" w:right="150"/>
      </w:pPr>
      <w:r>
        <w:rPr/>
        <w:br w:type="column"/>
      </w:r>
      <w:r>
        <w:rPr>
          <w:spacing w:val="4"/>
          <w:w w:val="100"/>
        </w:rPr>
        <w:t>指由心脏专科医生诊断为夜间呼吸骤停</w:t>
      </w:r>
      <w:r>
        <w:rPr>
          <w:spacing w:val="2"/>
          <w:w w:val="100"/>
        </w:rPr>
        <w:t>（</w:t>
      </w:r>
      <w:r>
        <w:rPr>
          <w:spacing w:val="-1"/>
          <w:w w:val="100"/>
        </w:rPr>
        <w:t>Bruga</w:t>
      </w:r>
      <w:r>
        <w:rPr>
          <w:spacing w:val="-3"/>
          <w:w w:val="100"/>
        </w:rPr>
        <w:t>d</w:t>
      </w:r>
      <w:r>
        <w:rPr>
          <w:spacing w:val="7"/>
          <w:w w:val="100"/>
        </w:rPr>
        <w:t>a</w:t>
      </w:r>
      <w:r>
        <w:rPr>
          <w:spacing w:val="4"/>
          <w:w w:val="100"/>
        </w:rPr>
        <w:t>）综合征，</w:t>
      </w:r>
      <w:r>
        <w:rPr>
          <w:color w:val="000000"/>
          <w:spacing w:val="3"/>
          <w:w w:val="100"/>
          <w:shd w:fill="E4E4E4" w:color="auto" w:val="clear"/>
        </w:rPr>
        <w:t>且满足下列全</w:t>
      </w:r>
      <w:r>
        <w:rPr>
          <w:color w:val="000000"/>
          <w:spacing w:val="-2"/>
          <w:w w:val="100"/>
          <w:shd w:fill="E4E4E4" w:color="auto" w:val="clear"/>
        </w:rPr>
        <w:t>部条件：</w:t>
      </w:r>
    </w:p>
    <w:p>
      <w:pPr>
        <w:pStyle w:val="ListParagraph"/>
        <w:numPr>
          <w:ilvl w:val="0"/>
          <w:numId w:val="65"/>
        </w:numPr>
        <w:tabs>
          <w:tab w:pos="607" w:val="left" w:leader="none"/>
        </w:tabs>
        <w:spacing w:line="282" w:lineRule="exact" w:before="0" w:after="0"/>
        <w:ind w:left="606" w:right="0" w:hanging="455"/>
        <w:jc w:val="left"/>
        <w:rPr>
          <w:sz w:val="22"/>
        </w:rPr>
      </w:pPr>
      <w:r>
        <w:rPr>
          <w:spacing w:val="-3"/>
          <w:sz w:val="22"/>
        </w:rPr>
        <w:t>有晕厥或心脏骤停病史，并提供完整的诊疗记录；</w:t>
      </w:r>
    </w:p>
    <w:p>
      <w:pPr>
        <w:pStyle w:val="ListParagraph"/>
        <w:numPr>
          <w:ilvl w:val="0"/>
          <w:numId w:val="65"/>
        </w:numPr>
        <w:tabs>
          <w:tab w:pos="607" w:val="left" w:leader="none"/>
        </w:tabs>
        <w:spacing w:line="240" w:lineRule="auto" w:before="97" w:after="0"/>
        <w:ind w:left="606" w:right="0" w:hanging="455"/>
        <w:jc w:val="left"/>
        <w:rPr>
          <w:sz w:val="22"/>
        </w:rPr>
      </w:pPr>
      <w:r>
        <w:rPr>
          <w:spacing w:val="-2"/>
          <w:sz w:val="22"/>
        </w:rPr>
        <w:t>心电图有典型的Ⅰ型Brugada</w:t>
      </w:r>
      <w:r>
        <w:rPr>
          <w:spacing w:val="-6"/>
          <w:sz w:val="22"/>
        </w:rPr>
        <w:t>波；</w:t>
      </w:r>
    </w:p>
    <w:p>
      <w:pPr>
        <w:pStyle w:val="ListParagraph"/>
        <w:numPr>
          <w:ilvl w:val="0"/>
          <w:numId w:val="65"/>
        </w:numPr>
        <w:tabs>
          <w:tab w:pos="607" w:val="left" w:leader="none"/>
        </w:tabs>
        <w:spacing w:line="240" w:lineRule="auto" w:before="100" w:after="0"/>
        <w:ind w:left="606" w:right="0" w:hanging="455"/>
        <w:jc w:val="left"/>
        <w:rPr>
          <w:sz w:val="22"/>
        </w:rPr>
      </w:pPr>
      <w:r>
        <w:rPr>
          <w:spacing w:val="-3"/>
          <w:sz w:val="22"/>
        </w:rPr>
        <w:t>已经安装了永久性心脏除颤器。</w:t>
      </w:r>
    </w:p>
    <w:p>
      <w:pPr>
        <w:spacing w:after="0" w:line="240" w:lineRule="auto"/>
        <w:jc w:val="left"/>
        <w:rPr>
          <w:sz w:val="22"/>
        </w:rPr>
        <w:sectPr>
          <w:type w:val="continuous"/>
          <w:pgSz w:w="11910" w:h="16840"/>
          <w:pgMar w:header="484" w:footer="706" w:top="1240" w:bottom="900" w:left="980" w:right="980"/>
          <w:cols w:num="2" w:equalWidth="0">
            <w:col w:w="2138" w:space="190"/>
            <w:col w:w="7622"/>
          </w:cols>
        </w:sectPr>
      </w:pPr>
    </w:p>
    <w:p>
      <w:pPr>
        <w:pStyle w:val="BodyText"/>
        <w:rPr>
          <w:sz w:val="12"/>
        </w:rPr>
      </w:pPr>
    </w:p>
    <w:p>
      <w:pPr>
        <w:spacing w:after="0"/>
        <w:rPr>
          <w:sz w:val="12"/>
        </w:rPr>
        <w:sectPr>
          <w:pgSz w:w="11910" w:h="16840"/>
          <w:pgMar w:header="484" w:footer="706" w:top="1240" w:bottom="900" w:left="980" w:right="980"/>
        </w:sectPr>
      </w:pPr>
    </w:p>
    <w:p>
      <w:pPr>
        <w:pStyle w:val="Heading2"/>
        <w:numPr>
          <w:ilvl w:val="1"/>
          <w:numId w:val="28"/>
        </w:numPr>
        <w:tabs>
          <w:tab w:pos="955" w:val="left" w:leader="none"/>
        </w:tabs>
        <w:spacing w:line="261" w:lineRule="auto" w:before="73" w:after="0"/>
        <w:ind w:left="954" w:right="0" w:hanging="802"/>
        <w:jc w:val="left"/>
      </w:pPr>
      <w:r>
        <w:rPr>
          <w:spacing w:val="-2"/>
        </w:rPr>
        <w:t>严重巨细胞动</w:t>
      </w:r>
      <w:r>
        <w:rPr>
          <w:spacing w:val="-6"/>
        </w:rPr>
        <w:t>脉炎</w:t>
      </w:r>
    </w:p>
    <w:p>
      <w:pPr>
        <w:pStyle w:val="BodyText"/>
        <w:spacing w:line="324" w:lineRule="auto" w:before="103"/>
        <w:ind w:left="152" w:right="150"/>
        <w:jc w:val="both"/>
      </w:pPr>
      <w:r>
        <w:rPr/>
        <w:br w:type="column"/>
      </w:r>
      <w:r>
        <w:rPr>
          <w:spacing w:val="-1"/>
          <w:w w:val="100"/>
        </w:rPr>
        <w:t>巨细胞动脉炎又称颅动脉炎、颞动脉炎、肉芽肿性动脉炎，须经我们认可医院的专科医生明确诊断，并造成永久不可逆性的单个肢体功能障碍或单眼失</w:t>
      </w:r>
      <w:r>
        <w:rPr>
          <w:spacing w:val="6"/>
          <w:w w:val="100"/>
        </w:rPr>
        <w:t>明。单眼失明指单眼视力永久不可逆性丧失，患眼须满足下列至少一项条</w:t>
      </w:r>
      <w:r>
        <w:rPr>
          <w:spacing w:val="-1"/>
          <w:w w:val="100"/>
        </w:rPr>
        <w:t>件：</w:t>
      </w:r>
    </w:p>
    <w:p>
      <w:pPr>
        <w:pStyle w:val="ListParagraph"/>
        <w:numPr>
          <w:ilvl w:val="0"/>
          <w:numId w:val="66"/>
        </w:numPr>
        <w:tabs>
          <w:tab w:pos="607" w:val="left" w:leader="none"/>
        </w:tabs>
        <w:spacing w:line="281" w:lineRule="exact" w:before="0" w:after="0"/>
        <w:ind w:left="606" w:right="0" w:hanging="455"/>
        <w:jc w:val="left"/>
        <w:rPr>
          <w:sz w:val="22"/>
        </w:rPr>
      </w:pPr>
      <w:r>
        <w:rPr>
          <w:spacing w:val="-3"/>
          <w:sz w:val="22"/>
        </w:rPr>
        <w:t>眼球缺失或者摘除；</w:t>
      </w:r>
    </w:p>
    <w:p>
      <w:pPr>
        <w:pStyle w:val="ListParagraph"/>
        <w:numPr>
          <w:ilvl w:val="0"/>
          <w:numId w:val="66"/>
        </w:numPr>
        <w:tabs>
          <w:tab w:pos="607" w:val="left" w:leader="none"/>
        </w:tabs>
        <w:spacing w:line="324" w:lineRule="auto" w:before="97" w:after="0"/>
        <w:ind w:left="606" w:right="152" w:hanging="454"/>
        <w:jc w:val="left"/>
        <w:rPr>
          <w:sz w:val="22"/>
        </w:rPr>
      </w:pPr>
      <w:r>
        <w:rPr>
          <w:spacing w:val="-4"/>
          <w:sz w:val="22"/>
        </w:rPr>
        <w:t>矫正视力低于 </w:t>
      </w:r>
      <w:r>
        <w:rPr>
          <w:sz w:val="22"/>
        </w:rPr>
        <w:t>0.02（采用国际标准视力表，如果使用其它视力表应进</w:t>
      </w:r>
      <w:r>
        <w:rPr>
          <w:spacing w:val="-2"/>
          <w:sz w:val="22"/>
        </w:rPr>
        <w:t>行换算）；</w:t>
      </w:r>
    </w:p>
    <w:p>
      <w:pPr>
        <w:pStyle w:val="ListParagraph"/>
        <w:numPr>
          <w:ilvl w:val="0"/>
          <w:numId w:val="66"/>
        </w:numPr>
        <w:tabs>
          <w:tab w:pos="607" w:val="left" w:leader="none"/>
        </w:tabs>
        <w:spacing w:line="282" w:lineRule="exact" w:before="0" w:after="0"/>
        <w:ind w:left="606" w:right="0" w:hanging="455"/>
        <w:jc w:val="left"/>
        <w:rPr>
          <w:sz w:val="22"/>
        </w:rPr>
      </w:pPr>
      <w:r>
        <w:rPr>
          <w:spacing w:val="-10"/>
          <w:sz w:val="22"/>
        </w:rPr>
        <w:t>视野半径小于 </w:t>
      </w:r>
      <w:r>
        <w:rPr>
          <w:spacing w:val="-2"/>
          <w:sz w:val="22"/>
        </w:rPr>
        <w:t>5</w:t>
      </w:r>
      <w:r>
        <w:rPr>
          <w:spacing w:val="-22"/>
          <w:sz w:val="22"/>
        </w:rPr>
        <w:t> 度。</w:t>
      </w:r>
    </w:p>
    <w:p>
      <w:pPr>
        <w:spacing w:after="0" w:line="282" w:lineRule="exact"/>
        <w:jc w:val="left"/>
        <w:rPr>
          <w:sz w:val="22"/>
        </w:rPr>
        <w:sectPr>
          <w:type w:val="continuous"/>
          <w:pgSz w:w="11910" w:h="16840"/>
          <w:pgMar w:header="484" w:footer="706" w:top="1240" w:bottom="900" w:left="980" w:right="980"/>
          <w:cols w:num="2" w:equalWidth="0">
            <w:col w:w="2277" w:space="51"/>
            <w:col w:w="7622"/>
          </w:cols>
        </w:sectPr>
      </w:pPr>
    </w:p>
    <w:p>
      <w:pPr>
        <w:pStyle w:val="BodyText"/>
        <w:spacing w:before="3"/>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2" w:after="0"/>
        <w:ind w:left="954" w:right="0" w:hanging="803"/>
        <w:jc w:val="left"/>
      </w:pPr>
      <w:r>
        <w:rPr>
          <w:spacing w:val="-4"/>
        </w:rPr>
        <w:t>严重继发性肺</w:t>
      </w:r>
    </w:p>
    <w:p>
      <w:pPr>
        <w:spacing w:before="30"/>
        <w:ind w:left="954" w:right="0" w:firstLine="0"/>
        <w:jc w:val="left"/>
        <w:rPr>
          <w:rFonts w:ascii="华文中宋" w:eastAsia="华文中宋" w:hint="eastAsia"/>
          <w:b/>
          <w:sz w:val="22"/>
        </w:rPr>
      </w:pPr>
      <w:r>
        <w:rPr>
          <w:rFonts w:ascii="华文中宋" w:eastAsia="华文中宋" w:hint="eastAsia"/>
          <w:b/>
          <w:spacing w:val="-5"/>
          <w:sz w:val="22"/>
        </w:rPr>
        <w:t>动脉高压</w:t>
      </w:r>
    </w:p>
    <w:p>
      <w:pPr>
        <w:pStyle w:val="BodyText"/>
        <w:spacing w:line="324" w:lineRule="auto" w:before="102"/>
        <w:ind w:left="152" w:right="150"/>
        <w:jc w:val="both"/>
      </w:pPr>
      <w:r>
        <w:rPr/>
        <w:br w:type="column"/>
      </w:r>
      <w:r>
        <w:rPr>
          <w:spacing w:val="-2"/>
        </w:rPr>
        <w:t>继发性肺动脉压力持续增高，导致右心室肥厚，已经造成永久不可逆性的体力活动能力受限，达到美国纽约心脏病学会心功能状态分级IV级，且静息状态下肺动脉平均压在36mmHg（含）以上。</w:t>
      </w:r>
    </w:p>
    <w:p>
      <w:pPr>
        <w:pStyle w:val="BodyText"/>
        <w:spacing w:line="280" w:lineRule="exact"/>
        <w:ind w:left="152"/>
      </w:pPr>
      <w:r>
        <w:rPr>
          <w:color w:val="000000"/>
          <w:spacing w:val="-3"/>
          <w:shd w:fill="E4E4E4" w:color="auto" w:val="clear"/>
        </w:rPr>
        <w:t>所有先天性心脏疾病直接或间接引起的肺动脉高压不在保障范围内。</w:t>
      </w:r>
    </w:p>
    <w:p>
      <w:pPr>
        <w:spacing w:after="0" w:line="280" w:lineRule="exact"/>
        <w:sectPr>
          <w:type w:val="continuous"/>
          <w:pgSz w:w="11910" w:h="16840"/>
          <w:pgMar w:header="484" w:footer="706" w:top="1240" w:bottom="900" w:left="980" w:right="980"/>
          <w:cols w:num="2" w:equalWidth="0">
            <w:col w:w="2277" w:space="51"/>
            <w:col w:w="7622"/>
          </w:cols>
        </w:sectPr>
      </w:pPr>
    </w:p>
    <w:p>
      <w:pPr>
        <w:pStyle w:val="BodyText"/>
        <w:spacing w:before="5"/>
        <w:rPr>
          <w:sz w:val="29"/>
        </w:rPr>
      </w:pPr>
    </w:p>
    <w:p>
      <w:pPr>
        <w:pStyle w:val="ListParagraph"/>
        <w:numPr>
          <w:ilvl w:val="1"/>
          <w:numId w:val="28"/>
        </w:numPr>
        <w:tabs>
          <w:tab w:pos="955" w:val="left" w:leader="none"/>
        </w:tabs>
        <w:spacing w:line="302" w:lineRule="auto" w:before="72" w:after="0"/>
        <w:ind w:left="2480" w:right="150" w:hanging="2328"/>
        <w:jc w:val="both"/>
        <w:rPr>
          <w:sz w:val="22"/>
        </w:rPr>
      </w:pPr>
      <w:r>
        <w:rPr>
          <w:rFonts w:ascii="华文中宋" w:eastAsia="华文中宋" w:hint="eastAsia"/>
          <w:b/>
          <w:spacing w:val="34"/>
          <w:sz w:val="22"/>
        </w:rPr>
        <w:t>严重癫痫   </w:t>
      </w:r>
      <w:r>
        <w:rPr>
          <w:sz w:val="22"/>
        </w:rPr>
        <w:t>本病的诊断须由神经科或儿科专科医生根据典型临床症状和脑电图及MRI、 </w:t>
      </w:r>
      <w:r>
        <w:rPr>
          <w:spacing w:val="-2"/>
          <w:sz w:val="22"/>
        </w:rPr>
        <w:t>PET、CT等影相学检查做出。理赔时必须提供6个月以上的相关病历记录证明被保险人存在经抗癫痫药物治疗无效而反复发作的强直阵挛性发作或癫痫大</w:t>
      </w:r>
    </w:p>
    <w:p>
      <w:pPr>
        <w:pStyle w:val="BodyText"/>
        <w:spacing w:before="20"/>
        <w:ind w:left="2480"/>
      </w:pPr>
      <w:r>
        <w:rPr>
          <w:spacing w:val="-3"/>
        </w:rPr>
        <w:t>发作，且已行神经外科手术以治疗反复发作的癫痫。</w:t>
      </w:r>
    </w:p>
    <w:p>
      <w:pPr>
        <w:pStyle w:val="BodyText"/>
        <w:spacing w:line="324" w:lineRule="auto" w:before="98"/>
        <w:ind w:left="2480" w:right="150"/>
      </w:pPr>
      <w:r>
        <w:rPr>
          <w:color w:val="000000"/>
          <w:spacing w:val="7"/>
          <w:w w:val="100"/>
          <w:shd w:fill="E4E4E4" w:color="auto" w:val="clear"/>
        </w:rPr>
        <w:t>发热性惊厥以及没有全身性发作的失神发作（癫痫小发作）</w:t>
      </w:r>
      <w:r>
        <w:rPr>
          <w:color w:val="000000"/>
          <w:spacing w:val="3"/>
          <w:w w:val="100"/>
          <w:shd w:fill="E4E4E4" w:color="auto" w:val="clear"/>
        </w:rPr>
        <w:t>不在保障范围</w:t>
      </w:r>
      <w:r>
        <w:rPr>
          <w:color w:val="000000"/>
          <w:spacing w:val="-1"/>
          <w:w w:val="100"/>
          <w:shd w:fill="E4E4E4" w:color="auto" w:val="clear"/>
        </w:rPr>
        <w:t>内。</w:t>
      </w:r>
    </w:p>
    <w:p>
      <w:pPr>
        <w:pStyle w:val="BodyText"/>
        <w:spacing w:before="2"/>
        <w:rPr>
          <w:sz w:val="27"/>
        </w:rPr>
      </w:pPr>
    </w:p>
    <w:p>
      <w:pPr>
        <w:pStyle w:val="ListParagraph"/>
        <w:numPr>
          <w:ilvl w:val="1"/>
          <w:numId w:val="28"/>
        </w:numPr>
        <w:tabs>
          <w:tab w:pos="955" w:val="left" w:leader="none"/>
        </w:tabs>
        <w:spacing w:line="283" w:lineRule="auto" w:before="1" w:after="0"/>
        <w:ind w:left="2480" w:right="150" w:hanging="2328"/>
        <w:jc w:val="both"/>
        <w:rPr>
          <w:sz w:val="22"/>
        </w:rPr>
      </w:pPr>
      <w:r>
        <w:rPr>
          <w:rFonts w:ascii="华文中宋" w:eastAsia="华文中宋" w:hint="eastAsia"/>
          <w:b/>
          <w:spacing w:val="22"/>
          <w:sz w:val="22"/>
        </w:rPr>
        <w:t>神经白塞病  </w:t>
      </w:r>
      <w:r>
        <w:rPr>
          <w:sz w:val="22"/>
        </w:rPr>
        <w:t>白塞病是一种慢性全身性血管炎症性疾病，主要表现为复发性口腔溃疡、生</w:t>
      </w:r>
      <w:r>
        <w:rPr>
          <w:spacing w:val="-2"/>
          <w:sz w:val="22"/>
        </w:rPr>
        <w:t>殖器溃疡、眼炎及皮肤损害，并可累及大血管、神经系统、消化道、肺、肾</w:t>
      </w:r>
    </w:p>
    <w:p>
      <w:pPr>
        <w:pStyle w:val="BodyText"/>
        <w:spacing w:line="324" w:lineRule="auto" w:before="46"/>
        <w:ind w:left="2480" w:right="150"/>
        <w:jc w:val="both"/>
      </w:pPr>
      <w:r>
        <w:rPr>
          <w:spacing w:val="-2"/>
        </w:rPr>
        <w:t>等等。累及神经系统损害的白塞病称为神经白塞病。神经白塞病必须明确诊断，并且已经造成永久不可逆的神经系统功能损害。永久不可逆的神经系统损害指被保险人持续180天无法独立完成下列基本日常生活活动之一：</w:t>
      </w:r>
    </w:p>
    <w:p>
      <w:pPr>
        <w:pStyle w:val="ListParagraph"/>
        <w:numPr>
          <w:ilvl w:val="2"/>
          <w:numId w:val="28"/>
        </w:numPr>
        <w:tabs>
          <w:tab w:pos="2935" w:val="left" w:leader="none"/>
        </w:tabs>
        <w:spacing w:line="280" w:lineRule="exact" w:before="0" w:after="0"/>
        <w:ind w:left="2934" w:right="0" w:hanging="455"/>
        <w:jc w:val="both"/>
        <w:rPr>
          <w:sz w:val="22"/>
        </w:rPr>
      </w:pPr>
      <w:r>
        <w:rPr>
          <w:spacing w:val="-3"/>
          <w:sz w:val="22"/>
        </w:rPr>
        <w:t>移动：自己从一个房间到另一个房间；</w:t>
      </w:r>
    </w:p>
    <w:p>
      <w:pPr>
        <w:pStyle w:val="ListParagraph"/>
        <w:numPr>
          <w:ilvl w:val="2"/>
          <w:numId w:val="28"/>
        </w:numPr>
        <w:tabs>
          <w:tab w:pos="2935" w:val="left" w:leader="none"/>
        </w:tabs>
        <w:spacing w:line="240" w:lineRule="auto" w:before="97" w:after="0"/>
        <w:ind w:left="2934" w:right="0" w:hanging="455"/>
        <w:jc w:val="both"/>
        <w:rPr>
          <w:sz w:val="22"/>
        </w:rPr>
      </w:pPr>
      <w:r>
        <w:rPr>
          <w:spacing w:val="-3"/>
          <w:sz w:val="22"/>
        </w:rPr>
        <w:t>进食：自己从已准备好的碗或碟中取食物放入口中。</w:t>
      </w:r>
    </w:p>
    <w:p>
      <w:pPr>
        <w:pStyle w:val="BodyText"/>
        <w:spacing w:before="5"/>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2" w:after="0"/>
        <w:ind w:left="954" w:right="0" w:hanging="803"/>
        <w:jc w:val="left"/>
      </w:pPr>
      <w:r>
        <w:rPr>
          <w:spacing w:val="-4"/>
        </w:rPr>
        <w:t>室壁瘤切除手</w:t>
      </w:r>
    </w:p>
    <w:p>
      <w:pPr>
        <w:spacing w:before="31"/>
        <w:ind w:left="954" w:right="0" w:firstLine="0"/>
        <w:jc w:val="left"/>
        <w:rPr>
          <w:rFonts w:ascii="华文中宋" w:eastAsia="华文中宋" w:hint="eastAsia"/>
          <w:b/>
          <w:sz w:val="22"/>
        </w:rPr>
      </w:pPr>
      <w:r>
        <w:rPr>
          <w:rFonts w:ascii="华文中宋" w:eastAsia="华文中宋" w:hint="eastAsia"/>
          <w:b/>
          <w:w w:val="100"/>
          <w:sz w:val="22"/>
        </w:rPr>
        <w:t>术</w:t>
      </w:r>
    </w:p>
    <w:p>
      <w:pPr>
        <w:pStyle w:val="BodyText"/>
        <w:spacing w:before="103"/>
        <w:ind w:left="152"/>
      </w:pPr>
      <w:r>
        <w:rPr/>
        <w:br w:type="column"/>
      </w:r>
      <w:r>
        <w:rPr>
          <w:spacing w:val="-2"/>
        </w:rPr>
        <w:t>指因心肌梗死导致室壁瘤，</w:t>
      </w:r>
      <w:r>
        <w:rPr>
          <w:color w:val="000000"/>
          <w:spacing w:val="-3"/>
          <w:shd w:fill="E4E4E4" w:color="auto" w:val="clear"/>
        </w:rPr>
        <w:t>实际实施了开胸开心室壁瘤切除手术治疗。</w:t>
      </w:r>
    </w:p>
    <w:p>
      <w:pPr>
        <w:spacing w:after="0"/>
        <w:sectPr>
          <w:type w:val="continuous"/>
          <w:pgSz w:w="11910" w:h="16840"/>
          <w:pgMar w:header="484" w:footer="706" w:top="1240" w:bottom="900" w:left="980" w:right="980"/>
          <w:cols w:num="2" w:equalWidth="0">
            <w:col w:w="2277" w:space="51"/>
            <w:col w:w="7622"/>
          </w:cols>
        </w:sectPr>
      </w:pPr>
    </w:p>
    <w:p>
      <w:pPr>
        <w:pStyle w:val="BodyText"/>
        <w:spacing w:before="5"/>
        <w:rPr>
          <w:sz w:val="26"/>
        </w:rPr>
      </w:pPr>
    </w:p>
    <w:p>
      <w:pPr>
        <w:pStyle w:val="ListParagraph"/>
        <w:numPr>
          <w:ilvl w:val="1"/>
          <w:numId w:val="28"/>
        </w:numPr>
        <w:tabs>
          <w:tab w:pos="955" w:val="left" w:leader="none"/>
          <w:tab w:pos="2480" w:val="left" w:leader="none"/>
        </w:tabs>
        <w:spacing w:line="280" w:lineRule="auto" w:before="73" w:after="0"/>
        <w:ind w:left="2480" w:right="150" w:hanging="2328"/>
        <w:jc w:val="left"/>
        <w:rPr>
          <w:sz w:val="22"/>
        </w:rPr>
      </w:pPr>
      <w:r>
        <w:rPr>
          <w:rFonts w:ascii="华文中宋" w:eastAsia="华文中宋" w:hint="eastAsia"/>
          <w:b/>
          <w:spacing w:val="-4"/>
          <w:sz w:val="22"/>
        </w:rPr>
        <w:t>脑型疟疾</w:t>
      </w:r>
      <w:r>
        <w:rPr>
          <w:rFonts w:ascii="华文中宋" w:eastAsia="华文中宋" w:hint="eastAsia"/>
          <w:b/>
          <w:sz w:val="22"/>
        </w:rPr>
        <w:tab/>
      </w:r>
      <w:r>
        <w:rPr>
          <w:spacing w:val="-2"/>
          <w:sz w:val="22"/>
        </w:rPr>
        <w:t>恶性疟原虫严重感染导致的脑病或脑型疟疾，以昏迷为主要特征。脑型疟疾的诊断须由医生确认，且外周血涂片存在恶性疟原虫。</w:t>
      </w:r>
    </w:p>
    <w:p>
      <w:pPr>
        <w:pStyle w:val="BodyText"/>
        <w:spacing w:before="53"/>
        <w:ind w:left="2480"/>
      </w:pPr>
      <w:r>
        <w:rPr>
          <w:color w:val="000000"/>
          <w:spacing w:val="-3"/>
          <w:shd w:fill="E4E4E4" w:color="auto" w:val="clear"/>
        </w:rPr>
        <w:t>其他明确病因导致的脑病不在保障范围内。</w:t>
      </w:r>
    </w:p>
    <w:p>
      <w:pPr>
        <w:spacing w:after="0"/>
        <w:sectPr>
          <w:type w:val="continuous"/>
          <w:pgSz w:w="11910" w:h="16840"/>
          <w:pgMar w:header="484" w:footer="706" w:top="1240" w:bottom="900" w:left="980" w:right="980"/>
        </w:sectPr>
      </w:pPr>
    </w:p>
    <w:p>
      <w:pPr>
        <w:pStyle w:val="BodyText"/>
        <w:rPr>
          <w:sz w:val="12"/>
        </w:rPr>
      </w:pPr>
    </w:p>
    <w:p>
      <w:pPr>
        <w:spacing w:after="0"/>
        <w:rPr>
          <w:sz w:val="12"/>
        </w:rPr>
        <w:sectPr>
          <w:pgSz w:w="11910" w:h="16840"/>
          <w:pgMar w:header="484" w:footer="706" w:top="1240" w:bottom="900" w:left="980" w:right="980"/>
        </w:sectPr>
      </w:pPr>
    </w:p>
    <w:p>
      <w:pPr>
        <w:pStyle w:val="Heading2"/>
        <w:numPr>
          <w:ilvl w:val="1"/>
          <w:numId w:val="28"/>
        </w:numPr>
        <w:tabs>
          <w:tab w:pos="955" w:val="left" w:leader="none"/>
        </w:tabs>
        <w:spacing w:line="240" w:lineRule="auto" w:before="73" w:after="0"/>
        <w:ind w:left="954" w:right="0" w:hanging="803"/>
        <w:jc w:val="left"/>
      </w:pPr>
      <w:r>
        <w:rPr>
          <w:spacing w:val="-4"/>
        </w:rPr>
        <w:t>严重Ⅲ度冻伤</w:t>
      </w:r>
    </w:p>
    <w:p>
      <w:pPr>
        <w:spacing w:before="30"/>
        <w:ind w:left="954" w:right="0" w:firstLine="0"/>
        <w:jc w:val="left"/>
        <w:rPr>
          <w:rFonts w:ascii="华文中宋" w:eastAsia="华文中宋" w:hint="eastAsia"/>
          <w:b/>
          <w:sz w:val="22"/>
        </w:rPr>
      </w:pPr>
      <w:r>
        <w:rPr>
          <w:rFonts w:ascii="华文中宋" w:eastAsia="华文中宋" w:hint="eastAsia"/>
          <w:b/>
          <w:spacing w:val="-5"/>
          <w:sz w:val="22"/>
        </w:rPr>
        <w:t>导致截肢</w:t>
      </w:r>
    </w:p>
    <w:p>
      <w:pPr>
        <w:pStyle w:val="BodyText"/>
        <w:spacing w:line="324" w:lineRule="auto" w:before="103"/>
        <w:ind w:left="152" w:right="150"/>
        <w:jc w:val="both"/>
      </w:pPr>
      <w:r>
        <w:rPr/>
        <w:br w:type="column"/>
      </w:r>
      <w:r>
        <w:rPr>
          <w:spacing w:val="6"/>
          <w:w w:val="100"/>
        </w:rPr>
        <w:t>冻伤是由于寒冷潮湿作用引起的人体局部或全身损伤。指冻伤程度达到Ⅲ</w:t>
      </w:r>
      <w:r>
        <w:rPr>
          <w:spacing w:val="-1"/>
          <w:w w:val="100"/>
        </w:rPr>
        <w:t>度，且导致一个或一个以上肢体自腕关节或踝关节近端（靠近躯干端）</w:t>
      </w:r>
      <w:r>
        <w:rPr>
          <w:spacing w:val="1"/>
          <w:w w:val="100"/>
        </w:rPr>
        <w:t>以上</w:t>
      </w:r>
      <w:r>
        <w:rPr>
          <w:spacing w:val="-3"/>
          <w:w w:val="100"/>
        </w:rPr>
        <w:t>完全性断离。</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6"/>
        <w:rPr>
          <w:sz w:val="21"/>
        </w:rPr>
      </w:pPr>
    </w:p>
    <w:p>
      <w:pPr>
        <w:spacing w:after="0"/>
        <w:rPr>
          <w:sz w:val="21"/>
        </w:rPr>
        <w:sectPr>
          <w:type w:val="continuous"/>
          <w:pgSz w:w="11910" w:h="16840"/>
          <w:pgMar w:header="484" w:footer="706" w:top="1240" w:bottom="900" w:left="980" w:right="980"/>
        </w:sectPr>
      </w:pPr>
    </w:p>
    <w:p>
      <w:pPr>
        <w:pStyle w:val="Heading2"/>
        <w:numPr>
          <w:ilvl w:val="1"/>
          <w:numId w:val="28"/>
        </w:numPr>
        <w:tabs>
          <w:tab w:pos="955" w:val="left" w:leader="none"/>
        </w:tabs>
        <w:spacing w:line="261" w:lineRule="auto" w:before="75" w:after="0"/>
        <w:ind w:left="954" w:right="0" w:hanging="802"/>
        <w:jc w:val="left"/>
      </w:pPr>
      <w:r>
        <w:rPr>
          <w:spacing w:val="-2"/>
        </w:rPr>
        <w:t>弥漫性血管内</w:t>
      </w:r>
      <w:r>
        <w:rPr>
          <w:spacing w:val="-6"/>
        </w:rPr>
        <w:t>凝血</w:t>
      </w:r>
    </w:p>
    <w:p>
      <w:pPr>
        <w:pStyle w:val="BodyText"/>
        <w:spacing w:line="324" w:lineRule="auto" w:before="105"/>
        <w:ind w:left="152" w:right="150"/>
        <w:jc w:val="both"/>
      </w:pPr>
      <w:r>
        <w:rPr/>
        <w:br w:type="column"/>
      </w:r>
      <w:r>
        <w:rPr>
          <w:spacing w:val="-2"/>
        </w:rPr>
        <w:t>指血液凝固系统和纤溶系统的过度活动导致微血管血栓形成、血小板及凝血因子耗竭和严重出血，需要输注血浆和浓缩血小板进行治疗。</w:t>
      </w:r>
      <w:r>
        <w:rPr>
          <w:color w:val="000000"/>
          <w:spacing w:val="-2"/>
          <w:shd w:fill="E4E4E4" w:color="auto" w:val="clear"/>
        </w:rPr>
        <w:t>须提供同时具</w:t>
      </w:r>
      <w:r>
        <w:rPr>
          <w:color w:val="000000"/>
          <w:spacing w:val="40"/>
          <w:shd w:fill="E4E4E4" w:color="auto" w:val="clear"/>
        </w:rPr>
        <w:t> </w:t>
      </w:r>
      <w:r>
        <w:rPr>
          <w:color w:val="000000"/>
          <w:spacing w:val="-2"/>
          <w:shd w:fill="E4E4E4" w:color="auto" w:val="clear"/>
        </w:rPr>
        <w:t>有下列条件中的至少三项的检验报告：</w:t>
      </w:r>
    </w:p>
    <w:p>
      <w:pPr>
        <w:pStyle w:val="ListParagraph"/>
        <w:numPr>
          <w:ilvl w:val="0"/>
          <w:numId w:val="67"/>
        </w:numPr>
        <w:tabs>
          <w:tab w:pos="607" w:val="left" w:leader="none"/>
        </w:tabs>
        <w:spacing w:line="280" w:lineRule="exact" w:before="0" w:after="0"/>
        <w:ind w:left="606" w:right="0" w:hanging="455"/>
        <w:jc w:val="left"/>
        <w:rPr>
          <w:sz w:val="22"/>
        </w:rPr>
      </w:pPr>
      <w:r>
        <w:rPr>
          <w:spacing w:val="-2"/>
          <w:sz w:val="22"/>
        </w:rPr>
        <w:t>血小板计数＜100×10</w:t>
      </w:r>
      <w:r>
        <w:rPr>
          <w:spacing w:val="-2"/>
          <w:position w:val="11"/>
          <w:sz w:val="11"/>
        </w:rPr>
        <w:t>9</w:t>
      </w:r>
      <w:r>
        <w:rPr>
          <w:spacing w:val="-2"/>
          <w:sz w:val="22"/>
        </w:rPr>
        <w:t>/L</w:t>
      </w:r>
      <w:r>
        <w:rPr>
          <w:spacing w:val="-3"/>
          <w:sz w:val="22"/>
        </w:rPr>
        <w:t>或者呈进行性下降；</w:t>
      </w:r>
    </w:p>
    <w:p>
      <w:pPr>
        <w:pStyle w:val="ListParagraph"/>
        <w:numPr>
          <w:ilvl w:val="0"/>
          <w:numId w:val="67"/>
        </w:numPr>
        <w:tabs>
          <w:tab w:pos="607" w:val="left" w:leader="none"/>
        </w:tabs>
        <w:spacing w:line="240" w:lineRule="auto" w:before="97" w:after="0"/>
        <w:ind w:left="606" w:right="0" w:hanging="455"/>
        <w:jc w:val="left"/>
        <w:rPr>
          <w:sz w:val="22"/>
        </w:rPr>
      </w:pPr>
      <w:r>
        <w:rPr>
          <w:spacing w:val="-2"/>
          <w:sz w:val="22"/>
        </w:rPr>
        <w:t>血浆纤维蛋白原含量＜1.5g/L或者＞4g/L</w:t>
      </w:r>
      <w:r>
        <w:rPr>
          <w:spacing w:val="-3"/>
          <w:sz w:val="22"/>
        </w:rPr>
        <w:t>或者呈进行性下降；</w:t>
      </w:r>
    </w:p>
    <w:p>
      <w:pPr>
        <w:pStyle w:val="ListParagraph"/>
        <w:numPr>
          <w:ilvl w:val="0"/>
          <w:numId w:val="67"/>
        </w:numPr>
        <w:tabs>
          <w:tab w:pos="607" w:val="left" w:leader="none"/>
        </w:tabs>
        <w:spacing w:line="240" w:lineRule="auto" w:before="98" w:after="0"/>
        <w:ind w:left="606" w:right="0" w:hanging="455"/>
        <w:jc w:val="left"/>
        <w:rPr>
          <w:sz w:val="22"/>
        </w:rPr>
      </w:pPr>
      <w:r>
        <w:rPr>
          <w:spacing w:val="-2"/>
          <w:sz w:val="22"/>
        </w:rPr>
        <w:t>3P试验阳性或者血浆FDP＞20mg/L；</w:t>
      </w:r>
    </w:p>
    <w:p>
      <w:pPr>
        <w:pStyle w:val="ListParagraph"/>
        <w:numPr>
          <w:ilvl w:val="0"/>
          <w:numId w:val="67"/>
        </w:numPr>
        <w:tabs>
          <w:tab w:pos="607" w:val="left" w:leader="none"/>
        </w:tabs>
        <w:spacing w:line="240" w:lineRule="auto" w:before="99" w:after="0"/>
        <w:ind w:left="606" w:right="0" w:hanging="455"/>
        <w:jc w:val="left"/>
        <w:rPr>
          <w:sz w:val="22"/>
        </w:rPr>
      </w:pPr>
      <w:r>
        <w:rPr>
          <w:spacing w:val="-2"/>
          <w:sz w:val="22"/>
        </w:rPr>
        <w:t>凝血酶原时间＞15秒或者超过对照组3</w:t>
      </w:r>
      <w:r>
        <w:rPr>
          <w:spacing w:val="-4"/>
          <w:sz w:val="22"/>
        </w:rPr>
        <w:t>秒以上。</w:t>
      </w:r>
    </w:p>
    <w:p>
      <w:pPr>
        <w:spacing w:after="0" w:line="240"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3"/>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2" w:after="0"/>
        <w:ind w:left="954" w:right="0" w:hanging="803"/>
        <w:jc w:val="left"/>
      </w:pPr>
      <w:r>
        <w:rPr>
          <w:spacing w:val="-4"/>
        </w:rPr>
        <w:t>急性肺损伤</w:t>
      </w:r>
    </w:p>
    <w:p>
      <w:pPr>
        <w:spacing w:line="261" w:lineRule="auto" w:before="30"/>
        <w:ind w:left="954" w:right="0" w:firstLine="0"/>
        <w:jc w:val="left"/>
        <w:rPr>
          <w:rFonts w:ascii="华文中宋" w:eastAsia="华文中宋" w:hint="eastAsia"/>
          <w:b/>
          <w:sz w:val="22"/>
        </w:rPr>
      </w:pPr>
      <w:r>
        <w:rPr>
          <w:rFonts w:ascii="华文中宋" w:eastAsia="华文中宋" w:hint="eastAsia"/>
          <w:b/>
          <w:spacing w:val="-2"/>
          <w:sz w:val="22"/>
        </w:rPr>
        <w:t>（ALI）或急</w:t>
      </w:r>
      <w:r>
        <w:rPr>
          <w:rFonts w:ascii="华文中宋" w:eastAsia="华文中宋" w:hint="eastAsia"/>
          <w:b/>
          <w:spacing w:val="-4"/>
          <w:sz w:val="22"/>
        </w:rPr>
        <w:t>性呼吸窘迫综</w:t>
      </w:r>
    </w:p>
    <w:p>
      <w:pPr>
        <w:pStyle w:val="BodyText"/>
        <w:spacing w:line="324" w:lineRule="auto" w:before="102"/>
        <w:ind w:left="152" w:right="150"/>
        <w:jc w:val="both"/>
      </w:pPr>
      <w:r>
        <w:rPr/>
        <w:br w:type="column"/>
      </w:r>
      <w:r>
        <w:rPr>
          <w:spacing w:val="-2"/>
        </w:rPr>
        <w:t>指一种由于肺泡毛细血管和肺泡上皮细胞损伤引起的弥漫性肺间质及肺泡水肿，以进行性低氧血症、呼吸窘迫为特征的急性呼吸综合征。须由呼吸科或者重症监护室专科医生明确诊断，</w:t>
      </w:r>
      <w:r>
        <w:rPr>
          <w:color w:val="000000"/>
          <w:spacing w:val="-2"/>
          <w:shd w:fill="E4E4E4" w:color="auto" w:val="clear"/>
        </w:rPr>
        <w:t>并须满足下列全部条件：</w:t>
      </w:r>
    </w:p>
    <w:p>
      <w:pPr>
        <w:spacing w:after="0" w:line="324" w:lineRule="auto"/>
        <w:jc w:val="both"/>
        <w:sectPr>
          <w:type w:val="continuous"/>
          <w:pgSz w:w="11910" w:h="16840"/>
          <w:pgMar w:header="484" w:footer="706" w:top="1240" w:bottom="900" w:left="980" w:right="980"/>
          <w:cols w:num="2" w:equalWidth="0">
            <w:col w:w="2277" w:space="51"/>
            <w:col w:w="7622"/>
          </w:cols>
        </w:sectPr>
      </w:pPr>
    </w:p>
    <w:tbl>
      <w:tblPr>
        <w:tblW w:w="0" w:type="auto"/>
        <w:jc w:val="left"/>
        <w:tblInd w:w="9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49"/>
        <w:gridCol w:w="621"/>
        <w:gridCol w:w="6969"/>
      </w:tblGrid>
      <w:tr>
        <w:trPr>
          <w:trHeight w:val="336" w:hRule="atLeast"/>
        </w:trPr>
        <w:tc>
          <w:tcPr>
            <w:tcW w:w="1349" w:type="dxa"/>
          </w:tcPr>
          <w:p>
            <w:pPr>
              <w:pStyle w:val="TableParagraph"/>
              <w:spacing w:line="316" w:lineRule="exact"/>
              <w:ind w:left="50"/>
              <w:rPr>
                <w:rFonts w:ascii="华文中宋" w:eastAsia="华文中宋" w:hint="eastAsia"/>
                <w:b/>
                <w:sz w:val="22"/>
              </w:rPr>
            </w:pPr>
            <w:r>
              <w:rPr>
                <w:rFonts w:ascii="华文中宋" w:eastAsia="华文中宋" w:hint="eastAsia"/>
                <w:b/>
                <w:spacing w:val="-6"/>
                <w:sz w:val="22"/>
              </w:rPr>
              <w:t>合征</w:t>
            </w:r>
          </w:p>
        </w:tc>
        <w:tc>
          <w:tcPr>
            <w:tcW w:w="621" w:type="dxa"/>
          </w:tcPr>
          <w:p>
            <w:pPr>
              <w:pStyle w:val="TableParagraph"/>
              <w:spacing w:line="281" w:lineRule="exact"/>
              <w:ind w:right="60"/>
              <w:jc w:val="right"/>
              <w:rPr>
                <w:sz w:val="22"/>
              </w:rPr>
            </w:pPr>
            <w:r>
              <w:rPr>
                <w:spacing w:val="-5"/>
                <w:sz w:val="22"/>
              </w:rPr>
              <w:t>(1)</w:t>
            </w:r>
          </w:p>
        </w:tc>
        <w:tc>
          <w:tcPr>
            <w:tcW w:w="6969" w:type="dxa"/>
          </w:tcPr>
          <w:p>
            <w:pPr>
              <w:pStyle w:val="TableParagraph"/>
              <w:spacing w:line="281" w:lineRule="exact"/>
              <w:ind w:left="59"/>
              <w:rPr>
                <w:sz w:val="22"/>
              </w:rPr>
            </w:pPr>
            <w:r>
              <w:rPr>
                <w:spacing w:val="-2"/>
                <w:sz w:val="22"/>
              </w:rPr>
              <w:t>急性发作（原发疾病起病后7天内发病</w:t>
            </w:r>
            <w:r>
              <w:rPr>
                <w:spacing w:val="-5"/>
                <w:sz w:val="22"/>
              </w:rPr>
              <w:t>）；</w:t>
            </w:r>
          </w:p>
        </w:tc>
      </w:tr>
      <w:tr>
        <w:trPr>
          <w:trHeight w:val="396" w:hRule="atLeast"/>
        </w:trPr>
        <w:tc>
          <w:tcPr>
            <w:tcW w:w="1349" w:type="dxa"/>
          </w:tcPr>
          <w:p>
            <w:pPr>
              <w:pStyle w:val="TableParagraph"/>
              <w:spacing w:before="12"/>
              <w:ind w:left="50"/>
              <w:rPr>
                <w:rFonts w:ascii="华文中宋" w:eastAsia="华文中宋" w:hint="eastAsia"/>
                <w:b/>
                <w:sz w:val="22"/>
              </w:rPr>
            </w:pPr>
            <w:r>
              <w:rPr>
                <w:rFonts w:ascii="华文中宋" w:eastAsia="华文中宋" w:hint="eastAsia"/>
                <w:b/>
                <w:spacing w:val="-2"/>
                <w:sz w:val="22"/>
              </w:rPr>
              <w:t>（ARDS）</w:t>
            </w:r>
          </w:p>
        </w:tc>
        <w:tc>
          <w:tcPr>
            <w:tcW w:w="621" w:type="dxa"/>
          </w:tcPr>
          <w:p>
            <w:pPr>
              <w:pStyle w:val="TableParagraph"/>
              <w:spacing w:before="44"/>
              <w:ind w:right="60"/>
              <w:jc w:val="right"/>
              <w:rPr>
                <w:sz w:val="22"/>
              </w:rPr>
            </w:pPr>
            <w:r>
              <w:rPr>
                <w:spacing w:val="-5"/>
                <w:sz w:val="22"/>
              </w:rPr>
              <w:t>(2)</w:t>
            </w:r>
          </w:p>
        </w:tc>
        <w:tc>
          <w:tcPr>
            <w:tcW w:w="6969" w:type="dxa"/>
          </w:tcPr>
          <w:p>
            <w:pPr>
              <w:pStyle w:val="TableParagraph"/>
              <w:spacing w:before="44"/>
              <w:ind w:left="59"/>
              <w:rPr>
                <w:sz w:val="22"/>
              </w:rPr>
            </w:pPr>
            <w:r>
              <w:rPr>
                <w:spacing w:val="-3"/>
                <w:sz w:val="22"/>
              </w:rPr>
              <w:t>影像学检查证实双肺浸润影；</w:t>
            </w:r>
          </w:p>
        </w:tc>
      </w:tr>
      <w:tr>
        <w:trPr>
          <w:trHeight w:val="368" w:hRule="atLeast"/>
        </w:trPr>
        <w:tc>
          <w:tcPr>
            <w:tcW w:w="1349" w:type="dxa"/>
          </w:tcPr>
          <w:p>
            <w:pPr>
              <w:pStyle w:val="TableParagraph"/>
              <w:rPr>
                <w:rFonts w:ascii="Times New Roman"/>
                <w:sz w:val="20"/>
              </w:rPr>
            </w:pPr>
          </w:p>
        </w:tc>
        <w:tc>
          <w:tcPr>
            <w:tcW w:w="621" w:type="dxa"/>
          </w:tcPr>
          <w:p>
            <w:pPr>
              <w:pStyle w:val="TableParagraph"/>
              <w:spacing w:before="27"/>
              <w:ind w:right="60"/>
              <w:jc w:val="right"/>
              <w:rPr>
                <w:sz w:val="22"/>
              </w:rPr>
            </w:pPr>
            <w:r>
              <w:rPr>
                <w:spacing w:val="-5"/>
                <w:sz w:val="22"/>
              </w:rPr>
              <w:t>(3)</w:t>
            </w:r>
          </w:p>
        </w:tc>
        <w:tc>
          <w:tcPr>
            <w:tcW w:w="6969" w:type="dxa"/>
          </w:tcPr>
          <w:p>
            <w:pPr>
              <w:pStyle w:val="TableParagraph"/>
              <w:spacing w:before="27"/>
              <w:ind w:left="59"/>
              <w:rPr>
                <w:sz w:val="22"/>
              </w:rPr>
            </w:pPr>
            <w:r>
              <w:rPr>
                <w:sz w:val="22"/>
              </w:rPr>
              <w:t>PEEP（</w:t>
            </w:r>
            <w:r>
              <w:rPr>
                <w:spacing w:val="16"/>
                <w:sz w:val="22"/>
              </w:rPr>
              <w:t>呼气末正压</w:t>
            </w:r>
            <w:r>
              <w:rPr>
                <w:sz w:val="22"/>
              </w:rPr>
              <w:t>）≥5cmH</w:t>
            </w:r>
            <w:r>
              <w:rPr>
                <w:position w:val="-2"/>
                <w:sz w:val="11"/>
              </w:rPr>
              <w:t>2</w:t>
            </w:r>
            <w:r>
              <w:rPr>
                <w:sz w:val="22"/>
              </w:rPr>
              <w:t>O</w:t>
            </w:r>
            <w:r>
              <w:rPr>
                <w:spacing w:val="-15"/>
                <w:sz w:val="22"/>
              </w:rPr>
              <w:t>时， </w:t>
            </w:r>
            <w:r>
              <w:rPr>
                <w:sz w:val="22"/>
              </w:rPr>
              <w:t>PaO</w:t>
            </w:r>
            <w:r>
              <w:rPr>
                <w:position w:val="-2"/>
                <w:sz w:val="11"/>
              </w:rPr>
              <w:t>2</w:t>
            </w:r>
            <w:r>
              <w:rPr>
                <w:sz w:val="22"/>
              </w:rPr>
              <w:t>/FiO</w:t>
            </w:r>
            <w:r>
              <w:rPr>
                <w:position w:val="-2"/>
                <w:sz w:val="11"/>
              </w:rPr>
              <w:t>2</w:t>
            </w:r>
            <w:r>
              <w:rPr>
                <w:spacing w:val="-7"/>
                <w:position w:val="-2"/>
                <w:sz w:val="11"/>
              </w:rPr>
              <w:t> </w:t>
            </w:r>
            <w:r>
              <w:rPr>
                <w:spacing w:val="16"/>
                <w:sz w:val="22"/>
              </w:rPr>
              <w:t>（</w:t>
            </w:r>
            <w:r>
              <w:rPr>
                <w:spacing w:val="13"/>
                <w:sz w:val="22"/>
              </w:rPr>
              <w:t>动脉氧分压/吸入氧浓</w:t>
            </w:r>
          </w:p>
        </w:tc>
      </w:tr>
      <w:tr>
        <w:trPr>
          <w:trHeight w:val="372" w:hRule="atLeast"/>
        </w:trPr>
        <w:tc>
          <w:tcPr>
            <w:tcW w:w="1349" w:type="dxa"/>
          </w:tcPr>
          <w:p>
            <w:pPr>
              <w:pStyle w:val="TableParagraph"/>
              <w:rPr>
                <w:rFonts w:ascii="Times New Roman"/>
                <w:sz w:val="20"/>
              </w:rPr>
            </w:pPr>
          </w:p>
        </w:tc>
        <w:tc>
          <w:tcPr>
            <w:tcW w:w="621" w:type="dxa"/>
          </w:tcPr>
          <w:p>
            <w:pPr>
              <w:pStyle w:val="TableParagraph"/>
              <w:rPr>
                <w:rFonts w:ascii="Times New Roman"/>
                <w:sz w:val="20"/>
              </w:rPr>
            </w:pPr>
          </w:p>
        </w:tc>
        <w:tc>
          <w:tcPr>
            <w:tcW w:w="6969" w:type="dxa"/>
          </w:tcPr>
          <w:p>
            <w:pPr>
              <w:pStyle w:val="TableParagraph"/>
              <w:spacing w:before="37"/>
              <w:ind w:left="59"/>
              <w:rPr>
                <w:sz w:val="22"/>
              </w:rPr>
            </w:pPr>
            <w:r>
              <w:rPr>
                <w:spacing w:val="-2"/>
                <w:sz w:val="22"/>
              </w:rPr>
              <w:t>度）低于200mmHg；</w:t>
            </w:r>
          </w:p>
        </w:tc>
      </w:tr>
      <w:tr>
        <w:trPr>
          <w:trHeight w:val="301" w:hRule="atLeast"/>
        </w:trPr>
        <w:tc>
          <w:tcPr>
            <w:tcW w:w="1349" w:type="dxa"/>
          </w:tcPr>
          <w:p>
            <w:pPr>
              <w:pStyle w:val="TableParagraph"/>
              <w:rPr>
                <w:rFonts w:ascii="Times New Roman"/>
                <w:sz w:val="20"/>
              </w:rPr>
            </w:pPr>
          </w:p>
        </w:tc>
        <w:tc>
          <w:tcPr>
            <w:tcW w:w="621" w:type="dxa"/>
          </w:tcPr>
          <w:p>
            <w:pPr>
              <w:pStyle w:val="TableParagraph"/>
              <w:spacing w:line="235" w:lineRule="exact" w:before="46"/>
              <w:ind w:right="60"/>
              <w:jc w:val="right"/>
              <w:rPr>
                <w:sz w:val="22"/>
              </w:rPr>
            </w:pPr>
            <w:r>
              <w:rPr>
                <w:spacing w:val="-5"/>
                <w:sz w:val="22"/>
              </w:rPr>
              <w:t>(4)</w:t>
            </w:r>
          </w:p>
        </w:tc>
        <w:tc>
          <w:tcPr>
            <w:tcW w:w="6969" w:type="dxa"/>
          </w:tcPr>
          <w:p>
            <w:pPr>
              <w:pStyle w:val="TableParagraph"/>
              <w:spacing w:line="235" w:lineRule="exact" w:before="46"/>
              <w:ind w:left="59"/>
              <w:rPr>
                <w:sz w:val="22"/>
              </w:rPr>
            </w:pPr>
            <w:r>
              <w:rPr>
                <w:spacing w:val="-3"/>
                <w:sz w:val="22"/>
              </w:rPr>
              <w:t>非心源性导致的肺水肿。</w:t>
            </w:r>
          </w:p>
        </w:tc>
      </w:tr>
    </w:tbl>
    <w:p>
      <w:pPr>
        <w:pStyle w:val="BodyText"/>
        <w:rPr>
          <w:sz w:val="20"/>
        </w:rPr>
      </w:pPr>
    </w:p>
    <w:p>
      <w:pPr>
        <w:pStyle w:val="BodyText"/>
        <w:spacing w:before="1"/>
        <w:rPr>
          <w:sz w:val="17"/>
        </w:rPr>
      </w:pPr>
    </w:p>
    <w:p>
      <w:pPr>
        <w:pStyle w:val="ListParagraph"/>
        <w:numPr>
          <w:ilvl w:val="1"/>
          <w:numId w:val="28"/>
        </w:numPr>
        <w:tabs>
          <w:tab w:pos="955" w:val="left" w:leader="none"/>
          <w:tab w:pos="2480" w:val="left" w:leader="none"/>
        </w:tabs>
        <w:spacing w:line="283" w:lineRule="auto" w:before="0" w:after="0"/>
        <w:ind w:left="2480" w:right="150" w:hanging="2328"/>
        <w:jc w:val="left"/>
        <w:rPr>
          <w:sz w:val="22"/>
        </w:rPr>
      </w:pPr>
      <w:r>
        <w:rPr>
          <w:rFonts w:ascii="华文中宋" w:eastAsia="华文中宋" w:hint="eastAsia"/>
          <w:b/>
          <w:spacing w:val="-4"/>
          <w:sz w:val="22"/>
        </w:rPr>
        <w:t>心脏粘液瘤</w:t>
      </w:r>
      <w:r>
        <w:rPr>
          <w:rFonts w:ascii="华文中宋" w:eastAsia="华文中宋" w:hint="eastAsia"/>
          <w:b/>
          <w:sz w:val="22"/>
        </w:rPr>
        <w:tab/>
      </w:r>
      <w:r>
        <w:rPr>
          <w:spacing w:val="-2"/>
          <w:sz w:val="22"/>
        </w:rPr>
        <w:t>指经我们认可医院的心脏专科医生确诊的心脏原发性良性心脏肿瘤，并经术后病理或细胞学诊断。</w:t>
      </w:r>
    </w:p>
    <w:p>
      <w:pPr>
        <w:pStyle w:val="BodyText"/>
        <w:spacing w:before="11"/>
        <w:rPr>
          <w:sz w:val="30"/>
        </w:rPr>
      </w:pPr>
    </w:p>
    <w:p>
      <w:pPr>
        <w:pStyle w:val="ListParagraph"/>
        <w:numPr>
          <w:ilvl w:val="1"/>
          <w:numId w:val="28"/>
        </w:numPr>
        <w:tabs>
          <w:tab w:pos="955" w:val="left" w:leader="none"/>
          <w:tab w:pos="2480" w:val="left" w:leader="none"/>
        </w:tabs>
        <w:spacing w:line="283" w:lineRule="auto" w:before="0" w:after="0"/>
        <w:ind w:left="2480" w:right="152" w:hanging="2328"/>
        <w:jc w:val="left"/>
        <w:rPr>
          <w:sz w:val="22"/>
        </w:rPr>
      </w:pPr>
      <w:r>
        <w:rPr>
          <w:rFonts w:ascii="华文中宋" w:eastAsia="华文中宋" w:hint="eastAsia"/>
          <w:b/>
          <w:spacing w:val="-1"/>
          <w:w w:val="100"/>
          <w:sz w:val="22"/>
        </w:rPr>
        <w:t>范可</w:t>
      </w:r>
      <w:r>
        <w:rPr>
          <w:rFonts w:ascii="华文中宋" w:eastAsia="华文中宋" w:hint="eastAsia"/>
          <w:b/>
          <w:spacing w:val="-3"/>
          <w:w w:val="100"/>
          <w:sz w:val="22"/>
        </w:rPr>
        <w:t>尼</w:t>
      </w:r>
      <w:r>
        <w:rPr>
          <w:rFonts w:ascii="华文中宋" w:eastAsia="华文中宋" w:hint="eastAsia"/>
          <w:b/>
          <w:spacing w:val="-1"/>
          <w:w w:val="100"/>
          <w:sz w:val="22"/>
        </w:rPr>
        <w:t>综合</w:t>
      </w:r>
      <w:r>
        <w:rPr>
          <w:rFonts w:ascii="华文中宋" w:eastAsia="华文中宋" w:hint="eastAsia"/>
          <w:b/>
          <w:w w:val="100"/>
          <w:sz w:val="22"/>
        </w:rPr>
        <w:t>征</w:t>
      </w:r>
      <w:r>
        <w:rPr>
          <w:rFonts w:ascii="华文中宋" w:eastAsia="华文中宋" w:hint="eastAsia"/>
          <w:b/>
          <w:sz w:val="22"/>
        </w:rPr>
        <w:tab/>
      </w:r>
      <w:r>
        <w:rPr>
          <w:spacing w:val="4"/>
          <w:w w:val="100"/>
          <w:sz w:val="22"/>
        </w:rPr>
        <w:t>也称</w:t>
      </w:r>
      <w:r>
        <w:rPr>
          <w:spacing w:val="-1"/>
          <w:w w:val="100"/>
          <w:sz w:val="22"/>
        </w:rPr>
        <w:t>Fanco</w:t>
      </w:r>
      <w:r>
        <w:rPr>
          <w:spacing w:val="-3"/>
          <w:w w:val="100"/>
          <w:sz w:val="22"/>
        </w:rPr>
        <w:t>n</w:t>
      </w:r>
      <w:r>
        <w:rPr>
          <w:spacing w:val="4"/>
          <w:w w:val="100"/>
          <w:sz w:val="22"/>
        </w:rPr>
        <w:t>i综合征，指近端肾小管的功能异常引起的一组症候群。</w:t>
      </w:r>
      <w:r>
        <w:rPr>
          <w:spacing w:val="2"/>
          <w:w w:val="100"/>
          <w:sz w:val="22"/>
        </w:rPr>
        <w:t>须</w:t>
      </w:r>
      <w:r>
        <w:rPr>
          <w:spacing w:val="4"/>
          <w:w w:val="100"/>
          <w:sz w:val="22"/>
        </w:rPr>
        <w:t>经</w:t>
      </w:r>
      <w:r>
        <w:rPr>
          <w:w w:val="100"/>
          <w:sz w:val="22"/>
        </w:rPr>
        <w:t>专</w:t>
      </w:r>
      <w:r>
        <w:rPr>
          <w:spacing w:val="-1"/>
          <w:w w:val="100"/>
          <w:sz w:val="22"/>
        </w:rPr>
        <w:t>科</w:t>
      </w:r>
      <w:r>
        <w:rPr>
          <w:spacing w:val="-3"/>
          <w:w w:val="100"/>
          <w:sz w:val="22"/>
        </w:rPr>
        <w:t>医</w:t>
      </w:r>
      <w:r>
        <w:rPr>
          <w:spacing w:val="-1"/>
          <w:w w:val="100"/>
          <w:sz w:val="22"/>
        </w:rPr>
        <w:t>生诊</w:t>
      </w:r>
      <w:r>
        <w:rPr>
          <w:spacing w:val="-3"/>
          <w:w w:val="100"/>
          <w:sz w:val="22"/>
        </w:rPr>
        <w:t>断</w:t>
      </w:r>
      <w:r>
        <w:rPr>
          <w:spacing w:val="-1"/>
          <w:w w:val="100"/>
          <w:sz w:val="22"/>
        </w:rPr>
        <w:t>，</w:t>
      </w:r>
      <w:r>
        <w:rPr>
          <w:color w:val="000000"/>
          <w:spacing w:val="-1"/>
          <w:w w:val="100"/>
          <w:sz w:val="22"/>
          <w:shd w:fill="E4E4E4" w:color="auto" w:val="clear"/>
        </w:rPr>
        <w:t>且</w:t>
      </w:r>
      <w:r>
        <w:rPr>
          <w:color w:val="000000"/>
          <w:spacing w:val="-3"/>
          <w:w w:val="100"/>
          <w:sz w:val="22"/>
          <w:shd w:fill="E4E4E4" w:color="auto" w:val="clear"/>
        </w:rPr>
        <w:t>须</w:t>
      </w:r>
      <w:r>
        <w:rPr>
          <w:color w:val="000000"/>
          <w:spacing w:val="-1"/>
          <w:w w:val="100"/>
          <w:sz w:val="22"/>
          <w:shd w:fill="E4E4E4" w:color="auto" w:val="clear"/>
        </w:rPr>
        <w:t>满足</w:t>
      </w:r>
      <w:r>
        <w:rPr>
          <w:color w:val="000000"/>
          <w:spacing w:val="-3"/>
          <w:w w:val="100"/>
          <w:sz w:val="22"/>
          <w:shd w:fill="E4E4E4" w:color="auto" w:val="clear"/>
        </w:rPr>
        <w:t>下</w:t>
      </w:r>
      <w:r>
        <w:rPr>
          <w:color w:val="000000"/>
          <w:spacing w:val="-1"/>
          <w:w w:val="100"/>
          <w:sz w:val="22"/>
          <w:shd w:fill="E4E4E4" w:color="auto" w:val="clear"/>
        </w:rPr>
        <w:t>列至</w:t>
      </w:r>
      <w:r>
        <w:rPr>
          <w:color w:val="000000"/>
          <w:spacing w:val="-3"/>
          <w:w w:val="100"/>
          <w:sz w:val="22"/>
          <w:shd w:fill="E4E4E4" w:color="auto" w:val="clear"/>
        </w:rPr>
        <w:t>少</w:t>
      </w:r>
      <w:r>
        <w:rPr>
          <w:color w:val="000000"/>
          <w:spacing w:val="-1"/>
          <w:w w:val="100"/>
          <w:sz w:val="22"/>
          <w:shd w:fill="E4E4E4" w:color="auto" w:val="clear"/>
        </w:rPr>
        <w:t>三项</w:t>
      </w:r>
      <w:r>
        <w:rPr>
          <w:color w:val="000000"/>
          <w:spacing w:val="-3"/>
          <w:w w:val="100"/>
          <w:sz w:val="22"/>
          <w:shd w:fill="E4E4E4" w:color="auto" w:val="clear"/>
        </w:rPr>
        <w:t>条</w:t>
      </w:r>
      <w:r>
        <w:rPr>
          <w:color w:val="000000"/>
          <w:spacing w:val="-1"/>
          <w:w w:val="100"/>
          <w:sz w:val="22"/>
          <w:shd w:fill="E4E4E4" w:color="auto" w:val="clear"/>
        </w:rPr>
        <w:t>件</w:t>
      </w:r>
      <w:r>
        <w:rPr>
          <w:color w:val="000000"/>
          <w:w w:val="100"/>
          <w:sz w:val="22"/>
          <w:shd w:fill="E4E4E4" w:color="auto" w:val="clear"/>
        </w:rPr>
        <w:t>：</w:t>
      </w:r>
    </w:p>
    <w:p>
      <w:pPr>
        <w:pStyle w:val="ListParagraph"/>
        <w:numPr>
          <w:ilvl w:val="2"/>
          <w:numId w:val="28"/>
        </w:numPr>
        <w:tabs>
          <w:tab w:pos="2935" w:val="left" w:leader="none"/>
        </w:tabs>
        <w:spacing w:line="240" w:lineRule="auto" w:before="47" w:after="0"/>
        <w:ind w:left="2934" w:right="0" w:hanging="455"/>
        <w:jc w:val="left"/>
        <w:rPr>
          <w:sz w:val="22"/>
        </w:rPr>
      </w:pPr>
      <w:r>
        <w:rPr>
          <w:spacing w:val="-3"/>
          <w:sz w:val="22"/>
        </w:rPr>
        <w:t>尿液检查出现肾性糖尿、全氨基酸糖尿或磷酸盐尿；</w:t>
      </w:r>
    </w:p>
    <w:p>
      <w:pPr>
        <w:pStyle w:val="ListParagraph"/>
        <w:numPr>
          <w:ilvl w:val="2"/>
          <w:numId w:val="28"/>
        </w:numPr>
        <w:tabs>
          <w:tab w:pos="2935" w:val="left" w:leader="none"/>
        </w:tabs>
        <w:spacing w:line="240" w:lineRule="auto" w:before="97" w:after="0"/>
        <w:ind w:left="2934" w:right="0" w:hanging="455"/>
        <w:jc w:val="left"/>
        <w:rPr>
          <w:sz w:val="22"/>
        </w:rPr>
      </w:pPr>
      <w:r>
        <w:rPr>
          <w:spacing w:val="-3"/>
          <w:sz w:val="22"/>
        </w:rPr>
        <w:t>血液检查出现低磷血症、低尿酸血症或近端肾小管酸中毒；</w:t>
      </w:r>
    </w:p>
    <w:p>
      <w:pPr>
        <w:pStyle w:val="ListParagraph"/>
        <w:numPr>
          <w:ilvl w:val="2"/>
          <w:numId w:val="28"/>
        </w:numPr>
        <w:tabs>
          <w:tab w:pos="2935" w:val="left" w:leader="none"/>
        </w:tabs>
        <w:spacing w:line="240" w:lineRule="auto" w:before="100" w:after="0"/>
        <w:ind w:left="2934" w:right="0" w:hanging="455"/>
        <w:jc w:val="left"/>
        <w:rPr>
          <w:sz w:val="22"/>
        </w:rPr>
      </w:pPr>
      <w:r>
        <w:rPr>
          <w:spacing w:val="-3"/>
          <w:sz w:val="22"/>
        </w:rPr>
        <w:t>出现骨质疏松、骨骼畸形或尿路结石；</w:t>
      </w:r>
    </w:p>
    <w:p>
      <w:pPr>
        <w:pStyle w:val="ListParagraph"/>
        <w:numPr>
          <w:ilvl w:val="2"/>
          <w:numId w:val="28"/>
        </w:numPr>
        <w:tabs>
          <w:tab w:pos="2935" w:val="left" w:leader="none"/>
        </w:tabs>
        <w:spacing w:line="324" w:lineRule="auto" w:before="97" w:after="0"/>
        <w:ind w:left="2934" w:right="152" w:hanging="454"/>
        <w:jc w:val="left"/>
        <w:rPr>
          <w:sz w:val="22"/>
        </w:rPr>
      </w:pPr>
      <w:r>
        <w:rPr>
          <w:spacing w:val="-2"/>
          <w:sz w:val="22"/>
        </w:rPr>
        <w:t>通过骨髓片、白细胞、直肠黏膜中的结晶分析或裂隙灯检查角膜有胱氨</w:t>
      </w:r>
      <w:r>
        <w:rPr>
          <w:spacing w:val="-4"/>
          <w:sz w:val="22"/>
        </w:rPr>
        <w:t>酸结晶。</w:t>
      </w:r>
    </w:p>
    <w:p>
      <w:pPr>
        <w:pStyle w:val="BodyText"/>
        <w:spacing w:line="282" w:lineRule="exact"/>
        <w:ind w:left="2480"/>
      </w:pPr>
      <w:r>
        <w:rPr>
          <w:color w:val="000000"/>
          <w:spacing w:val="-3"/>
          <w:shd w:fill="E4E4E4" w:color="auto" w:val="clear"/>
        </w:rPr>
        <w:t>被保险人在三周岁之前罹患该疾病，我们不承担保险责任。</w:t>
      </w:r>
    </w:p>
    <w:p>
      <w:pPr>
        <w:pStyle w:val="BodyText"/>
        <w:spacing w:before="2"/>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61" w:lineRule="auto" w:before="73" w:after="0"/>
        <w:ind w:left="954" w:right="0" w:hanging="802"/>
        <w:jc w:val="left"/>
      </w:pPr>
      <w:r>
        <w:rPr>
          <w:spacing w:val="-2"/>
        </w:rPr>
        <w:t>严重出血性登</w:t>
      </w:r>
      <w:r>
        <w:rPr>
          <w:spacing w:val="-6"/>
        </w:rPr>
        <w:t>革热</w:t>
      </w:r>
    </w:p>
    <w:p>
      <w:pPr>
        <w:pStyle w:val="BodyText"/>
        <w:spacing w:line="324" w:lineRule="auto" w:before="103"/>
        <w:ind w:left="152" w:right="150"/>
      </w:pPr>
      <w:r>
        <w:rPr/>
        <w:br w:type="column"/>
      </w:r>
      <w:r>
        <w:rPr>
          <w:spacing w:val="-2"/>
        </w:rPr>
        <w:t>是由登革热病毒引起的急性传染病，须经专科医生明确诊断，并须出现下列一种或多种严重登革热的临床表现：</w:t>
      </w:r>
    </w:p>
    <w:p>
      <w:pPr>
        <w:pStyle w:val="ListParagraph"/>
        <w:numPr>
          <w:ilvl w:val="0"/>
          <w:numId w:val="68"/>
        </w:numPr>
        <w:tabs>
          <w:tab w:pos="607" w:val="left" w:leader="none"/>
        </w:tabs>
        <w:spacing w:line="282" w:lineRule="exact" w:before="0" w:after="0"/>
        <w:ind w:left="606" w:right="0" w:hanging="455"/>
        <w:jc w:val="left"/>
        <w:rPr>
          <w:sz w:val="22"/>
        </w:rPr>
      </w:pPr>
      <w:r>
        <w:rPr>
          <w:spacing w:val="-3"/>
          <w:sz w:val="22"/>
        </w:rPr>
        <w:t>血浆渗漏致休克或胸腔积液伴呼吸困难；</w:t>
      </w:r>
    </w:p>
    <w:p>
      <w:pPr>
        <w:spacing w:after="0" w:line="282" w:lineRule="exact"/>
        <w:jc w:val="left"/>
        <w:rPr>
          <w:sz w:val="22"/>
        </w:rPr>
        <w:sectPr>
          <w:type w:val="continuous"/>
          <w:pgSz w:w="11910" w:h="16840"/>
          <w:pgMar w:header="484" w:footer="706" w:top="1240" w:bottom="900" w:left="980" w:right="980"/>
          <w:cols w:num="2" w:equalWidth="0">
            <w:col w:w="2277" w:space="51"/>
            <w:col w:w="7622"/>
          </w:cols>
        </w:sectPr>
      </w:pPr>
    </w:p>
    <w:p>
      <w:pPr>
        <w:pStyle w:val="BodyText"/>
        <w:spacing w:before="7"/>
        <w:rPr>
          <w:sz w:val="14"/>
        </w:rPr>
      </w:pPr>
    </w:p>
    <w:p>
      <w:pPr>
        <w:pStyle w:val="ListParagraph"/>
        <w:numPr>
          <w:ilvl w:val="0"/>
          <w:numId w:val="68"/>
        </w:numPr>
        <w:tabs>
          <w:tab w:pos="2935" w:val="left" w:leader="none"/>
        </w:tabs>
        <w:spacing w:line="240" w:lineRule="auto" w:before="70" w:after="0"/>
        <w:ind w:left="2934" w:right="0" w:hanging="455"/>
        <w:jc w:val="left"/>
        <w:rPr>
          <w:sz w:val="22"/>
        </w:rPr>
      </w:pPr>
      <w:r>
        <w:rPr>
          <w:spacing w:val="-3"/>
          <w:sz w:val="22"/>
        </w:rPr>
        <w:t>严重出血：消化道出血、阴道大出血、颅内出血、肉眼血尿或皮下血肿</w:t>
      </w:r>
    </w:p>
    <w:p>
      <w:pPr>
        <w:pStyle w:val="BodyText"/>
        <w:spacing w:before="100"/>
        <w:ind w:left="2934"/>
      </w:pPr>
      <w:r>
        <w:rPr>
          <w:spacing w:val="-2"/>
        </w:rPr>
        <w:t>（不包括皮下出血点</w:t>
      </w:r>
      <w:r>
        <w:rPr>
          <w:spacing w:val="-5"/>
        </w:rPr>
        <w:t>）；</w:t>
      </w:r>
    </w:p>
    <w:p>
      <w:pPr>
        <w:pStyle w:val="ListParagraph"/>
        <w:numPr>
          <w:ilvl w:val="0"/>
          <w:numId w:val="68"/>
        </w:numPr>
        <w:tabs>
          <w:tab w:pos="2935" w:val="left" w:leader="none"/>
        </w:tabs>
        <w:spacing w:line="324" w:lineRule="auto" w:before="97" w:after="0"/>
        <w:ind w:left="2934" w:right="150" w:hanging="454"/>
        <w:jc w:val="left"/>
        <w:rPr>
          <w:sz w:val="22"/>
        </w:rPr>
      </w:pPr>
      <w:r>
        <w:rPr>
          <w:spacing w:val="-2"/>
          <w:sz w:val="22"/>
        </w:rPr>
        <w:t>严重器官损害或衰竭：肝脏损伤（ALT或AST＞1000IU/L）、ARDS（急性呼吸窘迫综合征）、急性心功能衰竭、急性肾功能衰竭、脑病。</w:t>
      </w:r>
    </w:p>
    <w:p>
      <w:pPr>
        <w:pStyle w:val="BodyText"/>
        <w:spacing w:line="282" w:lineRule="exact"/>
        <w:ind w:left="2480"/>
      </w:pPr>
      <w:r>
        <w:rPr>
          <w:color w:val="000000"/>
          <w:spacing w:val="-3"/>
          <w:shd w:fill="E4E4E4" w:color="auto" w:val="clear"/>
        </w:rPr>
        <w:t>非出血性登革热不在保障范围内。</w:t>
      </w:r>
    </w:p>
    <w:p>
      <w:pPr>
        <w:pStyle w:val="BodyText"/>
        <w:spacing w:before="3"/>
        <w:rPr>
          <w:sz w:val="29"/>
        </w:rPr>
      </w:pPr>
    </w:p>
    <w:p>
      <w:pPr>
        <w:spacing w:after="0"/>
        <w:rPr>
          <w:sz w:val="29"/>
        </w:rPr>
        <w:sectPr>
          <w:pgSz w:w="11910" w:h="16840"/>
          <w:pgMar w:header="484" w:footer="706" w:top="1240" w:bottom="900" w:left="980" w:right="980"/>
        </w:sectPr>
      </w:pPr>
    </w:p>
    <w:p>
      <w:pPr>
        <w:pStyle w:val="Heading2"/>
        <w:numPr>
          <w:ilvl w:val="1"/>
          <w:numId w:val="28"/>
        </w:numPr>
        <w:tabs>
          <w:tab w:pos="931" w:val="left" w:leader="none"/>
        </w:tabs>
        <w:spacing w:line="240" w:lineRule="auto" w:before="72" w:after="0"/>
        <w:ind w:left="930" w:right="0" w:hanging="779"/>
        <w:jc w:val="left"/>
      </w:pPr>
      <w:r>
        <w:rPr>
          <w:spacing w:val="-4"/>
        </w:rPr>
        <w:t>严重的脊髓空</w:t>
      </w:r>
    </w:p>
    <w:p>
      <w:pPr>
        <w:spacing w:line="261" w:lineRule="auto" w:before="30"/>
        <w:ind w:left="930" w:right="0" w:firstLine="0"/>
        <w:jc w:val="left"/>
        <w:rPr>
          <w:rFonts w:ascii="华文中宋" w:eastAsia="华文中宋" w:hint="eastAsia"/>
          <w:b/>
          <w:sz w:val="22"/>
        </w:rPr>
      </w:pPr>
      <w:r>
        <w:rPr>
          <w:rFonts w:ascii="华文中宋" w:eastAsia="华文中宋" w:hint="eastAsia"/>
          <w:b/>
          <w:spacing w:val="-2"/>
          <w:sz w:val="22"/>
        </w:rPr>
        <w:t>洞症或严重的</w:t>
      </w:r>
      <w:r>
        <w:rPr>
          <w:rFonts w:ascii="华文中宋" w:eastAsia="华文中宋" w:hint="eastAsia"/>
          <w:b/>
          <w:spacing w:val="-4"/>
          <w:sz w:val="22"/>
        </w:rPr>
        <w:t>延髓空洞症</w:t>
      </w:r>
    </w:p>
    <w:p>
      <w:pPr>
        <w:pStyle w:val="BodyText"/>
        <w:spacing w:line="324" w:lineRule="auto" w:before="102"/>
        <w:ind w:left="152" w:right="150"/>
        <w:jc w:val="both"/>
      </w:pPr>
      <w:r>
        <w:rPr/>
        <w:br w:type="column"/>
      </w:r>
      <w:r>
        <w:rPr>
          <w:spacing w:val="-1"/>
          <w:w w:val="100"/>
        </w:rPr>
        <w:t>脊髓空洞症为慢性进行性的脊髓变性性疾病，其特征为脊髓内空洞形成。表现为感觉异常、肌萎缩及神经营养障碍。脊髓空洞症累及延髓称为延髓空洞症，表现为延髓麻痹。脊髓空洞症必须明确诊断并且造成永久不可逆的神经</w:t>
      </w:r>
      <w:r>
        <w:rPr>
          <w:spacing w:val="2"/>
          <w:w w:val="100"/>
        </w:rPr>
        <w:t>系统功能障碍，存在持续至少</w:t>
      </w:r>
      <w:r>
        <w:rPr>
          <w:spacing w:val="-1"/>
          <w:w w:val="100"/>
        </w:rPr>
        <w:t>18</w:t>
      </w:r>
      <w:r>
        <w:rPr>
          <w:spacing w:val="2"/>
          <w:w w:val="100"/>
        </w:rPr>
        <w:t>0</w:t>
      </w:r>
      <w:r>
        <w:rPr>
          <w:spacing w:val="1"/>
          <w:w w:val="100"/>
        </w:rPr>
        <w:t>天以上的神经系统功能缺失并满足下列任</w:t>
      </w:r>
      <w:r>
        <w:rPr>
          <w:spacing w:val="-2"/>
          <w:w w:val="100"/>
        </w:rPr>
        <w:t>一条件：</w:t>
      </w:r>
    </w:p>
    <w:p>
      <w:pPr>
        <w:pStyle w:val="ListParagraph"/>
        <w:numPr>
          <w:ilvl w:val="0"/>
          <w:numId w:val="69"/>
        </w:numPr>
        <w:tabs>
          <w:tab w:pos="607" w:val="left" w:leader="none"/>
        </w:tabs>
        <w:spacing w:line="280" w:lineRule="exact" w:before="0" w:after="0"/>
        <w:ind w:left="606" w:right="0" w:hanging="455"/>
        <w:jc w:val="both"/>
        <w:rPr>
          <w:sz w:val="22"/>
        </w:rPr>
      </w:pPr>
      <w:r>
        <w:rPr>
          <w:spacing w:val="-3"/>
          <w:sz w:val="22"/>
        </w:rPr>
        <w:t>延髓麻痹呈现显著舌肌萎缩、构音困难和吞咽困难；或</w:t>
      </w:r>
    </w:p>
    <w:p>
      <w:pPr>
        <w:pStyle w:val="ListParagraph"/>
        <w:numPr>
          <w:ilvl w:val="0"/>
          <w:numId w:val="69"/>
        </w:numPr>
        <w:tabs>
          <w:tab w:pos="607" w:val="left" w:leader="none"/>
        </w:tabs>
        <w:spacing w:line="240" w:lineRule="auto" w:before="98" w:after="0"/>
        <w:ind w:left="606" w:right="0" w:hanging="455"/>
        <w:jc w:val="both"/>
        <w:rPr>
          <w:sz w:val="22"/>
        </w:rPr>
      </w:pPr>
      <w:r>
        <w:rPr>
          <w:spacing w:val="-2"/>
          <w:sz w:val="22"/>
        </w:rPr>
        <w:t>双手萎缩呈“爪形手”，肌力2</w:t>
      </w:r>
      <w:r>
        <w:rPr>
          <w:spacing w:val="-4"/>
          <w:sz w:val="22"/>
        </w:rPr>
        <w:t>级或以下。</w:t>
      </w:r>
    </w:p>
    <w:p>
      <w:pPr>
        <w:spacing w:after="0" w:line="240" w:lineRule="auto"/>
        <w:jc w:val="both"/>
        <w:rPr>
          <w:sz w:val="22"/>
        </w:rPr>
        <w:sectPr>
          <w:type w:val="continuous"/>
          <w:pgSz w:w="11910" w:h="16840"/>
          <w:pgMar w:header="484" w:footer="706" w:top="1240" w:bottom="900" w:left="980" w:right="980"/>
          <w:cols w:num="2" w:equalWidth="0">
            <w:col w:w="2253" w:space="75"/>
            <w:col w:w="7622"/>
          </w:cols>
        </w:sectPr>
      </w:pPr>
    </w:p>
    <w:p>
      <w:pPr>
        <w:pStyle w:val="BodyText"/>
        <w:spacing w:before="4"/>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3" w:after="0"/>
        <w:ind w:left="954" w:right="0" w:hanging="803"/>
        <w:jc w:val="left"/>
      </w:pPr>
      <w:r>
        <w:rPr>
          <w:spacing w:val="-4"/>
        </w:rPr>
        <w:t>侵蚀性葡萄胎</w:t>
      </w:r>
    </w:p>
    <w:p>
      <w:pPr>
        <w:spacing w:line="261" w:lineRule="auto" w:before="30"/>
        <w:ind w:left="954" w:right="218" w:firstLine="0"/>
        <w:jc w:val="left"/>
        <w:rPr>
          <w:rFonts w:ascii="华文中宋" w:eastAsia="华文中宋" w:hint="eastAsia"/>
          <w:b/>
          <w:sz w:val="22"/>
        </w:rPr>
      </w:pPr>
      <w:r>
        <w:rPr>
          <w:rFonts w:ascii="华文中宋" w:eastAsia="华文中宋" w:hint="eastAsia"/>
          <w:b/>
          <w:spacing w:val="-4"/>
          <w:sz w:val="22"/>
        </w:rPr>
        <w:t>（恶性葡萄</w:t>
      </w:r>
      <w:r>
        <w:rPr>
          <w:rFonts w:ascii="华文中宋" w:eastAsia="华文中宋" w:hint="eastAsia"/>
          <w:b/>
          <w:spacing w:val="-6"/>
          <w:sz w:val="22"/>
        </w:rPr>
        <w:t>胎）</w:t>
      </w:r>
    </w:p>
    <w:p>
      <w:pPr>
        <w:pStyle w:val="BodyText"/>
        <w:spacing w:line="324" w:lineRule="auto" w:before="103"/>
        <w:ind w:left="152" w:right="150"/>
      </w:pPr>
      <w:r>
        <w:rPr/>
        <w:br w:type="column"/>
      </w:r>
      <w:r>
        <w:rPr>
          <w:spacing w:val="-2"/>
        </w:rPr>
        <w:t>指异常增生的绒毛组织浸润性生长侵入子宫肌层或转移至其他器官或组织的葡萄胎，并已经进行化疗或手术治疗的。</w:t>
      </w:r>
    </w:p>
    <w:p>
      <w:pPr>
        <w:spacing w:after="0" w:line="324" w:lineRule="auto"/>
        <w:sectPr>
          <w:type w:val="continuous"/>
          <w:pgSz w:w="11910" w:h="16840"/>
          <w:pgMar w:header="484" w:footer="706" w:top="1240" w:bottom="900" w:left="980" w:right="980"/>
          <w:cols w:num="2" w:equalWidth="0">
            <w:col w:w="2277" w:space="51"/>
            <w:col w:w="7622"/>
          </w:cols>
        </w:sectPr>
      </w:pPr>
    </w:p>
    <w:p>
      <w:pPr>
        <w:pStyle w:val="BodyText"/>
        <w:spacing w:before="12"/>
        <w:rPr>
          <w:sz w:val="23"/>
        </w:rPr>
      </w:pPr>
    </w:p>
    <w:p>
      <w:pPr>
        <w:spacing w:after="0"/>
        <w:rPr>
          <w:sz w:val="23"/>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2" w:after="0"/>
        <w:ind w:left="954" w:right="0" w:hanging="803"/>
        <w:jc w:val="left"/>
      </w:pPr>
      <w:r>
        <w:rPr>
          <w:spacing w:val="-4"/>
        </w:rPr>
        <w:t>严重心脏衰竭</w:t>
      </w:r>
    </w:p>
    <w:p>
      <w:pPr>
        <w:spacing w:line="261" w:lineRule="auto" w:before="30"/>
        <w:ind w:left="954" w:right="0" w:firstLine="0"/>
        <w:jc w:val="left"/>
        <w:rPr>
          <w:rFonts w:ascii="华文中宋" w:eastAsia="华文中宋" w:hint="eastAsia"/>
          <w:b/>
          <w:sz w:val="22"/>
        </w:rPr>
      </w:pPr>
      <w:r>
        <w:rPr>
          <w:rFonts w:ascii="华文中宋" w:eastAsia="华文中宋" w:hint="eastAsia"/>
          <w:b/>
          <w:spacing w:val="-2"/>
          <w:sz w:val="22"/>
        </w:rPr>
        <w:t>CRT心脏再同</w:t>
      </w:r>
      <w:r>
        <w:rPr>
          <w:rFonts w:ascii="华文中宋" w:eastAsia="华文中宋" w:hint="eastAsia"/>
          <w:b/>
          <w:spacing w:val="-4"/>
          <w:sz w:val="22"/>
        </w:rPr>
        <w:t>步治疗</w:t>
      </w:r>
    </w:p>
    <w:p>
      <w:pPr>
        <w:pStyle w:val="BodyText"/>
        <w:spacing w:line="324" w:lineRule="auto" w:before="102"/>
        <w:ind w:left="147" w:right="150"/>
        <w:jc w:val="both"/>
      </w:pPr>
      <w:r>
        <w:rPr/>
        <w:br w:type="column"/>
      </w:r>
      <w:r>
        <w:rPr>
          <w:spacing w:val="-2"/>
        </w:rPr>
        <w:t>指因缺血性心脏病或扩张性心肌病导致慢性严重心脏衰竭，被保险人实际接</w:t>
      </w:r>
      <w:r>
        <w:rPr>
          <w:spacing w:val="-2"/>
        </w:rPr>
        <w:t>受了CRT治疗，以矫正心室收缩不协调和改善心脏功能。</w:t>
      </w:r>
      <w:r>
        <w:rPr>
          <w:color w:val="000000"/>
          <w:spacing w:val="-2"/>
          <w:shd w:fill="E4E4E4" w:color="auto" w:val="clear"/>
        </w:rPr>
        <w:t>接受治疗之前必须</w:t>
      </w:r>
      <w:r>
        <w:rPr>
          <w:color w:val="000000"/>
          <w:spacing w:val="40"/>
          <w:shd w:fill="E4E4E4" w:color="auto" w:val="clear"/>
        </w:rPr>
        <w:t> </w:t>
      </w:r>
      <w:r>
        <w:rPr>
          <w:color w:val="000000"/>
          <w:spacing w:val="-2"/>
          <w:shd w:fill="E4E4E4" w:color="auto" w:val="clear"/>
        </w:rPr>
        <w:t>满足下列所有条件：</w:t>
      </w:r>
    </w:p>
    <w:p>
      <w:pPr>
        <w:pStyle w:val="ListParagraph"/>
        <w:numPr>
          <w:ilvl w:val="0"/>
          <w:numId w:val="70"/>
        </w:numPr>
        <w:tabs>
          <w:tab w:pos="601" w:val="left" w:leader="none"/>
        </w:tabs>
        <w:spacing w:line="324" w:lineRule="auto" w:before="0" w:after="0"/>
        <w:ind w:left="600" w:right="152" w:hanging="454"/>
        <w:jc w:val="both"/>
        <w:rPr>
          <w:sz w:val="22"/>
        </w:rPr>
      </w:pPr>
      <w:r>
        <w:rPr>
          <w:spacing w:val="-2"/>
          <w:sz w:val="22"/>
        </w:rPr>
        <w:t>心功能衰竭程度达到纽约心脏病学会的心功能分级标准之心功能Ⅲ级或 </w:t>
      </w:r>
      <w:r>
        <w:rPr>
          <w:spacing w:val="-4"/>
          <w:sz w:val="22"/>
        </w:rPr>
        <w:t>IV级；</w:t>
      </w:r>
    </w:p>
    <w:p>
      <w:pPr>
        <w:pStyle w:val="ListParagraph"/>
        <w:numPr>
          <w:ilvl w:val="0"/>
          <w:numId w:val="70"/>
        </w:numPr>
        <w:tabs>
          <w:tab w:pos="601" w:val="left" w:leader="none"/>
        </w:tabs>
        <w:spacing w:line="282" w:lineRule="exact" w:before="0" w:after="0"/>
        <w:ind w:left="600" w:right="0" w:hanging="454"/>
        <w:jc w:val="left"/>
        <w:rPr>
          <w:sz w:val="22"/>
        </w:rPr>
      </w:pPr>
      <w:r>
        <w:rPr>
          <w:spacing w:val="-2"/>
          <w:sz w:val="22"/>
        </w:rPr>
        <w:t>左室射血分数低于</w:t>
      </w:r>
      <w:r>
        <w:rPr>
          <w:spacing w:val="-4"/>
          <w:sz w:val="22"/>
        </w:rPr>
        <w:t>35%；</w:t>
      </w:r>
    </w:p>
    <w:p>
      <w:pPr>
        <w:pStyle w:val="ListParagraph"/>
        <w:numPr>
          <w:ilvl w:val="0"/>
          <w:numId w:val="70"/>
        </w:numPr>
        <w:tabs>
          <w:tab w:pos="601" w:val="left" w:leader="none"/>
        </w:tabs>
        <w:spacing w:line="240" w:lineRule="auto" w:before="96" w:after="0"/>
        <w:ind w:left="600" w:right="0" w:hanging="454"/>
        <w:jc w:val="left"/>
        <w:rPr>
          <w:sz w:val="22"/>
        </w:rPr>
      </w:pPr>
      <w:r>
        <w:rPr>
          <w:spacing w:val="-2"/>
          <w:sz w:val="22"/>
        </w:rPr>
        <w:t>左室舒张末期内径≥55mm；</w:t>
      </w:r>
    </w:p>
    <w:p>
      <w:pPr>
        <w:pStyle w:val="ListParagraph"/>
        <w:numPr>
          <w:ilvl w:val="0"/>
          <w:numId w:val="70"/>
        </w:numPr>
        <w:tabs>
          <w:tab w:pos="601" w:val="left" w:leader="none"/>
        </w:tabs>
        <w:spacing w:line="240" w:lineRule="auto" w:before="100" w:after="0"/>
        <w:ind w:left="600" w:right="0" w:hanging="454"/>
        <w:jc w:val="left"/>
        <w:rPr>
          <w:sz w:val="22"/>
        </w:rPr>
      </w:pPr>
      <w:r>
        <w:rPr>
          <w:spacing w:val="-2"/>
          <w:sz w:val="22"/>
        </w:rPr>
        <w:t>QRS时间≥130msec；</w:t>
      </w:r>
    </w:p>
    <w:p>
      <w:pPr>
        <w:pStyle w:val="ListParagraph"/>
        <w:numPr>
          <w:ilvl w:val="0"/>
          <w:numId w:val="70"/>
        </w:numPr>
        <w:tabs>
          <w:tab w:pos="601" w:val="left" w:leader="none"/>
        </w:tabs>
        <w:spacing w:line="240" w:lineRule="auto" w:before="97" w:after="0"/>
        <w:ind w:left="600" w:right="0" w:hanging="454"/>
        <w:jc w:val="left"/>
        <w:rPr>
          <w:sz w:val="22"/>
        </w:rPr>
      </w:pPr>
      <w:r>
        <w:rPr>
          <w:spacing w:val="-3"/>
          <w:sz w:val="22"/>
        </w:rPr>
        <w:t>药物治疗效果不佳，仍有症状。</w:t>
      </w:r>
    </w:p>
    <w:p>
      <w:pPr>
        <w:spacing w:after="0" w:line="240" w:lineRule="auto"/>
        <w:jc w:val="left"/>
        <w:rPr>
          <w:sz w:val="22"/>
        </w:rPr>
        <w:sectPr>
          <w:type w:val="continuous"/>
          <w:pgSz w:w="11910" w:h="16840"/>
          <w:pgMar w:header="484" w:footer="706" w:top="1240" w:bottom="900" w:left="980" w:right="980"/>
          <w:cols w:num="2" w:equalWidth="0">
            <w:col w:w="2294" w:space="40"/>
            <w:col w:w="7616"/>
          </w:cols>
        </w:sectPr>
      </w:pPr>
    </w:p>
    <w:p>
      <w:pPr>
        <w:pStyle w:val="BodyText"/>
        <w:spacing w:before="2"/>
        <w:rPr>
          <w:sz w:val="29"/>
        </w:rPr>
      </w:pPr>
    </w:p>
    <w:p>
      <w:pPr>
        <w:pStyle w:val="ListParagraph"/>
        <w:numPr>
          <w:ilvl w:val="1"/>
          <w:numId w:val="28"/>
        </w:numPr>
        <w:tabs>
          <w:tab w:pos="955" w:val="left" w:leader="none"/>
          <w:tab w:pos="2480" w:val="left" w:leader="none"/>
        </w:tabs>
        <w:spacing w:line="240" w:lineRule="auto" w:before="75" w:after="0"/>
        <w:ind w:left="954" w:right="0" w:hanging="803"/>
        <w:jc w:val="left"/>
        <w:rPr>
          <w:sz w:val="22"/>
        </w:rPr>
      </w:pPr>
      <w:r>
        <w:rPr>
          <w:rFonts w:ascii="华文中宋" w:eastAsia="华文中宋" w:hint="eastAsia"/>
          <w:b/>
          <w:spacing w:val="-2"/>
          <w:sz w:val="22"/>
        </w:rPr>
        <w:t>肺孢子菌肺</w:t>
      </w:r>
      <w:r>
        <w:rPr>
          <w:rFonts w:ascii="华文中宋" w:eastAsia="华文中宋" w:hint="eastAsia"/>
          <w:b/>
          <w:spacing w:val="-12"/>
          <w:sz w:val="22"/>
        </w:rPr>
        <w:t>炎</w:t>
      </w:r>
      <w:r>
        <w:rPr>
          <w:rFonts w:ascii="华文中宋" w:eastAsia="华文中宋" w:hint="eastAsia"/>
          <w:b/>
          <w:sz w:val="22"/>
        </w:rPr>
        <w:tab/>
      </w:r>
      <w:r>
        <w:rPr>
          <w:spacing w:val="-2"/>
          <w:sz w:val="22"/>
        </w:rPr>
        <w:t>指由肺孢子菌引起的间质性浆细胞性肺炎，</w:t>
      </w:r>
      <w:r>
        <w:rPr>
          <w:color w:val="000000"/>
          <w:spacing w:val="-2"/>
          <w:sz w:val="22"/>
          <w:shd w:fill="E4E4E4" w:color="auto" w:val="clear"/>
        </w:rPr>
        <w:t>且满足下列全部条件</w:t>
      </w:r>
      <w:r>
        <w:rPr>
          <w:color w:val="000000"/>
          <w:spacing w:val="-10"/>
          <w:sz w:val="22"/>
          <w:shd w:fill="E4E4E4" w:color="auto" w:val="clear"/>
        </w:rPr>
        <w:t>：</w:t>
      </w:r>
    </w:p>
    <w:p>
      <w:pPr>
        <w:pStyle w:val="ListParagraph"/>
        <w:numPr>
          <w:ilvl w:val="2"/>
          <w:numId w:val="28"/>
        </w:numPr>
        <w:tabs>
          <w:tab w:pos="2935" w:val="left" w:leader="none"/>
        </w:tabs>
        <w:spacing w:line="240" w:lineRule="auto" w:before="60" w:after="0"/>
        <w:ind w:left="2934" w:right="0" w:hanging="455"/>
        <w:jc w:val="left"/>
        <w:rPr>
          <w:sz w:val="22"/>
        </w:rPr>
      </w:pPr>
      <w:r>
        <w:rPr>
          <w:spacing w:val="-2"/>
          <w:sz w:val="22"/>
        </w:rPr>
        <w:t>第一秒末用力呼气量（FEV</w:t>
      </w:r>
      <w:r>
        <w:rPr>
          <w:spacing w:val="-2"/>
          <w:position w:val="-2"/>
          <w:sz w:val="11"/>
        </w:rPr>
        <w:t>1</w:t>
      </w:r>
      <w:r>
        <w:rPr>
          <w:spacing w:val="-2"/>
          <w:sz w:val="22"/>
        </w:rPr>
        <w:t>）小于1</w:t>
      </w:r>
      <w:r>
        <w:rPr>
          <w:spacing w:val="-6"/>
          <w:sz w:val="22"/>
        </w:rPr>
        <w:t>升；</w:t>
      </w:r>
    </w:p>
    <w:p>
      <w:pPr>
        <w:pStyle w:val="ListParagraph"/>
        <w:numPr>
          <w:ilvl w:val="2"/>
          <w:numId w:val="28"/>
        </w:numPr>
        <w:tabs>
          <w:tab w:pos="2935" w:val="left" w:leader="none"/>
        </w:tabs>
        <w:spacing w:line="240" w:lineRule="auto" w:before="98" w:after="0"/>
        <w:ind w:left="2934" w:right="0" w:hanging="455"/>
        <w:jc w:val="left"/>
        <w:rPr>
          <w:sz w:val="22"/>
        </w:rPr>
      </w:pPr>
      <w:r>
        <w:rPr>
          <w:spacing w:val="-2"/>
          <w:sz w:val="22"/>
        </w:rPr>
        <w:t>气道内阻力增加，至少达到0.5kPa/L/s；</w:t>
      </w:r>
    </w:p>
    <w:p>
      <w:pPr>
        <w:pStyle w:val="ListParagraph"/>
        <w:numPr>
          <w:ilvl w:val="2"/>
          <w:numId w:val="28"/>
        </w:numPr>
        <w:tabs>
          <w:tab w:pos="2935" w:val="left" w:leader="none"/>
        </w:tabs>
        <w:spacing w:line="240" w:lineRule="auto" w:before="100" w:after="0"/>
        <w:ind w:left="2934" w:right="0" w:hanging="455"/>
        <w:jc w:val="left"/>
        <w:rPr>
          <w:sz w:val="22"/>
        </w:rPr>
      </w:pPr>
      <w:r>
        <w:rPr>
          <w:spacing w:val="-2"/>
          <w:sz w:val="22"/>
        </w:rPr>
        <w:t>残气容积占肺总量（TLC）的60</w:t>
      </w:r>
      <w:r>
        <w:rPr>
          <w:spacing w:val="-4"/>
          <w:sz w:val="22"/>
        </w:rPr>
        <w:t>%以上；</w:t>
      </w:r>
    </w:p>
    <w:p>
      <w:pPr>
        <w:pStyle w:val="ListParagraph"/>
        <w:numPr>
          <w:ilvl w:val="2"/>
          <w:numId w:val="28"/>
        </w:numPr>
        <w:tabs>
          <w:tab w:pos="2935" w:val="left" w:leader="none"/>
        </w:tabs>
        <w:spacing w:line="240" w:lineRule="auto" w:before="97" w:after="0"/>
        <w:ind w:left="2934" w:right="0" w:hanging="455"/>
        <w:jc w:val="left"/>
        <w:rPr>
          <w:sz w:val="22"/>
        </w:rPr>
      </w:pPr>
      <w:r>
        <w:rPr>
          <w:spacing w:val="-2"/>
          <w:sz w:val="22"/>
        </w:rPr>
        <w:t>胸内气体容积升高，超过基值的</w:t>
      </w:r>
      <w:r>
        <w:rPr>
          <w:spacing w:val="-4"/>
          <w:sz w:val="22"/>
        </w:rPr>
        <w:t>170%；</w:t>
      </w:r>
    </w:p>
    <w:p>
      <w:pPr>
        <w:pStyle w:val="ListParagraph"/>
        <w:numPr>
          <w:ilvl w:val="2"/>
          <w:numId w:val="28"/>
        </w:numPr>
        <w:tabs>
          <w:tab w:pos="2935" w:val="left" w:leader="none"/>
        </w:tabs>
        <w:spacing w:line="240" w:lineRule="auto" w:before="97" w:after="0"/>
        <w:ind w:left="2934" w:right="0" w:hanging="455"/>
        <w:jc w:val="left"/>
        <w:rPr>
          <w:sz w:val="22"/>
        </w:rPr>
      </w:pPr>
      <w:r>
        <w:rPr>
          <w:spacing w:val="-2"/>
          <w:sz w:val="22"/>
        </w:rPr>
        <w:t>PaO</w:t>
      </w:r>
      <w:r>
        <w:rPr>
          <w:spacing w:val="-2"/>
          <w:position w:val="-2"/>
          <w:sz w:val="11"/>
        </w:rPr>
        <w:t>2</w:t>
      </w:r>
      <w:r>
        <w:rPr>
          <w:spacing w:val="-2"/>
          <w:sz w:val="22"/>
        </w:rPr>
        <w:t>＜60mmHg，PaCO</w:t>
      </w:r>
      <w:r>
        <w:rPr>
          <w:spacing w:val="-2"/>
          <w:position w:val="-2"/>
          <w:sz w:val="11"/>
        </w:rPr>
        <w:t>2</w:t>
      </w:r>
      <w:r>
        <w:rPr>
          <w:spacing w:val="-2"/>
          <w:sz w:val="22"/>
        </w:rPr>
        <w:t>＞50mmHg</w:t>
      </w:r>
      <w:r>
        <w:rPr>
          <w:spacing w:val="-10"/>
          <w:sz w:val="22"/>
        </w:rPr>
        <w:t>。</w:t>
      </w:r>
    </w:p>
    <w:p>
      <w:pPr>
        <w:pStyle w:val="BodyText"/>
        <w:rPr>
          <w:sz w:val="35"/>
        </w:rPr>
      </w:pPr>
    </w:p>
    <w:p>
      <w:pPr>
        <w:pStyle w:val="ListParagraph"/>
        <w:numPr>
          <w:ilvl w:val="1"/>
          <w:numId w:val="28"/>
        </w:numPr>
        <w:tabs>
          <w:tab w:pos="955" w:val="left" w:leader="none"/>
          <w:tab w:pos="2480" w:val="left" w:leader="none"/>
        </w:tabs>
        <w:spacing w:line="240" w:lineRule="auto" w:before="1" w:after="0"/>
        <w:ind w:left="954" w:right="0" w:hanging="803"/>
        <w:jc w:val="left"/>
        <w:rPr>
          <w:sz w:val="22"/>
        </w:rPr>
      </w:pPr>
      <w:r>
        <w:rPr>
          <w:rFonts w:ascii="华文中宋" w:eastAsia="华文中宋" w:hint="eastAsia"/>
          <w:b/>
          <w:spacing w:val="-2"/>
          <w:sz w:val="22"/>
        </w:rPr>
        <w:t>严重席汉氏</w:t>
      </w:r>
      <w:r>
        <w:rPr>
          <w:rFonts w:ascii="华文中宋" w:eastAsia="华文中宋" w:hint="eastAsia"/>
          <w:b/>
          <w:spacing w:val="-12"/>
          <w:sz w:val="22"/>
        </w:rPr>
        <w:t>综</w:t>
      </w:r>
      <w:r>
        <w:rPr>
          <w:rFonts w:ascii="华文中宋" w:eastAsia="华文中宋" w:hint="eastAsia"/>
          <w:b/>
          <w:sz w:val="22"/>
        </w:rPr>
        <w:tab/>
      </w:r>
      <w:r>
        <w:rPr>
          <w:sz w:val="22"/>
        </w:rPr>
        <w:t>指因产后大出血并发休克、全身循环衰竭、弥漫性血管内凝血导致脑垂体</w:t>
      </w:r>
      <w:r>
        <w:rPr>
          <w:spacing w:val="-10"/>
          <w:sz w:val="22"/>
        </w:rPr>
        <w:t>缺</w:t>
      </w:r>
    </w:p>
    <w:p>
      <w:pPr>
        <w:spacing w:after="0" w:line="240" w:lineRule="auto"/>
        <w:jc w:val="left"/>
        <w:rPr>
          <w:sz w:val="22"/>
        </w:rPr>
        <w:sectPr>
          <w:type w:val="continuous"/>
          <w:pgSz w:w="11910" w:h="16840"/>
          <w:pgMar w:header="484" w:footer="706" w:top="1240" w:bottom="900" w:left="980" w:right="980"/>
        </w:sectPr>
      </w:pPr>
    </w:p>
    <w:p>
      <w:pPr>
        <w:pStyle w:val="BodyText"/>
        <w:rPr>
          <w:sz w:val="12"/>
        </w:rPr>
      </w:pPr>
    </w:p>
    <w:p>
      <w:pPr>
        <w:pStyle w:val="BodyText"/>
        <w:tabs>
          <w:tab w:pos="2480" w:val="left" w:leader="none"/>
        </w:tabs>
        <w:spacing w:line="283" w:lineRule="auto" w:before="73"/>
        <w:ind w:left="2480" w:right="150" w:hanging="1527"/>
      </w:pPr>
      <w:r>
        <w:rPr>
          <w:rFonts w:ascii="华文中宋" w:eastAsia="华文中宋" w:hint="eastAsia"/>
          <w:b/>
          <w:spacing w:val="-6"/>
        </w:rPr>
        <w:t>合征</w:t>
      </w:r>
      <w:r>
        <w:rPr>
          <w:rFonts w:ascii="华文中宋" w:eastAsia="华文中宋" w:hint="eastAsia"/>
          <w:b/>
        </w:rPr>
        <w:tab/>
      </w:r>
      <w:r>
        <w:rPr>
          <w:spacing w:val="-2"/>
        </w:rPr>
        <w:t>血坏</w:t>
      </w:r>
      <w:r>
        <w:rPr>
          <w:spacing w:val="-2"/>
        </w:rPr>
        <w:t>死</w:t>
      </w:r>
      <w:r>
        <w:rPr>
          <w:spacing w:val="-2"/>
        </w:rPr>
        <w:t>和</w:t>
      </w:r>
      <w:r>
        <w:rPr>
          <w:spacing w:val="-2"/>
        </w:rPr>
        <w:t>垂</w:t>
      </w:r>
      <w:r>
        <w:rPr>
          <w:spacing w:val="-2"/>
        </w:rPr>
        <w:t>体</w:t>
      </w:r>
      <w:r>
        <w:rPr>
          <w:spacing w:val="-2"/>
        </w:rPr>
        <w:t>分</w:t>
      </w:r>
      <w:r>
        <w:rPr>
          <w:spacing w:val="-2"/>
        </w:rPr>
        <w:t>泌</w:t>
      </w:r>
      <w:r>
        <w:rPr>
          <w:spacing w:val="-2"/>
        </w:rPr>
        <w:t>激</w:t>
      </w:r>
      <w:r>
        <w:rPr>
          <w:spacing w:val="-2"/>
        </w:rPr>
        <w:t>素</w:t>
      </w:r>
      <w:r>
        <w:rPr>
          <w:spacing w:val="-2"/>
        </w:rPr>
        <w:t>不</w:t>
      </w:r>
      <w:r>
        <w:rPr>
          <w:spacing w:val="-2"/>
        </w:rPr>
        <w:t>足</w:t>
      </w:r>
      <w:r>
        <w:rPr>
          <w:spacing w:val="-2"/>
        </w:rPr>
        <w:t>，造</w:t>
      </w:r>
      <w:r>
        <w:rPr>
          <w:spacing w:val="-2"/>
        </w:rPr>
        <w:t>成</w:t>
      </w:r>
      <w:r>
        <w:rPr>
          <w:spacing w:val="-2"/>
        </w:rPr>
        <w:t>性</w:t>
      </w:r>
      <w:r>
        <w:rPr>
          <w:spacing w:val="-2"/>
        </w:rPr>
        <w:t>腺</w:t>
      </w:r>
      <w:r>
        <w:rPr>
          <w:spacing w:val="-2"/>
        </w:rPr>
        <w:t>、</w:t>
      </w:r>
      <w:r>
        <w:rPr>
          <w:spacing w:val="-2"/>
        </w:rPr>
        <w:t>甲</w:t>
      </w:r>
      <w:r>
        <w:rPr>
          <w:spacing w:val="-2"/>
        </w:rPr>
        <w:t>状</w:t>
      </w:r>
      <w:r>
        <w:rPr>
          <w:spacing w:val="-2"/>
        </w:rPr>
        <w:t>腺</w:t>
      </w:r>
      <w:r>
        <w:rPr>
          <w:spacing w:val="-2"/>
        </w:rPr>
        <w:t>、</w:t>
      </w:r>
      <w:r>
        <w:rPr>
          <w:spacing w:val="-2"/>
        </w:rPr>
        <w:t>肾</w:t>
      </w:r>
      <w:r>
        <w:rPr>
          <w:spacing w:val="-2"/>
        </w:rPr>
        <w:t>上</w:t>
      </w:r>
      <w:r>
        <w:rPr>
          <w:spacing w:val="-2"/>
        </w:rPr>
        <w:t>腺</w:t>
      </w:r>
      <w:r>
        <w:rPr>
          <w:spacing w:val="-2"/>
        </w:rPr>
        <w:t>皮</w:t>
      </w:r>
      <w:r>
        <w:rPr>
          <w:spacing w:val="-2"/>
        </w:rPr>
        <w:t>质</w:t>
      </w:r>
      <w:r>
        <w:rPr>
          <w:spacing w:val="-2"/>
        </w:rPr>
        <w:t>功</w:t>
      </w:r>
      <w:r>
        <w:rPr>
          <w:spacing w:val="-2"/>
        </w:rPr>
        <w:t>能</w:t>
      </w:r>
      <w:r>
        <w:rPr>
          <w:spacing w:val="-2"/>
        </w:rPr>
        <w:t>减</w:t>
      </w:r>
      <w:r>
        <w:rPr>
          <w:spacing w:val="-2"/>
        </w:rPr>
        <w:t>退</w:t>
      </w:r>
      <w:r>
        <w:rPr>
          <w:spacing w:val="-2"/>
        </w:rPr>
        <w:t>。</w:t>
      </w:r>
      <w:r>
        <w:rPr>
          <w:color w:val="000000"/>
          <w:spacing w:val="-2"/>
          <w:shd w:fill="E4E4E4" w:color="auto" w:val="clear"/>
        </w:rPr>
        <w:t>必</w:t>
      </w:r>
      <w:r>
        <w:rPr>
          <w:color w:val="000000"/>
          <w:spacing w:val="80"/>
          <w:w w:val="150"/>
          <w:shd w:fill="E4E4E4" w:color="auto" w:val="clear"/>
        </w:rPr>
        <w:t>                                       </w:t>
      </w:r>
      <w:r>
        <w:rPr>
          <w:color w:val="000000"/>
          <w:spacing w:val="-2"/>
          <w:shd w:fill="E4E4E4" w:color="auto" w:val="clear"/>
        </w:rPr>
        <w:t>须满</w:t>
      </w:r>
      <w:r>
        <w:rPr>
          <w:color w:val="000000"/>
          <w:spacing w:val="-2"/>
          <w:shd w:fill="E4E4E4" w:color="auto" w:val="clear"/>
        </w:rPr>
        <w:t>足</w:t>
      </w:r>
      <w:r>
        <w:rPr>
          <w:color w:val="000000"/>
          <w:spacing w:val="-2"/>
          <w:shd w:fill="E4E4E4" w:color="auto" w:val="clear"/>
        </w:rPr>
        <w:t>下</w:t>
      </w:r>
      <w:r>
        <w:rPr>
          <w:color w:val="000000"/>
          <w:spacing w:val="-2"/>
          <w:shd w:fill="E4E4E4" w:color="auto" w:val="clear"/>
        </w:rPr>
        <w:t>列</w:t>
      </w:r>
      <w:r>
        <w:rPr>
          <w:color w:val="000000"/>
          <w:spacing w:val="-2"/>
          <w:shd w:fill="E4E4E4" w:color="auto" w:val="clear"/>
        </w:rPr>
        <w:t>所</w:t>
      </w:r>
      <w:r>
        <w:rPr>
          <w:color w:val="000000"/>
          <w:spacing w:val="-2"/>
          <w:shd w:fill="E4E4E4" w:color="auto" w:val="clear"/>
        </w:rPr>
        <w:t>有</w:t>
      </w:r>
      <w:r>
        <w:rPr>
          <w:color w:val="000000"/>
          <w:spacing w:val="-2"/>
          <w:shd w:fill="E4E4E4" w:color="auto" w:val="clear"/>
        </w:rPr>
        <w:t>条件：</w:t>
      </w:r>
    </w:p>
    <w:p>
      <w:pPr>
        <w:pStyle w:val="ListParagraph"/>
        <w:numPr>
          <w:ilvl w:val="2"/>
          <w:numId w:val="28"/>
        </w:numPr>
        <w:tabs>
          <w:tab w:pos="2935" w:val="left" w:leader="none"/>
        </w:tabs>
        <w:spacing w:line="240" w:lineRule="auto" w:before="46" w:after="0"/>
        <w:ind w:left="2934" w:right="0" w:hanging="455"/>
        <w:jc w:val="left"/>
        <w:rPr>
          <w:sz w:val="22"/>
        </w:rPr>
      </w:pPr>
      <w:r>
        <w:rPr>
          <w:spacing w:val="-3"/>
          <w:sz w:val="22"/>
        </w:rPr>
        <w:t>产后大出血休克病史；</w:t>
      </w:r>
    </w:p>
    <w:p>
      <w:pPr>
        <w:pStyle w:val="ListParagraph"/>
        <w:numPr>
          <w:ilvl w:val="2"/>
          <w:numId w:val="28"/>
        </w:numPr>
        <w:tabs>
          <w:tab w:pos="2935" w:val="left" w:leader="none"/>
        </w:tabs>
        <w:spacing w:line="240" w:lineRule="auto" w:before="97" w:after="0"/>
        <w:ind w:left="2934" w:right="0" w:hanging="455"/>
        <w:jc w:val="left"/>
        <w:rPr>
          <w:sz w:val="22"/>
        </w:rPr>
      </w:pPr>
      <w:r>
        <w:rPr>
          <w:spacing w:val="-3"/>
          <w:sz w:val="22"/>
        </w:rPr>
        <w:t>严重腺垂体功能破坏，破坏程度＞</w:t>
      </w:r>
      <w:r>
        <w:rPr>
          <w:spacing w:val="-4"/>
          <w:sz w:val="22"/>
        </w:rPr>
        <w:t>95%；</w:t>
      </w:r>
    </w:p>
    <w:p>
      <w:pPr>
        <w:pStyle w:val="ListParagraph"/>
        <w:numPr>
          <w:ilvl w:val="2"/>
          <w:numId w:val="28"/>
        </w:numPr>
        <w:tabs>
          <w:tab w:pos="2935" w:val="left" w:leader="none"/>
        </w:tabs>
        <w:spacing w:line="240" w:lineRule="auto" w:before="100" w:after="0"/>
        <w:ind w:left="2934" w:right="0" w:hanging="455"/>
        <w:jc w:val="left"/>
        <w:rPr>
          <w:sz w:val="22"/>
        </w:rPr>
      </w:pPr>
      <w:r>
        <w:rPr>
          <w:spacing w:val="-3"/>
          <w:sz w:val="22"/>
        </w:rPr>
        <w:t>影像学检查显示脑垂体严重萎缩或消失；</w:t>
      </w:r>
    </w:p>
    <w:p>
      <w:pPr>
        <w:pStyle w:val="ListParagraph"/>
        <w:numPr>
          <w:ilvl w:val="2"/>
          <w:numId w:val="28"/>
        </w:numPr>
        <w:tabs>
          <w:tab w:pos="2935" w:val="left" w:leader="none"/>
        </w:tabs>
        <w:spacing w:line="240" w:lineRule="auto" w:before="98" w:after="0"/>
        <w:ind w:left="2934" w:right="0" w:hanging="455"/>
        <w:jc w:val="left"/>
        <w:rPr>
          <w:sz w:val="22"/>
        </w:rPr>
      </w:pPr>
      <w:r>
        <w:rPr>
          <w:spacing w:val="-4"/>
          <w:sz w:val="22"/>
        </w:rPr>
        <w:t>实验室检查显示：</w:t>
      </w:r>
    </w:p>
    <w:p>
      <w:pPr>
        <w:pStyle w:val="BodyText"/>
        <w:spacing w:before="97"/>
        <w:ind w:left="3354"/>
      </w:pPr>
      <w:r>
        <w:rPr/>
        <w:drawing>
          <wp:anchor distT="0" distB="0" distL="0" distR="0" allowOverlap="1" layoutInCell="1" locked="0" behindDoc="0" simplePos="0" relativeHeight="15753216">
            <wp:simplePos x="0" y="0"/>
            <wp:positionH relativeFrom="page">
              <wp:posOffset>2464117</wp:posOffset>
            </wp:positionH>
            <wp:positionV relativeFrom="paragraph">
              <wp:posOffset>79184</wp:posOffset>
            </wp:positionV>
            <wp:extent cx="140335" cy="140334"/>
            <wp:effectExtent l="0" t="0" r="0" b="0"/>
            <wp:wrapNone/>
            <wp:docPr id="59" name="image9.png"/>
            <wp:cNvGraphicFramePr>
              <a:graphicFrameLocks noChangeAspect="1"/>
            </wp:cNvGraphicFramePr>
            <a:graphic>
              <a:graphicData uri="http://schemas.openxmlformats.org/drawingml/2006/picture">
                <pic:pic>
                  <pic:nvPicPr>
                    <pic:cNvPr id="60" name="image9.png"/>
                    <pic:cNvPicPr/>
                  </pic:nvPicPr>
                  <pic:blipFill>
                    <a:blip r:embed="rId17" cstate="print"/>
                    <a:stretch>
                      <a:fillRect/>
                    </a:stretch>
                  </pic:blipFill>
                  <pic:spPr>
                    <a:xfrm>
                      <a:off x="0" y="0"/>
                      <a:ext cx="140335" cy="140334"/>
                    </a:xfrm>
                    <a:prstGeom prst="rect">
                      <a:avLst/>
                    </a:prstGeom>
                  </pic:spPr>
                </pic:pic>
              </a:graphicData>
            </a:graphic>
          </wp:anchor>
        </w:drawing>
      </w:r>
      <w:r>
        <w:rPr/>
        <w:pict>
          <v:shape style="position:absolute;margin-left:194.024994pt;margin-top:6.234998pt;width:11.05pt;height:11.05pt;mso-position-horizontal-relative:page;mso-position-vertical-relative:paragraph;z-index:15753728" type="#_x0000_t202" id="docshape36" filled="false" stroked="false">
            <v:textbox inset="0,0,0,0">
              <w:txbxContent>
                <w:p>
                  <w:pPr>
                    <w:spacing w:line="219" w:lineRule="exact" w:before="2"/>
                    <w:ind w:left="62" w:right="0" w:firstLine="0"/>
                    <w:jc w:val="left"/>
                    <w:rPr>
                      <w:sz w:val="19"/>
                    </w:rPr>
                  </w:pPr>
                  <w:r>
                    <w:rPr>
                      <w:sz w:val="19"/>
                    </w:rPr>
                    <w:t>1</w:t>
                  </w:r>
                </w:p>
              </w:txbxContent>
            </v:textbox>
            <w10:wrap type="none"/>
          </v:shape>
        </w:pict>
      </w:r>
      <w:r>
        <w:rPr>
          <w:spacing w:val="-3"/>
        </w:rPr>
        <w:t>垂体前叶激素全面低下；和</w:t>
      </w:r>
    </w:p>
    <w:p>
      <w:pPr>
        <w:pStyle w:val="BodyText"/>
        <w:spacing w:line="324" w:lineRule="auto" w:before="100"/>
        <w:ind w:left="3354" w:right="152"/>
      </w:pPr>
      <w:r>
        <w:rPr/>
        <w:drawing>
          <wp:anchor distT="0" distB="0" distL="0" distR="0" allowOverlap="1" layoutInCell="1" locked="0" behindDoc="0" simplePos="0" relativeHeight="15754240">
            <wp:simplePos x="0" y="0"/>
            <wp:positionH relativeFrom="page">
              <wp:posOffset>2464117</wp:posOffset>
            </wp:positionH>
            <wp:positionV relativeFrom="paragraph">
              <wp:posOffset>80073</wp:posOffset>
            </wp:positionV>
            <wp:extent cx="140335" cy="140334"/>
            <wp:effectExtent l="0" t="0" r="0" b="0"/>
            <wp:wrapNone/>
            <wp:docPr id="61" name="image9.png"/>
            <wp:cNvGraphicFramePr>
              <a:graphicFrameLocks noChangeAspect="1"/>
            </wp:cNvGraphicFramePr>
            <a:graphic>
              <a:graphicData uri="http://schemas.openxmlformats.org/drawingml/2006/picture">
                <pic:pic>
                  <pic:nvPicPr>
                    <pic:cNvPr id="62" name="image9.png"/>
                    <pic:cNvPicPr/>
                  </pic:nvPicPr>
                  <pic:blipFill>
                    <a:blip r:embed="rId17" cstate="print"/>
                    <a:stretch>
                      <a:fillRect/>
                    </a:stretch>
                  </pic:blipFill>
                  <pic:spPr>
                    <a:xfrm>
                      <a:off x="0" y="0"/>
                      <a:ext cx="140335" cy="140334"/>
                    </a:xfrm>
                    <a:prstGeom prst="rect">
                      <a:avLst/>
                    </a:prstGeom>
                  </pic:spPr>
                </pic:pic>
              </a:graphicData>
            </a:graphic>
          </wp:anchor>
        </w:drawing>
      </w:r>
      <w:r>
        <w:rPr/>
        <w:pict>
          <v:shape style="position:absolute;margin-left:194.024994pt;margin-top:6.30498pt;width:11.05pt;height:11.05pt;mso-position-horizontal-relative:page;mso-position-vertical-relative:paragraph;z-index:15754752" type="#_x0000_t202" id="docshape37" filled="false" stroked="false">
            <v:textbox inset="0,0,0,0">
              <w:txbxContent>
                <w:p>
                  <w:pPr>
                    <w:spacing w:line="219" w:lineRule="exact" w:before="1"/>
                    <w:ind w:left="62" w:right="0" w:firstLine="0"/>
                    <w:jc w:val="left"/>
                    <w:rPr>
                      <w:sz w:val="19"/>
                    </w:rPr>
                  </w:pPr>
                  <w:r>
                    <w:rPr>
                      <w:sz w:val="19"/>
                    </w:rPr>
                    <w:t>2</w:t>
                  </w:r>
                </w:p>
              </w:txbxContent>
            </v:textbox>
            <w10:wrap type="none"/>
          </v:shape>
        </w:pict>
      </w:r>
      <w:r>
        <w:rPr>
          <w:spacing w:val="-2"/>
        </w:rPr>
        <w:t>性激素、甲状腺素、肾上腺皮质激素全面低下（包括生长激素、促甲状腺素、促肾上腺皮质激素、卵泡刺激素和黄体生成素）。</w:t>
      </w:r>
    </w:p>
    <w:p>
      <w:pPr>
        <w:pStyle w:val="ListParagraph"/>
        <w:numPr>
          <w:ilvl w:val="2"/>
          <w:numId w:val="28"/>
        </w:numPr>
        <w:tabs>
          <w:tab w:pos="2935" w:val="left" w:leader="none"/>
        </w:tabs>
        <w:spacing w:line="324" w:lineRule="auto" w:before="0" w:after="0"/>
        <w:ind w:left="2934" w:right="152" w:hanging="454"/>
        <w:jc w:val="left"/>
        <w:rPr>
          <w:sz w:val="22"/>
        </w:rPr>
      </w:pPr>
      <w:r>
        <w:rPr>
          <w:spacing w:val="-2"/>
          <w:sz w:val="22"/>
        </w:rPr>
        <w:t>需要终身激素替代治疗以维持身体功能，持续服用各种替代激素超过一</w:t>
      </w:r>
      <w:r>
        <w:rPr>
          <w:spacing w:val="-6"/>
          <w:sz w:val="22"/>
        </w:rPr>
        <w:t>年。</w:t>
      </w:r>
    </w:p>
    <w:p>
      <w:pPr>
        <w:pStyle w:val="BodyText"/>
        <w:spacing w:line="282" w:lineRule="exact"/>
        <w:ind w:left="2480"/>
      </w:pPr>
      <w:r>
        <w:rPr>
          <w:color w:val="000000"/>
          <w:spacing w:val="-3"/>
          <w:shd w:fill="E4E4E4" w:color="auto" w:val="clear"/>
        </w:rPr>
        <w:t>垂体功能部分低下及其他原因所致垂体功能低下不在保障范围之内。</w:t>
      </w:r>
    </w:p>
    <w:p>
      <w:pPr>
        <w:pStyle w:val="BodyText"/>
        <w:spacing w:before="12"/>
        <w:rPr>
          <w:sz w:val="28"/>
        </w:rPr>
      </w:pPr>
    </w:p>
    <w:p>
      <w:pPr>
        <w:spacing w:after="0"/>
        <w:rPr>
          <w:sz w:val="28"/>
        </w:rPr>
        <w:sectPr>
          <w:pgSz w:w="11910" w:h="16840"/>
          <w:pgMar w:header="484" w:footer="706" w:top="1240" w:bottom="900" w:left="980" w:right="980"/>
        </w:sectPr>
      </w:pPr>
    </w:p>
    <w:p>
      <w:pPr>
        <w:pStyle w:val="Heading2"/>
        <w:numPr>
          <w:ilvl w:val="1"/>
          <w:numId w:val="28"/>
        </w:numPr>
        <w:tabs>
          <w:tab w:pos="955" w:val="left" w:leader="none"/>
        </w:tabs>
        <w:spacing w:line="240" w:lineRule="auto" w:before="75" w:after="0"/>
        <w:ind w:left="954" w:right="0" w:hanging="803"/>
        <w:jc w:val="left"/>
      </w:pPr>
      <w:r>
        <w:rPr>
          <w:spacing w:val="-4"/>
        </w:rPr>
        <w:t>皮质基底节变</w:t>
      </w:r>
    </w:p>
    <w:p>
      <w:pPr>
        <w:spacing w:before="30"/>
        <w:ind w:left="954" w:right="0" w:firstLine="0"/>
        <w:jc w:val="left"/>
        <w:rPr>
          <w:rFonts w:ascii="华文中宋" w:eastAsia="华文中宋" w:hint="eastAsia"/>
          <w:b/>
          <w:sz w:val="22"/>
        </w:rPr>
      </w:pPr>
      <w:r>
        <w:rPr>
          <w:rFonts w:ascii="华文中宋" w:eastAsia="华文中宋" w:hint="eastAsia"/>
          <w:b/>
          <w:w w:val="100"/>
          <w:sz w:val="22"/>
        </w:rPr>
        <w:t>性</w:t>
      </w:r>
    </w:p>
    <w:p>
      <w:pPr>
        <w:pStyle w:val="BodyText"/>
        <w:spacing w:line="324" w:lineRule="auto" w:before="105"/>
        <w:ind w:left="152" w:right="150"/>
        <w:jc w:val="both"/>
      </w:pPr>
      <w:r>
        <w:rPr/>
        <w:br w:type="column"/>
      </w:r>
      <w:r>
        <w:rPr>
          <w:spacing w:val="6"/>
          <w:w w:val="100"/>
        </w:rPr>
        <w:t>指一种慢性进展性神经变性疾病，以不对称发作的无动性强直综合征、失</w:t>
      </w:r>
      <w:r>
        <w:rPr>
          <w:spacing w:val="-1"/>
          <w:w w:val="100"/>
        </w:rPr>
        <w:t>用、肌张力障碍及姿势异常为其临床特征。经医院的专科医生明确诊断，被保险人自主生活能力完全丧失，无法独立完成六项基本日常生活活动中的三</w:t>
      </w:r>
      <w:r>
        <w:rPr>
          <w:spacing w:val="-3"/>
          <w:w w:val="100"/>
        </w:rPr>
        <w:t>项或三项以上，日常生活必须持续受到他人监护。</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5"/>
        <w:rPr>
          <w:sz w:val="21"/>
        </w:rPr>
      </w:pPr>
    </w:p>
    <w:p>
      <w:pPr>
        <w:pStyle w:val="ListParagraph"/>
        <w:numPr>
          <w:ilvl w:val="1"/>
          <w:numId w:val="28"/>
        </w:numPr>
        <w:tabs>
          <w:tab w:pos="955" w:val="left" w:leader="none"/>
          <w:tab w:pos="2480" w:val="left" w:leader="none"/>
        </w:tabs>
        <w:spacing w:line="283" w:lineRule="auto" w:before="72" w:after="0"/>
        <w:ind w:left="2480" w:right="150" w:hanging="2328"/>
        <w:jc w:val="left"/>
        <w:rPr>
          <w:sz w:val="22"/>
        </w:rPr>
      </w:pPr>
      <w:r>
        <w:rPr>
          <w:rFonts w:ascii="华文中宋" w:eastAsia="华文中宋" w:hint="eastAsia"/>
          <w:b/>
          <w:spacing w:val="-2"/>
          <w:sz w:val="22"/>
        </w:rPr>
        <w:t>严重气性坏疽</w:t>
      </w:r>
      <w:r>
        <w:rPr>
          <w:rFonts w:ascii="华文中宋" w:eastAsia="华文中宋" w:hint="eastAsia"/>
          <w:b/>
          <w:sz w:val="22"/>
        </w:rPr>
        <w:tab/>
      </w:r>
      <w:r>
        <w:rPr>
          <w:spacing w:val="-2"/>
          <w:sz w:val="22"/>
        </w:rPr>
        <w:t>指由梭状芽胞杆菌所致的肌坏死或肌炎。须经我们认可的医院的专科医生明确诊断，</w:t>
      </w:r>
      <w:r>
        <w:rPr>
          <w:color w:val="000000"/>
          <w:spacing w:val="-2"/>
          <w:sz w:val="22"/>
          <w:shd w:fill="E4E4E4" w:color="auto" w:val="clear"/>
        </w:rPr>
        <w:t>且须满足下列全部条件：</w:t>
      </w:r>
    </w:p>
    <w:p>
      <w:pPr>
        <w:pStyle w:val="ListParagraph"/>
        <w:numPr>
          <w:ilvl w:val="2"/>
          <w:numId w:val="28"/>
        </w:numPr>
        <w:tabs>
          <w:tab w:pos="2935" w:val="left" w:leader="none"/>
        </w:tabs>
        <w:spacing w:line="240" w:lineRule="auto" w:before="47" w:after="0"/>
        <w:ind w:left="2934" w:right="0" w:hanging="455"/>
        <w:jc w:val="left"/>
        <w:rPr>
          <w:sz w:val="22"/>
        </w:rPr>
      </w:pPr>
      <w:r>
        <w:rPr>
          <w:spacing w:val="-3"/>
          <w:sz w:val="22"/>
        </w:rPr>
        <w:t>符合气性坏疽的一般临床表现；</w:t>
      </w:r>
    </w:p>
    <w:p>
      <w:pPr>
        <w:pStyle w:val="ListParagraph"/>
        <w:numPr>
          <w:ilvl w:val="2"/>
          <w:numId w:val="28"/>
        </w:numPr>
        <w:tabs>
          <w:tab w:pos="2935" w:val="left" w:leader="none"/>
        </w:tabs>
        <w:spacing w:line="240" w:lineRule="auto" w:before="97" w:after="0"/>
        <w:ind w:left="2934" w:right="0" w:hanging="455"/>
        <w:jc w:val="left"/>
        <w:rPr>
          <w:sz w:val="22"/>
        </w:rPr>
      </w:pPr>
      <w:r>
        <w:rPr>
          <w:spacing w:val="-3"/>
          <w:sz w:val="22"/>
        </w:rPr>
        <w:t>细菌培养检出致病菌；</w:t>
      </w:r>
    </w:p>
    <w:p>
      <w:pPr>
        <w:pStyle w:val="ListParagraph"/>
        <w:numPr>
          <w:ilvl w:val="2"/>
          <w:numId w:val="28"/>
        </w:numPr>
        <w:tabs>
          <w:tab w:pos="2935" w:val="left" w:leader="none"/>
        </w:tabs>
        <w:spacing w:line="324" w:lineRule="auto" w:before="100" w:after="0"/>
        <w:ind w:left="2480" w:right="2389" w:firstLine="0"/>
        <w:jc w:val="left"/>
        <w:rPr>
          <w:sz w:val="22"/>
        </w:rPr>
      </w:pPr>
      <w:r>
        <w:rPr>
          <w:spacing w:val="-2"/>
          <w:sz w:val="22"/>
        </w:rPr>
        <w:t>受感染肢体被截肢（自腕关节或踝关节近端）。</w:t>
      </w:r>
      <w:r>
        <w:rPr>
          <w:color w:val="000000"/>
          <w:spacing w:val="-2"/>
          <w:sz w:val="22"/>
          <w:shd w:fill="E4E4E4" w:color="auto" w:val="clear"/>
        </w:rPr>
        <w:t>清创术不在保障范围内。</w:t>
      </w:r>
    </w:p>
    <w:p>
      <w:pPr>
        <w:pStyle w:val="BodyText"/>
        <w:spacing w:before="4"/>
        <w:rPr>
          <w:sz w:val="21"/>
        </w:rPr>
      </w:pPr>
    </w:p>
    <w:p>
      <w:pPr>
        <w:spacing w:after="0"/>
        <w:rPr>
          <w:sz w:val="21"/>
        </w:rPr>
        <w:sectPr>
          <w:type w:val="continuous"/>
          <w:pgSz w:w="11910" w:h="16840"/>
          <w:pgMar w:header="484" w:footer="706" w:top="1240" w:bottom="900" w:left="980" w:right="980"/>
        </w:sectPr>
      </w:pPr>
    </w:p>
    <w:p>
      <w:pPr>
        <w:pStyle w:val="Heading2"/>
        <w:numPr>
          <w:ilvl w:val="1"/>
          <w:numId w:val="28"/>
        </w:numPr>
        <w:tabs>
          <w:tab w:pos="955" w:val="left" w:leader="none"/>
        </w:tabs>
        <w:spacing w:line="240" w:lineRule="auto" w:before="75" w:after="0"/>
        <w:ind w:left="954" w:right="0" w:hanging="803"/>
        <w:jc w:val="left"/>
      </w:pPr>
      <w:r>
        <w:rPr>
          <w:spacing w:val="-4"/>
        </w:rPr>
        <w:t>严重亚历山大</w:t>
      </w:r>
    </w:p>
    <w:p>
      <w:pPr>
        <w:spacing w:before="30"/>
        <w:ind w:left="954" w:right="0" w:firstLine="0"/>
        <w:jc w:val="left"/>
        <w:rPr>
          <w:rFonts w:ascii="华文中宋" w:eastAsia="华文中宋" w:hint="eastAsia"/>
          <w:b/>
          <w:sz w:val="22"/>
        </w:rPr>
      </w:pPr>
      <w:r>
        <w:rPr>
          <w:rFonts w:ascii="华文中宋" w:eastAsia="华文中宋" w:hint="eastAsia"/>
          <w:b/>
          <w:w w:val="100"/>
          <w:sz w:val="22"/>
        </w:rPr>
        <w:t>病</w:t>
      </w:r>
    </w:p>
    <w:p>
      <w:pPr>
        <w:pStyle w:val="BodyText"/>
        <w:spacing w:line="324" w:lineRule="auto" w:before="105"/>
        <w:ind w:left="152" w:right="150"/>
        <w:jc w:val="both"/>
      </w:pPr>
      <w:r>
        <w:rPr/>
        <w:br w:type="column"/>
      </w:r>
      <w:r>
        <w:rPr/>
        <w:t>亚历山大病（Alexander’s Disease）是一种遗传性中枢神经系统退行性病</w:t>
      </w:r>
      <w:r>
        <w:rPr>
          <w:spacing w:val="-2"/>
        </w:rPr>
        <w:t>变，特点为脑白质营养不良性。临床表现为惊厥发作、智力下降、球麻痹、共济失调、痉性瘫痪。亚历山大病必须被明确诊断，并且造成永久性神经系统功能障碍。被保险人自主生活能力完全丧失，无法独立完成六项基本日常生活活动中的三项或三项以上，日常生活必须持续接受他人护理。</w:t>
      </w:r>
    </w:p>
    <w:p>
      <w:pPr>
        <w:pStyle w:val="BodyText"/>
        <w:spacing w:line="278" w:lineRule="exact"/>
        <w:ind w:left="152"/>
      </w:pPr>
      <w:r>
        <w:rPr>
          <w:color w:val="000000"/>
          <w:spacing w:val="-3"/>
          <w:shd w:fill="E4E4E4" w:color="auto" w:val="clear"/>
        </w:rPr>
        <w:t>未明确诊断的疑似病例不在保障范围之内。</w:t>
      </w:r>
    </w:p>
    <w:p>
      <w:pPr>
        <w:spacing w:after="0" w:line="278" w:lineRule="exact"/>
        <w:sectPr>
          <w:type w:val="continuous"/>
          <w:pgSz w:w="11910" w:h="16840"/>
          <w:pgMar w:header="484" w:footer="706" w:top="1240" w:bottom="900" w:left="980" w:right="980"/>
          <w:cols w:num="2" w:equalWidth="0">
            <w:col w:w="2277" w:space="51"/>
            <w:col w:w="7622"/>
          </w:cols>
        </w:sectPr>
      </w:pPr>
    </w:p>
    <w:p>
      <w:pPr>
        <w:pStyle w:val="BodyText"/>
        <w:spacing w:before="5"/>
        <w:rPr>
          <w:sz w:val="29"/>
        </w:rPr>
      </w:pPr>
    </w:p>
    <w:p>
      <w:pPr>
        <w:spacing w:after="0"/>
        <w:rPr>
          <w:sz w:val="29"/>
        </w:rPr>
        <w:sectPr>
          <w:type w:val="continuous"/>
          <w:pgSz w:w="11910" w:h="16840"/>
          <w:pgMar w:header="484" w:footer="706" w:top="1240" w:bottom="900" w:left="980" w:right="980"/>
        </w:sectPr>
      </w:pPr>
    </w:p>
    <w:p>
      <w:pPr>
        <w:pStyle w:val="Heading2"/>
        <w:numPr>
          <w:ilvl w:val="1"/>
          <w:numId w:val="28"/>
        </w:numPr>
        <w:tabs>
          <w:tab w:pos="955" w:val="left" w:leader="none"/>
        </w:tabs>
        <w:spacing w:line="261" w:lineRule="auto" w:before="73" w:after="0"/>
        <w:ind w:left="954" w:right="0" w:hanging="802"/>
        <w:jc w:val="left"/>
      </w:pPr>
      <w:r>
        <w:rPr>
          <w:spacing w:val="-2"/>
        </w:rPr>
        <w:t>严重骨生长不</w:t>
      </w:r>
      <w:r>
        <w:rPr>
          <w:spacing w:val="-6"/>
        </w:rPr>
        <w:t>全症</w:t>
      </w:r>
    </w:p>
    <w:p>
      <w:pPr>
        <w:pStyle w:val="BodyText"/>
        <w:spacing w:line="324" w:lineRule="auto" w:before="103"/>
        <w:ind w:left="152" w:right="150"/>
        <w:jc w:val="both"/>
      </w:pPr>
      <w:r>
        <w:rPr/>
        <w:br w:type="column"/>
      </w:r>
      <w:r>
        <w:rPr>
          <w:spacing w:val="1"/>
        </w:rPr>
        <w:t>是一种胶原病，特征为骨易碎，骨质疏松和易骨折。该病有</w:t>
      </w:r>
      <w:r>
        <w:rPr>
          <w:spacing w:val="9"/>
        </w:rPr>
        <w:t>4</w:t>
      </w:r>
      <w:r>
        <w:rPr>
          <w:spacing w:val="3"/>
        </w:rPr>
        <w:t>种类型：Ⅰ</w:t>
      </w:r>
      <w:r>
        <w:rPr>
          <w:spacing w:val="-2"/>
        </w:rPr>
        <w:t>型、Ⅱ型、Ⅲ型、Ⅳ型。</w:t>
      </w:r>
      <w:r>
        <w:rPr>
          <w:color w:val="000000"/>
          <w:spacing w:val="-2"/>
          <w:shd w:fill="E4E4E4" w:color="auto" w:val="clear"/>
        </w:rPr>
        <w:t>本合同只保障Ⅲ型成骨不全的情形，</w:t>
      </w:r>
      <w:r>
        <w:rPr>
          <w:color w:val="000000"/>
          <w:spacing w:val="-2"/>
        </w:rPr>
        <w:t>其主要临床特点有：发展迟缓、多发性骨折、进行性脊柱后侧凸及听力损害。Ⅲ型成骨不全的诊断必须根据身体检查，家族史，X线检查和皮肤活检报告资料确诊。</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rPr>
          <w:sz w:val="20"/>
        </w:rPr>
      </w:pPr>
    </w:p>
    <w:p>
      <w:pPr>
        <w:pStyle w:val="BodyText"/>
        <w:spacing w:before="5" w:after="1"/>
        <w:rPr>
          <w:sz w:val="29"/>
        </w:rPr>
      </w:pPr>
    </w:p>
    <w:tbl>
      <w:tblPr>
        <w:tblW w:w="0" w:type="auto"/>
        <w:jc w:val="left"/>
        <w:tblInd w:w="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3"/>
        <w:gridCol w:w="1493"/>
        <w:gridCol w:w="7465"/>
      </w:tblGrid>
      <w:tr>
        <w:trPr>
          <w:trHeight w:val="733" w:hRule="atLeast"/>
        </w:trPr>
        <w:tc>
          <w:tcPr>
            <w:tcW w:w="783" w:type="dxa"/>
          </w:tcPr>
          <w:p>
            <w:pPr>
              <w:pStyle w:val="TableParagraph"/>
              <w:spacing w:before="5"/>
              <w:ind w:left="50"/>
              <w:rPr>
                <w:b/>
                <w:sz w:val="22"/>
              </w:rPr>
            </w:pPr>
            <w:r>
              <w:rPr>
                <w:b/>
                <w:spacing w:val="-2"/>
                <w:sz w:val="22"/>
              </w:rPr>
              <w:t>10.100</w:t>
            </w:r>
          </w:p>
        </w:tc>
        <w:tc>
          <w:tcPr>
            <w:tcW w:w="1493" w:type="dxa"/>
          </w:tcPr>
          <w:p>
            <w:pPr>
              <w:pStyle w:val="TableParagraph"/>
              <w:spacing w:line="322" w:lineRule="exact"/>
              <w:ind w:left="68"/>
              <w:rPr>
                <w:rFonts w:ascii="华文中宋" w:eastAsia="华文中宋" w:hint="eastAsia"/>
                <w:b/>
                <w:sz w:val="22"/>
              </w:rPr>
            </w:pPr>
            <w:r>
              <w:rPr>
                <w:rFonts w:ascii="华文中宋" w:eastAsia="华文中宋" w:hint="eastAsia"/>
                <w:b/>
                <w:spacing w:val="-4"/>
                <w:sz w:val="22"/>
              </w:rPr>
              <w:t>严重肾上腺脑</w:t>
            </w:r>
          </w:p>
          <w:p>
            <w:pPr>
              <w:pStyle w:val="TableParagraph"/>
              <w:spacing w:before="32"/>
              <w:ind w:left="68"/>
              <w:rPr>
                <w:rFonts w:ascii="华文中宋" w:eastAsia="华文中宋" w:hint="eastAsia"/>
                <w:b/>
                <w:sz w:val="22"/>
              </w:rPr>
            </w:pPr>
            <w:r>
              <w:rPr>
                <w:rFonts w:ascii="华文中宋" w:eastAsia="华文中宋" w:hint="eastAsia"/>
                <w:b/>
                <w:spacing w:val="-4"/>
                <w:sz w:val="22"/>
              </w:rPr>
              <w:t>白质营养不良</w:t>
            </w:r>
          </w:p>
        </w:tc>
        <w:tc>
          <w:tcPr>
            <w:tcW w:w="7465" w:type="dxa"/>
          </w:tcPr>
          <w:p>
            <w:pPr>
              <w:pStyle w:val="TableParagraph"/>
              <w:spacing w:before="5"/>
              <w:ind w:left="101"/>
              <w:rPr>
                <w:sz w:val="22"/>
              </w:rPr>
            </w:pPr>
            <w:r>
              <w:rPr>
                <w:spacing w:val="-1"/>
                <w:sz w:val="22"/>
              </w:rPr>
              <w:t>指一种最常见的过氧化物酶体病，主要累及肾上腺和脑白质，主要表现为进</w:t>
            </w:r>
          </w:p>
          <w:p>
            <w:pPr>
              <w:pStyle w:val="TableParagraph"/>
              <w:spacing w:before="97"/>
              <w:ind w:left="101"/>
              <w:rPr>
                <w:sz w:val="22"/>
              </w:rPr>
            </w:pPr>
            <w:r>
              <w:rPr>
                <w:sz w:val="22"/>
              </w:rPr>
              <w:t>行性的精神运动障碍，视力及听力下降和（或）</w:t>
            </w:r>
            <w:r>
              <w:rPr>
                <w:spacing w:val="-1"/>
                <w:sz w:val="22"/>
              </w:rPr>
              <w:t>肾上腺皮质功能低下等。须</w:t>
            </w:r>
          </w:p>
        </w:tc>
      </w:tr>
      <w:tr>
        <w:trPr>
          <w:trHeight w:val="36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29"/>
              <w:ind w:left="101"/>
              <w:rPr>
                <w:sz w:val="22"/>
              </w:rPr>
            </w:pPr>
            <w:r>
              <w:rPr>
                <w:sz w:val="22"/>
              </w:rPr>
              <w:t>经专科医生诊断，且已经造成自主生活能力完全丧失，</w:t>
            </w:r>
            <w:r>
              <w:rPr>
                <w:color w:val="000000"/>
                <w:spacing w:val="-2"/>
                <w:sz w:val="22"/>
                <w:shd w:fill="E4E4E4" w:color="auto" w:val="clear"/>
              </w:rPr>
              <w:t>无法独立完成六项基</w:t>
            </w:r>
          </w:p>
        </w:tc>
      </w:tr>
      <w:tr>
        <w:trPr>
          <w:trHeight w:val="38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50"/>
              <w:ind w:left="101"/>
              <w:rPr>
                <w:sz w:val="22"/>
              </w:rPr>
            </w:pPr>
            <w:r>
              <w:rPr>
                <w:color w:val="000000"/>
                <w:spacing w:val="-2"/>
                <w:sz w:val="22"/>
                <w:shd w:fill="E4E4E4" w:color="auto" w:val="clear"/>
              </w:rPr>
              <w:t>本日常生活活动中的三项或三项以上，持续至少180</w:t>
            </w:r>
            <w:r>
              <w:rPr>
                <w:color w:val="000000"/>
                <w:spacing w:val="-6"/>
                <w:sz w:val="22"/>
                <w:shd w:fill="E4E4E4" w:color="auto" w:val="clear"/>
              </w:rPr>
              <w:t>天。</w:t>
            </w:r>
          </w:p>
        </w:tc>
      </w:tr>
      <w:tr>
        <w:trPr>
          <w:trHeight w:val="552"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49"/>
              <w:ind w:left="101"/>
              <w:rPr>
                <w:sz w:val="22"/>
              </w:rPr>
            </w:pPr>
            <w:r>
              <w:rPr>
                <w:color w:val="000000"/>
                <w:spacing w:val="-3"/>
                <w:sz w:val="22"/>
                <w:shd w:fill="E4E4E4" w:color="auto" w:val="clear"/>
              </w:rPr>
              <w:t>被保险人申请理赔时年龄必须在三周岁以上。</w:t>
            </w:r>
          </w:p>
        </w:tc>
      </w:tr>
      <w:tr>
        <w:trPr>
          <w:trHeight w:val="986" w:hRule="atLeast"/>
        </w:trPr>
        <w:tc>
          <w:tcPr>
            <w:tcW w:w="783" w:type="dxa"/>
          </w:tcPr>
          <w:p>
            <w:pPr>
              <w:pStyle w:val="TableParagraph"/>
              <w:spacing w:before="1"/>
              <w:rPr>
                <w:sz w:val="20"/>
              </w:rPr>
            </w:pPr>
          </w:p>
          <w:p>
            <w:pPr>
              <w:pStyle w:val="TableParagraph"/>
              <w:ind w:left="50"/>
              <w:rPr>
                <w:b/>
                <w:sz w:val="22"/>
              </w:rPr>
            </w:pPr>
            <w:r>
              <w:rPr>
                <w:b/>
                <w:spacing w:val="-2"/>
                <w:sz w:val="22"/>
              </w:rPr>
              <w:t>10.101</w:t>
            </w:r>
          </w:p>
        </w:tc>
        <w:tc>
          <w:tcPr>
            <w:tcW w:w="1493" w:type="dxa"/>
          </w:tcPr>
          <w:p>
            <w:pPr>
              <w:pStyle w:val="TableParagraph"/>
              <w:spacing w:line="380" w:lineRule="atLeast" w:before="194"/>
              <w:ind w:left="68" w:right="99"/>
              <w:rPr>
                <w:rFonts w:ascii="华文中宋" w:eastAsia="华文中宋" w:hint="eastAsia"/>
                <w:b/>
                <w:sz w:val="22"/>
              </w:rPr>
            </w:pPr>
            <w:r>
              <w:rPr>
                <w:rFonts w:ascii="华文中宋" w:eastAsia="华文中宋" w:hint="eastAsia"/>
                <w:b/>
                <w:spacing w:val="-2"/>
                <w:sz w:val="22"/>
              </w:rPr>
              <w:t>肺泡蛋白质沉</w:t>
            </w:r>
            <w:r>
              <w:rPr>
                <w:rFonts w:ascii="华文中宋" w:eastAsia="华文中宋" w:hint="eastAsia"/>
                <w:b/>
                <w:spacing w:val="-6"/>
                <w:sz w:val="22"/>
              </w:rPr>
              <w:t>积症</w:t>
            </w:r>
          </w:p>
        </w:tc>
        <w:tc>
          <w:tcPr>
            <w:tcW w:w="7465" w:type="dxa"/>
          </w:tcPr>
          <w:p>
            <w:pPr>
              <w:pStyle w:val="TableParagraph"/>
              <w:spacing w:line="380" w:lineRule="atLeast" w:before="159"/>
              <w:ind w:left="101" w:right="48"/>
              <w:rPr>
                <w:sz w:val="22"/>
              </w:rPr>
            </w:pPr>
            <w:r>
              <w:rPr>
                <w:spacing w:val="-2"/>
                <w:sz w:val="22"/>
              </w:rPr>
              <w:t>肺泡蛋白质沉积症是一种弥漫性肺部疾病，其组织学特征为肺泡腔内及终末细支气管内堆积过量的磷脂蛋白样物质。</w:t>
            </w:r>
            <w:r>
              <w:rPr>
                <w:color w:val="000000"/>
                <w:spacing w:val="-2"/>
                <w:sz w:val="22"/>
                <w:shd w:fill="E4E4E4" w:color="auto" w:val="clear"/>
              </w:rPr>
              <w:t>理赔时须满足下列所有条件：</w:t>
            </w:r>
          </w:p>
        </w:tc>
      </w:tr>
      <w:tr>
        <w:trPr>
          <w:trHeight w:val="280" w:hRule="atLeast"/>
        </w:trPr>
        <w:tc>
          <w:tcPr>
            <w:tcW w:w="783" w:type="dxa"/>
          </w:tcPr>
          <w:p>
            <w:pPr>
              <w:pStyle w:val="TableParagraph"/>
              <w:rPr>
                <w:rFonts w:ascii="Times New Roman"/>
                <w:sz w:val="20"/>
              </w:rPr>
            </w:pPr>
          </w:p>
        </w:tc>
        <w:tc>
          <w:tcPr>
            <w:tcW w:w="1493" w:type="dxa"/>
          </w:tcPr>
          <w:p>
            <w:pPr>
              <w:pStyle w:val="TableParagraph"/>
              <w:rPr>
                <w:rFonts w:ascii="Times New Roman"/>
                <w:sz w:val="20"/>
              </w:rPr>
            </w:pPr>
          </w:p>
        </w:tc>
        <w:tc>
          <w:tcPr>
            <w:tcW w:w="7465" w:type="dxa"/>
          </w:tcPr>
          <w:p>
            <w:pPr>
              <w:pStyle w:val="TableParagraph"/>
              <w:spacing w:line="231" w:lineRule="exact" w:before="29"/>
              <w:ind w:left="101"/>
              <w:rPr>
                <w:sz w:val="22"/>
              </w:rPr>
            </w:pPr>
            <w:r>
              <w:rPr>
                <w:sz w:val="22"/>
              </w:rPr>
              <w:t>(1</w:t>
            </w:r>
            <w:r>
              <w:rPr>
                <w:spacing w:val="10"/>
                <w:sz w:val="22"/>
              </w:rPr>
              <w:t>) 支气管镜活检或开胸肺活检病理检查证实肺泡内充满有过碘酸雪夫</w:t>
            </w:r>
          </w:p>
        </w:tc>
      </w:tr>
    </w:tbl>
    <w:p>
      <w:pPr>
        <w:pStyle w:val="BodyText"/>
        <w:spacing w:before="134"/>
        <w:ind w:left="2934"/>
      </w:pPr>
      <w:r>
        <w:rPr>
          <w:spacing w:val="-2"/>
        </w:rPr>
        <w:t>（PAS）</w:t>
      </w:r>
      <w:r>
        <w:rPr>
          <w:spacing w:val="-3"/>
        </w:rPr>
        <w:t>染色阳性的蛋白样物质；</w:t>
      </w:r>
    </w:p>
    <w:p>
      <w:pPr>
        <w:pStyle w:val="BodyText"/>
        <w:spacing w:line="324" w:lineRule="auto" w:before="97"/>
        <w:ind w:left="2934" w:right="152" w:hanging="454"/>
      </w:pPr>
      <w:r>
        <w:rPr/>
        <w:t>(2) 被保人因中重度呼吸困难或低氧血症而实际已行全身麻醉下的全肺灌洗</w:t>
      </w:r>
      <w:r>
        <w:rPr>
          <w:spacing w:val="-4"/>
        </w:rPr>
        <w:t>治疗。</w:t>
      </w:r>
    </w:p>
    <w:p>
      <w:pPr>
        <w:pStyle w:val="BodyText"/>
        <w:spacing w:before="5"/>
        <w:rPr>
          <w:sz w:val="29"/>
        </w:rPr>
      </w:pPr>
    </w:p>
    <w:tbl>
      <w:tblPr>
        <w:tblW w:w="0" w:type="auto"/>
        <w:jc w:val="left"/>
        <w:tblInd w:w="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3"/>
        <w:gridCol w:w="1493"/>
        <w:gridCol w:w="7465"/>
      </w:tblGrid>
      <w:tr>
        <w:trPr>
          <w:trHeight w:val="732" w:hRule="atLeast"/>
        </w:trPr>
        <w:tc>
          <w:tcPr>
            <w:tcW w:w="783" w:type="dxa"/>
          </w:tcPr>
          <w:p>
            <w:pPr>
              <w:pStyle w:val="TableParagraph"/>
              <w:spacing w:before="2"/>
              <w:ind w:left="50"/>
              <w:rPr>
                <w:b/>
                <w:sz w:val="22"/>
              </w:rPr>
            </w:pPr>
            <w:r>
              <w:rPr>
                <w:b/>
                <w:spacing w:val="-2"/>
                <w:sz w:val="22"/>
              </w:rPr>
              <w:t>10.102</w:t>
            </w:r>
          </w:p>
        </w:tc>
        <w:tc>
          <w:tcPr>
            <w:tcW w:w="1493" w:type="dxa"/>
          </w:tcPr>
          <w:p>
            <w:pPr>
              <w:pStyle w:val="TableParagraph"/>
              <w:spacing w:line="322" w:lineRule="exact"/>
              <w:ind w:left="68"/>
              <w:rPr>
                <w:rFonts w:ascii="华文中宋" w:eastAsia="华文中宋" w:hint="eastAsia"/>
                <w:b/>
                <w:sz w:val="22"/>
              </w:rPr>
            </w:pPr>
            <w:r>
              <w:rPr>
                <w:rFonts w:ascii="华文中宋" w:eastAsia="华文中宋" w:hint="eastAsia"/>
                <w:b/>
                <w:spacing w:val="-4"/>
                <w:sz w:val="22"/>
              </w:rPr>
              <w:t>严重脊髓灰质</w:t>
            </w:r>
          </w:p>
          <w:p>
            <w:pPr>
              <w:pStyle w:val="TableParagraph"/>
              <w:spacing w:before="30"/>
              <w:ind w:left="68"/>
              <w:rPr>
                <w:rFonts w:ascii="华文中宋" w:eastAsia="华文中宋" w:hint="eastAsia"/>
                <w:b/>
                <w:sz w:val="22"/>
              </w:rPr>
            </w:pPr>
            <w:r>
              <w:rPr>
                <w:rFonts w:ascii="华文中宋" w:eastAsia="华文中宋" w:hint="eastAsia"/>
                <w:b/>
                <w:w w:val="100"/>
                <w:sz w:val="22"/>
              </w:rPr>
              <w:t>炎</w:t>
            </w:r>
          </w:p>
        </w:tc>
        <w:tc>
          <w:tcPr>
            <w:tcW w:w="7465" w:type="dxa"/>
          </w:tcPr>
          <w:p>
            <w:pPr>
              <w:pStyle w:val="TableParagraph"/>
              <w:spacing w:before="2"/>
              <w:ind w:left="101"/>
              <w:rPr>
                <w:sz w:val="22"/>
              </w:rPr>
            </w:pPr>
            <w:r>
              <w:rPr>
                <w:spacing w:val="-1"/>
                <w:sz w:val="22"/>
              </w:rPr>
              <w:t>脊髓灰质炎是由于脊髓灰质炎病毒感染所致的瘫痪性疾病，临床表现为运动</w:t>
            </w:r>
          </w:p>
          <w:p>
            <w:pPr>
              <w:pStyle w:val="TableParagraph"/>
              <w:spacing w:before="98"/>
              <w:ind w:left="101"/>
              <w:rPr>
                <w:sz w:val="22"/>
              </w:rPr>
            </w:pPr>
            <w:r>
              <w:rPr>
                <w:spacing w:val="-2"/>
                <w:sz w:val="22"/>
              </w:rPr>
              <w:t>功能损害或呼吸无力。脊髓灰质炎必须明确诊断。</w:t>
            </w:r>
            <w:r>
              <w:rPr>
                <w:color w:val="000000"/>
                <w:spacing w:val="-3"/>
                <w:sz w:val="22"/>
                <w:shd w:fill="E4E4E4" w:color="auto" w:val="clear"/>
              </w:rPr>
              <w:t>仅对脊髓灰质炎造成的神</w:t>
            </w:r>
          </w:p>
        </w:tc>
      </w:tr>
      <w:tr>
        <w:trPr>
          <w:trHeight w:val="36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30"/>
              <w:ind w:left="101"/>
              <w:rPr>
                <w:sz w:val="22"/>
              </w:rPr>
            </w:pPr>
            <w:r>
              <w:rPr>
                <w:color w:val="000000"/>
                <w:spacing w:val="-1"/>
                <w:sz w:val="22"/>
                <w:shd w:fill="E4E4E4" w:color="auto" w:val="clear"/>
              </w:rPr>
              <w:t>经系统功能损害导致被保险人一肢或一肢以上肢体机能永久完全丧失的情况</w:t>
            </w:r>
          </w:p>
        </w:tc>
      </w:tr>
      <w:tr>
        <w:trPr>
          <w:trHeight w:val="379"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49"/>
              <w:ind w:left="101"/>
              <w:rPr>
                <w:sz w:val="22"/>
              </w:rPr>
            </w:pPr>
            <w:r>
              <w:rPr>
                <w:color w:val="000000"/>
                <w:sz w:val="22"/>
                <w:shd w:fill="E4E4E4" w:color="auto" w:val="clear"/>
              </w:rPr>
              <w:t>予以理赔。</w:t>
            </w:r>
            <w:r>
              <w:rPr>
                <w:color w:val="000000"/>
                <w:sz w:val="22"/>
              </w:rPr>
              <w:t>肢体机能永久完全丧失，指疾病确诊180</w:t>
            </w:r>
            <w:r>
              <w:rPr>
                <w:color w:val="000000"/>
                <w:spacing w:val="-1"/>
                <w:sz w:val="22"/>
              </w:rPr>
              <w:t>天后，每肢三大关节中</w:t>
            </w:r>
          </w:p>
        </w:tc>
      </w:tr>
      <w:tr>
        <w:trPr>
          <w:trHeight w:val="553"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49"/>
              <w:ind w:left="101"/>
              <w:rPr>
                <w:sz w:val="22"/>
              </w:rPr>
            </w:pPr>
            <w:r>
              <w:rPr>
                <w:spacing w:val="-3"/>
                <w:sz w:val="22"/>
              </w:rPr>
              <w:t>的两大关节仍然完全僵硬，或不能随意识活动。</w:t>
            </w:r>
          </w:p>
        </w:tc>
      </w:tr>
      <w:tr>
        <w:trPr>
          <w:trHeight w:val="986" w:hRule="atLeast"/>
        </w:trPr>
        <w:tc>
          <w:tcPr>
            <w:tcW w:w="783" w:type="dxa"/>
          </w:tcPr>
          <w:p>
            <w:pPr>
              <w:pStyle w:val="TableParagraph"/>
              <w:spacing w:before="12"/>
              <w:rPr>
                <w:sz w:val="19"/>
              </w:rPr>
            </w:pPr>
          </w:p>
          <w:p>
            <w:pPr>
              <w:pStyle w:val="TableParagraph"/>
              <w:ind w:left="50"/>
              <w:rPr>
                <w:b/>
                <w:sz w:val="22"/>
              </w:rPr>
            </w:pPr>
            <w:r>
              <w:rPr>
                <w:b/>
                <w:spacing w:val="-2"/>
                <w:sz w:val="22"/>
              </w:rPr>
              <w:t>10.103</w:t>
            </w:r>
          </w:p>
        </w:tc>
        <w:tc>
          <w:tcPr>
            <w:tcW w:w="1493" w:type="dxa"/>
          </w:tcPr>
          <w:p>
            <w:pPr>
              <w:pStyle w:val="TableParagraph"/>
              <w:spacing w:line="380" w:lineRule="atLeast" w:before="195"/>
              <w:ind w:left="68" w:right="99"/>
              <w:rPr>
                <w:rFonts w:ascii="华文中宋" w:eastAsia="华文中宋" w:hint="eastAsia"/>
                <w:b/>
                <w:sz w:val="22"/>
              </w:rPr>
            </w:pPr>
            <w:r>
              <w:rPr>
                <w:rFonts w:ascii="华文中宋" w:eastAsia="华文中宋" w:hint="eastAsia"/>
                <w:b/>
                <w:spacing w:val="-2"/>
                <w:sz w:val="22"/>
              </w:rPr>
              <w:t>严重原发性心</w:t>
            </w:r>
            <w:r>
              <w:rPr>
                <w:rFonts w:ascii="华文中宋" w:eastAsia="华文中宋" w:hint="eastAsia"/>
                <w:b/>
                <w:spacing w:val="-6"/>
                <w:sz w:val="22"/>
              </w:rPr>
              <w:t>肌病</w:t>
            </w:r>
          </w:p>
        </w:tc>
        <w:tc>
          <w:tcPr>
            <w:tcW w:w="7465" w:type="dxa"/>
          </w:tcPr>
          <w:p>
            <w:pPr>
              <w:pStyle w:val="TableParagraph"/>
              <w:spacing w:line="380" w:lineRule="atLeast" w:before="158"/>
              <w:ind w:left="101" w:right="48"/>
              <w:rPr>
                <w:sz w:val="22"/>
              </w:rPr>
            </w:pPr>
            <w:r>
              <w:rPr>
                <w:spacing w:val="-2"/>
                <w:sz w:val="22"/>
              </w:rPr>
              <w:t>指不明原因引起的一类心肌病变，包括原发性扩张型心肌病、原发性肥厚型</w:t>
            </w:r>
            <w:r>
              <w:rPr>
                <w:spacing w:val="-1"/>
                <w:sz w:val="22"/>
              </w:rPr>
              <w:t>心肌病及原发性限制型心肌病三种，病变必须已造成事实上心室功能障碍而</w:t>
            </w:r>
          </w:p>
        </w:tc>
      </w:tr>
      <w:tr>
        <w:trPr>
          <w:trHeight w:val="36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30"/>
              <w:ind w:left="101"/>
              <w:rPr>
                <w:sz w:val="22"/>
              </w:rPr>
            </w:pPr>
            <w:r>
              <w:rPr>
                <w:sz w:val="22"/>
              </w:rPr>
              <w:t>出现明显的心功能衰竭（</w:t>
            </w:r>
            <w:r>
              <w:rPr>
                <w:spacing w:val="-1"/>
                <w:sz w:val="22"/>
              </w:rPr>
              <w:t>指按照美国纽约心脏病学会提出的心功能状态分级</w:t>
            </w:r>
          </w:p>
        </w:tc>
      </w:tr>
      <w:tr>
        <w:trPr>
          <w:trHeight w:val="379"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49"/>
              <w:ind w:left="101"/>
              <w:rPr>
                <w:sz w:val="22"/>
              </w:rPr>
            </w:pPr>
            <w:r>
              <w:rPr>
                <w:sz w:val="22"/>
              </w:rPr>
              <w:t>的标准判定，心功能状态已达Ⅳ级）</w:t>
            </w:r>
            <w:r>
              <w:rPr>
                <w:spacing w:val="-1"/>
                <w:sz w:val="22"/>
              </w:rPr>
              <w:t>，且Ⅳ级心功能衰竭状态已持续至少</w:t>
            </w:r>
          </w:p>
        </w:tc>
      </w:tr>
      <w:tr>
        <w:trPr>
          <w:trHeight w:val="38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49"/>
              <w:ind w:left="101"/>
              <w:rPr>
                <w:sz w:val="22"/>
              </w:rPr>
            </w:pPr>
            <w:r>
              <w:rPr>
                <w:spacing w:val="-2"/>
                <w:sz w:val="22"/>
              </w:rPr>
              <w:t>180</w:t>
            </w:r>
            <w:r>
              <w:rPr>
                <w:spacing w:val="-3"/>
                <w:sz w:val="22"/>
              </w:rPr>
              <w:t>日。本病须经专科医生明确诊断。</w:t>
            </w:r>
          </w:p>
        </w:tc>
      </w:tr>
      <w:tr>
        <w:trPr>
          <w:trHeight w:val="553"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50"/>
              <w:ind w:left="101"/>
              <w:rPr>
                <w:sz w:val="22"/>
              </w:rPr>
            </w:pPr>
            <w:r>
              <w:rPr>
                <w:color w:val="000000"/>
                <w:spacing w:val="-3"/>
                <w:sz w:val="22"/>
                <w:shd w:fill="E4E4E4" w:color="auto" w:val="clear"/>
              </w:rPr>
              <w:t>继发于全身性疾病或其他器官系统疾病造成的心肌病变不在保障范围内。</w:t>
            </w:r>
          </w:p>
        </w:tc>
      </w:tr>
      <w:tr>
        <w:trPr>
          <w:trHeight w:val="1365" w:hRule="atLeast"/>
        </w:trPr>
        <w:tc>
          <w:tcPr>
            <w:tcW w:w="783" w:type="dxa"/>
          </w:tcPr>
          <w:p>
            <w:pPr>
              <w:pStyle w:val="TableParagraph"/>
              <w:spacing w:before="11"/>
              <w:rPr>
                <w:sz w:val="19"/>
              </w:rPr>
            </w:pPr>
          </w:p>
          <w:p>
            <w:pPr>
              <w:pStyle w:val="TableParagraph"/>
              <w:ind w:left="50"/>
              <w:rPr>
                <w:b/>
                <w:sz w:val="22"/>
              </w:rPr>
            </w:pPr>
            <w:r>
              <w:rPr>
                <w:b/>
                <w:spacing w:val="-2"/>
                <w:sz w:val="22"/>
              </w:rPr>
              <w:t>10.104</w:t>
            </w:r>
          </w:p>
        </w:tc>
        <w:tc>
          <w:tcPr>
            <w:tcW w:w="1493" w:type="dxa"/>
          </w:tcPr>
          <w:p>
            <w:pPr>
              <w:pStyle w:val="TableParagraph"/>
              <w:spacing w:before="225"/>
              <w:ind w:left="68"/>
              <w:rPr>
                <w:rFonts w:ascii="华文中宋" w:eastAsia="华文中宋" w:hint="eastAsia"/>
                <w:b/>
                <w:sz w:val="22"/>
              </w:rPr>
            </w:pPr>
            <w:r>
              <w:rPr>
                <w:rFonts w:ascii="华文中宋" w:eastAsia="华文中宋" w:hint="eastAsia"/>
                <w:b/>
                <w:spacing w:val="-4"/>
                <w:sz w:val="22"/>
              </w:rPr>
              <w:t>严重全身性</w:t>
            </w:r>
          </w:p>
          <w:p>
            <w:pPr>
              <w:pStyle w:val="TableParagraph"/>
              <w:spacing w:before="30"/>
              <w:ind w:left="68"/>
              <w:rPr>
                <w:rFonts w:ascii="华文中宋" w:eastAsia="华文中宋" w:hint="eastAsia"/>
                <w:b/>
                <w:sz w:val="22"/>
              </w:rPr>
            </w:pPr>
            <w:r>
              <w:rPr>
                <w:rFonts w:ascii="华文中宋" w:eastAsia="华文中宋" w:hint="eastAsia"/>
                <w:b/>
                <w:spacing w:val="-2"/>
                <w:sz w:val="22"/>
              </w:rPr>
              <w:t>（型）</w:t>
            </w:r>
            <w:r>
              <w:rPr>
                <w:rFonts w:ascii="华文中宋" w:eastAsia="华文中宋" w:hint="eastAsia"/>
                <w:b/>
                <w:spacing w:val="-6"/>
                <w:sz w:val="22"/>
              </w:rPr>
              <w:t>重症肌</w:t>
            </w:r>
          </w:p>
          <w:p>
            <w:pPr>
              <w:pStyle w:val="TableParagraph"/>
              <w:spacing w:before="32"/>
              <w:ind w:left="68"/>
              <w:rPr>
                <w:rFonts w:ascii="华文中宋" w:eastAsia="华文中宋" w:hint="eastAsia"/>
                <w:b/>
                <w:sz w:val="22"/>
              </w:rPr>
            </w:pPr>
            <w:r>
              <w:rPr>
                <w:rFonts w:ascii="华文中宋" w:eastAsia="华文中宋" w:hint="eastAsia"/>
                <w:b/>
                <w:spacing w:val="-6"/>
                <w:sz w:val="22"/>
              </w:rPr>
              <w:t>无力</w:t>
            </w:r>
          </w:p>
        </w:tc>
        <w:tc>
          <w:tcPr>
            <w:tcW w:w="7465" w:type="dxa"/>
          </w:tcPr>
          <w:p>
            <w:pPr>
              <w:pStyle w:val="TableParagraph"/>
              <w:spacing w:before="11"/>
              <w:rPr>
                <w:sz w:val="19"/>
              </w:rPr>
            </w:pPr>
          </w:p>
          <w:p>
            <w:pPr>
              <w:pStyle w:val="TableParagraph"/>
              <w:ind w:left="101"/>
              <w:rPr>
                <w:sz w:val="22"/>
              </w:rPr>
            </w:pPr>
            <w:r>
              <w:rPr>
                <w:spacing w:val="-1"/>
                <w:sz w:val="22"/>
              </w:rPr>
              <w:t>重症肌无力是一种神经肌肉接头传递障碍所致的疾病，表现为局部或全身骨</w:t>
            </w:r>
          </w:p>
          <w:p>
            <w:pPr>
              <w:pStyle w:val="TableParagraph"/>
              <w:spacing w:line="380" w:lineRule="atLeast" w:before="2"/>
              <w:ind w:left="101" w:right="48"/>
              <w:rPr>
                <w:sz w:val="22"/>
              </w:rPr>
            </w:pPr>
            <w:r>
              <w:rPr>
                <w:spacing w:val="-2"/>
                <w:sz w:val="22"/>
              </w:rPr>
              <w:t>骼肌（特别是眼外肌）极易疲劳。疾病可以累及呼吸肌、上肢或下肢的近端肌群或全身肌肉，</w:t>
            </w:r>
            <w:r>
              <w:rPr>
                <w:color w:val="000000"/>
                <w:spacing w:val="-2"/>
                <w:sz w:val="22"/>
                <w:shd w:fill="E4E4E4" w:color="auto" w:val="clear"/>
              </w:rPr>
              <w:t>必须满足下列全部条件：</w:t>
            </w:r>
          </w:p>
        </w:tc>
      </w:tr>
      <w:tr>
        <w:trPr>
          <w:trHeight w:val="36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29"/>
              <w:ind w:left="101"/>
              <w:rPr>
                <w:sz w:val="22"/>
              </w:rPr>
            </w:pPr>
            <w:r>
              <w:rPr>
                <w:spacing w:val="-2"/>
                <w:sz w:val="22"/>
              </w:rPr>
              <w:t>(1</w:t>
            </w:r>
            <w:r>
              <w:rPr>
                <w:spacing w:val="-3"/>
                <w:sz w:val="22"/>
              </w:rPr>
              <w:t>) 经药物治疗和胸腺切除治疗一年以上仍无法控制病情；</w:t>
            </w:r>
          </w:p>
        </w:tc>
      </w:tr>
      <w:tr>
        <w:trPr>
          <w:trHeight w:val="301"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line="231" w:lineRule="exact" w:before="50"/>
              <w:ind w:left="101"/>
              <w:rPr>
                <w:sz w:val="22"/>
              </w:rPr>
            </w:pPr>
            <w:r>
              <w:rPr>
                <w:sz w:val="22"/>
              </w:rPr>
              <w:t>(2</w:t>
            </w:r>
            <w:r>
              <w:rPr>
                <w:spacing w:val="-3"/>
                <w:sz w:val="22"/>
              </w:rPr>
              <w:t>) 自主生活能力完全丧失，</w:t>
            </w:r>
            <w:r>
              <w:rPr>
                <w:color w:val="000000"/>
                <w:spacing w:val="-1"/>
                <w:sz w:val="22"/>
                <w:shd w:fill="E4E4E4" w:color="auto" w:val="clear"/>
              </w:rPr>
              <w:t>无法独立完成六项基本日常生活活动中的三项</w:t>
            </w:r>
          </w:p>
        </w:tc>
      </w:tr>
    </w:tbl>
    <w:p>
      <w:pPr>
        <w:pStyle w:val="BodyText"/>
        <w:spacing w:before="134"/>
        <w:ind w:left="2934"/>
      </w:pPr>
      <w:r>
        <w:rPr>
          <w:color w:val="000000"/>
          <w:spacing w:val="-4"/>
          <w:shd w:fill="E4E4E4" w:color="auto" w:val="clear"/>
        </w:rPr>
        <w:t>或三项以上。</w:t>
      </w:r>
    </w:p>
    <w:p>
      <w:pPr>
        <w:pStyle w:val="BodyText"/>
        <w:spacing w:before="2"/>
        <w:rPr>
          <w:sz w:val="29"/>
        </w:rPr>
      </w:pPr>
    </w:p>
    <w:p>
      <w:pPr>
        <w:spacing w:after="0"/>
        <w:rPr>
          <w:sz w:val="29"/>
        </w:rPr>
        <w:sectPr>
          <w:pgSz w:w="11910" w:h="16840"/>
          <w:pgMar w:header="484" w:footer="706" w:top="1240" w:bottom="900" w:left="980" w:right="980"/>
        </w:sectPr>
      </w:pPr>
    </w:p>
    <w:p>
      <w:pPr>
        <w:pStyle w:val="Heading2"/>
        <w:numPr>
          <w:ilvl w:val="1"/>
          <w:numId w:val="71"/>
        </w:numPr>
        <w:tabs>
          <w:tab w:pos="955" w:val="left" w:leader="none"/>
        </w:tabs>
        <w:spacing w:line="261" w:lineRule="auto" w:before="75" w:after="0"/>
        <w:ind w:left="954" w:right="0" w:hanging="802"/>
        <w:jc w:val="left"/>
      </w:pPr>
      <w:r>
        <w:rPr>
          <w:spacing w:val="-2"/>
        </w:rPr>
        <w:t>严重肌营养不</w:t>
      </w:r>
      <w:r>
        <w:rPr>
          <w:spacing w:val="-6"/>
        </w:rPr>
        <w:t>良症</w:t>
      </w:r>
    </w:p>
    <w:p>
      <w:pPr>
        <w:pStyle w:val="BodyText"/>
        <w:spacing w:line="324" w:lineRule="auto" w:before="106"/>
        <w:ind w:left="152" w:right="150"/>
      </w:pPr>
      <w:r>
        <w:rPr/>
        <w:br w:type="column"/>
      </w:r>
      <w:r>
        <w:rPr>
          <w:spacing w:val="-2"/>
        </w:rPr>
        <w:t>指一组遗传性肌肉变性病变，临床特征为与神经系统无关的骨骼肌肉对称地进行性无力和萎缩。</w:t>
      </w:r>
      <w:r>
        <w:rPr>
          <w:color w:val="000000"/>
          <w:spacing w:val="-2"/>
          <w:shd w:fill="E4E4E4" w:color="auto" w:val="clear"/>
        </w:rPr>
        <w:t>其诊断需满足下列全部条件：</w:t>
      </w:r>
    </w:p>
    <w:p>
      <w:pPr>
        <w:spacing w:after="0" w:line="324" w:lineRule="auto"/>
        <w:sectPr>
          <w:type w:val="continuous"/>
          <w:pgSz w:w="11910" w:h="16840"/>
          <w:pgMar w:header="484" w:footer="706" w:top="1240" w:bottom="900" w:left="980" w:right="980"/>
          <w:cols w:num="2" w:equalWidth="0">
            <w:col w:w="2277" w:space="51"/>
            <w:col w:w="7622"/>
          </w:cols>
        </w:sectPr>
      </w:pPr>
    </w:p>
    <w:p>
      <w:pPr>
        <w:pStyle w:val="BodyText"/>
        <w:spacing w:before="7"/>
        <w:rPr>
          <w:sz w:val="14"/>
        </w:rPr>
      </w:pPr>
    </w:p>
    <w:p>
      <w:pPr>
        <w:pStyle w:val="ListParagraph"/>
        <w:numPr>
          <w:ilvl w:val="0"/>
          <w:numId w:val="72"/>
        </w:numPr>
        <w:tabs>
          <w:tab w:pos="2935" w:val="left" w:leader="none"/>
        </w:tabs>
        <w:spacing w:line="240" w:lineRule="auto" w:before="70" w:after="0"/>
        <w:ind w:left="2934" w:right="0" w:hanging="455"/>
        <w:jc w:val="left"/>
        <w:rPr>
          <w:sz w:val="22"/>
        </w:rPr>
      </w:pPr>
      <w:r>
        <w:rPr>
          <w:spacing w:val="-3"/>
          <w:sz w:val="22"/>
        </w:rPr>
        <w:t>肌电图显示典型肌营养不良症的阳性改变；</w:t>
      </w:r>
    </w:p>
    <w:p>
      <w:pPr>
        <w:pStyle w:val="ListParagraph"/>
        <w:numPr>
          <w:ilvl w:val="0"/>
          <w:numId w:val="72"/>
        </w:numPr>
        <w:tabs>
          <w:tab w:pos="2935" w:val="left" w:leader="none"/>
        </w:tabs>
        <w:spacing w:line="324" w:lineRule="auto" w:before="100" w:after="0"/>
        <w:ind w:left="2934" w:right="150" w:hanging="454"/>
        <w:jc w:val="left"/>
        <w:rPr>
          <w:sz w:val="22"/>
        </w:rPr>
      </w:pPr>
      <w:r>
        <w:rPr>
          <w:spacing w:val="1"/>
          <w:w w:val="100"/>
          <w:sz w:val="22"/>
        </w:rPr>
        <w:t>肌肉活检的病理学诊断符合肌营养不良症的肌肉细胞变性\坏死等阳性</w:t>
      </w:r>
      <w:r>
        <w:rPr>
          <w:spacing w:val="-2"/>
          <w:w w:val="100"/>
          <w:sz w:val="22"/>
        </w:rPr>
        <w:t>改变；</w:t>
      </w:r>
    </w:p>
    <w:p>
      <w:pPr>
        <w:pStyle w:val="ListParagraph"/>
        <w:numPr>
          <w:ilvl w:val="0"/>
          <w:numId w:val="72"/>
        </w:numPr>
        <w:tabs>
          <w:tab w:pos="2935" w:val="left" w:leader="none"/>
        </w:tabs>
        <w:spacing w:line="324" w:lineRule="auto" w:before="0" w:after="0"/>
        <w:ind w:left="2934" w:right="150" w:hanging="454"/>
        <w:jc w:val="left"/>
        <w:rPr>
          <w:sz w:val="22"/>
        </w:rPr>
      </w:pPr>
      <w:r>
        <w:rPr>
          <w:spacing w:val="-2"/>
          <w:sz w:val="22"/>
        </w:rPr>
        <w:t>已导致被保险人持续超过三个月</w:t>
      </w:r>
      <w:r>
        <w:rPr>
          <w:color w:val="000000"/>
          <w:spacing w:val="-2"/>
          <w:sz w:val="22"/>
          <w:shd w:fill="E4E4E4" w:color="auto" w:val="clear"/>
        </w:rPr>
        <w:t>无法独立完成六项基本日常生活活动中</w:t>
      </w:r>
      <w:r>
        <w:rPr>
          <w:color w:val="000000"/>
          <w:spacing w:val="80"/>
          <w:w w:val="150"/>
          <w:sz w:val="22"/>
          <w:shd w:fill="E4E4E4" w:color="auto" w:val="clear"/>
        </w:rPr>
        <w:t>                                    </w:t>
      </w:r>
      <w:r>
        <w:rPr>
          <w:color w:val="000000"/>
          <w:spacing w:val="-2"/>
          <w:sz w:val="22"/>
          <w:shd w:fill="E4E4E4" w:color="auto" w:val="clear"/>
        </w:rPr>
        <w:t>的三项或三项以上。</w:t>
      </w:r>
    </w:p>
    <w:p>
      <w:pPr>
        <w:pStyle w:val="BodyText"/>
        <w:rPr>
          <w:sz w:val="27"/>
        </w:rPr>
      </w:pPr>
    </w:p>
    <w:p>
      <w:pPr>
        <w:pStyle w:val="ListParagraph"/>
        <w:numPr>
          <w:ilvl w:val="1"/>
          <w:numId w:val="71"/>
        </w:numPr>
        <w:tabs>
          <w:tab w:pos="955" w:val="left" w:leader="none"/>
          <w:tab w:pos="2480" w:val="left" w:leader="none"/>
        </w:tabs>
        <w:spacing w:line="283" w:lineRule="auto" w:before="0" w:after="0"/>
        <w:ind w:left="2480" w:right="150" w:hanging="2328"/>
        <w:jc w:val="left"/>
        <w:rPr>
          <w:sz w:val="22"/>
        </w:rPr>
      </w:pPr>
      <w:r>
        <w:rPr>
          <w:rFonts w:ascii="华文中宋" w:eastAsia="华文中宋" w:hint="eastAsia"/>
          <w:b/>
          <w:spacing w:val="-1"/>
          <w:w w:val="100"/>
          <w:sz w:val="22"/>
        </w:rPr>
        <w:t>肝豆</w:t>
      </w:r>
      <w:r>
        <w:rPr>
          <w:rFonts w:ascii="华文中宋" w:eastAsia="华文中宋" w:hint="eastAsia"/>
          <w:b/>
          <w:spacing w:val="-3"/>
          <w:w w:val="100"/>
          <w:sz w:val="22"/>
        </w:rPr>
        <w:t>状</w:t>
      </w:r>
      <w:r>
        <w:rPr>
          <w:rFonts w:ascii="华文中宋" w:eastAsia="华文中宋" w:hint="eastAsia"/>
          <w:b/>
          <w:spacing w:val="-1"/>
          <w:w w:val="100"/>
          <w:sz w:val="22"/>
        </w:rPr>
        <w:t>核变</w:t>
      </w:r>
      <w:r>
        <w:rPr>
          <w:rFonts w:ascii="华文中宋" w:eastAsia="华文中宋" w:hint="eastAsia"/>
          <w:b/>
          <w:w w:val="100"/>
          <w:sz w:val="22"/>
        </w:rPr>
        <w:t>性</w:t>
      </w:r>
      <w:r>
        <w:rPr>
          <w:rFonts w:ascii="华文中宋" w:eastAsia="华文中宋" w:hint="eastAsia"/>
          <w:b/>
          <w:sz w:val="22"/>
        </w:rPr>
        <w:tab/>
      </w:r>
      <w:r>
        <w:rPr>
          <w:spacing w:val="7"/>
          <w:w w:val="100"/>
          <w:sz w:val="22"/>
        </w:rPr>
        <w:t>肝</w:t>
      </w:r>
      <w:r>
        <w:rPr>
          <w:spacing w:val="9"/>
          <w:w w:val="100"/>
          <w:sz w:val="22"/>
        </w:rPr>
        <w:t>豆</w:t>
      </w:r>
      <w:r>
        <w:rPr>
          <w:spacing w:val="7"/>
          <w:w w:val="100"/>
          <w:sz w:val="22"/>
        </w:rPr>
        <w:t>状核</w:t>
      </w:r>
      <w:r>
        <w:rPr>
          <w:spacing w:val="9"/>
          <w:w w:val="100"/>
          <w:sz w:val="22"/>
        </w:rPr>
        <w:t>变</w:t>
      </w:r>
      <w:r>
        <w:rPr>
          <w:spacing w:val="7"/>
          <w:w w:val="100"/>
          <w:sz w:val="22"/>
        </w:rPr>
        <w:t>性是一</w:t>
      </w:r>
      <w:r>
        <w:rPr>
          <w:spacing w:val="9"/>
          <w:w w:val="100"/>
          <w:sz w:val="22"/>
        </w:rPr>
        <w:t>种</w:t>
      </w:r>
      <w:r>
        <w:rPr>
          <w:spacing w:val="7"/>
          <w:w w:val="100"/>
          <w:sz w:val="22"/>
        </w:rPr>
        <w:t>遗传</w:t>
      </w:r>
      <w:r>
        <w:rPr>
          <w:spacing w:val="9"/>
          <w:w w:val="100"/>
          <w:sz w:val="22"/>
        </w:rPr>
        <w:t>性</w:t>
      </w:r>
      <w:r>
        <w:rPr>
          <w:spacing w:val="7"/>
          <w:w w:val="100"/>
          <w:sz w:val="22"/>
        </w:rPr>
        <w:t>铜代</w:t>
      </w:r>
      <w:r>
        <w:rPr>
          <w:spacing w:val="9"/>
          <w:w w:val="100"/>
          <w:sz w:val="22"/>
        </w:rPr>
        <w:t>谢</w:t>
      </w:r>
      <w:r>
        <w:rPr>
          <w:spacing w:val="7"/>
          <w:w w:val="100"/>
          <w:sz w:val="22"/>
        </w:rPr>
        <w:t>障碍</w:t>
      </w:r>
      <w:r>
        <w:rPr>
          <w:spacing w:val="9"/>
          <w:w w:val="100"/>
          <w:sz w:val="22"/>
        </w:rPr>
        <w:t>疾</w:t>
      </w:r>
      <w:r>
        <w:rPr>
          <w:spacing w:val="7"/>
          <w:w w:val="100"/>
          <w:sz w:val="22"/>
        </w:rPr>
        <w:t>病。表</w:t>
      </w:r>
      <w:r>
        <w:rPr>
          <w:spacing w:val="9"/>
          <w:w w:val="100"/>
          <w:sz w:val="22"/>
        </w:rPr>
        <w:t>现</w:t>
      </w:r>
      <w:r>
        <w:rPr>
          <w:spacing w:val="7"/>
          <w:w w:val="100"/>
          <w:sz w:val="22"/>
        </w:rPr>
        <w:t>为体</w:t>
      </w:r>
      <w:r>
        <w:rPr>
          <w:spacing w:val="9"/>
          <w:w w:val="100"/>
          <w:sz w:val="22"/>
        </w:rPr>
        <w:t>内</w:t>
      </w:r>
      <w:r>
        <w:rPr>
          <w:spacing w:val="7"/>
          <w:w w:val="100"/>
          <w:sz w:val="22"/>
        </w:rPr>
        <w:t>的铜</w:t>
      </w:r>
      <w:r>
        <w:rPr>
          <w:spacing w:val="9"/>
          <w:w w:val="100"/>
          <w:sz w:val="22"/>
        </w:rPr>
        <w:t>离</w:t>
      </w:r>
      <w:r>
        <w:rPr>
          <w:spacing w:val="7"/>
          <w:w w:val="100"/>
          <w:sz w:val="22"/>
        </w:rPr>
        <w:t>子在</w:t>
      </w:r>
      <w:r>
        <w:rPr>
          <w:spacing w:val="9"/>
          <w:w w:val="100"/>
          <w:sz w:val="22"/>
        </w:rPr>
        <w:t>肝</w:t>
      </w:r>
      <w:r>
        <w:rPr>
          <w:spacing w:val="-14"/>
          <w:w w:val="100"/>
          <w:sz w:val="22"/>
        </w:rPr>
        <w:t>、</w:t>
      </w:r>
      <w:r>
        <w:rPr>
          <w:spacing w:val="-1"/>
          <w:w w:val="100"/>
          <w:sz w:val="22"/>
        </w:rPr>
        <w:t>脑</w:t>
      </w:r>
      <w:r>
        <w:rPr>
          <w:spacing w:val="2"/>
          <w:w w:val="100"/>
          <w:sz w:val="22"/>
        </w:rPr>
        <w:t>、</w:t>
      </w:r>
      <w:r>
        <w:rPr>
          <w:spacing w:val="-1"/>
          <w:w w:val="100"/>
          <w:sz w:val="22"/>
        </w:rPr>
        <w:t>肾、</w:t>
      </w:r>
      <w:r>
        <w:rPr>
          <w:spacing w:val="2"/>
          <w:w w:val="100"/>
          <w:sz w:val="22"/>
        </w:rPr>
        <w:t>角</w:t>
      </w:r>
      <w:r>
        <w:rPr>
          <w:spacing w:val="-1"/>
          <w:w w:val="100"/>
          <w:sz w:val="22"/>
        </w:rPr>
        <w:t>膜等</w:t>
      </w:r>
      <w:r>
        <w:rPr>
          <w:spacing w:val="2"/>
          <w:w w:val="100"/>
          <w:sz w:val="22"/>
        </w:rPr>
        <w:t>处</w:t>
      </w:r>
      <w:r>
        <w:rPr>
          <w:spacing w:val="-1"/>
          <w:w w:val="100"/>
          <w:sz w:val="22"/>
        </w:rPr>
        <w:t>沉积</w:t>
      </w:r>
      <w:r>
        <w:rPr>
          <w:spacing w:val="2"/>
          <w:w w:val="100"/>
          <w:sz w:val="22"/>
        </w:rPr>
        <w:t>，</w:t>
      </w:r>
      <w:r>
        <w:rPr>
          <w:spacing w:val="-1"/>
          <w:w w:val="100"/>
          <w:sz w:val="22"/>
        </w:rPr>
        <w:t>引起</w:t>
      </w:r>
      <w:r>
        <w:rPr>
          <w:spacing w:val="2"/>
          <w:w w:val="100"/>
          <w:sz w:val="22"/>
        </w:rPr>
        <w:t>进</w:t>
      </w:r>
      <w:r>
        <w:rPr>
          <w:spacing w:val="-1"/>
          <w:w w:val="100"/>
          <w:sz w:val="22"/>
        </w:rPr>
        <w:t>行性</w:t>
      </w:r>
      <w:r>
        <w:rPr>
          <w:spacing w:val="2"/>
          <w:w w:val="100"/>
          <w:sz w:val="22"/>
        </w:rPr>
        <w:t>加</w:t>
      </w:r>
      <w:r>
        <w:rPr>
          <w:spacing w:val="-1"/>
          <w:w w:val="100"/>
          <w:sz w:val="22"/>
        </w:rPr>
        <w:t>重的</w:t>
      </w:r>
      <w:r>
        <w:rPr>
          <w:spacing w:val="2"/>
          <w:w w:val="100"/>
          <w:sz w:val="22"/>
        </w:rPr>
        <w:t>肝</w:t>
      </w:r>
      <w:r>
        <w:rPr>
          <w:spacing w:val="-1"/>
          <w:w w:val="100"/>
          <w:sz w:val="22"/>
        </w:rPr>
        <w:t>硬化</w:t>
      </w:r>
      <w:r>
        <w:rPr>
          <w:spacing w:val="2"/>
          <w:w w:val="100"/>
          <w:sz w:val="22"/>
        </w:rPr>
        <w:t>、</w:t>
      </w:r>
      <w:r>
        <w:rPr>
          <w:spacing w:val="-1"/>
          <w:w w:val="100"/>
          <w:sz w:val="22"/>
        </w:rPr>
        <w:t>锥体</w:t>
      </w:r>
      <w:r>
        <w:rPr>
          <w:spacing w:val="2"/>
          <w:w w:val="100"/>
          <w:sz w:val="22"/>
        </w:rPr>
        <w:t>外</w:t>
      </w:r>
      <w:r>
        <w:rPr>
          <w:spacing w:val="-1"/>
          <w:w w:val="100"/>
          <w:sz w:val="22"/>
        </w:rPr>
        <w:t>系症</w:t>
      </w:r>
      <w:r>
        <w:rPr>
          <w:spacing w:val="2"/>
          <w:w w:val="100"/>
          <w:sz w:val="22"/>
        </w:rPr>
        <w:t>状</w:t>
      </w:r>
      <w:r>
        <w:rPr>
          <w:spacing w:val="-1"/>
          <w:w w:val="100"/>
          <w:sz w:val="22"/>
        </w:rPr>
        <w:t>、精</w:t>
      </w:r>
      <w:r>
        <w:rPr>
          <w:spacing w:val="2"/>
          <w:w w:val="100"/>
          <w:sz w:val="22"/>
        </w:rPr>
        <w:t>神</w:t>
      </w:r>
      <w:r>
        <w:rPr>
          <w:w w:val="100"/>
          <w:sz w:val="22"/>
        </w:rPr>
        <w:t>症</w:t>
      </w:r>
    </w:p>
    <w:p>
      <w:pPr>
        <w:pStyle w:val="BodyText"/>
        <w:spacing w:line="324" w:lineRule="auto" w:before="47"/>
        <w:ind w:left="2480" w:right="150"/>
      </w:pPr>
      <w:r>
        <w:rPr>
          <w:spacing w:val="-2"/>
        </w:rPr>
        <w:t>状、肾损害及角膜色素环。肝豆状核变性必须明确诊断并且满足以下条件之</w:t>
      </w:r>
      <w:r>
        <w:rPr>
          <w:spacing w:val="-6"/>
        </w:rPr>
        <w:t>一：</w:t>
      </w:r>
    </w:p>
    <w:p>
      <w:pPr>
        <w:pStyle w:val="ListParagraph"/>
        <w:numPr>
          <w:ilvl w:val="2"/>
          <w:numId w:val="71"/>
        </w:numPr>
        <w:tabs>
          <w:tab w:pos="2935" w:val="left" w:leader="none"/>
        </w:tabs>
        <w:spacing w:line="324" w:lineRule="auto" w:before="0" w:after="0"/>
        <w:ind w:left="2934" w:right="152" w:hanging="454"/>
        <w:jc w:val="left"/>
        <w:rPr>
          <w:sz w:val="22"/>
        </w:rPr>
      </w:pPr>
      <w:r>
        <w:rPr>
          <w:spacing w:val="-2"/>
          <w:sz w:val="22"/>
        </w:rPr>
        <w:t>帕金森综合征或其他神经系统功能损害，自主生活能力完全丧失，</w:t>
      </w:r>
      <w:r>
        <w:rPr>
          <w:color w:val="000000"/>
          <w:spacing w:val="-2"/>
          <w:sz w:val="22"/>
          <w:shd w:fill="E4E4E4" w:color="auto" w:val="clear"/>
        </w:rPr>
        <w:t>无法</w:t>
      </w:r>
      <w:r>
        <w:rPr>
          <w:color w:val="000000"/>
          <w:spacing w:val="80"/>
          <w:w w:val="150"/>
          <w:sz w:val="22"/>
          <w:shd w:fill="E4E4E4" w:color="auto" w:val="clear"/>
        </w:rPr>
        <w:t>                                    </w:t>
      </w:r>
      <w:r>
        <w:rPr>
          <w:color w:val="000000"/>
          <w:spacing w:val="-2"/>
          <w:sz w:val="22"/>
          <w:shd w:fill="E4E4E4" w:color="auto" w:val="clear"/>
        </w:rPr>
        <w:t>独立完成六项基本日常生活活动中的三项或三项以上；</w:t>
      </w:r>
    </w:p>
    <w:p>
      <w:pPr>
        <w:pStyle w:val="ListParagraph"/>
        <w:numPr>
          <w:ilvl w:val="2"/>
          <w:numId w:val="71"/>
        </w:numPr>
        <w:tabs>
          <w:tab w:pos="2935" w:val="left" w:leader="none"/>
        </w:tabs>
        <w:spacing w:line="279" w:lineRule="exact" w:before="0" w:after="0"/>
        <w:ind w:left="2934" w:right="0" w:hanging="455"/>
        <w:jc w:val="left"/>
        <w:rPr>
          <w:sz w:val="22"/>
        </w:rPr>
      </w:pPr>
      <w:r>
        <w:rPr>
          <w:spacing w:val="-3"/>
          <w:sz w:val="22"/>
        </w:rPr>
        <w:t>失代偿性肝硬化，临床已经出现腹水、食道静脉曲张和脾肿大等表现；</w:t>
      </w:r>
    </w:p>
    <w:p>
      <w:pPr>
        <w:pStyle w:val="ListParagraph"/>
        <w:numPr>
          <w:ilvl w:val="2"/>
          <w:numId w:val="71"/>
        </w:numPr>
        <w:tabs>
          <w:tab w:pos="2935" w:val="left" w:leader="none"/>
        </w:tabs>
        <w:spacing w:line="240" w:lineRule="auto" w:before="99" w:after="0"/>
        <w:ind w:left="2934" w:right="0" w:hanging="455"/>
        <w:jc w:val="left"/>
        <w:rPr>
          <w:sz w:val="22"/>
        </w:rPr>
      </w:pPr>
      <w:r>
        <w:rPr>
          <w:spacing w:val="-3"/>
          <w:sz w:val="22"/>
        </w:rPr>
        <w:t>慢性肾功能衰竭，已开始肾脏透析治疗；</w:t>
      </w:r>
    </w:p>
    <w:p>
      <w:pPr>
        <w:pStyle w:val="ListParagraph"/>
        <w:numPr>
          <w:ilvl w:val="2"/>
          <w:numId w:val="71"/>
        </w:numPr>
        <w:tabs>
          <w:tab w:pos="2935" w:val="left" w:leader="none"/>
        </w:tabs>
        <w:spacing w:line="240" w:lineRule="auto" w:before="97" w:after="0"/>
        <w:ind w:left="2934" w:right="0" w:hanging="455"/>
        <w:jc w:val="left"/>
        <w:rPr>
          <w:sz w:val="22"/>
        </w:rPr>
      </w:pPr>
      <w:r>
        <w:rPr>
          <w:spacing w:val="-3"/>
          <w:sz w:val="22"/>
        </w:rPr>
        <w:t>接受了肝移植或肾移植手术。</w:t>
      </w:r>
    </w:p>
    <w:p>
      <w:pPr>
        <w:pStyle w:val="BodyText"/>
      </w:pPr>
    </w:p>
    <w:p>
      <w:pPr>
        <w:pStyle w:val="ListParagraph"/>
        <w:numPr>
          <w:ilvl w:val="1"/>
          <w:numId w:val="71"/>
        </w:numPr>
        <w:tabs>
          <w:tab w:pos="955" w:val="left" w:leader="none"/>
        </w:tabs>
        <w:spacing w:line="302" w:lineRule="auto" w:before="167" w:after="0"/>
        <w:ind w:left="2480" w:right="150" w:hanging="2328"/>
        <w:jc w:val="both"/>
        <w:rPr>
          <w:sz w:val="22"/>
        </w:rPr>
      </w:pPr>
      <w:r>
        <w:rPr>
          <w:rFonts w:ascii="华文中宋" w:eastAsia="华文中宋" w:hint="eastAsia"/>
          <w:b/>
          <w:spacing w:val="22"/>
          <w:sz w:val="22"/>
        </w:rPr>
        <w:t>闭锁综合征  </w:t>
      </w:r>
      <w:r>
        <w:rPr>
          <w:sz w:val="22"/>
        </w:rPr>
        <w:t>由于双侧脑桥基底部病变，脑干腹侧的皮质核束和皮质脊髓束受损，而导致</w:t>
      </w:r>
      <w:r>
        <w:rPr>
          <w:spacing w:val="-2"/>
          <w:sz w:val="22"/>
        </w:rPr>
        <w:t>的缄默和四肢瘫痪。临床表现为意识清醒或仅有轻微损害，除睁闭眼和眼球</w:t>
      </w:r>
      <w:r>
        <w:rPr>
          <w:spacing w:val="-1"/>
          <w:sz w:val="22"/>
        </w:rPr>
        <w:t>上下运动外其它全部运动、吞咽、语言功能均丧失。诊断必须经神经科医生</w:t>
      </w:r>
    </w:p>
    <w:p>
      <w:pPr>
        <w:pStyle w:val="BodyText"/>
        <w:spacing w:before="20"/>
        <w:ind w:left="2480"/>
      </w:pPr>
      <w:r>
        <w:rPr>
          <w:spacing w:val="-3"/>
        </w:rPr>
        <w:t>确认，并必须持续至少一个月病史记录。</w:t>
      </w:r>
    </w:p>
    <w:p>
      <w:pPr>
        <w:pStyle w:val="BodyText"/>
      </w:pPr>
    </w:p>
    <w:p>
      <w:pPr>
        <w:pStyle w:val="ListParagraph"/>
        <w:numPr>
          <w:ilvl w:val="1"/>
          <w:numId w:val="71"/>
        </w:numPr>
        <w:tabs>
          <w:tab w:pos="955" w:val="left" w:leader="none"/>
          <w:tab w:pos="2480" w:val="left" w:leader="none"/>
        </w:tabs>
        <w:spacing w:line="283" w:lineRule="auto" w:before="165" w:after="0"/>
        <w:ind w:left="2480" w:right="150" w:hanging="2328"/>
        <w:jc w:val="left"/>
        <w:rPr>
          <w:sz w:val="22"/>
        </w:rPr>
      </w:pPr>
      <w:r>
        <w:rPr>
          <w:rFonts w:ascii="华文中宋" w:eastAsia="华文中宋" w:hint="eastAsia"/>
          <w:b/>
          <w:spacing w:val="-4"/>
          <w:sz w:val="22"/>
        </w:rPr>
        <w:t>脊柱裂</w:t>
      </w:r>
      <w:r>
        <w:rPr>
          <w:rFonts w:ascii="华文中宋" w:eastAsia="华文中宋" w:hint="eastAsia"/>
          <w:b/>
          <w:sz w:val="22"/>
        </w:rPr>
        <w:tab/>
      </w:r>
      <w:r>
        <w:rPr>
          <w:spacing w:val="-2"/>
          <w:sz w:val="22"/>
        </w:rPr>
        <w:t>指脊椎或颅骨不完全闭合，导致脊髓脊膜突出，脑（脊）膜突出或脑膨出，并至少符合下列异常中的一项：</w:t>
      </w:r>
    </w:p>
    <w:p>
      <w:pPr>
        <w:pStyle w:val="ListParagraph"/>
        <w:numPr>
          <w:ilvl w:val="2"/>
          <w:numId w:val="71"/>
        </w:numPr>
        <w:tabs>
          <w:tab w:pos="2935" w:val="left" w:leader="none"/>
        </w:tabs>
        <w:spacing w:line="240" w:lineRule="auto" w:before="46" w:after="0"/>
        <w:ind w:left="2934" w:right="0" w:hanging="455"/>
        <w:jc w:val="left"/>
        <w:rPr>
          <w:sz w:val="22"/>
        </w:rPr>
      </w:pPr>
      <w:r>
        <w:rPr>
          <w:spacing w:val="-4"/>
          <w:sz w:val="22"/>
        </w:rPr>
        <w:t>大小便失禁；</w:t>
      </w:r>
    </w:p>
    <w:p>
      <w:pPr>
        <w:pStyle w:val="ListParagraph"/>
        <w:numPr>
          <w:ilvl w:val="2"/>
          <w:numId w:val="71"/>
        </w:numPr>
        <w:tabs>
          <w:tab w:pos="2935" w:val="left" w:leader="none"/>
        </w:tabs>
        <w:spacing w:line="240" w:lineRule="auto" w:before="97" w:after="0"/>
        <w:ind w:left="2934" w:right="0" w:hanging="455"/>
        <w:jc w:val="left"/>
        <w:rPr>
          <w:sz w:val="22"/>
        </w:rPr>
      </w:pPr>
      <w:r>
        <w:rPr>
          <w:spacing w:val="-3"/>
          <w:sz w:val="22"/>
        </w:rPr>
        <w:t>部分或完全性下肢瘫痪或畸形等神经学上的异常。</w:t>
      </w:r>
    </w:p>
    <w:p>
      <w:pPr>
        <w:pStyle w:val="BodyText"/>
        <w:spacing w:line="324" w:lineRule="auto" w:before="100"/>
        <w:ind w:left="2480" w:right="150"/>
      </w:pPr>
      <w:r>
        <w:rPr>
          <w:color w:val="000000"/>
          <w:spacing w:val="-2"/>
          <w:shd w:fill="E4E4E4" w:color="auto" w:val="clear"/>
        </w:rPr>
        <w:t>但不包括由X线摄片发现的没有合并脊椎脊膜突出或脑（脊）膜突出的隐形</w:t>
      </w:r>
      <w:r>
        <w:rPr>
          <w:color w:val="000000"/>
          <w:spacing w:val="80"/>
          <w:w w:val="150"/>
          <w:shd w:fill="E4E4E4" w:color="auto" w:val="clear"/>
        </w:rPr>
        <w:t>                                       </w:t>
      </w:r>
      <w:r>
        <w:rPr>
          <w:color w:val="000000"/>
          <w:spacing w:val="-4"/>
          <w:shd w:fill="E4E4E4" w:color="auto" w:val="clear"/>
        </w:rPr>
        <w:t>脊椎裂。</w:t>
      </w:r>
    </w:p>
    <w:p>
      <w:pPr>
        <w:pStyle w:val="BodyText"/>
        <w:spacing w:before="3"/>
        <w:rPr>
          <w:sz w:val="27"/>
        </w:rPr>
      </w:pPr>
    </w:p>
    <w:p>
      <w:pPr>
        <w:pStyle w:val="ListParagraph"/>
        <w:numPr>
          <w:ilvl w:val="1"/>
          <w:numId w:val="71"/>
        </w:numPr>
        <w:tabs>
          <w:tab w:pos="955" w:val="left" w:leader="none"/>
          <w:tab w:pos="2480" w:val="left" w:leader="none"/>
        </w:tabs>
        <w:spacing w:line="302" w:lineRule="auto" w:before="0" w:after="0"/>
        <w:ind w:left="2480" w:right="150" w:hanging="2328"/>
        <w:jc w:val="both"/>
        <w:rPr>
          <w:sz w:val="22"/>
        </w:rPr>
      </w:pPr>
      <w:r>
        <w:rPr>
          <w:rFonts w:ascii="华文中宋" w:eastAsia="华文中宋" w:hint="eastAsia"/>
          <w:b/>
          <w:spacing w:val="-4"/>
          <w:sz w:val="22"/>
        </w:rPr>
        <w:t>库鲁病</w:t>
      </w:r>
      <w:r>
        <w:rPr>
          <w:rFonts w:ascii="华文中宋" w:eastAsia="华文中宋" w:hint="eastAsia"/>
          <w:b/>
          <w:sz w:val="22"/>
        </w:rPr>
        <w:tab/>
      </w:r>
      <w:r>
        <w:rPr>
          <w:spacing w:val="-2"/>
          <w:sz w:val="22"/>
        </w:rPr>
        <w:t>指一种亚急性传染性朊蛋白病。临床表现为共济失调、震颤、不自主运动，在病程晚期出现进行性加重的痴呆，神经异常。该病必须由专科医生根据检测出的脑组织中的致病蛋白而明确诊断。</w:t>
      </w:r>
    </w:p>
    <w:p>
      <w:pPr>
        <w:pStyle w:val="BodyText"/>
        <w:spacing w:before="2"/>
        <w:rPr>
          <w:sz w:val="23"/>
        </w:rPr>
      </w:pPr>
    </w:p>
    <w:p>
      <w:pPr>
        <w:spacing w:after="0"/>
        <w:rPr>
          <w:sz w:val="23"/>
        </w:rPr>
        <w:sectPr>
          <w:pgSz w:w="11910" w:h="16840"/>
          <w:pgMar w:header="484" w:footer="706" w:top="1240" w:bottom="900" w:left="980" w:right="980"/>
        </w:sectPr>
      </w:pPr>
    </w:p>
    <w:p>
      <w:pPr>
        <w:pStyle w:val="Heading2"/>
        <w:numPr>
          <w:ilvl w:val="1"/>
          <w:numId w:val="71"/>
        </w:numPr>
        <w:tabs>
          <w:tab w:pos="955" w:val="left" w:leader="none"/>
        </w:tabs>
        <w:spacing w:line="240" w:lineRule="auto" w:before="72" w:after="0"/>
        <w:ind w:left="954" w:right="0" w:hanging="803"/>
        <w:jc w:val="left"/>
      </w:pPr>
      <w:r>
        <w:rPr>
          <w:spacing w:val="-4"/>
        </w:rPr>
        <w:t>自身免疫性脑</w:t>
      </w:r>
    </w:p>
    <w:p>
      <w:pPr>
        <w:spacing w:before="30"/>
        <w:ind w:left="954" w:right="0" w:firstLine="0"/>
        <w:jc w:val="left"/>
        <w:rPr>
          <w:rFonts w:ascii="华文中宋" w:eastAsia="华文中宋" w:hint="eastAsia"/>
          <w:b/>
          <w:sz w:val="22"/>
        </w:rPr>
      </w:pPr>
      <w:r>
        <w:rPr>
          <w:rFonts w:ascii="华文中宋" w:eastAsia="华文中宋" w:hint="eastAsia"/>
          <w:b/>
          <w:w w:val="100"/>
          <w:sz w:val="22"/>
        </w:rPr>
        <w:t>炎</w:t>
      </w:r>
    </w:p>
    <w:p>
      <w:pPr>
        <w:pStyle w:val="BodyText"/>
        <w:spacing w:line="324" w:lineRule="auto" w:before="102"/>
        <w:ind w:left="152" w:right="150"/>
        <w:jc w:val="both"/>
      </w:pPr>
      <w:r>
        <w:rPr/>
        <w:br w:type="column"/>
      </w:r>
      <w:r>
        <w:rPr/>
        <w:t>自身免疫性脑炎（Autoimmune Encephalitis，AE）泛指一类由自身免疫机</w:t>
      </w:r>
      <w:r>
        <w:rPr>
          <w:spacing w:val="-2"/>
        </w:rPr>
        <w:t>制介导的脑炎。临床以精神行为异常、癫痫发作、近事记忆障碍等多灶或弥漫性脑损害为主要表现。</w:t>
      </w:r>
    </w:p>
    <w:p>
      <w:pPr>
        <w:pStyle w:val="BodyText"/>
        <w:spacing w:line="280" w:lineRule="exact"/>
        <w:ind w:left="152"/>
      </w:pPr>
      <w:r>
        <w:rPr>
          <w:spacing w:val="-2"/>
        </w:rPr>
        <w:t>自身免疫性脑炎须经我们认可的医院的专科医生明确诊断，</w:t>
      </w:r>
      <w:r>
        <w:rPr>
          <w:color w:val="000000"/>
          <w:spacing w:val="-4"/>
          <w:shd w:fill="E4E4E4" w:color="auto" w:val="clear"/>
        </w:rPr>
        <w:t>并须满足下列全</w:t>
      </w:r>
    </w:p>
    <w:p>
      <w:pPr>
        <w:spacing w:after="0" w:line="280" w:lineRule="exact"/>
        <w:sectPr>
          <w:type w:val="continuous"/>
          <w:pgSz w:w="11910" w:h="16840"/>
          <w:pgMar w:header="484" w:footer="706" w:top="1240" w:bottom="900" w:left="980" w:right="980"/>
          <w:cols w:num="2" w:equalWidth="0">
            <w:col w:w="2277" w:space="51"/>
            <w:col w:w="7622"/>
          </w:cols>
        </w:sectPr>
      </w:pPr>
    </w:p>
    <w:p>
      <w:pPr>
        <w:pStyle w:val="BodyText"/>
        <w:spacing w:before="7"/>
        <w:rPr>
          <w:sz w:val="14"/>
        </w:rPr>
      </w:pPr>
    </w:p>
    <w:p>
      <w:pPr>
        <w:pStyle w:val="BodyText"/>
        <w:spacing w:before="70"/>
        <w:ind w:left="2480"/>
      </w:pPr>
      <w:r>
        <w:rPr>
          <w:color w:val="000000"/>
          <w:spacing w:val="-4"/>
          <w:shd w:fill="E4E4E4" w:color="auto" w:val="clear"/>
        </w:rPr>
        <w:t>部条件：</w:t>
      </w:r>
    </w:p>
    <w:p>
      <w:pPr>
        <w:pStyle w:val="ListParagraph"/>
        <w:numPr>
          <w:ilvl w:val="2"/>
          <w:numId w:val="71"/>
        </w:numPr>
        <w:tabs>
          <w:tab w:pos="2935" w:val="left" w:leader="none"/>
        </w:tabs>
        <w:spacing w:line="324" w:lineRule="auto" w:before="100" w:after="0"/>
        <w:ind w:left="2934" w:right="152" w:hanging="454"/>
        <w:jc w:val="left"/>
        <w:rPr>
          <w:sz w:val="22"/>
        </w:rPr>
      </w:pPr>
      <w:r>
        <w:rPr>
          <w:spacing w:val="8"/>
          <w:sz w:val="22"/>
        </w:rPr>
        <w:t>急性或亚急性起病，具备以下</w:t>
      </w:r>
      <w:r>
        <w:rPr>
          <w:spacing w:val="9"/>
          <w:sz w:val="22"/>
        </w:rPr>
        <w:t>1</w:t>
      </w:r>
      <w:r>
        <w:rPr>
          <w:spacing w:val="7"/>
          <w:sz w:val="22"/>
        </w:rPr>
        <w:t>个或多个神经与精神症状或临床综合</w:t>
      </w:r>
      <w:r>
        <w:rPr>
          <w:spacing w:val="-6"/>
          <w:sz w:val="22"/>
        </w:rPr>
        <w:t>征：</w:t>
      </w:r>
    </w:p>
    <w:p>
      <w:pPr>
        <w:pStyle w:val="BodyText"/>
        <w:spacing w:line="324" w:lineRule="auto"/>
        <w:ind w:left="3388" w:right="150"/>
      </w:pPr>
      <w:r>
        <w:rPr/>
        <w:drawing>
          <wp:anchor distT="0" distB="0" distL="0" distR="0" allowOverlap="1" layoutInCell="1" locked="0" behindDoc="0" simplePos="0" relativeHeight="15755264">
            <wp:simplePos x="0" y="0"/>
            <wp:positionH relativeFrom="page">
              <wp:posOffset>2485707</wp:posOffset>
            </wp:positionH>
            <wp:positionV relativeFrom="paragraph">
              <wp:posOffset>17589</wp:posOffset>
            </wp:positionV>
            <wp:extent cx="140335" cy="140334"/>
            <wp:effectExtent l="0" t="0" r="0" b="0"/>
            <wp:wrapNone/>
            <wp:docPr id="63" name="image7.png"/>
            <wp:cNvGraphicFramePr>
              <a:graphicFrameLocks noChangeAspect="1"/>
            </wp:cNvGraphicFramePr>
            <a:graphic>
              <a:graphicData uri="http://schemas.openxmlformats.org/drawingml/2006/picture">
                <pic:pic>
                  <pic:nvPicPr>
                    <pic:cNvPr id="64"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1.384998pt;width:11.05pt;height:11.05pt;mso-position-horizontal-relative:page;mso-position-vertical-relative:paragraph;z-index:15755776" type="#_x0000_t202" id="docshape38" filled="false" stroked="false">
            <v:textbox inset="0,0,0,0">
              <w:txbxContent>
                <w:p>
                  <w:pPr>
                    <w:spacing w:line="219" w:lineRule="exact" w:before="2"/>
                    <w:ind w:left="62" w:right="0" w:firstLine="0"/>
                    <w:jc w:val="left"/>
                    <w:rPr>
                      <w:sz w:val="19"/>
                    </w:rPr>
                  </w:pPr>
                  <w:r>
                    <w:rPr>
                      <w:sz w:val="19"/>
                    </w:rPr>
                    <w:t>1</w:t>
                  </w:r>
                </w:p>
              </w:txbxContent>
            </v:textbox>
            <w10:wrap type="none"/>
          </v:shape>
        </w:pict>
      </w:r>
      <w:r>
        <w:rPr>
          <w:spacing w:val="-2"/>
        </w:rPr>
        <w:t>边缘系统症状：近事记忆减退、癫痫发作、精神行为异常，3个症状中的1个或多个；</w:t>
      </w:r>
    </w:p>
    <w:p>
      <w:pPr>
        <w:pStyle w:val="BodyText"/>
        <w:spacing w:line="324" w:lineRule="auto"/>
        <w:ind w:left="3388" w:right="1715"/>
      </w:pPr>
      <w:r>
        <w:rPr/>
        <w:drawing>
          <wp:anchor distT="0" distB="0" distL="0" distR="0" allowOverlap="1" layoutInCell="1" locked="0" behindDoc="0" simplePos="0" relativeHeight="15756288">
            <wp:simplePos x="0" y="0"/>
            <wp:positionH relativeFrom="page">
              <wp:posOffset>2485707</wp:posOffset>
            </wp:positionH>
            <wp:positionV relativeFrom="paragraph">
              <wp:posOffset>17081</wp:posOffset>
            </wp:positionV>
            <wp:extent cx="140335" cy="140334"/>
            <wp:effectExtent l="0" t="0" r="0" b="0"/>
            <wp:wrapNone/>
            <wp:docPr id="65" name="image8.png"/>
            <wp:cNvGraphicFramePr>
              <a:graphicFrameLocks noChangeAspect="1"/>
            </wp:cNvGraphicFramePr>
            <a:graphic>
              <a:graphicData uri="http://schemas.openxmlformats.org/drawingml/2006/picture">
                <pic:pic>
                  <pic:nvPicPr>
                    <pic:cNvPr id="66" name="image8.png"/>
                    <pic:cNvPicPr/>
                  </pic:nvPicPr>
                  <pic:blipFill>
                    <a:blip r:embed="rId16" cstate="print"/>
                    <a:stretch>
                      <a:fillRect/>
                    </a:stretch>
                  </pic:blipFill>
                  <pic:spPr>
                    <a:xfrm>
                      <a:off x="0" y="0"/>
                      <a:ext cx="140335" cy="140334"/>
                    </a:xfrm>
                    <a:prstGeom prst="rect">
                      <a:avLst/>
                    </a:prstGeom>
                  </pic:spPr>
                </pic:pic>
              </a:graphicData>
            </a:graphic>
          </wp:anchor>
        </w:drawing>
      </w:r>
      <w:r>
        <w:rPr/>
        <w:pict>
          <v:shape style="position:absolute;margin-left:195.725006pt;margin-top:1.34502pt;width:11.05pt;height:11.05pt;mso-position-horizontal-relative:page;mso-position-vertical-relative:paragraph;z-index:15756800" type="#_x0000_t202" id="docshape39" filled="false" stroked="false">
            <v:textbox inset="0,0,0,0">
              <w:txbxContent>
                <w:p>
                  <w:pPr>
                    <w:spacing w:line="220" w:lineRule="exact" w:before="0"/>
                    <w:ind w:left="62" w:right="0" w:firstLine="0"/>
                    <w:jc w:val="left"/>
                    <w:rPr>
                      <w:sz w:val="19"/>
                    </w:rPr>
                  </w:pPr>
                  <w:r>
                    <w:rPr>
                      <w:sz w:val="19"/>
                    </w:rPr>
                    <w:t>2</w:t>
                  </w:r>
                </w:p>
              </w:txbxContent>
            </v:textbox>
            <w10:wrap type="none"/>
          </v:shape>
        </w:pict>
      </w:r>
      <w:r>
        <w:rPr/>
        <w:drawing>
          <wp:anchor distT="0" distB="0" distL="0" distR="0" allowOverlap="1" layoutInCell="1" locked="0" behindDoc="0" simplePos="0" relativeHeight="15757312">
            <wp:simplePos x="0" y="0"/>
            <wp:positionH relativeFrom="page">
              <wp:posOffset>2485707</wp:posOffset>
            </wp:positionH>
            <wp:positionV relativeFrom="paragraph">
              <wp:posOffset>258381</wp:posOffset>
            </wp:positionV>
            <wp:extent cx="140335" cy="140334"/>
            <wp:effectExtent l="0" t="0" r="0" b="0"/>
            <wp:wrapNone/>
            <wp:docPr id="67" name="image7.png"/>
            <wp:cNvGraphicFramePr>
              <a:graphicFrameLocks noChangeAspect="1"/>
            </wp:cNvGraphicFramePr>
            <a:graphic>
              <a:graphicData uri="http://schemas.openxmlformats.org/drawingml/2006/picture">
                <pic:pic>
                  <pic:nvPicPr>
                    <pic:cNvPr id="68"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20.345020pt;width:11.05pt;height:11.05pt;mso-position-horizontal-relative:page;mso-position-vertical-relative:paragraph;z-index:15757824" type="#_x0000_t202" id="docshape40" filled="false" stroked="false">
            <v:textbox inset="0,0,0,0">
              <w:txbxContent>
                <w:p>
                  <w:pPr>
                    <w:spacing w:line="219" w:lineRule="exact" w:before="2"/>
                    <w:ind w:left="62" w:right="0" w:firstLine="0"/>
                    <w:jc w:val="left"/>
                    <w:rPr>
                      <w:sz w:val="19"/>
                    </w:rPr>
                  </w:pPr>
                  <w:r>
                    <w:rPr>
                      <w:sz w:val="19"/>
                    </w:rPr>
                    <w:t>3</w:t>
                  </w:r>
                </w:p>
              </w:txbxContent>
            </v:textbox>
            <w10:wrap type="none"/>
          </v:shape>
        </w:pict>
      </w:r>
      <w:r>
        <w:rPr>
          <w:spacing w:val="-2"/>
        </w:rPr>
        <w:t>脑炎综合征：弥漫性或多灶性脑损害的临床表现；基底核和（或）间脑/下丘脑受累的临床表现；</w:t>
      </w:r>
    </w:p>
    <w:p>
      <w:pPr>
        <w:pStyle w:val="BodyText"/>
        <w:spacing w:line="282" w:lineRule="exact"/>
        <w:ind w:left="3388"/>
      </w:pPr>
      <w:r>
        <w:rPr/>
        <w:drawing>
          <wp:anchor distT="0" distB="0" distL="0" distR="0" allowOverlap="1" layoutInCell="1" locked="0" behindDoc="0" simplePos="0" relativeHeight="15758336">
            <wp:simplePos x="0" y="0"/>
            <wp:positionH relativeFrom="page">
              <wp:posOffset>2485707</wp:posOffset>
            </wp:positionH>
            <wp:positionV relativeFrom="paragraph">
              <wp:posOffset>16407</wp:posOffset>
            </wp:positionV>
            <wp:extent cx="140335" cy="140334"/>
            <wp:effectExtent l="0" t="0" r="0" b="0"/>
            <wp:wrapNone/>
            <wp:docPr id="69" name="image7.png"/>
            <wp:cNvGraphicFramePr>
              <a:graphicFrameLocks noChangeAspect="1"/>
            </wp:cNvGraphicFramePr>
            <a:graphic>
              <a:graphicData uri="http://schemas.openxmlformats.org/drawingml/2006/picture">
                <pic:pic>
                  <pic:nvPicPr>
                    <pic:cNvPr id="70"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1.291895pt;width:11.05pt;height:11.05pt;mso-position-horizontal-relative:page;mso-position-vertical-relative:paragraph;z-index:15758848" type="#_x0000_t202" id="docshape41" filled="false" stroked="false">
            <v:textbox inset="0,0,0,0">
              <w:txbxContent>
                <w:p>
                  <w:pPr>
                    <w:spacing w:line="219" w:lineRule="exact" w:before="1"/>
                    <w:ind w:left="62" w:right="0" w:firstLine="0"/>
                    <w:jc w:val="left"/>
                    <w:rPr>
                      <w:sz w:val="19"/>
                    </w:rPr>
                  </w:pPr>
                  <w:r>
                    <w:rPr>
                      <w:sz w:val="19"/>
                    </w:rPr>
                    <w:t>4</w:t>
                  </w:r>
                </w:p>
              </w:txbxContent>
            </v:textbox>
            <w10:wrap type="none"/>
          </v:shape>
        </w:pict>
      </w:r>
      <w:r>
        <w:rPr>
          <w:spacing w:val="-3"/>
        </w:rPr>
        <w:t>精神障碍，且精神心理专科认为不符合非器质疾病。</w:t>
      </w:r>
    </w:p>
    <w:p>
      <w:pPr>
        <w:pStyle w:val="ListParagraph"/>
        <w:numPr>
          <w:ilvl w:val="2"/>
          <w:numId w:val="71"/>
        </w:numPr>
        <w:tabs>
          <w:tab w:pos="2935" w:val="left" w:leader="none"/>
        </w:tabs>
        <w:spacing w:line="240" w:lineRule="auto" w:before="94" w:after="0"/>
        <w:ind w:left="2934" w:right="0" w:hanging="455"/>
        <w:jc w:val="left"/>
        <w:rPr>
          <w:sz w:val="22"/>
        </w:rPr>
      </w:pPr>
      <w:r>
        <w:rPr>
          <w:spacing w:val="-2"/>
          <w:sz w:val="22"/>
        </w:rPr>
        <w:t>具有以下1</w:t>
      </w:r>
      <w:r>
        <w:rPr>
          <w:spacing w:val="-3"/>
          <w:sz w:val="22"/>
        </w:rPr>
        <w:t>个或多个的辅助检查发现，或者合并相关肿瘤：</w:t>
      </w:r>
    </w:p>
    <w:p>
      <w:pPr>
        <w:pStyle w:val="BodyText"/>
        <w:spacing w:line="324" w:lineRule="auto" w:before="98"/>
        <w:ind w:left="3388" w:right="152"/>
      </w:pPr>
      <w:r>
        <w:rPr/>
        <w:drawing>
          <wp:anchor distT="0" distB="0" distL="0" distR="0" allowOverlap="1" layoutInCell="1" locked="0" behindDoc="0" simplePos="0" relativeHeight="15759360">
            <wp:simplePos x="0" y="0"/>
            <wp:positionH relativeFrom="page">
              <wp:posOffset>2485707</wp:posOffset>
            </wp:positionH>
            <wp:positionV relativeFrom="paragraph">
              <wp:posOffset>79819</wp:posOffset>
            </wp:positionV>
            <wp:extent cx="140335" cy="140334"/>
            <wp:effectExtent l="0" t="0" r="0" b="0"/>
            <wp:wrapNone/>
            <wp:docPr id="71" name="image7.png"/>
            <wp:cNvGraphicFramePr>
              <a:graphicFrameLocks noChangeAspect="1"/>
            </wp:cNvGraphicFramePr>
            <a:graphic>
              <a:graphicData uri="http://schemas.openxmlformats.org/drawingml/2006/picture">
                <pic:pic>
                  <pic:nvPicPr>
                    <pic:cNvPr id="72"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6.284997pt;width:11.05pt;height:11.05pt;mso-position-horizontal-relative:page;mso-position-vertical-relative:paragraph;z-index:15759872" type="#_x0000_t202" id="docshape42" filled="false" stroked="false">
            <v:textbox inset="0,0,0,0">
              <w:txbxContent>
                <w:p>
                  <w:pPr>
                    <w:spacing w:line="219" w:lineRule="exact" w:before="2"/>
                    <w:ind w:left="62" w:right="0" w:firstLine="0"/>
                    <w:jc w:val="left"/>
                    <w:rPr>
                      <w:sz w:val="19"/>
                    </w:rPr>
                  </w:pPr>
                  <w:r>
                    <w:rPr>
                      <w:sz w:val="19"/>
                    </w:rPr>
                    <w:t>1</w:t>
                  </w:r>
                </w:p>
              </w:txbxContent>
            </v:textbox>
            <w10:wrap type="none"/>
          </v:shape>
        </w:pict>
      </w:r>
      <w:r>
        <w:rPr>
          <w:spacing w:val="-2"/>
        </w:rPr>
        <w:t>脑脊液异常：脑脊液白细胞增多；或者脑脊液细胞学呈淋巴细胞性炎症；或者脑脊液寡克隆区带阳性；</w:t>
      </w:r>
    </w:p>
    <w:p>
      <w:pPr>
        <w:pStyle w:val="BodyText"/>
        <w:spacing w:line="324" w:lineRule="auto"/>
        <w:ind w:left="3388" w:right="150"/>
      </w:pPr>
      <w:r>
        <w:rPr/>
        <w:drawing>
          <wp:anchor distT="0" distB="0" distL="0" distR="0" allowOverlap="1" layoutInCell="1" locked="0" behindDoc="0" simplePos="0" relativeHeight="15760384">
            <wp:simplePos x="0" y="0"/>
            <wp:positionH relativeFrom="page">
              <wp:posOffset>2485707</wp:posOffset>
            </wp:positionH>
            <wp:positionV relativeFrom="paragraph">
              <wp:posOffset>17081</wp:posOffset>
            </wp:positionV>
            <wp:extent cx="140335" cy="140334"/>
            <wp:effectExtent l="0" t="0" r="0" b="0"/>
            <wp:wrapNone/>
            <wp:docPr id="73" name="image8.png"/>
            <wp:cNvGraphicFramePr>
              <a:graphicFrameLocks noChangeAspect="1"/>
            </wp:cNvGraphicFramePr>
            <a:graphic>
              <a:graphicData uri="http://schemas.openxmlformats.org/drawingml/2006/picture">
                <pic:pic>
                  <pic:nvPicPr>
                    <pic:cNvPr id="74" name="image8.png"/>
                    <pic:cNvPicPr/>
                  </pic:nvPicPr>
                  <pic:blipFill>
                    <a:blip r:embed="rId16" cstate="print"/>
                    <a:stretch>
                      <a:fillRect/>
                    </a:stretch>
                  </pic:blipFill>
                  <pic:spPr>
                    <a:xfrm>
                      <a:off x="0" y="0"/>
                      <a:ext cx="140335" cy="140334"/>
                    </a:xfrm>
                    <a:prstGeom prst="rect">
                      <a:avLst/>
                    </a:prstGeom>
                  </pic:spPr>
                </pic:pic>
              </a:graphicData>
            </a:graphic>
          </wp:anchor>
        </w:drawing>
      </w:r>
      <w:r>
        <w:rPr/>
        <w:pict>
          <v:shape style="position:absolute;margin-left:195.725006pt;margin-top:1.34502pt;width:11.05pt;height:11.05pt;mso-position-horizontal-relative:page;mso-position-vertical-relative:paragraph;z-index:15760896" type="#_x0000_t202" id="docshape43" filled="false" stroked="false">
            <v:textbox inset="0,0,0,0">
              <w:txbxContent>
                <w:p>
                  <w:pPr>
                    <w:spacing w:line="220" w:lineRule="exact" w:before="0"/>
                    <w:ind w:left="62" w:right="0" w:firstLine="0"/>
                    <w:jc w:val="left"/>
                    <w:rPr>
                      <w:sz w:val="19"/>
                    </w:rPr>
                  </w:pPr>
                  <w:r>
                    <w:rPr>
                      <w:sz w:val="19"/>
                    </w:rPr>
                    <w:t>2</w:t>
                  </w:r>
                </w:p>
              </w:txbxContent>
            </v:textbox>
            <w10:wrap type="none"/>
          </v:shape>
        </w:pict>
      </w:r>
      <w:r>
        <w:rPr/>
        <w:drawing>
          <wp:anchor distT="0" distB="0" distL="0" distR="0" allowOverlap="1" layoutInCell="1" locked="0" behindDoc="0" simplePos="0" relativeHeight="15761408">
            <wp:simplePos x="0" y="0"/>
            <wp:positionH relativeFrom="page">
              <wp:posOffset>2485707</wp:posOffset>
            </wp:positionH>
            <wp:positionV relativeFrom="paragraph">
              <wp:posOffset>1223581</wp:posOffset>
            </wp:positionV>
            <wp:extent cx="140335" cy="140334"/>
            <wp:effectExtent l="0" t="0" r="0" b="0"/>
            <wp:wrapNone/>
            <wp:docPr id="75" name="image7.png"/>
            <wp:cNvGraphicFramePr>
              <a:graphicFrameLocks noChangeAspect="1"/>
            </wp:cNvGraphicFramePr>
            <a:graphic>
              <a:graphicData uri="http://schemas.openxmlformats.org/drawingml/2006/picture">
                <pic:pic>
                  <pic:nvPicPr>
                    <pic:cNvPr id="76"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96.345016pt;width:11.05pt;height:11.05pt;mso-position-horizontal-relative:page;mso-position-vertical-relative:paragraph;z-index:15761920" type="#_x0000_t202" id="docshape44" filled="false" stroked="false">
            <v:textbox inset="0,0,0,0">
              <w:txbxContent>
                <w:p>
                  <w:pPr>
                    <w:spacing w:line="220" w:lineRule="exact" w:before="1"/>
                    <w:ind w:left="62" w:right="0" w:firstLine="0"/>
                    <w:jc w:val="left"/>
                    <w:rPr>
                      <w:sz w:val="19"/>
                    </w:rPr>
                  </w:pPr>
                  <w:r>
                    <w:rPr>
                      <w:sz w:val="19"/>
                    </w:rPr>
                    <w:t>3</w:t>
                  </w:r>
                </w:p>
              </w:txbxContent>
            </v:textbox>
            <w10:wrap type="none"/>
          </v:shape>
        </w:pict>
      </w:r>
      <w:r>
        <w:rPr>
          <w:spacing w:val="-2"/>
        </w:rPr>
        <w:t>神经影像学或电生理异常：MRI边缘系统T2或者FLAIR异常信号，单</w:t>
      </w:r>
      <w:r>
        <w:rPr>
          <w:spacing w:val="-2"/>
        </w:rPr>
        <w:t>侧或双侧，或者其他区域的T2或FLAIR异常信号（</w:t>
      </w:r>
      <w:r>
        <w:rPr>
          <w:color w:val="000000"/>
          <w:spacing w:val="-2"/>
          <w:shd w:fill="E4E4E4" w:color="auto" w:val="clear"/>
        </w:rPr>
        <w:t>除外非特异性白</w:t>
      </w:r>
      <w:r>
        <w:rPr>
          <w:color w:val="000000"/>
          <w:spacing w:val="80"/>
          <w:w w:val="150"/>
          <w:shd w:fill="E4E4E4" w:color="auto" w:val="clear"/>
        </w:rPr>
        <w:t>                                  </w:t>
      </w:r>
      <w:r>
        <w:rPr>
          <w:color w:val="000000"/>
          <w:spacing w:val="-2"/>
          <w:shd w:fill="E4E4E4" w:color="auto" w:val="clear"/>
        </w:rPr>
        <w:t>质改变和卒中</w:t>
      </w:r>
      <w:r>
        <w:rPr>
          <w:color w:val="000000"/>
          <w:spacing w:val="-2"/>
        </w:rPr>
        <w:t>）；或者PET边缘系统高代谢改变，或者多发的皮质</w:t>
      </w:r>
      <w:r>
        <w:rPr>
          <w:color w:val="000000"/>
          <w:spacing w:val="-2"/>
        </w:rPr>
        <w:t>和（或）基底核高代谢；或者脑电图异常：局灶性癫痫或癫痫样放电（位于颞叶或颞叶以外），或者弥漫或多灶分布的慢波节律；与</w:t>
      </w:r>
      <w:r>
        <w:rPr>
          <w:color w:val="000000"/>
          <w:spacing w:val="-2"/>
        </w:rPr>
        <w:t>自身免疫性脑炎相关的特定类型的肿瘤，如边缘性脑炎合并小细胞肺癌，抗NMDAR脑炎合并畸胎瘤。</w:t>
      </w:r>
    </w:p>
    <w:p>
      <w:pPr>
        <w:pStyle w:val="ListParagraph"/>
        <w:numPr>
          <w:ilvl w:val="2"/>
          <w:numId w:val="71"/>
        </w:numPr>
        <w:tabs>
          <w:tab w:pos="2935" w:val="left" w:leader="none"/>
        </w:tabs>
        <w:spacing w:line="324" w:lineRule="auto" w:before="0" w:after="0"/>
        <w:ind w:left="2934" w:right="150" w:hanging="454"/>
        <w:jc w:val="left"/>
        <w:rPr>
          <w:sz w:val="22"/>
        </w:rPr>
      </w:pPr>
      <w:r>
        <w:rPr>
          <w:spacing w:val="2"/>
          <w:w w:val="100"/>
          <w:sz w:val="22"/>
        </w:rPr>
        <w:t>抗神经元表面抗原的自身抗体阳性，其中抗</w:t>
      </w:r>
      <w:r>
        <w:rPr>
          <w:spacing w:val="-1"/>
          <w:w w:val="100"/>
          <w:sz w:val="22"/>
        </w:rPr>
        <w:t>NMDA</w:t>
      </w:r>
      <w:r>
        <w:rPr>
          <w:spacing w:val="4"/>
          <w:w w:val="100"/>
          <w:sz w:val="22"/>
        </w:rPr>
        <w:t>R</w:t>
      </w:r>
      <w:r>
        <w:rPr>
          <w:spacing w:val="2"/>
          <w:w w:val="100"/>
          <w:sz w:val="22"/>
        </w:rPr>
        <w:t>抗体检测主要以脑脊</w:t>
      </w:r>
      <w:r>
        <w:rPr>
          <w:spacing w:val="-3"/>
          <w:w w:val="100"/>
          <w:sz w:val="22"/>
        </w:rPr>
        <w:t>液阳性为准；</w:t>
      </w:r>
    </w:p>
    <w:p>
      <w:pPr>
        <w:pStyle w:val="ListParagraph"/>
        <w:numPr>
          <w:ilvl w:val="2"/>
          <w:numId w:val="71"/>
        </w:numPr>
        <w:tabs>
          <w:tab w:pos="2935" w:val="left" w:leader="none"/>
        </w:tabs>
        <w:spacing w:line="282" w:lineRule="exact" w:before="0" w:after="0"/>
        <w:ind w:left="2934" w:right="0" w:hanging="455"/>
        <w:jc w:val="left"/>
        <w:rPr>
          <w:sz w:val="22"/>
        </w:rPr>
      </w:pPr>
      <w:r>
        <w:rPr>
          <w:spacing w:val="-3"/>
          <w:sz w:val="22"/>
        </w:rPr>
        <w:t>合理地排除其他病因。</w:t>
      </w:r>
    </w:p>
    <w:p>
      <w:pPr>
        <w:pStyle w:val="BodyText"/>
      </w:pPr>
    </w:p>
    <w:p>
      <w:pPr>
        <w:pStyle w:val="ListParagraph"/>
        <w:numPr>
          <w:ilvl w:val="1"/>
          <w:numId w:val="71"/>
        </w:numPr>
        <w:tabs>
          <w:tab w:pos="955" w:val="left" w:leader="none"/>
        </w:tabs>
        <w:spacing w:line="302" w:lineRule="auto" w:before="162" w:after="0"/>
        <w:ind w:left="2480" w:right="150" w:hanging="2328"/>
        <w:jc w:val="both"/>
        <w:rPr>
          <w:sz w:val="22"/>
        </w:rPr>
      </w:pPr>
      <w:r>
        <w:rPr>
          <w:rFonts w:ascii="华文中宋" w:eastAsia="华文中宋" w:hint="eastAsia"/>
          <w:b/>
          <w:sz w:val="22"/>
        </w:rPr>
        <w:t>严重肺结节病 </w:t>
      </w:r>
      <w:r>
        <w:rPr>
          <w:sz w:val="22"/>
        </w:rPr>
        <w:t>结节病是一种原因未明的慢性肉芽肿病，可侵犯全身多个器官，以肺和淋巴</w:t>
      </w:r>
      <w:r>
        <w:rPr>
          <w:spacing w:val="-2"/>
          <w:sz w:val="22"/>
        </w:rPr>
        <w:t>结受累最为常见。严重肺结节病表现为肺的广泛纤维化导致慢性呼吸功能衰竭。</w:t>
      </w:r>
      <w:r>
        <w:rPr>
          <w:color w:val="000000"/>
          <w:spacing w:val="-2"/>
          <w:sz w:val="22"/>
          <w:shd w:fill="E4E4E4" w:color="auto" w:val="clear"/>
        </w:rPr>
        <w:t>必须满足下列所有条件：</w:t>
      </w:r>
    </w:p>
    <w:p>
      <w:pPr>
        <w:pStyle w:val="ListParagraph"/>
        <w:numPr>
          <w:ilvl w:val="2"/>
          <w:numId w:val="71"/>
        </w:numPr>
        <w:tabs>
          <w:tab w:pos="2935" w:val="left" w:leader="none"/>
        </w:tabs>
        <w:spacing w:line="240" w:lineRule="auto" w:before="20" w:after="0"/>
        <w:ind w:left="2934" w:right="0" w:hanging="455"/>
        <w:jc w:val="both"/>
        <w:rPr>
          <w:sz w:val="22"/>
        </w:rPr>
      </w:pPr>
      <w:r>
        <w:rPr>
          <w:spacing w:val="-2"/>
          <w:sz w:val="22"/>
        </w:rPr>
        <w:t>肺结节病的X线分期为IV</w:t>
      </w:r>
      <w:r>
        <w:rPr>
          <w:spacing w:val="-3"/>
          <w:sz w:val="22"/>
        </w:rPr>
        <w:t>期，即广泛肺纤维化；</w:t>
      </w:r>
    </w:p>
    <w:p>
      <w:pPr>
        <w:pStyle w:val="ListParagraph"/>
        <w:numPr>
          <w:ilvl w:val="2"/>
          <w:numId w:val="71"/>
        </w:numPr>
        <w:tabs>
          <w:tab w:pos="2935" w:val="left" w:leader="none"/>
        </w:tabs>
        <w:spacing w:line="240" w:lineRule="auto" w:before="97" w:after="0"/>
        <w:ind w:left="2934" w:right="0" w:hanging="455"/>
        <w:jc w:val="both"/>
        <w:rPr>
          <w:sz w:val="22"/>
        </w:rPr>
      </w:pPr>
      <w:r>
        <w:rPr>
          <w:spacing w:val="11"/>
          <w:sz w:val="22"/>
        </w:rPr>
        <w:t>永久不可逆性的慢性呼吸功能衰竭， 临床持续</w:t>
      </w:r>
      <w:r>
        <w:rPr>
          <w:sz w:val="22"/>
        </w:rPr>
        <w:t>180</w:t>
      </w:r>
      <w:r>
        <w:rPr>
          <w:spacing w:val="2"/>
          <w:sz w:val="22"/>
        </w:rPr>
        <w:t> 天动脉血氧分压</w:t>
      </w:r>
    </w:p>
    <w:p>
      <w:pPr>
        <w:pStyle w:val="BodyText"/>
        <w:spacing w:before="97"/>
        <w:ind w:left="2934"/>
      </w:pPr>
      <w:r>
        <w:rPr>
          <w:spacing w:val="-2"/>
        </w:rPr>
        <w:t>（PaO</w:t>
      </w:r>
      <w:r>
        <w:rPr>
          <w:spacing w:val="-2"/>
          <w:position w:val="-2"/>
          <w:sz w:val="11"/>
        </w:rPr>
        <w:t>2</w:t>
      </w:r>
      <w:r>
        <w:rPr>
          <w:spacing w:val="-2"/>
        </w:rPr>
        <w:t>）＜50mmHg和动脉血氧饱和度（SaO</w:t>
      </w:r>
      <w:r>
        <w:rPr>
          <w:spacing w:val="-2"/>
          <w:position w:val="-2"/>
          <w:sz w:val="11"/>
        </w:rPr>
        <w:t>2</w:t>
      </w:r>
      <w:r>
        <w:rPr>
          <w:spacing w:val="-2"/>
        </w:rPr>
        <w:t>）＜80%</w:t>
      </w:r>
      <w:r>
        <w:rPr>
          <w:spacing w:val="-10"/>
        </w:rPr>
        <w:t>。</w:t>
      </w:r>
    </w:p>
    <w:p>
      <w:pPr>
        <w:pStyle w:val="BodyText"/>
        <w:spacing w:before="5"/>
        <w:rPr>
          <w:sz w:val="29"/>
        </w:rPr>
      </w:pPr>
    </w:p>
    <w:p>
      <w:pPr>
        <w:spacing w:after="0"/>
        <w:rPr>
          <w:sz w:val="29"/>
        </w:rPr>
        <w:sectPr>
          <w:pgSz w:w="11910" w:h="16840"/>
          <w:pgMar w:header="484" w:footer="706" w:top="1240" w:bottom="900" w:left="980" w:right="980"/>
        </w:sectPr>
      </w:pPr>
    </w:p>
    <w:p>
      <w:pPr>
        <w:pStyle w:val="Heading2"/>
        <w:numPr>
          <w:ilvl w:val="1"/>
          <w:numId w:val="71"/>
        </w:numPr>
        <w:tabs>
          <w:tab w:pos="955" w:val="left" w:leader="none"/>
        </w:tabs>
        <w:spacing w:line="240" w:lineRule="auto" w:before="73" w:after="0"/>
        <w:ind w:left="954" w:right="0" w:hanging="803"/>
        <w:jc w:val="left"/>
      </w:pPr>
      <w:r>
        <w:rPr>
          <w:spacing w:val="-4"/>
        </w:rPr>
        <w:t>严重脊髓血管</w:t>
      </w:r>
    </w:p>
    <w:p>
      <w:pPr>
        <w:spacing w:before="30"/>
        <w:ind w:left="954" w:right="0" w:firstLine="0"/>
        <w:jc w:val="left"/>
        <w:rPr>
          <w:rFonts w:ascii="华文中宋" w:eastAsia="华文中宋" w:hint="eastAsia"/>
          <w:b/>
          <w:sz w:val="22"/>
        </w:rPr>
      </w:pPr>
      <w:r>
        <w:rPr>
          <w:rFonts w:ascii="华文中宋" w:eastAsia="华文中宋" w:hint="eastAsia"/>
          <w:b/>
          <w:spacing w:val="-5"/>
          <w:sz w:val="22"/>
        </w:rPr>
        <w:t>病后遗症</w:t>
      </w:r>
    </w:p>
    <w:p>
      <w:pPr>
        <w:pStyle w:val="BodyText"/>
        <w:spacing w:line="324" w:lineRule="auto" w:before="103"/>
        <w:ind w:left="152" w:right="150"/>
        <w:jc w:val="both"/>
      </w:pPr>
      <w:r>
        <w:rPr/>
        <w:br w:type="column"/>
      </w:r>
      <w:r>
        <w:rPr>
          <w:spacing w:val="-1"/>
          <w:w w:val="100"/>
        </w:rPr>
        <w:t>指脊髓血管的突发病变引起脊髓梗塞或脊髓出血，导致永久性不可逆的神经系统功能损害，表现为截瘫或四肢瘫。永久性不可逆的神经系统功能损害指</w:t>
      </w:r>
      <w:r>
        <w:rPr>
          <w:spacing w:val="3"/>
          <w:w w:val="100"/>
        </w:rPr>
        <w:t>疾病确诊</w:t>
      </w:r>
      <w:r>
        <w:rPr>
          <w:spacing w:val="-1"/>
          <w:w w:val="100"/>
        </w:rPr>
        <w:t>18</w:t>
      </w:r>
      <w:r>
        <w:rPr>
          <w:spacing w:val="4"/>
          <w:w w:val="100"/>
        </w:rPr>
        <w:t>0</w:t>
      </w:r>
      <w:r>
        <w:rPr>
          <w:spacing w:val="1"/>
          <w:w w:val="100"/>
        </w:rPr>
        <w:t>天后，仍然遗留后遗症并且无法独立完成下列基本日常生活活</w:t>
      </w:r>
      <w:r>
        <w:rPr>
          <w:spacing w:val="-2"/>
          <w:w w:val="100"/>
        </w:rPr>
        <w:t>动之一：</w:t>
      </w:r>
    </w:p>
    <w:p>
      <w:pPr>
        <w:pStyle w:val="ListParagraph"/>
        <w:numPr>
          <w:ilvl w:val="0"/>
          <w:numId w:val="73"/>
        </w:numPr>
        <w:tabs>
          <w:tab w:pos="607" w:val="left" w:leader="none"/>
        </w:tabs>
        <w:spacing w:line="279" w:lineRule="exact" w:before="0" w:after="0"/>
        <w:ind w:left="606" w:right="0" w:hanging="455"/>
        <w:jc w:val="both"/>
        <w:rPr>
          <w:sz w:val="22"/>
        </w:rPr>
      </w:pPr>
      <w:r>
        <w:rPr>
          <w:spacing w:val="-3"/>
          <w:sz w:val="22"/>
        </w:rPr>
        <w:t>移动：自己从一个房间到另一个房间；</w:t>
      </w:r>
    </w:p>
    <w:p>
      <w:pPr>
        <w:pStyle w:val="ListParagraph"/>
        <w:numPr>
          <w:ilvl w:val="0"/>
          <w:numId w:val="73"/>
        </w:numPr>
        <w:tabs>
          <w:tab w:pos="607" w:val="left" w:leader="none"/>
        </w:tabs>
        <w:spacing w:line="240" w:lineRule="auto" w:before="100" w:after="0"/>
        <w:ind w:left="606" w:right="0" w:hanging="455"/>
        <w:jc w:val="both"/>
        <w:rPr>
          <w:sz w:val="22"/>
        </w:rPr>
      </w:pPr>
      <w:r>
        <w:rPr>
          <w:spacing w:val="-3"/>
          <w:sz w:val="22"/>
        </w:rPr>
        <w:t>进食：自己从已准备好的碗或碟中取食物放入口中。</w:t>
      </w:r>
    </w:p>
    <w:p>
      <w:pPr>
        <w:spacing w:after="0" w:line="240" w:lineRule="auto"/>
        <w:jc w:val="both"/>
        <w:rPr>
          <w:sz w:val="22"/>
        </w:rPr>
        <w:sectPr>
          <w:type w:val="continuous"/>
          <w:pgSz w:w="11910" w:h="16840"/>
          <w:pgMar w:header="484" w:footer="706" w:top="1240" w:bottom="900" w:left="980" w:right="980"/>
          <w:cols w:num="2" w:equalWidth="0">
            <w:col w:w="2277" w:space="51"/>
            <w:col w:w="7622"/>
          </w:cols>
        </w:sectPr>
      </w:pPr>
    </w:p>
    <w:p>
      <w:pPr>
        <w:pStyle w:val="BodyText"/>
        <w:spacing w:before="11"/>
        <w:rPr>
          <w:sz w:val="19"/>
        </w:rPr>
      </w:pPr>
    </w:p>
    <w:tbl>
      <w:tblPr>
        <w:tblW w:w="0" w:type="auto"/>
        <w:jc w:val="left"/>
        <w:tblInd w:w="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3"/>
        <w:gridCol w:w="1493"/>
        <w:gridCol w:w="7465"/>
      </w:tblGrid>
      <w:tr>
        <w:trPr>
          <w:trHeight w:val="732" w:hRule="atLeast"/>
        </w:trPr>
        <w:tc>
          <w:tcPr>
            <w:tcW w:w="783" w:type="dxa"/>
          </w:tcPr>
          <w:p>
            <w:pPr>
              <w:pStyle w:val="TableParagraph"/>
              <w:spacing w:before="2"/>
              <w:ind w:left="50"/>
              <w:rPr>
                <w:b/>
                <w:sz w:val="22"/>
              </w:rPr>
            </w:pPr>
            <w:r>
              <w:rPr>
                <w:b/>
                <w:spacing w:val="-2"/>
                <w:sz w:val="22"/>
              </w:rPr>
              <w:t>10.113</w:t>
            </w:r>
          </w:p>
        </w:tc>
        <w:tc>
          <w:tcPr>
            <w:tcW w:w="1493" w:type="dxa"/>
          </w:tcPr>
          <w:p>
            <w:pPr>
              <w:pStyle w:val="TableParagraph"/>
              <w:spacing w:line="322" w:lineRule="exact"/>
              <w:ind w:left="68"/>
              <w:rPr>
                <w:rFonts w:ascii="华文中宋" w:eastAsia="华文中宋" w:hint="eastAsia"/>
                <w:b/>
                <w:sz w:val="22"/>
              </w:rPr>
            </w:pPr>
            <w:r>
              <w:rPr>
                <w:rFonts w:ascii="华文中宋" w:eastAsia="华文中宋" w:hint="eastAsia"/>
                <w:b/>
                <w:spacing w:val="-4"/>
                <w:sz w:val="22"/>
              </w:rPr>
              <w:t>特定的横贯性</w:t>
            </w:r>
          </w:p>
          <w:p>
            <w:pPr>
              <w:pStyle w:val="TableParagraph"/>
              <w:spacing w:before="30"/>
              <w:ind w:left="68"/>
              <w:rPr>
                <w:rFonts w:ascii="华文中宋" w:eastAsia="华文中宋" w:hint="eastAsia"/>
                <w:b/>
                <w:sz w:val="22"/>
              </w:rPr>
            </w:pPr>
            <w:r>
              <w:rPr>
                <w:rFonts w:ascii="华文中宋" w:eastAsia="华文中宋" w:hint="eastAsia"/>
                <w:b/>
                <w:spacing w:val="-4"/>
                <w:sz w:val="22"/>
              </w:rPr>
              <w:t>脊髓炎后遗症</w:t>
            </w:r>
          </w:p>
        </w:tc>
        <w:tc>
          <w:tcPr>
            <w:tcW w:w="7465" w:type="dxa"/>
          </w:tcPr>
          <w:p>
            <w:pPr>
              <w:pStyle w:val="TableParagraph"/>
              <w:spacing w:before="2"/>
              <w:ind w:left="101"/>
              <w:rPr>
                <w:sz w:val="22"/>
              </w:rPr>
            </w:pPr>
            <w:r>
              <w:rPr>
                <w:spacing w:val="-3"/>
                <w:sz w:val="22"/>
              </w:rPr>
              <w:t>脊髓炎是一种炎症性脊髓疾病。横贯性脊髓炎是指炎症扩展横贯整个脊髓，</w:t>
            </w:r>
          </w:p>
          <w:p>
            <w:pPr>
              <w:pStyle w:val="TableParagraph"/>
              <w:spacing w:before="100"/>
              <w:ind w:left="101"/>
              <w:rPr>
                <w:sz w:val="22"/>
              </w:rPr>
            </w:pPr>
            <w:r>
              <w:rPr>
                <w:spacing w:val="-3"/>
                <w:sz w:val="22"/>
              </w:rPr>
              <w:t>表现为运动障碍、感觉障碍和自主神经功能障碍。</w:t>
            </w:r>
          </w:p>
        </w:tc>
      </w:tr>
      <w:tr>
        <w:trPr>
          <w:trHeight w:val="36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30"/>
              <w:ind w:left="101"/>
              <w:rPr>
                <w:sz w:val="22"/>
              </w:rPr>
            </w:pPr>
            <w:r>
              <w:rPr>
                <w:spacing w:val="-3"/>
                <w:sz w:val="22"/>
              </w:rPr>
              <w:t>特定的横贯性脊髓炎后遗症指诊断为横贯性脊髓炎且已经造成永久不可逆</w:t>
            </w:r>
          </w:p>
        </w:tc>
      </w:tr>
      <w:tr>
        <w:trPr>
          <w:trHeight w:val="38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49"/>
              <w:ind w:left="101"/>
              <w:rPr>
                <w:sz w:val="22"/>
              </w:rPr>
            </w:pPr>
            <w:r>
              <w:rPr>
                <w:spacing w:val="-3"/>
                <w:sz w:val="22"/>
              </w:rPr>
              <w:t>的神经系统功能障碍，无法独立完成下列基本日常生活活动之一：</w:t>
            </w:r>
          </w:p>
        </w:tc>
      </w:tr>
      <w:tr>
        <w:trPr>
          <w:trHeight w:val="38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50"/>
              <w:ind w:left="101"/>
              <w:rPr>
                <w:sz w:val="22"/>
              </w:rPr>
            </w:pPr>
            <w:r>
              <w:rPr>
                <w:sz w:val="22"/>
              </w:rPr>
              <w:t>(1</w:t>
            </w:r>
            <w:r>
              <w:rPr>
                <w:spacing w:val="-6"/>
                <w:sz w:val="22"/>
              </w:rPr>
              <w:t>) 移动：自己从一个房间到另一个房间；</w:t>
            </w:r>
          </w:p>
        </w:tc>
      </w:tr>
      <w:tr>
        <w:trPr>
          <w:trHeight w:val="552"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49"/>
              <w:ind w:left="101"/>
              <w:rPr>
                <w:sz w:val="22"/>
              </w:rPr>
            </w:pPr>
            <w:r>
              <w:rPr>
                <w:sz w:val="22"/>
              </w:rPr>
              <w:t>(2</w:t>
            </w:r>
            <w:r>
              <w:rPr>
                <w:spacing w:val="-7"/>
                <w:sz w:val="22"/>
              </w:rPr>
              <w:t>) 进食：自己从已准备好的碗或碟中取食物放入口中。</w:t>
            </w:r>
          </w:p>
        </w:tc>
      </w:tr>
      <w:tr>
        <w:trPr>
          <w:trHeight w:val="986" w:hRule="atLeast"/>
        </w:trPr>
        <w:tc>
          <w:tcPr>
            <w:tcW w:w="783" w:type="dxa"/>
          </w:tcPr>
          <w:p>
            <w:pPr>
              <w:pStyle w:val="TableParagraph"/>
              <w:spacing w:before="1"/>
              <w:rPr>
                <w:sz w:val="20"/>
              </w:rPr>
            </w:pPr>
          </w:p>
          <w:p>
            <w:pPr>
              <w:pStyle w:val="TableParagraph"/>
              <w:ind w:left="50"/>
              <w:rPr>
                <w:b/>
                <w:sz w:val="22"/>
              </w:rPr>
            </w:pPr>
            <w:r>
              <w:rPr>
                <w:b/>
                <w:spacing w:val="-2"/>
                <w:sz w:val="22"/>
              </w:rPr>
              <w:t>10.114</w:t>
            </w:r>
          </w:p>
        </w:tc>
        <w:tc>
          <w:tcPr>
            <w:tcW w:w="1493" w:type="dxa"/>
          </w:tcPr>
          <w:p>
            <w:pPr>
              <w:pStyle w:val="TableParagraph"/>
              <w:spacing w:line="380" w:lineRule="atLeast" w:before="194"/>
              <w:ind w:left="68" w:right="99"/>
              <w:rPr>
                <w:rFonts w:ascii="华文中宋" w:eastAsia="华文中宋" w:hint="eastAsia"/>
                <w:b/>
                <w:sz w:val="22"/>
              </w:rPr>
            </w:pPr>
            <w:r>
              <w:rPr>
                <w:rFonts w:ascii="华文中宋" w:eastAsia="华文中宋" w:hint="eastAsia"/>
                <w:b/>
                <w:spacing w:val="-2"/>
                <w:sz w:val="22"/>
              </w:rPr>
              <w:t>特发性肺纤维</w:t>
            </w:r>
            <w:r>
              <w:rPr>
                <w:rFonts w:ascii="华文中宋" w:eastAsia="华文中宋" w:hint="eastAsia"/>
                <w:b/>
                <w:spacing w:val="-10"/>
                <w:sz w:val="22"/>
              </w:rPr>
              <w:t>化</w:t>
            </w:r>
          </w:p>
        </w:tc>
        <w:tc>
          <w:tcPr>
            <w:tcW w:w="7465" w:type="dxa"/>
          </w:tcPr>
          <w:p>
            <w:pPr>
              <w:pStyle w:val="TableParagraph"/>
              <w:spacing w:line="380" w:lineRule="atLeast" w:before="159"/>
              <w:ind w:left="101" w:right="48"/>
              <w:rPr>
                <w:sz w:val="22"/>
              </w:rPr>
            </w:pPr>
            <w:r>
              <w:rPr>
                <w:spacing w:val="-2"/>
                <w:sz w:val="22"/>
              </w:rPr>
              <w:t>是一种原因不明的、进行性的、局限于肺部的以纤维化伴蜂窝状改变为特征</w:t>
            </w:r>
            <w:r>
              <w:rPr>
                <w:spacing w:val="-1"/>
                <w:sz w:val="22"/>
              </w:rPr>
              <w:t>的疾病，可表现为呼吸困难、咳嗽咳痰、消瘦、乏力，终末期可出现呼吸衰</w:t>
            </w:r>
          </w:p>
        </w:tc>
      </w:tr>
      <w:tr>
        <w:trPr>
          <w:trHeight w:val="36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29"/>
              <w:ind w:left="101"/>
              <w:rPr>
                <w:sz w:val="22"/>
              </w:rPr>
            </w:pPr>
            <w:r>
              <w:rPr>
                <w:spacing w:val="-2"/>
                <w:sz w:val="22"/>
              </w:rPr>
              <w:t>竭和右心衰竭体征。诊断需经外科肺活检病理证实或高分辨率CT（HRCT）</w:t>
            </w:r>
            <w:r>
              <w:rPr>
                <w:spacing w:val="-10"/>
                <w:sz w:val="22"/>
              </w:rPr>
              <w:t>证</w:t>
            </w:r>
          </w:p>
        </w:tc>
      </w:tr>
      <w:tr>
        <w:trPr>
          <w:trHeight w:val="38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50"/>
              <w:ind w:left="101"/>
              <w:rPr>
                <w:sz w:val="22"/>
              </w:rPr>
            </w:pPr>
            <w:r>
              <w:rPr>
                <w:spacing w:val="-2"/>
                <w:sz w:val="22"/>
              </w:rPr>
              <w:t>实为典型的普通型间质性肺炎（UIP）</w:t>
            </w:r>
            <w:r>
              <w:rPr>
                <w:spacing w:val="-10"/>
                <w:sz w:val="22"/>
              </w:rPr>
              <w:t>。</w:t>
            </w:r>
          </w:p>
        </w:tc>
      </w:tr>
      <w:tr>
        <w:trPr>
          <w:trHeight w:val="379"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49"/>
              <w:ind w:left="101"/>
              <w:rPr>
                <w:sz w:val="22"/>
              </w:rPr>
            </w:pPr>
            <w:r>
              <w:rPr>
                <w:color w:val="000000"/>
                <w:sz w:val="22"/>
                <w:shd w:fill="E4E4E4" w:color="auto" w:val="clear"/>
              </w:rPr>
              <w:t>其他已知原因（例如环境和职业暴露、结缔组织病、药物毒性）</w:t>
            </w:r>
            <w:r>
              <w:rPr>
                <w:color w:val="000000"/>
                <w:spacing w:val="-2"/>
                <w:sz w:val="22"/>
                <w:shd w:fill="E4E4E4" w:color="auto" w:val="clear"/>
              </w:rPr>
              <w:t>导致的间质</w:t>
            </w:r>
          </w:p>
        </w:tc>
      </w:tr>
      <w:tr>
        <w:trPr>
          <w:trHeight w:val="553"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49"/>
              <w:ind w:left="101"/>
              <w:rPr>
                <w:sz w:val="22"/>
              </w:rPr>
            </w:pPr>
            <w:r>
              <w:rPr>
                <w:color w:val="000000"/>
                <w:spacing w:val="-2"/>
                <w:sz w:val="22"/>
                <w:shd w:fill="E4E4E4" w:color="auto" w:val="clear"/>
              </w:rPr>
              <w:t>性肺疾病（ILD）</w:t>
            </w:r>
            <w:r>
              <w:rPr>
                <w:color w:val="000000"/>
                <w:spacing w:val="-4"/>
                <w:sz w:val="22"/>
                <w:shd w:fill="E4E4E4" w:color="auto" w:val="clear"/>
              </w:rPr>
              <w:t>不在保障范围内。</w:t>
            </w:r>
          </w:p>
        </w:tc>
      </w:tr>
      <w:tr>
        <w:trPr>
          <w:trHeight w:val="986" w:hRule="atLeast"/>
        </w:trPr>
        <w:tc>
          <w:tcPr>
            <w:tcW w:w="783" w:type="dxa"/>
          </w:tcPr>
          <w:p>
            <w:pPr>
              <w:pStyle w:val="TableParagraph"/>
              <w:spacing w:before="12"/>
              <w:rPr>
                <w:sz w:val="19"/>
              </w:rPr>
            </w:pPr>
          </w:p>
          <w:p>
            <w:pPr>
              <w:pStyle w:val="TableParagraph"/>
              <w:ind w:left="50"/>
              <w:rPr>
                <w:b/>
                <w:sz w:val="22"/>
              </w:rPr>
            </w:pPr>
            <w:r>
              <w:rPr>
                <w:b/>
                <w:spacing w:val="-2"/>
                <w:sz w:val="22"/>
              </w:rPr>
              <w:t>10.115</w:t>
            </w:r>
          </w:p>
        </w:tc>
        <w:tc>
          <w:tcPr>
            <w:tcW w:w="1493" w:type="dxa"/>
          </w:tcPr>
          <w:p>
            <w:pPr>
              <w:pStyle w:val="TableParagraph"/>
              <w:spacing w:line="380" w:lineRule="atLeast" w:before="195"/>
              <w:ind w:left="68" w:right="99"/>
              <w:rPr>
                <w:rFonts w:ascii="华文中宋" w:eastAsia="华文中宋" w:hint="eastAsia"/>
                <w:b/>
                <w:sz w:val="22"/>
              </w:rPr>
            </w:pPr>
            <w:r>
              <w:rPr>
                <w:rFonts w:ascii="华文中宋" w:eastAsia="华文中宋" w:hint="eastAsia"/>
                <w:b/>
                <w:spacing w:val="-2"/>
                <w:sz w:val="22"/>
              </w:rPr>
              <w:t>严重血管性痴</w:t>
            </w:r>
            <w:r>
              <w:rPr>
                <w:rFonts w:ascii="华文中宋" w:eastAsia="华文中宋" w:hint="eastAsia"/>
                <w:b/>
                <w:spacing w:val="-10"/>
                <w:sz w:val="22"/>
              </w:rPr>
              <w:t>呆</w:t>
            </w:r>
          </w:p>
        </w:tc>
        <w:tc>
          <w:tcPr>
            <w:tcW w:w="7465" w:type="dxa"/>
          </w:tcPr>
          <w:p>
            <w:pPr>
              <w:pStyle w:val="TableParagraph"/>
              <w:spacing w:line="380" w:lineRule="atLeast" w:before="158"/>
              <w:ind w:left="101" w:right="48"/>
              <w:rPr>
                <w:sz w:val="22"/>
              </w:rPr>
            </w:pPr>
            <w:r>
              <w:rPr>
                <w:spacing w:val="-2"/>
                <w:sz w:val="22"/>
              </w:rPr>
              <w:t>指由缺血性卒中、出血性卒中和造成记忆、认知和行为等脑区低灌注的脑血</w:t>
            </w:r>
            <w:r>
              <w:rPr>
                <w:spacing w:val="-1"/>
                <w:sz w:val="22"/>
              </w:rPr>
              <w:t>管疾病所致的严重认知功能障碍综合征。被保险人自主生活能力完全丧失，</w:t>
            </w:r>
          </w:p>
        </w:tc>
      </w:tr>
      <w:tr>
        <w:trPr>
          <w:trHeight w:val="36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30"/>
              <w:ind w:left="101"/>
              <w:rPr>
                <w:sz w:val="22"/>
              </w:rPr>
            </w:pPr>
            <w:r>
              <w:rPr>
                <w:spacing w:val="-1"/>
                <w:sz w:val="22"/>
              </w:rPr>
              <w:t>无法独立完成六项基本日常生活活动中的三项或三项以上，日常生活必须持</w:t>
            </w:r>
          </w:p>
        </w:tc>
      </w:tr>
      <w:tr>
        <w:trPr>
          <w:trHeight w:val="379"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49"/>
              <w:ind w:left="101"/>
              <w:rPr>
                <w:sz w:val="22"/>
              </w:rPr>
            </w:pPr>
            <w:r>
              <w:rPr>
                <w:spacing w:val="-1"/>
                <w:sz w:val="22"/>
              </w:rPr>
              <w:t>续受到他人监护。导致痴呆的疾病必须明确诊断，并且有完整的临床、实验</w:t>
            </w:r>
          </w:p>
        </w:tc>
      </w:tr>
      <w:tr>
        <w:trPr>
          <w:trHeight w:val="38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49"/>
              <w:ind w:left="101"/>
              <w:rPr>
                <w:sz w:val="22"/>
              </w:rPr>
            </w:pPr>
            <w:r>
              <w:rPr>
                <w:spacing w:val="-3"/>
                <w:sz w:val="22"/>
              </w:rPr>
              <w:t>室和影像学检查结果证实。</w:t>
            </w:r>
          </w:p>
        </w:tc>
      </w:tr>
      <w:tr>
        <w:trPr>
          <w:trHeight w:val="553"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50"/>
              <w:ind w:left="101"/>
              <w:rPr>
                <w:sz w:val="22"/>
              </w:rPr>
            </w:pPr>
            <w:r>
              <w:rPr>
                <w:color w:val="000000"/>
                <w:spacing w:val="-3"/>
                <w:sz w:val="22"/>
                <w:shd w:fill="E4E4E4" w:color="auto" w:val="clear"/>
              </w:rPr>
              <w:t>神经官能症，精神疾病及酒精中毒所致脑损害不在保障范围内。</w:t>
            </w:r>
          </w:p>
        </w:tc>
      </w:tr>
      <w:tr>
        <w:trPr>
          <w:trHeight w:val="985" w:hRule="atLeast"/>
        </w:trPr>
        <w:tc>
          <w:tcPr>
            <w:tcW w:w="783" w:type="dxa"/>
          </w:tcPr>
          <w:p>
            <w:pPr>
              <w:pStyle w:val="TableParagraph"/>
              <w:spacing w:before="11"/>
              <w:rPr>
                <w:sz w:val="19"/>
              </w:rPr>
            </w:pPr>
          </w:p>
          <w:p>
            <w:pPr>
              <w:pStyle w:val="TableParagraph"/>
              <w:ind w:left="50"/>
              <w:rPr>
                <w:b/>
                <w:sz w:val="22"/>
              </w:rPr>
            </w:pPr>
            <w:r>
              <w:rPr>
                <w:b/>
                <w:spacing w:val="-2"/>
                <w:sz w:val="22"/>
              </w:rPr>
              <w:t>10.116</w:t>
            </w:r>
          </w:p>
        </w:tc>
        <w:tc>
          <w:tcPr>
            <w:tcW w:w="1493" w:type="dxa"/>
          </w:tcPr>
          <w:p>
            <w:pPr>
              <w:pStyle w:val="TableParagraph"/>
              <w:spacing w:line="380" w:lineRule="atLeast" w:before="194"/>
              <w:ind w:left="68" w:right="99"/>
              <w:rPr>
                <w:rFonts w:ascii="华文中宋" w:eastAsia="华文中宋" w:hint="eastAsia"/>
                <w:b/>
                <w:sz w:val="22"/>
              </w:rPr>
            </w:pPr>
            <w:r>
              <w:rPr>
                <w:rFonts w:ascii="华文中宋" w:eastAsia="华文中宋" w:hint="eastAsia"/>
                <w:b/>
                <w:spacing w:val="-2"/>
                <w:sz w:val="22"/>
              </w:rPr>
              <w:t>严重额颞叶痴</w:t>
            </w:r>
            <w:r>
              <w:rPr>
                <w:rFonts w:ascii="华文中宋" w:eastAsia="华文中宋" w:hint="eastAsia"/>
                <w:b/>
                <w:spacing w:val="-10"/>
                <w:sz w:val="22"/>
              </w:rPr>
              <w:t>呆</w:t>
            </w:r>
          </w:p>
        </w:tc>
        <w:tc>
          <w:tcPr>
            <w:tcW w:w="7465" w:type="dxa"/>
          </w:tcPr>
          <w:p>
            <w:pPr>
              <w:pStyle w:val="TableParagraph"/>
              <w:spacing w:line="380" w:lineRule="atLeast" w:before="157"/>
              <w:ind w:left="101" w:right="48"/>
              <w:rPr>
                <w:sz w:val="22"/>
              </w:rPr>
            </w:pPr>
            <w:r>
              <w:rPr>
                <w:spacing w:val="-2"/>
                <w:sz w:val="22"/>
              </w:rPr>
              <w:t>指一组以额颞叶萎缩为特征的痴呆综合征，临床以明显的人格、行为改变和</w:t>
            </w:r>
            <w:r>
              <w:rPr>
                <w:spacing w:val="-1"/>
                <w:sz w:val="22"/>
              </w:rPr>
              <w:t>认知障碍为特征。被保险人自主生活能力完全丧失，无法独立完成六项基本</w:t>
            </w:r>
          </w:p>
        </w:tc>
      </w:tr>
      <w:tr>
        <w:trPr>
          <w:trHeight w:val="36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30"/>
              <w:ind w:left="101"/>
              <w:rPr>
                <w:sz w:val="22"/>
              </w:rPr>
            </w:pPr>
            <w:r>
              <w:rPr>
                <w:spacing w:val="-1"/>
                <w:sz w:val="22"/>
              </w:rPr>
              <w:t>日常生活活动中的三项或三项以上，日常生活必须持续受到他人监护。导致</w:t>
            </w:r>
          </w:p>
        </w:tc>
      </w:tr>
      <w:tr>
        <w:trPr>
          <w:trHeight w:val="38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49"/>
              <w:ind w:left="101"/>
              <w:rPr>
                <w:sz w:val="22"/>
              </w:rPr>
            </w:pPr>
            <w:r>
              <w:rPr>
                <w:spacing w:val="-1"/>
                <w:sz w:val="22"/>
              </w:rPr>
              <w:t>痴呆的疾病必须明确诊断，并且有完整的临床、实验室和影像学检查结果证</w:t>
            </w:r>
          </w:p>
        </w:tc>
      </w:tr>
      <w:tr>
        <w:trPr>
          <w:trHeight w:val="38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50"/>
              <w:ind w:left="101"/>
              <w:rPr>
                <w:sz w:val="22"/>
              </w:rPr>
            </w:pPr>
            <w:r>
              <w:rPr>
                <w:spacing w:val="-6"/>
                <w:sz w:val="22"/>
              </w:rPr>
              <w:t>实。</w:t>
            </w:r>
          </w:p>
        </w:tc>
      </w:tr>
      <w:tr>
        <w:trPr>
          <w:trHeight w:val="552"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49"/>
              <w:ind w:left="101"/>
              <w:rPr>
                <w:sz w:val="22"/>
              </w:rPr>
            </w:pPr>
            <w:r>
              <w:rPr>
                <w:color w:val="000000"/>
                <w:spacing w:val="-3"/>
                <w:sz w:val="22"/>
                <w:shd w:fill="E4E4E4" w:color="auto" w:val="clear"/>
              </w:rPr>
              <w:t>神经官能症，精神疾病及酒精中毒所致脑损害不在保障范围内。</w:t>
            </w:r>
          </w:p>
        </w:tc>
      </w:tr>
      <w:tr>
        <w:trPr>
          <w:trHeight w:val="986" w:hRule="atLeast"/>
        </w:trPr>
        <w:tc>
          <w:tcPr>
            <w:tcW w:w="783" w:type="dxa"/>
          </w:tcPr>
          <w:p>
            <w:pPr>
              <w:pStyle w:val="TableParagraph"/>
              <w:spacing w:before="1"/>
              <w:rPr>
                <w:sz w:val="20"/>
              </w:rPr>
            </w:pPr>
          </w:p>
          <w:p>
            <w:pPr>
              <w:pStyle w:val="TableParagraph"/>
              <w:ind w:left="50"/>
              <w:rPr>
                <w:b/>
                <w:sz w:val="22"/>
              </w:rPr>
            </w:pPr>
            <w:r>
              <w:rPr>
                <w:b/>
                <w:spacing w:val="-2"/>
                <w:sz w:val="22"/>
              </w:rPr>
              <w:t>10.117</w:t>
            </w:r>
          </w:p>
        </w:tc>
        <w:tc>
          <w:tcPr>
            <w:tcW w:w="1493" w:type="dxa"/>
          </w:tcPr>
          <w:p>
            <w:pPr>
              <w:pStyle w:val="TableParagraph"/>
              <w:spacing w:line="380" w:lineRule="atLeast" w:before="194"/>
              <w:ind w:left="68" w:right="99"/>
              <w:rPr>
                <w:rFonts w:ascii="华文中宋" w:eastAsia="华文中宋" w:hint="eastAsia"/>
                <w:b/>
                <w:sz w:val="22"/>
              </w:rPr>
            </w:pPr>
            <w:r>
              <w:rPr>
                <w:rFonts w:ascii="华文中宋" w:eastAsia="华文中宋" w:hint="eastAsia"/>
                <w:b/>
                <w:spacing w:val="-2"/>
                <w:sz w:val="22"/>
              </w:rPr>
              <w:t>严重路易体痴</w:t>
            </w:r>
            <w:r>
              <w:rPr>
                <w:rFonts w:ascii="华文中宋" w:eastAsia="华文中宋" w:hint="eastAsia"/>
                <w:b/>
                <w:spacing w:val="-10"/>
                <w:sz w:val="22"/>
              </w:rPr>
              <w:t>呆</w:t>
            </w:r>
          </w:p>
        </w:tc>
        <w:tc>
          <w:tcPr>
            <w:tcW w:w="7465" w:type="dxa"/>
          </w:tcPr>
          <w:p>
            <w:pPr>
              <w:pStyle w:val="TableParagraph"/>
              <w:spacing w:line="380" w:lineRule="atLeast" w:before="159"/>
              <w:ind w:left="101" w:right="48"/>
              <w:rPr>
                <w:sz w:val="22"/>
              </w:rPr>
            </w:pPr>
            <w:r>
              <w:rPr>
                <w:spacing w:val="-2"/>
                <w:sz w:val="22"/>
              </w:rPr>
              <w:t>指一组在临床和病理表现上以波动性认知功能障碍、视幻觉和帕金森综合征</w:t>
            </w:r>
            <w:r>
              <w:rPr>
                <w:spacing w:val="-1"/>
                <w:sz w:val="22"/>
              </w:rPr>
              <w:t>为临床特点，以路易体为病理特征的神经变性疾病。被保险人自主生活能力</w:t>
            </w:r>
          </w:p>
        </w:tc>
      </w:tr>
      <w:tr>
        <w:trPr>
          <w:trHeight w:val="36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29"/>
              <w:ind w:left="101"/>
              <w:rPr>
                <w:sz w:val="22"/>
              </w:rPr>
            </w:pPr>
            <w:r>
              <w:rPr>
                <w:spacing w:val="-1"/>
                <w:sz w:val="22"/>
              </w:rPr>
              <w:t>完全丧失，无法独立完成六项基本日常生活活动中的三项或三项以上，日常</w:t>
            </w:r>
          </w:p>
        </w:tc>
      </w:tr>
      <w:tr>
        <w:trPr>
          <w:trHeight w:val="380"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50"/>
              <w:ind w:left="101"/>
              <w:rPr>
                <w:sz w:val="22"/>
              </w:rPr>
            </w:pPr>
            <w:r>
              <w:rPr>
                <w:spacing w:val="-1"/>
                <w:sz w:val="22"/>
              </w:rPr>
              <w:t>生活必须持续受到他人监护。导致痴呆的疾病必须明确诊断，并且有完整的</w:t>
            </w:r>
          </w:p>
        </w:tc>
      </w:tr>
      <w:tr>
        <w:trPr>
          <w:trHeight w:val="379"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49"/>
              <w:ind w:left="101"/>
              <w:rPr>
                <w:sz w:val="22"/>
              </w:rPr>
            </w:pPr>
            <w:r>
              <w:rPr>
                <w:spacing w:val="-3"/>
                <w:sz w:val="22"/>
              </w:rPr>
              <w:t>临床、实验室和影像学检查结果证实。</w:t>
            </w:r>
          </w:p>
        </w:tc>
      </w:tr>
      <w:tr>
        <w:trPr>
          <w:trHeight w:val="553" w:hRule="atLeast"/>
        </w:trPr>
        <w:tc>
          <w:tcPr>
            <w:tcW w:w="783" w:type="dxa"/>
          </w:tcPr>
          <w:p>
            <w:pPr>
              <w:pStyle w:val="TableParagraph"/>
              <w:rPr>
                <w:rFonts w:ascii="Times New Roman"/>
                <w:sz w:val="22"/>
              </w:rPr>
            </w:pPr>
          </w:p>
        </w:tc>
        <w:tc>
          <w:tcPr>
            <w:tcW w:w="1493" w:type="dxa"/>
          </w:tcPr>
          <w:p>
            <w:pPr>
              <w:pStyle w:val="TableParagraph"/>
              <w:rPr>
                <w:rFonts w:ascii="Times New Roman"/>
                <w:sz w:val="22"/>
              </w:rPr>
            </w:pPr>
          </w:p>
        </w:tc>
        <w:tc>
          <w:tcPr>
            <w:tcW w:w="7465" w:type="dxa"/>
          </w:tcPr>
          <w:p>
            <w:pPr>
              <w:pStyle w:val="TableParagraph"/>
              <w:spacing w:before="49"/>
              <w:ind w:left="101"/>
              <w:rPr>
                <w:sz w:val="22"/>
              </w:rPr>
            </w:pPr>
            <w:r>
              <w:rPr>
                <w:color w:val="000000"/>
                <w:spacing w:val="-3"/>
                <w:sz w:val="22"/>
                <w:shd w:fill="E4E4E4" w:color="auto" w:val="clear"/>
              </w:rPr>
              <w:t>神经官能症，精神疾病及酒精中毒所致脑损害不在保障范围内。</w:t>
            </w:r>
          </w:p>
        </w:tc>
      </w:tr>
      <w:tr>
        <w:trPr>
          <w:trHeight w:val="546" w:hRule="atLeast"/>
        </w:trPr>
        <w:tc>
          <w:tcPr>
            <w:tcW w:w="783" w:type="dxa"/>
          </w:tcPr>
          <w:p>
            <w:pPr>
              <w:pStyle w:val="TableParagraph"/>
              <w:spacing w:before="12"/>
              <w:rPr>
                <w:sz w:val="19"/>
              </w:rPr>
            </w:pPr>
          </w:p>
          <w:p>
            <w:pPr>
              <w:pStyle w:val="TableParagraph"/>
              <w:spacing w:line="270" w:lineRule="exact"/>
              <w:ind w:left="50"/>
              <w:rPr>
                <w:b/>
                <w:sz w:val="22"/>
              </w:rPr>
            </w:pPr>
            <w:r>
              <w:rPr>
                <w:b/>
                <w:spacing w:val="-2"/>
                <w:sz w:val="22"/>
              </w:rPr>
              <w:t>10.118</w:t>
            </w:r>
          </w:p>
        </w:tc>
        <w:tc>
          <w:tcPr>
            <w:tcW w:w="1493" w:type="dxa"/>
          </w:tcPr>
          <w:p>
            <w:pPr>
              <w:pStyle w:val="TableParagraph"/>
              <w:spacing w:line="300" w:lineRule="exact" w:before="226"/>
              <w:ind w:left="68"/>
              <w:rPr>
                <w:rFonts w:ascii="华文中宋" w:eastAsia="华文中宋" w:hint="eastAsia"/>
                <w:b/>
                <w:sz w:val="22"/>
              </w:rPr>
            </w:pPr>
            <w:r>
              <w:rPr>
                <w:rFonts w:ascii="华文中宋" w:eastAsia="华文中宋" w:hint="eastAsia"/>
                <w:b/>
                <w:spacing w:val="-4"/>
                <w:sz w:val="22"/>
              </w:rPr>
              <w:t>创伤弧菌感染</w:t>
            </w:r>
          </w:p>
        </w:tc>
        <w:tc>
          <w:tcPr>
            <w:tcW w:w="7465" w:type="dxa"/>
          </w:tcPr>
          <w:p>
            <w:pPr>
              <w:pStyle w:val="TableParagraph"/>
              <w:spacing w:before="12"/>
              <w:rPr>
                <w:sz w:val="19"/>
              </w:rPr>
            </w:pPr>
          </w:p>
          <w:p>
            <w:pPr>
              <w:pStyle w:val="TableParagraph"/>
              <w:spacing w:line="270" w:lineRule="exact"/>
              <w:ind w:left="101"/>
              <w:rPr>
                <w:sz w:val="22"/>
              </w:rPr>
            </w:pPr>
            <w:r>
              <w:rPr>
                <w:spacing w:val="-2"/>
                <w:sz w:val="22"/>
              </w:rPr>
              <w:t>因创伤弧菌感染导致败血症和肢体损害。</w:t>
            </w:r>
            <w:r>
              <w:rPr>
                <w:color w:val="000000"/>
                <w:spacing w:val="-3"/>
                <w:sz w:val="22"/>
                <w:shd w:fill="E4E4E4" w:color="auto" w:val="clear"/>
              </w:rPr>
              <w:t>必须满足下列所有条件：</w:t>
            </w:r>
          </w:p>
        </w:tc>
      </w:tr>
    </w:tbl>
    <w:p>
      <w:pPr>
        <w:spacing w:after="0" w:line="270" w:lineRule="exact"/>
        <w:rPr>
          <w:sz w:val="22"/>
        </w:rPr>
        <w:sectPr>
          <w:pgSz w:w="11910" w:h="16840"/>
          <w:pgMar w:header="484" w:footer="706" w:top="1240" w:bottom="900" w:left="980" w:right="980"/>
        </w:sectPr>
      </w:pPr>
    </w:p>
    <w:p>
      <w:pPr>
        <w:pStyle w:val="BodyText"/>
        <w:spacing w:before="11"/>
        <w:rPr>
          <w:sz w:val="19"/>
        </w:rPr>
      </w:pPr>
    </w:p>
    <w:tbl>
      <w:tblPr>
        <w:tblW w:w="0" w:type="auto"/>
        <w:jc w:val="left"/>
        <w:tblInd w:w="9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34"/>
        <w:gridCol w:w="935"/>
        <w:gridCol w:w="4732"/>
      </w:tblGrid>
      <w:tr>
        <w:trPr>
          <w:trHeight w:val="353" w:hRule="atLeast"/>
        </w:trPr>
        <w:tc>
          <w:tcPr>
            <w:tcW w:w="1034" w:type="dxa"/>
          </w:tcPr>
          <w:p>
            <w:pPr>
              <w:pStyle w:val="TableParagraph"/>
              <w:spacing w:line="322" w:lineRule="exact"/>
              <w:ind w:left="50"/>
              <w:rPr>
                <w:rFonts w:ascii="华文中宋" w:eastAsia="华文中宋" w:hint="eastAsia"/>
                <w:b/>
                <w:sz w:val="22"/>
              </w:rPr>
            </w:pPr>
            <w:r>
              <w:rPr>
                <w:rFonts w:ascii="华文中宋" w:eastAsia="华文中宋" w:hint="eastAsia"/>
                <w:b/>
                <w:spacing w:val="-6"/>
                <w:sz w:val="22"/>
              </w:rPr>
              <w:t>截肢</w:t>
            </w:r>
          </w:p>
        </w:tc>
        <w:tc>
          <w:tcPr>
            <w:tcW w:w="935" w:type="dxa"/>
          </w:tcPr>
          <w:p>
            <w:pPr>
              <w:pStyle w:val="TableParagraph"/>
              <w:spacing w:before="2"/>
              <w:ind w:right="59"/>
              <w:jc w:val="right"/>
              <w:rPr>
                <w:sz w:val="22"/>
              </w:rPr>
            </w:pPr>
            <w:r>
              <w:rPr>
                <w:spacing w:val="-5"/>
                <w:sz w:val="22"/>
              </w:rPr>
              <w:t>(1)</w:t>
            </w:r>
          </w:p>
        </w:tc>
        <w:tc>
          <w:tcPr>
            <w:tcW w:w="4732" w:type="dxa"/>
          </w:tcPr>
          <w:p>
            <w:pPr>
              <w:pStyle w:val="TableParagraph"/>
              <w:spacing w:before="2"/>
              <w:ind w:left="60"/>
              <w:rPr>
                <w:sz w:val="22"/>
              </w:rPr>
            </w:pPr>
            <w:r>
              <w:rPr>
                <w:spacing w:val="-3"/>
                <w:sz w:val="22"/>
              </w:rPr>
              <w:t>近期被海鲜刺伤或肢体创口接触海水史；</w:t>
            </w:r>
          </w:p>
        </w:tc>
      </w:tr>
      <w:tr>
        <w:trPr>
          <w:trHeight w:val="360" w:hRule="atLeast"/>
        </w:trPr>
        <w:tc>
          <w:tcPr>
            <w:tcW w:w="1034" w:type="dxa"/>
          </w:tcPr>
          <w:p>
            <w:pPr>
              <w:pStyle w:val="TableParagraph"/>
              <w:rPr>
                <w:rFonts w:ascii="Times New Roman"/>
                <w:sz w:val="22"/>
              </w:rPr>
            </w:pPr>
          </w:p>
        </w:tc>
        <w:tc>
          <w:tcPr>
            <w:tcW w:w="935" w:type="dxa"/>
          </w:tcPr>
          <w:p>
            <w:pPr>
              <w:pStyle w:val="TableParagraph"/>
              <w:spacing w:before="30"/>
              <w:ind w:right="59"/>
              <w:jc w:val="right"/>
              <w:rPr>
                <w:sz w:val="22"/>
              </w:rPr>
            </w:pPr>
            <w:r>
              <w:rPr>
                <w:spacing w:val="-5"/>
                <w:sz w:val="22"/>
              </w:rPr>
              <w:t>(2)</w:t>
            </w:r>
          </w:p>
        </w:tc>
        <w:tc>
          <w:tcPr>
            <w:tcW w:w="4732" w:type="dxa"/>
          </w:tcPr>
          <w:p>
            <w:pPr>
              <w:pStyle w:val="TableParagraph"/>
              <w:spacing w:before="30"/>
              <w:ind w:left="60"/>
              <w:rPr>
                <w:sz w:val="22"/>
              </w:rPr>
            </w:pPr>
            <w:r>
              <w:rPr>
                <w:spacing w:val="-3"/>
                <w:sz w:val="22"/>
              </w:rPr>
              <w:t>病原学检查证实致病菌为创伤弧菌；</w:t>
            </w:r>
          </w:p>
        </w:tc>
      </w:tr>
      <w:tr>
        <w:trPr>
          <w:trHeight w:val="379" w:hRule="atLeast"/>
        </w:trPr>
        <w:tc>
          <w:tcPr>
            <w:tcW w:w="1034" w:type="dxa"/>
          </w:tcPr>
          <w:p>
            <w:pPr>
              <w:pStyle w:val="TableParagraph"/>
              <w:rPr>
                <w:rFonts w:ascii="Times New Roman"/>
                <w:sz w:val="22"/>
              </w:rPr>
            </w:pPr>
          </w:p>
        </w:tc>
        <w:tc>
          <w:tcPr>
            <w:tcW w:w="935" w:type="dxa"/>
          </w:tcPr>
          <w:p>
            <w:pPr>
              <w:pStyle w:val="TableParagraph"/>
              <w:spacing w:before="49"/>
              <w:ind w:right="59"/>
              <w:jc w:val="right"/>
              <w:rPr>
                <w:sz w:val="22"/>
              </w:rPr>
            </w:pPr>
            <w:r>
              <w:rPr>
                <w:spacing w:val="-5"/>
                <w:sz w:val="22"/>
              </w:rPr>
              <w:t>(3)</w:t>
            </w:r>
          </w:p>
        </w:tc>
        <w:tc>
          <w:tcPr>
            <w:tcW w:w="4732" w:type="dxa"/>
          </w:tcPr>
          <w:p>
            <w:pPr>
              <w:pStyle w:val="TableParagraph"/>
              <w:spacing w:before="49"/>
              <w:ind w:left="60"/>
              <w:rPr>
                <w:sz w:val="22"/>
              </w:rPr>
            </w:pPr>
            <w:r>
              <w:rPr>
                <w:spacing w:val="-3"/>
                <w:sz w:val="22"/>
              </w:rPr>
              <w:t>出现脓毒败血症或休克；</w:t>
            </w:r>
          </w:p>
        </w:tc>
      </w:tr>
      <w:tr>
        <w:trPr>
          <w:trHeight w:val="300" w:hRule="atLeast"/>
        </w:trPr>
        <w:tc>
          <w:tcPr>
            <w:tcW w:w="1034" w:type="dxa"/>
          </w:tcPr>
          <w:p>
            <w:pPr>
              <w:pStyle w:val="TableParagraph"/>
              <w:rPr>
                <w:rFonts w:ascii="Times New Roman"/>
                <w:sz w:val="22"/>
              </w:rPr>
            </w:pPr>
          </w:p>
        </w:tc>
        <w:tc>
          <w:tcPr>
            <w:tcW w:w="935" w:type="dxa"/>
          </w:tcPr>
          <w:p>
            <w:pPr>
              <w:pStyle w:val="TableParagraph"/>
              <w:spacing w:line="231" w:lineRule="exact" w:before="49"/>
              <w:ind w:right="59"/>
              <w:jc w:val="right"/>
              <w:rPr>
                <w:sz w:val="22"/>
              </w:rPr>
            </w:pPr>
            <w:r>
              <w:rPr>
                <w:spacing w:val="-5"/>
                <w:sz w:val="22"/>
              </w:rPr>
              <w:t>(4)</w:t>
            </w:r>
          </w:p>
        </w:tc>
        <w:tc>
          <w:tcPr>
            <w:tcW w:w="4732" w:type="dxa"/>
          </w:tcPr>
          <w:p>
            <w:pPr>
              <w:pStyle w:val="TableParagraph"/>
              <w:spacing w:line="231" w:lineRule="exact" w:before="49"/>
              <w:ind w:left="60"/>
              <w:rPr>
                <w:sz w:val="22"/>
              </w:rPr>
            </w:pPr>
            <w:r>
              <w:rPr>
                <w:spacing w:val="-2"/>
                <w:sz w:val="22"/>
              </w:rPr>
              <w:t>受感染肢体被截肢（自腕关节或踝关节近端）</w:t>
            </w:r>
            <w:r>
              <w:rPr>
                <w:spacing w:val="-10"/>
                <w:sz w:val="22"/>
              </w:rPr>
              <w:t>。</w:t>
            </w:r>
          </w:p>
        </w:tc>
      </w:tr>
    </w:tbl>
    <w:p>
      <w:pPr>
        <w:pStyle w:val="BodyText"/>
        <w:rPr>
          <w:sz w:val="20"/>
        </w:rPr>
      </w:pPr>
    </w:p>
    <w:p>
      <w:pPr>
        <w:spacing w:after="0"/>
        <w:rPr>
          <w:sz w:val="20"/>
        </w:rPr>
        <w:sectPr>
          <w:pgSz w:w="11910" w:h="16840"/>
          <w:pgMar w:header="484" w:footer="706" w:top="1240" w:bottom="900" w:left="980" w:right="980"/>
        </w:sectPr>
      </w:pPr>
    </w:p>
    <w:p>
      <w:pPr>
        <w:pStyle w:val="Heading2"/>
        <w:numPr>
          <w:ilvl w:val="1"/>
          <w:numId w:val="74"/>
        </w:numPr>
        <w:tabs>
          <w:tab w:pos="955" w:val="left" w:leader="none"/>
        </w:tabs>
        <w:spacing w:line="240" w:lineRule="auto" w:before="225" w:after="0"/>
        <w:ind w:left="954" w:right="0" w:hanging="803"/>
        <w:jc w:val="left"/>
      </w:pPr>
      <w:r>
        <w:rPr>
          <w:spacing w:val="-4"/>
        </w:rPr>
        <w:t>重症心肌炎伴</w:t>
      </w:r>
    </w:p>
    <w:p>
      <w:pPr>
        <w:spacing w:line="261" w:lineRule="auto" w:before="30"/>
        <w:ind w:left="954" w:right="0" w:firstLine="0"/>
        <w:jc w:val="left"/>
        <w:rPr>
          <w:rFonts w:ascii="华文中宋" w:eastAsia="华文中宋" w:hint="eastAsia"/>
          <w:b/>
          <w:sz w:val="22"/>
        </w:rPr>
      </w:pPr>
      <w:r>
        <w:rPr>
          <w:rFonts w:ascii="华文中宋" w:eastAsia="华文中宋" w:hint="eastAsia"/>
          <w:b/>
          <w:spacing w:val="-2"/>
          <w:sz w:val="22"/>
        </w:rPr>
        <w:t>充血性心力衰</w:t>
      </w:r>
      <w:r>
        <w:rPr>
          <w:rFonts w:ascii="华文中宋" w:eastAsia="华文中宋" w:hint="eastAsia"/>
          <w:b/>
          <w:spacing w:val="-10"/>
          <w:sz w:val="22"/>
        </w:rPr>
        <w:t>竭</w:t>
      </w:r>
    </w:p>
    <w:p>
      <w:pPr>
        <w:spacing w:line="240" w:lineRule="auto" w:before="1"/>
        <w:rPr>
          <w:rFonts w:ascii="华文中宋"/>
          <w:b/>
          <w:sz w:val="16"/>
        </w:rPr>
      </w:pPr>
      <w:r>
        <w:rPr/>
        <w:br w:type="column"/>
      </w:r>
      <w:r>
        <w:rPr>
          <w:rFonts w:ascii="华文中宋"/>
          <w:b/>
          <w:sz w:val="16"/>
        </w:rPr>
      </w:r>
    </w:p>
    <w:p>
      <w:pPr>
        <w:pStyle w:val="BodyText"/>
        <w:spacing w:line="324" w:lineRule="auto"/>
        <w:ind w:left="163" w:right="150"/>
        <w:jc w:val="both"/>
      </w:pPr>
      <w:r>
        <w:rPr>
          <w:spacing w:val="-2"/>
        </w:rPr>
        <w:t>指心肌的局限性或弥漫性炎性病变，心肌纤维发生变性和坏死，导致心脏功能衰竭，但先天性疾病造成的除外。其诊断标准</w:t>
      </w:r>
      <w:r>
        <w:rPr>
          <w:color w:val="000000"/>
          <w:spacing w:val="-2"/>
          <w:shd w:fill="E4E4E4" w:color="auto" w:val="clear"/>
        </w:rPr>
        <w:t>必须同时符合下列所有条</w:t>
      </w:r>
      <w:r>
        <w:rPr>
          <w:color w:val="000000"/>
          <w:spacing w:val="80"/>
          <w:shd w:fill="E4E4E4" w:color="auto" w:val="clear"/>
        </w:rPr>
        <w:t> </w:t>
      </w:r>
      <w:r>
        <w:rPr>
          <w:color w:val="000000"/>
          <w:spacing w:val="-6"/>
          <w:shd w:fill="E4E4E4" w:color="auto" w:val="clear"/>
        </w:rPr>
        <w:t>件：</w:t>
      </w:r>
    </w:p>
    <w:p>
      <w:pPr>
        <w:pStyle w:val="ListParagraph"/>
        <w:numPr>
          <w:ilvl w:val="0"/>
          <w:numId w:val="75"/>
        </w:numPr>
        <w:tabs>
          <w:tab w:pos="584" w:val="left" w:leader="none"/>
        </w:tabs>
        <w:spacing w:line="324" w:lineRule="auto" w:before="0" w:after="0"/>
        <w:ind w:left="1071" w:right="1321" w:hanging="941"/>
        <w:jc w:val="both"/>
        <w:rPr>
          <w:sz w:val="22"/>
        </w:rPr>
      </w:pPr>
      <w:r>
        <w:rPr/>
        <w:drawing>
          <wp:anchor distT="0" distB="0" distL="0" distR="0" allowOverlap="1" layoutInCell="1" locked="0" behindDoc="1" simplePos="0" relativeHeight="484601856">
            <wp:simplePos x="0" y="0"/>
            <wp:positionH relativeFrom="page">
              <wp:posOffset>2485707</wp:posOffset>
            </wp:positionH>
            <wp:positionV relativeFrom="paragraph">
              <wp:posOffset>258381</wp:posOffset>
            </wp:positionV>
            <wp:extent cx="140335" cy="140334"/>
            <wp:effectExtent l="0" t="0" r="0" b="0"/>
            <wp:wrapNone/>
            <wp:docPr id="77" name="image7.png"/>
            <wp:cNvGraphicFramePr>
              <a:graphicFrameLocks noChangeAspect="1"/>
            </wp:cNvGraphicFramePr>
            <a:graphic>
              <a:graphicData uri="http://schemas.openxmlformats.org/drawingml/2006/picture">
                <pic:pic>
                  <pic:nvPicPr>
                    <pic:cNvPr id="78"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20.345020pt;width:11.05pt;height:11.05pt;mso-position-horizontal-relative:page;mso-position-vertical-relative:paragraph;z-index:-18714112" type="#_x0000_t202" id="docshape45" filled="false" stroked="false">
            <v:textbox inset="0,0,0,0">
              <w:txbxContent>
                <w:p>
                  <w:pPr>
                    <w:spacing w:line="219" w:lineRule="exact" w:before="2"/>
                    <w:ind w:left="62" w:right="0" w:firstLine="0"/>
                    <w:jc w:val="left"/>
                    <w:rPr>
                      <w:sz w:val="19"/>
                    </w:rPr>
                  </w:pPr>
                  <w:r>
                    <w:rPr>
                      <w:sz w:val="19"/>
                    </w:rPr>
                    <w:t>1</w:t>
                  </w:r>
                </w:p>
              </w:txbxContent>
            </v:textbox>
            <w10:wrap type="none"/>
          </v:shape>
        </w:pict>
      </w:r>
      <w:r>
        <w:rPr>
          <w:spacing w:val="-2"/>
          <w:sz w:val="22"/>
        </w:rPr>
        <w:t>明确的心肌炎诊断，须同时具备下列临床表现及检查结果：胸痛、心悸、全身乏力的症状；</w:t>
      </w:r>
    </w:p>
    <w:p>
      <w:pPr>
        <w:pStyle w:val="BodyText"/>
        <w:spacing w:line="282" w:lineRule="exact"/>
        <w:ind w:left="1071"/>
      </w:pPr>
      <w:r>
        <w:rPr/>
        <w:drawing>
          <wp:anchor distT="0" distB="0" distL="0" distR="0" allowOverlap="1" layoutInCell="1" locked="0" behindDoc="0" simplePos="0" relativeHeight="15763456">
            <wp:simplePos x="0" y="0"/>
            <wp:positionH relativeFrom="page">
              <wp:posOffset>2485707</wp:posOffset>
            </wp:positionH>
            <wp:positionV relativeFrom="paragraph">
              <wp:posOffset>16407</wp:posOffset>
            </wp:positionV>
            <wp:extent cx="140335" cy="140334"/>
            <wp:effectExtent l="0" t="0" r="0" b="0"/>
            <wp:wrapNone/>
            <wp:docPr id="79" name="image7.png"/>
            <wp:cNvGraphicFramePr>
              <a:graphicFrameLocks noChangeAspect="1"/>
            </wp:cNvGraphicFramePr>
            <a:graphic>
              <a:graphicData uri="http://schemas.openxmlformats.org/drawingml/2006/picture">
                <pic:pic>
                  <pic:nvPicPr>
                    <pic:cNvPr id="80"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1.291895pt;width:11.05pt;height:11.05pt;mso-position-horizontal-relative:page;mso-position-vertical-relative:paragraph;z-index:15763968" type="#_x0000_t202" id="docshape46" filled="false" stroked="false">
            <v:textbox inset="0,0,0,0">
              <w:txbxContent>
                <w:p>
                  <w:pPr>
                    <w:spacing w:line="219" w:lineRule="exact" w:before="1"/>
                    <w:ind w:left="62" w:right="0" w:firstLine="0"/>
                    <w:jc w:val="left"/>
                    <w:rPr>
                      <w:sz w:val="19"/>
                    </w:rPr>
                  </w:pPr>
                  <w:r>
                    <w:rPr>
                      <w:sz w:val="19"/>
                    </w:rPr>
                    <w:t>2</w:t>
                  </w:r>
                </w:p>
              </w:txbxContent>
            </v:textbox>
            <w10:wrap type="none"/>
          </v:shape>
        </w:pict>
      </w:r>
      <w:r>
        <w:rPr>
          <w:spacing w:val="-3"/>
        </w:rPr>
        <w:t>新近的心电图改变提示心肌炎；</w:t>
      </w:r>
    </w:p>
    <w:p>
      <w:pPr>
        <w:pStyle w:val="BodyText"/>
        <w:spacing w:before="96"/>
        <w:ind w:left="1071"/>
      </w:pPr>
      <w:r>
        <w:rPr/>
        <w:drawing>
          <wp:anchor distT="0" distB="0" distL="0" distR="0" allowOverlap="1" layoutInCell="1" locked="0" behindDoc="0" simplePos="0" relativeHeight="15764480">
            <wp:simplePos x="0" y="0"/>
            <wp:positionH relativeFrom="page">
              <wp:posOffset>2485707</wp:posOffset>
            </wp:positionH>
            <wp:positionV relativeFrom="paragraph">
              <wp:posOffset>78041</wp:posOffset>
            </wp:positionV>
            <wp:extent cx="140335" cy="140334"/>
            <wp:effectExtent l="0" t="0" r="0" b="0"/>
            <wp:wrapNone/>
            <wp:docPr id="81" name="image8.png"/>
            <wp:cNvGraphicFramePr>
              <a:graphicFrameLocks noChangeAspect="1"/>
            </wp:cNvGraphicFramePr>
            <a:graphic>
              <a:graphicData uri="http://schemas.openxmlformats.org/drawingml/2006/picture">
                <pic:pic>
                  <pic:nvPicPr>
                    <pic:cNvPr id="82" name="image8.png"/>
                    <pic:cNvPicPr/>
                  </pic:nvPicPr>
                  <pic:blipFill>
                    <a:blip r:embed="rId16" cstate="print"/>
                    <a:stretch>
                      <a:fillRect/>
                    </a:stretch>
                  </pic:blipFill>
                  <pic:spPr>
                    <a:xfrm>
                      <a:off x="0" y="0"/>
                      <a:ext cx="140335" cy="140334"/>
                    </a:xfrm>
                    <a:prstGeom prst="rect">
                      <a:avLst/>
                    </a:prstGeom>
                  </pic:spPr>
                </pic:pic>
              </a:graphicData>
            </a:graphic>
          </wp:anchor>
        </w:drawing>
      </w:r>
      <w:r>
        <w:rPr/>
        <w:pict>
          <v:shape style="position:absolute;margin-left:195.725006pt;margin-top:6.14502pt;width:11.05pt;height:11.05pt;mso-position-horizontal-relative:page;mso-position-vertical-relative:paragraph;z-index:15764992" type="#_x0000_t202" id="docshape47" filled="false" stroked="false">
            <v:textbox inset="0,0,0,0">
              <w:txbxContent>
                <w:p>
                  <w:pPr>
                    <w:spacing w:line="220" w:lineRule="exact" w:before="0"/>
                    <w:ind w:left="62" w:right="0" w:firstLine="0"/>
                    <w:jc w:val="left"/>
                    <w:rPr>
                      <w:sz w:val="19"/>
                    </w:rPr>
                  </w:pPr>
                  <w:r>
                    <w:rPr>
                      <w:sz w:val="19"/>
                    </w:rPr>
                    <w:t>3</w:t>
                  </w:r>
                </w:p>
              </w:txbxContent>
            </v:textbox>
            <w10:wrap type="none"/>
          </v:shape>
        </w:pict>
      </w:r>
      <w:r>
        <w:rPr>
          <w:spacing w:val="-3"/>
        </w:rPr>
        <w:t>体检有心脏扩大、心音减弱、心动过速或过缓等体征。</w:t>
      </w:r>
    </w:p>
    <w:p>
      <w:pPr>
        <w:pStyle w:val="ListParagraph"/>
        <w:numPr>
          <w:ilvl w:val="0"/>
          <w:numId w:val="75"/>
        </w:numPr>
        <w:tabs>
          <w:tab w:pos="584" w:val="left" w:leader="none"/>
        </w:tabs>
        <w:spacing w:line="324" w:lineRule="auto" w:before="97" w:after="0"/>
        <w:ind w:left="1071" w:right="1871" w:hanging="941"/>
        <w:jc w:val="left"/>
        <w:rPr>
          <w:sz w:val="22"/>
        </w:rPr>
      </w:pPr>
      <w:r>
        <w:rPr/>
        <w:drawing>
          <wp:anchor distT="0" distB="0" distL="0" distR="0" allowOverlap="1" layoutInCell="1" locked="0" behindDoc="1" simplePos="0" relativeHeight="484604928">
            <wp:simplePos x="0" y="0"/>
            <wp:positionH relativeFrom="page">
              <wp:posOffset>2485707</wp:posOffset>
            </wp:positionH>
            <wp:positionV relativeFrom="paragraph">
              <wp:posOffset>320484</wp:posOffset>
            </wp:positionV>
            <wp:extent cx="140335" cy="140334"/>
            <wp:effectExtent l="0" t="0" r="0" b="0"/>
            <wp:wrapNone/>
            <wp:docPr id="83" name="image7.png"/>
            <wp:cNvGraphicFramePr>
              <a:graphicFrameLocks noChangeAspect="1"/>
            </wp:cNvGraphicFramePr>
            <a:graphic>
              <a:graphicData uri="http://schemas.openxmlformats.org/drawingml/2006/picture">
                <pic:pic>
                  <pic:nvPicPr>
                    <pic:cNvPr id="84"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25.234997pt;width:11.05pt;height:11.05pt;mso-position-horizontal-relative:page;mso-position-vertical-relative:paragraph;z-index:-18711040" type="#_x0000_t202" id="docshape48" filled="false" stroked="false">
            <v:textbox inset="0,0,0,0">
              <w:txbxContent>
                <w:p>
                  <w:pPr>
                    <w:spacing w:line="220" w:lineRule="exact" w:before="1"/>
                    <w:ind w:left="62" w:right="0" w:firstLine="0"/>
                    <w:jc w:val="left"/>
                    <w:rPr>
                      <w:sz w:val="19"/>
                    </w:rPr>
                  </w:pPr>
                  <w:r>
                    <w:rPr>
                      <w:sz w:val="19"/>
                    </w:rPr>
                    <w:t>1</w:t>
                  </w:r>
                </w:p>
              </w:txbxContent>
            </v:textbox>
            <w10:wrap type="none"/>
          </v:shape>
        </w:pict>
      </w:r>
      <w:r>
        <w:rPr>
          <w:spacing w:val="-2"/>
          <w:sz w:val="22"/>
        </w:rPr>
        <w:t>心力衰竭诊断，满足下列临床表现及检查结果达4项：突发呼吸困难；</w:t>
      </w:r>
    </w:p>
    <w:p>
      <w:pPr>
        <w:pStyle w:val="BodyText"/>
        <w:spacing w:line="324" w:lineRule="auto"/>
        <w:ind w:left="1071" w:right="4134"/>
      </w:pPr>
      <w:r>
        <w:rPr/>
        <w:drawing>
          <wp:anchor distT="0" distB="0" distL="0" distR="0" allowOverlap="1" layoutInCell="1" locked="0" behindDoc="0" simplePos="0" relativeHeight="15766528">
            <wp:simplePos x="0" y="0"/>
            <wp:positionH relativeFrom="page">
              <wp:posOffset>2485707</wp:posOffset>
            </wp:positionH>
            <wp:positionV relativeFrom="paragraph">
              <wp:posOffset>17081</wp:posOffset>
            </wp:positionV>
            <wp:extent cx="140335" cy="140334"/>
            <wp:effectExtent l="0" t="0" r="0" b="0"/>
            <wp:wrapNone/>
            <wp:docPr id="85" name="image8.png"/>
            <wp:cNvGraphicFramePr>
              <a:graphicFrameLocks noChangeAspect="1"/>
            </wp:cNvGraphicFramePr>
            <a:graphic>
              <a:graphicData uri="http://schemas.openxmlformats.org/drawingml/2006/picture">
                <pic:pic>
                  <pic:nvPicPr>
                    <pic:cNvPr id="86" name="image8.png"/>
                    <pic:cNvPicPr/>
                  </pic:nvPicPr>
                  <pic:blipFill>
                    <a:blip r:embed="rId16" cstate="print"/>
                    <a:stretch>
                      <a:fillRect/>
                    </a:stretch>
                  </pic:blipFill>
                  <pic:spPr>
                    <a:xfrm>
                      <a:off x="0" y="0"/>
                      <a:ext cx="140335" cy="140334"/>
                    </a:xfrm>
                    <a:prstGeom prst="rect">
                      <a:avLst/>
                    </a:prstGeom>
                  </pic:spPr>
                </pic:pic>
              </a:graphicData>
            </a:graphic>
          </wp:anchor>
        </w:drawing>
      </w:r>
      <w:r>
        <w:rPr/>
        <w:pict>
          <v:shape style="position:absolute;margin-left:195.725006pt;margin-top:1.344989pt;width:11.05pt;height:11.05pt;mso-position-horizontal-relative:page;mso-position-vertical-relative:paragraph;z-index:15767040" type="#_x0000_t202" id="docshape49" filled="false" stroked="false">
            <v:textbox inset="0,0,0,0">
              <w:txbxContent>
                <w:p>
                  <w:pPr>
                    <w:spacing w:line="220" w:lineRule="exact" w:before="0"/>
                    <w:ind w:left="62" w:right="0" w:firstLine="0"/>
                    <w:jc w:val="left"/>
                    <w:rPr>
                      <w:sz w:val="19"/>
                    </w:rPr>
                  </w:pPr>
                  <w:r>
                    <w:rPr>
                      <w:sz w:val="19"/>
                    </w:rPr>
                    <w:t>2</w:t>
                  </w:r>
                </w:p>
              </w:txbxContent>
            </v:textbox>
            <w10:wrap type="none"/>
          </v:shape>
        </w:pict>
      </w:r>
      <w:r>
        <w:rPr/>
        <w:drawing>
          <wp:anchor distT="0" distB="0" distL="0" distR="0" allowOverlap="1" layoutInCell="1" locked="0" behindDoc="0" simplePos="0" relativeHeight="15767552">
            <wp:simplePos x="0" y="0"/>
            <wp:positionH relativeFrom="page">
              <wp:posOffset>2485707</wp:posOffset>
            </wp:positionH>
            <wp:positionV relativeFrom="paragraph">
              <wp:posOffset>258381</wp:posOffset>
            </wp:positionV>
            <wp:extent cx="140335" cy="140334"/>
            <wp:effectExtent l="0" t="0" r="0" b="0"/>
            <wp:wrapNone/>
            <wp:docPr id="87" name="image7.png"/>
            <wp:cNvGraphicFramePr>
              <a:graphicFrameLocks noChangeAspect="1"/>
            </wp:cNvGraphicFramePr>
            <a:graphic>
              <a:graphicData uri="http://schemas.openxmlformats.org/drawingml/2006/picture">
                <pic:pic>
                  <pic:nvPicPr>
                    <pic:cNvPr id="88"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20.34499pt;width:11.05pt;height:11.05pt;mso-position-horizontal-relative:page;mso-position-vertical-relative:paragraph;z-index:15768064" type="#_x0000_t202" id="docshape50" filled="false" stroked="false">
            <v:textbox inset="0,0,0,0">
              <w:txbxContent>
                <w:p>
                  <w:pPr>
                    <w:spacing w:line="219" w:lineRule="exact" w:before="2"/>
                    <w:ind w:left="62" w:right="0" w:firstLine="0"/>
                    <w:jc w:val="left"/>
                    <w:rPr>
                      <w:sz w:val="19"/>
                    </w:rPr>
                  </w:pPr>
                  <w:r>
                    <w:rPr>
                      <w:sz w:val="19"/>
                    </w:rPr>
                    <w:t>3</w:t>
                  </w:r>
                </w:p>
              </w:txbxContent>
            </v:textbox>
            <w10:wrap type="none"/>
          </v:shape>
        </w:pict>
      </w:r>
      <w:r>
        <w:rPr>
          <w:spacing w:val="-2"/>
        </w:rPr>
        <w:t>心动过速、室性奔马律；</w:t>
      </w:r>
      <w:r>
        <w:rPr>
          <w:spacing w:val="-2"/>
        </w:rPr>
        <w:t>心脏肿大、肺部啰音；</w:t>
      </w:r>
    </w:p>
    <w:p>
      <w:pPr>
        <w:pStyle w:val="BodyText"/>
        <w:spacing w:line="324" w:lineRule="auto"/>
        <w:ind w:left="1071" w:right="2372"/>
      </w:pPr>
      <w:r>
        <w:rPr/>
        <w:drawing>
          <wp:anchor distT="0" distB="0" distL="0" distR="0" allowOverlap="1" layoutInCell="1" locked="0" behindDoc="0" simplePos="0" relativeHeight="15768576">
            <wp:simplePos x="0" y="0"/>
            <wp:positionH relativeFrom="page">
              <wp:posOffset>2485707</wp:posOffset>
            </wp:positionH>
            <wp:positionV relativeFrom="paragraph">
              <wp:posOffset>16586</wp:posOffset>
            </wp:positionV>
            <wp:extent cx="140335" cy="140334"/>
            <wp:effectExtent l="0" t="0" r="0" b="0"/>
            <wp:wrapNone/>
            <wp:docPr id="89" name="image7.png"/>
            <wp:cNvGraphicFramePr>
              <a:graphicFrameLocks noChangeAspect="1"/>
            </wp:cNvGraphicFramePr>
            <a:graphic>
              <a:graphicData uri="http://schemas.openxmlformats.org/drawingml/2006/picture">
                <pic:pic>
                  <pic:nvPicPr>
                    <pic:cNvPr id="90"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1.305988pt;width:11.05pt;height:11.05pt;mso-position-horizontal-relative:page;mso-position-vertical-relative:paragraph;z-index:15769088" type="#_x0000_t202" id="docshape51" filled="false" stroked="false">
            <v:textbox inset="0,0,0,0">
              <w:txbxContent>
                <w:p>
                  <w:pPr>
                    <w:spacing w:line="220" w:lineRule="exact" w:before="1"/>
                    <w:ind w:left="62" w:right="0" w:firstLine="0"/>
                    <w:jc w:val="left"/>
                    <w:rPr>
                      <w:sz w:val="19"/>
                    </w:rPr>
                  </w:pPr>
                  <w:r>
                    <w:rPr>
                      <w:sz w:val="19"/>
                    </w:rPr>
                    <w:t>4</w:t>
                  </w:r>
                </w:p>
              </w:txbxContent>
            </v:textbox>
            <w10:wrap type="none"/>
          </v:shape>
        </w:pict>
      </w:r>
      <w:r>
        <w:rPr/>
        <w:drawing>
          <wp:anchor distT="0" distB="0" distL="0" distR="0" allowOverlap="1" layoutInCell="1" locked="0" behindDoc="0" simplePos="0" relativeHeight="15769600">
            <wp:simplePos x="0" y="0"/>
            <wp:positionH relativeFrom="page">
              <wp:posOffset>2485707</wp:posOffset>
            </wp:positionH>
            <wp:positionV relativeFrom="paragraph">
              <wp:posOffset>257886</wp:posOffset>
            </wp:positionV>
            <wp:extent cx="140335" cy="140334"/>
            <wp:effectExtent l="0" t="0" r="0" b="0"/>
            <wp:wrapNone/>
            <wp:docPr id="91" name="image8.png"/>
            <wp:cNvGraphicFramePr>
              <a:graphicFrameLocks noChangeAspect="1"/>
            </wp:cNvGraphicFramePr>
            <a:graphic>
              <a:graphicData uri="http://schemas.openxmlformats.org/drawingml/2006/picture">
                <pic:pic>
                  <pic:nvPicPr>
                    <pic:cNvPr id="92" name="image8.png"/>
                    <pic:cNvPicPr/>
                  </pic:nvPicPr>
                  <pic:blipFill>
                    <a:blip r:embed="rId16" cstate="print"/>
                    <a:stretch>
                      <a:fillRect/>
                    </a:stretch>
                  </pic:blipFill>
                  <pic:spPr>
                    <a:xfrm>
                      <a:off x="0" y="0"/>
                      <a:ext cx="140335" cy="140334"/>
                    </a:xfrm>
                    <a:prstGeom prst="rect">
                      <a:avLst/>
                    </a:prstGeom>
                  </pic:spPr>
                </pic:pic>
              </a:graphicData>
            </a:graphic>
          </wp:anchor>
        </w:drawing>
      </w:r>
      <w:r>
        <w:rPr/>
        <w:pict>
          <v:shape style="position:absolute;margin-left:195.725006pt;margin-top:20.305988pt;width:11.05pt;height:11.05pt;mso-position-horizontal-relative:page;mso-position-vertical-relative:paragraph;z-index:15770112" type="#_x0000_t202" id="docshape52" filled="false" stroked="false">
            <v:textbox inset="0,0,0,0">
              <w:txbxContent>
                <w:p>
                  <w:pPr>
                    <w:spacing w:line="220" w:lineRule="exact" w:before="0"/>
                    <w:ind w:left="62" w:right="0" w:firstLine="0"/>
                    <w:jc w:val="left"/>
                    <w:rPr>
                      <w:sz w:val="19"/>
                    </w:rPr>
                  </w:pPr>
                  <w:r>
                    <w:rPr>
                      <w:sz w:val="19"/>
                    </w:rPr>
                    <w:t>5</w:t>
                  </w:r>
                </w:p>
              </w:txbxContent>
            </v:textbox>
            <w10:wrap type="none"/>
          </v:shape>
        </w:pict>
      </w:r>
      <w:r>
        <w:rPr>
          <w:spacing w:val="-2"/>
        </w:rPr>
        <w:t>颈静脉压＞2.1KPa并有肝肿大或身体水肿；新近的心电图改变提示心力衰竭；</w:t>
      </w:r>
    </w:p>
    <w:p>
      <w:pPr>
        <w:pStyle w:val="BodyText"/>
        <w:spacing w:line="279" w:lineRule="exact"/>
        <w:ind w:left="1071"/>
      </w:pPr>
      <w:r>
        <w:rPr/>
        <w:drawing>
          <wp:anchor distT="0" distB="0" distL="0" distR="0" allowOverlap="1" layoutInCell="1" locked="0" behindDoc="0" simplePos="0" relativeHeight="15770624">
            <wp:simplePos x="0" y="0"/>
            <wp:positionH relativeFrom="page">
              <wp:posOffset>2485707</wp:posOffset>
            </wp:positionH>
            <wp:positionV relativeFrom="paragraph">
              <wp:posOffset>15911</wp:posOffset>
            </wp:positionV>
            <wp:extent cx="140335" cy="140334"/>
            <wp:effectExtent l="0" t="0" r="0" b="0"/>
            <wp:wrapNone/>
            <wp:docPr id="93" name="image7.png"/>
            <wp:cNvGraphicFramePr>
              <a:graphicFrameLocks noChangeAspect="1"/>
            </wp:cNvGraphicFramePr>
            <a:graphic>
              <a:graphicData uri="http://schemas.openxmlformats.org/drawingml/2006/picture">
                <pic:pic>
                  <pic:nvPicPr>
                    <pic:cNvPr id="94"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1.252863pt;width:11.05pt;height:11.05pt;mso-position-horizontal-relative:page;mso-position-vertical-relative:paragraph;z-index:15771136" type="#_x0000_t202" id="docshape53" filled="false" stroked="false">
            <v:textbox inset="0,0,0,0">
              <w:txbxContent>
                <w:p>
                  <w:pPr>
                    <w:spacing w:line="219" w:lineRule="exact" w:before="2"/>
                    <w:ind w:left="62" w:right="0" w:firstLine="0"/>
                    <w:jc w:val="left"/>
                    <w:rPr>
                      <w:sz w:val="19"/>
                    </w:rPr>
                  </w:pPr>
                  <w:r>
                    <w:rPr>
                      <w:sz w:val="19"/>
                    </w:rPr>
                    <w:t>6</w:t>
                  </w:r>
                </w:p>
              </w:txbxContent>
            </v:textbox>
            <w10:wrap type="none"/>
          </v:shape>
        </w:pict>
      </w:r>
      <w:r>
        <w:rPr>
          <w:spacing w:val="-2"/>
        </w:rPr>
        <w:t>X</w:t>
      </w:r>
      <w:r>
        <w:rPr>
          <w:spacing w:val="-3"/>
        </w:rPr>
        <w:t>线胸片：肺淤血或心影扩大；</w:t>
      </w:r>
    </w:p>
    <w:p>
      <w:pPr>
        <w:pStyle w:val="BodyText"/>
        <w:spacing w:line="324" w:lineRule="auto" w:before="99"/>
        <w:ind w:left="1071" w:right="152"/>
      </w:pPr>
      <w:r>
        <w:rPr/>
        <w:drawing>
          <wp:anchor distT="0" distB="0" distL="0" distR="0" allowOverlap="1" layoutInCell="1" locked="0" behindDoc="0" simplePos="0" relativeHeight="15771648">
            <wp:simplePos x="0" y="0"/>
            <wp:positionH relativeFrom="page">
              <wp:posOffset>2485707</wp:posOffset>
            </wp:positionH>
            <wp:positionV relativeFrom="paragraph">
              <wp:posOffset>79451</wp:posOffset>
            </wp:positionV>
            <wp:extent cx="140335" cy="140334"/>
            <wp:effectExtent l="0" t="0" r="0" b="0"/>
            <wp:wrapNone/>
            <wp:docPr id="95" name="image7.png"/>
            <wp:cNvGraphicFramePr>
              <a:graphicFrameLocks noChangeAspect="1"/>
            </wp:cNvGraphicFramePr>
            <a:graphic>
              <a:graphicData uri="http://schemas.openxmlformats.org/drawingml/2006/picture">
                <pic:pic>
                  <pic:nvPicPr>
                    <pic:cNvPr id="96" name="image7.png"/>
                    <pic:cNvPicPr/>
                  </pic:nvPicPr>
                  <pic:blipFill>
                    <a:blip r:embed="rId15" cstate="print"/>
                    <a:stretch>
                      <a:fillRect/>
                    </a:stretch>
                  </pic:blipFill>
                  <pic:spPr>
                    <a:xfrm>
                      <a:off x="0" y="0"/>
                      <a:ext cx="140335" cy="140334"/>
                    </a:xfrm>
                    <a:prstGeom prst="rect">
                      <a:avLst/>
                    </a:prstGeom>
                  </pic:spPr>
                </pic:pic>
              </a:graphicData>
            </a:graphic>
          </wp:anchor>
        </w:drawing>
      </w:r>
      <w:r>
        <w:rPr/>
        <w:pict>
          <v:shape style="position:absolute;margin-left:195.725006pt;margin-top:6.255988pt;width:11.05pt;height:11.05pt;mso-position-horizontal-relative:page;mso-position-vertical-relative:paragraph;z-index:15772160" type="#_x0000_t202" id="docshape54" filled="false" stroked="false">
            <v:textbox inset="0,0,0,0">
              <w:txbxContent>
                <w:p>
                  <w:pPr>
                    <w:spacing w:line="220" w:lineRule="exact" w:before="1"/>
                    <w:ind w:left="62" w:right="0" w:firstLine="0"/>
                    <w:jc w:val="left"/>
                    <w:rPr>
                      <w:sz w:val="19"/>
                    </w:rPr>
                  </w:pPr>
                  <w:r>
                    <w:rPr>
                      <w:sz w:val="19"/>
                    </w:rPr>
                    <w:t>7</w:t>
                  </w:r>
                </w:p>
              </w:txbxContent>
            </v:textbox>
            <w10:wrap type="none"/>
          </v:shape>
        </w:pict>
      </w:r>
      <w:r>
        <w:rPr>
          <w:spacing w:val="6"/>
          <w:w w:val="100"/>
        </w:rPr>
        <w:t>超声心动图检查：心脏及大血管的解剖结构改变、血液动力学改</w:t>
      </w:r>
      <w:r>
        <w:rPr>
          <w:spacing w:val="-3"/>
          <w:w w:val="100"/>
        </w:rPr>
        <w:t>变、心功能情况改变提示心力衰竭。</w:t>
      </w:r>
    </w:p>
    <w:p>
      <w:pPr>
        <w:spacing w:after="0" w:line="324" w:lineRule="auto"/>
        <w:sectPr>
          <w:type w:val="continuous"/>
          <w:pgSz w:w="11910" w:h="16840"/>
          <w:pgMar w:header="484" w:footer="706" w:top="1240" w:bottom="900" w:left="980" w:right="980"/>
          <w:cols w:num="2" w:equalWidth="0">
            <w:col w:w="2277" w:space="40"/>
            <w:col w:w="7633"/>
          </w:cols>
        </w:sectPr>
      </w:pPr>
    </w:p>
    <w:p>
      <w:pPr>
        <w:pStyle w:val="BodyText"/>
        <w:spacing w:before="5"/>
        <w:rPr>
          <w:sz w:val="21"/>
        </w:rPr>
      </w:pPr>
    </w:p>
    <w:p>
      <w:pPr>
        <w:pStyle w:val="ListParagraph"/>
        <w:numPr>
          <w:ilvl w:val="1"/>
          <w:numId w:val="74"/>
        </w:numPr>
        <w:tabs>
          <w:tab w:pos="955" w:val="left" w:leader="none"/>
          <w:tab w:pos="2480" w:val="left" w:leader="none"/>
        </w:tabs>
        <w:spacing w:line="240" w:lineRule="auto" w:before="75" w:after="0"/>
        <w:ind w:left="954" w:right="0" w:hanging="803"/>
        <w:jc w:val="left"/>
        <w:rPr>
          <w:sz w:val="22"/>
        </w:rPr>
      </w:pPr>
      <w:r>
        <w:rPr>
          <w:rFonts w:ascii="华文中宋" w:eastAsia="华文中宋" w:hint="eastAsia"/>
          <w:b/>
          <w:spacing w:val="-2"/>
          <w:sz w:val="22"/>
        </w:rPr>
        <w:t>严重大动脉</w:t>
      </w:r>
      <w:r>
        <w:rPr>
          <w:rFonts w:ascii="华文中宋" w:eastAsia="华文中宋" w:hint="eastAsia"/>
          <w:b/>
          <w:spacing w:val="-12"/>
          <w:sz w:val="22"/>
        </w:rPr>
        <w:t>炎</w:t>
      </w:r>
      <w:r>
        <w:rPr>
          <w:rFonts w:ascii="华文中宋" w:eastAsia="华文中宋" w:hint="eastAsia"/>
          <w:b/>
          <w:sz w:val="22"/>
        </w:rPr>
        <w:tab/>
      </w:r>
      <w:r>
        <w:rPr>
          <w:spacing w:val="-2"/>
          <w:sz w:val="22"/>
        </w:rPr>
        <w:t>指经心脏或血管外科专科医生确诊的大动脉炎，</w:t>
      </w:r>
      <w:r>
        <w:rPr>
          <w:color w:val="000000"/>
          <w:spacing w:val="-2"/>
          <w:sz w:val="22"/>
          <w:shd w:fill="E4E4E4" w:color="auto" w:val="clear"/>
        </w:rPr>
        <w:t>须满足下列全部条件</w:t>
      </w:r>
      <w:r>
        <w:rPr>
          <w:color w:val="000000"/>
          <w:spacing w:val="-10"/>
          <w:sz w:val="22"/>
          <w:shd w:fill="E4E4E4" w:color="auto" w:val="clear"/>
        </w:rPr>
        <w:t>：</w:t>
      </w:r>
    </w:p>
    <w:p>
      <w:pPr>
        <w:pStyle w:val="ListParagraph"/>
        <w:numPr>
          <w:ilvl w:val="2"/>
          <w:numId w:val="74"/>
        </w:numPr>
        <w:tabs>
          <w:tab w:pos="2935" w:val="left" w:leader="none"/>
        </w:tabs>
        <w:spacing w:line="240" w:lineRule="auto" w:before="60" w:after="0"/>
        <w:ind w:left="2934" w:right="0" w:hanging="455"/>
        <w:jc w:val="both"/>
        <w:rPr>
          <w:sz w:val="22"/>
        </w:rPr>
      </w:pPr>
      <w:r>
        <w:rPr>
          <w:spacing w:val="-2"/>
          <w:sz w:val="22"/>
        </w:rPr>
        <w:t>红细胞沉降率及C</w:t>
      </w:r>
      <w:r>
        <w:rPr>
          <w:spacing w:val="-3"/>
          <w:sz w:val="22"/>
        </w:rPr>
        <w:t>反应蛋白高于正常值；</w:t>
      </w:r>
    </w:p>
    <w:p>
      <w:pPr>
        <w:pStyle w:val="ListParagraph"/>
        <w:numPr>
          <w:ilvl w:val="2"/>
          <w:numId w:val="74"/>
        </w:numPr>
        <w:tabs>
          <w:tab w:pos="2935" w:val="left" w:leader="none"/>
        </w:tabs>
        <w:spacing w:line="324" w:lineRule="auto" w:before="97" w:after="0"/>
        <w:ind w:left="2934" w:right="150" w:hanging="454"/>
        <w:jc w:val="both"/>
        <w:rPr>
          <w:sz w:val="22"/>
        </w:rPr>
      </w:pPr>
      <w:r>
        <w:rPr>
          <w:spacing w:val="10"/>
          <w:sz w:val="22"/>
        </w:rPr>
        <w:t>超声检查、</w:t>
      </w:r>
      <w:r>
        <w:rPr>
          <w:sz w:val="22"/>
        </w:rPr>
        <w:t>CTA</w:t>
      </w:r>
      <w:r>
        <w:rPr>
          <w:spacing w:val="9"/>
          <w:sz w:val="22"/>
        </w:rPr>
        <w:t>检查或血管造影检查证实主动脉及其主要分支存在狭</w:t>
      </w:r>
      <w:r>
        <w:rPr>
          <w:spacing w:val="-6"/>
          <w:sz w:val="22"/>
        </w:rPr>
        <w:t>窄。</w:t>
      </w:r>
    </w:p>
    <w:p>
      <w:pPr>
        <w:pStyle w:val="BodyText"/>
        <w:spacing w:line="324" w:lineRule="auto"/>
        <w:ind w:left="2480" w:right="150"/>
        <w:jc w:val="both"/>
      </w:pPr>
      <w:r>
        <w:rPr>
          <w:spacing w:val="7"/>
          <w:w w:val="100"/>
        </w:rPr>
        <w:t>这里的“主动脉及其主要分支”指：升主动脉、主动脉弓及其分支（</w:t>
      </w:r>
      <w:r>
        <w:rPr>
          <w:spacing w:val="-2"/>
          <w:w w:val="100"/>
        </w:rPr>
        <w:t>头臂</w:t>
      </w:r>
      <w:r>
        <w:rPr>
          <w:spacing w:val="-1"/>
          <w:w w:val="100"/>
        </w:rPr>
        <w:t>干、左颈总动脉、左锁骨下动脉）、胸主动脉、腹主动脉及其主要分支</w:t>
      </w:r>
      <w:r>
        <w:rPr>
          <w:spacing w:val="2"/>
          <w:w w:val="100"/>
        </w:rPr>
        <w:t>（</w:t>
      </w:r>
      <w:r>
        <w:rPr>
          <w:w w:val="100"/>
        </w:rPr>
        <w:t>腹</w:t>
      </w:r>
      <w:r>
        <w:rPr>
          <w:spacing w:val="-3"/>
          <w:w w:val="100"/>
        </w:rPr>
        <w:t>腔干、肠系膜上动脉、肠系膜下动脉、肾动脉</w:t>
      </w:r>
      <w:r>
        <w:rPr>
          <w:spacing w:val="-1"/>
          <w:w w:val="100"/>
        </w:rPr>
        <w:t>）</w:t>
      </w:r>
      <w:r>
        <w:rPr>
          <w:w w:val="100"/>
        </w:rPr>
        <w:t>。</w:t>
      </w:r>
    </w:p>
    <w:p>
      <w:pPr>
        <w:pStyle w:val="BodyText"/>
        <w:rPr>
          <w:sz w:val="23"/>
        </w:rPr>
      </w:pPr>
    </w:p>
    <w:p>
      <w:pPr>
        <w:spacing w:before="1" w:after="4"/>
        <w:ind w:left="152" w:right="0" w:firstLine="0"/>
        <w:jc w:val="left"/>
        <w:rPr>
          <w:b/>
          <w:sz w:val="30"/>
        </w:rPr>
      </w:pPr>
      <w:r>
        <w:rPr>
          <w:spacing w:val="-322"/>
          <w:w w:val="95"/>
          <w:position w:val="-3"/>
          <w:sz w:val="40"/>
        </w:rPr>
        <w:t>●</w:t>
      </w:r>
      <w:r>
        <w:rPr>
          <w:b/>
          <w:color w:val="FFFFFF"/>
          <w:spacing w:val="-16"/>
          <w:w w:val="94"/>
          <w:sz w:val="28"/>
        </w:rPr>
        <w:t>1</w:t>
      </w:r>
      <w:r>
        <w:rPr>
          <w:b/>
          <w:color w:val="FFFFFF"/>
          <w:w w:val="94"/>
          <w:sz w:val="28"/>
        </w:rPr>
        <w:t>1</w:t>
      </w:r>
      <w:r>
        <w:rPr>
          <w:b/>
          <w:color w:val="FFFFFF"/>
          <w:spacing w:val="27"/>
          <w:sz w:val="28"/>
        </w:rPr>
        <w:t> </w:t>
      </w:r>
      <w:r>
        <w:rPr>
          <w:b/>
          <w:spacing w:val="-2"/>
          <w:w w:val="95"/>
          <w:position w:val="2"/>
          <w:sz w:val="30"/>
        </w:rPr>
        <w:t>中度疾病的定义</w:t>
      </w:r>
    </w:p>
    <w:p>
      <w:pPr>
        <w:pStyle w:val="BodyText"/>
        <w:spacing w:line="43" w:lineRule="exact"/>
        <w:ind w:left="126"/>
        <w:rPr>
          <w:sz w:val="4"/>
        </w:rPr>
      </w:pPr>
      <w:r>
        <w:rPr>
          <w:position w:val="0"/>
          <w:sz w:val="4"/>
        </w:rPr>
        <w:drawing>
          <wp:inline distT="0" distB="0" distL="0" distR="0">
            <wp:extent cx="6155689" cy="27431"/>
            <wp:effectExtent l="0" t="0" r="0" b="0"/>
            <wp:docPr id="97" name="image3.png"/>
            <wp:cNvGraphicFramePr>
              <a:graphicFrameLocks noChangeAspect="1"/>
            </wp:cNvGraphicFramePr>
            <a:graphic>
              <a:graphicData uri="http://schemas.openxmlformats.org/drawingml/2006/picture">
                <pic:pic>
                  <pic:nvPicPr>
                    <pic:cNvPr id="98" name="image3.png"/>
                    <pic:cNvPicPr/>
                  </pic:nvPicPr>
                  <pic:blipFill>
                    <a:blip r:embed="rId9" cstate="print"/>
                    <a:stretch>
                      <a:fillRect/>
                    </a:stretch>
                  </pic:blipFill>
                  <pic:spPr>
                    <a:xfrm>
                      <a:off x="0" y="0"/>
                      <a:ext cx="6155689" cy="27431"/>
                    </a:xfrm>
                    <a:prstGeom prst="rect">
                      <a:avLst/>
                    </a:prstGeom>
                  </pic:spPr>
                </pic:pic>
              </a:graphicData>
            </a:graphic>
          </wp:inline>
        </w:drawing>
      </w:r>
      <w:r>
        <w:rPr>
          <w:position w:val="0"/>
          <w:sz w:val="4"/>
        </w:rPr>
      </w:r>
    </w:p>
    <w:p>
      <w:pPr>
        <w:pStyle w:val="BodyText"/>
        <w:spacing w:before="4"/>
        <w:rPr>
          <w:b/>
          <w:sz w:val="28"/>
        </w:rPr>
      </w:pPr>
    </w:p>
    <w:p>
      <w:pPr>
        <w:spacing w:after="0"/>
        <w:rPr>
          <w:sz w:val="28"/>
        </w:rPr>
        <w:sectPr>
          <w:type w:val="continuous"/>
          <w:pgSz w:w="11910" w:h="16840"/>
          <w:pgMar w:header="484" w:footer="706" w:top="1240" w:bottom="900" w:left="980" w:right="980"/>
        </w:sectPr>
      </w:pPr>
    </w:p>
    <w:p>
      <w:pPr>
        <w:pStyle w:val="Heading2"/>
        <w:numPr>
          <w:ilvl w:val="1"/>
          <w:numId w:val="76"/>
        </w:numPr>
        <w:tabs>
          <w:tab w:pos="954" w:val="left" w:leader="none"/>
          <w:tab w:pos="955" w:val="left" w:leader="none"/>
        </w:tabs>
        <w:spacing w:line="240" w:lineRule="auto" w:before="73" w:after="0"/>
        <w:ind w:left="954" w:right="0" w:hanging="803"/>
        <w:jc w:val="left"/>
      </w:pPr>
      <w:r>
        <w:rPr>
          <w:spacing w:val="-4"/>
        </w:rPr>
        <w:t>中度严重溃疡</w:t>
      </w:r>
    </w:p>
    <w:p>
      <w:pPr>
        <w:spacing w:before="30"/>
        <w:ind w:left="954" w:right="0" w:firstLine="0"/>
        <w:jc w:val="left"/>
        <w:rPr>
          <w:rFonts w:ascii="华文中宋" w:eastAsia="华文中宋" w:hint="eastAsia"/>
          <w:b/>
          <w:sz w:val="22"/>
        </w:rPr>
      </w:pPr>
      <w:r>
        <w:rPr>
          <w:rFonts w:ascii="华文中宋" w:eastAsia="华文中宋" w:hint="eastAsia"/>
          <w:b/>
          <w:spacing w:val="-5"/>
          <w:sz w:val="22"/>
        </w:rPr>
        <w:t>性结肠炎</w:t>
      </w:r>
    </w:p>
    <w:p>
      <w:pPr>
        <w:pStyle w:val="BodyText"/>
        <w:spacing w:line="324" w:lineRule="auto" w:before="103"/>
        <w:ind w:left="152" w:right="150"/>
        <w:jc w:val="both"/>
      </w:pPr>
      <w:r>
        <w:rPr/>
        <w:br w:type="column"/>
      </w:r>
      <w:r>
        <w:rPr>
          <w:spacing w:val="-2"/>
        </w:rPr>
        <w:t>溃疡性结肠炎指伴有致命性电解质紊乱的急性暴发性溃疡性结肠炎，病变已经累及全结肠，表现为严重的血便和系统性症状体征，须根据组织病理学特</w:t>
      </w:r>
      <w:r>
        <w:rPr/>
        <w:t>点诊断，</w:t>
      </w:r>
      <w:r>
        <w:rPr>
          <w:color w:val="000000"/>
          <w:shd w:fill="E4E4E4" w:color="auto" w:val="clear"/>
        </w:rPr>
        <w:t>满足下列所有条件，但未达到重大疾病“10.28 严重溃疡性结肠</w:t>
      </w:r>
      <w:r>
        <w:rPr>
          <w:color w:val="000000"/>
          <w:spacing w:val="40"/>
          <w:shd w:fill="E4E4E4" w:color="auto" w:val="clear"/>
        </w:rPr>
        <w:t> </w:t>
      </w:r>
      <w:r>
        <w:rPr>
          <w:color w:val="000000"/>
          <w:spacing w:val="-2"/>
          <w:shd w:fill="E4E4E4" w:color="auto" w:val="clear"/>
        </w:rPr>
        <w:t>炎”的给付标准：</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7"/>
        <w:rPr>
          <w:sz w:val="14"/>
        </w:rPr>
      </w:pPr>
    </w:p>
    <w:p>
      <w:pPr>
        <w:pStyle w:val="ListParagraph"/>
        <w:numPr>
          <w:ilvl w:val="2"/>
          <w:numId w:val="76"/>
        </w:numPr>
        <w:tabs>
          <w:tab w:pos="2935" w:val="left" w:leader="none"/>
        </w:tabs>
        <w:spacing w:line="324" w:lineRule="auto" w:before="70" w:after="0"/>
        <w:ind w:left="2934" w:right="152" w:hanging="454"/>
        <w:jc w:val="left"/>
        <w:rPr>
          <w:sz w:val="22"/>
        </w:rPr>
      </w:pPr>
      <w:r>
        <w:rPr>
          <w:spacing w:val="-2"/>
          <w:sz w:val="22"/>
        </w:rPr>
        <w:t>须经由内窥镜检查证实该疾病侵犯全部结肠及直肠，并经病理学组织切片检查证实为溃疡性结肠炎；</w:t>
      </w:r>
    </w:p>
    <w:p>
      <w:pPr>
        <w:pStyle w:val="ListParagraph"/>
        <w:numPr>
          <w:ilvl w:val="2"/>
          <w:numId w:val="76"/>
        </w:numPr>
        <w:tabs>
          <w:tab w:pos="2935" w:val="left" w:leader="none"/>
        </w:tabs>
        <w:spacing w:line="282" w:lineRule="exact" w:before="0" w:after="0"/>
        <w:ind w:left="2934" w:right="0" w:hanging="455"/>
        <w:jc w:val="left"/>
        <w:rPr>
          <w:sz w:val="22"/>
        </w:rPr>
      </w:pPr>
      <w:r>
        <w:rPr>
          <w:spacing w:val="-5"/>
          <w:sz w:val="22"/>
        </w:rPr>
        <w:t>经专科医生以类固醇或免疫抑制剂连续治疗 </w:t>
      </w:r>
      <w:r>
        <w:rPr>
          <w:spacing w:val="-2"/>
          <w:sz w:val="22"/>
        </w:rPr>
        <w:t>6</w:t>
      </w:r>
      <w:r>
        <w:rPr>
          <w:spacing w:val="-16"/>
          <w:sz w:val="22"/>
        </w:rPr>
        <w:t> 个月。</w:t>
      </w:r>
    </w:p>
    <w:p>
      <w:pPr>
        <w:pStyle w:val="BodyText"/>
        <w:spacing w:line="324" w:lineRule="auto" w:before="98"/>
        <w:ind w:left="2480" w:right="150"/>
      </w:pPr>
      <w:r>
        <w:rPr>
          <w:spacing w:val="-2"/>
        </w:rPr>
        <w:t>诊断及治疗均须在我们认可的医院内由专科医师认为是医疗必须的情况下进</w:t>
      </w:r>
      <w:r>
        <w:rPr>
          <w:spacing w:val="-6"/>
        </w:rPr>
        <w:t>行。</w:t>
      </w:r>
    </w:p>
    <w:p>
      <w:pPr>
        <w:pStyle w:val="BodyText"/>
        <w:spacing w:before="7"/>
        <w:rPr>
          <w:sz w:val="21"/>
        </w:rPr>
      </w:pPr>
    </w:p>
    <w:p>
      <w:pPr>
        <w:spacing w:after="0"/>
        <w:rPr>
          <w:sz w:val="21"/>
        </w:rPr>
        <w:sectPr>
          <w:pgSz w:w="11910" w:h="16840"/>
          <w:pgMar w:header="484" w:footer="706" w:top="1240" w:bottom="900" w:left="980" w:right="980"/>
        </w:sectPr>
      </w:pPr>
    </w:p>
    <w:p>
      <w:pPr>
        <w:pStyle w:val="Heading2"/>
        <w:numPr>
          <w:ilvl w:val="1"/>
          <w:numId w:val="76"/>
        </w:numPr>
        <w:tabs>
          <w:tab w:pos="954" w:val="left" w:leader="none"/>
          <w:tab w:pos="955" w:val="left" w:leader="none"/>
        </w:tabs>
        <w:spacing w:line="261" w:lineRule="auto" w:before="72" w:after="0"/>
        <w:ind w:left="954" w:right="0" w:hanging="802"/>
        <w:jc w:val="left"/>
      </w:pPr>
      <w:r>
        <w:rPr>
          <w:spacing w:val="-2"/>
        </w:rPr>
        <w:t>中度肠道疾病</w:t>
      </w:r>
      <w:r>
        <w:rPr>
          <w:spacing w:val="-4"/>
        </w:rPr>
        <w:t>并发症</w:t>
      </w:r>
    </w:p>
    <w:p>
      <w:pPr>
        <w:pStyle w:val="BodyText"/>
        <w:spacing w:before="103"/>
        <w:ind w:left="152"/>
      </w:pPr>
      <w:r>
        <w:rPr/>
        <w:br w:type="column"/>
      </w:r>
      <w:r>
        <w:rPr>
          <w:spacing w:val="-2"/>
        </w:rPr>
        <w:t>严重肠道疾病或外伤导致小肠损害并发症，</w:t>
      </w:r>
      <w:r>
        <w:rPr>
          <w:color w:val="000000"/>
          <w:spacing w:val="-3"/>
          <w:shd w:fill="E4E4E4" w:color="auto" w:val="clear"/>
        </w:rPr>
        <w:t>本疾病须满足以下所有条件：</w:t>
      </w:r>
    </w:p>
    <w:p>
      <w:pPr>
        <w:pStyle w:val="ListParagraph"/>
        <w:numPr>
          <w:ilvl w:val="0"/>
          <w:numId w:val="77"/>
        </w:numPr>
        <w:tabs>
          <w:tab w:pos="607" w:val="left" w:leader="none"/>
        </w:tabs>
        <w:spacing w:line="240" w:lineRule="auto" w:before="99" w:after="0"/>
        <w:ind w:left="606" w:right="0" w:hanging="455"/>
        <w:jc w:val="left"/>
        <w:rPr>
          <w:sz w:val="22"/>
        </w:rPr>
      </w:pPr>
      <w:r>
        <w:rPr>
          <w:spacing w:val="-3"/>
          <w:sz w:val="22"/>
        </w:rPr>
        <w:t>至少切除了二分之一小肠；</w:t>
      </w:r>
    </w:p>
    <w:p>
      <w:pPr>
        <w:pStyle w:val="ListParagraph"/>
        <w:numPr>
          <w:ilvl w:val="0"/>
          <w:numId w:val="77"/>
        </w:numPr>
        <w:tabs>
          <w:tab w:pos="607" w:val="left" w:leader="none"/>
        </w:tabs>
        <w:spacing w:line="240" w:lineRule="auto" w:before="98" w:after="0"/>
        <w:ind w:left="606" w:right="0" w:hanging="455"/>
        <w:jc w:val="left"/>
        <w:rPr>
          <w:sz w:val="22"/>
        </w:rPr>
      </w:pPr>
      <w:r>
        <w:rPr>
          <w:spacing w:val="-3"/>
          <w:sz w:val="22"/>
        </w:rPr>
        <w:t>完全肠外营养支持二个月以上。</w:t>
      </w:r>
    </w:p>
    <w:p>
      <w:pPr>
        <w:pStyle w:val="BodyText"/>
        <w:spacing w:before="97"/>
        <w:ind w:left="152"/>
      </w:pPr>
      <w:r>
        <w:rPr>
          <w:color w:val="000000"/>
          <w:spacing w:val="-3"/>
          <w:shd w:fill="E4E4E4" w:color="auto" w:val="clear"/>
        </w:rPr>
        <w:t>因克罗恩病所致“中度肠道疾病并发症”不在保障范围内。</w:t>
      </w:r>
    </w:p>
    <w:p>
      <w:pPr>
        <w:spacing w:after="0"/>
        <w:sectPr>
          <w:type w:val="continuous"/>
          <w:pgSz w:w="11910" w:h="16840"/>
          <w:pgMar w:header="484" w:footer="706" w:top="1240" w:bottom="900" w:left="980" w:right="980"/>
          <w:cols w:num="2" w:equalWidth="0">
            <w:col w:w="2277" w:space="51"/>
            <w:col w:w="7622"/>
          </w:cols>
        </w:sectPr>
      </w:pPr>
    </w:p>
    <w:p>
      <w:pPr>
        <w:pStyle w:val="BodyText"/>
        <w:spacing w:before="5"/>
        <w:rPr>
          <w:sz w:val="29"/>
        </w:rPr>
      </w:pPr>
    </w:p>
    <w:p>
      <w:pPr>
        <w:pStyle w:val="ListParagraph"/>
        <w:numPr>
          <w:ilvl w:val="1"/>
          <w:numId w:val="76"/>
        </w:numPr>
        <w:tabs>
          <w:tab w:pos="955" w:val="left" w:leader="none"/>
        </w:tabs>
        <w:spacing w:line="302" w:lineRule="auto" w:before="72" w:after="0"/>
        <w:ind w:left="2480" w:right="150" w:hanging="2328"/>
        <w:jc w:val="both"/>
        <w:rPr>
          <w:sz w:val="22"/>
        </w:rPr>
      </w:pPr>
      <w:r>
        <w:rPr>
          <w:rFonts w:ascii="华文中宋" w:hAnsi="华文中宋" w:eastAsia="华文中宋" w:hint="eastAsia"/>
          <w:b/>
          <w:spacing w:val="5"/>
          <w:sz w:val="22"/>
        </w:rPr>
        <w:t>中度克罗恩病 </w:t>
      </w:r>
      <w:r>
        <w:rPr>
          <w:sz w:val="22"/>
        </w:rPr>
        <w:t>指一种慢性肉芽肿性肠炎，具有特征性的克罗恩病（Crohn 病）病理组织学</w:t>
      </w:r>
      <w:r>
        <w:rPr>
          <w:spacing w:val="-2"/>
          <w:sz w:val="22"/>
        </w:rPr>
        <w:t>变化，须根据组织病理学特点诊断，并因病情需要以类固醇或免疫抑制剂连</w:t>
      </w:r>
      <w:r>
        <w:rPr>
          <w:spacing w:val="11"/>
          <w:sz w:val="22"/>
        </w:rPr>
        <w:t>续治疗</w:t>
      </w:r>
      <w:r>
        <w:rPr>
          <w:sz w:val="22"/>
        </w:rPr>
        <w:t>180</w:t>
      </w:r>
      <w:r>
        <w:rPr>
          <w:spacing w:val="11"/>
          <w:sz w:val="22"/>
        </w:rPr>
        <w:t>天以上，</w:t>
      </w:r>
      <w:r>
        <w:rPr>
          <w:color w:val="000000"/>
          <w:spacing w:val="9"/>
          <w:sz w:val="22"/>
          <w:shd w:fill="E4E4E4" w:color="auto" w:val="clear"/>
        </w:rPr>
        <w:t>但未达到重大疾病“</w:t>
      </w:r>
      <w:r>
        <w:rPr>
          <w:color w:val="000000"/>
          <w:sz w:val="22"/>
          <w:shd w:fill="E4E4E4" w:color="auto" w:val="clear"/>
        </w:rPr>
        <w:t>10.27</w:t>
      </w:r>
      <w:r>
        <w:rPr>
          <w:color w:val="000000"/>
          <w:spacing w:val="8"/>
          <w:sz w:val="22"/>
          <w:shd w:fill="E4E4E4" w:color="auto" w:val="clear"/>
        </w:rPr>
        <w:t> 严重克罗恩病”的给付标</w:t>
      </w:r>
    </w:p>
    <w:p>
      <w:pPr>
        <w:pStyle w:val="BodyText"/>
        <w:spacing w:before="20"/>
        <w:ind w:left="2480"/>
      </w:pPr>
      <w:r>
        <w:rPr>
          <w:color w:val="000000"/>
          <w:spacing w:val="-6"/>
          <w:shd w:fill="E4E4E4" w:color="auto" w:val="clear"/>
        </w:rPr>
        <w:t>准。</w:t>
      </w:r>
    </w:p>
    <w:p>
      <w:pPr>
        <w:pStyle w:val="BodyText"/>
      </w:pPr>
    </w:p>
    <w:p>
      <w:pPr>
        <w:pStyle w:val="ListParagraph"/>
        <w:numPr>
          <w:ilvl w:val="1"/>
          <w:numId w:val="76"/>
        </w:numPr>
        <w:tabs>
          <w:tab w:pos="955" w:val="left" w:leader="none"/>
        </w:tabs>
        <w:spacing w:line="302" w:lineRule="auto" w:before="167" w:after="0"/>
        <w:ind w:left="2480" w:right="150" w:hanging="2328"/>
        <w:jc w:val="both"/>
        <w:rPr>
          <w:sz w:val="22"/>
        </w:rPr>
      </w:pPr>
      <w:r>
        <w:rPr>
          <w:rFonts w:ascii="华文中宋" w:eastAsia="华文中宋" w:hint="eastAsia"/>
          <w:b/>
          <w:spacing w:val="-2"/>
          <w:w w:val="100"/>
          <w:sz w:val="22"/>
        </w:rPr>
        <w:t>中度脑损伤</w:t>
      </w:r>
      <w:r>
        <w:rPr>
          <w:rFonts w:ascii="华文中宋" w:eastAsia="华文中宋" w:hint="eastAsia"/>
          <w:b/>
          <w:sz w:val="22"/>
        </w:rPr>
        <w:t>      </w:t>
      </w:r>
      <w:r>
        <w:rPr>
          <w:spacing w:val="-1"/>
          <w:w w:val="100"/>
          <w:sz w:val="22"/>
        </w:rPr>
        <w:t>指因头部遭受机械性外力，引起脑重要部位损伤，导致神经系统永久性的功</w:t>
      </w:r>
      <w:r>
        <w:rPr>
          <w:spacing w:val="2"/>
          <w:w w:val="100"/>
          <w:sz w:val="22"/>
        </w:rPr>
        <w:t>能障碍。须由头颅断层扫描</w:t>
      </w:r>
      <w:r>
        <w:rPr>
          <w:spacing w:val="4"/>
          <w:w w:val="100"/>
          <w:sz w:val="22"/>
        </w:rPr>
        <w:t>（</w:t>
      </w:r>
      <w:r>
        <w:rPr>
          <w:spacing w:val="-1"/>
          <w:w w:val="100"/>
          <w:sz w:val="22"/>
        </w:rPr>
        <w:t>C</w:t>
      </w:r>
      <w:r>
        <w:rPr>
          <w:spacing w:val="2"/>
          <w:w w:val="100"/>
          <w:sz w:val="22"/>
        </w:rPr>
        <w:t>T</w:t>
      </w:r>
      <w:r>
        <w:rPr>
          <w:spacing w:val="4"/>
          <w:w w:val="100"/>
          <w:sz w:val="22"/>
        </w:rPr>
        <w:t>）</w:t>
      </w:r>
      <w:r>
        <w:rPr>
          <w:spacing w:val="3"/>
          <w:w w:val="100"/>
          <w:sz w:val="22"/>
        </w:rPr>
        <w:t>、核磁共振检查</w:t>
      </w:r>
      <w:r>
        <w:rPr>
          <w:spacing w:val="4"/>
          <w:w w:val="100"/>
          <w:sz w:val="22"/>
        </w:rPr>
        <w:t>（</w:t>
      </w:r>
      <w:r>
        <w:rPr>
          <w:spacing w:val="-1"/>
          <w:w w:val="100"/>
          <w:sz w:val="22"/>
        </w:rPr>
        <w:t>MR</w:t>
      </w:r>
      <w:r>
        <w:rPr>
          <w:spacing w:val="4"/>
          <w:w w:val="100"/>
          <w:sz w:val="22"/>
        </w:rPr>
        <w:t>I）</w:t>
      </w:r>
      <w:r>
        <w:rPr>
          <w:spacing w:val="2"/>
          <w:w w:val="100"/>
          <w:sz w:val="22"/>
        </w:rPr>
        <w:t>或正电子发射断</w:t>
      </w:r>
      <w:r>
        <w:rPr>
          <w:spacing w:val="-2"/>
          <w:w w:val="100"/>
          <w:sz w:val="22"/>
        </w:rPr>
        <w:t>层扫描</w:t>
      </w:r>
      <w:r>
        <w:rPr>
          <w:spacing w:val="-1"/>
          <w:w w:val="100"/>
          <w:sz w:val="22"/>
        </w:rPr>
        <w:t>（PE</w:t>
      </w:r>
      <w:r>
        <w:rPr>
          <w:spacing w:val="-3"/>
          <w:w w:val="100"/>
          <w:sz w:val="22"/>
        </w:rPr>
        <w:t>T</w:t>
      </w:r>
      <w:r>
        <w:rPr>
          <w:spacing w:val="-1"/>
          <w:w w:val="100"/>
          <w:sz w:val="22"/>
        </w:rPr>
        <w:t>）</w:t>
      </w:r>
      <w:r>
        <w:rPr>
          <w:spacing w:val="-3"/>
          <w:w w:val="100"/>
          <w:sz w:val="22"/>
        </w:rPr>
        <w:t>等影像学检查证实。</w:t>
      </w:r>
    </w:p>
    <w:p>
      <w:pPr>
        <w:pStyle w:val="BodyText"/>
        <w:spacing w:line="324" w:lineRule="auto" w:before="20"/>
        <w:ind w:left="2480" w:right="152"/>
      </w:pPr>
      <w:r>
        <w:rPr>
          <w:spacing w:val="8"/>
        </w:rPr>
        <w:t>神经系统永久性的功能障碍，指脑损伤</w:t>
      </w:r>
      <w:r>
        <w:rPr/>
        <w:t>180</w:t>
      </w:r>
      <w:r>
        <w:rPr>
          <w:spacing w:val="7"/>
        </w:rPr>
        <w:t>天后，仍部分丧失自主生活能</w:t>
      </w:r>
      <w:r>
        <w:rPr>
          <w:spacing w:val="-2"/>
        </w:rPr>
        <w:t>力，</w:t>
      </w:r>
      <w:r>
        <w:rPr>
          <w:color w:val="000000"/>
          <w:spacing w:val="-2"/>
          <w:shd w:fill="E4E4E4" w:color="auto" w:val="clear"/>
        </w:rPr>
        <w:t>无法独立完成六项基本日常生活活动中的二项。</w:t>
      </w:r>
    </w:p>
    <w:p>
      <w:pPr>
        <w:pStyle w:val="BodyText"/>
        <w:spacing w:before="2"/>
        <w:rPr>
          <w:sz w:val="27"/>
        </w:rPr>
      </w:pPr>
    </w:p>
    <w:p>
      <w:pPr>
        <w:pStyle w:val="ListParagraph"/>
        <w:numPr>
          <w:ilvl w:val="1"/>
          <w:numId w:val="76"/>
        </w:numPr>
        <w:tabs>
          <w:tab w:pos="954" w:val="left" w:leader="none"/>
          <w:tab w:pos="955" w:val="left" w:leader="none"/>
          <w:tab w:pos="2480" w:val="left" w:leader="none"/>
        </w:tabs>
        <w:spacing w:line="280" w:lineRule="auto" w:before="1" w:after="0"/>
        <w:ind w:left="2480" w:right="150" w:hanging="2328"/>
        <w:jc w:val="left"/>
        <w:rPr>
          <w:sz w:val="22"/>
        </w:rPr>
      </w:pPr>
      <w:r>
        <w:rPr>
          <w:rFonts w:ascii="华文中宋" w:eastAsia="华文中宋" w:hint="eastAsia"/>
          <w:b/>
          <w:spacing w:val="-2"/>
          <w:sz w:val="22"/>
        </w:rPr>
        <w:t>单个肢体缺失</w:t>
      </w:r>
      <w:r>
        <w:rPr>
          <w:rFonts w:ascii="华文中宋" w:eastAsia="华文中宋" w:hint="eastAsia"/>
          <w:b/>
          <w:sz w:val="22"/>
        </w:rPr>
        <w:tab/>
      </w:r>
      <w:r>
        <w:rPr>
          <w:spacing w:val="-2"/>
          <w:sz w:val="22"/>
        </w:rPr>
        <w:t>指因疾病或意外伤害导致一个肢体自腕关节或踝关节近端（靠近躯干端）以上完全性断离。</w:t>
      </w:r>
    </w:p>
    <w:p>
      <w:pPr>
        <w:pStyle w:val="BodyText"/>
        <w:spacing w:before="50"/>
        <w:ind w:left="2480"/>
      </w:pPr>
      <w:r>
        <w:rPr>
          <w:color w:val="000000"/>
          <w:spacing w:val="-3"/>
          <w:shd w:fill="E4E4E4" w:color="auto" w:val="clear"/>
        </w:rPr>
        <w:t>因糖尿病并发症引致的单个肢体缺失不在保障范围内。</w:t>
      </w:r>
    </w:p>
    <w:p>
      <w:pPr>
        <w:pStyle w:val="BodyText"/>
        <w:spacing w:before="5"/>
        <w:rPr>
          <w:sz w:val="29"/>
        </w:rPr>
      </w:pPr>
    </w:p>
    <w:p>
      <w:pPr>
        <w:spacing w:after="0"/>
        <w:rPr>
          <w:sz w:val="29"/>
        </w:rPr>
        <w:sectPr>
          <w:type w:val="continuous"/>
          <w:pgSz w:w="11910" w:h="16840"/>
          <w:pgMar w:header="484" w:footer="706" w:top="1240" w:bottom="900" w:left="980" w:right="980"/>
        </w:sectPr>
      </w:pPr>
    </w:p>
    <w:p>
      <w:pPr>
        <w:pStyle w:val="Heading2"/>
        <w:numPr>
          <w:ilvl w:val="1"/>
          <w:numId w:val="76"/>
        </w:numPr>
        <w:tabs>
          <w:tab w:pos="954" w:val="left" w:leader="none"/>
          <w:tab w:pos="955" w:val="left" w:leader="none"/>
        </w:tabs>
        <w:spacing w:line="240" w:lineRule="auto" w:before="72" w:after="0"/>
        <w:ind w:left="954" w:right="0" w:hanging="803"/>
        <w:jc w:val="left"/>
      </w:pPr>
      <w:r>
        <w:rPr>
          <w:spacing w:val="-4"/>
        </w:rPr>
        <w:t>中度脑炎后遗</w:t>
      </w:r>
    </w:p>
    <w:p>
      <w:pPr>
        <w:spacing w:line="261" w:lineRule="auto" w:before="30"/>
        <w:ind w:left="954" w:right="0" w:firstLine="0"/>
        <w:jc w:val="left"/>
        <w:rPr>
          <w:rFonts w:ascii="华文中宋" w:eastAsia="华文中宋" w:hint="eastAsia"/>
          <w:b/>
          <w:sz w:val="22"/>
        </w:rPr>
      </w:pPr>
      <w:r>
        <w:rPr>
          <w:rFonts w:ascii="华文中宋" w:eastAsia="华文中宋" w:hint="eastAsia"/>
          <w:b/>
          <w:spacing w:val="-2"/>
          <w:sz w:val="22"/>
        </w:rPr>
        <w:t>症或中度脑膜</w:t>
      </w:r>
      <w:r>
        <w:rPr>
          <w:rFonts w:ascii="华文中宋" w:eastAsia="华文中宋" w:hint="eastAsia"/>
          <w:b/>
          <w:spacing w:val="-4"/>
          <w:sz w:val="22"/>
        </w:rPr>
        <w:t>炎后遗症</w:t>
      </w:r>
    </w:p>
    <w:p>
      <w:pPr>
        <w:pStyle w:val="BodyText"/>
        <w:spacing w:line="324" w:lineRule="auto" w:before="102"/>
        <w:ind w:left="152" w:right="150"/>
        <w:jc w:val="both"/>
      </w:pPr>
      <w:r>
        <w:rPr/>
        <w:br w:type="column"/>
      </w:r>
      <w:r>
        <w:rPr>
          <w:spacing w:val="2"/>
          <w:w w:val="100"/>
        </w:rPr>
        <w:t>指因患脑炎或者脑膜炎导致的神经系统的功能障碍。疾病确诊</w:t>
      </w:r>
      <w:r>
        <w:rPr>
          <w:spacing w:val="-1"/>
          <w:w w:val="100"/>
        </w:rPr>
        <w:t>18</w:t>
      </w:r>
      <w:r>
        <w:rPr>
          <w:spacing w:val="4"/>
          <w:w w:val="100"/>
        </w:rPr>
        <w:t>0</w:t>
      </w:r>
      <w:r>
        <w:rPr>
          <w:spacing w:val="2"/>
          <w:w w:val="100"/>
        </w:rPr>
        <w:t>天后，仍</w:t>
      </w:r>
      <w:r>
        <w:rPr>
          <w:spacing w:val="7"/>
          <w:w w:val="100"/>
        </w:rPr>
        <w:t>存在自主生活能力完全丧失，</w:t>
      </w:r>
      <w:r>
        <w:rPr>
          <w:color w:val="000000"/>
          <w:spacing w:val="5"/>
          <w:w w:val="100"/>
          <w:shd w:fill="E4E4E4" w:color="auto" w:val="clear"/>
        </w:rPr>
        <w:t>无法独立完成六项基本日常生活活动中的两</w:t>
      </w:r>
      <w:r>
        <w:rPr>
          <w:color w:val="000000"/>
          <w:w w:val="100"/>
          <w:shd w:fill="E4E4E4" w:color="auto" w:val="clear"/>
        </w:rPr>
        <w:t>                                                                                                                                  </w:t>
      </w:r>
      <w:r>
        <w:rPr>
          <w:color w:val="000000"/>
          <w:spacing w:val="-1"/>
          <w:w w:val="100"/>
          <w:shd w:fill="E4E4E4" w:color="auto" w:val="clear"/>
        </w:rPr>
        <w:t>项。</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6"/>
        <w:rPr>
          <w:sz w:val="21"/>
        </w:rPr>
      </w:pPr>
    </w:p>
    <w:p>
      <w:pPr>
        <w:spacing w:after="0"/>
        <w:rPr>
          <w:sz w:val="21"/>
        </w:rPr>
        <w:sectPr>
          <w:type w:val="continuous"/>
          <w:pgSz w:w="11910" w:h="16840"/>
          <w:pgMar w:header="484" w:footer="706" w:top="1240" w:bottom="900" w:left="980" w:right="980"/>
        </w:sectPr>
      </w:pPr>
    </w:p>
    <w:p>
      <w:pPr>
        <w:pStyle w:val="Heading2"/>
        <w:numPr>
          <w:ilvl w:val="1"/>
          <w:numId w:val="76"/>
        </w:numPr>
        <w:tabs>
          <w:tab w:pos="954" w:val="left" w:leader="none"/>
          <w:tab w:pos="955" w:val="left" w:leader="none"/>
        </w:tabs>
        <w:spacing w:line="261" w:lineRule="auto" w:before="73" w:after="0"/>
        <w:ind w:left="954" w:right="0" w:hanging="802"/>
        <w:jc w:val="left"/>
      </w:pPr>
      <w:r>
        <w:rPr>
          <w:spacing w:val="-2"/>
        </w:rPr>
        <w:t>中度运动神经</w:t>
      </w:r>
      <w:r>
        <w:rPr>
          <w:spacing w:val="-6"/>
        </w:rPr>
        <w:t>元病</w:t>
      </w:r>
    </w:p>
    <w:p>
      <w:pPr>
        <w:pStyle w:val="BodyText"/>
        <w:spacing w:line="324" w:lineRule="auto" w:before="103"/>
        <w:ind w:left="152" w:right="150"/>
        <w:jc w:val="both"/>
      </w:pPr>
      <w:r>
        <w:rPr/>
        <w:br w:type="column"/>
      </w:r>
      <w:r>
        <w:rPr>
          <w:spacing w:val="-2"/>
        </w:rPr>
        <w:t>是一组中枢神经系统运动神经元的进行性变性疾病，进行性脊肌萎缩症、进行性延髓麻痹症、原发性侧索硬化症、肌萎缩性侧索硬化症。须满足自主生活能力部分丧失，</w:t>
      </w:r>
      <w:r>
        <w:rPr>
          <w:color w:val="000000"/>
          <w:spacing w:val="-2"/>
          <w:shd w:fill="E4E4E4" w:color="auto" w:val="clear"/>
        </w:rPr>
        <w:t>无法独立完成六项基本日常生活活动中的两项。</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6"/>
        <w:rPr>
          <w:sz w:val="21"/>
        </w:rPr>
      </w:pPr>
    </w:p>
    <w:p>
      <w:pPr>
        <w:spacing w:after="0"/>
        <w:rPr>
          <w:sz w:val="21"/>
        </w:rPr>
        <w:sectPr>
          <w:type w:val="continuous"/>
          <w:pgSz w:w="11910" w:h="16840"/>
          <w:pgMar w:header="484" w:footer="706" w:top="1240" w:bottom="900" w:left="980" w:right="980"/>
        </w:sectPr>
      </w:pPr>
    </w:p>
    <w:p>
      <w:pPr>
        <w:pStyle w:val="Heading2"/>
        <w:numPr>
          <w:ilvl w:val="1"/>
          <w:numId w:val="76"/>
        </w:numPr>
        <w:tabs>
          <w:tab w:pos="954" w:val="left" w:leader="none"/>
          <w:tab w:pos="955" w:val="left" w:leader="none"/>
        </w:tabs>
        <w:spacing w:line="261" w:lineRule="auto" w:before="75" w:after="0"/>
        <w:ind w:left="954" w:right="0" w:hanging="802"/>
        <w:jc w:val="left"/>
      </w:pPr>
      <w:r>
        <w:rPr>
          <w:spacing w:val="-2"/>
        </w:rPr>
        <w:t>中度原发性帕</w:t>
      </w:r>
      <w:r>
        <w:rPr>
          <w:spacing w:val="-4"/>
        </w:rPr>
        <w:t>金森病</w:t>
      </w:r>
    </w:p>
    <w:p>
      <w:pPr>
        <w:pStyle w:val="BodyText"/>
        <w:spacing w:line="324" w:lineRule="auto" w:before="105"/>
        <w:ind w:left="152" w:right="150"/>
      </w:pPr>
      <w:r>
        <w:rPr/>
        <w:br w:type="column"/>
      </w:r>
      <w:r>
        <w:rPr>
          <w:spacing w:val="-2"/>
        </w:rPr>
        <w:t>是一种中枢神经系统的退行性疾病，临床表现为震颤麻痹、共济失调等。</w:t>
      </w:r>
      <w:r>
        <w:rPr>
          <w:color w:val="000000"/>
          <w:spacing w:val="-2"/>
          <w:shd w:fill="E4E4E4" w:color="auto" w:val="clear"/>
        </w:rPr>
        <w:t>须</w:t>
      </w:r>
      <w:r>
        <w:rPr>
          <w:color w:val="000000"/>
          <w:spacing w:val="80"/>
          <w:w w:val="150"/>
          <w:shd w:fill="E4E4E4" w:color="auto" w:val="clear"/>
        </w:rPr>
        <w:t>                                       </w:t>
      </w:r>
      <w:r>
        <w:rPr>
          <w:color w:val="000000"/>
          <w:spacing w:val="-2"/>
          <w:shd w:fill="E4E4E4" w:color="auto" w:val="clear"/>
        </w:rPr>
        <w:t>满足下列全部条件：</w:t>
      </w:r>
    </w:p>
    <w:p>
      <w:pPr>
        <w:spacing w:after="0" w:line="324" w:lineRule="auto"/>
        <w:sectPr>
          <w:type w:val="continuous"/>
          <w:pgSz w:w="11910" w:h="16840"/>
          <w:pgMar w:header="484" w:footer="706" w:top="1240" w:bottom="900" w:left="980" w:right="980"/>
          <w:cols w:num="2" w:equalWidth="0">
            <w:col w:w="2277" w:space="51"/>
            <w:col w:w="7622"/>
          </w:cols>
        </w:sectPr>
      </w:pPr>
    </w:p>
    <w:p>
      <w:pPr>
        <w:pStyle w:val="BodyText"/>
        <w:spacing w:before="7"/>
        <w:rPr>
          <w:sz w:val="14"/>
        </w:rPr>
      </w:pPr>
    </w:p>
    <w:p>
      <w:pPr>
        <w:pStyle w:val="ListParagraph"/>
        <w:numPr>
          <w:ilvl w:val="2"/>
          <w:numId w:val="76"/>
        </w:numPr>
        <w:tabs>
          <w:tab w:pos="2935" w:val="left" w:leader="none"/>
        </w:tabs>
        <w:spacing w:line="240" w:lineRule="auto" w:before="70" w:after="0"/>
        <w:ind w:left="2934" w:right="0" w:hanging="455"/>
        <w:jc w:val="left"/>
        <w:rPr>
          <w:sz w:val="22"/>
        </w:rPr>
      </w:pPr>
      <w:r>
        <w:rPr>
          <w:spacing w:val="-3"/>
          <w:sz w:val="22"/>
        </w:rPr>
        <w:t>药物治疗无法控制病情；</w:t>
      </w:r>
    </w:p>
    <w:p>
      <w:pPr>
        <w:pStyle w:val="ListParagraph"/>
        <w:numPr>
          <w:ilvl w:val="2"/>
          <w:numId w:val="76"/>
        </w:numPr>
        <w:tabs>
          <w:tab w:pos="2935" w:val="left" w:leader="none"/>
        </w:tabs>
        <w:spacing w:line="324" w:lineRule="auto" w:before="100" w:after="0"/>
        <w:ind w:left="2934" w:right="152" w:hanging="454"/>
        <w:jc w:val="left"/>
        <w:rPr>
          <w:sz w:val="22"/>
        </w:rPr>
      </w:pPr>
      <w:r>
        <w:rPr>
          <w:spacing w:val="-2"/>
          <w:sz w:val="22"/>
        </w:rPr>
        <w:t>自主生活能力完全丧失，</w:t>
      </w:r>
      <w:r>
        <w:rPr>
          <w:color w:val="000000"/>
          <w:spacing w:val="-2"/>
          <w:sz w:val="22"/>
          <w:shd w:fill="E4E4E4" w:color="auto" w:val="clear"/>
        </w:rPr>
        <w:t>无法独立完成六项基本日常生活活动中的两</w:t>
      </w:r>
      <w:r>
        <w:rPr>
          <w:color w:val="000000"/>
          <w:spacing w:val="80"/>
          <w:w w:val="150"/>
          <w:sz w:val="22"/>
          <w:shd w:fill="E4E4E4" w:color="auto" w:val="clear"/>
        </w:rPr>
        <w:t>                                    </w:t>
      </w:r>
      <w:r>
        <w:rPr>
          <w:color w:val="000000"/>
          <w:spacing w:val="-6"/>
          <w:sz w:val="22"/>
          <w:shd w:fill="E4E4E4" w:color="auto" w:val="clear"/>
        </w:rPr>
        <w:t>项。</w:t>
      </w:r>
    </w:p>
    <w:p>
      <w:pPr>
        <w:pStyle w:val="BodyText"/>
        <w:spacing w:line="279" w:lineRule="exact"/>
        <w:ind w:left="2480"/>
      </w:pPr>
      <w:r>
        <w:rPr>
          <w:color w:val="000000"/>
          <w:spacing w:val="-3"/>
          <w:shd w:fill="E4E4E4" w:color="auto" w:val="clear"/>
        </w:rPr>
        <w:t>继发性帕金森综合征不在保障范围内。</w:t>
      </w:r>
    </w:p>
    <w:p>
      <w:pPr>
        <w:pStyle w:val="BodyText"/>
        <w:spacing w:before="5"/>
        <w:rPr>
          <w:sz w:val="29"/>
        </w:rPr>
      </w:pPr>
    </w:p>
    <w:p>
      <w:pPr>
        <w:spacing w:after="0"/>
        <w:rPr>
          <w:sz w:val="29"/>
        </w:rPr>
        <w:sectPr>
          <w:pgSz w:w="11910" w:h="16840"/>
          <w:pgMar w:header="484" w:footer="706" w:top="1240" w:bottom="900" w:left="980" w:right="980"/>
        </w:sectPr>
      </w:pPr>
    </w:p>
    <w:p>
      <w:pPr>
        <w:pStyle w:val="Heading2"/>
        <w:numPr>
          <w:ilvl w:val="1"/>
          <w:numId w:val="76"/>
        </w:numPr>
        <w:tabs>
          <w:tab w:pos="954" w:val="left" w:leader="none"/>
          <w:tab w:pos="955" w:val="left" w:leader="none"/>
        </w:tabs>
        <w:spacing w:line="240" w:lineRule="auto" w:before="72" w:after="0"/>
        <w:ind w:left="954" w:right="0" w:hanging="803"/>
        <w:jc w:val="left"/>
      </w:pPr>
      <w:r>
        <w:rPr>
          <w:spacing w:val="-4"/>
        </w:rPr>
        <w:t>中度结核性脊</w:t>
      </w:r>
    </w:p>
    <w:p>
      <w:pPr>
        <w:spacing w:before="30"/>
        <w:ind w:left="954" w:right="0" w:firstLine="0"/>
        <w:jc w:val="left"/>
        <w:rPr>
          <w:rFonts w:ascii="华文中宋" w:eastAsia="华文中宋" w:hint="eastAsia"/>
          <w:b/>
          <w:sz w:val="22"/>
        </w:rPr>
      </w:pPr>
      <w:r>
        <w:rPr>
          <w:rFonts w:ascii="华文中宋" w:eastAsia="华文中宋" w:hint="eastAsia"/>
          <w:b/>
          <w:spacing w:val="-4"/>
          <w:sz w:val="22"/>
        </w:rPr>
        <w:t>髓炎后遗症</w:t>
      </w:r>
    </w:p>
    <w:p>
      <w:pPr>
        <w:pStyle w:val="BodyText"/>
        <w:spacing w:line="324" w:lineRule="auto" w:before="102"/>
        <w:ind w:left="152" w:right="150"/>
      </w:pPr>
      <w:r>
        <w:rPr/>
        <w:br w:type="column"/>
      </w:r>
      <w:r>
        <w:rPr>
          <w:spacing w:val="-2"/>
        </w:rPr>
        <w:t>指因结核杆菌引起的脊髓炎，导致永久性神经系统功能中度障碍，即疾病首次确诊180天后，仍遗留下列障碍：</w:t>
      </w:r>
    </w:p>
    <w:p>
      <w:pPr>
        <w:pStyle w:val="BodyText"/>
        <w:spacing w:line="324" w:lineRule="auto"/>
        <w:ind w:left="152" w:right="152"/>
      </w:pPr>
      <w:r>
        <w:rPr>
          <w:spacing w:val="-2"/>
        </w:rPr>
        <w:t>自主生活能力部分丧失，</w:t>
      </w:r>
      <w:r>
        <w:rPr>
          <w:color w:val="000000"/>
          <w:spacing w:val="-2"/>
          <w:shd w:fill="E4E4E4" w:color="auto" w:val="clear"/>
        </w:rPr>
        <w:t>无法独立完成六项基本日常生活活动中的二项或二</w:t>
      </w:r>
      <w:r>
        <w:rPr>
          <w:color w:val="000000"/>
          <w:spacing w:val="-4"/>
          <w:shd w:fill="E4E4E4" w:color="auto" w:val="clear"/>
        </w:rPr>
        <w:t>项以上。</w:t>
      </w:r>
    </w:p>
    <w:p>
      <w:pPr>
        <w:pStyle w:val="BodyText"/>
        <w:spacing w:line="324" w:lineRule="auto"/>
        <w:ind w:left="152" w:right="150"/>
      </w:pPr>
      <w:r>
        <w:rPr>
          <w:spacing w:val="-2"/>
        </w:rPr>
        <w:t>该诊断必须由我们认可的医院内的神经专科医生证实，并必须由适当的检查证明为结核性脊髓炎。</w:t>
      </w:r>
    </w:p>
    <w:p>
      <w:pPr>
        <w:spacing w:after="0" w:line="324" w:lineRule="auto"/>
        <w:sectPr>
          <w:type w:val="continuous"/>
          <w:pgSz w:w="11910" w:h="16840"/>
          <w:pgMar w:header="484" w:footer="706" w:top="1240" w:bottom="900" w:left="980" w:right="980"/>
          <w:cols w:num="2" w:equalWidth="0">
            <w:col w:w="2277" w:space="51"/>
            <w:col w:w="7622"/>
          </w:cols>
        </w:sectPr>
      </w:pPr>
    </w:p>
    <w:p>
      <w:pPr>
        <w:pStyle w:val="BodyText"/>
        <w:spacing w:before="5"/>
        <w:rPr>
          <w:sz w:val="21"/>
        </w:rPr>
      </w:pPr>
    </w:p>
    <w:p>
      <w:pPr>
        <w:spacing w:after="0"/>
        <w:rPr>
          <w:sz w:val="21"/>
        </w:rPr>
        <w:sectPr>
          <w:type w:val="continuous"/>
          <w:pgSz w:w="11910" w:h="16840"/>
          <w:pgMar w:header="484" w:footer="706" w:top="1240" w:bottom="900" w:left="980" w:right="980"/>
        </w:sectPr>
      </w:pPr>
    </w:p>
    <w:p>
      <w:pPr>
        <w:pStyle w:val="Heading2"/>
        <w:numPr>
          <w:ilvl w:val="1"/>
          <w:numId w:val="76"/>
        </w:numPr>
        <w:tabs>
          <w:tab w:pos="955" w:val="left" w:leader="none"/>
        </w:tabs>
        <w:spacing w:line="240" w:lineRule="auto" w:before="72" w:after="0"/>
        <w:ind w:left="954" w:right="0" w:hanging="803"/>
        <w:jc w:val="left"/>
      </w:pPr>
      <w:r>
        <w:rPr>
          <w:spacing w:val="-4"/>
        </w:rPr>
        <w:t>中度脊髓灰质</w:t>
      </w:r>
    </w:p>
    <w:p>
      <w:pPr>
        <w:spacing w:before="30"/>
        <w:ind w:left="954" w:right="0" w:firstLine="0"/>
        <w:jc w:val="left"/>
        <w:rPr>
          <w:rFonts w:ascii="华文中宋" w:eastAsia="华文中宋" w:hint="eastAsia"/>
          <w:b/>
          <w:sz w:val="22"/>
        </w:rPr>
      </w:pPr>
      <w:r>
        <w:rPr>
          <w:rFonts w:ascii="华文中宋" w:eastAsia="华文中宋" w:hint="eastAsia"/>
          <w:b/>
          <w:w w:val="100"/>
          <w:sz w:val="22"/>
        </w:rPr>
        <w:t>炎</w:t>
      </w:r>
    </w:p>
    <w:p>
      <w:pPr>
        <w:pStyle w:val="BodyText"/>
        <w:spacing w:line="324" w:lineRule="auto" w:before="102"/>
        <w:ind w:left="152" w:right="150"/>
        <w:jc w:val="both"/>
      </w:pPr>
      <w:r>
        <w:rPr/>
        <w:br w:type="column"/>
      </w:r>
      <w:r>
        <w:rPr>
          <w:spacing w:val="-1"/>
          <w:w w:val="100"/>
        </w:rPr>
        <w:t>脊髓灰质炎是由于脊髓灰质炎病毒感染所致的瘫痪性疾病，临床表现为运动</w:t>
      </w:r>
      <w:r>
        <w:rPr>
          <w:spacing w:val="2"/>
          <w:w w:val="100"/>
        </w:rPr>
        <w:t>功能损害或呼吸无力。本保险合同仅对脊髓灰质炎确诊</w:t>
      </w:r>
      <w:r>
        <w:rPr>
          <w:spacing w:val="-1"/>
          <w:w w:val="100"/>
        </w:rPr>
        <w:t>18</w:t>
      </w:r>
      <w:r>
        <w:rPr>
          <w:spacing w:val="2"/>
          <w:w w:val="100"/>
        </w:rPr>
        <w:t>0天后，仍遗留一</w:t>
      </w:r>
      <w:r>
        <w:rPr>
          <w:spacing w:val="-1"/>
          <w:w w:val="100"/>
        </w:rPr>
        <w:t>肢肢体三大关节中的至少一个大关节仍然完全僵硬，或不能随意识活动，</w:t>
      </w:r>
      <w:r>
        <w:rPr>
          <w:color w:val="000000"/>
          <w:w w:val="100"/>
          <w:shd w:fill="E4E4E4" w:color="auto" w:val="clear"/>
        </w:rPr>
        <w:t>但</w:t>
      </w:r>
      <w:r>
        <w:rPr>
          <w:color w:val="000000"/>
          <w:w w:val="100"/>
          <w:shd w:fill="E4E4E4" w:color="auto" w:val="clear"/>
        </w:rPr>
        <w:t>                                                                                                                                  </w:t>
      </w:r>
      <w:r>
        <w:rPr>
          <w:color w:val="000000"/>
          <w:spacing w:val="-3"/>
          <w:w w:val="100"/>
          <w:shd w:fill="E4E4E4" w:color="auto" w:val="clear"/>
        </w:rPr>
        <w:t>未达到重大疾病“</w:t>
      </w:r>
      <w:r>
        <w:rPr>
          <w:color w:val="000000"/>
          <w:spacing w:val="-1"/>
          <w:w w:val="100"/>
          <w:shd w:fill="E4E4E4" w:color="auto" w:val="clear"/>
        </w:rPr>
        <w:t>10.10</w:t>
      </w:r>
      <w:r>
        <w:rPr>
          <w:color w:val="000000"/>
          <w:w w:val="100"/>
          <w:shd w:fill="E4E4E4" w:color="auto" w:val="clear"/>
        </w:rPr>
        <w:t>2</w:t>
      </w:r>
      <w:r>
        <w:rPr>
          <w:color w:val="000000"/>
          <w:spacing w:val="-3"/>
          <w:shd w:fill="E4E4E4" w:color="auto" w:val="clear"/>
        </w:rPr>
        <w:t> </w:t>
      </w:r>
      <w:r>
        <w:rPr>
          <w:color w:val="000000"/>
          <w:spacing w:val="-3"/>
          <w:w w:val="100"/>
          <w:shd w:fill="E4E4E4" w:color="auto" w:val="clear"/>
        </w:rPr>
        <w:t>严重脊髓灰质炎”的给付标准。</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7"/>
        <w:rPr>
          <w:sz w:val="21"/>
        </w:rPr>
      </w:pPr>
    </w:p>
    <w:p>
      <w:pPr>
        <w:pStyle w:val="ListParagraph"/>
        <w:numPr>
          <w:ilvl w:val="1"/>
          <w:numId w:val="76"/>
        </w:numPr>
        <w:tabs>
          <w:tab w:pos="955" w:val="left" w:leader="none"/>
          <w:tab w:pos="2480" w:val="left" w:leader="none"/>
        </w:tabs>
        <w:spacing w:line="280" w:lineRule="auto" w:before="73" w:after="0"/>
        <w:ind w:left="2480" w:right="1741" w:hanging="2328"/>
        <w:jc w:val="left"/>
        <w:rPr>
          <w:sz w:val="22"/>
        </w:rPr>
      </w:pPr>
      <w:r>
        <w:rPr>
          <w:rFonts w:ascii="华文中宋" w:eastAsia="华文中宋" w:hint="eastAsia"/>
          <w:b/>
          <w:spacing w:val="-2"/>
          <w:sz w:val="22"/>
        </w:rPr>
        <w:t>单侧肺脏切除</w:t>
      </w:r>
      <w:r>
        <w:rPr>
          <w:rFonts w:ascii="华文中宋" w:eastAsia="华文中宋" w:hint="eastAsia"/>
          <w:b/>
          <w:sz w:val="22"/>
        </w:rPr>
        <w:tab/>
      </w:r>
      <w:r>
        <w:rPr>
          <w:spacing w:val="-2"/>
          <w:sz w:val="22"/>
        </w:rPr>
        <w:t>指因疾病或意外事故实际实施的肺脏左叶或右叶全部切除。</w:t>
      </w:r>
      <w:r>
        <w:rPr>
          <w:color w:val="000000"/>
          <w:spacing w:val="-2"/>
          <w:sz w:val="22"/>
          <w:shd w:fill="E4E4E4" w:color="auto" w:val="clear"/>
        </w:rPr>
        <w:t>以下的肺脏切除不在保障范围之列：</w:t>
      </w:r>
    </w:p>
    <w:p>
      <w:pPr>
        <w:pStyle w:val="ListParagraph"/>
        <w:numPr>
          <w:ilvl w:val="2"/>
          <w:numId w:val="76"/>
        </w:numPr>
        <w:tabs>
          <w:tab w:pos="2935" w:val="left" w:leader="none"/>
        </w:tabs>
        <w:spacing w:line="240" w:lineRule="auto" w:before="52" w:after="0"/>
        <w:ind w:left="2934" w:right="0" w:hanging="455"/>
        <w:jc w:val="left"/>
        <w:rPr>
          <w:sz w:val="22"/>
        </w:rPr>
      </w:pPr>
      <w:r>
        <w:rPr>
          <w:color w:val="000000"/>
          <w:spacing w:val="-3"/>
          <w:sz w:val="22"/>
          <w:shd w:fill="E4E4E4" w:color="auto" w:val="clear"/>
        </w:rPr>
        <w:t>肺脏左叶或右叶部分切除；</w:t>
      </w:r>
    </w:p>
    <w:p>
      <w:pPr>
        <w:pStyle w:val="ListParagraph"/>
        <w:numPr>
          <w:ilvl w:val="2"/>
          <w:numId w:val="76"/>
        </w:numPr>
        <w:tabs>
          <w:tab w:pos="2935" w:val="left" w:leader="none"/>
        </w:tabs>
        <w:spacing w:line="240" w:lineRule="auto" w:before="98" w:after="0"/>
        <w:ind w:left="2934" w:right="0" w:hanging="455"/>
        <w:jc w:val="left"/>
        <w:rPr>
          <w:sz w:val="22"/>
        </w:rPr>
      </w:pPr>
      <w:r>
        <w:rPr>
          <w:color w:val="000000"/>
          <w:spacing w:val="-3"/>
          <w:sz w:val="22"/>
          <w:shd w:fill="E4E4E4" w:color="auto" w:val="clear"/>
        </w:rPr>
        <w:t>因捐献肺脏引起的肺脏左叶或右叶全部切除；</w:t>
      </w:r>
    </w:p>
    <w:p>
      <w:pPr>
        <w:pStyle w:val="ListParagraph"/>
        <w:numPr>
          <w:ilvl w:val="2"/>
          <w:numId w:val="76"/>
        </w:numPr>
        <w:tabs>
          <w:tab w:pos="2935" w:val="left" w:leader="none"/>
        </w:tabs>
        <w:spacing w:line="240" w:lineRule="auto" w:before="97" w:after="0"/>
        <w:ind w:left="2934" w:right="0" w:hanging="455"/>
        <w:jc w:val="left"/>
        <w:rPr>
          <w:sz w:val="22"/>
        </w:rPr>
      </w:pPr>
      <w:r>
        <w:rPr>
          <w:color w:val="000000"/>
          <w:spacing w:val="-3"/>
          <w:sz w:val="22"/>
          <w:shd w:fill="E4E4E4" w:color="auto" w:val="clear"/>
        </w:rPr>
        <w:t>因恶性肿瘤进行的肺脏切除手术。</w:t>
      </w:r>
    </w:p>
    <w:p>
      <w:pPr>
        <w:pStyle w:val="BodyText"/>
        <w:spacing w:before="5"/>
        <w:rPr>
          <w:sz w:val="29"/>
        </w:rPr>
      </w:pPr>
    </w:p>
    <w:p>
      <w:pPr>
        <w:spacing w:after="0"/>
        <w:rPr>
          <w:sz w:val="29"/>
        </w:rPr>
        <w:sectPr>
          <w:type w:val="continuous"/>
          <w:pgSz w:w="11910" w:h="16840"/>
          <w:pgMar w:header="484" w:footer="706" w:top="1240" w:bottom="900" w:left="980" w:right="980"/>
        </w:sectPr>
      </w:pPr>
    </w:p>
    <w:p>
      <w:pPr>
        <w:pStyle w:val="Heading2"/>
        <w:numPr>
          <w:ilvl w:val="1"/>
          <w:numId w:val="76"/>
        </w:numPr>
        <w:tabs>
          <w:tab w:pos="955" w:val="left" w:leader="none"/>
        </w:tabs>
        <w:spacing w:line="240" w:lineRule="auto" w:before="72" w:after="0"/>
        <w:ind w:left="954" w:right="0" w:hanging="803"/>
        <w:jc w:val="left"/>
      </w:pPr>
      <w:r>
        <w:rPr>
          <w:spacing w:val="-4"/>
        </w:rPr>
        <w:t>中度进行性核</w:t>
      </w:r>
    </w:p>
    <w:p>
      <w:pPr>
        <w:spacing w:before="30"/>
        <w:ind w:left="954" w:right="0" w:firstLine="0"/>
        <w:jc w:val="left"/>
        <w:rPr>
          <w:rFonts w:ascii="华文中宋" w:eastAsia="华文中宋" w:hint="eastAsia"/>
          <w:b/>
          <w:sz w:val="22"/>
        </w:rPr>
      </w:pPr>
      <w:r>
        <w:rPr>
          <w:rFonts w:ascii="华文中宋" w:eastAsia="华文中宋" w:hint="eastAsia"/>
          <w:b/>
          <w:spacing w:val="-5"/>
          <w:sz w:val="22"/>
        </w:rPr>
        <w:t>上性麻痹</w:t>
      </w:r>
    </w:p>
    <w:p>
      <w:pPr>
        <w:pStyle w:val="BodyText"/>
        <w:spacing w:line="324" w:lineRule="auto" w:before="103"/>
        <w:ind w:left="152" w:right="150"/>
      </w:pPr>
      <w:r>
        <w:rPr/>
        <w:br w:type="column"/>
      </w:r>
      <w:r>
        <w:rPr>
          <w:spacing w:val="-2"/>
        </w:rPr>
        <w:t>指一种少见的神经系统变性疾病，以假球麻痹、垂直性核上性眼肌麻痹、锥体外系肌僵直、步态共济失调和轻度痴呆为主要临床特征。</w:t>
      </w:r>
    </w:p>
    <w:p>
      <w:pPr>
        <w:pStyle w:val="BodyText"/>
        <w:spacing w:line="324" w:lineRule="auto"/>
        <w:ind w:left="152" w:right="152"/>
      </w:pPr>
      <w:r>
        <w:rPr>
          <w:spacing w:val="-2"/>
        </w:rPr>
        <w:t>须由我们认可的医院的专科医生确诊，且满足自主生活能力完全丧失，</w:t>
      </w:r>
      <w:r>
        <w:rPr>
          <w:color w:val="000000"/>
          <w:spacing w:val="-2"/>
          <w:shd w:fill="E4E4E4" w:color="auto" w:val="clear"/>
        </w:rPr>
        <w:t>无法</w:t>
      </w:r>
      <w:r>
        <w:rPr>
          <w:color w:val="000000"/>
          <w:spacing w:val="80"/>
          <w:w w:val="150"/>
          <w:shd w:fill="E4E4E4" w:color="auto" w:val="clear"/>
        </w:rPr>
        <w:t>                                       </w:t>
      </w:r>
      <w:r>
        <w:rPr>
          <w:color w:val="000000"/>
          <w:spacing w:val="-2"/>
          <w:shd w:fill="E4E4E4" w:color="auto" w:val="clear"/>
        </w:rPr>
        <w:t>独立完成六项基本日常生活活动中的两项。</w:t>
      </w:r>
    </w:p>
    <w:p>
      <w:pPr>
        <w:spacing w:after="0" w:line="324" w:lineRule="auto"/>
        <w:sectPr>
          <w:type w:val="continuous"/>
          <w:pgSz w:w="11910" w:h="16840"/>
          <w:pgMar w:header="484" w:footer="706" w:top="1240" w:bottom="900" w:left="980" w:right="980"/>
          <w:cols w:num="2" w:equalWidth="0">
            <w:col w:w="2277" w:space="51"/>
            <w:col w:w="7622"/>
          </w:cols>
        </w:sectPr>
      </w:pPr>
    </w:p>
    <w:p>
      <w:pPr>
        <w:pStyle w:val="BodyText"/>
        <w:spacing w:before="4"/>
        <w:rPr>
          <w:sz w:val="21"/>
        </w:rPr>
      </w:pPr>
    </w:p>
    <w:p>
      <w:pPr>
        <w:pStyle w:val="ListParagraph"/>
        <w:numPr>
          <w:ilvl w:val="1"/>
          <w:numId w:val="76"/>
        </w:numPr>
        <w:tabs>
          <w:tab w:pos="955" w:val="left" w:leader="none"/>
        </w:tabs>
        <w:spacing w:line="302" w:lineRule="auto" w:before="75" w:after="0"/>
        <w:ind w:left="2480" w:right="150" w:hanging="2328"/>
        <w:jc w:val="both"/>
        <w:rPr>
          <w:sz w:val="22"/>
        </w:rPr>
      </w:pPr>
      <w:r>
        <w:rPr>
          <w:rFonts w:ascii="华文中宋" w:eastAsia="华文中宋" w:hint="eastAsia"/>
          <w:b/>
          <w:spacing w:val="-2"/>
          <w:w w:val="100"/>
          <w:sz w:val="22"/>
        </w:rPr>
        <w:t>中度克雅氏病</w:t>
      </w:r>
      <w:r>
        <w:rPr>
          <w:rFonts w:ascii="华文中宋" w:eastAsia="华文中宋" w:hint="eastAsia"/>
          <w:b/>
          <w:spacing w:val="-3"/>
          <w:sz w:val="22"/>
        </w:rPr>
        <w:t>   </w:t>
      </w:r>
      <w:r>
        <w:rPr>
          <w:spacing w:val="-1"/>
          <w:w w:val="100"/>
          <w:sz w:val="22"/>
        </w:rPr>
        <w:t>是一种传染性海绵状脑病，临床表现为快速进行性痴呆、肌阵挛和特征性脑</w:t>
      </w:r>
      <w:r>
        <w:rPr>
          <w:spacing w:val="2"/>
          <w:w w:val="100"/>
          <w:sz w:val="22"/>
        </w:rPr>
        <w:t>电图变化。须由我们认可的医院的专科医生根据</w:t>
      </w:r>
      <w:r>
        <w:rPr>
          <w:spacing w:val="-1"/>
          <w:w w:val="100"/>
          <w:sz w:val="22"/>
        </w:rPr>
        <w:t>WH</w:t>
      </w:r>
      <w:r>
        <w:rPr>
          <w:spacing w:val="4"/>
          <w:w w:val="100"/>
          <w:sz w:val="22"/>
        </w:rPr>
        <w:t>O</w:t>
      </w:r>
      <w:r>
        <w:rPr>
          <w:spacing w:val="1"/>
          <w:w w:val="100"/>
          <w:sz w:val="22"/>
        </w:rPr>
        <w:t>诊断标准明确诊断，并</w:t>
      </w:r>
      <w:r>
        <w:rPr>
          <w:spacing w:val="-3"/>
          <w:w w:val="100"/>
          <w:sz w:val="22"/>
        </w:rPr>
        <w:t>且自主生活能力完全丧失，</w:t>
      </w:r>
      <w:r>
        <w:rPr>
          <w:color w:val="000000"/>
          <w:spacing w:val="-3"/>
          <w:w w:val="100"/>
          <w:sz w:val="22"/>
          <w:shd w:fill="E4E4E4" w:color="auto" w:val="clear"/>
        </w:rPr>
        <w:t>无法独立完成六项基本日常生活活动中的两项。</w:t>
      </w:r>
    </w:p>
    <w:p>
      <w:pPr>
        <w:pStyle w:val="BodyText"/>
        <w:spacing w:before="2"/>
        <w:rPr>
          <w:sz w:val="23"/>
        </w:rPr>
      </w:pPr>
    </w:p>
    <w:p>
      <w:pPr>
        <w:spacing w:after="0"/>
        <w:rPr>
          <w:sz w:val="23"/>
        </w:rPr>
        <w:sectPr>
          <w:type w:val="continuous"/>
          <w:pgSz w:w="11910" w:h="16840"/>
          <w:pgMar w:header="484" w:footer="706" w:top="1240" w:bottom="900" w:left="980" w:right="980"/>
        </w:sectPr>
      </w:pPr>
    </w:p>
    <w:p>
      <w:pPr>
        <w:pStyle w:val="Heading2"/>
        <w:numPr>
          <w:ilvl w:val="1"/>
          <w:numId w:val="76"/>
        </w:numPr>
        <w:tabs>
          <w:tab w:pos="955" w:val="left" w:leader="none"/>
        </w:tabs>
        <w:spacing w:line="261" w:lineRule="auto" w:before="72" w:after="0"/>
        <w:ind w:left="954" w:right="0" w:hanging="802"/>
        <w:jc w:val="left"/>
      </w:pPr>
      <w:r>
        <w:rPr>
          <w:spacing w:val="-2"/>
        </w:rPr>
        <w:t>中度强直性脊</w:t>
      </w:r>
      <w:r>
        <w:rPr>
          <w:spacing w:val="-6"/>
        </w:rPr>
        <w:t>柱炎</w:t>
      </w:r>
    </w:p>
    <w:p>
      <w:pPr>
        <w:pStyle w:val="BodyText"/>
        <w:spacing w:line="324" w:lineRule="auto" w:before="102"/>
        <w:ind w:left="152" w:right="150"/>
        <w:jc w:val="both"/>
      </w:pPr>
      <w:r>
        <w:rPr/>
        <w:br w:type="column"/>
      </w:r>
      <w:r>
        <w:rPr>
          <w:spacing w:val="-2"/>
        </w:rPr>
        <w:t>是一种慢性全身性炎性疾病，主要侵犯脊柱导致脊柱畸形。必须明确诊断</w:t>
      </w:r>
      <w:r>
        <w:rPr>
          <w:color w:val="000000"/>
          <w:spacing w:val="-2"/>
          <w:shd w:fill="E4E4E4" w:color="auto" w:val="clear"/>
        </w:rPr>
        <w:t>并</w:t>
      </w:r>
      <w:r>
        <w:rPr>
          <w:color w:val="000000"/>
          <w:spacing w:val="40"/>
          <w:shd w:fill="E4E4E4" w:color="auto" w:val="clear"/>
        </w:rPr>
        <w:t> </w:t>
      </w:r>
      <w:r>
        <w:rPr>
          <w:color w:val="000000"/>
          <w:shd w:fill="E4E4E4" w:color="auto" w:val="clear"/>
        </w:rPr>
        <w:t>且满足下列所有条件，但未达到重大疾病“10.75 严重强直性脊柱炎”的给</w:t>
      </w:r>
      <w:r>
        <w:rPr>
          <w:color w:val="000000"/>
          <w:spacing w:val="-4"/>
          <w:shd w:fill="E4E4E4" w:color="auto" w:val="clear"/>
        </w:rPr>
        <w:t>付标准：</w:t>
      </w:r>
    </w:p>
    <w:p>
      <w:pPr>
        <w:pStyle w:val="ListParagraph"/>
        <w:numPr>
          <w:ilvl w:val="0"/>
          <w:numId w:val="78"/>
        </w:numPr>
        <w:tabs>
          <w:tab w:pos="607" w:val="left" w:leader="none"/>
        </w:tabs>
        <w:spacing w:line="280" w:lineRule="exact" w:before="0" w:after="0"/>
        <w:ind w:left="606" w:right="0" w:hanging="455"/>
        <w:jc w:val="both"/>
        <w:rPr>
          <w:sz w:val="22"/>
        </w:rPr>
      </w:pPr>
      <w:r>
        <w:rPr>
          <w:spacing w:val="-4"/>
          <w:sz w:val="22"/>
        </w:rPr>
        <w:t>严重脊柱畸形；</w:t>
      </w:r>
    </w:p>
    <w:p>
      <w:pPr>
        <w:spacing w:after="0" w:line="280" w:lineRule="exact"/>
        <w:jc w:val="both"/>
        <w:rPr>
          <w:sz w:val="22"/>
        </w:rPr>
        <w:sectPr>
          <w:type w:val="continuous"/>
          <w:pgSz w:w="11910" w:h="16840"/>
          <w:pgMar w:header="484" w:footer="706" w:top="1240" w:bottom="900" w:left="980" w:right="980"/>
          <w:cols w:num="2" w:equalWidth="0">
            <w:col w:w="2277" w:space="51"/>
            <w:col w:w="7622"/>
          </w:cols>
        </w:sectPr>
      </w:pPr>
    </w:p>
    <w:p>
      <w:pPr>
        <w:pStyle w:val="BodyText"/>
        <w:spacing w:before="7"/>
        <w:rPr>
          <w:sz w:val="14"/>
        </w:rPr>
      </w:pPr>
    </w:p>
    <w:p>
      <w:pPr>
        <w:pStyle w:val="ListParagraph"/>
        <w:numPr>
          <w:ilvl w:val="0"/>
          <w:numId w:val="78"/>
        </w:numPr>
        <w:tabs>
          <w:tab w:pos="2935" w:val="left" w:leader="none"/>
        </w:tabs>
        <w:spacing w:line="324" w:lineRule="auto" w:before="70" w:after="0"/>
        <w:ind w:left="2934" w:right="152" w:hanging="454"/>
        <w:jc w:val="left"/>
        <w:rPr>
          <w:sz w:val="22"/>
        </w:rPr>
      </w:pPr>
      <w:r>
        <w:rPr>
          <w:spacing w:val="6"/>
          <w:w w:val="100"/>
          <w:sz w:val="22"/>
        </w:rPr>
        <w:t>自主生活能力完全丧失，无法独立完成六项基本日常生活活动中的两</w:t>
      </w:r>
      <w:r>
        <w:rPr>
          <w:spacing w:val="-1"/>
          <w:w w:val="100"/>
          <w:sz w:val="22"/>
        </w:rPr>
        <w:t>项。</w:t>
      </w:r>
    </w:p>
    <w:p>
      <w:pPr>
        <w:pStyle w:val="BodyText"/>
        <w:spacing w:before="7"/>
        <w:rPr>
          <w:sz w:val="21"/>
        </w:rPr>
      </w:pPr>
    </w:p>
    <w:p>
      <w:pPr>
        <w:spacing w:after="0"/>
        <w:rPr>
          <w:sz w:val="21"/>
        </w:rPr>
        <w:sectPr>
          <w:pgSz w:w="11910" w:h="16840"/>
          <w:pgMar w:header="484" w:footer="706" w:top="1240" w:bottom="900" w:left="980" w:right="980"/>
        </w:sectPr>
      </w:pPr>
    </w:p>
    <w:p>
      <w:pPr>
        <w:pStyle w:val="Heading2"/>
        <w:numPr>
          <w:ilvl w:val="1"/>
          <w:numId w:val="76"/>
        </w:numPr>
        <w:tabs>
          <w:tab w:pos="955" w:val="left" w:leader="none"/>
        </w:tabs>
        <w:spacing w:line="261" w:lineRule="auto" w:before="73" w:after="0"/>
        <w:ind w:left="954" w:right="0" w:hanging="802"/>
        <w:jc w:val="left"/>
      </w:pPr>
      <w:r>
        <w:rPr>
          <w:spacing w:val="-2"/>
        </w:rPr>
        <w:t>中度肌营养不</w:t>
      </w:r>
      <w:r>
        <w:rPr>
          <w:spacing w:val="-6"/>
        </w:rPr>
        <w:t>良症</w:t>
      </w:r>
    </w:p>
    <w:p>
      <w:pPr>
        <w:pStyle w:val="BodyText"/>
        <w:spacing w:line="324" w:lineRule="auto" w:before="103"/>
        <w:ind w:left="152" w:right="150"/>
      </w:pPr>
      <w:r>
        <w:rPr/>
        <w:br w:type="column"/>
      </w:r>
      <w:r>
        <w:rPr>
          <w:spacing w:val="-2"/>
        </w:rPr>
        <w:t>指一组原发于肌肉的遗传性疾病，临床表现为与神经系统无关的肌肉无力和肌肉萎缩。</w:t>
      </w:r>
      <w:r>
        <w:rPr>
          <w:color w:val="000000"/>
          <w:spacing w:val="-2"/>
          <w:shd w:fill="E4E4E4" w:color="auto" w:val="clear"/>
        </w:rPr>
        <w:t>须满足下列全部条件：</w:t>
      </w:r>
    </w:p>
    <w:p>
      <w:pPr>
        <w:pStyle w:val="ListParagraph"/>
        <w:numPr>
          <w:ilvl w:val="0"/>
          <w:numId w:val="79"/>
        </w:numPr>
        <w:tabs>
          <w:tab w:pos="607" w:val="left" w:leader="none"/>
        </w:tabs>
        <w:spacing w:line="324" w:lineRule="auto" w:before="0" w:after="0"/>
        <w:ind w:left="606" w:right="152" w:hanging="454"/>
        <w:jc w:val="left"/>
        <w:rPr>
          <w:sz w:val="22"/>
        </w:rPr>
      </w:pPr>
      <w:r>
        <w:rPr>
          <w:spacing w:val="6"/>
          <w:w w:val="100"/>
          <w:sz w:val="22"/>
        </w:rPr>
        <w:t>肌肉组织活检结果满足肌营养不良症的肌肉细胞变性、坏死等阳性改</w:t>
      </w:r>
      <w:r>
        <w:rPr>
          <w:spacing w:val="-1"/>
          <w:w w:val="100"/>
          <w:sz w:val="22"/>
        </w:rPr>
        <w:t>变；</w:t>
      </w:r>
    </w:p>
    <w:p>
      <w:pPr>
        <w:pStyle w:val="ListParagraph"/>
        <w:numPr>
          <w:ilvl w:val="0"/>
          <w:numId w:val="79"/>
        </w:numPr>
        <w:tabs>
          <w:tab w:pos="607" w:val="left" w:leader="none"/>
        </w:tabs>
        <w:spacing w:line="324" w:lineRule="auto" w:before="0" w:after="0"/>
        <w:ind w:left="606" w:right="152" w:hanging="454"/>
        <w:jc w:val="left"/>
        <w:rPr>
          <w:sz w:val="22"/>
        </w:rPr>
      </w:pPr>
      <w:r>
        <w:rPr>
          <w:spacing w:val="6"/>
          <w:w w:val="100"/>
          <w:sz w:val="22"/>
        </w:rPr>
        <w:t>自主生活能力严重丧失，无法独立完成六项基本日常生活活动中的两</w:t>
      </w:r>
      <w:r>
        <w:rPr>
          <w:spacing w:val="-1"/>
          <w:w w:val="100"/>
          <w:sz w:val="22"/>
        </w:rPr>
        <w:t>项。</w:t>
      </w:r>
    </w:p>
    <w:p>
      <w:pPr>
        <w:spacing w:after="0" w:line="324"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4"/>
        <w:rPr>
          <w:sz w:val="21"/>
        </w:rPr>
      </w:pPr>
    </w:p>
    <w:p>
      <w:pPr>
        <w:spacing w:after="0"/>
        <w:rPr>
          <w:sz w:val="21"/>
        </w:rPr>
        <w:sectPr>
          <w:type w:val="continuous"/>
          <w:pgSz w:w="11910" w:h="16840"/>
          <w:pgMar w:header="484" w:footer="706" w:top="1240" w:bottom="900" w:left="980" w:right="980"/>
        </w:sectPr>
      </w:pPr>
    </w:p>
    <w:p>
      <w:pPr>
        <w:pStyle w:val="Heading2"/>
        <w:numPr>
          <w:ilvl w:val="1"/>
          <w:numId w:val="76"/>
        </w:numPr>
        <w:tabs>
          <w:tab w:pos="955" w:val="left" w:leader="none"/>
        </w:tabs>
        <w:spacing w:line="261" w:lineRule="auto" w:before="75" w:after="0"/>
        <w:ind w:left="954" w:right="0" w:hanging="802"/>
        <w:jc w:val="left"/>
      </w:pPr>
      <w:r>
        <w:rPr>
          <w:spacing w:val="-2"/>
        </w:rPr>
        <w:t>中度面积Ⅲ度</w:t>
      </w:r>
      <w:r>
        <w:rPr>
          <w:spacing w:val="-6"/>
        </w:rPr>
        <w:t>烧伤</w:t>
      </w:r>
    </w:p>
    <w:p>
      <w:pPr>
        <w:pStyle w:val="BodyText"/>
        <w:spacing w:line="324" w:lineRule="auto" w:before="106"/>
        <w:ind w:left="152" w:right="150"/>
        <w:jc w:val="both"/>
      </w:pPr>
      <w:r>
        <w:rPr/>
        <w:br w:type="column"/>
      </w:r>
      <w:r>
        <w:rPr>
          <w:spacing w:val="-2"/>
        </w:rPr>
        <w:t>指烧伤程度为Ⅲ度，即全层皮肤烧伤，包括表皮、真皮和皮下组织，且Ⅲ度</w:t>
      </w:r>
      <w:r>
        <w:rPr>
          <w:spacing w:val="-2"/>
        </w:rPr>
        <w:t>烧伤的面积达到全身体表面积的15%或15%以上，</w:t>
      </w:r>
      <w:r>
        <w:rPr>
          <w:color w:val="000000"/>
          <w:spacing w:val="-2"/>
          <w:shd w:fill="E4E4E4" w:color="auto" w:val="clear"/>
        </w:rPr>
        <w:t>但未达到重大疾病“10.20</w:t>
      </w:r>
      <w:r>
        <w:rPr>
          <w:color w:val="000000"/>
          <w:spacing w:val="40"/>
          <w:shd w:fill="E4E4E4" w:color="auto" w:val="clear"/>
        </w:rPr>
        <w:t> </w:t>
      </w:r>
      <w:r>
        <w:rPr>
          <w:color w:val="000000"/>
          <w:spacing w:val="-2"/>
          <w:shd w:fill="E4E4E4" w:color="auto" w:val="clear"/>
        </w:rPr>
        <w:t>严重Ⅲ度烧伤”的给付标准。</w:t>
      </w:r>
      <w:r>
        <w:rPr>
          <w:color w:val="000000"/>
          <w:spacing w:val="-2"/>
        </w:rPr>
        <w:t>体表面积根据《中国新九分法》计算。</w:t>
      </w:r>
    </w:p>
    <w:p>
      <w:pPr>
        <w:spacing w:after="0" w:line="324" w:lineRule="auto"/>
        <w:jc w:val="both"/>
        <w:sectPr>
          <w:type w:val="continuous"/>
          <w:pgSz w:w="11910" w:h="16840"/>
          <w:pgMar w:header="484" w:footer="706" w:top="1240" w:bottom="900" w:left="980" w:right="980"/>
          <w:cols w:num="2" w:equalWidth="0">
            <w:col w:w="2278" w:space="50"/>
            <w:col w:w="7622"/>
          </w:cols>
        </w:sectPr>
      </w:pPr>
    </w:p>
    <w:p>
      <w:pPr>
        <w:pStyle w:val="BodyText"/>
        <w:spacing w:before="5"/>
        <w:rPr>
          <w:sz w:val="21"/>
        </w:rPr>
      </w:pPr>
    </w:p>
    <w:p>
      <w:pPr>
        <w:spacing w:after="0"/>
        <w:rPr>
          <w:sz w:val="21"/>
        </w:rPr>
        <w:sectPr>
          <w:type w:val="continuous"/>
          <w:pgSz w:w="11910" w:h="16840"/>
          <w:pgMar w:header="484" w:footer="706" w:top="1240" w:bottom="900" w:left="980" w:right="980"/>
        </w:sectPr>
      </w:pPr>
    </w:p>
    <w:p>
      <w:pPr>
        <w:pStyle w:val="Heading2"/>
        <w:numPr>
          <w:ilvl w:val="1"/>
          <w:numId w:val="76"/>
        </w:numPr>
        <w:tabs>
          <w:tab w:pos="955" w:val="left" w:leader="none"/>
        </w:tabs>
        <w:spacing w:line="261" w:lineRule="auto" w:before="73" w:after="0"/>
        <w:ind w:left="954" w:right="0" w:hanging="802"/>
        <w:jc w:val="left"/>
      </w:pPr>
      <w:r>
        <w:rPr>
          <w:spacing w:val="-2"/>
        </w:rPr>
        <w:t>中度面部Ⅲ度</w:t>
      </w:r>
      <w:r>
        <w:rPr>
          <w:spacing w:val="-6"/>
        </w:rPr>
        <w:t>烧伤</w:t>
      </w:r>
    </w:p>
    <w:p>
      <w:pPr>
        <w:pStyle w:val="BodyText"/>
        <w:spacing w:line="324" w:lineRule="auto" w:before="103"/>
        <w:ind w:left="152" w:right="150"/>
        <w:jc w:val="both"/>
      </w:pPr>
      <w:r>
        <w:rPr/>
        <w:br w:type="column"/>
      </w:r>
      <w:r>
        <w:rPr>
          <w:spacing w:val="2"/>
          <w:w w:val="100"/>
        </w:rPr>
        <w:t>指面部烧伤程度为Ⅲ度，且面部Ⅲ度烧伤的面积达到面部表面积的</w:t>
      </w:r>
      <w:r>
        <w:rPr>
          <w:spacing w:val="-1"/>
          <w:w w:val="100"/>
        </w:rPr>
        <w:t>60</w:t>
      </w:r>
      <w:r>
        <w:rPr>
          <w:spacing w:val="2"/>
          <w:w w:val="100"/>
        </w:rPr>
        <w:t>%及以</w:t>
      </w:r>
      <w:r>
        <w:rPr>
          <w:w w:val="100"/>
        </w:rPr>
        <w:t>上，</w:t>
      </w:r>
      <w:r>
        <w:rPr>
          <w:color w:val="000000"/>
          <w:spacing w:val="-1"/>
          <w:w w:val="100"/>
          <w:shd w:fill="E4E4E4" w:color="auto" w:val="clear"/>
        </w:rPr>
        <w:t>但未达到重大疾病“10.6</w:t>
      </w:r>
      <w:r>
        <w:rPr>
          <w:color w:val="000000"/>
          <w:w w:val="100"/>
          <w:shd w:fill="E4E4E4" w:color="auto" w:val="clear"/>
        </w:rPr>
        <w:t>9</w:t>
      </w:r>
      <w:r>
        <w:rPr>
          <w:color w:val="000000"/>
          <w:shd w:fill="E4E4E4" w:color="auto" w:val="clear"/>
        </w:rPr>
        <w:t> </w:t>
      </w:r>
      <w:r>
        <w:rPr>
          <w:color w:val="000000"/>
          <w:spacing w:val="-1"/>
          <w:w w:val="100"/>
          <w:shd w:fill="E4E4E4" w:color="auto" w:val="clear"/>
        </w:rPr>
        <w:t>严重面部烧伤”的给付标准。</w:t>
      </w:r>
      <w:r>
        <w:rPr>
          <w:color w:val="000000"/>
          <w:spacing w:val="-1"/>
          <w:w w:val="100"/>
        </w:rPr>
        <w:t>面部的范围指</w:t>
      </w:r>
      <w:r>
        <w:rPr>
          <w:color w:val="000000"/>
          <w:spacing w:val="6"/>
          <w:w w:val="100"/>
        </w:rPr>
        <w:t>上至发际、下至下颌下缘、两侧至下颌支后缘之间的区域，包括额部、眼</w:t>
      </w:r>
      <w:r>
        <w:rPr>
          <w:color w:val="000000"/>
          <w:spacing w:val="-3"/>
          <w:w w:val="100"/>
        </w:rPr>
        <w:t>部、眶部、鼻部、口唇部、颏部、颧部、颊部和腮腺咬肌部。</w:t>
      </w:r>
    </w:p>
    <w:p>
      <w:pPr>
        <w:spacing w:after="0" w:line="324" w:lineRule="auto"/>
        <w:jc w:val="both"/>
        <w:sectPr>
          <w:type w:val="continuous"/>
          <w:pgSz w:w="11910" w:h="16840"/>
          <w:pgMar w:header="484" w:footer="706" w:top="1240" w:bottom="900" w:left="980" w:right="980"/>
          <w:cols w:num="2" w:equalWidth="0">
            <w:col w:w="2278" w:space="50"/>
            <w:col w:w="7622"/>
          </w:cols>
        </w:sectPr>
      </w:pPr>
    </w:p>
    <w:p>
      <w:pPr>
        <w:pStyle w:val="BodyText"/>
        <w:spacing w:before="5"/>
        <w:rPr>
          <w:sz w:val="21"/>
        </w:rPr>
      </w:pPr>
    </w:p>
    <w:p>
      <w:pPr>
        <w:pStyle w:val="ListParagraph"/>
        <w:numPr>
          <w:ilvl w:val="1"/>
          <w:numId w:val="76"/>
        </w:numPr>
        <w:tabs>
          <w:tab w:pos="955" w:val="left" w:leader="none"/>
        </w:tabs>
        <w:spacing w:line="302" w:lineRule="auto" w:before="75" w:after="0"/>
        <w:ind w:left="2480" w:right="150" w:hanging="2328"/>
        <w:jc w:val="both"/>
        <w:rPr>
          <w:sz w:val="22"/>
        </w:rPr>
      </w:pPr>
      <w:r>
        <w:rPr>
          <w:rFonts w:ascii="华文中宋" w:eastAsia="华文中宋" w:hint="eastAsia"/>
          <w:b/>
          <w:sz w:val="22"/>
        </w:rPr>
        <w:t>昏迷72</w:t>
      </w:r>
      <w:r>
        <w:rPr>
          <w:rFonts w:ascii="华文中宋" w:eastAsia="华文中宋" w:hint="eastAsia"/>
          <w:b/>
          <w:spacing w:val="20"/>
          <w:sz w:val="22"/>
        </w:rPr>
        <w:t>小时  </w:t>
      </w:r>
      <w:r>
        <w:rPr>
          <w:sz w:val="22"/>
        </w:rPr>
        <w:t>指因疾病或意外伤害导致意识丧失，对外界刺激和体内需求均无反应，昏迷程度按照格拉斯哥昏迷分级（GCS，Glasgow Coma Scale）结果为5分或5分</w:t>
      </w:r>
      <w:r>
        <w:rPr>
          <w:spacing w:val="-2"/>
          <w:sz w:val="22"/>
        </w:rPr>
        <w:t>以下，且已经持续使用呼吸机及其它生命维持系统72小时以上，</w:t>
      </w:r>
      <w:r>
        <w:rPr>
          <w:color w:val="000000"/>
          <w:spacing w:val="-2"/>
          <w:sz w:val="22"/>
          <w:shd w:fill="E4E4E4" w:color="auto" w:val="clear"/>
        </w:rPr>
        <w:t>但未达到重</w:t>
      </w:r>
    </w:p>
    <w:p>
      <w:pPr>
        <w:pStyle w:val="BodyText"/>
        <w:spacing w:before="19"/>
        <w:ind w:left="2480"/>
      </w:pPr>
      <w:r>
        <w:rPr>
          <w:color w:val="000000"/>
          <w:shd w:fill="E4E4E4" w:color="auto" w:val="clear"/>
        </w:rPr>
        <w:t>大疾病“10.12</w:t>
      </w:r>
      <w:r>
        <w:rPr>
          <w:color w:val="000000"/>
          <w:spacing w:val="-7"/>
          <w:shd w:fill="E4E4E4" w:color="auto" w:val="clear"/>
        </w:rPr>
        <w:t> 深度昏迷”的标准。</w:t>
      </w:r>
    </w:p>
    <w:p>
      <w:pPr>
        <w:pStyle w:val="BodyText"/>
        <w:spacing w:before="98"/>
        <w:ind w:left="2480"/>
      </w:pPr>
      <w:r>
        <w:rPr>
          <w:color w:val="000000"/>
          <w:spacing w:val="-3"/>
          <w:shd w:fill="E4E4E4" w:color="auto" w:val="clear"/>
        </w:rPr>
        <w:t>因酗酒或药物滥用导致的昏迷不在保障范围内。</w:t>
      </w:r>
    </w:p>
    <w:p>
      <w:pPr>
        <w:pStyle w:val="BodyText"/>
        <w:spacing w:before="2"/>
        <w:rPr>
          <w:sz w:val="29"/>
        </w:rPr>
      </w:pPr>
    </w:p>
    <w:p>
      <w:pPr>
        <w:spacing w:after="0"/>
        <w:rPr>
          <w:sz w:val="29"/>
        </w:rPr>
        <w:sectPr>
          <w:type w:val="continuous"/>
          <w:pgSz w:w="11910" w:h="16840"/>
          <w:pgMar w:header="484" w:footer="706" w:top="1240" w:bottom="900" w:left="980" w:right="980"/>
        </w:sectPr>
      </w:pPr>
    </w:p>
    <w:p>
      <w:pPr>
        <w:pStyle w:val="Heading2"/>
        <w:numPr>
          <w:ilvl w:val="1"/>
          <w:numId w:val="76"/>
        </w:numPr>
        <w:tabs>
          <w:tab w:pos="955" w:val="left" w:leader="none"/>
        </w:tabs>
        <w:spacing w:line="240" w:lineRule="auto" w:before="75" w:after="0"/>
        <w:ind w:left="954" w:right="0" w:hanging="803"/>
        <w:jc w:val="left"/>
      </w:pPr>
      <w:r>
        <w:rPr>
          <w:spacing w:val="-4"/>
        </w:rPr>
        <w:t>中度重症肌无</w:t>
      </w:r>
    </w:p>
    <w:p>
      <w:pPr>
        <w:spacing w:before="30"/>
        <w:ind w:left="954" w:right="0" w:firstLine="0"/>
        <w:jc w:val="left"/>
        <w:rPr>
          <w:rFonts w:ascii="华文中宋" w:eastAsia="华文中宋" w:hint="eastAsia"/>
          <w:b/>
          <w:sz w:val="22"/>
        </w:rPr>
      </w:pPr>
      <w:r>
        <w:rPr>
          <w:rFonts w:ascii="华文中宋" w:eastAsia="华文中宋" w:hint="eastAsia"/>
          <w:b/>
          <w:w w:val="100"/>
          <w:sz w:val="22"/>
        </w:rPr>
        <w:t>力</w:t>
      </w:r>
    </w:p>
    <w:p>
      <w:pPr>
        <w:pStyle w:val="BodyText"/>
        <w:spacing w:line="324" w:lineRule="auto" w:before="105"/>
        <w:ind w:left="152" w:right="150"/>
        <w:jc w:val="both"/>
      </w:pPr>
      <w:r>
        <w:rPr/>
        <w:br w:type="column"/>
      </w:r>
      <w:r>
        <w:rPr>
          <w:spacing w:val="-2"/>
        </w:rPr>
        <w:t>是一种神经与肌肉接头部位传递障碍的自身免疫性疾病，临床特征是局部或全身横纹肌于活动时易于疲劳无力，颅神经眼外肌最易累及，也可涉及呼吸肌、下肢近端肌群以至全身肌肉。该病必须由本公司认可医院的专科医生明</w:t>
      </w:r>
      <w:r>
        <w:rPr>
          <w:spacing w:val="-2"/>
        </w:rPr>
        <w:t>确诊断，且疾病确诊180天后，仍然存在自主生活能力部分丧失，</w:t>
      </w:r>
      <w:r>
        <w:rPr>
          <w:color w:val="000000"/>
          <w:spacing w:val="-2"/>
          <w:shd w:fill="E4E4E4" w:color="auto" w:val="clear"/>
        </w:rPr>
        <w:t>无法独立</w:t>
      </w:r>
      <w:r>
        <w:rPr>
          <w:color w:val="000000"/>
          <w:spacing w:val="40"/>
          <w:shd w:fill="E4E4E4" w:color="auto" w:val="clear"/>
        </w:rPr>
        <w:t> </w:t>
      </w:r>
      <w:r>
        <w:rPr>
          <w:color w:val="000000"/>
          <w:spacing w:val="-2"/>
          <w:shd w:fill="E4E4E4" w:color="auto" w:val="clear"/>
        </w:rPr>
        <w:t>完成六项基本日常生活活动中的二项。</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3"/>
        <w:rPr>
          <w:sz w:val="21"/>
        </w:rPr>
      </w:pPr>
    </w:p>
    <w:p>
      <w:pPr>
        <w:spacing w:after="0"/>
        <w:rPr>
          <w:sz w:val="21"/>
        </w:rPr>
        <w:sectPr>
          <w:type w:val="continuous"/>
          <w:pgSz w:w="11910" w:h="16840"/>
          <w:pgMar w:header="484" w:footer="706" w:top="1240" w:bottom="900" w:left="980" w:right="980"/>
        </w:sectPr>
      </w:pPr>
    </w:p>
    <w:p>
      <w:pPr>
        <w:pStyle w:val="Heading2"/>
        <w:numPr>
          <w:ilvl w:val="1"/>
          <w:numId w:val="76"/>
        </w:numPr>
        <w:tabs>
          <w:tab w:pos="955" w:val="left" w:leader="none"/>
        </w:tabs>
        <w:spacing w:line="261" w:lineRule="auto" w:before="75" w:after="0"/>
        <w:ind w:left="954" w:right="0" w:hanging="802"/>
        <w:jc w:val="left"/>
      </w:pPr>
      <w:r>
        <w:rPr>
          <w:spacing w:val="-2"/>
        </w:rPr>
        <w:t>中度阿尔茨海</w:t>
      </w:r>
      <w:r>
        <w:rPr>
          <w:spacing w:val="-6"/>
        </w:rPr>
        <w:t>默病</w:t>
      </w:r>
    </w:p>
    <w:p>
      <w:pPr>
        <w:pStyle w:val="BodyText"/>
        <w:spacing w:line="324" w:lineRule="auto" w:before="105"/>
        <w:ind w:left="152" w:right="150"/>
        <w:jc w:val="both"/>
      </w:pPr>
      <w:r>
        <w:rPr/>
        <w:br w:type="column"/>
      </w:r>
      <w:r>
        <w:rPr>
          <w:spacing w:val="-1"/>
          <w:w w:val="100"/>
        </w:rPr>
        <w:t>指因大脑进行性、不可逆性改变导致智能严重衰退或丧失，临床表现为明显的认知能力障碍、行为异常和社交能力减退，其日常生活必须持续受到他人</w:t>
      </w:r>
      <w:r>
        <w:rPr>
          <w:spacing w:val="2"/>
          <w:w w:val="100"/>
        </w:rPr>
        <w:t>监护。须由头颅断层扫描</w:t>
      </w:r>
      <w:r>
        <w:rPr>
          <w:spacing w:val="4"/>
          <w:w w:val="100"/>
        </w:rPr>
        <w:t>（</w:t>
      </w:r>
      <w:r>
        <w:rPr>
          <w:spacing w:val="-1"/>
          <w:w w:val="100"/>
        </w:rPr>
        <w:t>C</w:t>
      </w:r>
      <w:r>
        <w:rPr>
          <w:spacing w:val="4"/>
          <w:w w:val="100"/>
        </w:rPr>
        <w:t>T</w:t>
      </w:r>
      <w:r>
        <w:rPr>
          <w:spacing w:val="2"/>
          <w:w w:val="100"/>
        </w:rPr>
        <w:t>）</w:t>
      </w:r>
      <w:r>
        <w:rPr>
          <w:spacing w:val="3"/>
          <w:w w:val="100"/>
        </w:rPr>
        <w:t>、核磁共振检查</w:t>
      </w:r>
      <w:r>
        <w:rPr>
          <w:spacing w:val="4"/>
          <w:w w:val="100"/>
        </w:rPr>
        <w:t>（</w:t>
      </w:r>
      <w:r>
        <w:rPr>
          <w:spacing w:val="-1"/>
          <w:w w:val="100"/>
        </w:rPr>
        <w:t>MR</w:t>
      </w:r>
      <w:r>
        <w:rPr>
          <w:spacing w:val="4"/>
          <w:w w:val="100"/>
        </w:rPr>
        <w:t>I）</w:t>
      </w:r>
      <w:r>
        <w:rPr>
          <w:spacing w:val="2"/>
          <w:w w:val="100"/>
        </w:rPr>
        <w:t>或正电子发射断层</w:t>
      </w:r>
      <w:r>
        <w:rPr>
          <w:spacing w:val="4"/>
          <w:w w:val="100"/>
        </w:rPr>
        <w:t>扫描</w:t>
      </w:r>
      <w:r>
        <w:rPr>
          <w:spacing w:val="2"/>
          <w:w w:val="100"/>
        </w:rPr>
        <w:t>（</w:t>
      </w:r>
      <w:r>
        <w:rPr>
          <w:spacing w:val="-1"/>
          <w:w w:val="100"/>
        </w:rPr>
        <w:t>PE</w:t>
      </w:r>
      <w:r>
        <w:rPr>
          <w:spacing w:val="4"/>
          <w:w w:val="100"/>
        </w:rPr>
        <w:t>T）</w:t>
      </w:r>
      <w:r>
        <w:rPr>
          <w:spacing w:val="2"/>
          <w:w w:val="100"/>
        </w:rPr>
        <w:t>等影像学检查证实，且自主生活能力严重丧失，</w:t>
      </w:r>
      <w:r>
        <w:rPr>
          <w:color w:val="000000"/>
          <w:spacing w:val="2"/>
          <w:w w:val="100"/>
          <w:shd w:fill="E4E4E4" w:color="auto" w:val="clear"/>
        </w:rPr>
        <w:t>无法独立完成</w:t>
      </w:r>
      <w:r>
        <w:rPr>
          <w:color w:val="000000"/>
          <w:spacing w:val="2"/>
          <w:w w:val="100"/>
          <w:shd w:fill="E4E4E4" w:color="auto" w:val="clear"/>
        </w:rPr>
        <w:t>                                                                                                                                  </w:t>
      </w:r>
      <w:r>
        <w:rPr>
          <w:color w:val="000000"/>
          <w:spacing w:val="-3"/>
          <w:w w:val="100"/>
          <w:shd w:fill="E4E4E4" w:color="auto" w:val="clear"/>
        </w:rPr>
        <w:t>六项基本日常生活活动中的两项。</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7"/>
        <w:rPr>
          <w:sz w:val="14"/>
        </w:rPr>
      </w:pPr>
    </w:p>
    <w:p>
      <w:pPr>
        <w:pStyle w:val="BodyText"/>
        <w:spacing w:before="70"/>
        <w:ind w:left="2480"/>
      </w:pPr>
      <w:r>
        <w:rPr>
          <w:color w:val="000000"/>
          <w:spacing w:val="-3"/>
          <w:shd w:fill="E4E4E4" w:color="auto" w:val="clear"/>
        </w:rPr>
        <w:t>以下情况不在保障范围内：</w:t>
      </w:r>
    </w:p>
    <w:p>
      <w:pPr>
        <w:pStyle w:val="ListParagraph"/>
        <w:numPr>
          <w:ilvl w:val="2"/>
          <w:numId w:val="76"/>
        </w:numPr>
        <w:tabs>
          <w:tab w:pos="2935" w:val="left" w:leader="none"/>
        </w:tabs>
        <w:spacing w:line="324" w:lineRule="auto" w:before="100" w:after="0"/>
        <w:ind w:left="2934" w:right="152" w:hanging="454"/>
        <w:jc w:val="left"/>
        <w:rPr>
          <w:sz w:val="22"/>
        </w:rPr>
      </w:pPr>
      <w:r>
        <w:rPr>
          <w:color w:val="000000"/>
          <w:spacing w:val="-2"/>
          <w:sz w:val="22"/>
          <w:shd w:fill="E4E4E4" w:color="auto" w:val="clear"/>
        </w:rPr>
        <w:t>存在酒精滥用、药物滥用或获得性免疫缺陷综合征（AIDS）情况下的痴</w:t>
      </w:r>
      <w:r>
        <w:rPr>
          <w:color w:val="000000"/>
          <w:spacing w:val="80"/>
          <w:w w:val="150"/>
          <w:sz w:val="22"/>
          <w:shd w:fill="E4E4E4" w:color="auto" w:val="clear"/>
        </w:rPr>
        <w:t>                                    </w:t>
      </w:r>
      <w:r>
        <w:rPr>
          <w:color w:val="000000"/>
          <w:spacing w:val="-6"/>
          <w:sz w:val="22"/>
          <w:shd w:fill="E4E4E4" w:color="auto" w:val="clear"/>
        </w:rPr>
        <w:t>呆；</w:t>
      </w:r>
    </w:p>
    <w:p>
      <w:pPr>
        <w:pStyle w:val="ListParagraph"/>
        <w:numPr>
          <w:ilvl w:val="2"/>
          <w:numId w:val="76"/>
        </w:numPr>
        <w:tabs>
          <w:tab w:pos="2935" w:val="left" w:leader="none"/>
        </w:tabs>
        <w:spacing w:line="279" w:lineRule="exact" w:before="0" w:after="0"/>
        <w:ind w:left="2934" w:right="0" w:hanging="455"/>
        <w:jc w:val="left"/>
        <w:rPr>
          <w:sz w:val="22"/>
        </w:rPr>
      </w:pPr>
      <w:r>
        <w:rPr>
          <w:color w:val="000000"/>
          <w:spacing w:val="-3"/>
          <w:sz w:val="22"/>
          <w:shd w:fill="E4E4E4" w:color="auto" w:val="clear"/>
        </w:rPr>
        <w:t>神经官能症和精神疾病。</w:t>
      </w:r>
    </w:p>
    <w:p>
      <w:pPr>
        <w:pStyle w:val="BodyText"/>
        <w:spacing w:before="12"/>
        <w:rPr>
          <w:sz w:val="30"/>
        </w:rPr>
      </w:pPr>
    </w:p>
    <w:p>
      <w:pPr>
        <w:spacing w:before="0" w:after="4"/>
        <w:ind w:left="152" w:right="0" w:firstLine="0"/>
        <w:jc w:val="left"/>
        <w:rPr>
          <w:b/>
          <w:sz w:val="30"/>
        </w:rPr>
      </w:pPr>
      <w:r>
        <w:rPr>
          <w:spacing w:val="-382"/>
          <w:w w:val="95"/>
          <w:position w:val="-3"/>
          <w:sz w:val="40"/>
        </w:rPr>
        <w:t>●</w:t>
      </w:r>
      <w:r>
        <w:rPr>
          <w:b/>
          <w:color w:val="FFFFFF"/>
          <w:spacing w:val="-16"/>
          <w:w w:val="94"/>
          <w:sz w:val="28"/>
        </w:rPr>
        <w:t>1</w:t>
      </w:r>
      <w:r>
        <w:rPr>
          <w:b/>
          <w:color w:val="FFFFFF"/>
          <w:w w:val="94"/>
          <w:sz w:val="28"/>
        </w:rPr>
        <w:t>2</w:t>
      </w:r>
      <w:r>
        <w:rPr>
          <w:b/>
          <w:color w:val="FFFFFF"/>
          <w:spacing w:val="14"/>
          <w:w w:val="150"/>
          <w:sz w:val="28"/>
        </w:rPr>
        <w:t> </w:t>
      </w:r>
      <w:r>
        <w:rPr>
          <w:b/>
          <w:spacing w:val="-2"/>
          <w:w w:val="95"/>
          <w:position w:val="2"/>
          <w:sz w:val="30"/>
        </w:rPr>
        <w:t>轻度疾病的定义</w:t>
      </w:r>
    </w:p>
    <w:p>
      <w:pPr>
        <w:pStyle w:val="BodyText"/>
        <w:spacing w:line="43" w:lineRule="exact"/>
        <w:ind w:left="126"/>
        <w:rPr>
          <w:sz w:val="4"/>
        </w:rPr>
      </w:pPr>
      <w:r>
        <w:rPr>
          <w:position w:val="0"/>
          <w:sz w:val="4"/>
        </w:rPr>
        <w:drawing>
          <wp:inline distT="0" distB="0" distL="0" distR="0">
            <wp:extent cx="6155689" cy="27431"/>
            <wp:effectExtent l="0" t="0" r="0" b="0"/>
            <wp:docPr id="99" name="image3.png"/>
            <wp:cNvGraphicFramePr>
              <a:graphicFrameLocks noChangeAspect="1"/>
            </wp:cNvGraphicFramePr>
            <a:graphic>
              <a:graphicData uri="http://schemas.openxmlformats.org/drawingml/2006/picture">
                <pic:pic>
                  <pic:nvPicPr>
                    <pic:cNvPr id="100" name="image3.png"/>
                    <pic:cNvPicPr/>
                  </pic:nvPicPr>
                  <pic:blipFill>
                    <a:blip r:embed="rId9" cstate="print"/>
                    <a:stretch>
                      <a:fillRect/>
                    </a:stretch>
                  </pic:blipFill>
                  <pic:spPr>
                    <a:xfrm>
                      <a:off x="0" y="0"/>
                      <a:ext cx="6155689" cy="27431"/>
                    </a:xfrm>
                    <a:prstGeom prst="rect">
                      <a:avLst/>
                    </a:prstGeom>
                  </pic:spPr>
                </pic:pic>
              </a:graphicData>
            </a:graphic>
          </wp:inline>
        </w:drawing>
      </w:r>
      <w:r>
        <w:rPr>
          <w:position w:val="0"/>
          <w:sz w:val="4"/>
        </w:rPr>
      </w:r>
    </w:p>
    <w:p>
      <w:pPr>
        <w:pStyle w:val="BodyText"/>
        <w:spacing w:before="5"/>
        <w:rPr>
          <w:b/>
          <w:sz w:val="28"/>
        </w:rPr>
      </w:pPr>
    </w:p>
    <w:p>
      <w:pPr>
        <w:spacing w:after="0"/>
        <w:rPr>
          <w:sz w:val="28"/>
        </w:rPr>
        <w:sectPr>
          <w:pgSz w:w="11910" w:h="16840"/>
          <w:pgMar w:header="484" w:footer="706" w:top="1240" w:bottom="900" w:left="980" w:right="980"/>
        </w:sectPr>
      </w:pPr>
    </w:p>
    <w:p>
      <w:pPr>
        <w:pStyle w:val="Heading2"/>
        <w:numPr>
          <w:ilvl w:val="1"/>
          <w:numId w:val="80"/>
        </w:numPr>
        <w:tabs>
          <w:tab w:pos="930" w:val="left" w:leader="none"/>
          <w:tab w:pos="931" w:val="left" w:leader="none"/>
        </w:tabs>
        <w:spacing w:line="261" w:lineRule="auto" w:before="73" w:after="0"/>
        <w:ind w:left="930" w:right="0" w:hanging="778"/>
        <w:jc w:val="left"/>
      </w:pPr>
      <w:r>
        <w:rPr>
          <w:spacing w:val="-2"/>
        </w:rPr>
        <w:t>恶性肿瘤——</w:t>
      </w:r>
      <w:r>
        <w:rPr>
          <w:spacing w:val="-6"/>
        </w:rPr>
        <w:t>轻度</w:t>
      </w:r>
    </w:p>
    <w:p>
      <w:pPr>
        <w:pStyle w:val="BodyText"/>
        <w:spacing w:line="324" w:lineRule="auto" w:before="103"/>
        <w:ind w:left="152" w:right="150"/>
      </w:pPr>
      <w:r>
        <w:rPr/>
        <w:br w:type="column"/>
      </w:r>
      <w:r>
        <w:rPr>
          <w:spacing w:val="-2"/>
        </w:rPr>
        <w:t>指恶性细胞不受控制的进行性增长和扩散，浸润和破坏周围正常组织，可以</w:t>
      </w:r>
      <w:r>
        <w:rPr>
          <w:spacing w:val="-1"/>
        </w:rPr>
        <w:t>经血管、淋巴管和体腔扩散转移到身体其他部位，病灶经组织病理学检查</w:t>
      </w:r>
    </w:p>
    <w:p>
      <w:pPr>
        <w:pStyle w:val="BodyText"/>
        <w:spacing w:line="282" w:lineRule="exact"/>
        <w:ind w:left="152"/>
      </w:pPr>
      <w:r>
        <w:rPr/>
        <w:t>（</w:t>
      </w:r>
      <w:r>
        <w:rPr>
          <w:spacing w:val="9"/>
        </w:rPr>
        <w:t> 涵盖骨髓病理学检查</w:t>
      </w:r>
      <w:r>
        <w:rPr/>
        <w:t>）</w:t>
      </w:r>
      <w:r>
        <w:rPr>
          <w:spacing w:val="5"/>
        </w:rPr>
        <w:t> 结果明确诊断， 临床诊断属于世界卫生组织</w:t>
      </w:r>
    </w:p>
    <w:p>
      <w:pPr>
        <w:pStyle w:val="BodyText"/>
        <w:spacing w:line="324" w:lineRule="auto" w:before="97"/>
        <w:ind w:left="152" w:right="150"/>
        <w:jc w:val="both"/>
      </w:pPr>
      <w:r>
        <w:rPr>
          <w:spacing w:val="2"/>
          <w:w w:val="100"/>
        </w:rPr>
        <w:t>（</w:t>
      </w:r>
      <w:r>
        <w:rPr>
          <w:spacing w:val="-1"/>
          <w:w w:val="100"/>
        </w:rPr>
        <w:t>WHO，Worl</w:t>
      </w:r>
      <w:r>
        <w:rPr>
          <w:w w:val="100"/>
        </w:rPr>
        <w:t>d</w:t>
      </w:r>
      <w:r>
        <w:rPr>
          <w:spacing w:val="2"/>
        </w:rPr>
        <w:t> </w:t>
      </w:r>
      <w:r>
        <w:rPr>
          <w:spacing w:val="-1"/>
          <w:w w:val="100"/>
        </w:rPr>
        <w:t>Hea</w:t>
      </w:r>
      <w:r>
        <w:rPr>
          <w:spacing w:val="-3"/>
          <w:w w:val="100"/>
        </w:rPr>
        <w:t>l</w:t>
      </w:r>
      <w:r>
        <w:rPr>
          <w:spacing w:val="-1"/>
          <w:w w:val="100"/>
        </w:rPr>
        <w:t>t</w:t>
      </w:r>
      <w:r>
        <w:rPr>
          <w:w w:val="100"/>
        </w:rPr>
        <w:t>h</w:t>
      </w:r>
      <w:r>
        <w:rPr/>
        <w:t> </w:t>
      </w:r>
      <w:r>
        <w:rPr>
          <w:spacing w:val="-1"/>
          <w:w w:val="100"/>
        </w:rPr>
        <w:t>Organ</w:t>
      </w:r>
      <w:r>
        <w:rPr>
          <w:spacing w:val="-3"/>
          <w:w w:val="100"/>
        </w:rPr>
        <w:t>i</w:t>
      </w:r>
      <w:r>
        <w:rPr>
          <w:spacing w:val="-1"/>
          <w:w w:val="100"/>
        </w:rPr>
        <w:t>zatio</w:t>
      </w:r>
      <w:r>
        <w:rPr>
          <w:w w:val="100"/>
        </w:rPr>
        <w:t>n</w:t>
      </w:r>
      <w:r>
        <w:rPr>
          <w:spacing w:val="2"/>
          <w:w w:val="100"/>
        </w:rPr>
        <w:t>）</w:t>
      </w:r>
      <w:r>
        <w:rPr>
          <w:spacing w:val="-1"/>
          <w:w w:val="100"/>
        </w:rPr>
        <w:t>《疾病和有关健康问题的国际统计分</w:t>
      </w:r>
      <w:r>
        <w:rPr>
          <w:spacing w:val="7"/>
          <w:w w:val="100"/>
        </w:rPr>
        <w:t>类》第十次修订版</w:t>
      </w:r>
      <w:r>
        <w:rPr>
          <w:spacing w:val="9"/>
          <w:w w:val="100"/>
        </w:rPr>
        <w:t>（</w:t>
      </w:r>
      <w:r>
        <w:rPr>
          <w:spacing w:val="-1"/>
          <w:w w:val="100"/>
        </w:rPr>
        <w:t>ICD-1</w:t>
      </w:r>
      <w:r>
        <w:rPr>
          <w:spacing w:val="7"/>
          <w:w w:val="100"/>
        </w:rPr>
        <w:t>0</w:t>
      </w:r>
      <w:r>
        <w:rPr>
          <w:spacing w:val="9"/>
          <w:w w:val="100"/>
        </w:rPr>
        <w:t>）</w:t>
      </w:r>
      <w:r>
        <w:rPr>
          <w:spacing w:val="6"/>
          <w:w w:val="100"/>
        </w:rPr>
        <w:t>的恶性肿瘤类别及《国际疾病分类肿瘤学专</w:t>
      </w:r>
      <w:r>
        <w:rPr>
          <w:spacing w:val="-1"/>
          <w:w w:val="100"/>
        </w:rPr>
        <w:t>辑》第三版（ICD-</w:t>
      </w:r>
      <w:r>
        <w:rPr>
          <w:spacing w:val="-3"/>
          <w:w w:val="100"/>
        </w:rPr>
        <w:t>O</w:t>
      </w:r>
      <w:r>
        <w:rPr>
          <w:spacing w:val="-1"/>
          <w:w w:val="100"/>
        </w:rPr>
        <w:t>-3）的肿瘤形态学编码属于</w:t>
      </w:r>
      <w:r>
        <w:rPr>
          <w:spacing w:val="2"/>
          <w:w w:val="100"/>
        </w:rPr>
        <w:t>3</w:t>
      </w:r>
      <w:r>
        <w:rPr>
          <w:spacing w:val="-1"/>
          <w:w w:val="100"/>
        </w:rPr>
        <w:t>、</w:t>
      </w:r>
      <w:r>
        <w:rPr>
          <w:spacing w:val="2"/>
          <w:w w:val="100"/>
        </w:rPr>
        <w:t>6</w:t>
      </w:r>
      <w:r>
        <w:rPr>
          <w:spacing w:val="-1"/>
          <w:w w:val="100"/>
        </w:rPr>
        <w:t>、9（恶性肿瘤）</w:t>
      </w:r>
      <w:r>
        <w:rPr>
          <w:w w:val="100"/>
        </w:rPr>
        <w:t>范畴，</w:t>
      </w:r>
      <w:r>
        <w:rPr>
          <w:spacing w:val="-3"/>
          <w:w w:val="100"/>
        </w:rPr>
        <w:t>但不在“恶性肿瘤——重度”保障范围的疾病。且特指下列六项之一：</w:t>
      </w:r>
    </w:p>
    <w:p>
      <w:pPr>
        <w:pStyle w:val="ListParagraph"/>
        <w:numPr>
          <w:ilvl w:val="0"/>
          <w:numId w:val="81"/>
        </w:numPr>
        <w:tabs>
          <w:tab w:pos="607" w:val="left" w:leader="none"/>
        </w:tabs>
        <w:spacing w:line="279" w:lineRule="exact" w:before="0" w:after="0"/>
        <w:ind w:left="606" w:right="0" w:hanging="455"/>
        <w:jc w:val="left"/>
        <w:rPr>
          <w:sz w:val="22"/>
        </w:rPr>
      </w:pPr>
      <w:r>
        <w:rPr>
          <w:spacing w:val="-2"/>
          <w:sz w:val="22"/>
        </w:rPr>
        <w:t>TNM</w:t>
      </w:r>
      <w:r>
        <w:rPr>
          <w:spacing w:val="-3"/>
          <w:sz w:val="22"/>
        </w:rPr>
        <w:t>分期为Ⅰ期的甲状腺癌；</w:t>
      </w:r>
    </w:p>
    <w:p>
      <w:pPr>
        <w:pStyle w:val="ListParagraph"/>
        <w:numPr>
          <w:ilvl w:val="0"/>
          <w:numId w:val="81"/>
        </w:numPr>
        <w:tabs>
          <w:tab w:pos="607" w:val="left" w:leader="none"/>
        </w:tabs>
        <w:spacing w:line="240" w:lineRule="auto" w:before="100" w:after="0"/>
        <w:ind w:left="606" w:right="0" w:hanging="455"/>
        <w:jc w:val="left"/>
        <w:rPr>
          <w:sz w:val="22"/>
        </w:rPr>
      </w:pPr>
      <w:r>
        <w:rPr>
          <w:spacing w:val="-2"/>
          <w:sz w:val="22"/>
        </w:rPr>
        <w:t>TNM分期为T</w:t>
      </w:r>
      <w:r>
        <w:rPr>
          <w:spacing w:val="-2"/>
          <w:position w:val="-2"/>
          <w:sz w:val="11"/>
        </w:rPr>
        <w:t>1</w:t>
      </w:r>
      <w:r>
        <w:rPr>
          <w:spacing w:val="-2"/>
          <w:sz w:val="22"/>
        </w:rPr>
        <w:t>N</w:t>
      </w:r>
      <w:r>
        <w:rPr>
          <w:spacing w:val="-2"/>
          <w:position w:val="-2"/>
          <w:sz w:val="11"/>
        </w:rPr>
        <w:t>0</w:t>
      </w:r>
      <w:r>
        <w:rPr>
          <w:spacing w:val="-2"/>
          <w:sz w:val="22"/>
        </w:rPr>
        <w:t>M</w:t>
      </w:r>
      <w:r>
        <w:rPr>
          <w:spacing w:val="-2"/>
          <w:position w:val="-2"/>
          <w:sz w:val="11"/>
        </w:rPr>
        <w:t>0</w:t>
      </w:r>
      <w:r>
        <w:rPr>
          <w:spacing w:val="-4"/>
          <w:sz w:val="22"/>
        </w:rPr>
        <w:t>期的前列腺癌；</w:t>
      </w:r>
    </w:p>
    <w:p>
      <w:pPr>
        <w:pStyle w:val="ListParagraph"/>
        <w:numPr>
          <w:ilvl w:val="0"/>
          <w:numId w:val="81"/>
        </w:numPr>
        <w:tabs>
          <w:tab w:pos="607" w:val="left" w:leader="none"/>
        </w:tabs>
        <w:spacing w:line="240" w:lineRule="auto" w:before="97" w:after="0"/>
        <w:ind w:left="606" w:right="0" w:hanging="455"/>
        <w:jc w:val="left"/>
        <w:rPr>
          <w:sz w:val="22"/>
        </w:rPr>
      </w:pPr>
      <w:r>
        <w:rPr>
          <w:spacing w:val="-3"/>
          <w:sz w:val="22"/>
        </w:rPr>
        <w:t>黑色素瘤以外的未发生淋巴结和远处转移的皮肤恶性肿瘤；</w:t>
      </w:r>
    </w:p>
    <w:p>
      <w:pPr>
        <w:pStyle w:val="ListParagraph"/>
        <w:numPr>
          <w:ilvl w:val="0"/>
          <w:numId w:val="81"/>
        </w:numPr>
        <w:tabs>
          <w:tab w:pos="607" w:val="left" w:leader="none"/>
        </w:tabs>
        <w:spacing w:line="240" w:lineRule="auto" w:before="97" w:after="0"/>
        <w:ind w:left="606" w:right="0" w:hanging="455"/>
        <w:jc w:val="left"/>
        <w:rPr>
          <w:sz w:val="22"/>
        </w:rPr>
      </w:pPr>
      <w:r>
        <w:rPr>
          <w:spacing w:val="-2"/>
          <w:sz w:val="22"/>
        </w:rPr>
        <w:t>相当于Binet分期方案A</w:t>
      </w:r>
      <w:r>
        <w:rPr>
          <w:spacing w:val="-3"/>
          <w:sz w:val="22"/>
        </w:rPr>
        <w:t>期程度的慢性淋巴细胞白血病；</w:t>
      </w:r>
    </w:p>
    <w:p>
      <w:pPr>
        <w:pStyle w:val="ListParagraph"/>
        <w:numPr>
          <w:ilvl w:val="0"/>
          <w:numId w:val="81"/>
        </w:numPr>
        <w:tabs>
          <w:tab w:pos="607" w:val="left" w:leader="none"/>
        </w:tabs>
        <w:spacing w:line="240" w:lineRule="auto" w:before="100" w:after="0"/>
        <w:ind w:left="606" w:right="0" w:hanging="455"/>
        <w:jc w:val="left"/>
        <w:rPr>
          <w:sz w:val="22"/>
        </w:rPr>
      </w:pPr>
      <w:r>
        <w:rPr>
          <w:spacing w:val="-2"/>
          <w:sz w:val="22"/>
        </w:rPr>
        <w:t>相当于Ann</w:t>
      </w:r>
      <w:r>
        <w:rPr>
          <w:spacing w:val="10"/>
          <w:sz w:val="22"/>
        </w:rPr>
        <w:t> </w:t>
      </w:r>
      <w:r>
        <w:rPr>
          <w:spacing w:val="-2"/>
          <w:sz w:val="22"/>
        </w:rPr>
        <w:t>Arbor</w:t>
      </w:r>
      <w:r>
        <w:rPr>
          <w:spacing w:val="-3"/>
          <w:sz w:val="22"/>
        </w:rPr>
        <w:t>分期方案Ⅰ期程度的何杰金氏病；</w:t>
      </w:r>
    </w:p>
    <w:p>
      <w:pPr>
        <w:pStyle w:val="ListParagraph"/>
        <w:numPr>
          <w:ilvl w:val="0"/>
          <w:numId w:val="81"/>
        </w:numPr>
        <w:tabs>
          <w:tab w:pos="607" w:val="left" w:leader="none"/>
        </w:tabs>
        <w:spacing w:line="324" w:lineRule="auto" w:before="98" w:after="0"/>
        <w:ind w:left="606" w:right="150" w:hanging="454"/>
        <w:jc w:val="left"/>
        <w:rPr>
          <w:sz w:val="22"/>
        </w:rPr>
      </w:pPr>
      <w:r>
        <w:rPr>
          <w:spacing w:val="-2"/>
          <w:sz w:val="22"/>
        </w:rPr>
        <w:t>未发生淋巴结和远处转移且WHO分级为G1级别（核分裂像＜10/50HPF和 ki-67≤2%）的神经内分泌肿瘤。</w:t>
      </w:r>
    </w:p>
    <w:p>
      <w:pPr>
        <w:pStyle w:val="BodyText"/>
        <w:spacing w:line="282" w:lineRule="exact"/>
        <w:ind w:left="152"/>
      </w:pPr>
      <w:r>
        <w:rPr>
          <w:color w:val="000000"/>
          <w:spacing w:val="-3"/>
          <w:shd w:fill="E4E4E4" w:color="auto" w:val="clear"/>
        </w:rPr>
        <w:t>下列疾病不属于“恶性肿瘤——轻度”，不在保障范围内：</w:t>
      </w:r>
    </w:p>
    <w:p>
      <w:pPr>
        <w:pStyle w:val="BodyText"/>
        <w:spacing w:line="324" w:lineRule="auto" w:before="97"/>
        <w:ind w:left="152" w:right="152"/>
      </w:pPr>
      <w:r>
        <w:rPr>
          <w:color w:val="000000"/>
          <w:spacing w:val="-2"/>
          <w:shd w:fill="E4E4E4" w:color="auto" w:val="clear"/>
        </w:rPr>
        <w:t>ICD-O-3肿瘤形态学编码属于0（良性肿瘤）、1（动态未定性肿瘤）、2（原</w:t>
      </w:r>
      <w:r>
        <w:rPr>
          <w:color w:val="000000"/>
          <w:spacing w:val="80"/>
          <w:w w:val="150"/>
          <w:shd w:fill="E4E4E4" w:color="auto" w:val="clear"/>
        </w:rPr>
        <w:t>                                       </w:t>
      </w:r>
      <w:r>
        <w:rPr>
          <w:color w:val="000000"/>
          <w:spacing w:val="-2"/>
          <w:shd w:fill="E4E4E4" w:color="auto" w:val="clear"/>
        </w:rPr>
        <w:t>位癌和非侵袭性癌）范畴的疾病，如：</w:t>
      </w:r>
    </w:p>
    <w:p>
      <w:pPr>
        <w:pStyle w:val="ListParagraph"/>
        <w:numPr>
          <w:ilvl w:val="0"/>
          <w:numId w:val="82"/>
        </w:numPr>
        <w:tabs>
          <w:tab w:pos="607" w:val="left" w:leader="none"/>
        </w:tabs>
        <w:spacing w:line="324" w:lineRule="auto" w:before="0" w:after="0"/>
        <w:ind w:left="606" w:right="152" w:hanging="454"/>
        <w:jc w:val="left"/>
        <w:rPr>
          <w:sz w:val="22"/>
        </w:rPr>
      </w:pPr>
      <w:r>
        <w:rPr>
          <w:color w:val="000000"/>
          <w:spacing w:val="-2"/>
          <w:sz w:val="22"/>
          <w:shd w:fill="E4E4E4" w:color="auto" w:val="clear"/>
        </w:rPr>
        <w:t>原位癌，癌前病变，非浸润性癌，非侵袭性癌，肿瘤细胞未侵犯基底</w:t>
      </w:r>
      <w:r>
        <w:rPr>
          <w:color w:val="000000"/>
          <w:spacing w:val="80"/>
          <w:w w:val="150"/>
          <w:sz w:val="22"/>
          <w:shd w:fill="E4E4E4" w:color="auto" w:val="clear"/>
        </w:rPr>
        <w:t>                                    </w:t>
      </w:r>
      <w:r>
        <w:rPr>
          <w:color w:val="000000"/>
          <w:spacing w:val="-2"/>
          <w:sz w:val="22"/>
          <w:shd w:fill="E4E4E4" w:color="auto" w:val="clear"/>
        </w:rPr>
        <w:t>层，上皮内瘤变，细胞不典型性增生等；</w:t>
      </w:r>
    </w:p>
    <w:p>
      <w:pPr>
        <w:pStyle w:val="ListParagraph"/>
        <w:numPr>
          <w:ilvl w:val="0"/>
          <w:numId w:val="82"/>
        </w:numPr>
        <w:tabs>
          <w:tab w:pos="607" w:val="left" w:leader="none"/>
        </w:tabs>
        <w:spacing w:line="324" w:lineRule="auto" w:before="0" w:after="0"/>
        <w:ind w:left="606" w:right="152" w:hanging="454"/>
        <w:jc w:val="left"/>
        <w:rPr>
          <w:sz w:val="22"/>
        </w:rPr>
      </w:pPr>
      <w:r>
        <w:rPr>
          <w:color w:val="000000"/>
          <w:spacing w:val="6"/>
          <w:w w:val="100"/>
          <w:sz w:val="22"/>
          <w:shd w:fill="E4E4E4" w:color="auto" w:val="clear"/>
        </w:rPr>
        <w:t>交界性肿瘤，交界恶性肿瘤，肿瘤低度恶性潜能，潜在低度恶性肿瘤</w:t>
      </w:r>
      <w:r>
        <w:rPr>
          <w:color w:val="000000"/>
          <w:spacing w:val="-1"/>
          <w:w w:val="100"/>
          <w:sz w:val="22"/>
          <w:shd w:fill="E4E4E4" w:color="auto" w:val="clear"/>
        </w:rPr>
        <w:t>等。</w:t>
      </w:r>
    </w:p>
    <w:p>
      <w:pPr>
        <w:spacing w:after="0" w:line="324" w:lineRule="auto"/>
        <w:jc w:val="left"/>
        <w:rPr>
          <w:sz w:val="22"/>
        </w:rPr>
        <w:sectPr>
          <w:type w:val="continuous"/>
          <w:pgSz w:w="11910" w:h="16840"/>
          <w:pgMar w:header="484" w:footer="706" w:top="1240" w:bottom="900" w:left="980" w:right="980"/>
          <w:cols w:num="2" w:equalWidth="0">
            <w:col w:w="2251" w:space="77"/>
            <w:col w:w="7622"/>
          </w:cols>
        </w:sectPr>
      </w:pPr>
    </w:p>
    <w:p>
      <w:pPr>
        <w:pStyle w:val="BodyText"/>
        <w:spacing w:before="4"/>
        <w:rPr>
          <w:sz w:val="21"/>
        </w:rPr>
      </w:pPr>
    </w:p>
    <w:p>
      <w:pPr>
        <w:spacing w:after="0"/>
        <w:rPr>
          <w:sz w:val="21"/>
        </w:rPr>
        <w:sectPr>
          <w:type w:val="continuous"/>
          <w:pgSz w:w="11910" w:h="16840"/>
          <w:pgMar w:header="484" w:footer="706" w:top="1240" w:bottom="900" w:left="980" w:right="980"/>
        </w:sectPr>
      </w:pPr>
    </w:p>
    <w:p>
      <w:pPr>
        <w:pStyle w:val="Heading2"/>
        <w:numPr>
          <w:ilvl w:val="1"/>
          <w:numId w:val="80"/>
        </w:numPr>
        <w:tabs>
          <w:tab w:pos="954" w:val="left" w:leader="none"/>
          <w:tab w:pos="955" w:val="left" w:leader="none"/>
        </w:tabs>
        <w:spacing w:line="261" w:lineRule="auto" w:before="73" w:after="0"/>
        <w:ind w:left="954" w:right="0" w:hanging="802"/>
        <w:jc w:val="left"/>
      </w:pPr>
      <w:r>
        <w:rPr>
          <w:spacing w:val="-2"/>
        </w:rPr>
        <w:t>较轻急性心肌</w:t>
      </w:r>
      <w:r>
        <w:rPr>
          <w:spacing w:val="-6"/>
        </w:rPr>
        <w:t>梗死</w:t>
      </w:r>
    </w:p>
    <w:p>
      <w:pPr>
        <w:pStyle w:val="BodyText"/>
        <w:spacing w:line="324" w:lineRule="auto" w:before="103"/>
        <w:ind w:left="152" w:right="150"/>
      </w:pPr>
      <w:r>
        <w:rPr/>
        <w:br w:type="column"/>
      </w:r>
      <w:r>
        <w:rPr>
          <w:spacing w:val="-2"/>
        </w:rPr>
        <w:t>急性心肌梗死指由于冠状动脉闭塞或梗阻引起部分心肌严重的持久性缺血造成急性心肌坏死。急性心肌梗死的诊断必须依据国际国内诊断标准，符合</w:t>
      </w:r>
    </w:p>
    <w:p>
      <w:pPr>
        <w:pStyle w:val="ListParagraph"/>
        <w:numPr>
          <w:ilvl w:val="0"/>
          <w:numId w:val="83"/>
        </w:numPr>
        <w:tabs>
          <w:tab w:pos="607" w:val="left" w:leader="none"/>
        </w:tabs>
        <w:spacing w:line="324" w:lineRule="auto" w:before="0" w:after="0"/>
        <w:ind w:left="606" w:right="150" w:hanging="454"/>
        <w:jc w:val="both"/>
        <w:rPr>
          <w:sz w:val="22"/>
        </w:rPr>
      </w:pPr>
      <w:r>
        <w:rPr>
          <w:spacing w:val="3"/>
          <w:w w:val="100"/>
          <w:sz w:val="22"/>
        </w:rPr>
        <w:t>检测到肌酸激酶同工酶</w:t>
      </w:r>
      <w:r>
        <w:rPr>
          <w:spacing w:val="2"/>
          <w:w w:val="100"/>
          <w:sz w:val="22"/>
        </w:rPr>
        <w:t>（</w:t>
      </w:r>
      <w:r>
        <w:rPr>
          <w:spacing w:val="-1"/>
          <w:w w:val="100"/>
          <w:sz w:val="22"/>
        </w:rPr>
        <w:t>CK-M</w:t>
      </w:r>
      <w:r>
        <w:rPr>
          <w:spacing w:val="4"/>
          <w:w w:val="100"/>
          <w:sz w:val="22"/>
        </w:rPr>
        <w:t>B）</w:t>
      </w:r>
      <w:r>
        <w:rPr>
          <w:spacing w:val="3"/>
          <w:w w:val="100"/>
          <w:sz w:val="22"/>
        </w:rPr>
        <w:t>或肌钙蛋白</w:t>
      </w:r>
      <w:r>
        <w:rPr>
          <w:spacing w:val="4"/>
          <w:w w:val="100"/>
          <w:sz w:val="22"/>
        </w:rPr>
        <w:t>（</w:t>
      </w:r>
      <w:r>
        <w:rPr>
          <w:spacing w:val="-1"/>
          <w:w w:val="100"/>
          <w:sz w:val="22"/>
        </w:rPr>
        <w:t>cT</w:t>
      </w:r>
      <w:r>
        <w:rPr>
          <w:spacing w:val="4"/>
          <w:w w:val="100"/>
          <w:sz w:val="22"/>
        </w:rPr>
        <w:t>n）</w:t>
      </w:r>
      <w:r>
        <w:rPr>
          <w:spacing w:val="2"/>
          <w:w w:val="100"/>
          <w:sz w:val="22"/>
        </w:rPr>
        <w:t>升高和/或降低的</w:t>
      </w:r>
      <w:r>
        <w:rPr>
          <w:spacing w:val="-3"/>
          <w:w w:val="100"/>
          <w:sz w:val="22"/>
        </w:rPr>
        <w:t>动态变化，至少一次达到或超过心肌梗死的临床诊断标准；</w:t>
      </w:r>
    </w:p>
    <w:p>
      <w:pPr>
        <w:pStyle w:val="ListParagraph"/>
        <w:numPr>
          <w:ilvl w:val="0"/>
          <w:numId w:val="83"/>
        </w:numPr>
        <w:tabs>
          <w:tab w:pos="607" w:val="left" w:leader="none"/>
        </w:tabs>
        <w:spacing w:line="324" w:lineRule="auto" w:before="0" w:after="0"/>
        <w:ind w:left="606" w:right="152" w:hanging="454"/>
        <w:jc w:val="both"/>
        <w:rPr>
          <w:sz w:val="22"/>
        </w:rPr>
      </w:pPr>
      <w:r>
        <w:rPr>
          <w:spacing w:val="-2"/>
          <w:sz w:val="22"/>
        </w:rPr>
        <w:t>同时存在下列之一的证据，包括：缺血性胸痛症状、新发生的缺血性心电图改变、新生成的病理性Q波、影像学证据显示有新出现的心肌活性丧失或新出现局部室壁运动异常、冠脉造影证实存在冠状动脉血栓。</w:t>
      </w:r>
    </w:p>
    <w:p>
      <w:pPr>
        <w:spacing w:after="0" w:line="324" w:lineRule="auto"/>
        <w:jc w:val="both"/>
        <w:rPr>
          <w:sz w:val="22"/>
        </w:rPr>
        <w:sectPr>
          <w:type w:val="continuous"/>
          <w:pgSz w:w="11910" w:h="16840"/>
          <w:pgMar w:header="484" w:footer="706" w:top="1240" w:bottom="900" w:left="980" w:right="980"/>
          <w:cols w:num="2" w:equalWidth="0">
            <w:col w:w="2277" w:space="51"/>
            <w:col w:w="7622"/>
          </w:cols>
        </w:sectPr>
      </w:pPr>
    </w:p>
    <w:p>
      <w:pPr>
        <w:pStyle w:val="BodyText"/>
        <w:spacing w:before="7"/>
        <w:rPr>
          <w:sz w:val="14"/>
        </w:rPr>
      </w:pPr>
    </w:p>
    <w:p>
      <w:pPr>
        <w:pStyle w:val="BodyText"/>
        <w:spacing w:line="324" w:lineRule="auto" w:before="70"/>
        <w:ind w:left="2480" w:right="152"/>
      </w:pPr>
      <w:r>
        <w:rPr>
          <w:spacing w:val="-2"/>
        </w:rPr>
        <w:t>较轻急性心肌梗死指依照上述标准被明确诊断为急性心肌梗死，</w:t>
      </w:r>
      <w:r>
        <w:rPr>
          <w:color w:val="000000"/>
          <w:spacing w:val="-2"/>
          <w:shd w:fill="E4E4E4" w:color="auto" w:val="clear"/>
        </w:rPr>
        <w:t>但未达到重</w:t>
      </w:r>
      <w:r>
        <w:rPr>
          <w:color w:val="000000"/>
          <w:spacing w:val="80"/>
          <w:w w:val="150"/>
          <w:shd w:fill="E4E4E4" w:color="auto" w:val="clear"/>
        </w:rPr>
        <w:t>                                       </w:t>
      </w:r>
      <w:r>
        <w:rPr>
          <w:color w:val="000000"/>
          <w:shd w:fill="E4E4E4" w:color="auto" w:val="clear"/>
        </w:rPr>
        <w:t>大疾病“10.2 较重急性心肌梗死”的给付标准。</w:t>
      </w:r>
    </w:p>
    <w:p>
      <w:pPr>
        <w:pStyle w:val="BodyText"/>
        <w:spacing w:line="282" w:lineRule="exact"/>
        <w:ind w:left="2480"/>
      </w:pPr>
      <w:r>
        <w:rPr>
          <w:color w:val="000000"/>
          <w:spacing w:val="-2"/>
          <w:shd w:fill="E4E4E4" w:color="auto" w:val="clear"/>
        </w:rPr>
        <w:t>其他非冠状动脉阻塞性疾病引起的肌钙蛋白（cTn）</w:t>
      </w:r>
      <w:r>
        <w:rPr>
          <w:color w:val="000000"/>
          <w:spacing w:val="-3"/>
          <w:shd w:fill="E4E4E4" w:color="auto" w:val="clear"/>
        </w:rPr>
        <w:t>升高不在保障范围内。</w:t>
      </w:r>
    </w:p>
    <w:p>
      <w:pPr>
        <w:pStyle w:val="BodyText"/>
        <w:spacing w:before="3"/>
        <w:rPr>
          <w:sz w:val="29"/>
        </w:rPr>
      </w:pPr>
    </w:p>
    <w:p>
      <w:pPr>
        <w:spacing w:after="0"/>
        <w:rPr>
          <w:sz w:val="29"/>
        </w:rPr>
        <w:sectPr>
          <w:pgSz w:w="11910" w:h="16840"/>
          <w:pgMar w:header="484" w:footer="706" w:top="1240" w:bottom="900" w:left="980" w:right="980"/>
        </w:sectPr>
      </w:pPr>
    </w:p>
    <w:p>
      <w:pPr>
        <w:pStyle w:val="Heading2"/>
        <w:numPr>
          <w:ilvl w:val="1"/>
          <w:numId w:val="80"/>
        </w:numPr>
        <w:tabs>
          <w:tab w:pos="954" w:val="left" w:leader="none"/>
          <w:tab w:pos="955" w:val="left" w:leader="none"/>
        </w:tabs>
        <w:spacing w:line="261" w:lineRule="auto" w:before="75" w:after="0"/>
        <w:ind w:left="954" w:right="0" w:hanging="802"/>
        <w:jc w:val="left"/>
      </w:pPr>
      <w:r>
        <w:rPr>
          <w:spacing w:val="-2"/>
        </w:rPr>
        <w:t>轻度脑中风后</w:t>
      </w:r>
      <w:r>
        <w:rPr>
          <w:spacing w:val="-6"/>
        </w:rPr>
        <w:t>遗症</w:t>
      </w:r>
    </w:p>
    <w:p>
      <w:pPr>
        <w:pStyle w:val="BodyText"/>
        <w:spacing w:before="105"/>
        <w:ind w:left="152"/>
      </w:pPr>
      <w:r>
        <w:rPr/>
        <w:br w:type="column"/>
      </w:r>
      <w:r>
        <w:rPr>
          <w:spacing w:val="-1"/>
        </w:rPr>
        <w:t>指因脑血管的突发病变引起脑血管出血、栓塞或梗塞，须由头颅断层扫描</w:t>
      </w:r>
    </w:p>
    <w:p>
      <w:pPr>
        <w:pStyle w:val="BodyText"/>
        <w:spacing w:line="324" w:lineRule="auto" w:before="97"/>
        <w:ind w:left="152" w:right="150"/>
        <w:jc w:val="both"/>
      </w:pPr>
      <w:r>
        <w:rPr>
          <w:spacing w:val="4"/>
          <w:w w:val="100"/>
        </w:rPr>
        <w:t>（</w:t>
      </w:r>
      <w:r>
        <w:rPr>
          <w:spacing w:val="-1"/>
          <w:w w:val="100"/>
        </w:rPr>
        <w:t>C</w:t>
      </w:r>
      <w:r>
        <w:rPr>
          <w:spacing w:val="4"/>
          <w:w w:val="100"/>
        </w:rPr>
        <w:t>T）</w:t>
      </w:r>
      <w:r>
        <w:rPr>
          <w:spacing w:val="3"/>
          <w:w w:val="100"/>
        </w:rPr>
        <w:t>、核磁共振检查</w:t>
      </w:r>
      <w:r>
        <w:rPr>
          <w:spacing w:val="2"/>
          <w:w w:val="100"/>
        </w:rPr>
        <w:t>（</w:t>
      </w:r>
      <w:r>
        <w:rPr>
          <w:spacing w:val="-1"/>
          <w:w w:val="100"/>
        </w:rPr>
        <w:t>MR</w:t>
      </w:r>
      <w:r>
        <w:rPr>
          <w:spacing w:val="4"/>
          <w:w w:val="100"/>
        </w:rPr>
        <w:t>I）</w:t>
      </w:r>
      <w:r>
        <w:rPr>
          <w:spacing w:val="1"/>
          <w:w w:val="100"/>
        </w:rPr>
        <w:t>等影像学检查证实，并导致神经系统永久性</w:t>
      </w:r>
      <w:r>
        <w:rPr>
          <w:spacing w:val="3"/>
          <w:w w:val="100"/>
        </w:rPr>
        <w:t>的功能障碍，</w:t>
      </w:r>
      <w:r>
        <w:rPr>
          <w:color w:val="000000"/>
          <w:spacing w:val="2"/>
          <w:w w:val="100"/>
          <w:shd w:fill="E4E4E4" w:color="auto" w:val="clear"/>
        </w:rPr>
        <w:t>但未达到重大疾病“</w:t>
      </w:r>
      <w:r>
        <w:rPr>
          <w:color w:val="000000"/>
          <w:spacing w:val="-1"/>
          <w:w w:val="100"/>
          <w:shd w:fill="E4E4E4" w:color="auto" w:val="clear"/>
        </w:rPr>
        <w:t>10.</w:t>
      </w:r>
      <w:r>
        <w:rPr>
          <w:color w:val="000000"/>
          <w:w w:val="100"/>
          <w:shd w:fill="E4E4E4" w:color="auto" w:val="clear"/>
        </w:rPr>
        <w:t>3</w:t>
      </w:r>
      <w:r>
        <w:rPr>
          <w:color w:val="000000"/>
          <w:spacing w:val="5"/>
          <w:shd w:fill="E4E4E4" w:color="auto" w:val="clear"/>
        </w:rPr>
        <w:t> </w:t>
      </w:r>
      <w:r>
        <w:rPr>
          <w:color w:val="000000"/>
          <w:spacing w:val="2"/>
          <w:w w:val="100"/>
          <w:shd w:fill="E4E4E4" w:color="auto" w:val="clear"/>
        </w:rPr>
        <w:t>严重脑中风后遗症”的给付标准，</w:t>
      </w:r>
      <w:r>
        <w:rPr>
          <w:color w:val="000000"/>
          <w:spacing w:val="-2"/>
          <w:w w:val="100"/>
        </w:rPr>
        <w:t>在疾病确诊</w:t>
      </w:r>
      <w:r>
        <w:rPr>
          <w:color w:val="000000"/>
          <w:spacing w:val="-58"/>
        </w:rPr>
        <w:t> </w:t>
      </w:r>
      <w:r>
        <w:rPr>
          <w:color w:val="000000"/>
          <w:spacing w:val="-1"/>
          <w:w w:val="100"/>
        </w:rPr>
        <w:t>18</w:t>
      </w:r>
      <w:r>
        <w:rPr>
          <w:color w:val="000000"/>
          <w:w w:val="100"/>
        </w:rPr>
        <w:t>0</w:t>
      </w:r>
      <w:r>
        <w:rPr>
          <w:color w:val="000000"/>
          <w:spacing w:val="-55"/>
        </w:rPr>
        <w:t> </w:t>
      </w:r>
      <w:r>
        <w:rPr>
          <w:color w:val="000000"/>
          <w:spacing w:val="-3"/>
          <w:w w:val="100"/>
        </w:rPr>
        <w:t>天后，仍遗留下列至少一种障碍：</w:t>
      </w:r>
    </w:p>
    <w:p>
      <w:pPr>
        <w:pStyle w:val="ListParagraph"/>
        <w:numPr>
          <w:ilvl w:val="0"/>
          <w:numId w:val="84"/>
        </w:numPr>
        <w:tabs>
          <w:tab w:pos="607" w:val="left" w:leader="none"/>
        </w:tabs>
        <w:spacing w:line="280" w:lineRule="exact" w:before="0" w:after="0"/>
        <w:ind w:left="606" w:right="0" w:hanging="455"/>
        <w:jc w:val="both"/>
        <w:rPr>
          <w:sz w:val="22"/>
        </w:rPr>
      </w:pPr>
      <w:r>
        <w:rPr>
          <w:spacing w:val="-2"/>
          <w:sz w:val="22"/>
        </w:rPr>
        <w:t>一肢（含）</w:t>
      </w:r>
      <w:r>
        <w:rPr>
          <w:spacing w:val="-9"/>
          <w:sz w:val="22"/>
        </w:rPr>
        <w:t>以上肢体肌力为 </w:t>
      </w:r>
      <w:r>
        <w:rPr>
          <w:spacing w:val="-2"/>
          <w:sz w:val="22"/>
        </w:rPr>
        <w:t>3</w:t>
      </w:r>
      <w:r>
        <w:rPr>
          <w:spacing w:val="-22"/>
          <w:sz w:val="22"/>
        </w:rPr>
        <w:t> 级；</w:t>
      </w:r>
    </w:p>
    <w:p>
      <w:pPr>
        <w:pStyle w:val="ListParagraph"/>
        <w:numPr>
          <w:ilvl w:val="0"/>
          <w:numId w:val="84"/>
        </w:numPr>
        <w:tabs>
          <w:tab w:pos="607" w:val="left" w:leader="none"/>
        </w:tabs>
        <w:spacing w:line="324" w:lineRule="auto" w:before="97" w:after="0"/>
        <w:ind w:left="606" w:right="152" w:hanging="454"/>
        <w:jc w:val="both"/>
        <w:rPr>
          <w:sz w:val="22"/>
        </w:rPr>
      </w:pPr>
      <w:r>
        <w:rPr>
          <w:spacing w:val="6"/>
          <w:w w:val="100"/>
          <w:sz w:val="22"/>
        </w:rPr>
        <w:t>自主生活能力部分丧失，无法独立完成六项基本日常生活活动中的两</w:t>
      </w:r>
      <w:r>
        <w:rPr>
          <w:spacing w:val="-1"/>
          <w:w w:val="100"/>
          <w:sz w:val="22"/>
        </w:rPr>
        <w:t>项。</w:t>
      </w:r>
    </w:p>
    <w:p>
      <w:pPr>
        <w:pStyle w:val="BodyText"/>
        <w:spacing w:before="7"/>
        <w:rPr>
          <w:sz w:val="21"/>
        </w:rPr>
      </w:pPr>
    </w:p>
    <w:p>
      <w:pPr>
        <w:pStyle w:val="Heading2"/>
        <w:spacing w:line="324" w:lineRule="auto" w:before="0"/>
        <w:ind w:left="152" w:right="152"/>
        <w:jc w:val="both"/>
        <w:rPr>
          <w:rFonts w:ascii="宋体" w:eastAsia="宋体" w:hint="eastAsia"/>
        </w:rPr>
      </w:pPr>
      <w:r>
        <w:rPr>
          <w:rFonts w:ascii="宋体" w:eastAsia="宋体" w:hint="eastAsia"/>
          <w:spacing w:val="-2"/>
        </w:rPr>
        <w:t>以上是中国保险行业协会与中国医师协会制定的《重大疾病保险疾病定义使</w:t>
      </w:r>
      <w:r>
        <w:rPr>
          <w:rFonts w:ascii="宋体" w:eastAsia="宋体" w:hint="eastAsia"/>
          <w:spacing w:val="-2"/>
        </w:rPr>
        <w:t>用规范（2020</w:t>
      </w:r>
      <w:r>
        <w:rPr>
          <w:rFonts w:ascii="宋体" w:eastAsia="宋体" w:hint="eastAsia"/>
          <w:spacing w:val="-2"/>
        </w:rPr>
        <w:t>年修订版）》所规范的3</w:t>
      </w:r>
      <w:r>
        <w:rPr>
          <w:rFonts w:ascii="宋体" w:eastAsia="宋体" w:hint="eastAsia"/>
          <w:spacing w:val="-2"/>
        </w:rPr>
        <w:t>种轻度疾病种类，以下是本公司为扩</w:t>
      </w:r>
      <w:r>
        <w:rPr>
          <w:rFonts w:ascii="宋体" w:eastAsia="宋体" w:hint="eastAsia"/>
          <w:spacing w:val="-2"/>
        </w:rPr>
        <w:t>大保障范围所增设的47</w:t>
      </w:r>
      <w:r>
        <w:rPr>
          <w:rFonts w:ascii="宋体" w:eastAsia="宋体" w:hint="eastAsia"/>
          <w:spacing w:val="-2"/>
        </w:rPr>
        <w:t>种轻度疾病。</w:t>
      </w:r>
    </w:p>
    <w:p>
      <w:pPr>
        <w:spacing w:after="0" w:line="324" w:lineRule="auto"/>
        <w:jc w:val="both"/>
        <w:rPr>
          <w:rFonts w:ascii="宋体" w:eastAsia="宋体" w:hint="eastAsia"/>
        </w:rPr>
        <w:sectPr>
          <w:type w:val="continuous"/>
          <w:pgSz w:w="11910" w:h="16840"/>
          <w:pgMar w:header="484" w:footer="706" w:top="1240" w:bottom="900" w:left="980" w:right="980"/>
          <w:cols w:num="2" w:equalWidth="0">
            <w:col w:w="2277" w:space="51"/>
            <w:col w:w="7622"/>
          </w:cols>
        </w:sectPr>
      </w:pPr>
    </w:p>
    <w:p>
      <w:pPr>
        <w:pStyle w:val="BodyText"/>
        <w:spacing w:before="6"/>
        <w:rPr>
          <w:b/>
          <w:sz w:val="21"/>
        </w:rPr>
      </w:pPr>
    </w:p>
    <w:p>
      <w:pPr>
        <w:pStyle w:val="ListParagraph"/>
        <w:numPr>
          <w:ilvl w:val="1"/>
          <w:numId w:val="80"/>
        </w:numPr>
        <w:tabs>
          <w:tab w:pos="954" w:val="left" w:leader="none"/>
          <w:tab w:pos="955" w:val="left" w:leader="none"/>
          <w:tab w:pos="2480" w:val="left" w:leader="none"/>
        </w:tabs>
        <w:spacing w:line="280" w:lineRule="auto" w:before="72" w:after="0"/>
        <w:ind w:left="2480" w:right="150" w:hanging="2328"/>
        <w:jc w:val="left"/>
        <w:rPr>
          <w:sz w:val="22"/>
        </w:rPr>
      </w:pPr>
      <w:r>
        <w:rPr>
          <w:rFonts w:ascii="华文中宋" w:eastAsia="华文中宋" w:hint="eastAsia"/>
          <w:b/>
          <w:spacing w:val="-4"/>
          <w:sz w:val="22"/>
        </w:rPr>
        <w:t>原位癌</w:t>
      </w:r>
      <w:r>
        <w:rPr>
          <w:rFonts w:ascii="华文中宋" w:eastAsia="华文中宋" w:hint="eastAsia"/>
          <w:b/>
          <w:sz w:val="22"/>
        </w:rPr>
        <w:tab/>
      </w:r>
      <w:r>
        <w:rPr>
          <w:spacing w:val="-2"/>
          <w:sz w:val="22"/>
        </w:rPr>
        <w:t>原位癌指恶性细胞局限于上皮内但尚未穿破基底膜浸润周围正常组织的癌细胞新生物。索赔时须提交由病理科专科医生签署的固定活组织病理学检查报</w:t>
      </w:r>
    </w:p>
    <w:p>
      <w:pPr>
        <w:pStyle w:val="BodyText"/>
        <w:spacing w:line="324" w:lineRule="auto" w:before="53"/>
        <w:ind w:left="2480" w:right="150"/>
      </w:pPr>
      <w:r>
        <w:rPr>
          <w:spacing w:val="-2"/>
        </w:rPr>
        <w:t>告和由专科医生签署的临床诊断及治疗报告，仅凭细胞学检查结果的临床诊断将不被接受。</w:t>
      </w:r>
    </w:p>
    <w:p>
      <w:pPr>
        <w:pStyle w:val="BodyText"/>
        <w:spacing w:line="324" w:lineRule="auto"/>
        <w:ind w:left="2480" w:right="150"/>
        <w:jc w:val="both"/>
      </w:pPr>
      <w:r>
        <w:rPr>
          <w:color w:val="000000"/>
          <w:spacing w:val="-2"/>
          <w:shd w:fill="E4E4E4" w:color="auto" w:val="clear"/>
        </w:rPr>
        <w:t>癌前病变、宫颈上皮内瘤样病变CIN-1，CIN-2，重度不典型增生但非原位</w:t>
      </w:r>
      <w:r>
        <w:rPr>
          <w:color w:val="000000"/>
          <w:spacing w:val="80"/>
          <w:shd w:fill="E4E4E4" w:color="auto" w:val="clear"/>
        </w:rPr>
        <w:t> </w:t>
      </w:r>
      <w:r>
        <w:rPr>
          <w:color w:val="000000"/>
          <w:spacing w:val="-2"/>
          <w:shd w:fill="E4E4E4" w:color="auto" w:val="clear"/>
        </w:rPr>
        <w:t>癌、感染艾滋病毒或患艾滋病期间所患极早期恶性肿瘤或恶性病变不在保障范围之内。对被保险人所患癌症在被诊时已经超越原位癌阶段者，不在保障范围之内。</w:t>
      </w:r>
    </w:p>
    <w:p>
      <w:pPr>
        <w:pStyle w:val="BodyText"/>
        <w:spacing w:before="4"/>
        <w:rPr>
          <w:sz w:val="21"/>
        </w:rPr>
      </w:pPr>
    </w:p>
    <w:p>
      <w:pPr>
        <w:spacing w:after="0"/>
        <w:rPr>
          <w:sz w:val="21"/>
        </w:rPr>
        <w:sectPr>
          <w:type w:val="continuous"/>
          <w:pgSz w:w="11910" w:h="16840"/>
          <w:pgMar w:header="484" w:footer="706" w:top="1240" w:bottom="900" w:left="980" w:right="980"/>
        </w:sectPr>
      </w:pPr>
    </w:p>
    <w:p>
      <w:pPr>
        <w:pStyle w:val="Heading2"/>
        <w:numPr>
          <w:ilvl w:val="1"/>
          <w:numId w:val="80"/>
        </w:numPr>
        <w:tabs>
          <w:tab w:pos="954" w:val="left" w:leader="none"/>
          <w:tab w:pos="955" w:val="left" w:leader="none"/>
        </w:tabs>
        <w:spacing w:line="261" w:lineRule="auto" w:before="73" w:after="0"/>
        <w:ind w:left="954" w:right="0" w:hanging="802"/>
        <w:jc w:val="left"/>
      </w:pPr>
      <w:r>
        <w:rPr>
          <w:spacing w:val="-2"/>
        </w:rPr>
        <w:t>冠状动脉介入</w:t>
      </w:r>
      <w:r>
        <w:rPr>
          <w:spacing w:val="-6"/>
        </w:rPr>
        <w:t>手术</w:t>
      </w:r>
    </w:p>
    <w:p>
      <w:pPr>
        <w:pStyle w:val="BodyText"/>
        <w:spacing w:line="324" w:lineRule="auto" w:before="103"/>
        <w:ind w:left="152" w:right="150"/>
        <w:jc w:val="both"/>
      </w:pPr>
      <w:r>
        <w:rPr/>
        <w:br w:type="column"/>
      </w:r>
      <w:r>
        <w:rPr>
          <w:spacing w:val="-2"/>
        </w:rPr>
        <w:t>为了治疗明显的冠状动脉狭窄性疾病，首次实际实施了冠状动脉介入手术，包括冠状动脉球囊扩张成形术、冠状动脉支架植入术、冠状动脉粥肿斑块切除术或激光冠状动脉成形术。</w:t>
      </w:r>
    </w:p>
    <w:p>
      <w:pPr>
        <w:pStyle w:val="BodyText"/>
        <w:spacing w:line="324" w:lineRule="auto"/>
        <w:ind w:left="152" w:right="150"/>
        <w:jc w:val="both"/>
      </w:pPr>
      <w:r>
        <w:rPr>
          <w:color w:val="000000"/>
          <w:spacing w:val="-2"/>
          <w:shd w:fill="E4E4E4" w:color="auto" w:val="clear"/>
        </w:rPr>
        <w:t>我们对“较轻急性心肌梗死”、“冠状动脉介入手术”和“激光心肌血运重</w:t>
      </w:r>
      <w:r>
        <w:rPr>
          <w:color w:val="000000"/>
          <w:spacing w:val="40"/>
          <w:shd w:fill="E4E4E4" w:color="auto" w:val="clear"/>
        </w:rPr>
        <w:t> </w:t>
      </w:r>
      <w:r>
        <w:rPr>
          <w:color w:val="000000"/>
          <w:spacing w:val="-2"/>
          <w:shd w:fill="E4E4E4" w:color="auto" w:val="clear"/>
        </w:rPr>
        <w:t>建术”三项中的其中一项承担保险责任，给付其中一项保险金后，对其它两项轻度疾病保险责任同时终止。</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4"/>
        <w:rPr>
          <w:sz w:val="21"/>
        </w:rPr>
      </w:pPr>
    </w:p>
    <w:p>
      <w:pPr>
        <w:spacing w:after="0"/>
        <w:rPr>
          <w:sz w:val="21"/>
        </w:rPr>
        <w:sectPr>
          <w:type w:val="continuous"/>
          <w:pgSz w:w="11910" w:h="16840"/>
          <w:pgMar w:header="484" w:footer="706" w:top="1240" w:bottom="900" w:left="980" w:right="980"/>
        </w:sectPr>
      </w:pPr>
    </w:p>
    <w:p>
      <w:pPr>
        <w:pStyle w:val="Heading2"/>
        <w:numPr>
          <w:ilvl w:val="1"/>
          <w:numId w:val="80"/>
        </w:numPr>
        <w:tabs>
          <w:tab w:pos="954" w:val="left" w:leader="none"/>
          <w:tab w:pos="955" w:val="left" w:leader="none"/>
        </w:tabs>
        <w:spacing w:line="261" w:lineRule="auto" w:before="73" w:after="0"/>
        <w:ind w:left="954" w:right="0" w:hanging="802"/>
        <w:jc w:val="left"/>
      </w:pPr>
      <w:r>
        <w:rPr>
          <w:spacing w:val="-2"/>
        </w:rPr>
        <w:t>激光心肌血运</w:t>
      </w:r>
      <w:r>
        <w:rPr>
          <w:spacing w:val="-4"/>
        </w:rPr>
        <w:t>重建术</w:t>
      </w:r>
    </w:p>
    <w:p>
      <w:pPr>
        <w:pStyle w:val="BodyText"/>
        <w:spacing w:line="324" w:lineRule="auto" w:before="103"/>
        <w:ind w:left="163" w:right="150"/>
        <w:jc w:val="both"/>
      </w:pPr>
      <w:r>
        <w:rPr/>
        <w:br w:type="column"/>
      </w:r>
      <w:r>
        <w:rPr>
          <w:spacing w:val="-2"/>
        </w:rPr>
        <w:t>指患有顽固性心绞痛，经持续药物治疗后无改善，冠状动脉搭桥手术及经皮血管成形手术已失败或者被认为不适合。在我们认可的医院内实际进行了开胸手术下或者胸腔镜下的激光心肌血运重建术。</w:t>
      </w:r>
    </w:p>
    <w:p>
      <w:pPr>
        <w:pStyle w:val="BodyText"/>
        <w:spacing w:line="324" w:lineRule="auto"/>
        <w:ind w:left="135" w:right="152"/>
      </w:pPr>
      <w:r>
        <w:rPr>
          <w:color w:val="000000"/>
          <w:spacing w:val="-2"/>
          <w:shd w:fill="E4E4E4" w:color="auto" w:val="clear"/>
        </w:rPr>
        <w:t>我们对“较轻急性心肌梗死”、“冠状动脉介入手术”和“激光心肌血运重</w:t>
      </w:r>
      <w:r>
        <w:rPr>
          <w:color w:val="000000"/>
          <w:spacing w:val="80"/>
          <w:w w:val="150"/>
          <w:shd w:fill="E4E4E4" w:color="auto" w:val="clear"/>
        </w:rPr>
        <w:t>                                       </w:t>
      </w:r>
      <w:r>
        <w:rPr>
          <w:color w:val="000000"/>
          <w:spacing w:val="-1"/>
          <w:shd w:fill="E4E4E4" w:color="auto" w:val="clear"/>
        </w:rPr>
        <w:t>建术”三项中的其中一项承担保险责任，给付其中一项保险金后，对其它两</w:t>
      </w:r>
    </w:p>
    <w:p>
      <w:pPr>
        <w:spacing w:after="0" w:line="324" w:lineRule="auto"/>
        <w:sectPr>
          <w:type w:val="continuous"/>
          <w:pgSz w:w="11910" w:h="16840"/>
          <w:pgMar w:header="484" w:footer="706" w:top="1240" w:bottom="900" w:left="980" w:right="980"/>
          <w:cols w:num="2" w:equalWidth="0">
            <w:col w:w="2277" w:space="40"/>
            <w:col w:w="7633"/>
          </w:cols>
        </w:sectPr>
      </w:pPr>
    </w:p>
    <w:p>
      <w:pPr>
        <w:pStyle w:val="BodyText"/>
        <w:spacing w:before="7"/>
        <w:rPr>
          <w:sz w:val="14"/>
        </w:rPr>
      </w:pPr>
    </w:p>
    <w:p>
      <w:pPr>
        <w:pStyle w:val="BodyText"/>
        <w:spacing w:before="70"/>
        <w:ind w:left="2452"/>
      </w:pPr>
      <w:r>
        <w:rPr>
          <w:color w:val="000000"/>
          <w:spacing w:val="-3"/>
          <w:shd w:fill="E4E4E4" w:color="auto" w:val="clear"/>
        </w:rPr>
        <w:t>项轻度疾病保险责任同时终止。</w:t>
      </w:r>
    </w:p>
    <w:p>
      <w:pPr>
        <w:pStyle w:val="BodyText"/>
        <w:spacing w:before="5"/>
        <w:rPr>
          <w:sz w:val="29"/>
        </w:rPr>
      </w:pPr>
    </w:p>
    <w:p>
      <w:pPr>
        <w:spacing w:after="0"/>
        <w:rPr>
          <w:sz w:val="29"/>
        </w:rPr>
        <w:sectPr>
          <w:pgSz w:w="11910" w:h="16840"/>
          <w:pgMar w:header="484" w:footer="706" w:top="1240" w:bottom="900" w:left="980" w:right="980"/>
        </w:sectPr>
      </w:pPr>
    </w:p>
    <w:p>
      <w:pPr>
        <w:pStyle w:val="Heading2"/>
        <w:numPr>
          <w:ilvl w:val="1"/>
          <w:numId w:val="80"/>
        </w:numPr>
        <w:tabs>
          <w:tab w:pos="954" w:val="left" w:leader="none"/>
          <w:tab w:pos="955" w:val="left" w:leader="none"/>
        </w:tabs>
        <w:spacing w:line="240" w:lineRule="auto" w:before="73" w:after="0"/>
        <w:ind w:left="954" w:right="0" w:hanging="803"/>
        <w:jc w:val="left"/>
      </w:pPr>
      <w:r>
        <w:rPr>
          <w:spacing w:val="-4"/>
        </w:rPr>
        <w:t>心脏瓣膜手术</w:t>
      </w:r>
    </w:p>
    <w:p>
      <w:pPr>
        <w:spacing w:line="261" w:lineRule="auto" w:before="30"/>
        <w:ind w:left="954" w:right="0" w:firstLine="0"/>
        <w:jc w:val="left"/>
        <w:rPr>
          <w:rFonts w:ascii="华文中宋" w:eastAsia="华文中宋" w:hint="eastAsia"/>
          <w:b/>
          <w:sz w:val="22"/>
        </w:rPr>
      </w:pPr>
      <w:r>
        <w:rPr>
          <w:rFonts w:ascii="华文中宋" w:eastAsia="华文中宋" w:hint="eastAsia"/>
          <w:b/>
          <w:spacing w:val="-2"/>
          <w:sz w:val="22"/>
        </w:rPr>
        <w:t>（非切开心脏</w:t>
      </w:r>
      <w:r>
        <w:rPr>
          <w:rFonts w:ascii="华文中宋" w:eastAsia="华文中宋" w:hint="eastAsia"/>
          <w:b/>
          <w:spacing w:val="-4"/>
          <w:sz w:val="22"/>
        </w:rPr>
        <w:t>手术）</w:t>
      </w:r>
    </w:p>
    <w:p>
      <w:pPr>
        <w:pStyle w:val="BodyText"/>
        <w:spacing w:line="324" w:lineRule="auto" w:before="103"/>
        <w:ind w:left="152" w:right="150"/>
      </w:pPr>
      <w:r>
        <w:rPr/>
        <w:br w:type="column"/>
      </w:r>
      <w:r>
        <w:rPr>
          <w:spacing w:val="-2"/>
        </w:rPr>
        <w:t>指为了治疗心脏瓣膜疾病，被保险人实际接受了非切开心脏的心脏瓣膜置换或修复手术。</w:t>
      </w:r>
    </w:p>
    <w:p>
      <w:pPr>
        <w:spacing w:after="0" w:line="324" w:lineRule="auto"/>
        <w:sectPr>
          <w:type w:val="continuous"/>
          <w:pgSz w:w="11910" w:h="16840"/>
          <w:pgMar w:header="484" w:footer="706" w:top="1240" w:bottom="900" w:left="980" w:right="980"/>
          <w:cols w:num="2" w:equalWidth="0">
            <w:col w:w="2277" w:space="51"/>
            <w:col w:w="7622"/>
          </w:cols>
        </w:sectPr>
      </w:pPr>
    </w:p>
    <w:p>
      <w:pPr>
        <w:pStyle w:val="BodyText"/>
        <w:spacing w:before="11"/>
        <w:rPr>
          <w:sz w:val="23"/>
        </w:rPr>
      </w:pPr>
    </w:p>
    <w:p>
      <w:pPr>
        <w:pStyle w:val="ListParagraph"/>
        <w:numPr>
          <w:ilvl w:val="1"/>
          <w:numId w:val="80"/>
        </w:numPr>
        <w:tabs>
          <w:tab w:pos="955" w:val="left" w:leader="none"/>
        </w:tabs>
        <w:spacing w:line="302" w:lineRule="auto" w:before="73" w:after="0"/>
        <w:ind w:left="2480" w:right="150" w:hanging="2328"/>
        <w:jc w:val="both"/>
        <w:rPr>
          <w:sz w:val="22"/>
        </w:rPr>
      </w:pPr>
      <w:r>
        <w:rPr>
          <w:rFonts w:ascii="华文中宋" w:eastAsia="华文中宋" w:hint="eastAsia"/>
          <w:b/>
          <w:sz w:val="22"/>
        </w:rPr>
        <w:t>中度听力受损</w:t>
      </w:r>
      <w:r>
        <w:rPr>
          <w:rFonts w:ascii="华文中宋" w:eastAsia="华文中宋" w:hint="eastAsia"/>
          <w:b/>
          <w:spacing w:val="80"/>
          <w:w w:val="150"/>
          <w:sz w:val="22"/>
        </w:rPr>
        <w:t> </w:t>
      </w:r>
      <w:r>
        <w:rPr>
          <w:sz w:val="22"/>
        </w:rPr>
        <w:t>指因疾病或意外伤害导致双耳听力永久不可逆性丧失，在500赫兹，1000赫</w:t>
      </w:r>
      <w:r>
        <w:rPr>
          <w:spacing w:val="-2"/>
          <w:sz w:val="22"/>
        </w:rPr>
        <w:t>兹和2000赫兹语音频率下，平均听阈大于80分贝。需有纯音听力测试、声导抗检测或听觉诱发电位检测等证实。</w:t>
      </w:r>
    </w:p>
    <w:p>
      <w:pPr>
        <w:pStyle w:val="BodyText"/>
        <w:spacing w:line="324" w:lineRule="auto" w:before="20"/>
        <w:ind w:left="2480" w:right="150"/>
      </w:pPr>
      <w:r>
        <w:rPr>
          <w:color w:val="000000"/>
          <w:spacing w:val="-2"/>
          <w:shd w:fill="E4E4E4" w:color="auto" w:val="clear"/>
        </w:rPr>
        <w:t>被保险人申请理赔时年龄必须在三周岁以上，并且提供理赔当时的听力丧失</w:t>
      </w:r>
      <w:r>
        <w:rPr>
          <w:color w:val="000000"/>
          <w:spacing w:val="80"/>
          <w:w w:val="150"/>
          <w:shd w:fill="E4E4E4" w:color="auto" w:val="clear"/>
        </w:rPr>
        <w:t>                                       </w:t>
      </w:r>
      <w:r>
        <w:rPr>
          <w:color w:val="000000"/>
          <w:spacing w:val="-2"/>
          <w:shd w:fill="E4E4E4" w:color="auto" w:val="clear"/>
        </w:rPr>
        <w:t>诊断及检查证据。</w:t>
      </w:r>
    </w:p>
    <w:p>
      <w:pPr>
        <w:pStyle w:val="BodyText"/>
        <w:spacing w:line="324" w:lineRule="auto"/>
        <w:ind w:left="2480" w:right="150"/>
        <w:jc w:val="both"/>
      </w:pPr>
      <w:r>
        <w:rPr>
          <w:color w:val="000000"/>
          <w:spacing w:val="-2"/>
          <w:shd w:fill="E4E4E4" w:color="auto" w:val="clear"/>
        </w:rPr>
        <w:t>我们对“中度听力受损”、“单耳失聪”、“人工耳蜗植入术”三项中的其</w:t>
      </w:r>
      <w:r>
        <w:rPr>
          <w:color w:val="000000"/>
          <w:spacing w:val="40"/>
          <w:shd w:fill="E4E4E4" w:color="auto" w:val="clear"/>
        </w:rPr>
        <w:t> </w:t>
      </w:r>
      <w:r>
        <w:rPr>
          <w:color w:val="000000"/>
          <w:spacing w:val="-2"/>
          <w:shd w:fill="E4E4E4" w:color="auto" w:val="clear"/>
        </w:rPr>
        <w:t>中一项承担保险责任，给付其中一项保险金后，对另两项轻度疾病保险责任同时终止。</w:t>
      </w:r>
    </w:p>
    <w:p>
      <w:pPr>
        <w:pStyle w:val="BodyText"/>
        <w:spacing w:before="1"/>
        <w:rPr>
          <w:sz w:val="27"/>
        </w:rPr>
      </w:pPr>
    </w:p>
    <w:p>
      <w:pPr>
        <w:pStyle w:val="ListParagraph"/>
        <w:numPr>
          <w:ilvl w:val="1"/>
          <w:numId w:val="80"/>
        </w:numPr>
        <w:tabs>
          <w:tab w:pos="955" w:val="left" w:leader="none"/>
        </w:tabs>
        <w:spacing w:line="302" w:lineRule="auto" w:before="0" w:after="0"/>
        <w:ind w:left="2480" w:right="150" w:hanging="2328"/>
        <w:jc w:val="both"/>
        <w:rPr>
          <w:sz w:val="22"/>
        </w:rPr>
      </w:pPr>
      <w:r>
        <w:rPr>
          <w:rFonts w:ascii="华文中宋" w:eastAsia="华文中宋" w:hint="eastAsia"/>
          <w:b/>
          <w:spacing w:val="-2"/>
          <w:w w:val="100"/>
          <w:sz w:val="22"/>
        </w:rPr>
        <w:t>单耳失聪</w:t>
      </w:r>
      <w:r>
        <w:rPr>
          <w:rFonts w:ascii="华文中宋" w:eastAsia="华文中宋" w:hint="eastAsia"/>
          <w:b/>
          <w:spacing w:val="1"/>
          <w:sz w:val="22"/>
        </w:rPr>
        <w:t>         </w:t>
      </w:r>
      <w:r>
        <w:rPr>
          <w:spacing w:val="2"/>
          <w:w w:val="100"/>
          <w:sz w:val="22"/>
        </w:rPr>
        <w:t>指因疾病或者意外伤害导致单耳听力永久不可逆性丧失，在</w:t>
      </w:r>
      <w:r>
        <w:rPr>
          <w:spacing w:val="-1"/>
          <w:w w:val="100"/>
          <w:sz w:val="22"/>
        </w:rPr>
        <w:t>50</w:t>
      </w:r>
      <w:r>
        <w:rPr>
          <w:spacing w:val="4"/>
          <w:w w:val="100"/>
          <w:sz w:val="22"/>
        </w:rPr>
        <w:t>0赫兹、</w:t>
      </w:r>
      <w:r>
        <w:rPr>
          <w:spacing w:val="-1"/>
          <w:w w:val="100"/>
          <w:sz w:val="22"/>
        </w:rPr>
        <w:t>100</w:t>
      </w:r>
      <w:r>
        <w:rPr>
          <w:w w:val="100"/>
          <w:sz w:val="22"/>
        </w:rPr>
        <w:t>0</w:t>
      </w:r>
      <w:r>
        <w:rPr>
          <w:spacing w:val="7"/>
          <w:w w:val="100"/>
          <w:sz w:val="22"/>
        </w:rPr>
        <w:t>赫兹和</w:t>
      </w:r>
      <w:r>
        <w:rPr>
          <w:spacing w:val="-1"/>
          <w:w w:val="100"/>
          <w:sz w:val="22"/>
        </w:rPr>
        <w:t>200</w:t>
      </w:r>
      <w:r>
        <w:rPr>
          <w:spacing w:val="7"/>
          <w:w w:val="100"/>
          <w:sz w:val="22"/>
        </w:rPr>
        <w:t>0赫兹语音频率下，平均听阈大于等于</w:t>
      </w:r>
      <w:r>
        <w:rPr>
          <w:spacing w:val="-1"/>
          <w:w w:val="100"/>
          <w:sz w:val="22"/>
        </w:rPr>
        <w:t>9</w:t>
      </w:r>
      <w:r>
        <w:rPr>
          <w:spacing w:val="7"/>
          <w:w w:val="100"/>
          <w:sz w:val="22"/>
        </w:rPr>
        <w:t>1</w:t>
      </w:r>
      <w:r>
        <w:rPr>
          <w:spacing w:val="6"/>
          <w:w w:val="100"/>
          <w:sz w:val="22"/>
        </w:rPr>
        <w:t>分贝，且经纯音听力测</w:t>
      </w:r>
      <w:r>
        <w:rPr>
          <w:spacing w:val="-3"/>
          <w:w w:val="100"/>
          <w:sz w:val="22"/>
        </w:rPr>
        <w:t>试、声导抗检测或者听觉诱发电位检测等证实。</w:t>
      </w:r>
    </w:p>
    <w:p>
      <w:pPr>
        <w:pStyle w:val="BodyText"/>
        <w:spacing w:line="324" w:lineRule="auto" w:before="20"/>
        <w:ind w:left="2480" w:right="150"/>
      </w:pPr>
      <w:r>
        <w:rPr>
          <w:color w:val="000000"/>
          <w:spacing w:val="-2"/>
          <w:shd w:fill="E4E4E4" w:color="auto" w:val="clear"/>
        </w:rPr>
        <w:t>被保险人申请理赔时年龄必须在三周岁以上，并且提供理赔当时的听力丧失</w:t>
      </w:r>
      <w:r>
        <w:rPr>
          <w:color w:val="000000"/>
          <w:spacing w:val="80"/>
          <w:w w:val="150"/>
          <w:shd w:fill="E4E4E4" w:color="auto" w:val="clear"/>
        </w:rPr>
        <w:t>                                       </w:t>
      </w:r>
      <w:r>
        <w:rPr>
          <w:color w:val="000000"/>
          <w:spacing w:val="-2"/>
          <w:shd w:fill="E4E4E4" w:color="auto" w:val="clear"/>
        </w:rPr>
        <w:t>诊断及检查证据。</w:t>
      </w:r>
    </w:p>
    <w:p>
      <w:pPr>
        <w:pStyle w:val="BodyText"/>
        <w:spacing w:line="324" w:lineRule="auto"/>
        <w:ind w:left="2480" w:right="150"/>
        <w:jc w:val="both"/>
      </w:pPr>
      <w:r>
        <w:rPr>
          <w:color w:val="000000"/>
          <w:spacing w:val="-2"/>
          <w:shd w:fill="E4E4E4" w:color="auto" w:val="clear"/>
        </w:rPr>
        <w:t>我们对“中度听力受损”、“单耳失聪”、“人工耳蜗植入术”三项中的其</w:t>
      </w:r>
      <w:r>
        <w:rPr>
          <w:color w:val="000000"/>
          <w:spacing w:val="40"/>
          <w:shd w:fill="E4E4E4" w:color="auto" w:val="clear"/>
        </w:rPr>
        <w:t> </w:t>
      </w:r>
      <w:r>
        <w:rPr>
          <w:color w:val="000000"/>
          <w:spacing w:val="-2"/>
          <w:shd w:fill="E4E4E4" w:color="auto" w:val="clear"/>
        </w:rPr>
        <w:t>中一项承担保险责任，给付其中一项保险金后，对另两项轻度疾病保险责任同时终止。</w:t>
      </w:r>
    </w:p>
    <w:p>
      <w:pPr>
        <w:pStyle w:val="BodyText"/>
        <w:spacing w:before="5"/>
        <w:rPr>
          <w:sz w:val="21"/>
        </w:rPr>
      </w:pPr>
    </w:p>
    <w:p>
      <w:pPr>
        <w:spacing w:after="0"/>
        <w:rPr>
          <w:sz w:val="21"/>
        </w:rPr>
        <w:sectPr>
          <w:type w:val="continuous"/>
          <w:pgSz w:w="11910" w:h="16840"/>
          <w:pgMar w:header="484" w:footer="706" w:top="1240" w:bottom="900" w:left="980" w:right="980"/>
        </w:sectPr>
      </w:pPr>
    </w:p>
    <w:p>
      <w:pPr>
        <w:pStyle w:val="Heading2"/>
        <w:numPr>
          <w:ilvl w:val="1"/>
          <w:numId w:val="80"/>
        </w:numPr>
        <w:tabs>
          <w:tab w:pos="955" w:val="left" w:leader="none"/>
        </w:tabs>
        <w:spacing w:line="240" w:lineRule="auto" w:before="73" w:after="0"/>
        <w:ind w:left="954" w:right="0" w:hanging="803"/>
        <w:jc w:val="left"/>
      </w:pPr>
      <w:r>
        <w:rPr>
          <w:spacing w:val="-4"/>
        </w:rPr>
        <w:t>人工耳蜗植入</w:t>
      </w:r>
    </w:p>
    <w:p>
      <w:pPr>
        <w:spacing w:before="30"/>
        <w:ind w:left="954" w:right="0" w:firstLine="0"/>
        <w:jc w:val="left"/>
        <w:rPr>
          <w:rFonts w:ascii="华文中宋" w:eastAsia="华文中宋" w:hint="eastAsia"/>
          <w:b/>
          <w:sz w:val="22"/>
        </w:rPr>
      </w:pPr>
      <w:r>
        <w:rPr>
          <w:rFonts w:ascii="华文中宋" w:eastAsia="华文中宋" w:hint="eastAsia"/>
          <w:b/>
          <w:w w:val="100"/>
          <w:sz w:val="22"/>
        </w:rPr>
        <w:t>术</w:t>
      </w:r>
    </w:p>
    <w:p>
      <w:pPr>
        <w:pStyle w:val="BodyText"/>
        <w:spacing w:line="324" w:lineRule="auto" w:before="103"/>
        <w:ind w:left="152" w:right="150"/>
      </w:pPr>
      <w:r>
        <w:rPr/>
        <w:br w:type="column"/>
      </w:r>
      <w:r>
        <w:rPr>
          <w:spacing w:val="-2"/>
        </w:rPr>
        <w:t>指由于耳蜗的永久损害而实际实施了人工耳蜗植入手术。需经专科医师确认手术在医学上是必要的，</w:t>
      </w:r>
      <w:r>
        <w:rPr>
          <w:color w:val="000000"/>
          <w:spacing w:val="-2"/>
          <w:shd w:fill="E4E4E4" w:color="auto" w:val="clear"/>
        </w:rPr>
        <w:t>且在植入手术之前已经符合下列全部条件：</w:t>
      </w:r>
    </w:p>
    <w:p>
      <w:pPr>
        <w:pStyle w:val="ListParagraph"/>
        <w:numPr>
          <w:ilvl w:val="0"/>
          <w:numId w:val="85"/>
        </w:numPr>
        <w:tabs>
          <w:tab w:pos="573" w:val="left" w:leader="none"/>
        </w:tabs>
        <w:spacing w:line="282" w:lineRule="exact" w:before="0" w:after="0"/>
        <w:ind w:left="572" w:right="0" w:hanging="421"/>
        <w:jc w:val="left"/>
        <w:rPr>
          <w:sz w:val="22"/>
        </w:rPr>
      </w:pPr>
      <w:r>
        <w:rPr>
          <w:spacing w:val="-2"/>
          <w:sz w:val="22"/>
        </w:rPr>
        <w:t>双耳持续12</w:t>
      </w:r>
      <w:r>
        <w:rPr>
          <w:spacing w:val="-3"/>
          <w:sz w:val="22"/>
        </w:rPr>
        <w:t>个月以上重度感音神经性耳聋；</w:t>
      </w:r>
    </w:p>
    <w:p>
      <w:pPr>
        <w:pStyle w:val="ListParagraph"/>
        <w:numPr>
          <w:ilvl w:val="0"/>
          <w:numId w:val="85"/>
        </w:numPr>
        <w:tabs>
          <w:tab w:pos="573" w:val="left" w:leader="none"/>
        </w:tabs>
        <w:spacing w:line="240" w:lineRule="auto" w:before="97" w:after="0"/>
        <w:ind w:left="572" w:right="0" w:hanging="421"/>
        <w:jc w:val="left"/>
        <w:rPr>
          <w:sz w:val="22"/>
        </w:rPr>
      </w:pPr>
      <w:r>
        <w:rPr>
          <w:spacing w:val="-3"/>
          <w:sz w:val="22"/>
        </w:rPr>
        <w:t>使用相应的听力辅助设备效果不佳。</w:t>
      </w:r>
    </w:p>
    <w:p>
      <w:pPr>
        <w:pStyle w:val="BodyText"/>
        <w:spacing w:line="324" w:lineRule="auto" w:before="100"/>
        <w:ind w:left="152" w:right="150"/>
        <w:jc w:val="both"/>
      </w:pPr>
      <w:r>
        <w:rPr>
          <w:color w:val="000000"/>
          <w:spacing w:val="-2"/>
          <w:shd w:fill="E4E4E4" w:color="auto" w:val="clear"/>
        </w:rPr>
        <w:t>我们对“中度听力受损”、“单耳失聪”、“人工耳蜗植入术”三项中的其</w:t>
      </w:r>
      <w:r>
        <w:rPr>
          <w:color w:val="000000"/>
          <w:spacing w:val="40"/>
          <w:shd w:fill="E4E4E4" w:color="auto" w:val="clear"/>
        </w:rPr>
        <w:t> </w:t>
      </w:r>
      <w:r>
        <w:rPr>
          <w:color w:val="000000"/>
          <w:spacing w:val="-2"/>
          <w:shd w:fill="E4E4E4" w:color="auto" w:val="clear"/>
        </w:rPr>
        <w:t>中一项承担保险责任，给付其中一项保险金后，对其他两项轻度疾病保险责任同时终止。</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6"/>
        <w:rPr>
          <w:sz w:val="21"/>
        </w:rPr>
      </w:pPr>
    </w:p>
    <w:p>
      <w:pPr>
        <w:pStyle w:val="ListParagraph"/>
        <w:numPr>
          <w:ilvl w:val="1"/>
          <w:numId w:val="80"/>
        </w:numPr>
        <w:tabs>
          <w:tab w:pos="955" w:val="left" w:leader="none"/>
          <w:tab w:pos="2480" w:val="left" w:leader="none"/>
        </w:tabs>
        <w:spacing w:line="280" w:lineRule="auto" w:before="73" w:after="0"/>
        <w:ind w:left="2480" w:right="152" w:hanging="2328"/>
        <w:jc w:val="left"/>
        <w:rPr>
          <w:sz w:val="22"/>
        </w:rPr>
      </w:pPr>
      <w:r>
        <w:rPr>
          <w:rFonts w:ascii="华文中宋" w:hAnsi="华文中宋" w:eastAsia="华文中宋" w:hint="eastAsia"/>
          <w:b/>
          <w:spacing w:val="-2"/>
          <w:sz w:val="22"/>
        </w:rPr>
        <w:t>视力严重受损</w:t>
      </w:r>
      <w:r>
        <w:rPr>
          <w:rFonts w:ascii="华文中宋" w:hAnsi="华文中宋" w:eastAsia="华文中宋" w:hint="eastAsia"/>
          <w:b/>
          <w:sz w:val="22"/>
        </w:rPr>
        <w:tab/>
      </w:r>
      <w:r>
        <w:rPr>
          <w:spacing w:val="-2"/>
          <w:sz w:val="22"/>
        </w:rPr>
        <w:t>指被保险人因疾病或意外伤害导致双目视力永久不可逆性丧失，</w:t>
      </w:r>
      <w:r>
        <w:rPr>
          <w:color w:val="000000"/>
          <w:spacing w:val="-2"/>
          <w:sz w:val="22"/>
          <w:shd w:fill="E4E4E4" w:color="auto" w:val="clear"/>
        </w:rPr>
        <w:t>虽然未达到</w:t>
      </w:r>
      <w:r>
        <w:rPr>
          <w:color w:val="000000"/>
          <w:spacing w:val="80"/>
          <w:w w:val="150"/>
          <w:sz w:val="22"/>
          <w:shd w:fill="E4E4E4" w:color="auto" w:val="clear"/>
        </w:rPr>
        <w:t>                                       </w:t>
      </w:r>
      <w:r>
        <w:rPr>
          <w:color w:val="000000"/>
          <w:sz w:val="22"/>
          <w:shd w:fill="E4E4E4" w:color="auto" w:val="clear"/>
        </w:rPr>
        <w:t>重大疾病“10.14 双目失明”的给付标准，但满足下列条件之一：</w:t>
      </w:r>
    </w:p>
    <w:p>
      <w:pPr>
        <w:pStyle w:val="ListParagraph"/>
        <w:numPr>
          <w:ilvl w:val="2"/>
          <w:numId w:val="80"/>
        </w:numPr>
        <w:tabs>
          <w:tab w:pos="2935" w:val="left" w:leader="none"/>
        </w:tabs>
        <w:spacing w:line="324" w:lineRule="auto" w:before="52" w:after="0"/>
        <w:ind w:left="2934" w:right="152" w:hanging="454"/>
        <w:jc w:val="left"/>
        <w:rPr>
          <w:sz w:val="22"/>
        </w:rPr>
      </w:pPr>
      <w:r>
        <w:rPr>
          <w:spacing w:val="2"/>
          <w:w w:val="100"/>
          <w:sz w:val="22"/>
        </w:rPr>
        <w:t>双眼中较好眼矫正视力低于</w:t>
      </w:r>
      <w:r>
        <w:rPr>
          <w:spacing w:val="-1"/>
          <w:w w:val="100"/>
          <w:sz w:val="22"/>
        </w:rPr>
        <w:t>0.</w:t>
      </w:r>
      <w:r>
        <w:rPr>
          <w:spacing w:val="4"/>
          <w:w w:val="100"/>
          <w:sz w:val="22"/>
        </w:rPr>
        <w:t>1（</w:t>
      </w:r>
      <w:r>
        <w:rPr>
          <w:spacing w:val="1"/>
          <w:w w:val="100"/>
          <w:sz w:val="22"/>
        </w:rPr>
        <w:t>采用国际标准视力表，如果使用其他</w:t>
      </w:r>
      <w:r>
        <w:rPr>
          <w:spacing w:val="-3"/>
          <w:w w:val="100"/>
          <w:sz w:val="22"/>
        </w:rPr>
        <w:t>视力表应进行换算</w:t>
      </w:r>
      <w:r>
        <w:rPr>
          <w:spacing w:val="-1"/>
          <w:w w:val="100"/>
          <w:sz w:val="22"/>
        </w:rPr>
        <w:t>）</w:t>
      </w:r>
      <w:r>
        <w:rPr>
          <w:w w:val="100"/>
          <w:sz w:val="22"/>
        </w:rPr>
        <w:t>；</w:t>
      </w:r>
    </w:p>
    <w:p>
      <w:pPr>
        <w:spacing w:after="0" w:line="324" w:lineRule="auto"/>
        <w:jc w:val="left"/>
        <w:rPr>
          <w:sz w:val="22"/>
        </w:rPr>
        <w:sectPr>
          <w:type w:val="continuous"/>
          <w:pgSz w:w="11910" w:h="16840"/>
          <w:pgMar w:header="484" w:footer="706" w:top="1240" w:bottom="900" w:left="980" w:right="980"/>
        </w:sectPr>
      </w:pPr>
    </w:p>
    <w:p>
      <w:pPr>
        <w:pStyle w:val="BodyText"/>
        <w:spacing w:before="7"/>
        <w:rPr>
          <w:sz w:val="14"/>
        </w:rPr>
      </w:pPr>
    </w:p>
    <w:p>
      <w:pPr>
        <w:pStyle w:val="ListParagraph"/>
        <w:numPr>
          <w:ilvl w:val="2"/>
          <w:numId w:val="80"/>
        </w:numPr>
        <w:tabs>
          <w:tab w:pos="2935" w:val="left" w:leader="none"/>
        </w:tabs>
        <w:spacing w:line="240" w:lineRule="auto" w:before="70" w:after="0"/>
        <w:ind w:left="2934" w:right="0" w:hanging="455"/>
        <w:jc w:val="left"/>
        <w:rPr>
          <w:sz w:val="22"/>
        </w:rPr>
      </w:pPr>
      <w:r>
        <w:rPr>
          <w:spacing w:val="-2"/>
          <w:sz w:val="22"/>
        </w:rPr>
        <w:t>双眼中较好眼视野半径小于20</w:t>
      </w:r>
      <w:r>
        <w:rPr>
          <w:spacing w:val="-6"/>
          <w:sz w:val="22"/>
        </w:rPr>
        <w:t>度。</w:t>
      </w:r>
    </w:p>
    <w:p>
      <w:pPr>
        <w:pStyle w:val="BodyText"/>
        <w:spacing w:line="324" w:lineRule="auto" w:before="100"/>
        <w:ind w:left="2480" w:right="150"/>
      </w:pPr>
      <w:r>
        <w:rPr>
          <w:color w:val="000000"/>
          <w:spacing w:val="-2"/>
          <w:shd w:fill="E4E4E4" w:color="auto" w:val="clear"/>
        </w:rPr>
        <w:t>被保险人申请理赔时年龄必须在三周岁以上，并且提供理赔当时的视力丧失诊断及检查证据。</w:t>
      </w:r>
    </w:p>
    <w:p>
      <w:pPr>
        <w:pStyle w:val="BodyText"/>
        <w:spacing w:line="324" w:lineRule="auto"/>
        <w:ind w:left="2480" w:right="150"/>
        <w:jc w:val="both"/>
      </w:pPr>
      <w:r>
        <w:rPr>
          <w:color w:val="000000"/>
          <w:spacing w:val="-2"/>
          <w:shd w:fill="E4E4E4" w:color="auto" w:val="clear"/>
        </w:rPr>
        <w:t>我们对“视力严重受损”、“角膜移植”、“单眼失明”三项中的其中一项</w:t>
      </w:r>
      <w:r>
        <w:rPr>
          <w:color w:val="000000"/>
          <w:spacing w:val="40"/>
          <w:shd w:fill="E4E4E4" w:color="auto" w:val="clear"/>
        </w:rPr>
        <w:t> </w:t>
      </w:r>
      <w:r>
        <w:rPr>
          <w:color w:val="000000"/>
          <w:spacing w:val="-2"/>
          <w:shd w:fill="E4E4E4" w:color="auto" w:val="clear"/>
        </w:rPr>
        <w:t>承担保险责任，给付其中一项保险金后，对其他两项轻度疾病保险责任同时</w:t>
      </w:r>
      <w:r>
        <w:rPr>
          <w:color w:val="000000"/>
          <w:spacing w:val="-4"/>
          <w:shd w:fill="E4E4E4" w:color="auto" w:val="clear"/>
        </w:rPr>
        <w:t>终止。</w:t>
      </w:r>
    </w:p>
    <w:p>
      <w:pPr>
        <w:pStyle w:val="BodyText"/>
        <w:spacing w:before="1"/>
        <w:rPr>
          <w:sz w:val="27"/>
        </w:rPr>
      </w:pPr>
    </w:p>
    <w:p>
      <w:pPr>
        <w:pStyle w:val="ListParagraph"/>
        <w:numPr>
          <w:ilvl w:val="1"/>
          <w:numId w:val="80"/>
        </w:numPr>
        <w:tabs>
          <w:tab w:pos="955" w:val="left" w:leader="none"/>
        </w:tabs>
        <w:spacing w:line="280" w:lineRule="auto" w:before="0" w:after="0"/>
        <w:ind w:left="2480" w:right="150" w:hanging="2328"/>
        <w:jc w:val="both"/>
        <w:rPr>
          <w:sz w:val="22"/>
        </w:rPr>
      </w:pPr>
      <w:r>
        <w:rPr>
          <w:rFonts w:ascii="华文中宋" w:eastAsia="华文中宋" w:hint="eastAsia"/>
          <w:b/>
          <w:sz w:val="22"/>
        </w:rPr>
        <w:t>角膜移植</w:t>
      </w:r>
      <w:r>
        <w:rPr>
          <w:rFonts w:ascii="华文中宋" w:eastAsia="华文中宋" w:hint="eastAsia"/>
          <w:b/>
          <w:spacing w:val="80"/>
          <w:w w:val="150"/>
          <w:sz w:val="22"/>
        </w:rPr>
        <w:t>   </w:t>
      </w:r>
      <w:r>
        <w:rPr>
          <w:sz w:val="22"/>
        </w:rPr>
        <w:t>指为增进视力或治疗某些角膜疾患，已经实施了异体的角膜移植手术。此手</w:t>
      </w:r>
      <w:r>
        <w:rPr>
          <w:spacing w:val="-2"/>
          <w:sz w:val="22"/>
        </w:rPr>
        <w:t>术必须在我们认可医院内由专科医生认为是医疗必须的情况下进行。</w:t>
      </w:r>
    </w:p>
    <w:p>
      <w:pPr>
        <w:pStyle w:val="BodyText"/>
        <w:spacing w:line="324" w:lineRule="auto" w:before="51"/>
        <w:ind w:left="2480" w:right="150"/>
        <w:jc w:val="both"/>
      </w:pPr>
      <w:r>
        <w:rPr>
          <w:color w:val="000000"/>
          <w:spacing w:val="-2"/>
          <w:shd w:fill="E4E4E4" w:color="auto" w:val="clear"/>
        </w:rPr>
        <w:t>我们对“视力严重受损”、“角膜移植”、“单眼失明”三项中的其中一项</w:t>
      </w:r>
      <w:r>
        <w:rPr>
          <w:color w:val="000000"/>
          <w:spacing w:val="40"/>
          <w:shd w:fill="E4E4E4" w:color="auto" w:val="clear"/>
        </w:rPr>
        <w:t> </w:t>
      </w:r>
      <w:r>
        <w:rPr>
          <w:color w:val="000000"/>
          <w:spacing w:val="-2"/>
          <w:shd w:fill="E4E4E4" w:color="auto" w:val="clear"/>
        </w:rPr>
        <w:t>承担保险责任，给付其中一项保险金后，对其他两项轻度疾病保险责任同时</w:t>
      </w:r>
      <w:r>
        <w:rPr>
          <w:color w:val="000000"/>
          <w:spacing w:val="-4"/>
          <w:shd w:fill="E4E4E4" w:color="auto" w:val="clear"/>
        </w:rPr>
        <w:t>终止。</w:t>
      </w:r>
    </w:p>
    <w:p>
      <w:pPr>
        <w:pStyle w:val="BodyText"/>
        <w:spacing w:before="3"/>
        <w:rPr>
          <w:sz w:val="27"/>
        </w:rPr>
      </w:pPr>
    </w:p>
    <w:p>
      <w:pPr>
        <w:pStyle w:val="ListParagraph"/>
        <w:numPr>
          <w:ilvl w:val="1"/>
          <w:numId w:val="80"/>
        </w:numPr>
        <w:tabs>
          <w:tab w:pos="955" w:val="left" w:leader="none"/>
          <w:tab w:pos="2480" w:val="left" w:leader="none"/>
        </w:tabs>
        <w:spacing w:line="280" w:lineRule="auto" w:before="0" w:after="0"/>
        <w:ind w:left="2480" w:right="150" w:hanging="2328"/>
        <w:jc w:val="left"/>
        <w:rPr>
          <w:sz w:val="22"/>
        </w:rPr>
      </w:pPr>
      <w:r>
        <w:rPr>
          <w:rFonts w:ascii="华文中宋" w:eastAsia="华文中宋" w:hint="eastAsia"/>
          <w:b/>
          <w:spacing w:val="-4"/>
          <w:sz w:val="22"/>
        </w:rPr>
        <w:t>单眼失明</w:t>
      </w:r>
      <w:r>
        <w:rPr>
          <w:rFonts w:ascii="华文中宋" w:eastAsia="华文中宋" w:hint="eastAsia"/>
          <w:b/>
          <w:sz w:val="22"/>
        </w:rPr>
        <w:tab/>
      </w:r>
      <w:r>
        <w:rPr>
          <w:spacing w:val="-2"/>
          <w:sz w:val="22"/>
        </w:rPr>
        <w:t>指因疾病或意外伤害导致单眼视力永久不可逆性丧失，须满足下列至少一项</w:t>
      </w:r>
      <w:r>
        <w:rPr>
          <w:spacing w:val="-4"/>
          <w:sz w:val="22"/>
        </w:rPr>
        <w:t>条件：</w:t>
      </w:r>
    </w:p>
    <w:p>
      <w:pPr>
        <w:pStyle w:val="ListParagraph"/>
        <w:numPr>
          <w:ilvl w:val="2"/>
          <w:numId w:val="80"/>
        </w:numPr>
        <w:tabs>
          <w:tab w:pos="2935" w:val="left" w:leader="none"/>
        </w:tabs>
        <w:spacing w:line="240" w:lineRule="auto" w:before="51" w:after="0"/>
        <w:ind w:left="2934" w:right="0" w:hanging="455"/>
        <w:jc w:val="left"/>
        <w:rPr>
          <w:sz w:val="22"/>
        </w:rPr>
      </w:pPr>
      <w:r>
        <w:rPr>
          <w:spacing w:val="-4"/>
          <w:sz w:val="22"/>
        </w:rPr>
        <w:t>眼球缺失或摘除；</w:t>
      </w:r>
    </w:p>
    <w:p>
      <w:pPr>
        <w:pStyle w:val="ListParagraph"/>
        <w:numPr>
          <w:ilvl w:val="2"/>
          <w:numId w:val="80"/>
        </w:numPr>
        <w:tabs>
          <w:tab w:pos="2935" w:val="left" w:leader="none"/>
        </w:tabs>
        <w:spacing w:line="324" w:lineRule="auto" w:before="99" w:after="0"/>
        <w:ind w:left="2934" w:right="152" w:hanging="454"/>
        <w:jc w:val="left"/>
        <w:rPr>
          <w:sz w:val="22"/>
        </w:rPr>
      </w:pPr>
      <w:r>
        <w:rPr>
          <w:spacing w:val="-2"/>
          <w:sz w:val="22"/>
        </w:rPr>
        <w:t>矫正视力低于0.02（采用国际标准视力表，如果使用其它视力表应进行</w:t>
      </w:r>
      <w:r>
        <w:rPr>
          <w:spacing w:val="-4"/>
          <w:sz w:val="22"/>
        </w:rPr>
        <w:t>换算）；</w:t>
      </w:r>
    </w:p>
    <w:p>
      <w:pPr>
        <w:pStyle w:val="ListParagraph"/>
        <w:numPr>
          <w:ilvl w:val="2"/>
          <w:numId w:val="80"/>
        </w:numPr>
        <w:tabs>
          <w:tab w:pos="2935" w:val="left" w:leader="none"/>
        </w:tabs>
        <w:spacing w:line="279" w:lineRule="exact" w:before="0" w:after="0"/>
        <w:ind w:left="2934" w:right="0" w:hanging="455"/>
        <w:jc w:val="left"/>
        <w:rPr>
          <w:sz w:val="22"/>
        </w:rPr>
      </w:pPr>
      <w:r>
        <w:rPr>
          <w:spacing w:val="-2"/>
          <w:sz w:val="22"/>
        </w:rPr>
        <w:t>视野半径小于5</w:t>
      </w:r>
      <w:r>
        <w:rPr>
          <w:spacing w:val="-6"/>
          <w:sz w:val="22"/>
        </w:rPr>
        <w:t>度。</w:t>
      </w:r>
    </w:p>
    <w:p>
      <w:pPr>
        <w:pStyle w:val="BodyText"/>
        <w:spacing w:line="324" w:lineRule="auto" w:before="100"/>
        <w:ind w:left="2480" w:right="150"/>
        <w:jc w:val="both"/>
      </w:pPr>
      <w:r>
        <w:rPr>
          <w:color w:val="000000"/>
          <w:spacing w:val="-2"/>
          <w:shd w:fill="E4E4E4" w:color="auto" w:val="clear"/>
        </w:rPr>
        <w:t>我们对“视力严重受损”、“角膜移植”、“单眼失明”三项中的其中一项</w:t>
      </w:r>
      <w:r>
        <w:rPr>
          <w:color w:val="000000"/>
          <w:spacing w:val="40"/>
          <w:shd w:fill="E4E4E4" w:color="auto" w:val="clear"/>
        </w:rPr>
        <w:t> </w:t>
      </w:r>
      <w:r>
        <w:rPr>
          <w:color w:val="000000"/>
          <w:spacing w:val="-2"/>
          <w:shd w:fill="E4E4E4" w:color="auto" w:val="clear"/>
        </w:rPr>
        <w:t>承担保险责任，给付其中一项保险金后，对其他两项轻度疾病保险责任同时</w:t>
      </w:r>
      <w:r>
        <w:rPr>
          <w:color w:val="000000"/>
          <w:spacing w:val="-4"/>
          <w:shd w:fill="E4E4E4" w:color="auto" w:val="clear"/>
        </w:rPr>
        <w:t>终止。</w:t>
      </w:r>
    </w:p>
    <w:p>
      <w:pPr>
        <w:pStyle w:val="BodyText"/>
        <w:spacing w:before="6"/>
        <w:rPr>
          <w:sz w:val="21"/>
        </w:rPr>
      </w:pPr>
    </w:p>
    <w:p>
      <w:pPr>
        <w:spacing w:after="0"/>
        <w:rPr>
          <w:sz w:val="21"/>
        </w:rPr>
        <w:sectPr>
          <w:pgSz w:w="11910" w:h="16840"/>
          <w:pgMar w:header="484" w:footer="706" w:top="1240" w:bottom="900" w:left="980" w:right="980"/>
        </w:sectPr>
      </w:pPr>
    </w:p>
    <w:p>
      <w:pPr>
        <w:pStyle w:val="Heading2"/>
        <w:numPr>
          <w:ilvl w:val="1"/>
          <w:numId w:val="80"/>
        </w:numPr>
        <w:tabs>
          <w:tab w:pos="955" w:val="left" w:leader="none"/>
        </w:tabs>
        <w:spacing w:line="240" w:lineRule="auto" w:before="73" w:after="0"/>
        <w:ind w:left="954" w:right="0" w:hanging="803"/>
        <w:jc w:val="left"/>
      </w:pPr>
      <w:r>
        <w:rPr>
          <w:spacing w:val="-4"/>
        </w:rPr>
        <w:t>主动脉内手术</w:t>
      </w:r>
    </w:p>
    <w:p>
      <w:pPr>
        <w:spacing w:line="261" w:lineRule="auto" w:before="30"/>
        <w:ind w:left="954" w:right="0" w:firstLine="0"/>
        <w:jc w:val="left"/>
        <w:rPr>
          <w:rFonts w:ascii="华文中宋" w:eastAsia="华文中宋" w:hint="eastAsia"/>
          <w:b/>
          <w:sz w:val="22"/>
        </w:rPr>
      </w:pPr>
      <w:r>
        <w:rPr>
          <w:rFonts w:ascii="华文中宋" w:eastAsia="华文中宋" w:hint="eastAsia"/>
          <w:b/>
          <w:spacing w:val="-2"/>
          <w:sz w:val="22"/>
        </w:rPr>
        <w:t>（非开胸开腹</w:t>
      </w:r>
      <w:r>
        <w:rPr>
          <w:rFonts w:ascii="华文中宋" w:eastAsia="华文中宋" w:hint="eastAsia"/>
          <w:b/>
          <w:spacing w:val="-4"/>
          <w:sz w:val="22"/>
        </w:rPr>
        <w:t>手术）</w:t>
      </w:r>
    </w:p>
    <w:p>
      <w:pPr>
        <w:pStyle w:val="BodyText"/>
        <w:spacing w:line="324" w:lineRule="auto" w:before="103"/>
        <w:ind w:left="152" w:right="150"/>
        <w:jc w:val="both"/>
      </w:pPr>
      <w:r>
        <w:rPr/>
        <w:br w:type="column"/>
      </w:r>
      <w:r>
        <w:rPr>
          <w:spacing w:val="-2"/>
        </w:rPr>
        <w:t>指为治疗主动脉疾病或主动脉创伤，已经实施了非开胸开腹的切除、置换、修补病损主动脉血管、主动脉创伤后修复的手术。主动脉指升主动脉、主动脉弓和降主动脉（含胸主动脉和腹主动脉），</w:t>
      </w:r>
      <w:r>
        <w:rPr>
          <w:color w:val="000000"/>
          <w:spacing w:val="-2"/>
          <w:shd w:fill="E4E4E4" w:color="auto" w:val="clear"/>
        </w:rPr>
        <w:t>不包括升主动脉、主动脉弓和</w:t>
      </w:r>
      <w:r>
        <w:rPr>
          <w:color w:val="000000"/>
          <w:spacing w:val="40"/>
          <w:shd w:fill="E4E4E4" w:color="auto" w:val="clear"/>
        </w:rPr>
        <w:t> </w:t>
      </w:r>
      <w:r>
        <w:rPr>
          <w:color w:val="000000"/>
          <w:spacing w:val="-2"/>
          <w:shd w:fill="E4E4E4" w:color="auto" w:val="clear"/>
        </w:rPr>
        <w:t>降主动脉的分支血管。</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4"/>
        <w:rPr>
          <w:sz w:val="21"/>
        </w:rPr>
      </w:pPr>
    </w:p>
    <w:p>
      <w:pPr>
        <w:spacing w:after="0"/>
        <w:rPr>
          <w:sz w:val="21"/>
        </w:rPr>
        <w:sectPr>
          <w:type w:val="continuous"/>
          <w:pgSz w:w="11910" w:h="16840"/>
          <w:pgMar w:header="484" w:footer="706" w:top="1240" w:bottom="900" w:left="980" w:right="980"/>
        </w:sectPr>
      </w:pPr>
    </w:p>
    <w:p>
      <w:pPr>
        <w:pStyle w:val="Heading2"/>
        <w:numPr>
          <w:ilvl w:val="1"/>
          <w:numId w:val="80"/>
        </w:numPr>
        <w:tabs>
          <w:tab w:pos="955" w:val="left" w:leader="none"/>
        </w:tabs>
        <w:spacing w:line="261" w:lineRule="auto" w:before="75" w:after="0"/>
        <w:ind w:left="954" w:right="0" w:hanging="802"/>
        <w:jc w:val="left"/>
      </w:pPr>
      <w:r>
        <w:rPr>
          <w:spacing w:val="-2"/>
        </w:rPr>
        <w:t>轻度慢性肾脏</w:t>
      </w:r>
      <w:r>
        <w:rPr>
          <w:spacing w:val="-6"/>
        </w:rPr>
        <w:t>疾病</w:t>
      </w:r>
    </w:p>
    <w:p>
      <w:pPr>
        <w:pStyle w:val="BodyText"/>
        <w:spacing w:line="324" w:lineRule="auto" w:before="105"/>
        <w:ind w:left="152" w:right="150"/>
      </w:pPr>
      <w:r>
        <w:rPr/>
        <w:br w:type="column"/>
      </w:r>
      <w:r>
        <w:rPr>
          <w:spacing w:val="-2"/>
        </w:rPr>
        <w:t>轻度慢性肾脏疾病是指慢性肾功能衰竭，须由我们认可的医院的专科医生确诊，</w:t>
      </w:r>
      <w:r>
        <w:rPr>
          <w:color w:val="000000"/>
          <w:spacing w:val="-2"/>
          <w:shd w:fill="E4E4E4" w:color="auto" w:val="clear"/>
        </w:rPr>
        <w:t>且必须符合下列所有条件：</w:t>
      </w:r>
    </w:p>
    <w:p>
      <w:pPr>
        <w:pStyle w:val="ListParagraph"/>
        <w:numPr>
          <w:ilvl w:val="0"/>
          <w:numId w:val="86"/>
        </w:numPr>
        <w:tabs>
          <w:tab w:pos="607" w:val="left" w:leader="none"/>
        </w:tabs>
        <w:spacing w:line="324" w:lineRule="auto" w:before="0" w:after="0"/>
        <w:ind w:left="606" w:right="150" w:hanging="454"/>
        <w:jc w:val="left"/>
        <w:rPr>
          <w:sz w:val="22"/>
        </w:rPr>
      </w:pPr>
      <w:r>
        <w:rPr>
          <w:spacing w:val="28"/>
          <w:sz w:val="22"/>
        </w:rPr>
        <w:t>肾小球滤过率</w:t>
      </w:r>
      <w:r>
        <w:rPr>
          <w:sz w:val="22"/>
        </w:rPr>
        <w:t>（</w:t>
      </w:r>
      <w:r>
        <w:rPr>
          <w:spacing w:val="-82"/>
          <w:sz w:val="22"/>
        </w:rPr>
        <w:t> </w:t>
      </w:r>
      <w:r>
        <w:rPr>
          <w:sz w:val="22"/>
        </w:rPr>
        <w:t>GFR</w:t>
      </w:r>
      <w:r>
        <w:rPr>
          <w:spacing w:val="-82"/>
          <w:sz w:val="22"/>
        </w:rPr>
        <w:t> </w:t>
      </w:r>
      <w:r>
        <w:rPr>
          <w:sz w:val="22"/>
        </w:rPr>
        <w:t>）</w:t>
      </w:r>
      <w:r>
        <w:rPr>
          <w:spacing w:val="-54"/>
          <w:sz w:val="22"/>
        </w:rPr>
        <w:t> ＜ </w:t>
      </w:r>
      <w:r>
        <w:rPr>
          <w:sz w:val="22"/>
        </w:rPr>
        <w:t>25ml/min</w:t>
      </w:r>
      <w:r>
        <w:rPr>
          <w:spacing w:val="3"/>
          <w:sz w:val="22"/>
        </w:rPr>
        <w:t> ， 或内生肌酐清除率</w:t>
      </w:r>
      <w:r>
        <w:rPr>
          <w:sz w:val="22"/>
        </w:rPr>
        <w:t>（</w:t>
      </w:r>
      <w:r>
        <w:rPr>
          <w:spacing w:val="-82"/>
          <w:sz w:val="22"/>
        </w:rPr>
        <w:t> </w:t>
      </w:r>
      <w:r>
        <w:rPr>
          <w:sz w:val="22"/>
        </w:rPr>
        <w:t>Ccr</w:t>
      </w:r>
      <w:r>
        <w:rPr>
          <w:spacing w:val="-82"/>
          <w:sz w:val="22"/>
        </w:rPr>
        <w:t> </w:t>
      </w:r>
      <w:r>
        <w:rPr>
          <w:sz w:val="22"/>
        </w:rPr>
        <w:t>）</w:t>
      </w:r>
      <w:r>
        <w:rPr>
          <w:spacing w:val="-40"/>
          <w:sz w:val="22"/>
        </w:rPr>
        <w:t> ＜</w:t>
      </w:r>
      <w:r>
        <w:rPr>
          <w:sz w:val="22"/>
        </w:rPr>
        <w:t> </w:t>
      </w:r>
      <w:r>
        <w:rPr>
          <w:spacing w:val="-2"/>
          <w:sz w:val="22"/>
        </w:rPr>
        <w:t>25ml/min；</w:t>
      </w:r>
    </w:p>
    <w:p>
      <w:pPr>
        <w:pStyle w:val="ListParagraph"/>
        <w:numPr>
          <w:ilvl w:val="0"/>
          <w:numId w:val="86"/>
        </w:numPr>
        <w:tabs>
          <w:tab w:pos="607" w:val="left" w:leader="none"/>
        </w:tabs>
        <w:spacing w:line="282" w:lineRule="exact" w:before="0" w:after="0"/>
        <w:ind w:left="606" w:right="0" w:hanging="455"/>
        <w:jc w:val="left"/>
        <w:rPr>
          <w:sz w:val="22"/>
        </w:rPr>
      </w:pPr>
      <w:r>
        <w:rPr>
          <w:spacing w:val="-2"/>
          <w:sz w:val="22"/>
        </w:rPr>
        <w:t>血肌酐（Scr）＞5mg/dl或＞442µmol/L；</w:t>
      </w:r>
    </w:p>
    <w:p>
      <w:pPr>
        <w:pStyle w:val="ListParagraph"/>
        <w:numPr>
          <w:ilvl w:val="0"/>
          <w:numId w:val="86"/>
        </w:numPr>
        <w:tabs>
          <w:tab w:pos="607" w:val="left" w:leader="none"/>
        </w:tabs>
        <w:spacing w:line="240" w:lineRule="auto" w:before="95" w:after="0"/>
        <w:ind w:left="606" w:right="0" w:hanging="455"/>
        <w:jc w:val="left"/>
        <w:rPr>
          <w:sz w:val="22"/>
        </w:rPr>
      </w:pPr>
      <w:r>
        <w:rPr>
          <w:spacing w:val="-2"/>
          <w:sz w:val="22"/>
        </w:rPr>
        <w:t>连续维持至少180</w:t>
      </w:r>
      <w:r>
        <w:rPr>
          <w:spacing w:val="-6"/>
          <w:sz w:val="22"/>
        </w:rPr>
        <w:t>日。</w:t>
      </w:r>
    </w:p>
    <w:p>
      <w:pPr>
        <w:pStyle w:val="BodyText"/>
        <w:spacing w:before="100"/>
        <w:ind w:left="152"/>
      </w:pPr>
      <w:r>
        <w:rPr>
          <w:color w:val="000000"/>
          <w:spacing w:val="-3"/>
          <w:shd w:fill="E4E4E4" w:color="auto" w:val="clear"/>
        </w:rPr>
        <w:t>因系统性红斑狼疮所致慢性肾功能障碍不在保障范围之内。</w:t>
      </w:r>
    </w:p>
    <w:p>
      <w:pPr>
        <w:spacing w:after="0"/>
        <w:sectPr>
          <w:type w:val="continuous"/>
          <w:pgSz w:w="11910" w:h="16840"/>
          <w:pgMar w:header="484" w:footer="706" w:top="1240" w:bottom="900" w:left="980" w:right="980"/>
          <w:cols w:num="2" w:equalWidth="0">
            <w:col w:w="2277" w:space="51"/>
            <w:col w:w="7622"/>
          </w:cols>
        </w:sectPr>
      </w:pPr>
    </w:p>
    <w:p>
      <w:pPr>
        <w:pStyle w:val="BodyText"/>
        <w:rPr>
          <w:sz w:val="12"/>
        </w:rPr>
      </w:pPr>
    </w:p>
    <w:p>
      <w:pPr>
        <w:pStyle w:val="ListParagraph"/>
        <w:numPr>
          <w:ilvl w:val="1"/>
          <w:numId w:val="80"/>
        </w:numPr>
        <w:tabs>
          <w:tab w:pos="955" w:val="left" w:leader="none"/>
          <w:tab w:pos="2480" w:val="left" w:leader="none"/>
        </w:tabs>
        <w:spacing w:line="283" w:lineRule="auto" w:before="73" w:after="0"/>
        <w:ind w:left="2480" w:right="150" w:hanging="2328"/>
        <w:jc w:val="left"/>
        <w:rPr>
          <w:sz w:val="22"/>
        </w:rPr>
      </w:pPr>
      <w:r>
        <w:rPr>
          <w:rFonts w:ascii="华文中宋" w:eastAsia="华文中宋" w:hint="eastAsia"/>
          <w:b/>
          <w:spacing w:val="-2"/>
          <w:sz w:val="22"/>
        </w:rPr>
        <w:t>肝脏整叶切除</w:t>
      </w:r>
      <w:r>
        <w:rPr>
          <w:rFonts w:ascii="华文中宋" w:eastAsia="华文中宋" w:hint="eastAsia"/>
          <w:b/>
          <w:sz w:val="22"/>
        </w:rPr>
        <w:tab/>
      </w:r>
      <w:r>
        <w:rPr>
          <w:spacing w:val="-2"/>
          <w:sz w:val="22"/>
        </w:rPr>
        <w:t>指因疾病或意外事故实际实施的肝脏部分切除术，手术切除最少一整叶左肝脏或一整叶右肝脏。</w:t>
      </w:r>
    </w:p>
    <w:p>
      <w:pPr>
        <w:pStyle w:val="BodyText"/>
        <w:spacing w:before="46"/>
        <w:ind w:left="2480"/>
      </w:pPr>
      <w:r>
        <w:rPr>
          <w:color w:val="000000"/>
          <w:spacing w:val="-3"/>
          <w:shd w:fill="E4E4E4" w:color="auto" w:val="clear"/>
        </w:rPr>
        <w:t>以下的肝脏切除不在保障范围之内：</w:t>
      </w:r>
    </w:p>
    <w:p>
      <w:pPr>
        <w:pStyle w:val="ListParagraph"/>
        <w:numPr>
          <w:ilvl w:val="2"/>
          <w:numId w:val="80"/>
        </w:numPr>
        <w:tabs>
          <w:tab w:pos="2935" w:val="left" w:leader="none"/>
        </w:tabs>
        <w:spacing w:line="240" w:lineRule="auto" w:before="97" w:after="0"/>
        <w:ind w:left="2934" w:right="0" w:hanging="455"/>
        <w:jc w:val="left"/>
        <w:rPr>
          <w:sz w:val="22"/>
        </w:rPr>
      </w:pPr>
      <w:r>
        <w:rPr>
          <w:color w:val="000000"/>
          <w:spacing w:val="-3"/>
          <w:sz w:val="22"/>
          <w:shd w:fill="E4E4E4" w:color="auto" w:val="clear"/>
        </w:rPr>
        <w:t>因治疗酒精或滥用药物导致的疾病或肝脏紊乱所致的肝脏整叶切除；</w:t>
      </w:r>
    </w:p>
    <w:p>
      <w:pPr>
        <w:pStyle w:val="ListParagraph"/>
        <w:numPr>
          <w:ilvl w:val="2"/>
          <w:numId w:val="80"/>
        </w:numPr>
        <w:tabs>
          <w:tab w:pos="2935" w:val="left" w:leader="none"/>
        </w:tabs>
        <w:spacing w:line="240" w:lineRule="auto" w:before="100" w:after="0"/>
        <w:ind w:left="2934" w:right="0" w:hanging="455"/>
        <w:jc w:val="left"/>
        <w:rPr>
          <w:sz w:val="22"/>
        </w:rPr>
      </w:pPr>
      <w:r>
        <w:rPr>
          <w:color w:val="000000"/>
          <w:spacing w:val="-3"/>
          <w:sz w:val="22"/>
          <w:shd w:fill="E4E4E4" w:color="auto" w:val="clear"/>
        </w:rPr>
        <w:t>因捐赠肝脏而所需的肝脏手术；</w:t>
      </w:r>
    </w:p>
    <w:p>
      <w:pPr>
        <w:pStyle w:val="ListParagraph"/>
        <w:numPr>
          <w:ilvl w:val="2"/>
          <w:numId w:val="80"/>
        </w:numPr>
        <w:tabs>
          <w:tab w:pos="2935" w:val="left" w:leader="none"/>
        </w:tabs>
        <w:spacing w:line="240" w:lineRule="auto" w:before="98" w:after="0"/>
        <w:ind w:left="2934" w:right="0" w:hanging="455"/>
        <w:jc w:val="left"/>
        <w:rPr>
          <w:sz w:val="22"/>
        </w:rPr>
      </w:pPr>
      <w:r>
        <w:rPr>
          <w:color w:val="000000"/>
          <w:spacing w:val="-3"/>
          <w:sz w:val="22"/>
          <w:shd w:fill="E4E4E4" w:color="auto" w:val="clear"/>
        </w:rPr>
        <w:t>因恶性肿瘤进行的肝脏切除手术。</w:t>
      </w:r>
    </w:p>
    <w:p>
      <w:pPr>
        <w:pStyle w:val="BodyText"/>
        <w:spacing w:before="2"/>
        <w:rPr>
          <w:sz w:val="29"/>
        </w:rPr>
      </w:pPr>
    </w:p>
    <w:p>
      <w:pPr>
        <w:spacing w:after="0"/>
        <w:rPr>
          <w:sz w:val="29"/>
        </w:rPr>
        <w:sectPr>
          <w:pgSz w:w="11910" w:h="16840"/>
          <w:pgMar w:header="484" w:footer="706" w:top="1240" w:bottom="900" w:left="980" w:right="980"/>
        </w:sectPr>
      </w:pPr>
    </w:p>
    <w:p>
      <w:pPr>
        <w:pStyle w:val="Heading2"/>
        <w:numPr>
          <w:ilvl w:val="1"/>
          <w:numId w:val="80"/>
        </w:numPr>
        <w:tabs>
          <w:tab w:pos="955" w:val="left" w:leader="none"/>
        </w:tabs>
        <w:spacing w:line="261" w:lineRule="auto" w:before="75" w:after="0"/>
        <w:ind w:left="954" w:right="0" w:hanging="802"/>
        <w:jc w:val="left"/>
      </w:pPr>
      <w:r>
        <w:rPr>
          <w:spacing w:val="-2"/>
        </w:rPr>
        <w:t>继发性肺动脉</w:t>
      </w:r>
      <w:r>
        <w:rPr>
          <w:spacing w:val="-6"/>
        </w:rPr>
        <w:t>高压</w:t>
      </w:r>
    </w:p>
    <w:p>
      <w:pPr>
        <w:pStyle w:val="BodyText"/>
        <w:spacing w:line="324" w:lineRule="auto" w:before="105"/>
        <w:ind w:left="152" w:right="150"/>
        <w:jc w:val="both"/>
      </w:pPr>
      <w:r>
        <w:rPr/>
        <w:br w:type="column"/>
      </w:r>
      <w:r>
        <w:rPr>
          <w:spacing w:val="-2"/>
        </w:rPr>
        <w:t>继发性肺动脉高压指继发性肺动脉压力持续增高，导致右心室肥厚，已经造成永久不可逆性的体力活动能力受限，达到美国纽约心脏病学会心功能状态分级Ⅲ级，由我们认可医院的心脏科专科医生确诊，并且心导管检查报告显示静息状态下肺动脉平均压超过25mmHg。</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4"/>
        <w:rPr>
          <w:sz w:val="21"/>
        </w:rPr>
      </w:pPr>
    </w:p>
    <w:p>
      <w:pPr>
        <w:spacing w:after="0"/>
        <w:rPr>
          <w:sz w:val="21"/>
        </w:rPr>
        <w:sectPr>
          <w:type w:val="continuous"/>
          <w:pgSz w:w="11910" w:h="16840"/>
          <w:pgMar w:header="484" w:footer="706" w:top="1240" w:bottom="900" w:left="980" w:right="980"/>
        </w:sectPr>
      </w:pPr>
    </w:p>
    <w:p>
      <w:pPr>
        <w:pStyle w:val="Heading2"/>
        <w:numPr>
          <w:ilvl w:val="1"/>
          <w:numId w:val="80"/>
        </w:numPr>
        <w:tabs>
          <w:tab w:pos="955" w:val="left" w:leader="none"/>
        </w:tabs>
        <w:spacing w:line="240" w:lineRule="auto" w:before="73" w:after="0"/>
        <w:ind w:left="954" w:right="0" w:hanging="803"/>
        <w:jc w:val="left"/>
      </w:pPr>
      <w:r>
        <w:rPr>
          <w:spacing w:val="-4"/>
        </w:rPr>
        <w:t>轻度特发性肺</w:t>
      </w:r>
    </w:p>
    <w:p>
      <w:pPr>
        <w:spacing w:before="30"/>
        <w:ind w:left="954" w:right="0" w:firstLine="0"/>
        <w:jc w:val="left"/>
        <w:rPr>
          <w:rFonts w:ascii="华文中宋" w:eastAsia="华文中宋" w:hint="eastAsia"/>
          <w:b/>
          <w:sz w:val="22"/>
        </w:rPr>
      </w:pPr>
      <w:r>
        <w:rPr>
          <w:rFonts w:ascii="华文中宋" w:eastAsia="华文中宋" w:hint="eastAsia"/>
          <w:b/>
          <w:spacing w:val="-5"/>
          <w:sz w:val="22"/>
        </w:rPr>
        <w:t>动脉高压</w:t>
      </w:r>
    </w:p>
    <w:p>
      <w:pPr>
        <w:pStyle w:val="BodyText"/>
        <w:spacing w:line="324" w:lineRule="auto" w:before="103"/>
        <w:ind w:left="152" w:right="150"/>
        <w:jc w:val="both"/>
      </w:pPr>
      <w:r>
        <w:rPr/>
        <w:br w:type="column"/>
      </w:r>
      <w:r>
        <w:rPr>
          <w:spacing w:val="-2"/>
        </w:rPr>
        <w:t>指不明原因的肺动脉压力持续性增高，进行性发展而导致的慢性疾病，已经造成永久不可逆性的体力活动能力受限，达到美国纽约心脏病学会心功能状态分级Ⅲ级，且静息状态下肺动脉平均压超过25mmHg，</w:t>
      </w:r>
      <w:r>
        <w:rPr>
          <w:color w:val="000000"/>
          <w:spacing w:val="-2"/>
          <w:shd w:fill="E4E4E4" w:color="auto" w:val="clear"/>
        </w:rPr>
        <w:t>但未达到重大疾病</w:t>
      </w:r>
      <w:r>
        <w:rPr>
          <w:color w:val="000000"/>
          <w:spacing w:val="-2"/>
        </w:rPr>
        <w:t> </w:t>
      </w:r>
      <w:r>
        <w:rPr>
          <w:color w:val="000000"/>
          <w:shd w:fill="E4E4E4" w:color="auto" w:val="clear"/>
        </w:rPr>
        <w:t>“10.21 严重特发性肺动脉高压”的标准。</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7"/>
        <w:rPr>
          <w:sz w:val="21"/>
        </w:rPr>
      </w:pPr>
    </w:p>
    <w:p>
      <w:pPr>
        <w:spacing w:after="0"/>
        <w:rPr>
          <w:sz w:val="21"/>
        </w:rPr>
        <w:sectPr>
          <w:type w:val="continuous"/>
          <w:pgSz w:w="11910" w:h="16840"/>
          <w:pgMar w:header="484" w:footer="706" w:top="1240" w:bottom="900" w:left="980" w:right="980"/>
        </w:sectPr>
      </w:pPr>
    </w:p>
    <w:p>
      <w:pPr>
        <w:pStyle w:val="Heading2"/>
        <w:numPr>
          <w:ilvl w:val="1"/>
          <w:numId w:val="80"/>
        </w:numPr>
        <w:tabs>
          <w:tab w:pos="955" w:val="left" w:leader="none"/>
        </w:tabs>
        <w:spacing w:line="240" w:lineRule="auto" w:before="73" w:after="0"/>
        <w:ind w:left="954" w:right="0" w:hanging="803"/>
        <w:jc w:val="left"/>
      </w:pPr>
      <w:r>
        <w:rPr>
          <w:spacing w:val="-4"/>
        </w:rPr>
        <w:t>因肾上腺腺瘤</w:t>
      </w:r>
    </w:p>
    <w:p>
      <w:pPr>
        <w:spacing w:line="261" w:lineRule="auto" w:before="30"/>
        <w:ind w:left="954" w:right="0" w:firstLine="0"/>
        <w:jc w:val="left"/>
        <w:rPr>
          <w:rFonts w:ascii="华文中宋" w:eastAsia="华文中宋" w:hint="eastAsia"/>
          <w:b/>
          <w:sz w:val="22"/>
        </w:rPr>
      </w:pPr>
      <w:r>
        <w:rPr>
          <w:rFonts w:ascii="华文中宋" w:eastAsia="华文中宋" w:hint="eastAsia"/>
          <w:b/>
          <w:spacing w:val="-2"/>
          <w:sz w:val="22"/>
        </w:rPr>
        <w:t>所致的肾上腺</w:t>
      </w:r>
      <w:r>
        <w:rPr>
          <w:rFonts w:ascii="华文中宋" w:eastAsia="华文中宋" w:hint="eastAsia"/>
          <w:b/>
          <w:spacing w:val="-4"/>
          <w:sz w:val="22"/>
        </w:rPr>
        <w:t>切除术</w:t>
      </w:r>
    </w:p>
    <w:p>
      <w:pPr>
        <w:pStyle w:val="BodyText"/>
        <w:spacing w:line="324" w:lineRule="auto" w:before="103"/>
        <w:ind w:left="152" w:right="150"/>
        <w:jc w:val="both"/>
      </w:pPr>
      <w:r>
        <w:rPr/>
        <w:br w:type="column"/>
      </w:r>
      <w:r>
        <w:rPr>
          <w:spacing w:val="-2"/>
        </w:rPr>
        <w:t>指因肾上腺腺瘤所导致醛固酮分泌过多而产生的续发性恶性系统高血压而接受肾上腺切除术。恶性高血压无法由药物控制。</w:t>
      </w:r>
      <w:r>
        <w:rPr>
          <w:color w:val="000000"/>
          <w:spacing w:val="-2"/>
          <w:shd w:fill="E4E4E4" w:color="auto" w:val="clear"/>
        </w:rPr>
        <w:t>此肾上腺切除术需由专科医</w:t>
      </w:r>
      <w:r>
        <w:rPr>
          <w:color w:val="000000"/>
          <w:spacing w:val="40"/>
          <w:shd w:fill="E4E4E4" w:color="auto" w:val="clear"/>
        </w:rPr>
        <w:t> </w:t>
      </w:r>
      <w:r>
        <w:rPr>
          <w:color w:val="000000"/>
          <w:spacing w:val="-2"/>
          <w:shd w:fill="E4E4E4" w:color="auto" w:val="clear"/>
        </w:rPr>
        <w:t>生确诊为处理控制不佳高血压的必要治疗行为。</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6"/>
        <w:rPr>
          <w:sz w:val="21"/>
        </w:rPr>
      </w:pPr>
    </w:p>
    <w:p>
      <w:pPr>
        <w:spacing w:after="0"/>
        <w:rPr>
          <w:sz w:val="21"/>
        </w:rPr>
        <w:sectPr>
          <w:type w:val="continuous"/>
          <w:pgSz w:w="11910" w:h="16840"/>
          <w:pgMar w:header="484" w:footer="706" w:top="1240" w:bottom="900" w:left="980" w:right="980"/>
        </w:sectPr>
      </w:pPr>
    </w:p>
    <w:p>
      <w:pPr>
        <w:pStyle w:val="Heading2"/>
        <w:numPr>
          <w:ilvl w:val="1"/>
          <w:numId w:val="80"/>
        </w:numPr>
        <w:tabs>
          <w:tab w:pos="955" w:val="left" w:leader="none"/>
        </w:tabs>
        <w:spacing w:line="240" w:lineRule="auto" w:before="72" w:after="0"/>
        <w:ind w:left="954" w:right="0" w:hanging="803"/>
        <w:jc w:val="left"/>
      </w:pPr>
      <w:r>
        <w:rPr>
          <w:spacing w:val="-4"/>
        </w:rPr>
        <w:t>丝虫病所致早</w:t>
      </w:r>
    </w:p>
    <w:p>
      <w:pPr>
        <w:spacing w:before="30"/>
        <w:ind w:left="954" w:right="0" w:firstLine="0"/>
        <w:jc w:val="left"/>
        <w:rPr>
          <w:rFonts w:ascii="华文中宋" w:eastAsia="华文中宋" w:hint="eastAsia"/>
          <w:b/>
          <w:sz w:val="22"/>
        </w:rPr>
      </w:pPr>
      <w:r>
        <w:rPr>
          <w:rFonts w:ascii="华文中宋" w:eastAsia="华文中宋" w:hint="eastAsia"/>
          <w:b/>
          <w:spacing w:val="-5"/>
          <w:sz w:val="22"/>
        </w:rPr>
        <w:t>期象皮肿</w:t>
      </w:r>
    </w:p>
    <w:p>
      <w:pPr>
        <w:pStyle w:val="BodyText"/>
        <w:spacing w:line="324" w:lineRule="auto" w:before="102"/>
        <w:ind w:left="152" w:right="150"/>
        <w:jc w:val="both"/>
      </w:pPr>
      <w:r>
        <w:rPr/>
        <w:br w:type="column"/>
      </w:r>
      <w:r>
        <w:rPr>
          <w:spacing w:val="-2"/>
        </w:rPr>
        <w:t>指因丝虫感染导致淋巴阻塞出现严重淋巴水肿，达到国际淋巴学会淋巴肿分期第Ⅱ期，临床表现为肢体象皮肿，夜间卧床休息后不能消退，患肢较健肢</w:t>
      </w:r>
      <w:r>
        <w:rPr>
          <w:spacing w:val="9"/>
        </w:rPr>
        <w:t>增粗</w:t>
      </w:r>
      <w:r>
        <w:rPr/>
        <w:t>20</w:t>
      </w:r>
      <w:r>
        <w:rPr>
          <w:spacing w:val="6"/>
        </w:rPr>
        <w:t>%以上。</w:t>
      </w:r>
      <w:r>
        <w:rPr>
          <w:color w:val="000000"/>
          <w:spacing w:val="7"/>
          <w:shd w:fill="E4E4E4" w:color="auto" w:val="clear"/>
        </w:rPr>
        <w:t>此病症须经专科医生根据临床表现和微丝蚴的化验结果确</w:t>
      </w:r>
      <w:r>
        <w:rPr>
          <w:color w:val="000000"/>
          <w:spacing w:val="40"/>
          <w:shd w:fill="E4E4E4" w:color="auto" w:val="clear"/>
        </w:rPr>
        <w:t> </w:t>
      </w:r>
      <w:r>
        <w:rPr>
          <w:color w:val="000000"/>
          <w:spacing w:val="-6"/>
          <w:shd w:fill="E4E4E4" w:color="auto" w:val="clear"/>
        </w:rPr>
        <w:t>诊。</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7"/>
        <w:rPr>
          <w:sz w:val="21"/>
        </w:rPr>
      </w:pPr>
    </w:p>
    <w:p>
      <w:pPr>
        <w:spacing w:after="0"/>
        <w:rPr>
          <w:sz w:val="21"/>
        </w:rPr>
        <w:sectPr>
          <w:type w:val="continuous"/>
          <w:pgSz w:w="11910" w:h="16840"/>
          <w:pgMar w:header="484" w:footer="706" w:top="1240" w:bottom="900" w:left="980" w:right="980"/>
        </w:sectPr>
      </w:pPr>
    </w:p>
    <w:p>
      <w:pPr>
        <w:pStyle w:val="Heading2"/>
        <w:numPr>
          <w:ilvl w:val="1"/>
          <w:numId w:val="80"/>
        </w:numPr>
        <w:tabs>
          <w:tab w:pos="955" w:val="left" w:leader="none"/>
        </w:tabs>
        <w:spacing w:line="261" w:lineRule="auto" w:before="73" w:after="0"/>
        <w:ind w:left="954" w:right="0" w:hanging="802"/>
        <w:jc w:val="left"/>
      </w:pPr>
      <w:r>
        <w:rPr>
          <w:spacing w:val="-2"/>
        </w:rPr>
        <w:t>中度系统性红</w:t>
      </w:r>
      <w:r>
        <w:rPr>
          <w:spacing w:val="-4"/>
        </w:rPr>
        <w:t>斑狼疮</w:t>
      </w:r>
    </w:p>
    <w:p>
      <w:pPr>
        <w:pStyle w:val="BodyText"/>
        <w:spacing w:line="324" w:lineRule="auto" w:before="103"/>
        <w:ind w:left="163" w:right="150"/>
        <w:jc w:val="both"/>
      </w:pPr>
      <w:r>
        <w:rPr/>
        <w:br w:type="column"/>
      </w:r>
      <w:r>
        <w:rPr>
          <w:spacing w:val="-2"/>
        </w:rPr>
        <w:t>系统性红斑狼疮为一种自身免疫性疾病，是由于病理性的自生抗体及免疫综合体出现沉积，而导致身体组织及细胞受损。</w:t>
      </w:r>
      <w:r>
        <w:rPr>
          <w:color w:val="000000"/>
          <w:spacing w:val="-2"/>
          <w:shd w:fill="E4E4E4" w:color="auto" w:val="clear"/>
        </w:rPr>
        <w:t>理赔时必须同时符合下列所有</w:t>
      </w:r>
      <w:r>
        <w:rPr>
          <w:color w:val="000000"/>
          <w:spacing w:val="40"/>
          <w:shd w:fill="E4E4E4" w:color="auto" w:val="clear"/>
        </w:rPr>
        <w:t> </w:t>
      </w:r>
      <w:r>
        <w:rPr>
          <w:color w:val="000000"/>
          <w:spacing w:val="-4"/>
          <w:shd w:fill="E4E4E4" w:color="auto" w:val="clear"/>
        </w:rPr>
        <w:t>条件：</w:t>
      </w:r>
    </w:p>
    <w:p>
      <w:pPr>
        <w:pStyle w:val="ListParagraph"/>
        <w:numPr>
          <w:ilvl w:val="0"/>
          <w:numId w:val="87"/>
        </w:numPr>
        <w:tabs>
          <w:tab w:pos="584" w:val="left" w:leader="none"/>
        </w:tabs>
        <w:spacing w:line="280" w:lineRule="exact" w:before="0" w:after="0"/>
        <w:ind w:left="583" w:right="0" w:hanging="454"/>
        <w:jc w:val="both"/>
        <w:rPr>
          <w:sz w:val="22"/>
        </w:rPr>
      </w:pPr>
      <w:r>
        <w:rPr>
          <w:spacing w:val="-3"/>
          <w:sz w:val="22"/>
        </w:rPr>
        <w:t>在下列五项情况中最少出现三项：</w:t>
      </w:r>
    </w:p>
    <w:p>
      <w:pPr>
        <w:pStyle w:val="BodyText"/>
        <w:spacing w:line="324" w:lineRule="auto" w:before="97"/>
        <w:ind w:left="1071" w:right="1494"/>
      </w:pPr>
      <w:r>
        <w:rPr/>
        <w:drawing>
          <wp:anchor distT="0" distB="0" distL="0" distR="0" allowOverlap="1" layoutInCell="1" locked="0" behindDoc="0" simplePos="0" relativeHeight="15772672">
            <wp:simplePos x="0" y="0"/>
            <wp:positionH relativeFrom="page">
              <wp:posOffset>2485707</wp:posOffset>
            </wp:positionH>
            <wp:positionV relativeFrom="paragraph">
              <wp:posOffset>79184</wp:posOffset>
            </wp:positionV>
            <wp:extent cx="140335" cy="140335"/>
            <wp:effectExtent l="0" t="0" r="0" b="0"/>
            <wp:wrapNone/>
            <wp:docPr id="101" name="image7.png"/>
            <wp:cNvGraphicFramePr>
              <a:graphicFrameLocks noChangeAspect="1"/>
            </wp:cNvGraphicFramePr>
            <a:graphic>
              <a:graphicData uri="http://schemas.openxmlformats.org/drawingml/2006/picture">
                <pic:pic>
                  <pic:nvPicPr>
                    <pic:cNvPr id="102" name="image7.png"/>
                    <pic:cNvPicPr/>
                  </pic:nvPicPr>
                  <pic:blipFill>
                    <a:blip r:embed="rId15" cstate="print"/>
                    <a:stretch>
                      <a:fillRect/>
                    </a:stretch>
                  </pic:blipFill>
                  <pic:spPr>
                    <a:xfrm>
                      <a:off x="0" y="0"/>
                      <a:ext cx="140335" cy="140335"/>
                    </a:xfrm>
                    <a:prstGeom prst="rect">
                      <a:avLst/>
                    </a:prstGeom>
                  </pic:spPr>
                </pic:pic>
              </a:graphicData>
            </a:graphic>
          </wp:anchor>
        </w:drawing>
      </w:r>
      <w:r>
        <w:rPr/>
        <w:pict>
          <v:shape style="position:absolute;margin-left:195.725006pt;margin-top:6.234998pt;width:11.05pt;height:11.05pt;mso-position-horizontal-relative:page;mso-position-vertical-relative:paragraph;z-index:15773184" type="#_x0000_t202" id="docshape55" filled="false" stroked="false">
            <v:textbox inset="0,0,0,0">
              <w:txbxContent>
                <w:p>
                  <w:pPr>
                    <w:spacing w:line="219" w:lineRule="exact" w:before="2"/>
                    <w:ind w:left="62" w:right="0" w:firstLine="0"/>
                    <w:jc w:val="left"/>
                    <w:rPr>
                      <w:sz w:val="19"/>
                    </w:rPr>
                  </w:pPr>
                  <w:r>
                    <w:rPr>
                      <w:sz w:val="19"/>
                    </w:rPr>
                    <w:t>1</w:t>
                  </w:r>
                </w:p>
              </w:txbxContent>
            </v:textbox>
            <w10:wrap type="none"/>
          </v:shape>
        </w:pict>
      </w:r>
      <w:r>
        <w:rPr/>
        <w:drawing>
          <wp:anchor distT="0" distB="0" distL="0" distR="0" allowOverlap="1" layoutInCell="1" locked="0" behindDoc="0" simplePos="0" relativeHeight="15773696">
            <wp:simplePos x="0" y="0"/>
            <wp:positionH relativeFrom="page">
              <wp:posOffset>2485707</wp:posOffset>
            </wp:positionH>
            <wp:positionV relativeFrom="paragraph">
              <wp:posOffset>320484</wp:posOffset>
            </wp:positionV>
            <wp:extent cx="140335" cy="140335"/>
            <wp:effectExtent l="0" t="0" r="0" b="0"/>
            <wp:wrapNone/>
            <wp:docPr id="103" name="image7.png"/>
            <wp:cNvGraphicFramePr>
              <a:graphicFrameLocks noChangeAspect="1"/>
            </wp:cNvGraphicFramePr>
            <a:graphic>
              <a:graphicData uri="http://schemas.openxmlformats.org/drawingml/2006/picture">
                <pic:pic>
                  <pic:nvPicPr>
                    <pic:cNvPr id="104" name="image7.png"/>
                    <pic:cNvPicPr/>
                  </pic:nvPicPr>
                  <pic:blipFill>
                    <a:blip r:embed="rId15" cstate="print"/>
                    <a:stretch>
                      <a:fillRect/>
                    </a:stretch>
                  </pic:blipFill>
                  <pic:spPr>
                    <a:xfrm>
                      <a:off x="0" y="0"/>
                      <a:ext cx="140335" cy="140335"/>
                    </a:xfrm>
                    <a:prstGeom prst="rect">
                      <a:avLst/>
                    </a:prstGeom>
                  </pic:spPr>
                </pic:pic>
              </a:graphicData>
            </a:graphic>
          </wp:anchor>
        </w:drawing>
      </w:r>
      <w:r>
        <w:rPr/>
        <w:pict>
          <v:shape style="position:absolute;margin-left:195.725006pt;margin-top:25.234997pt;width:11.05pt;height:11.05pt;mso-position-horizontal-relative:page;mso-position-vertical-relative:paragraph;z-index:15774208" type="#_x0000_t202" id="docshape56" filled="false" stroked="false">
            <v:textbox inset="0,0,0,0">
              <w:txbxContent>
                <w:p>
                  <w:pPr>
                    <w:spacing w:line="220" w:lineRule="exact" w:before="1"/>
                    <w:ind w:left="62" w:right="0" w:firstLine="0"/>
                    <w:jc w:val="left"/>
                    <w:rPr>
                      <w:sz w:val="19"/>
                    </w:rPr>
                  </w:pPr>
                  <w:r>
                    <w:rPr>
                      <w:sz w:val="19"/>
                    </w:rPr>
                    <w:t>2</w:t>
                  </w:r>
                </w:p>
              </w:txbxContent>
            </v:textbox>
            <w10:wrap type="none"/>
          </v:shape>
        </w:pict>
      </w:r>
      <w:r>
        <w:rPr>
          <w:spacing w:val="-2"/>
        </w:rPr>
        <w:t>关节炎：非磨损性关节炎，需涉及两个或以上关节；浆膜炎：胸膜炎或心包炎；</w:t>
      </w:r>
    </w:p>
    <w:p>
      <w:pPr>
        <w:pStyle w:val="BodyText"/>
        <w:spacing w:line="324" w:lineRule="auto"/>
        <w:ind w:left="1071" w:right="282"/>
      </w:pPr>
      <w:r>
        <w:rPr/>
        <w:drawing>
          <wp:anchor distT="0" distB="0" distL="0" distR="0" allowOverlap="1" layoutInCell="1" locked="0" behindDoc="0" simplePos="0" relativeHeight="15774720">
            <wp:simplePos x="0" y="0"/>
            <wp:positionH relativeFrom="page">
              <wp:posOffset>2485707</wp:posOffset>
            </wp:positionH>
            <wp:positionV relativeFrom="paragraph">
              <wp:posOffset>17081</wp:posOffset>
            </wp:positionV>
            <wp:extent cx="140335" cy="140335"/>
            <wp:effectExtent l="0" t="0" r="0" b="0"/>
            <wp:wrapNone/>
            <wp:docPr id="105" name="image8.png"/>
            <wp:cNvGraphicFramePr>
              <a:graphicFrameLocks noChangeAspect="1"/>
            </wp:cNvGraphicFramePr>
            <a:graphic>
              <a:graphicData uri="http://schemas.openxmlformats.org/drawingml/2006/picture">
                <pic:pic>
                  <pic:nvPicPr>
                    <pic:cNvPr id="106" name="image8.png"/>
                    <pic:cNvPicPr/>
                  </pic:nvPicPr>
                  <pic:blipFill>
                    <a:blip r:embed="rId16" cstate="print"/>
                    <a:stretch>
                      <a:fillRect/>
                    </a:stretch>
                  </pic:blipFill>
                  <pic:spPr>
                    <a:xfrm>
                      <a:off x="0" y="0"/>
                      <a:ext cx="140335" cy="140335"/>
                    </a:xfrm>
                    <a:prstGeom prst="rect">
                      <a:avLst/>
                    </a:prstGeom>
                  </pic:spPr>
                </pic:pic>
              </a:graphicData>
            </a:graphic>
          </wp:anchor>
        </w:drawing>
      </w:r>
      <w:r>
        <w:rPr/>
        <w:pict>
          <v:shape style="position:absolute;margin-left:195.725006pt;margin-top:1.345004pt;width:11.05pt;height:11.05pt;mso-position-horizontal-relative:page;mso-position-vertical-relative:paragraph;z-index:15775232" type="#_x0000_t202" id="docshape57" filled="false" stroked="false">
            <v:textbox inset="0,0,0,0">
              <w:txbxContent>
                <w:p>
                  <w:pPr>
                    <w:spacing w:line="220" w:lineRule="exact" w:before="0"/>
                    <w:ind w:left="62" w:right="0" w:firstLine="0"/>
                    <w:jc w:val="left"/>
                    <w:rPr>
                      <w:sz w:val="19"/>
                    </w:rPr>
                  </w:pPr>
                  <w:r>
                    <w:rPr>
                      <w:sz w:val="19"/>
                    </w:rPr>
                    <w:t>3</w:t>
                  </w:r>
                </w:p>
              </w:txbxContent>
            </v:textbox>
            <w10:wrap type="none"/>
          </v:shape>
        </w:pict>
      </w:r>
      <w:r>
        <w:rPr/>
        <w:drawing>
          <wp:anchor distT="0" distB="0" distL="0" distR="0" allowOverlap="1" layoutInCell="1" locked="0" behindDoc="0" simplePos="0" relativeHeight="15775744">
            <wp:simplePos x="0" y="0"/>
            <wp:positionH relativeFrom="page">
              <wp:posOffset>2485707</wp:posOffset>
            </wp:positionH>
            <wp:positionV relativeFrom="paragraph">
              <wp:posOffset>258381</wp:posOffset>
            </wp:positionV>
            <wp:extent cx="140335" cy="140335"/>
            <wp:effectExtent l="0" t="0" r="0" b="0"/>
            <wp:wrapNone/>
            <wp:docPr id="107" name="image7.png"/>
            <wp:cNvGraphicFramePr>
              <a:graphicFrameLocks noChangeAspect="1"/>
            </wp:cNvGraphicFramePr>
            <a:graphic>
              <a:graphicData uri="http://schemas.openxmlformats.org/drawingml/2006/picture">
                <pic:pic>
                  <pic:nvPicPr>
                    <pic:cNvPr id="108" name="image7.png"/>
                    <pic:cNvPicPr/>
                  </pic:nvPicPr>
                  <pic:blipFill>
                    <a:blip r:embed="rId15" cstate="print"/>
                    <a:stretch>
                      <a:fillRect/>
                    </a:stretch>
                  </pic:blipFill>
                  <pic:spPr>
                    <a:xfrm>
                      <a:off x="0" y="0"/>
                      <a:ext cx="140335" cy="140335"/>
                    </a:xfrm>
                    <a:prstGeom prst="rect">
                      <a:avLst/>
                    </a:prstGeom>
                  </pic:spPr>
                </pic:pic>
              </a:graphicData>
            </a:graphic>
          </wp:anchor>
        </w:drawing>
      </w:r>
      <w:r>
        <w:rPr/>
        <w:pict>
          <v:shape style="position:absolute;margin-left:195.725006pt;margin-top:20.345005pt;width:11.05pt;height:11.05pt;mso-position-horizontal-relative:page;mso-position-vertical-relative:paragraph;z-index:15776256" type="#_x0000_t202" id="docshape58" filled="false" stroked="false">
            <v:textbox inset="0,0,0,0">
              <w:txbxContent>
                <w:p>
                  <w:pPr>
                    <w:spacing w:line="219" w:lineRule="exact" w:before="2"/>
                    <w:ind w:left="62" w:right="0" w:firstLine="0"/>
                    <w:jc w:val="left"/>
                    <w:rPr>
                      <w:sz w:val="19"/>
                    </w:rPr>
                  </w:pPr>
                  <w:r>
                    <w:rPr>
                      <w:sz w:val="19"/>
                    </w:rPr>
                    <w:t>4</w:t>
                  </w:r>
                </w:p>
              </w:txbxContent>
            </v:textbox>
            <w10:wrap type="none"/>
          </v:shape>
        </w:pict>
      </w:r>
      <w:r>
        <w:rPr>
          <w:spacing w:val="-2"/>
        </w:rPr>
        <w:t>肾病：24小时尿蛋白定量达到0.5克，或尿液检查出现细胞管型；血液学异常：溶血性贫血、白细胞减少、或血小板减少；</w:t>
      </w:r>
    </w:p>
    <w:p>
      <w:pPr>
        <w:pStyle w:val="BodyText"/>
        <w:spacing w:line="282" w:lineRule="exact"/>
        <w:ind w:left="1071"/>
      </w:pPr>
      <w:r>
        <w:rPr/>
        <w:drawing>
          <wp:anchor distT="0" distB="0" distL="0" distR="0" allowOverlap="1" layoutInCell="1" locked="0" behindDoc="0" simplePos="0" relativeHeight="15776768">
            <wp:simplePos x="0" y="0"/>
            <wp:positionH relativeFrom="page">
              <wp:posOffset>2485707</wp:posOffset>
            </wp:positionH>
            <wp:positionV relativeFrom="paragraph">
              <wp:posOffset>16406</wp:posOffset>
            </wp:positionV>
            <wp:extent cx="140335" cy="140335"/>
            <wp:effectExtent l="0" t="0" r="0" b="0"/>
            <wp:wrapNone/>
            <wp:docPr id="109" name="image10.png"/>
            <wp:cNvGraphicFramePr>
              <a:graphicFrameLocks noChangeAspect="1"/>
            </wp:cNvGraphicFramePr>
            <a:graphic>
              <a:graphicData uri="http://schemas.openxmlformats.org/drawingml/2006/picture">
                <pic:pic>
                  <pic:nvPicPr>
                    <pic:cNvPr id="110" name="image10.png"/>
                    <pic:cNvPicPr/>
                  </pic:nvPicPr>
                  <pic:blipFill>
                    <a:blip r:embed="rId18" cstate="print"/>
                    <a:stretch>
                      <a:fillRect/>
                    </a:stretch>
                  </pic:blipFill>
                  <pic:spPr>
                    <a:xfrm>
                      <a:off x="0" y="0"/>
                      <a:ext cx="140335" cy="140335"/>
                    </a:xfrm>
                    <a:prstGeom prst="rect">
                      <a:avLst/>
                    </a:prstGeom>
                  </pic:spPr>
                </pic:pic>
              </a:graphicData>
            </a:graphic>
          </wp:anchor>
        </w:drawing>
      </w:r>
      <w:r>
        <w:rPr/>
        <w:pict>
          <v:shape style="position:absolute;margin-left:195.725006pt;margin-top:1.291879pt;width:11.05pt;height:11.05pt;mso-position-horizontal-relative:page;mso-position-vertical-relative:paragraph;z-index:15777280" type="#_x0000_t202" id="docshape59" filled="false" stroked="false">
            <v:textbox inset="0,0,0,0">
              <w:txbxContent>
                <w:p>
                  <w:pPr>
                    <w:spacing w:line="219" w:lineRule="exact" w:before="1"/>
                    <w:ind w:left="62" w:right="0" w:firstLine="0"/>
                    <w:jc w:val="left"/>
                    <w:rPr>
                      <w:sz w:val="19"/>
                    </w:rPr>
                  </w:pPr>
                  <w:r>
                    <w:rPr>
                      <w:sz w:val="19"/>
                    </w:rPr>
                    <w:t>5</w:t>
                  </w:r>
                </w:p>
              </w:txbxContent>
            </v:textbox>
            <w10:wrap type="none"/>
          </v:shape>
        </w:pict>
      </w:r>
      <w:r>
        <w:rPr>
          <w:spacing w:val="-2"/>
        </w:rPr>
        <w:t>抗核抗体阳性、或抗dsDNA阳性，或抗Smith</w:t>
      </w:r>
      <w:r>
        <w:rPr>
          <w:spacing w:val="-4"/>
        </w:rPr>
        <w:t>抗体阳性。</w:t>
      </w:r>
    </w:p>
    <w:p>
      <w:pPr>
        <w:pStyle w:val="ListParagraph"/>
        <w:numPr>
          <w:ilvl w:val="0"/>
          <w:numId w:val="87"/>
        </w:numPr>
        <w:tabs>
          <w:tab w:pos="584" w:val="left" w:leader="none"/>
        </w:tabs>
        <w:spacing w:line="240" w:lineRule="auto" w:before="97" w:after="0"/>
        <w:ind w:left="583" w:right="0" w:hanging="421"/>
        <w:jc w:val="left"/>
        <w:rPr>
          <w:sz w:val="22"/>
        </w:rPr>
      </w:pPr>
      <w:r>
        <w:rPr>
          <w:spacing w:val="-1"/>
          <w:sz w:val="22"/>
        </w:rPr>
        <w:t>系统性红斑狼疮的诊断必须由我们认可医院的风湿科或免疫系统专科医</w:t>
      </w:r>
    </w:p>
    <w:p>
      <w:pPr>
        <w:spacing w:after="0" w:line="240" w:lineRule="auto"/>
        <w:jc w:val="left"/>
        <w:rPr>
          <w:sz w:val="22"/>
        </w:rPr>
        <w:sectPr>
          <w:type w:val="continuous"/>
          <w:pgSz w:w="11910" w:h="16840"/>
          <w:pgMar w:header="484" w:footer="706" w:top="1240" w:bottom="900" w:left="980" w:right="980"/>
          <w:cols w:num="2" w:equalWidth="0">
            <w:col w:w="2277" w:space="40"/>
            <w:col w:w="7633"/>
          </w:cols>
        </w:sectPr>
      </w:pPr>
    </w:p>
    <w:p>
      <w:pPr>
        <w:pStyle w:val="BodyText"/>
        <w:spacing w:before="7"/>
        <w:rPr>
          <w:sz w:val="14"/>
        </w:rPr>
      </w:pPr>
    </w:p>
    <w:p>
      <w:pPr>
        <w:pStyle w:val="BodyText"/>
        <w:spacing w:before="70"/>
        <w:ind w:left="2900"/>
      </w:pPr>
      <w:r>
        <w:rPr>
          <w:spacing w:val="-4"/>
        </w:rPr>
        <w:t>生确定。</w:t>
      </w:r>
    </w:p>
    <w:p>
      <w:pPr>
        <w:pStyle w:val="BodyText"/>
        <w:spacing w:before="5"/>
        <w:rPr>
          <w:sz w:val="29"/>
        </w:rPr>
      </w:pPr>
    </w:p>
    <w:p>
      <w:pPr>
        <w:spacing w:after="0"/>
        <w:rPr>
          <w:sz w:val="29"/>
        </w:rPr>
        <w:sectPr>
          <w:pgSz w:w="11910" w:h="16840"/>
          <w:pgMar w:header="484" w:footer="706" w:top="1240" w:bottom="900" w:left="980" w:right="980"/>
        </w:sectPr>
      </w:pPr>
    </w:p>
    <w:p>
      <w:pPr>
        <w:pStyle w:val="Heading2"/>
        <w:numPr>
          <w:ilvl w:val="1"/>
          <w:numId w:val="80"/>
        </w:numPr>
        <w:tabs>
          <w:tab w:pos="955" w:val="left" w:leader="none"/>
        </w:tabs>
        <w:spacing w:line="261" w:lineRule="auto" w:before="73" w:after="0"/>
        <w:ind w:left="954" w:right="0" w:hanging="802"/>
        <w:jc w:val="left"/>
      </w:pPr>
      <w:r>
        <w:rPr>
          <w:spacing w:val="-2"/>
        </w:rPr>
        <w:t>颈动脉狭窄介</w:t>
      </w:r>
      <w:r>
        <w:rPr>
          <w:spacing w:val="-4"/>
        </w:rPr>
        <w:t>入手术</w:t>
      </w:r>
    </w:p>
    <w:p>
      <w:pPr>
        <w:pStyle w:val="BodyText"/>
        <w:spacing w:line="324" w:lineRule="auto" w:before="103"/>
        <w:ind w:left="152" w:right="150"/>
        <w:jc w:val="both"/>
      </w:pPr>
      <w:r>
        <w:rPr/>
        <w:br w:type="column"/>
      </w:r>
      <w:r>
        <w:rPr>
          <w:spacing w:val="-2"/>
        </w:rPr>
        <w:t>颈动脉血管介入治疗术是对一条或以上的颈动脉狭窄的治疗，疾病的诊断及治疗均须在我们认可的医院内由专科医师认为是医疗必须的情况下进行。</w:t>
      </w:r>
      <w:r>
        <w:rPr>
          <w:color w:val="000000"/>
          <w:spacing w:val="-2"/>
          <w:shd w:fill="E4E4E4" w:color="auto" w:val="clear"/>
        </w:rPr>
        <w:t>理</w:t>
      </w:r>
      <w:r>
        <w:rPr>
          <w:color w:val="000000"/>
          <w:spacing w:val="40"/>
          <w:shd w:fill="E4E4E4" w:color="auto" w:val="clear"/>
        </w:rPr>
        <w:t> </w:t>
      </w:r>
      <w:r>
        <w:rPr>
          <w:color w:val="000000"/>
          <w:spacing w:val="-2"/>
          <w:shd w:fill="E4E4E4" w:color="auto" w:val="clear"/>
        </w:rPr>
        <w:t>赔时必须同时符合下列所有条件：</w:t>
      </w:r>
    </w:p>
    <w:p>
      <w:pPr>
        <w:pStyle w:val="ListParagraph"/>
        <w:numPr>
          <w:ilvl w:val="0"/>
          <w:numId w:val="88"/>
        </w:numPr>
        <w:tabs>
          <w:tab w:pos="607" w:val="left" w:leader="none"/>
        </w:tabs>
        <w:spacing w:line="280" w:lineRule="exact" w:before="0" w:after="0"/>
        <w:ind w:left="606" w:right="0" w:hanging="455"/>
        <w:jc w:val="both"/>
        <w:rPr>
          <w:sz w:val="22"/>
        </w:rPr>
      </w:pPr>
      <w:r>
        <w:rPr>
          <w:spacing w:val="-2"/>
          <w:sz w:val="22"/>
        </w:rPr>
        <w:t>经由血管造影术证明一条或以上的颈动脉存在50</w:t>
      </w:r>
      <w:r>
        <w:rPr>
          <w:spacing w:val="-4"/>
          <w:sz w:val="22"/>
        </w:rPr>
        <w:t>%或以上狭窄；</w:t>
      </w:r>
    </w:p>
    <w:p>
      <w:pPr>
        <w:pStyle w:val="ListParagraph"/>
        <w:numPr>
          <w:ilvl w:val="0"/>
          <w:numId w:val="88"/>
        </w:numPr>
        <w:tabs>
          <w:tab w:pos="607" w:val="left" w:leader="none"/>
        </w:tabs>
        <w:spacing w:line="324" w:lineRule="auto" w:before="97" w:after="0"/>
        <w:ind w:left="606" w:right="152" w:hanging="454"/>
        <w:jc w:val="both"/>
        <w:rPr>
          <w:sz w:val="22"/>
        </w:rPr>
      </w:pPr>
      <w:r>
        <w:rPr>
          <w:spacing w:val="-2"/>
          <w:sz w:val="22"/>
        </w:rPr>
        <w:t>确实已针对以上狭窄血管进行介入治疗以减轻症状，介入治疗包括血管成形术及/或进行植入支架或颈动脉粥肿斑块清除手术。</w:t>
      </w:r>
    </w:p>
    <w:p>
      <w:pPr>
        <w:spacing w:after="0" w:line="324" w:lineRule="auto"/>
        <w:jc w:val="both"/>
        <w:rPr>
          <w:sz w:val="22"/>
        </w:rPr>
        <w:sectPr>
          <w:type w:val="continuous"/>
          <w:pgSz w:w="11910" w:h="16840"/>
          <w:pgMar w:header="484" w:footer="706" w:top="1240" w:bottom="900" w:left="980" w:right="980"/>
          <w:cols w:num="2" w:equalWidth="0">
            <w:col w:w="2277" w:space="51"/>
            <w:col w:w="7622"/>
          </w:cols>
        </w:sectPr>
      </w:pPr>
    </w:p>
    <w:p>
      <w:pPr>
        <w:pStyle w:val="BodyText"/>
        <w:spacing w:before="7"/>
        <w:rPr>
          <w:sz w:val="21"/>
        </w:rPr>
      </w:pPr>
    </w:p>
    <w:p>
      <w:pPr>
        <w:spacing w:after="0"/>
        <w:rPr>
          <w:sz w:val="21"/>
        </w:rPr>
        <w:sectPr>
          <w:type w:val="continuous"/>
          <w:pgSz w:w="11910" w:h="16840"/>
          <w:pgMar w:header="484" w:footer="706" w:top="1240" w:bottom="900" w:left="980" w:right="980"/>
        </w:sectPr>
      </w:pPr>
    </w:p>
    <w:p>
      <w:pPr>
        <w:pStyle w:val="Heading2"/>
        <w:numPr>
          <w:ilvl w:val="1"/>
          <w:numId w:val="80"/>
        </w:numPr>
        <w:tabs>
          <w:tab w:pos="955" w:val="left" w:leader="none"/>
        </w:tabs>
        <w:spacing w:line="240" w:lineRule="auto" w:before="73" w:after="0"/>
        <w:ind w:left="954" w:right="0" w:hanging="803"/>
        <w:jc w:val="left"/>
      </w:pPr>
      <w:r>
        <w:rPr>
          <w:spacing w:val="-4"/>
        </w:rPr>
        <w:t>特定周围动脉</w:t>
      </w:r>
    </w:p>
    <w:p>
      <w:pPr>
        <w:spacing w:line="261" w:lineRule="auto" w:before="30"/>
        <w:ind w:left="954" w:right="0" w:firstLine="0"/>
        <w:jc w:val="left"/>
        <w:rPr>
          <w:rFonts w:ascii="华文中宋" w:eastAsia="华文中宋" w:hint="eastAsia"/>
          <w:b/>
          <w:sz w:val="22"/>
        </w:rPr>
      </w:pPr>
      <w:r>
        <w:rPr>
          <w:rFonts w:ascii="华文中宋" w:eastAsia="华文中宋" w:hint="eastAsia"/>
          <w:b/>
          <w:spacing w:val="-2"/>
          <w:sz w:val="22"/>
        </w:rPr>
        <w:t>疾病的血管介</w:t>
      </w:r>
      <w:r>
        <w:rPr>
          <w:rFonts w:ascii="华文中宋" w:eastAsia="华文中宋" w:hint="eastAsia"/>
          <w:b/>
          <w:spacing w:val="-4"/>
          <w:sz w:val="22"/>
        </w:rPr>
        <w:t>入治疗</w:t>
      </w:r>
    </w:p>
    <w:p>
      <w:pPr>
        <w:pStyle w:val="BodyText"/>
        <w:spacing w:line="324" w:lineRule="auto" w:before="103"/>
        <w:ind w:left="152" w:right="150"/>
        <w:jc w:val="both"/>
      </w:pPr>
      <w:r>
        <w:rPr/>
        <w:br w:type="column"/>
      </w:r>
      <w:r>
        <w:rPr>
          <w:spacing w:val="-2"/>
        </w:rPr>
        <w:t>周围动脉疾病的血管介入治疗是指一条或以上的下列血管存在狭窄。本疾病的诊断及治疗均须在我们认可的医院内由专科医生认为是医疗必须的情况下</w:t>
      </w:r>
      <w:r>
        <w:rPr>
          <w:spacing w:val="-4"/>
        </w:rPr>
        <w:t>进行：</w:t>
      </w:r>
    </w:p>
    <w:p>
      <w:pPr>
        <w:pStyle w:val="ListParagraph"/>
        <w:numPr>
          <w:ilvl w:val="0"/>
          <w:numId w:val="89"/>
        </w:numPr>
        <w:tabs>
          <w:tab w:pos="607" w:val="left" w:leader="none"/>
        </w:tabs>
        <w:spacing w:line="280" w:lineRule="exact" w:before="0" w:after="0"/>
        <w:ind w:left="606" w:right="0" w:hanging="455"/>
        <w:jc w:val="left"/>
        <w:rPr>
          <w:sz w:val="22"/>
        </w:rPr>
      </w:pPr>
      <w:r>
        <w:rPr>
          <w:spacing w:val="-2"/>
          <w:sz w:val="22"/>
        </w:rPr>
        <w:t>为下肢或上肢供血的动脉（如髂、股、腘、肱、桡动脉等</w:t>
      </w:r>
      <w:r>
        <w:rPr>
          <w:spacing w:val="-5"/>
          <w:sz w:val="22"/>
        </w:rPr>
        <w:t>）；</w:t>
      </w:r>
    </w:p>
    <w:p>
      <w:pPr>
        <w:pStyle w:val="ListParagraph"/>
        <w:numPr>
          <w:ilvl w:val="0"/>
          <w:numId w:val="89"/>
        </w:numPr>
        <w:tabs>
          <w:tab w:pos="607" w:val="left" w:leader="none"/>
        </w:tabs>
        <w:spacing w:line="240" w:lineRule="auto" w:before="100" w:after="0"/>
        <w:ind w:left="606" w:right="0" w:hanging="455"/>
        <w:jc w:val="left"/>
        <w:rPr>
          <w:sz w:val="22"/>
        </w:rPr>
      </w:pPr>
      <w:r>
        <w:rPr>
          <w:spacing w:val="-4"/>
          <w:sz w:val="22"/>
        </w:rPr>
        <w:t>肾动脉；</w:t>
      </w:r>
    </w:p>
    <w:p>
      <w:pPr>
        <w:pStyle w:val="ListParagraph"/>
        <w:numPr>
          <w:ilvl w:val="0"/>
          <w:numId w:val="89"/>
        </w:numPr>
        <w:tabs>
          <w:tab w:pos="607" w:val="left" w:leader="none"/>
        </w:tabs>
        <w:spacing w:line="240" w:lineRule="auto" w:before="97" w:after="0"/>
        <w:ind w:left="606" w:right="0" w:hanging="455"/>
        <w:jc w:val="left"/>
        <w:rPr>
          <w:sz w:val="22"/>
        </w:rPr>
      </w:pPr>
      <w:r>
        <w:rPr>
          <w:spacing w:val="-4"/>
          <w:sz w:val="22"/>
        </w:rPr>
        <w:t>肠系膜动脉。</w:t>
      </w:r>
    </w:p>
    <w:p>
      <w:pPr>
        <w:pStyle w:val="BodyText"/>
        <w:spacing w:before="97"/>
        <w:ind w:left="152"/>
      </w:pPr>
      <w:r>
        <w:rPr>
          <w:color w:val="000000"/>
          <w:spacing w:val="-3"/>
          <w:shd w:fill="E4E4E4" w:color="auto" w:val="clear"/>
        </w:rPr>
        <w:t>理赔时必须同时符合下列所有条件：</w:t>
      </w:r>
    </w:p>
    <w:p>
      <w:pPr>
        <w:pStyle w:val="ListParagraph"/>
        <w:numPr>
          <w:ilvl w:val="0"/>
          <w:numId w:val="90"/>
        </w:numPr>
        <w:tabs>
          <w:tab w:pos="607" w:val="left" w:leader="none"/>
        </w:tabs>
        <w:spacing w:line="240" w:lineRule="auto" w:before="100" w:after="0"/>
        <w:ind w:left="606" w:right="0" w:hanging="455"/>
        <w:jc w:val="left"/>
        <w:rPr>
          <w:sz w:val="22"/>
        </w:rPr>
      </w:pPr>
      <w:r>
        <w:rPr>
          <w:spacing w:val="-2"/>
          <w:sz w:val="22"/>
        </w:rPr>
        <w:t>经血管造影术证明一条或以上的血管存在50</w:t>
      </w:r>
      <w:r>
        <w:rPr>
          <w:spacing w:val="-4"/>
          <w:sz w:val="22"/>
        </w:rPr>
        <w:t>%或以上狭窄；</w:t>
      </w:r>
    </w:p>
    <w:p>
      <w:pPr>
        <w:pStyle w:val="ListParagraph"/>
        <w:numPr>
          <w:ilvl w:val="0"/>
          <w:numId w:val="90"/>
        </w:numPr>
        <w:tabs>
          <w:tab w:pos="607" w:val="left" w:leader="none"/>
        </w:tabs>
        <w:spacing w:line="324" w:lineRule="auto" w:before="97" w:after="0"/>
        <w:ind w:left="606" w:right="152" w:hanging="454"/>
        <w:jc w:val="left"/>
        <w:rPr>
          <w:sz w:val="22"/>
        </w:rPr>
      </w:pPr>
      <w:r>
        <w:rPr>
          <w:spacing w:val="-2"/>
          <w:sz w:val="22"/>
        </w:rPr>
        <w:t>确实已针对以上狭窄血管进行介入治疗以减轻症状，介入治疗包括血管成形术及/或进行植入支架或动脉粥样斑块清除手术。</w:t>
      </w:r>
    </w:p>
    <w:p>
      <w:pPr>
        <w:spacing w:after="0" w:line="324"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7"/>
        <w:rPr>
          <w:sz w:val="21"/>
        </w:rPr>
      </w:pPr>
    </w:p>
    <w:p>
      <w:pPr>
        <w:pStyle w:val="ListParagraph"/>
        <w:numPr>
          <w:ilvl w:val="1"/>
          <w:numId w:val="80"/>
        </w:numPr>
        <w:tabs>
          <w:tab w:pos="955" w:val="left" w:leader="none"/>
          <w:tab w:pos="2480" w:val="left" w:leader="none"/>
        </w:tabs>
        <w:spacing w:line="280" w:lineRule="auto" w:before="73" w:after="0"/>
        <w:ind w:left="2480" w:right="152" w:hanging="2328"/>
        <w:jc w:val="left"/>
        <w:rPr>
          <w:sz w:val="22"/>
        </w:rPr>
      </w:pPr>
      <w:r>
        <w:rPr>
          <w:rFonts w:ascii="华文中宋" w:eastAsia="华文中宋" w:hint="eastAsia"/>
          <w:b/>
          <w:spacing w:val="-2"/>
          <w:sz w:val="22"/>
        </w:rPr>
        <w:t>心包膜切除术</w:t>
      </w:r>
      <w:r>
        <w:rPr>
          <w:rFonts w:ascii="华文中宋" w:eastAsia="华文中宋" w:hint="eastAsia"/>
          <w:b/>
          <w:sz w:val="22"/>
        </w:rPr>
        <w:tab/>
      </w:r>
      <w:r>
        <w:rPr>
          <w:spacing w:val="-2"/>
          <w:sz w:val="22"/>
        </w:rPr>
        <w:t>因心包膜疾病导致已经接受心包膜切除术。</w:t>
      </w:r>
      <w:r>
        <w:rPr>
          <w:color w:val="000000"/>
          <w:spacing w:val="-2"/>
          <w:sz w:val="22"/>
          <w:shd w:fill="E4E4E4" w:color="auto" w:val="clear"/>
        </w:rPr>
        <w:t>手术必须由我们认可医院的心脏</w:t>
      </w:r>
      <w:r>
        <w:rPr>
          <w:color w:val="000000"/>
          <w:spacing w:val="80"/>
          <w:w w:val="150"/>
          <w:sz w:val="22"/>
          <w:shd w:fill="E4E4E4" w:color="auto" w:val="clear"/>
        </w:rPr>
        <w:t>                                       </w:t>
      </w:r>
      <w:r>
        <w:rPr>
          <w:color w:val="000000"/>
          <w:spacing w:val="-2"/>
          <w:sz w:val="22"/>
          <w:shd w:fill="E4E4E4" w:color="auto" w:val="clear"/>
        </w:rPr>
        <w:t>专科医生认为是医学上必须的情况下进行。</w:t>
      </w:r>
    </w:p>
    <w:p>
      <w:pPr>
        <w:pStyle w:val="BodyText"/>
        <w:spacing w:before="9"/>
        <w:rPr>
          <w:sz w:val="25"/>
        </w:rPr>
      </w:pPr>
    </w:p>
    <w:p>
      <w:pPr>
        <w:spacing w:after="0"/>
        <w:rPr>
          <w:sz w:val="25"/>
        </w:rPr>
        <w:sectPr>
          <w:type w:val="continuous"/>
          <w:pgSz w:w="11910" w:h="16840"/>
          <w:pgMar w:header="484" w:footer="706" w:top="1240" w:bottom="900" w:left="980" w:right="980"/>
        </w:sectPr>
      </w:pPr>
    </w:p>
    <w:p>
      <w:pPr>
        <w:pStyle w:val="Heading2"/>
        <w:numPr>
          <w:ilvl w:val="1"/>
          <w:numId w:val="80"/>
        </w:numPr>
        <w:tabs>
          <w:tab w:pos="955" w:val="left" w:leader="none"/>
        </w:tabs>
        <w:spacing w:line="261" w:lineRule="auto" w:before="72" w:after="0"/>
        <w:ind w:left="954" w:right="0" w:hanging="802"/>
        <w:jc w:val="left"/>
      </w:pPr>
      <w:r>
        <w:rPr>
          <w:spacing w:val="-2"/>
        </w:rPr>
        <w:t>早期原发性心</w:t>
      </w:r>
      <w:r>
        <w:rPr>
          <w:spacing w:val="-6"/>
        </w:rPr>
        <w:t>肌病</w:t>
      </w:r>
    </w:p>
    <w:p>
      <w:pPr>
        <w:pStyle w:val="BodyText"/>
        <w:spacing w:line="324" w:lineRule="auto" w:before="103"/>
        <w:ind w:left="152" w:right="152"/>
        <w:jc w:val="both"/>
      </w:pPr>
      <w:r>
        <w:rPr/>
        <w:br w:type="column"/>
      </w:r>
      <w:r>
        <w:rPr>
          <w:spacing w:val="11"/>
        </w:rPr>
        <w:t>被诊断为原发性心肌病，</w:t>
      </w:r>
      <w:r>
        <w:rPr>
          <w:color w:val="000000"/>
          <w:spacing w:val="9"/>
          <w:shd w:fill="E4E4E4" w:color="auto" w:val="clear"/>
        </w:rPr>
        <w:t>虽然未达到重大疾病“</w:t>
      </w:r>
      <w:r>
        <w:rPr>
          <w:color w:val="000000"/>
          <w:shd w:fill="E4E4E4" w:color="auto" w:val="clear"/>
        </w:rPr>
        <w:t>10.103</w:t>
      </w:r>
      <w:r>
        <w:rPr>
          <w:color w:val="000000"/>
          <w:spacing w:val="7"/>
          <w:shd w:fill="E4E4E4" w:color="auto" w:val="clear"/>
        </w:rPr>
        <w:t> 严重原发性心肌</w:t>
      </w:r>
      <w:r>
        <w:rPr>
          <w:color w:val="000000"/>
          <w:spacing w:val="40"/>
          <w:shd w:fill="E4E4E4" w:color="auto" w:val="clear"/>
        </w:rPr>
        <w:t> </w:t>
      </w:r>
      <w:r>
        <w:rPr>
          <w:color w:val="000000"/>
          <w:spacing w:val="-2"/>
          <w:shd w:fill="E4E4E4" w:color="auto" w:val="clear"/>
        </w:rPr>
        <w:t>病”的给付标准，但符合下列所有条件：</w:t>
      </w:r>
    </w:p>
    <w:p>
      <w:pPr>
        <w:pStyle w:val="ListParagraph"/>
        <w:numPr>
          <w:ilvl w:val="0"/>
          <w:numId w:val="91"/>
        </w:numPr>
        <w:tabs>
          <w:tab w:pos="607" w:val="left" w:leader="none"/>
        </w:tabs>
        <w:spacing w:line="324" w:lineRule="auto" w:before="0" w:after="0"/>
        <w:ind w:left="606" w:right="152" w:hanging="454"/>
        <w:jc w:val="both"/>
        <w:rPr>
          <w:sz w:val="22"/>
        </w:rPr>
      </w:pPr>
      <w:r>
        <w:rPr>
          <w:spacing w:val="-2"/>
          <w:sz w:val="22"/>
        </w:rPr>
        <w:t>导致心室功能受损，其受损程度达到美国纽约心脏病学会心脏功能分级的第Ⅲ级，或其同等级別，即：体力活动明显受限，休息时无症状，轻于日常的活动即可引起充血性心力衰竭的症状；</w:t>
      </w:r>
    </w:p>
    <w:p>
      <w:pPr>
        <w:pStyle w:val="ListParagraph"/>
        <w:numPr>
          <w:ilvl w:val="0"/>
          <w:numId w:val="91"/>
        </w:numPr>
        <w:tabs>
          <w:tab w:pos="607" w:val="left" w:leader="none"/>
        </w:tabs>
        <w:spacing w:line="280" w:lineRule="exact" w:before="0" w:after="0"/>
        <w:ind w:left="606" w:right="0" w:hanging="455"/>
        <w:jc w:val="both"/>
        <w:rPr>
          <w:sz w:val="22"/>
        </w:rPr>
      </w:pPr>
      <w:r>
        <w:rPr>
          <w:spacing w:val="-2"/>
          <w:sz w:val="22"/>
        </w:rPr>
        <w:t>左室射血分数LVEF＜35%；</w:t>
      </w:r>
    </w:p>
    <w:p>
      <w:pPr>
        <w:pStyle w:val="ListParagraph"/>
        <w:numPr>
          <w:ilvl w:val="0"/>
          <w:numId w:val="91"/>
        </w:numPr>
        <w:tabs>
          <w:tab w:pos="607" w:val="left" w:leader="none"/>
        </w:tabs>
        <w:spacing w:line="324" w:lineRule="auto" w:before="97" w:after="0"/>
        <w:ind w:left="606" w:right="152" w:hanging="454"/>
        <w:jc w:val="both"/>
        <w:rPr>
          <w:sz w:val="22"/>
        </w:rPr>
      </w:pPr>
      <w:r>
        <w:rPr>
          <w:spacing w:val="-2"/>
          <w:sz w:val="22"/>
        </w:rPr>
        <w:t>原发性心肌病的诊断必须由我们认可医院的心脏专科医生确认，并提供心脏超声检查结果报告。</w:t>
      </w:r>
    </w:p>
    <w:p>
      <w:pPr>
        <w:pStyle w:val="BodyText"/>
        <w:spacing w:line="324" w:lineRule="auto"/>
        <w:ind w:left="152" w:right="150"/>
        <w:jc w:val="both"/>
      </w:pPr>
      <w:r>
        <w:rPr>
          <w:color w:val="000000"/>
          <w:spacing w:val="-2"/>
          <w:shd w:fill="E4E4E4" w:color="auto" w:val="clear"/>
        </w:rPr>
        <w:t>保障范围内的心肌病包括扩张型心肌病、肥厚型心肌病及限制型心肌病。继</w:t>
      </w:r>
      <w:r>
        <w:rPr>
          <w:color w:val="000000"/>
          <w:spacing w:val="40"/>
          <w:shd w:fill="E4E4E4" w:color="auto" w:val="clear"/>
        </w:rPr>
        <w:t> </w:t>
      </w:r>
      <w:r>
        <w:rPr>
          <w:color w:val="000000"/>
          <w:spacing w:val="-2"/>
          <w:shd w:fill="E4E4E4" w:color="auto" w:val="clear"/>
        </w:rPr>
        <w:t>发于全身性疾病或其它器官系统疾病及酒精滥用造成的心肌病变不在保障范</w:t>
      </w:r>
      <w:r>
        <w:rPr>
          <w:color w:val="000000"/>
          <w:spacing w:val="-4"/>
          <w:shd w:fill="E4E4E4" w:color="auto" w:val="clear"/>
        </w:rPr>
        <w:t>围内。</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5"/>
        <w:rPr>
          <w:sz w:val="21"/>
        </w:rPr>
      </w:pPr>
    </w:p>
    <w:p>
      <w:pPr>
        <w:pStyle w:val="ListParagraph"/>
        <w:numPr>
          <w:ilvl w:val="1"/>
          <w:numId w:val="80"/>
        </w:numPr>
        <w:tabs>
          <w:tab w:pos="955" w:val="left" w:leader="none"/>
          <w:tab w:pos="2480" w:val="left" w:leader="none"/>
        </w:tabs>
        <w:spacing w:line="240" w:lineRule="auto" w:before="73" w:after="0"/>
        <w:ind w:left="954" w:right="0" w:hanging="803"/>
        <w:jc w:val="left"/>
        <w:rPr>
          <w:sz w:val="22"/>
        </w:rPr>
      </w:pPr>
      <w:r>
        <w:rPr>
          <w:rFonts w:ascii="华文中宋" w:eastAsia="华文中宋" w:hint="eastAsia"/>
          <w:b/>
          <w:spacing w:val="-2"/>
          <w:sz w:val="22"/>
        </w:rPr>
        <w:t>植入腔静脉</w:t>
      </w:r>
      <w:r>
        <w:rPr>
          <w:rFonts w:ascii="华文中宋" w:eastAsia="华文中宋" w:hint="eastAsia"/>
          <w:b/>
          <w:spacing w:val="-12"/>
          <w:sz w:val="22"/>
        </w:rPr>
        <w:t>过</w:t>
      </w:r>
      <w:r>
        <w:rPr>
          <w:rFonts w:ascii="华文中宋" w:eastAsia="华文中宋" w:hint="eastAsia"/>
          <w:b/>
          <w:sz w:val="22"/>
        </w:rPr>
        <w:tab/>
      </w:r>
      <w:r>
        <w:rPr>
          <w:sz w:val="22"/>
        </w:rPr>
        <w:t>指患者因反复肺栓塞发作，抗凝血疗法无效而接受手术植入腔静脉过滤器</w:t>
      </w:r>
      <w:r>
        <w:rPr>
          <w:spacing w:val="-10"/>
          <w:sz w:val="22"/>
        </w:rPr>
        <w:t>。</w:t>
      </w:r>
    </w:p>
    <w:p>
      <w:pPr>
        <w:spacing w:after="0" w:line="240" w:lineRule="auto"/>
        <w:jc w:val="left"/>
        <w:rPr>
          <w:sz w:val="22"/>
        </w:rPr>
        <w:sectPr>
          <w:type w:val="continuous"/>
          <w:pgSz w:w="11910" w:h="16840"/>
          <w:pgMar w:header="484" w:footer="706" w:top="1240" w:bottom="900" w:left="980" w:right="980"/>
        </w:sectPr>
      </w:pPr>
    </w:p>
    <w:p>
      <w:pPr>
        <w:pStyle w:val="BodyText"/>
        <w:rPr>
          <w:sz w:val="12"/>
        </w:rPr>
      </w:pPr>
    </w:p>
    <w:p>
      <w:pPr>
        <w:pStyle w:val="BodyText"/>
        <w:tabs>
          <w:tab w:pos="2480" w:val="left" w:leader="none"/>
        </w:tabs>
        <w:spacing w:before="73"/>
        <w:ind w:left="954"/>
      </w:pPr>
      <w:r>
        <w:rPr>
          <w:rFonts w:ascii="华文中宋" w:eastAsia="华文中宋" w:hint="eastAsia"/>
          <w:b/>
          <w:spacing w:val="-2"/>
        </w:rPr>
        <w:t>滤</w:t>
      </w:r>
      <w:r>
        <w:rPr>
          <w:rFonts w:ascii="华文中宋" w:eastAsia="华文中宋" w:hint="eastAsia"/>
          <w:b/>
          <w:spacing w:val="-10"/>
        </w:rPr>
        <w:t>器</w:t>
      </w:r>
      <w:r>
        <w:rPr>
          <w:rFonts w:ascii="华文中宋" w:eastAsia="华文中宋" w:hint="eastAsia"/>
          <w:b/>
        </w:rPr>
        <w:tab/>
      </w:r>
      <w:r>
        <w:rPr>
          <w:color w:val="000000"/>
          <w:spacing w:val="-2"/>
          <w:shd w:fill="E4E4E4" w:color="auto" w:val="clear"/>
        </w:rPr>
        <w:t>此手</w:t>
      </w:r>
      <w:r>
        <w:rPr>
          <w:color w:val="000000"/>
          <w:spacing w:val="-2"/>
          <w:shd w:fill="E4E4E4" w:color="auto" w:val="clear"/>
        </w:rPr>
        <w:t>术</w:t>
      </w:r>
      <w:r>
        <w:rPr>
          <w:color w:val="000000"/>
          <w:spacing w:val="-2"/>
          <w:shd w:fill="E4E4E4" w:color="auto" w:val="clear"/>
        </w:rPr>
        <w:t>须</w:t>
      </w:r>
      <w:r>
        <w:rPr>
          <w:color w:val="000000"/>
          <w:spacing w:val="-2"/>
          <w:shd w:fill="E4E4E4" w:color="auto" w:val="clear"/>
        </w:rPr>
        <w:t>在</w:t>
      </w:r>
      <w:r>
        <w:rPr>
          <w:color w:val="000000"/>
          <w:spacing w:val="-2"/>
          <w:shd w:fill="E4E4E4" w:color="auto" w:val="clear"/>
        </w:rPr>
        <w:t>我</w:t>
      </w:r>
      <w:r>
        <w:rPr>
          <w:color w:val="000000"/>
          <w:spacing w:val="-2"/>
          <w:shd w:fill="E4E4E4" w:color="auto" w:val="clear"/>
        </w:rPr>
        <w:t>们</w:t>
      </w:r>
      <w:r>
        <w:rPr>
          <w:color w:val="000000"/>
          <w:spacing w:val="-2"/>
          <w:shd w:fill="E4E4E4" w:color="auto" w:val="clear"/>
        </w:rPr>
        <w:t>认</w:t>
      </w:r>
      <w:r>
        <w:rPr>
          <w:color w:val="000000"/>
          <w:spacing w:val="-2"/>
          <w:shd w:fill="E4E4E4" w:color="auto" w:val="clear"/>
        </w:rPr>
        <w:t>可</w:t>
      </w:r>
      <w:r>
        <w:rPr>
          <w:color w:val="000000"/>
          <w:spacing w:val="-2"/>
          <w:shd w:fill="E4E4E4" w:color="auto" w:val="clear"/>
        </w:rPr>
        <w:t>医</w:t>
      </w:r>
      <w:r>
        <w:rPr>
          <w:color w:val="000000"/>
          <w:spacing w:val="-2"/>
          <w:shd w:fill="E4E4E4" w:color="auto" w:val="clear"/>
        </w:rPr>
        <w:t>院</w:t>
      </w:r>
      <w:r>
        <w:rPr>
          <w:color w:val="000000"/>
          <w:spacing w:val="-2"/>
          <w:shd w:fill="E4E4E4" w:color="auto" w:val="clear"/>
        </w:rPr>
        <w:t>内</w:t>
      </w:r>
      <w:r>
        <w:rPr>
          <w:color w:val="000000"/>
          <w:spacing w:val="-2"/>
          <w:shd w:fill="E4E4E4" w:color="auto" w:val="clear"/>
        </w:rPr>
        <w:t>由</w:t>
      </w:r>
      <w:r>
        <w:rPr>
          <w:color w:val="000000"/>
          <w:spacing w:val="-2"/>
          <w:shd w:fill="E4E4E4" w:color="auto" w:val="clear"/>
        </w:rPr>
        <w:t>专</w:t>
      </w:r>
      <w:r>
        <w:rPr>
          <w:color w:val="000000"/>
          <w:spacing w:val="-2"/>
          <w:shd w:fill="E4E4E4" w:color="auto" w:val="clear"/>
        </w:rPr>
        <w:t>科</w:t>
      </w:r>
      <w:r>
        <w:rPr>
          <w:color w:val="000000"/>
          <w:spacing w:val="-2"/>
          <w:shd w:fill="E4E4E4" w:color="auto" w:val="clear"/>
        </w:rPr>
        <w:t>医</w:t>
      </w:r>
      <w:r>
        <w:rPr>
          <w:color w:val="000000"/>
          <w:spacing w:val="-2"/>
          <w:shd w:fill="E4E4E4" w:color="auto" w:val="clear"/>
        </w:rPr>
        <w:t>生</w:t>
      </w:r>
      <w:r>
        <w:rPr>
          <w:color w:val="000000"/>
          <w:spacing w:val="-2"/>
          <w:shd w:fill="E4E4E4" w:color="auto" w:val="clear"/>
        </w:rPr>
        <w:t>认</w:t>
      </w:r>
      <w:r>
        <w:rPr>
          <w:color w:val="000000"/>
          <w:spacing w:val="-2"/>
          <w:shd w:fill="E4E4E4" w:color="auto" w:val="clear"/>
        </w:rPr>
        <w:t>为</w:t>
      </w:r>
      <w:r>
        <w:rPr>
          <w:color w:val="000000"/>
          <w:spacing w:val="-2"/>
          <w:shd w:fill="E4E4E4" w:color="auto" w:val="clear"/>
        </w:rPr>
        <w:t>是</w:t>
      </w:r>
      <w:r>
        <w:rPr>
          <w:color w:val="000000"/>
          <w:spacing w:val="-2"/>
          <w:shd w:fill="E4E4E4" w:color="auto" w:val="clear"/>
        </w:rPr>
        <w:t>医</w:t>
      </w:r>
      <w:r>
        <w:rPr>
          <w:color w:val="000000"/>
          <w:spacing w:val="-2"/>
          <w:shd w:fill="E4E4E4" w:color="auto" w:val="clear"/>
        </w:rPr>
        <w:t>疗</w:t>
      </w:r>
      <w:r>
        <w:rPr>
          <w:color w:val="000000"/>
          <w:spacing w:val="-2"/>
          <w:shd w:fill="E4E4E4" w:color="auto" w:val="clear"/>
        </w:rPr>
        <w:t>必</w:t>
      </w:r>
      <w:r>
        <w:rPr>
          <w:color w:val="000000"/>
          <w:spacing w:val="-2"/>
          <w:shd w:fill="E4E4E4" w:color="auto" w:val="clear"/>
        </w:rPr>
        <w:t>须</w:t>
      </w:r>
      <w:r>
        <w:rPr>
          <w:color w:val="000000"/>
          <w:spacing w:val="-2"/>
          <w:shd w:fill="E4E4E4" w:color="auto" w:val="clear"/>
        </w:rPr>
        <w:t>的</w:t>
      </w:r>
      <w:r>
        <w:rPr>
          <w:color w:val="000000"/>
          <w:spacing w:val="-2"/>
          <w:shd w:fill="E4E4E4" w:color="auto" w:val="clear"/>
        </w:rPr>
        <w:t>情</w:t>
      </w:r>
      <w:r>
        <w:rPr>
          <w:color w:val="000000"/>
          <w:spacing w:val="-2"/>
          <w:shd w:fill="E4E4E4" w:color="auto" w:val="clear"/>
        </w:rPr>
        <w:t>况</w:t>
      </w:r>
      <w:r>
        <w:rPr>
          <w:color w:val="000000"/>
          <w:spacing w:val="-2"/>
          <w:shd w:fill="E4E4E4" w:color="auto" w:val="clear"/>
        </w:rPr>
        <w:t>下</w:t>
      </w:r>
      <w:r>
        <w:rPr>
          <w:color w:val="000000"/>
          <w:spacing w:val="-2"/>
          <w:shd w:fill="E4E4E4" w:color="auto" w:val="clear"/>
        </w:rPr>
        <w:t>进行</w:t>
      </w:r>
      <w:r>
        <w:rPr>
          <w:color w:val="000000"/>
          <w:spacing w:val="-10"/>
          <w:shd w:fill="E4E4E4" w:color="auto" w:val="clear"/>
        </w:rPr>
        <w:t>。</w:t>
      </w:r>
    </w:p>
    <w:p>
      <w:pPr>
        <w:pStyle w:val="BodyText"/>
        <w:spacing w:before="1"/>
        <w:rPr>
          <w:sz w:val="32"/>
        </w:rPr>
      </w:pPr>
    </w:p>
    <w:p>
      <w:pPr>
        <w:pStyle w:val="ListParagraph"/>
        <w:numPr>
          <w:ilvl w:val="1"/>
          <w:numId w:val="80"/>
        </w:numPr>
        <w:tabs>
          <w:tab w:pos="955" w:val="left" w:leader="none"/>
          <w:tab w:pos="2480" w:val="left" w:leader="none"/>
        </w:tabs>
        <w:spacing w:line="280" w:lineRule="auto" w:before="0" w:after="0"/>
        <w:ind w:left="2480" w:right="150" w:hanging="2328"/>
        <w:jc w:val="left"/>
        <w:rPr>
          <w:sz w:val="22"/>
        </w:rPr>
      </w:pPr>
      <w:r>
        <w:rPr>
          <w:rFonts w:ascii="华文中宋" w:eastAsia="华文中宋" w:hint="eastAsia"/>
          <w:b/>
          <w:spacing w:val="-2"/>
          <w:sz w:val="22"/>
        </w:rPr>
        <w:t>单侧肾脏切除</w:t>
      </w:r>
      <w:r>
        <w:rPr>
          <w:rFonts w:ascii="华文中宋" w:eastAsia="华文中宋" w:hint="eastAsia"/>
          <w:b/>
          <w:sz w:val="22"/>
        </w:rPr>
        <w:tab/>
      </w:r>
      <w:r>
        <w:rPr>
          <w:spacing w:val="-2"/>
          <w:sz w:val="22"/>
        </w:rPr>
        <w:t>指因疾病或意外伤害导致肾脏严重损害，已经实际接受了左侧全肾切除手术或右侧全肾切除手术。</w:t>
      </w:r>
      <w:r>
        <w:rPr>
          <w:color w:val="000000"/>
          <w:spacing w:val="-2"/>
          <w:sz w:val="22"/>
          <w:shd w:fill="E4E4E4" w:color="auto" w:val="clear"/>
        </w:rPr>
        <w:t>下列情况不在保障范围内：</w:t>
      </w:r>
    </w:p>
    <w:p>
      <w:pPr>
        <w:pStyle w:val="ListParagraph"/>
        <w:numPr>
          <w:ilvl w:val="2"/>
          <w:numId w:val="80"/>
        </w:numPr>
        <w:tabs>
          <w:tab w:pos="2935" w:val="left" w:leader="none"/>
        </w:tabs>
        <w:spacing w:line="240" w:lineRule="auto" w:before="53" w:after="0"/>
        <w:ind w:left="2934" w:right="0" w:hanging="455"/>
        <w:jc w:val="left"/>
        <w:rPr>
          <w:sz w:val="22"/>
        </w:rPr>
      </w:pPr>
      <w:r>
        <w:rPr>
          <w:color w:val="000000"/>
          <w:spacing w:val="-4"/>
          <w:sz w:val="22"/>
          <w:shd w:fill="E4E4E4" w:color="auto" w:val="clear"/>
        </w:rPr>
        <w:t>部分肾切除手术；</w:t>
      </w:r>
    </w:p>
    <w:p>
      <w:pPr>
        <w:pStyle w:val="ListParagraph"/>
        <w:numPr>
          <w:ilvl w:val="2"/>
          <w:numId w:val="80"/>
        </w:numPr>
        <w:tabs>
          <w:tab w:pos="2935" w:val="left" w:leader="none"/>
        </w:tabs>
        <w:spacing w:line="240" w:lineRule="auto" w:before="97" w:after="0"/>
        <w:ind w:left="2934" w:right="0" w:hanging="455"/>
        <w:jc w:val="left"/>
        <w:rPr>
          <w:sz w:val="22"/>
        </w:rPr>
      </w:pPr>
      <w:r>
        <w:rPr>
          <w:color w:val="000000"/>
          <w:spacing w:val="-3"/>
          <w:sz w:val="22"/>
          <w:shd w:fill="E4E4E4" w:color="auto" w:val="clear"/>
        </w:rPr>
        <w:t>作为器官捐献者而实施的肾切除手术；</w:t>
      </w:r>
    </w:p>
    <w:p>
      <w:pPr>
        <w:pStyle w:val="ListParagraph"/>
        <w:numPr>
          <w:ilvl w:val="2"/>
          <w:numId w:val="80"/>
        </w:numPr>
        <w:tabs>
          <w:tab w:pos="2935" w:val="left" w:leader="none"/>
        </w:tabs>
        <w:spacing w:line="240" w:lineRule="auto" w:before="98" w:after="0"/>
        <w:ind w:left="2934" w:right="0" w:hanging="455"/>
        <w:jc w:val="left"/>
        <w:rPr>
          <w:sz w:val="22"/>
        </w:rPr>
      </w:pPr>
      <w:r>
        <w:rPr>
          <w:color w:val="000000"/>
          <w:spacing w:val="-3"/>
          <w:sz w:val="22"/>
          <w:shd w:fill="E4E4E4" w:color="auto" w:val="clear"/>
        </w:rPr>
        <w:t>因恶性肿瘤进行的肾切除手术。</w:t>
      </w:r>
    </w:p>
    <w:p>
      <w:pPr>
        <w:pStyle w:val="BodyText"/>
        <w:spacing w:before="4"/>
        <w:rPr>
          <w:sz w:val="29"/>
        </w:rPr>
      </w:pPr>
    </w:p>
    <w:p>
      <w:pPr>
        <w:spacing w:after="0"/>
        <w:rPr>
          <w:sz w:val="29"/>
        </w:rPr>
        <w:sectPr>
          <w:pgSz w:w="11910" w:h="16840"/>
          <w:pgMar w:header="484" w:footer="706" w:top="1240" w:bottom="900" w:left="980" w:right="980"/>
        </w:sectPr>
      </w:pPr>
    </w:p>
    <w:p>
      <w:pPr>
        <w:pStyle w:val="Heading2"/>
        <w:numPr>
          <w:ilvl w:val="1"/>
          <w:numId w:val="80"/>
        </w:numPr>
        <w:tabs>
          <w:tab w:pos="955" w:val="left" w:leader="none"/>
        </w:tabs>
        <w:spacing w:line="240" w:lineRule="auto" w:before="73" w:after="0"/>
        <w:ind w:left="954" w:right="0" w:hanging="803"/>
        <w:jc w:val="left"/>
      </w:pPr>
      <w:r>
        <w:rPr>
          <w:spacing w:val="-4"/>
        </w:rPr>
        <w:t>双侧卵巢切除</w:t>
      </w:r>
    </w:p>
    <w:p>
      <w:pPr>
        <w:spacing w:before="30"/>
        <w:ind w:left="954" w:right="0" w:firstLine="0"/>
        <w:jc w:val="left"/>
        <w:rPr>
          <w:rFonts w:ascii="华文中宋" w:eastAsia="华文中宋" w:hint="eastAsia"/>
          <w:b/>
          <w:sz w:val="22"/>
        </w:rPr>
      </w:pPr>
      <w:r>
        <w:rPr>
          <w:rFonts w:ascii="华文中宋" w:eastAsia="华文中宋" w:hint="eastAsia"/>
          <w:b/>
          <w:w w:val="100"/>
          <w:sz w:val="22"/>
        </w:rPr>
        <w:t>术</w:t>
      </w:r>
    </w:p>
    <w:p>
      <w:pPr>
        <w:pStyle w:val="BodyText"/>
        <w:spacing w:line="324" w:lineRule="auto" w:before="103"/>
        <w:ind w:left="152" w:right="150"/>
      </w:pPr>
      <w:r>
        <w:rPr/>
        <w:br w:type="column"/>
      </w:r>
      <w:r>
        <w:rPr>
          <w:spacing w:val="6"/>
          <w:w w:val="100"/>
        </w:rPr>
        <w:t>指为治疗疾病实际接受了经腹部切开或腹腔镜进行的双侧卵巢完全切除手</w:t>
      </w:r>
      <w:r>
        <w:rPr>
          <w:spacing w:val="-2"/>
          <w:w w:val="100"/>
        </w:rPr>
        <w:t>术。</w:t>
      </w:r>
      <w:r>
        <w:rPr>
          <w:color w:val="000000"/>
          <w:spacing w:val="-3"/>
          <w:w w:val="100"/>
          <w:shd w:fill="E4E4E4" w:color="auto" w:val="clear"/>
        </w:rPr>
        <w:t>下列情况不在保障范围内：</w:t>
      </w:r>
    </w:p>
    <w:p>
      <w:pPr>
        <w:pStyle w:val="ListParagraph"/>
        <w:numPr>
          <w:ilvl w:val="0"/>
          <w:numId w:val="92"/>
        </w:numPr>
        <w:tabs>
          <w:tab w:pos="607" w:val="left" w:leader="none"/>
        </w:tabs>
        <w:spacing w:line="282" w:lineRule="exact" w:before="0" w:after="0"/>
        <w:ind w:left="606" w:right="0" w:hanging="455"/>
        <w:jc w:val="left"/>
        <w:rPr>
          <w:sz w:val="22"/>
        </w:rPr>
      </w:pPr>
      <w:r>
        <w:rPr>
          <w:color w:val="000000"/>
          <w:spacing w:val="-4"/>
          <w:sz w:val="22"/>
          <w:shd w:fill="E4E4E4" w:color="auto" w:val="clear"/>
        </w:rPr>
        <w:t>部分卵巢切除；</w:t>
      </w:r>
    </w:p>
    <w:p>
      <w:pPr>
        <w:pStyle w:val="ListParagraph"/>
        <w:numPr>
          <w:ilvl w:val="0"/>
          <w:numId w:val="92"/>
        </w:numPr>
        <w:tabs>
          <w:tab w:pos="607" w:val="left" w:leader="none"/>
        </w:tabs>
        <w:spacing w:line="240" w:lineRule="auto" w:before="97" w:after="0"/>
        <w:ind w:left="606" w:right="0" w:hanging="455"/>
        <w:jc w:val="left"/>
        <w:rPr>
          <w:sz w:val="22"/>
        </w:rPr>
      </w:pPr>
      <w:r>
        <w:rPr>
          <w:color w:val="000000"/>
          <w:spacing w:val="-3"/>
          <w:sz w:val="22"/>
          <w:shd w:fill="E4E4E4" w:color="auto" w:val="clear"/>
        </w:rPr>
        <w:t>因恶性肿瘤进行的卵巢切除术；</w:t>
      </w:r>
    </w:p>
    <w:p>
      <w:pPr>
        <w:pStyle w:val="ListParagraph"/>
        <w:numPr>
          <w:ilvl w:val="0"/>
          <w:numId w:val="92"/>
        </w:numPr>
        <w:tabs>
          <w:tab w:pos="607" w:val="left" w:leader="none"/>
        </w:tabs>
        <w:spacing w:line="240" w:lineRule="auto" w:before="98" w:after="0"/>
        <w:ind w:left="606" w:right="0" w:hanging="455"/>
        <w:jc w:val="left"/>
        <w:rPr>
          <w:sz w:val="22"/>
        </w:rPr>
      </w:pPr>
      <w:r>
        <w:rPr>
          <w:color w:val="000000"/>
          <w:spacing w:val="-4"/>
          <w:sz w:val="22"/>
          <w:shd w:fill="E4E4E4" w:color="auto" w:val="clear"/>
        </w:rPr>
        <w:t>预防性卵巢切除；</w:t>
      </w:r>
    </w:p>
    <w:p>
      <w:pPr>
        <w:pStyle w:val="ListParagraph"/>
        <w:numPr>
          <w:ilvl w:val="0"/>
          <w:numId w:val="92"/>
        </w:numPr>
        <w:tabs>
          <w:tab w:pos="607" w:val="left" w:leader="none"/>
        </w:tabs>
        <w:spacing w:line="240" w:lineRule="auto" w:before="100" w:after="0"/>
        <w:ind w:left="606" w:right="0" w:hanging="455"/>
        <w:jc w:val="left"/>
        <w:rPr>
          <w:sz w:val="22"/>
        </w:rPr>
      </w:pPr>
      <w:r>
        <w:rPr>
          <w:color w:val="000000"/>
          <w:spacing w:val="-4"/>
          <w:sz w:val="22"/>
          <w:shd w:fill="E4E4E4" w:color="auto" w:val="clear"/>
        </w:rPr>
        <w:t>变性手术。</w:t>
      </w:r>
    </w:p>
    <w:p>
      <w:pPr>
        <w:spacing w:after="0" w:line="240"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2"/>
        <w:rPr>
          <w:sz w:val="29"/>
        </w:rPr>
      </w:pPr>
    </w:p>
    <w:p>
      <w:pPr>
        <w:spacing w:after="0"/>
        <w:rPr>
          <w:sz w:val="29"/>
        </w:rPr>
        <w:sectPr>
          <w:type w:val="continuous"/>
          <w:pgSz w:w="11910" w:h="16840"/>
          <w:pgMar w:header="484" w:footer="706" w:top="1240" w:bottom="900" w:left="980" w:right="980"/>
        </w:sectPr>
      </w:pPr>
    </w:p>
    <w:p>
      <w:pPr>
        <w:pStyle w:val="ListParagraph"/>
        <w:numPr>
          <w:ilvl w:val="1"/>
          <w:numId w:val="80"/>
        </w:numPr>
        <w:tabs>
          <w:tab w:pos="955" w:val="left" w:leader="none"/>
        </w:tabs>
        <w:spacing w:line="240" w:lineRule="auto" w:before="72" w:after="0"/>
        <w:ind w:left="954" w:right="0" w:hanging="803"/>
        <w:jc w:val="left"/>
        <w:rPr>
          <w:rFonts w:ascii="华文中宋" w:eastAsia="华文中宋" w:hint="eastAsia"/>
          <w:b/>
          <w:sz w:val="22"/>
        </w:rPr>
      </w:pPr>
      <w:r>
        <w:rPr>
          <w:rFonts w:ascii="华文中宋" w:eastAsia="华文中宋" w:hint="eastAsia"/>
          <w:b/>
          <w:spacing w:val="-4"/>
          <w:sz w:val="22"/>
        </w:rPr>
        <w:t>双侧睾丸切除</w:t>
      </w:r>
    </w:p>
    <w:p>
      <w:pPr>
        <w:spacing w:before="30"/>
        <w:ind w:left="954" w:right="0" w:firstLine="0"/>
        <w:jc w:val="left"/>
        <w:rPr>
          <w:rFonts w:ascii="华文中宋" w:eastAsia="华文中宋" w:hint="eastAsia"/>
          <w:b/>
          <w:sz w:val="22"/>
        </w:rPr>
      </w:pPr>
      <w:r>
        <w:rPr>
          <w:rFonts w:ascii="华文中宋" w:eastAsia="华文中宋" w:hint="eastAsia"/>
          <w:b/>
          <w:w w:val="100"/>
          <w:sz w:val="22"/>
        </w:rPr>
        <w:t>术</w:t>
      </w:r>
    </w:p>
    <w:p>
      <w:pPr>
        <w:pStyle w:val="BodyText"/>
        <w:rPr>
          <w:rFonts w:ascii="华文中宋"/>
          <w:b/>
          <w:sz w:val="28"/>
        </w:rPr>
      </w:pPr>
    </w:p>
    <w:p>
      <w:pPr>
        <w:pStyle w:val="BodyText"/>
        <w:rPr>
          <w:rFonts w:ascii="华文中宋"/>
          <w:b/>
          <w:sz w:val="28"/>
        </w:rPr>
      </w:pPr>
    </w:p>
    <w:p>
      <w:pPr>
        <w:pStyle w:val="BodyText"/>
        <w:rPr>
          <w:rFonts w:ascii="华文中宋"/>
          <w:b/>
          <w:sz w:val="28"/>
        </w:rPr>
      </w:pPr>
    </w:p>
    <w:p>
      <w:pPr>
        <w:pStyle w:val="BodyText"/>
        <w:spacing w:before="13"/>
        <w:rPr>
          <w:rFonts w:ascii="华文中宋"/>
          <w:b/>
          <w:sz w:val="37"/>
        </w:rPr>
      </w:pPr>
    </w:p>
    <w:p>
      <w:pPr>
        <w:pStyle w:val="ListParagraph"/>
        <w:numPr>
          <w:ilvl w:val="1"/>
          <w:numId w:val="80"/>
        </w:numPr>
        <w:tabs>
          <w:tab w:pos="955" w:val="left" w:leader="none"/>
        </w:tabs>
        <w:spacing w:line="240" w:lineRule="auto" w:before="0" w:after="0"/>
        <w:ind w:left="954" w:right="0" w:hanging="803"/>
        <w:jc w:val="left"/>
        <w:rPr>
          <w:rFonts w:ascii="华文中宋" w:eastAsia="华文中宋" w:hint="eastAsia"/>
          <w:b/>
          <w:sz w:val="22"/>
        </w:rPr>
      </w:pPr>
      <w:r>
        <w:rPr>
          <w:rFonts w:ascii="华文中宋" w:eastAsia="华文中宋" w:hint="eastAsia"/>
          <w:b/>
          <w:spacing w:val="-4"/>
          <w:sz w:val="22"/>
        </w:rPr>
        <w:t>严重阻塞性睡</w:t>
      </w:r>
    </w:p>
    <w:p>
      <w:pPr>
        <w:spacing w:line="261" w:lineRule="auto" w:before="30"/>
        <w:ind w:left="954" w:right="0" w:firstLine="0"/>
        <w:jc w:val="left"/>
        <w:rPr>
          <w:rFonts w:ascii="华文中宋" w:eastAsia="华文中宋" w:hint="eastAsia"/>
          <w:b/>
          <w:sz w:val="22"/>
        </w:rPr>
      </w:pPr>
      <w:r>
        <w:rPr>
          <w:rFonts w:ascii="华文中宋" w:eastAsia="华文中宋" w:hint="eastAsia"/>
          <w:b/>
          <w:spacing w:val="-2"/>
          <w:sz w:val="22"/>
        </w:rPr>
        <w:t>眠呼吸暂停综</w:t>
      </w:r>
      <w:r>
        <w:rPr>
          <w:rFonts w:ascii="华文中宋" w:eastAsia="华文中宋" w:hint="eastAsia"/>
          <w:b/>
          <w:spacing w:val="-6"/>
          <w:sz w:val="22"/>
        </w:rPr>
        <w:t>合征</w:t>
      </w:r>
    </w:p>
    <w:p>
      <w:pPr>
        <w:pStyle w:val="BodyText"/>
        <w:spacing w:line="324" w:lineRule="auto" w:before="103"/>
        <w:ind w:left="163" w:right="150"/>
      </w:pPr>
      <w:r>
        <w:rPr/>
        <w:br w:type="column"/>
      </w:r>
      <w:r>
        <w:rPr>
          <w:spacing w:val="-2"/>
        </w:rPr>
        <w:t>指为治疗疾病实际接受了双侧睾丸完全切除手术。</w:t>
      </w:r>
      <w:r>
        <w:rPr>
          <w:color w:val="000000"/>
          <w:spacing w:val="-2"/>
          <w:shd w:fill="E4E4E4" w:color="auto" w:val="clear"/>
        </w:rPr>
        <w:t>下列情况不在保障范围</w:t>
      </w:r>
      <w:r>
        <w:rPr>
          <w:color w:val="000000"/>
          <w:spacing w:val="80"/>
          <w:w w:val="150"/>
          <w:shd w:fill="E4E4E4" w:color="auto" w:val="clear"/>
        </w:rPr>
        <w:t>                                       </w:t>
      </w:r>
      <w:r>
        <w:rPr>
          <w:color w:val="000000"/>
          <w:spacing w:val="-6"/>
          <w:shd w:fill="E4E4E4" w:color="auto" w:val="clear"/>
        </w:rPr>
        <w:t>内：</w:t>
      </w:r>
    </w:p>
    <w:p>
      <w:pPr>
        <w:pStyle w:val="BodyText"/>
        <w:spacing w:before="4"/>
        <w:rPr>
          <w:sz w:val="2"/>
        </w:rPr>
      </w:pPr>
    </w:p>
    <w:tbl>
      <w:tblPr>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42"/>
        <w:gridCol w:w="3192"/>
      </w:tblGrid>
      <w:tr>
        <w:trPr>
          <w:trHeight w:val="300" w:hRule="atLeast"/>
        </w:trPr>
        <w:tc>
          <w:tcPr>
            <w:tcW w:w="442" w:type="dxa"/>
          </w:tcPr>
          <w:p>
            <w:pPr>
              <w:pStyle w:val="TableParagraph"/>
              <w:spacing w:line="252" w:lineRule="exact"/>
              <w:ind w:left="50"/>
              <w:rPr>
                <w:sz w:val="22"/>
              </w:rPr>
            </w:pPr>
            <w:r>
              <w:rPr>
                <w:spacing w:val="-5"/>
                <w:sz w:val="22"/>
              </w:rPr>
              <w:t>(1)</w:t>
            </w:r>
          </w:p>
        </w:tc>
        <w:tc>
          <w:tcPr>
            <w:tcW w:w="3192" w:type="dxa"/>
          </w:tcPr>
          <w:p>
            <w:pPr>
              <w:pStyle w:val="TableParagraph"/>
              <w:spacing w:line="252" w:lineRule="exact"/>
              <w:ind w:left="61"/>
              <w:rPr>
                <w:sz w:val="22"/>
              </w:rPr>
            </w:pPr>
            <w:r>
              <w:rPr>
                <w:color w:val="000000"/>
                <w:spacing w:val="-4"/>
                <w:sz w:val="22"/>
                <w:shd w:fill="E4E4E4" w:color="auto" w:val="clear"/>
              </w:rPr>
              <w:t>部分睾丸切除；</w:t>
            </w:r>
          </w:p>
        </w:tc>
      </w:tr>
      <w:tr>
        <w:trPr>
          <w:trHeight w:val="380" w:hRule="atLeast"/>
        </w:trPr>
        <w:tc>
          <w:tcPr>
            <w:tcW w:w="442" w:type="dxa"/>
          </w:tcPr>
          <w:p>
            <w:pPr>
              <w:pStyle w:val="TableParagraph"/>
              <w:spacing w:before="49"/>
              <w:ind w:left="50"/>
              <w:rPr>
                <w:sz w:val="22"/>
              </w:rPr>
            </w:pPr>
            <w:r>
              <w:rPr>
                <w:spacing w:val="-5"/>
                <w:sz w:val="22"/>
              </w:rPr>
              <w:t>(2)</w:t>
            </w:r>
          </w:p>
        </w:tc>
        <w:tc>
          <w:tcPr>
            <w:tcW w:w="3192" w:type="dxa"/>
          </w:tcPr>
          <w:p>
            <w:pPr>
              <w:pStyle w:val="TableParagraph"/>
              <w:spacing w:before="49"/>
              <w:ind w:left="61"/>
              <w:rPr>
                <w:sz w:val="22"/>
              </w:rPr>
            </w:pPr>
            <w:r>
              <w:rPr>
                <w:color w:val="000000"/>
                <w:spacing w:val="-3"/>
                <w:sz w:val="22"/>
                <w:shd w:fill="E4E4E4" w:color="auto" w:val="clear"/>
              </w:rPr>
              <w:t>因恶性肿瘤进行的睾丸切除术；</w:t>
            </w:r>
          </w:p>
        </w:tc>
      </w:tr>
      <w:tr>
        <w:trPr>
          <w:trHeight w:val="380" w:hRule="atLeast"/>
        </w:trPr>
        <w:tc>
          <w:tcPr>
            <w:tcW w:w="442" w:type="dxa"/>
          </w:tcPr>
          <w:p>
            <w:pPr>
              <w:pStyle w:val="TableParagraph"/>
              <w:spacing w:before="50"/>
              <w:ind w:left="50"/>
              <w:rPr>
                <w:sz w:val="22"/>
              </w:rPr>
            </w:pPr>
            <w:r>
              <w:rPr>
                <w:spacing w:val="-5"/>
                <w:sz w:val="22"/>
              </w:rPr>
              <w:t>(3)</w:t>
            </w:r>
          </w:p>
        </w:tc>
        <w:tc>
          <w:tcPr>
            <w:tcW w:w="3192" w:type="dxa"/>
          </w:tcPr>
          <w:p>
            <w:pPr>
              <w:pStyle w:val="TableParagraph"/>
              <w:spacing w:before="50"/>
              <w:ind w:left="61"/>
              <w:rPr>
                <w:sz w:val="22"/>
              </w:rPr>
            </w:pPr>
            <w:r>
              <w:rPr>
                <w:color w:val="000000"/>
                <w:spacing w:val="-4"/>
                <w:sz w:val="22"/>
                <w:shd w:fill="E4E4E4" w:color="auto" w:val="clear"/>
              </w:rPr>
              <w:t>预防性睾丸切除；</w:t>
            </w:r>
          </w:p>
        </w:tc>
      </w:tr>
      <w:tr>
        <w:trPr>
          <w:trHeight w:val="300" w:hRule="atLeast"/>
        </w:trPr>
        <w:tc>
          <w:tcPr>
            <w:tcW w:w="442" w:type="dxa"/>
          </w:tcPr>
          <w:p>
            <w:pPr>
              <w:pStyle w:val="TableParagraph"/>
              <w:spacing w:line="231" w:lineRule="exact" w:before="49"/>
              <w:ind w:left="50"/>
              <w:rPr>
                <w:sz w:val="22"/>
              </w:rPr>
            </w:pPr>
            <w:r>
              <w:rPr>
                <w:spacing w:val="-5"/>
                <w:sz w:val="22"/>
              </w:rPr>
              <w:t>(4)</w:t>
            </w:r>
          </w:p>
        </w:tc>
        <w:tc>
          <w:tcPr>
            <w:tcW w:w="3192" w:type="dxa"/>
          </w:tcPr>
          <w:p>
            <w:pPr>
              <w:pStyle w:val="TableParagraph"/>
              <w:spacing w:line="231" w:lineRule="exact" w:before="49"/>
              <w:ind w:left="61"/>
              <w:rPr>
                <w:sz w:val="22"/>
              </w:rPr>
            </w:pPr>
            <w:r>
              <w:rPr>
                <w:color w:val="000000"/>
                <w:spacing w:val="-4"/>
                <w:sz w:val="22"/>
                <w:shd w:fill="E4E4E4" w:color="auto" w:val="clear"/>
              </w:rPr>
              <w:t>变性手术。</w:t>
            </w:r>
          </w:p>
        </w:tc>
      </w:tr>
    </w:tbl>
    <w:p>
      <w:pPr>
        <w:pStyle w:val="BodyText"/>
      </w:pPr>
    </w:p>
    <w:p>
      <w:pPr>
        <w:pStyle w:val="BodyText"/>
        <w:spacing w:before="11"/>
        <w:rPr>
          <w:sz w:val="17"/>
        </w:rPr>
      </w:pPr>
    </w:p>
    <w:p>
      <w:pPr>
        <w:pStyle w:val="BodyText"/>
        <w:spacing w:line="324" w:lineRule="auto"/>
        <w:ind w:left="163" w:right="150"/>
      </w:pPr>
      <w:r>
        <w:rPr>
          <w:spacing w:val="-2"/>
        </w:rPr>
        <w:t>须由相关医学范畴的注册专科医生，经多导睡眠监测仪检查明确诊断为严重阻塞性睡眠呼吸暂停综合征（OSA），</w:t>
      </w:r>
      <w:r>
        <w:rPr>
          <w:color w:val="000000"/>
          <w:spacing w:val="-2"/>
          <w:shd w:fill="E4E4E4" w:color="auto" w:val="clear"/>
        </w:rPr>
        <w:t>并必须符合以下两项条件：</w:t>
      </w:r>
    </w:p>
    <w:p>
      <w:pPr>
        <w:pStyle w:val="ListParagraph"/>
        <w:numPr>
          <w:ilvl w:val="0"/>
          <w:numId w:val="93"/>
        </w:numPr>
        <w:tabs>
          <w:tab w:pos="618" w:val="left" w:leader="none"/>
        </w:tabs>
        <w:spacing w:line="279" w:lineRule="exact" w:before="0" w:after="0"/>
        <w:ind w:left="617" w:right="0" w:hanging="455"/>
        <w:jc w:val="left"/>
        <w:rPr>
          <w:sz w:val="22"/>
        </w:rPr>
      </w:pPr>
      <w:r>
        <w:rPr>
          <w:spacing w:val="-2"/>
          <w:sz w:val="22"/>
        </w:rPr>
        <w:t>被保险人必须现正接受持续气道正压呼吸器（CPAP）</w:t>
      </w:r>
      <w:r>
        <w:rPr>
          <w:spacing w:val="-4"/>
          <w:sz w:val="22"/>
        </w:rPr>
        <w:t>之夜间治疗；</w:t>
      </w:r>
    </w:p>
    <w:p>
      <w:pPr>
        <w:pStyle w:val="ListParagraph"/>
        <w:numPr>
          <w:ilvl w:val="0"/>
          <w:numId w:val="93"/>
        </w:numPr>
        <w:tabs>
          <w:tab w:pos="618" w:val="left" w:leader="none"/>
        </w:tabs>
        <w:spacing w:line="324" w:lineRule="auto" w:before="99" w:after="0"/>
        <w:ind w:left="617" w:right="150" w:hanging="454"/>
        <w:jc w:val="left"/>
        <w:rPr>
          <w:sz w:val="22"/>
        </w:rPr>
      </w:pPr>
      <w:r>
        <w:rPr>
          <w:spacing w:val="2"/>
          <w:w w:val="100"/>
          <w:sz w:val="22"/>
        </w:rPr>
        <w:t>必须提供睡眠测试的文件证明，显示呼吸暂停低通气指数</w:t>
      </w:r>
      <w:r>
        <w:rPr>
          <w:spacing w:val="4"/>
          <w:w w:val="100"/>
          <w:sz w:val="22"/>
        </w:rPr>
        <w:t>（</w:t>
      </w:r>
      <w:r>
        <w:rPr>
          <w:spacing w:val="-1"/>
          <w:w w:val="100"/>
          <w:sz w:val="22"/>
        </w:rPr>
        <w:t>AH</w:t>
      </w:r>
      <w:r>
        <w:rPr>
          <w:spacing w:val="4"/>
          <w:w w:val="100"/>
          <w:sz w:val="22"/>
        </w:rPr>
        <w:t>I）＞</w:t>
      </w:r>
      <w:r>
        <w:rPr>
          <w:spacing w:val="-1"/>
          <w:w w:val="100"/>
          <w:sz w:val="22"/>
        </w:rPr>
        <w:t>3</w:t>
      </w:r>
      <w:r>
        <w:rPr>
          <w:w w:val="100"/>
          <w:sz w:val="22"/>
        </w:rPr>
        <w:t>0</w:t>
      </w:r>
      <w:r>
        <w:rPr>
          <w:spacing w:val="-3"/>
          <w:w w:val="100"/>
          <w:sz w:val="22"/>
        </w:rPr>
        <w:t>及夜间血氧饱和度平均值持续＜</w:t>
      </w:r>
      <w:r>
        <w:rPr>
          <w:spacing w:val="-1"/>
          <w:w w:val="100"/>
          <w:sz w:val="22"/>
        </w:rPr>
        <w:t>85</w:t>
      </w:r>
      <w:r>
        <w:rPr>
          <w:spacing w:val="-2"/>
          <w:w w:val="100"/>
          <w:sz w:val="22"/>
        </w:rPr>
        <w:t>%。</w:t>
      </w:r>
    </w:p>
    <w:p>
      <w:pPr>
        <w:spacing w:after="0" w:line="324" w:lineRule="auto"/>
        <w:jc w:val="left"/>
        <w:rPr>
          <w:sz w:val="22"/>
        </w:rPr>
        <w:sectPr>
          <w:type w:val="continuous"/>
          <w:pgSz w:w="11910" w:h="16840"/>
          <w:pgMar w:header="484" w:footer="706" w:top="1240" w:bottom="900" w:left="980" w:right="980"/>
          <w:cols w:num="2" w:equalWidth="0">
            <w:col w:w="2277" w:space="40"/>
            <w:col w:w="7633"/>
          </w:cols>
        </w:sectPr>
      </w:pPr>
    </w:p>
    <w:p>
      <w:pPr>
        <w:pStyle w:val="BodyText"/>
        <w:spacing w:before="5"/>
        <w:rPr>
          <w:sz w:val="21"/>
        </w:rPr>
      </w:pPr>
    </w:p>
    <w:p>
      <w:pPr>
        <w:spacing w:after="0"/>
        <w:rPr>
          <w:sz w:val="21"/>
        </w:rPr>
        <w:sectPr>
          <w:type w:val="continuous"/>
          <w:pgSz w:w="11910" w:h="16840"/>
          <w:pgMar w:header="484" w:footer="706" w:top="1240" w:bottom="900" w:left="980" w:right="980"/>
        </w:sectPr>
      </w:pPr>
    </w:p>
    <w:p>
      <w:pPr>
        <w:pStyle w:val="Heading2"/>
        <w:numPr>
          <w:ilvl w:val="1"/>
          <w:numId w:val="80"/>
        </w:numPr>
        <w:tabs>
          <w:tab w:pos="955" w:val="left" w:leader="none"/>
        </w:tabs>
        <w:spacing w:line="240" w:lineRule="auto" w:before="75" w:after="0"/>
        <w:ind w:left="954" w:right="0" w:hanging="803"/>
        <w:jc w:val="left"/>
      </w:pPr>
      <w:r>
        <w:rPr>
          <w:spacing w:val="-4"/>
        </w:rPr>
        <w:t>永久性心脏起</w:t>
      </w:r>
    </w:p>
    <w:p>
      <w:pPr>
        <w:spacing w:before="30"/>
        <w:ind w:left="954" w:right="0" w:firstLine="0"/>
        <w:jc w:val="left"/>
        <w:rPr>
          <w:rFonts w:ascii="华文中宋" w:eastAsia="华文中宋" w:hint="eastAsia"/>
          <w:b/>
          <w:sz w:val="22"/>
        </w:rPr>
      </w:pPr>
      <w:r>
        <w:rPr>
          <w:rFonts w:ascii="华文中宋" w:eastAsia="华文中宋" w:hint="eastAsia"/>
          <w:b/>
          <w:spacing w:val="-5"/>
          <w:sz w:val="22"/>
        </w:rPr>
        <w:t>搏器植入</w:t>
      </w:r>
    </w:p>
    <w:p>
      <w:pPr>
        <w:pStyle w:val="BodyText"/>
        <w:spacing w:line="324" w:lineRule="auto" w:before="105"/>
        <w:ind w:left="152" w:right="150"/>
        <w:jc w:val="both"/>
      </w:pPr>
      <w:r>
        <w:rPr/>
        <w:br w:type="column"/>
      </w:r>
      <w:r>
        <w:rPr>
          <w:spacing w:val="-2"/>
        </w:rPr>
        <w:t>因严重心律失常而于心腔内进行植入永久性心脏起搏器的手术，此严重心律失常并不能以其他方法治疗。</w:t>
      </w:r>
      <w:r>
        <w:rPr>
          <w:color w:val="000000"/>
          <w:spacing w:val="-2"/>
          <w:shd w:fill="E4E4E4" w:color="auto" w:val="clear"/>
        </w:rPr>
        <w:t>必须由相关专科医生确认植入心脏起搏器为医</w:t>
      </w:r>
      <w:r>
        <w:rPr>
          <w:color w:val="000000"/>
          <w:spacing w:val="40"/>
          <w:shd w:fill="E4E4E4" w:color="auto" w:val="clear"/>
        </w:rPr>
        <w:t> </w:t>
      </w:r>
      <w:r>
        <w:rPr>
          <w:color w:val="000000"/>
          <w:spacing w:val="-2"/>
          <w:shd w:fill="E4E4E4" w:color="auto" w:val="clear"/>
        </w:rPr>
        <w:t>疗所须。临时心脏起搏器安装除外。</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6"/>
        <w:rPr>
          <w:sz w:val="21"/>
        </w:rPr>
      </w:pPr>
    </w:p>
    <w:p>
      <w:pPr>
        <w:spacing w:after="0"/>
        <w:rPr>
          <w:sz w:val="21"/>
        </w:rPr>
        <w:sectPr>
          <w:type w:val="continuous"/>
          <w:pgSz w:w="11910" w:h="16840"/>
          <w:pgMar w:header="484" w:footer="706" w:top="1240" w:bottom="900" w:left="980" w:right="980"/>
        </w:sectPr>
      </w:pPr>
    </w:p>
    <w:p>
      <w:pPr>
        <w:pStyle w:val="Heading2"/>
        <w:numPr>
          <w:ilvl w:val="1"/>
          <w:numId w:val="80"/>
        </w:numPr>
        <w:tabs>
          <w:tab w:pos="955" w:val="left" w:leader="none"/>
        </w:tabs>
        <w:spacing w:line="240" w:lineRule="auto" w:before="73" w:after="0"/>
        <w:ind w:left="954" w:right="0" w:hanging="803"/>
        <w:jc w:val="left"/>
      </w:pPr>
      <w:r>
        <w:rPr>
          <w:spacing w:val="-2"/>
        </w:rPr>
        <w:t>永久性心脏除</w:t>
      </w:r>
    </w:p>
    <w:p>
      <w:pPr>
        <w:spacing w:before="30"/>
        <w:ind w:left="954" w:right="0" w:firstLine="0"/>
        <w:jc w:val="left"/>
        <w:rPr>
          <w:rFonts w:ascii="华文中宋" w:eastAsia="华文中宋" w:hint="eastAsia"/>
          <w:b/>
          <w:sz w:val="22"/>
        </w:rPr>
      </w:pPr>
      <w:r>
        <w:rPr>
          <w:rFonts w:ascii="华文中宋" w:eastAsia="华文中宋" w:hint="eastAsia"/>
          <w:b/>
          <w:spacing w:val="-5"/>
          <w:sz w:val="22"/>
        </w:rPr>
        <w:t>颤器植入</w:t>
      </w:r>
    </w:p>
    <w:p>
      <w:pPr>
        <w:pStyle w:val="BodyText"/>
        <w:spacing w:line="324" w:lineRule="auto" w:before="103"/>
        <w:ind w:left="135" w:right="150"/>
        <w:jc w:val="both"/>
      </w:pPr>
      <w:r>
        <w:rPr/>
        <w:br w:type="column"/>
      </w:r>
      <w:r>
        <w:rPr>
          <w:spacing w:val="-2"/>
        </w:rPr>
        <w:t>因严重心律失常而于心腔内进行植入永久性心脏除颤器的手术，此严重心律失常并不能以其他方法治疗。</w:t>
      </w:r>
      <w:r>
        <w:rPr>
          <w:color w:val="000000"/>
          <w:spacing w:val="-2"/>
          <w:shd w:fill="E4E4E4" w:color="auto" w:val="clear"/>
        </w:rPr>
        <w:t>必须由相关专科医生确认植入心脏除颤器为医</w:t>
      </w:r>
      <w:r>
        <w:rPr>
          <w:color w:val="000000"/>
          <w:spacing w:val="40"/>
          <w:shd w:fill="E4E4E4" w:color="auto" w:val="clear"/>
        </w:rPr>
        <w:t> </w:t>
      </w:r>
      <w:r>
        <w:rPr>
          <w:color w:val="000000"/>
          <w:spacing w:val="-2"/>
          <w:shd w:fill="E4E4E4" w:color="auto" w:val="clear"/>
        </w:rPr>
        <w:t>疗所须。体外心脏电复律（心脏电除颤）、临时性埋藏式心脏复律除颤器安</w:t>
      </w:r>
      <w:r>
        <w:rPr>
          <w:color w:val="000000"/>
          <w:spacing w:val="-4"/>
          <w:shd w:fill="E4E4E4" w:color="auto" w:val="clear"/>
        </w:rPr>
        <w:t>装除外。</w:t>
      </w:r>
    </w:p>
    <w:p>
      <w:pPr>
        <w:spacing w:after="0" w:line="324" w:lineRule="auto"/>
        <w:jc w:val="both"/>
        <w:sectPr>
          <w:type w:val="continuous"/>
          <w:pgSz w:w="11910" w:h="16840"/>
          <w:pgMar w:header="484" w:footer="706" w:top="1240" w:bottom="900" w:left="980" w:right="980"/>
          <w:cols w:num="2" w:equalWidth="0">
            <w:col w:w="2306" w:space="40"/>
            <w:col w:w="7604"/>
          </w:cols>
        </w:sectPr>
      </w:pPr>
    </w:p>
    <w:p>
      <w:pPr>
        <w:pStyle w:val="BodyText"/>
        <w:rPr>
          <w:sz w:val="20"/>
        </w:rPr>
      </w:pPr>
    </w:p>
    <w:p>
      <w:pPr>
        <w:pStyle w:val="BodyText"/>
        <w:spacing w:before="8"/>
        <w:rPr>
          <w:sz w:val="21"/>
        </w:rPr>
      </w:pPr>
    </w:p>
    <w:p>
      <w:pPr>
        <w:spacing w:after="0"/>
        <w:rPr>
          <w:sz w:val="21"/>
        </w:rPr>
        <w:sectPr>
          <w:pgSz w:w="11910" w:h="16840"/>
          <w:pgMar w:header="484" w:footer="706" w:top="1240" w:bottom="900" w:left="980" w:right="980"/>
        </w:sectPr>
      </w:pPr>
    </w:p>
    <w:p>
      <w:pPr>
        <w:pStyle w:val="Heading2"/>
        <w:numPr>
          <w:ilvl w:val="1"/>
          <w:numId w:val="80"/>
        </w:numPr>
        <w:tabs>
          <w:tab w:pos="955" w:val="left" w:leader="none"/>
        </w:tabs>
        <w:spacing w:line="261" w:lineRule="auto" w:before="75" w:after="0"/>
        <w:ind w:left="954" w:right="0" w:hanging="802"/>
        <w:jc w:val="left"/>
      </w:pPr>
      <w:r>
        <w:rPr>
          <w:spacing w:val="-2"/>
        </w:rPr>
        <w:t>胆道系统重建</w:t>
      </w:r>
      <w:r>
        <w:rPr>
          <w:spacing w:val="-6"/>
        </w:rPr>
        <w:t>手术</w:t>
      </w:r>
    </w:p>
    <w:p>
      <w:pPr>
        <w:pStyle w:val="BodyText"/>
        <w:spacing w:line="324" w:lineRule="auto" w:before="105"/>
        <w:ind w:left="152" w:right="150"/>
      </w:pPr>
      <w:r>
        <w:rPr/>
        <w:br w:type="column"/>
      </w:r>
      <w:r>
        <w:rPr>
          <w:spacing w:val="-2"/>
        </w:rPr>
        <w:t>因疾病或胆道创伤导致包含胆道肠道人工造管术的胆道重建手术。手术必须由专科医生确认为医学上所必须的情况下进行。</w:t>
      </w:r>
      <w:r>
        <w:rPr>
          <w:color w:val="000000"/>
          <w:spacing w:val="-2"/>
          <w:shd w:fill="E4E4E4" w:color="auto" w:val="clear"/>
        </w:rPr>
        <w:t>胆道闭锁不在保障范围内。</w:t>
      </w:r>
    </w:p>
    <w:p>
      <w:pPr>
        <w:spacing w:after="0" w:line="324" w:lineRule="auto"/>
        <w:sectPr>
          <w:type w:val="continuous"/>
          <w:pgSz w:w="11910" w:h="16840"/>
          <w:pgMar w:header="484" w:footer="706" w:top="1240" w:bottom="900" w:left="980" w:right="980"/>
          <w:cols w:num="2" w:equalWidth="0">
            <w:col w:w="2277" w:space="51"/>
            <w:col w:w="7622"/>
          </w:cols>
        </w:sectPr>
      </w:pPr>
    </w:p>
    <w:p>
      <w:pPr>
        <w:pStyle w:val="BodyText"/>
        <w:spacing w:before="5"/>
        <w:rPr>
          <w:sz w:val="21"/>
        </w:rPr>
      </w:pPr>
    </w:p>
    <w:p>
      <w:pPr>
        <w:pStyle w:val="ListParagraph"/>
        <w:numPr>
          <w:ilvl w:val="1"/>
          <w:numId w:val="80"/>
        </w:numPr>
        <w:tabs>
          <w:tab w:pos="955" w:val="left" w:leader="none"/>
          <w:tab w:pos="2480" w:val="left" w:leader="none"/>
        </w:tabs>
        <w:spacing w:line="280" w:lineRule="auto" w:before="75" w:after="0"/>
        <w:ind w:left="2480" w:right="150" w:hanging="2328"/>
        <w:jc w:val="left"/>
        <w:rPr>
          <w:sz w:val="22"/>
        </w:rPr>
      </w:pPr>
      <w:r>
        <w:rPr>
          <w:rFonts w:ascii="华文中宋" w:eastAsia="华文中宋" w:hint="eastAsia"/>
          <w:b/>
          <w:spacing w:val="-4"/>
          <w:sz w:val="22"/>
        </w:rPr>
        <w:t>早期肝硬化</w:t>
      </w:r>
      <w:r>
        <w:rPr>
          <w:rFonts w:ascii="华文中宋" w:eastAsia="华文中宋" w:hint="eastAsia"/>
          <w:b/>
          <w:sz w:val="22"/>
        </w:rPr>
        <w:tab/>
      </w:r>
      <w:r>
        <w:rPr>
          <w:spacing w:val="-2"/>
          <w:sz w:val="22"/>
        </w:rPr>
        <w:t>肝硬化须由专科医生明确诊断。必须由活检证实有再生的肝细胞结节和典型的肝组织纤维化。</w:t>
      </w:r>
      <w:r>
        <w:rPr>
          <w:color w:val="000000"/>
          <w:spacing w:val="-2"/>
          <w:sz w:val="22"/>
          <w:shd w:fill="E4E4E4" w:color="auto" w:val="clear"/>
        </w:rPr>
        <w:t>下列条件必须全部满足并至少持续一年：</w:t>
      </w:r>
    </w:p>
    <w:p>
      <w:pPr>
        <w:pStyle w:val="ListParagraph"/>
        <w:numPr>
          <w:ilvl w:val="2"/>
          <w:numId w:val="80"/>
        </w:numPr>
        <w:tabs>
          <w:tab w:pos="2935" w:val="left" w:leader="none"/>
        </w:tabs>
        <w:spacing w:line="240" w:lineRule="auto" w:before="50" w:after="0"/>
        <w:ind w:left="2934" w:right="0" w:hanging="455"/>
        <w:jc w:val="left"/>
        <w:rPr>
          <w:sz w:val="22"/>
        </w:rPr>
      </w:pPr>
      <w:r>
        <w:rPr>
          <w:spacing w:val="-2"/>
          <w:sz w:val="22"/>
        </w:rPr>
        <w:t>持续性黄疸，胆红素水平升高超过50μmol/L；</w:t>
      </w:r>
    </w:p>
    <w:p>
      <w:pPr>
        <w:pStyle w:val="ListParagraph"/>
        <w:numPr>
          <w:ilvl w:val="2"/>
          <w:numId w:val="80"/>
        </w:numPr>
        <w:tabs>
          <w:tab w:pos="2935" w:val="left" w:leader="none"/>
        </w:tabs>
        <w:spacing w:line="240" w:lineRule="auto" w:before="100" w:after="0"/>
        <w:ind w:left="2934" w:right="0" w:hanging="455"/>
        <w:jc w:val="left"/>
        <w:rPr>
          <w:sz w:val="22"/>
        </w:rPr>
      </w:pPr>
      <w:r>
        <w:rPr>
          <w:spacing w:val="-2"/>
          <w:sz w:val="22"/>
        </w:rPr>
        <w:t>蛋白质合成异常，白蛋白水平低于27g/L；</w:t>
      </w:r>
    </w:p>
    <w:p>
      <w:pPr>
        <w:pStyle w:val="ListParagraph"/>
        <w:numPr>
          <w:ilvl w:val="2"/>
          <w:numId w:val="80"/>
        </w:numPr>
        <w:tabs>
          <w:tab w:pos="2935" w:val="left" w:leader="none"/>
        </w:tabs>
        <w:spacing w:line="324" w:lineRule="auto" w:before="97" w:after="0"/>
        <w:ind w:left="2934" w:right="152" w:hanging="454"/>
        <w:jc w:val="left"/>
        <w:rPr>
          <w:sz w:val="22"/>
        </w:rPr>
      </w:pPr>
      <w:r>
        <w:rPr>
          <w:spacing w:val="-2"/>
          <w:sz w:val="22"/>
        </w:rPr>
        <w:t>异常凝血功能，凝血酶原时间超过正常上限的2倍或以上，或者国际正常化比率（INR）在2.0以上。</w:t>
      </w:r>
    </w:p>
    <w:p>
      <w:pPr>
        <w:pStyle w:val="BodyText"/>
        <w:spacing w:before="7"/>
        <w:rPr>
          <w:sz w:val="21"/>
        </w:rPr>
      </w:pPr>
    </w:p>
    <w:p>
      <w:pPr>
        <w:spacing w:after="0"/>
        <w:rPr>
          <w:sz w:val="21"/>
        </w:rPr>
        <w:sectPr>
          <w:type w:val="continuous"/>
          <w:pgSz w:w="11910" w:h="16840"/>
          <w:pgMar w:header="484" w:footer="706" w:top="1240" w:bottom="900" w:left="980" w:right="980"/>
        </w:sectPr>
      </w:pPr>
    </w:p>
    <w:p>
      <w:pPr>
        <w:pStyle w:val="Heading2"/>
        <w:numPr>
          <w:ilvl w:val="1"/>
          <w:numId w:val="80"/>
        </w:numPr>
        <w:tabs>
          <w:tab w:pos="955" w:val="left" w:leader="none"/>
        </w:tabs>
        <w:spacing w:line="261" w:lineRule="auto" w:before="73" w:after="0"/>
        <w:ind w:left="954" w:right="0" w:hanging="802"/>
        <w:jc w:val="left"/>
      </w:pPr>
      <w:r>
        <w:rPr>
          <w:spacing w:val="-2"/>
        </w:rPr>
        <w:t>硬脑膜下血肿</w:t>
      </w:r>
      <w:r>
        <w:rPr>
          <w:spacing w:val="-6"/>
        </w:rPr>
        <w:t>手术</w:t>
      </w:r>
    </w:p>
    <w:p>
      <w:pPr>
        <w:pStyle w:val="BodyText"/>
        <w:spacing w:line="324" w:lineRule="auto" w:before="103"/>
        <w:ind w:left="152" w:right="150"/>
        <w:jc w:val="both"/>
      </w:pPr>
      <w:r>
        <w:rPr/>
        <w:br w:type="column"/>
      </w:r>
      <w:r>
        <w:rPr>
          <w:spacing w:val="-2"/>
        </w:rPr>
        <w:t>为清除或引流因意外伤害导致的血肿，</w:t>
      </w:r>
      <w:r>
        <w:rPr>
          <w:color w:val="000000"/>
          <w:spacing w:val="-2"/>
          <w:shd w:fill="E4E4E4" w:color="auto" w:val="clear"/>
        </w:rPr>
        <w:t>实际接受了头部开颅或钻孔手术。开</w:t>
      </w:r>
      <w:r>
        <w:rPr>
          <w:color w:val="000000"/>
          <w:spacing w:val="40"/>
          <w:shd w:fill="E4E4E4" w:color="auto" w:val="clear"/>
        </w:rPr>
        <w:t> </w:t>
      </w:r>
      <w:r>
        <w:rPr>
          <w:color w:val="000000"/>
          <w:spacing w:val="-2"/>
          <w:shd w:fill="E4E4E4" w:color="auto" w:val="clear"/>
        </w:rPr>
        <w:t>颅或钻孔手术必须在我们认可的医院内由专科医生认为是医疗必须的情况下</w:t>
      </w:r>
      <w:r>
        <w:rPr>
          <w:color w:val="000000"/>
          <w:spacing w:val="-4"/>
          <w:shd w:fill="E4E4E4" w:color="auto" w:val="clear"/>
        </w:rPr>
        <w:t>进行。</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6"/>
        <w:rPr>
          <w:sz w:val="21"/>
        </w:rPr>
      </w:pPr>
    </w:p>
    <w:p>
      <w:pPr>
        <w:spacing w:after="0"/>
        <w:rPr>
          <w:sz w:val="21"/>
        </w:rPr>
        <w:sectPr>
          <w:type w:val="continuous"/>
          <w:pgSz w:w="11910" w:h="16840"/>
          <w:pgMar w:header="484" w:footer="706" w:top="1240" w:bottom="900" w:left="980" w:right="980"/>
        </w:sectPr>
      </w:pPr>
    </w:p>
    <w:p>
      <w:pPr>
        <w:pStyle w:val="Heading2"/>
        <w:numPr>
          <w:ilvl w:val="1"/>
          <w:numId w:val="80"/>
        </w:numPr>
        <w:tabs>
          <w:tab w:pos="955" w:val="left" w:leader="none"/>
        </w:tabs>
        <w:spacing w:line="240" w:lineRule="auto" w:before="72" w:after="0"/>
        <w:ind w:left="954" w:right="0" w:hanging="803"/>
        <w:jc w:val="left"/>
      </w:pPr>
      <w:r>
        <w:rPr>
          <w:spacing w:val="-4"/>
        </w:rPr>
        <w:t>慢性阻塞性肺</w:t>
      </w:r>
    </w:p>
    <w:p>
      <w:pPr>
        <w:spacing w:before="30"/>
        <w:ind w:left="954" w:right="0" w:firstLine="0"/>
        <w:jc w:val="left"/>
        <w:rPr>
          <w:rFonts w:ascii="华文中宋" w:eastAsia="华文中宋" w:hint="eastAsia"/>
          <w:b/>
          <w:sz w:val="22"/>
        </w:rPr>
      </w:pPr>
      <w:r>
        <w:rPr>
          <w:rFonts w:ascii="华文中宋" w:eastAsia="华文中宋" w:hint="eastAsia"/>
          <w:b/>
          <w:w w:val="100"/>
          <w:sz w:val="22"/>
        </w:rPr>
        <w:t>病</w:t>
      </w:r>
    </w:p>
    <w:p>
      <w:pPr>
        <w:pStyle w:val="BodyText"/>
        <w:spacing w:line="324" w:lineRule="auto" w:before="102"/>
        <w:ind w:left="152" w:right="150"/>
      </w:pPr>
      <w:r>
        <w:rPr/>
        <w:br w:type="column"/>
      </w:r>
      <w:r>
        <w:rPr>
          <w:spacing w:val="-2"/>
        </w:rPr>
        <w:t>指因一种具有气流阻塞特征的慢性支气管炎和（或）肺气肿，确诊必须由呼吸系统科的专科医生确认，</w:t>
      </w:r>
      <w:r>
        <w:rPr>
          <w:color w:val="000000"/>
          <w:spacing w:val="-2"/>
          <w:shd w:fill="E4E4E4" w:color="auto" w:val="clear"/>
        </w:rPr>
        <w:t>且诊断必须满足以下所有条件：</w:t>
      </w:r>
    </w:p>
    <w:p>
      <w:pPr>
        <w:pStyle w:val="ListParagraph"/>
        <w:numPr>
          <w:ilvl w:val="0"/>
          <w:numId w:val="94"/>
        </w:numPr>
        <w:tabs>
          <w:tab w:pos="607" w:val="left" w:leader="none"/>
        </w:tabs>
        <w:spacing w:line="282" w:lineRule="exact" w:before="0" w:after="0"/>
        <w:ind w:left="606" w:right="0" w:hanging="455"/>
        <w:jc w:val="left"/>
        <w:rPr>
          <w:sz w:val="22"/>
        </w:rPr>
      </w:pPr>
      <w:r>
        <w:rPr>
          <w:spacing w:val="-2"/>
          <w:sz w:val="22"/>
        </w:rPr>
        <w:t>第一秒末用力呼吸量（FEV</w:t>
      </w:r>
      <w:r>
        <w:rPr>
          <w:spacing w:val="-2"/>
          <w:position w:val="-2"/>
          <w:sz w:val="11"/>
        </w:rPr>
        <w:t>1</w:t>
      </w:r>
      <w:r>
        <w:rPr>
          <w:spacing w:val="-2"/>
          <w:sz w:val="22"/>
        </w:rPr>
        <w:t>）小于1</w:t>
      </w:r>
      <w:r>
        <w:rPr>
          <w:spacing w:val="-6"/>
          <w:sz w:val="22"/>
        </w:rPr>
        <w:t>升；</w:t>
      </w:r>
    </w:p>
    <w:p>
      <w:pPr>
        <w:pStyle w:val="ListParagraph"/>
        <w:numPr>
          <w:ilvl w:val="0"/>
          <w:numId w:val="94"/>
        </w:numPr>
        <w:tabs>
          <w:tab w:pos="607" w:val="left" w:leader="none"/>
        </w:tabs>
        <w:spacing w:line="240" w:lineRule="auto" w:before="98" w:after="0"/>
        <w:ind w:left="606" w:right="0" w:hanging="455"/>
        <w:jc w:val="left"/>
        <w:rPr>
          <w:sz w:val="22"/>
        </w:rPr>
      </w:pPr>
      <w:r>
        <w:rPr>
          <w:spacing w:val="-2"/>
          <w:sz w:val="22"/>
        </w:rPr>
        <w:t>COPD肺功能分级Ⅲ级，即30%＜EFV</w:t>
      </w:r>
      <w:r>
        <w:rPr>
          <w:spacing w:val="-2"/>
          <w:position w:val="-2"/>
          <w:sz w:val="11"/>
        </w:rPr>
        <w:t>1</w:t>
      </w:r>
      <w:r>
        <w:rPr>
          <w:spacing w:val="-2"/>
          <w:sz w:val="22"/>
        </w:rPr>
        <w:t>＜50%；</w:t>
      </w:r>
    </w:p>
    <w:p>
      <w:pPr>
        <w:pStyle w:val="ListParagraph"/>
        <w:numPr>
          <w:ilvl w:val="0"/>
          <w:numId w:val="94"/>
        </w:numPr>
        <w:tabs>
          <w:tab w:pos="607" w:val="left" w:leader="none"/>
        </w:tabs>
        <w:spacing w:line="240" w:lineRule="auto" w:before="99" w:after="0"/>
        <w:ind w:left="606" w:right="0" w:hanging="455"/>
        <w:jc w:val="left"/>
        <w:rPr>
          <w:sz w:val="22"/>
        </w:rPr>
      </w:pPr>
      <w:r>
        <w:rPr>
          <w:spacing w:val="-2"/>
          <w:sz w:val="22"/>
        </w:rPr>
        <w:t>残气容积占肺总量（TLC）的50</w:t>
      </w:r>
      <w:r>
        <w:rPr>
          <w:spacing w:val="-4"/>
          <w:sz w:val="22"/>
        </w:rPr>
        <w:t>%以上；</w:t>
      </w:r>
    </w:p>
    <w:p>
      <w:pPr>
        <w:pStyle w:val="ListParagraph"/>
        <w:numPr>
          <w:ilvl w:val="0"/>
          <w:numId w:val="94"/>
        </w:numPr>
        <w:tabs>
          <w:tab w:pos="607" w:val="left" w:leader="none"/>
        </w:tabs>
        <w:spacing w:line="240" w:lineRule="auto" w:before="98" w:after="0"/>
        <w:ind w:left="606" w:right="0" w:hanging="455"/>
        <w:jc w:val="left"/>
        <w:rPr>
          <w:sz w:val="22"/>
        </w:rPr>
      </w:pPr>
      <w:r>
        <w:rPr>
          <w:spacing w:val="-2"/>
          <w:sz w:val="22"/>
        </w:rPr>
        <w:t>PaO</w:t>
      </w:r>
      <w:r>
        <w:rPr>
          <w:spacing w:val="-2"/>
          <w:position w:val="-2"/>
          <w:sz w:val="11"/>
        </w:rPr>
        <w:t>2</w:t>
      </w:r>
      <w:r>
        <w:rPr>
          <w:spacing w:val="-2"/>
          <w:sz w:val="22"/>
        </w:rPr>
        <w:t>＜60mmHg,PaCO</w:t>
      </w:r>
      <w:r>
        <w:rPr>
          <w:spacing w:val="-2"/>
          <w:position w:val="-2"/>
          <w:sz w:val="11"/>
        </w:rPr>
        <w:t>2</w:t>
      </w:r>
      <w:r>
        <w:rPr>
          <w:spacing w:val="-2"/>
          <w:sz w:val="22"/>
        </w:rPr>
        <w:t>＞50mmHg</w:t>
      </w:r>
      <w:r>
        <w:rPr>
          <w:spacing w:val="-10"/>
          <w:sz w:val="22"/>
        </w:rPr>
        <w:t>。</w:t>
      </w:r>
    </w:p>
    <w:p>
      <w:pPr>
        <w:spacing w:after="0" w:line="240"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2"/>
        <w:rPr>
          <w:sz w:val="29"/>
        </w:rPr>
      </w:pPr>
    </w:p>
    <w:p>
      <w:pPr>
        <w:spacing w:after="0"/>
        <w:rPr>
          <w:sz w:val="29"/>
        </w:rPr>
        <w:sectPr>
          <w:type w:val="continuous"/>
          <w:pgSz w:w="11910" w:h="16840"/>
          <w:pgMar w:header="484" w:footer="706" w:top="1240" w:bottom="900" w:left="980" w:right="980"/>
        </w:sectPr>
      </w:pPr>
    </w:p>
    <w:p>
      <w:pPr>
        <w:pStyle w:val="Heading2"/>
        <w:numPr>
          <w:ilvl w:val="1"/>
          <w:numId w:val="80"/>
        </w:numPr>
        <w:tabs>
          <w:tab w:pos="955" w:val="left" w:leader="none"/>
        </w:tabs>
        <w:spacing w:line="261" w:lineRule="auto" w:before="75" w:after="0"/>
        <w:ind w:left="954" w:right="0" w:hanging="802"/>
        <w:jc w:val="left"/>
      </w:pPr>
      <w:r>
        <w:rPr>
          <w:spacing w:val="-2"/>
        </w:rPr>
        <w:t>早期系统性硬</w:t>
      </w:r>
      <w:r>
        <w:rPr>
          <w:spacing w:val="-6"/>
        </w:rPr>
        <w:t>皮病</w:t>
      </w:r>
    </w:p>
    <w:p>
      <w:pPr>
        <w:pStyle w:val="BodyText"/>
        <w:spacing w:line="324" w:lineRule="auto" w:before="105"/>
        <w:ind w:left="152" w:right="150"/>
        <w:jc w:val="both"/>
      </w:pPr>
      <w:r>
        <w:rPr/>
        <w:br w:type="column"/>
      </w:r>
      <w:r>
        <w:rPr>
          <w:spacing w:val="-2"/>
        </w:rPr>
        <w:t>指一种以局限性或弥漫性皮肤增厚和皮肤、血管、内脏器官异常纤维化为特征的结缔组织病。本病须经专科医生明确诊断，</w:t>
      </w:r>
      <w:r>
        <w:rPr>
          <w:color w:val="000000"/>
          <w:spacing w:val="-2"/>
          <w:shd w:fill="E4E4E4" w:color="auto" w:val="clear"/>
        </w:rPr>
        <w:t>并须满足下列所有条件，但</w:t>
      </w:r>
      <w:r>
        <w:rPr>
          <w:color w:val="000000"/>
          <w:spacing w:val="40"/>
          <w:shd w:fill="E4E4E4" w:color="auto" w:val="clear"/>
        </w:rPr>
        <w:t> </w:t>
      </w:r>
      <w:r>
        <w:rPr>
          <w:color w:val="000000"/>
          <w:shd w:fill="E4E4E4" w:color="auto" w:val="clear"/>
        </w:rPr>
        <w:t>未达到重大疾病“10.34 严重系统性硬皮病”的标准：</w:t>
      </w:r>
    </w:p>
    <w:p>
      <w:pPr>
        <w:pStyle w:val="ListParagraph"/>
        <w:numPr>
          <w:ilvl w:val="0"/>
          <w:numId w:val="95"/>
        </w:numPr>
        <w:tabs>
          <w:tab w:pos="607" w:val="left" w:leader="none"/>
        </w:tabs>
        <w:spacing w:line="280" w:lineRule="exact" w:before="0" w:after="0"/>
        <w:ind w:left="606" w:right="0" w:hanging="455"/>
        <w:jc w:val="both"/>
        <w:rPr>
          <w:sz w:val="22"/>
        </w:rPr>
      </w:pPr>
      <w:r>
        <w:rPr>
          <w:spacing w:val="21"/>
          <w:sz w:val="22"/>
        </w:rPr>
        <w:t>必须是经由我们认可医院的风湿学专科医生根据美国风湿病学会</w:t>
      </w:r>
    </w:p>
    <w:p>
      <w:pPr>
        <w:pStyle w:val="BodyText"/>
        <w:spacing w:line="324" w:lineRule="auto" w:before="98"/>
        <w:ind w:left="606" w:right="152"/>
        <w:jc w:val="both"/>
      </w:pPr>
      <w:r>
        <w:rPr>
          <w:spacing w:val="-2"/>
        </w:rPr>
        <w:t>（ACR）及欧洲抗风湿病联盟（EULAR）在2013年发布的系统性硬皮病诊</w:t>
      </w:r>
      <w:r>
        <w:rPr>
          <w:spacing w:val="-2"/>
        </w:rPr>
        <w:t>断标准确认达到确诊标准（总分值由每一个分类中的最高比重（分值）相加而成，总分≥9分的患者被分类为系统性硬皮病）；</w:t>
      </w:r>
    </w:p>
    <w:p>
      <w:pPr>
        <w:pStyle w:val="ListParagraph"/>
        <w:numPr>
          <w:ilvl w:val="0"/>
          <w:numId w:val="95"/>
        </w:numPr>
        <w:tabs>
          <w:tab w:pos="607" w:val="left" w:leader="none"/>
        </w:tabs>
        <w:spacing w:line="324" w:lineRule="auto" w:before="0" w:after="0"/>
        <w:ind w:left="152" w:right="1508" w:firstLine="0"/>
        <w:jc w:val="both"/>
        <w:rPr>
          <w:sz w:val="22"/>
        </w:rPr>
      </w:pPr>
      <w:r>
        <w:rPr>
          <w:spacing w:val="-2"/>
          <w:sz w:val="22"/>
        </w:rPr>
        <w:t>须提供明确的病理活检及自身抗体免疫血清学证据支持。</w:t>
      </w:r>
      <w:r>
        <w:rPr>
          <w:color w:val="000000"/>
          <w:spacing w:val="-2"/>
          <w:sz w:val="22"/>
          <w:shd w:fill="E4E4E4" w:color="auto" w:val="clear"/>
        </w:rPr>
        <w:t>以下情况不在保障范围内：</w:t>
      </w:r>
    </w:p>
    <w:p>
      <w:pPr>
        <w:pStyle w:val="BodyText"/>
        <w:spacing w:line="324" w:lineRule="auto"/>
        <w:ind w:left="1060" w:right="2375"/>
      </w:pPr>
      <w:r>
        <w:rPr/>
        <w:drawing>
          <wp:anchor distT="0" distB="0" distL="0" distR="0" allowOverlap="1" layoutInCell="1" locked="0" behindDoc="0" simplePos="0" relativeHeight="15777792">
            <wp:simplePos x="0" y="0"/>
            <wp:positionH relativeFrom="page">
              <wp:posOffset>2485707</wp:posOffset>
            </wp:positionH>
            <wp:positionV relativeFrom="paragraph">
              <wp:posOffset>16586</wp:posOffset>
            </wp:positionV>
            <wp:extent cx="140335" cy="140335"/>
            <wp:effectExtent l="0" t="0" r="0" b="0"/>
            <wp:wrapNone/>
            <wp:docPr id="111" name="image11.png"/>
            <wp:cNvGraphicFramePr>
              <a:graphicFrameLocks noChangeAspect="1"/>
            </wp:cNvGraphicFramePr>
            <a:graphic>
              <a:graphicData uri="http://schemas.openxmlformats.org/drawingml/2006/picture">
                <pic:pic>
                  <pic:nvPicPr>
                    <pic:cNvPr id="112" name="image11.png"/>
                    <pic:cNvPicPr/>
                  </pic:nvPicPr>
                  <pic:blipFill>
                    <a:blip r:embed="rId19" cstate="print"/>
                    <a:stretch>
                      <a:fillRect/>
                    </a:stretch>
                  </pic:blipFill>
                  <pic:spPr>
                    <a:xfrm>
                      <a:off x="0" y="0"/>
                      <a:ext cx="140335" cy="140335"/>
                    </a:xfrm>
                    <a:prstGeom prst="rect">
                      <a:avLst/>
                    </a:prstGeom>
                  </pic:spPr>
                </pic:pic>
              </a:graphicData>
            </a:graphic>
          </wp:anchor>
        </w:drawing>
      </w:r>
      <w:r>
        <w:rPr/>
        <w:pict>
          <v:shape style="position:absolute;margin-left:195.725006pt;margin-top:1.306003pt;width:11.05pt;height:11.05pt;mso-position-horizontal-relative:page;mso-position-vertical-relative:paragraph;z-index:15778304" type="#_x0000_t202" id="docshape60" filled="false" stroked="false">
            <v:textbox inset="0,0,0,0">
              <w:txbxContent>
                <w:p>
                  <w:pPr>
                    <w:spacing w:line="220" w:lineRule="exact" w:before="1"/>
                    <w:ind w:left="62" w:right="0" w:firstLine="0"/>
                    <w:jc w:val="left"/>
                    <w:rPr>
                      <w:sz w:val="19"/>
                    </w:rPr>
                  </w:pPr>
                  <w:r>
                    <w:rPr>
                      <w:sz w:val="19"/>
                    </w:rPr>
                    <w:t>1</w:t>
                  </w:r>
                </w:p>
              </w:txbxContent>
            </v:textbox>
            <w10:wrap type="none"/>
          </v:shape>
        </w:pict>
      </w:r>
      <w:r>
        <w:rPr/>
        <w:drawing>
          <wp:anchor distT="0" distB="0" distL="0" distR="0" allowOverlap="1" layoutInCell="1" locked="0" behindDoc="0" simplePos="0" relativeHeight="15778816">
            <wp:simplePos x="0" y="0"/>
            <wp:positionH relativeFrom="page">
              <wp:posOffset>2485707</wp:posOffset>
            </wp:positionH>
            <wp:positionV relativeFrom="paragraph">
              <wp:posOffset>257886</wp:posOffset>
            </wp:positionV>
            <wp:extent cx="140335" cy="140335"/>
            <wp:effectExtent l="0" t="0" r="0" b="0"/>
            <wp:wrapNone/>
            <wp:docPr id="113" name="image8.png"/>
            <wp:cNvGraphicFramePr>
              <a:graphicFrameLocks noChangeAspect="1"/>
            </wp:cNvGraphicFramePr>
            <a:graphic>
              <a:graphicData uri="http://schemas.openxmlformats.org/drawingml/2006/picture">
                <pic:pic>
                  <pic:nvPicPr>
                    <pic:cNvPr id="114" name="image8.png"/>
                    <pic:cNvPicPr/>
                  </pic:nvPicPr>
                  <pic:blipFill>
                    <a:blip r:embed="rId16" cstate="print"/>
                    <a:stretch>
                      <a:fillRect/>
                    </a:stretch>
                  </pic:blipFill>
                  <pic:spPr>
                    <a:xfrm>
                      <a:off x="0" y="0"/>
                      <a:ext cx="140335" cy="140335"/>
                    </a:xfrm>
                    <a:prstGeom prst="rect">
                      <a:avLst/>
                    </a:prstGeom>
                  </pic:spPr>
                </pic:pic>
              </a:graphicData>
            </a:graphic>
          </wp:anchor>
        </w:drawing>
      </w:r>
      <w:r>
        <w:rPr/>
        <w:pict>
          <v:shape style="position:absolute;margin-left:195.725006pt;margin-top:20.306004pt;width:11.05pt;height:11.05pt;mso-position-horizontal-relative:page;mso-position-vertical-relative:paragraph;z-index:15779328" type="#_x0000_t202" id="docshape61" filled="false" stroked="false">
            <v:textbox inset="0,0,0,0">
              <w:txbxContent>
                <w:p>
                  <w:pPr>
                    <w:spacing w:line="220" w:lineRule="exact" w:before="0"/>
                    <w:ind w:left="62" w:right="0" w:firstLine="0"/>
                    <w:jc w:val="left"/>
                    <w:rPr>
                      <w:sz w:val="19"/>
                    </w:rPr>
                  </w:pPr>
                  <w:r>
                    <w:rPr>
                      <w:sz w:val="19"/>
                    </w:rPr>
                    <w:t>2</w:t>
                  </w:r>
                </w:p>
              </w:txbxContent>
            </v:textbox>
            <w10:wrap type="none"/>
          </v:shape>
        </w:pict>
      </w:r>
      <w:r>
        <w:rPr>
          <w:color w:val="000000"/>
          <w:spacing w:val="-2"/>
          <w:shd w:fill="E4E4E4" w:color="auto" w:val="clear"/>
        </w:rPr>
        <w:t>局限性硬皮病（带状硬皮病或斑状损害）；</w:t>
      </w:r>
      <w:r>
        <w:rPr>
          <w:color w:val="000000"/>
          <w:spacing w:val="80"/>
          <w:w w:val="150"/>
          <w:shd w:fill="E4E4E4" w:color="auto" w:val="clear"/>
        </w:rPr>
        <w:t>                      </w:t>
      </w:r>
      <w:r>
        <w:rPr>
          <w:color w:val="000000"/>
          <w:spacing w:val="-2"/>
          <w:shd w:fill="E4E4E4" w:color="auto" w:val="clear"/>
        </w:rPr>
        <w:t>嗜酸性筋膜炎；</w:t>
      </w:r>
    </w:p>
    <w:p>
      <w:pPr>
        <w:pStyle w:val="BodyText"/>
        <w:spacing w:line="279" w:lineRule="exact"/>
        <w:ind w:left="1060"/>
      </w:pPr>
      <w:r>
        <w:rPr/>
        <w:drawing>
          <wp:anchor distT="0" distB="0" distL="0" distR="0" allowOverlap="1" layoutInCell="1" locked="0" behindDoc="0" simplePos="0" relativeHeight="15779840">
            <wp:simplePos x="0" y="0"/>
            <wp:positionH relativeFrom="page">
              <wp:posOffset>2485707</wp:posOffset>
            </wp:positionH>
            <wp:positionV relativeFrom="paragraph">
              <wp:posOffset>15911</wp:posOffset>
            </wp:positionV>
            <wp:extent cx="140335" cy="140335"/>
            <wp:effectExtent l="0" t="0" r="0" b="0"/>
            <wp:wrapNone/>
            <wp:docPr id="115" name="image11.png"/>
            <wp:cNvGraphicFramePr>
              <a:graphicFrameLocks noChangeAspect="1"/>
            </wp:cNvGraphicFramePr>
            <a:graphic>
              <a:graphicData uri="http://schemas.openxmlformats.org/drawingml/2006/picture">
                <pic:pic>
                  <pic:nvPicPr>
                    <pic:cNvPr id="116" name="image11.png"/>
                    <pic:cNvPicPr/>
                  </pic:nvPicPr>
                  <pic:blipFill>
                    <a:blip r:embed="rId19" cstate="print"/>
                    <a:stretch>
                      <a:fillRect/>
                    </a:stretch>
                  </pic:blipFill>
                  <pic:spPr>
                    <a:xfrm>
                      <a:off x="0" y="0"/>
                      <a:ext cx="140335" cy="140335"/>
                    </a:xfrm>
                    <a:prstGeom prst="rect">
                      <a:avLst/>
                    </a:prstGeom>
                  </pic:spPr>
                </pic:pic>
              </a:graphicData>
            </a:graphic>
          </wp:anchor>
        </w:drawing>
      </w:r>
      <w:r>
        <w:rPr/>
        <w:pict>
          <v:shape style="position:absolute;margin-left:195.725006pt;margin-top:1.252878pt;width:11.05pt;height:11.05pt;mso-position-horizontal-relative:page;mso-position-vertical-relative:paragraph;z-index:15780352" type="#_x0000_t202" id="docshape62" filled="false" stroked="false">
            <v:textbox inset="0,0,0,0">
              <w:txbxContent>
                <w:p>
                  <w:pPr>
                    <w:spacing w:line="219" w:lineRule="exact" w:before="2"/>
                    <w:ind w:left="62" w:right="0" w:firstLine="0"/>
                    <w:jc w:val="left"/>
                    <w:rPr>
                      <w:sz w:val="19"/>
                    </w:rPr>
                  </w:pPr>
                  <w:r>
                    <w:rPr>
                      <w:sz w:val="19"/>
                    </w:rPr>
                    <w:t>3</w:t>
                  </w:r>
                </w:p>
              </w:txbxContent>
            </v:textbox>
            <w10:wrap type="none"/>
          </v:shape>
        </w:pict>
      </w:r>
      <w:r>
        <w:rPr>
          <w:color w:val="000000"/>
          <w:shd w:fill="E4E4E4" w:color="auto" w:val="clear"/>
        </w:rPr>
        <w:t>CREST</w:t>
      </w:r>
      <w:r>
        <w:rPr>
          <w:color w:val="000000"/>
          <w:spacing w:val="-6"/>
          <w:shd w:fill="E4E4E4" w:color="auto" w:val="clear"/>
        </w:rPr>
        <w:t> 综合征。</w:t>
      </w:r>
    </w:p>
    <w:p>
      <w:pPr>
        <w:spacing w:after="0" w:line="279" w:lineRule="exact"/>
        <w:sectPr>
          <w:type w:val="continuous"/>
          <w:pgSz w:w="11910" w:h="16840"/>
          <w:pgMar w:header="484" w:footer="706" w:top="1240" w:bottom="900" w:left="980" w:right="980"/>
          <w:cols w:num="2" w:equalWidth="0">
            <w:col w:w="2277" w:space="51"/>
            <w:col w:w="7622"/>
          </w:cols>
        </w:sectPr>
      </w:pPr>
    </w:p>
    <w:p>
      <w:pPr>
        <w:pStyle w:val="BodyText"/>
        <w:spacing w:before="2"/>
        <w:rPr>
          <w:sz w:val="29"/>
        </w:rPr>
      </w:pPr>
    </w:p>
    <w:p>
      <w:pPr>
        <w:pStyle w:val="ListParagraph"/>
        <w:numPr>
          <w:ilvl w:val="1"/>
          <w:numId w:val="80"/>
        </w:numPr>
        <w:tabs>
          <w:tab w:pos="955" w:val="left" w:leader="none"/>
          <w:tab w:pos="2480" w:val="left" w:leader="none"/>
        </w:tabs>
        <w:spacing w:line="240" w:lineRule="auto" w:before="73" w:after="0"/>
        <w:ind w:left="954" w:right="0" w:hanging="803"/>
        <w:jc w:val="left"/>
        <w:rPr>
          <w:sz w:val="22"/>
        </w:rPr>
      </w:pPr>
      <w:r>
        <w:rPr>
          <w:rFonts w:ascii="华文中宋" w:eastAsia="华文中宋" w:hint="eastAsia"/>
          <w:b/>
          <w:spacing w:val="-2"/>
          <w:sz w:val="22"/>
        </w:rPr>
        <w:t>脑垂体瘤、</w:t>
      </w:r>
      <w:r>
        <w:rPr>
          <w:rFonts w:ascii="华文中宋" w:eastAsia="华文中宋" w:hint="eastAsia"/>
          <w:b/>
          <w:spacing w:val="-12"/>
          <w:sz w:val="22"/>
        </w:rPr>
        <w:t>脑</w:t>
      </w:r>
      <w:r>
        <w:rPr>
          <w:rFonts w:ascii="华文中宋" w:eastAsia="华文中宋" w:hint="eastAsia"/>
          <w:b/>
          <w:sz w:val="22"/>
        </w:rPr>
        <w:tab/>
      </w:r>
      <w:r>
        <w:rPr>
          <w:sz w:val="22"/>
        </w:rPr>
        <w:t>指被保险人经头颅断层扫描（CT）、核磁共振（MRI）或其他影像学检查</w:t>
      </w:r>
      <w:r>
        <w:rPr>
          <w:spacing w:val="-10"/>
          <w:sz w:val="22"/>
        </w:rPr>
        <w:t>被</w:t>
      </w:r>
    </w:p>
    <w:p>
      <w:pPr>
        <w:spacing w:after="0" w:line="240" w:lineRule="auto"/>
        <w:jc w:val="left"/>
        <w:rPr>
          <w:sz w:val="22"/>
        </w:rPr>
        <w:sectPr>
          <w:type w:val="continuous"/>
          <w:pgSz w:w="11910" w:h="16840"/>
          <w:pgMar w:header="484" w:footer="706" w:top="1240" w:bottom="900" w:left="980" w:right="980"/>
        </w:sectPr>
      </w:pPr>
    </w:p>
    <w:p>
      <w:pPr>
        <w:pStyle w:val="BodyText"/>
        <w:rPr>
          <w:sz w:val="12"/>
        </w:rPr>
      </w:pPr>
    </w:p>
    <w:p>
      <w:pPr>
        <w:spacing w:after="0"/>
        <w:rPr>
          <w:sz w:val="12"/>
        </w:rPr>
        <w:sectPr>
          <w:pgSz w:w="11910" w:h="16840"/>
          <w:pgMar w:header="484" w:footer="706" w:top="1240" w:bottom="900" w:left="980" w:right="980"/>
        </w:sectPr>
      </w:pPr>
    </w:p>
    <w:p>
      <w:pPr>
        <w:pStyle w:val="Heading2"/>
        <w:spacing w:line="261" w:lineRule="auto" w:before="73"/>
      </w:pPr>
      <w:r>
        <w:rPr>
          <w:spacing w:val="-2"/>
        </w:rPr>
        <w:t>囊肿、脑动脉</w:t>
      </w:r>
      <w:r>
        <w:rPr>
          <w:spacing w:val="-2"/>
        </w:rPr>
        <w:t>瘤/脑血管瘤</w:t>
      </w:r>
    </w:p>
    <w:p>
      <w:pPr>
        <w:pStyle w:val="BodyText"/>
        <w:spacing w:before="103"/>
        <w:ind w:left="163"/>
      </w:pPr>
      <w:r>
        <w:rPr/>
        <w:br w:type="column"/>
      </w:r>
      <w:r>
        <w:rPr>
          <w:spacing w:val="-3"/>
        </w:rPr>
        <w:t>确诊为下列病变，并实际接受了手术或放射治疗。</w:t>
      </w:r>
    </w:p>
    <w:p>
      <w:pPr>
        <w:pStyle w:val="ListParagraph"/>
        <w:numPr>
          <w:ilvl w:val="0"/>
          <w:numId w:val="96"/>
        </w:numPr>
        <w:tabs>
          <w:tab w:pos="618" w:val="left" w:leader="none"/>
        </w:tabs>
        <w:spacing w:line="240" w:lineRule="auto" w:before="100" w:after="0"/>
        <w:ind w:left="617" w:right="0" w:hanging="455"/>
        <w:jc w:val="left"/>
        <w:rPr>
          <w:sz w:val="22"/>
        </w:rPr>
      </w:pPr>
      <w:r>
        <w:rPr>
          <w:spacing w:val="-4"/>
          <w:sz w:val="22"/>
        </w:rPr>
        <w:t>脑垂体瘤；</w:t>
      </w:r>
    </w:p>
    <w:p>
      <w:pPr>
        <w:pStyle w:val="ListParagraph"/>
        <w:numPr>
          <w:ilvl w:val="0"/>
          <w:numId w:val="96"/>
        </w:numPr>
        <w:tabs>
          <w:tab w:pos="618" w:val="left" w:leader="none"/>
        </w:tabs>
        <w:spacing w:line="240" w:lineRule="auto" w:before="97" w:after="0"/>
        <w:ind w:left="617" w:right="0" w:hanging="455"/>
        <w:jc w:val="left"/>
        <w:rPr>
          <w:sz w:val="22"/>
        </w:rPr>
      </w:pPr>
      <w:r>
        <w:rPr>
          <w:spacing w:val="-4"/>
          <w:sz w:val="22"/>
        </w:rPr>
        <w:t>脑囊肿；</w:t>
      </w:r>
    </w:p>
    <w:p>
      <w:pPr>
        <w:pStyle w:val="ListParagraph"/>
        <w:numPr>
          <w:ilvl w:val="0"/>
          <w:numId w:val="96"/>
        </w:numPr>
        <w:tabs>
          <w:tab w:pos="618" w:val="left" w:leader="none"/>
        </w:tabs>
        <w:spacing w:line="240" w:lineRule="auto" w:before="97" w:after="0"/>
        <w:ind w:left="617" w:right="0" w:hanging="455"/>
        <w:jc w:val="left"/>
        <w:rPr>
          <w:sz w:val="22"/>
        </w:rPr>
      </w:pPr>
      <w:r>
        <w:rPr>
          <w:spacing w:val="-3"/>
          <w:sz w:val="22"/>
        </w:rPr>
        <w:t>脑动脉瘤、脑血管瘤。</w:t>
      </w:r>
    </w:p>
    <w:p>
      <w:pPr>
        <w:pStyle w:val="BodyText"/>
        <w:spacing w:line="324" w:lineRule="auto" w:before="100"/>
        <w:ind w:left="163" w:right="150"/>
        <w:jc w:val="both"/>
      </w:pPr>
      <w:r>
        <w:rPr>
          <w:color w:val="000000"/>
          <w:spacing w:val="-2"/>
          <w:shd w:fill="E4E4E4" w:color="auto" w:val="clear"/>
        </w:rPr>
        <w:t>我们对“轻度颅脑手术”、“脑垂体瘤、脑囊肿、脑动脉瘤/脑血管瘤”和</w:t>
      </w:r>
      <w:r>
        <w:rPr>
          <w:color w:val="000000"/>
          <w:spacing w:val="-2"/>
        </w:rPr>
        <w:t> </w:t>
      </w:r>
      <w:r>
        <w:rPr>
          <w:color w:val="000000"/>
          <w:spacing w:val="-2"/>
          <w:shd w:fill="E4E4E4" w:color="auto" w:val="clear"/>
        </w:rPr>
        <w:t>“植入大脑内分流器”三项中的其中一项承担保险责任，给付其中一项保险</w:t>
      </w:r>
      <w:r>
        <w:rPr>
          <w:color w:val="000000"/>
          <w:spacing w:val="40"/>
          <w:shd w:fill="E4E4E4" w:color="auto" w:val="clear"/>
        </w:rPr>
        <w:t> </w:t>
      </w:r>
      <w:r>
        <w:rPr>
          <w:color w:val="000000"/>
          <w:spacing w:val="-2"/>
          <w:shd w:fill="E4E4E4" w:color="auto" w:val="clear"/>
        </w:rPr>
        <w:t>金后，对其他两项轻度疾病保险责任同时终止。</w:t>
      </w:r>
    </w:p>
    <w:p>
      <w:pPr>
        <w:spacing w:after="0" w:line="324" w:lineRule="auto"/>
        <w:jc w:val="both"/>
        <w:sectPr>
          <w:type w:val="continuous"/>
          <w:pgSz w:w="11910" w:h="16840"/>
          <w:pgMar w:header="484" w:footer="706" w:top="1240" w:bottom="900" w:left="980" w:right="980"/>
          <w:cols w:num="2" w:equalWidth="0">
            <w:col w:w="2277" w:space="40"/>
            <w:col w:w="7633"/>
          </w:cols>
        </w:sectPr>
      </w:pPr>
    </w:p>
    <w:p>
      <w:pPr>
        <w:pStyle w:val="BodyText"/>
        <w:spacing w:before="6"/>
        <w:rPr>
          <w:sz w:val="21"/>
        </w:rPr>
      </w:pPr>
    </w:p>
    <w:p>
      <w:pPr>
        <w:spacing w:after="0"/>
        <w:rPr>
          <w:sz w:val="21"/>
        </w:rPr>
        <w:sectPr>
          <w:type w:val="continuous"/>
          <w:pgSz w:w="11910" w:h="16840"/>
          <w:pgMar w:header="484" w:footer="706" w:top="1240" w:bottom="900" w:left="980" w:right="980"/>
        </w:sectPr>
      </w:pPr>
    </w:p>
    <w:p>
      <w:pPr>
        <w:pStyle w:val="Heading2"/>
        <w:numPr>
          <w:ilvl w:val="1"/>
          <w:numId w:val="80"/>
        </w:numPr>
        <w:tabs>
          <w:tab w:pos="955" w:val="left" w:leader="none"/>
        </w:tabs>
        <w:spacing w:line="240" w:lineRule="auto" w:before="72" w:after="0"/>
        <w:ind w:left="954" w:right="0" w:hanging="803"/>
        <w:jc w:val="left"/>
      </w:pPr>
      <w:r>
        <w:rPr>
          <w:spacing w:val="-4"/>
        </w:rPr>
        <w:t>可逆性再生障</w:t>
      </w:r>
    </w:p>
    <w:p>
      <w:pPr>
        <w:spacing w:before="31"/>
        <w:ind w:left="954" w:right="0" w:firstLine="0"/>
        <w:jc w:val="left"/>
        <w:rPr>
          <w:rFonts w:ascii="华文中宋" w:eastAsia="华文中宋" w:hint="eastAsia"/>
          <w:b/>
          <w:sz w:val="22"/>
        </w:rPr>
      </w:pPr>
      <w:r>
        <w:rPr>
          <w:rFonts w:ascii="华文中宋" w:eastAsia="华文中宋" w:hint="eastAsia"/>
          <w:b/>
          <w:spacing w:val="-5"/>
          <w:sz w:val="22"/>
        </w:rPr>
        <w:t>碍性贫血</w:t>
      </w:r>
    </w:p>
    <w:p>
      <w:pPr>
        <w:pStyle w:val="BodyText"/>
        <w:spacing w:line="324" w:lineRule="auto" w:before="103"/>
        <w:ind w:left="152" w:right="150"/>
        <w:jc w:val="both"/>
      </w:pPr>
      <w:r>
        <w:rPr/>
        <w:br w:type="column"/>
      </w:r>
      <w:r>
        <w:rPr>
          <w:spacing w:val="-2"/>
        </w:rPr>
        <w:t>指因急性可逆性的骨髓造血功能衰竭而导致贫血、中性粒细胞减少和血小板减少，必须由血液科医生的诊断，</w:t>
      </w:r>
      <w:r>
        <w:rPr>
          <w:color w:val="000000"/>
          <w:spacing w:val="-2"/>
          <w:shd w:fill="E4E4E4" w:color="auto" w:val="clear"/>
        </w:rPr>
        <w:t>实际接受了下列任一治疗，且未达到重大</w:t>
      </w:r>
      <w:r>
        <w:rPr>
          <w:color w:val="000000"/>
          <w:spacing w:val="40"/>
          <w:shd w:fill="E4E4E4" w:color="auto" w:val="clear"/>
        </w:rPr>
        <w:t> </w:t>
      </w:r>
      <w:r>
        <w:rPr>
          <w:color w:val="000000"/>
          <w:shd w:fill="E4E4E4" w:color="auto" w:val="clear"/>
        </w:rPr>
        <w:t>疾病“10.24 重型再生障碍性贫血”的给付标准：</w:t>
      </w:r>
    </w:p>
    <w:p>
      <w:pPr>
        <w:pStyle w:val="ListParagraph"/>
        <w:numPr>
          <w:ilvl w:val="0"/>
          <w:numId w:val="97"/>
        </w:numPr>
        <w:tabs>
          <w:tab w:pos="607" w:val="left" w:leader="none"/>
        </w:tabs>
        <w:spacing w:line="280" w:lineRule="exact" w:before="0" w:after="0"/>
        <w:ind w:left="606" w:right="0" w:hanging="455"/>
        <w:jc w:val="left"/>
        <w:rPr>
          <w:sz w:val="22"/>
        </w:rPr>
      </w:pPr>
      <w:r>
        <w:rPr>
          <w:spacing w:val="-2"/>
          <w:sz w:val="22"/>
        </w:rPr>
        <w:t>已接受至少累计30</w:t>
      </w:r>
      <w:r>
        <w:rPr>
          <w:spacing w:val="-3"/>
          <w:sz w:val="22"/>
        </w:rPr>
        <w:t>日的骨髓刺激疗法；</w:t>
      </w:r>
    </w:p>
    <w:p>
      <w:pPr>
        <w:pStyle w:val="ListParagraph"/>
        <w:numPr>
          <w:ilvl w:val="0"/>
          <w:numId w:val="97"/>
        </w:numPr>
        <w:tabs>
          <w:tab w:pos="607" w:val="left" w:leader="none"/>
        </w:tabs>
        <w:spacing w:line="240" w:lineRule="auto" w:before="97" w:after="0"/>
        <w:ind w:left="606" w:right="0" w:hanging="455"/>
        <w:jc w:val="left"/>
        <w:rPr>
          <w:sz w:val="22"/>
        </w:rPr>
      </w:pPr>
      <w:r>
        <w:rPr>
          <w:spacing w:val="-2"/>
          <w:sz w:val="22"/>
        </w:rPr>
        <w:t>已接受至少累计30</w:t>
      </w:r>
      <w:r>
        <w:rPr>
          <w:spacing w:val="-3"/>
          <w:sz w:val="22"/>
        </w:rPr>
        <w:t>日的免疫抑制剂治疗；</w:t>
      </w:r>
    </w:p>
    <w:p>
      <w:pPr>
        <w:pStyle w:val="ListParagraph"/>
        <w:numPr>
          <w:ilvl w:val="0"/>
          <w:numId w:val="97"/>
        </w:numPr>
        <w:tabs>
          <w:tab w:pos="607" w:val="left" w:leader="none"/>
        </w:tabs>
        <w:spacing w:line="240" w:lineRule="auto" w:before="100" w:after="0"/>
        <w:ind w:left="606" w:right="0" w:hanging="455"/>
        <w:jc w:val="left"/>
        <w:rPr>
          <w:sz w:val="22"/>
        </w:rPr>
      </w:pPr>
      <w:r>
        <w:rPr>
          <w:spacing w:val="-4"/>
          <w:sz w:val="22"/>
        </w:rPr>
        <w:t>接受了骨髓移植。</w:t>
      </w:r>
    </w:p>
    <w:p>
      <w:pPr>
        <w:spacing w:after="0" w:line="240"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2"/>
        <w:rPr>
          <w:sz w:val="29"/>
        </w:rPr>
      </w:pPr>
    </w:p>
    <w:p>
      <w:pPr>
        <w:spacing w:after="0"/>
        <w:rPr>
          <w:sz w:val="29"/>
        </w:rPr>
        <w:sectPr>
          <w:type w:val="continuous"/>
          <w:pgSz w:w="11910" w:h="16840"/>
          <w:pgMar w:header="484" w:footer="706" w:top="1240" w:bottom="900" w:left="980" w:right="980"/>
        </w:sectPr>
      </w:pPr>
    </w:p>
    <w:p>
      <w:pPr>
        <w:pStyle w:val="Heading2"/>
        <w:numPr>
          <w:ilvl w:val="1"/>
          <w:numId w:val="80"/>
        </w:numPr>
        <w:tabs>
          <w:tab w:pos="955" w:val="left" w:leader="none"/>
        </w:tabs>
        <w:spacing w:line="261" w:lineRule="auto" w:before="72" w:after="0"/>
        <w:ind w:left="954" w:right="0" w:hanging="802"/>
        <w:jc w:val="left"/>
      </w:pPr>
      <w:r>
        <w:rPr>
          <w:spacing w:val="-2"/>
        </w:rPr>
        <w:t>植入大脑内分</w:t>
      </w:r>
      <w:r>
        <w:rPr>
          <w:spacing w:val="-6"/>
        </w:rPr>
        <w:t>流器</w:t>
      </w:r>
    </w:p>
    <w:p>
      <w:pPr>
        <w:pStyle w:val="BodyText"/>
        <w:spacing w:line="324" w:lineRule="auto" w:before="103"/>
        <w:ind w:left="152" w:right="150"/>
        <w:jc w:val="both"/>
      </w:pPr>
      <w:r>
        <w:rPr/>
        <w:br w:type="column"/>
      </w:r>
      <w:r>
        <w:rPr>
          <w:spacing w:val="-2"/>
        </w:rPr>
        <w:t>植入大脑内分流器是指确实在脑室进行分流器植入手术，以缓解升高的脑脊液压力。必须由脑神经专科医生证实植入分流器为医疗所需。</w:t>
      </w:r>
      <w:r>
        <w:rPr>
          <w:color w:val="000000"/>
          <w:spacing w:val="-2"/>
          <w:shd w:fill="E4E4E4" w:color="auto" w:val="clear"/>
        </w:rPr>
        <w:t>先天性脑积水</w:t>
      </w:r>
      <w:r>
        <w:rPr>
          <w:color w:val="000000"/>
          <w:spacing w:val="40"/>
          <w:shd w:fill="E4E4E4" w:color="auto" w:val="clear"/>
        </w:rPr>
        <w:t> </w:t>
      </w:r>
      <w:r>
        <w:rPr>
          <w:color w:val="000000"/>
          <w:spacing w:val="-2"/>
          <w:shd w:fill="E4E4E4" w:color="auto" w:val="clear"/>
        </w:rPr>
        <w:t>不在保障范围内。</w:t>
      </w:r>
    </w:p>
    <w:p>
      <w:pPr>
        <w:pStyle w:val="BodyText"/>
        <w:spacing w:line="300" w:lineRule="auto"/>
        <w:ind w:left="152" w:right="152"/>
      </w:pPr>
      <w:r>
        <w:rPr>
          <w:color w:val="000000"/>
          <w:spacing w:val="-2"/>
          <w:shd w:fill="E4E4E4" w:color="auto" w:val="clear"/>
        </w:rPr>
        <w:t>我们对“轻度颅脑手术”及“植入大脑内分流器”两项中的其中一项承担保</w:t>
      </w:r>
      <w:r>
        <w:rPr>
          <w:color w:val="000000"/>
          <w:spacing w:val="80"/>
          <w:w w:val="150"/>
          <w:shd w:fill="E4E4E4" w:color="auto" w:val="clear"/>
        </w:rPr>
        <w:t>                                       </w:t>
      </w:r>
      <w:r>
        <w:rPr>
          <w:color w:val="000000"/>
          <w:spacing w:val="-2"/>
          <w:shd w:fill="E4E4E4" w:color="auto" w:val="clear"/>
        </w:rPr>
        <w:t>险责任，给付其中一项保险金后，对另一项轻度疾病保险责任同时终止。因治疗“脑垂体瘤、脑囊肿、脑动脉瘤</w:t>
      </w:r>
      <w:r>
        <w:rPr>
          <w:rFonts w:ascii="华文中宋" w:hAnsi="华文中宋" w:eastAsia="华文中宋"/>
          <w:color w:val="000000"/>
          <w:spacing w:val="-2"/>
          <w:shd w:fill="E4E4E4" w:color="auto" w:val="clear"/>
        </w:rPr>
        <w:t>/</w:t>
      </w:r>
      <w:r>
        <w:rPr>
          <w:color w:val="000000"/>
          <w:spacing w:val="-2"/>
          <w:shd w:fill="E4E4E4" w:color="auto" w:val="clear"/>
        </w:rPr>
        <w:t>脑血管瘤”所致植入大脑内分流器不在保障范围之内。</w:t>
      </w:r>
    </w:p>
    <w:p>
      <w:pPr>
        <w:spacing w:after="0" w:line="300" w:lineRule="auto"/>
        <w:sectPr>
          <w:type w:val="continuous"/>
          <w:pgSz w:w="11910" w:h="16840"/>
          <w:pgMar w:header="484" w:footer="706" w:top="1240" w:bottom="900" w:left="980" w:right="980"/>
          <w:cols w:num="2" w:equalWidth="0">
            <w:col w:w="2277" w:space="51"/>
            <w:col w:w="7622"/>
          </w:cols>
        </w:sectPr>
      </w:pPr>
    </w:p>
    <w:p>
      <w:pPr>
        <w:pStyle w:val="BodyText"/>
        <w:spacing w:before="8"/>
        <w:rPr>
          <w:sz w:val="23"/>
        </w:rPr>
      </w:pPr>
    </w:p>
    <w:p>
      <w:pPr>
        <w:pStyle w:val="ListParagraph"/>
        <w:numPr>
          <w:ilvl w:val="1"/>
          <w:numId w:val="80"/>
        </w:numPr>
        <w:tabs>
          <w:tab w:pos="955" w:val="left" w:leader="none"/>
          <w:tab w:pos="2480" w:val="left" w:leader="none"/>
        </w:tabs>
        <w:spacing w:line="280" w:lineRule="auto" w:before="73" w:after="0"/>
        <w:ind w:left="2480" w:right="152" w:hanging="2328"/>
        <w:jc w:val="left"/>
        <w:rPr>
          <w:sz w:val="22"/>
        </w:rPr>
      </w:pPr>
      <w:r>
        <w:rPr>
          <w:rFonts w:ascii="华文中宋" w:eastAsia="华文中宋" w:hint="eastAsia"/>
          <w:b/>
          <w:spacing w:val="-2"/>
          <w:sz w:val="22"/>
        </w:rPr>
        <w:t>轻度颅脑手术</w:t>
      </w:r>
      <w:r>
        <w:rPr>
          <w:rFonts w:ascii="华文中宋" w:eastAsia="华文中宋" w:hint="eastAsia"/>
          <w:b/>
          <w:sz w:val="22"/>
        </w:rPr>
        <w:tab/>
      </w:r>
      <w:r>
        <w:rPr>
          <w:spacing w:val="-2"/>
          <w:sz w:val="22"/>
        </w:rPr>
        <w:t>被保险人确已实施全麻下的颅骨钻孔手术或经鼻蝶窦入颅手术。</w:t>
      </w:r>
      <w:r>
        <w:rPr>
          <w:color w:val="000000"/>
          <w:spacing w:val="-2"/>
          <w:sz w:val="22"/>
          <w:shd w:fill="E4E4E4" w:color="auto" w:val="clear"/>
        </w:rPr>
        <w:t>因外伤而实</w:t>
      </w:r>
      <w:r>
        <w:rPr>
          <w:color w:val="000000"/>
          <w:spacing w:val="80"/>
          <w:w w:val="150"/>
          <w:sz w:val="22"/>
          <w:shd w:fill="E4E4E4" w:color="auto" w:val="clear"/>
        </w:rPr>
        <w:t>                                       </w:t>
      </w:r>
      <w:r>
        <w:rPr>
          <w:color w:val="000000"/>
          <w:spacing w:val="-2"/>
          <w:sz w:val="22"/>
          <w:shd w:fill="E4E4E4" w:color="auto" w:val="clear"/>
        </w:rPr>
        <w:t>施的脑外科手术不在保障范围内。</w:t>
      </w:r>
    </w:p>
    <w:p>
      <w:pPr>
        <w:pStyle w:val="BodyText"/>
        <w:spacing w:line="300" w:lineRule="auto" w:before="52"/>
        <w:ind w:left="2480" w:right="152"/>
      </w:pPr>
      <w:r>
        <w:rPr>
          <w:color w:val="000000"/>
          <w:spacing w:val="-2"/>
          <w:shd w:fill="E4E4E4" w:color="auto" w:val="clear"/>
        </w:rPr>
        <w:t>我们对“轻度颅脑手术”及“植入大脑内分流器”两项中的其中一项承担保</w:t>
      </w:r>
      <w:r>
        <w:rPr>
          <w:color w:val="000000"/>
          <w:spacing w:val="80"/>
          <w:w w:val="150"/>
          <w:shd w:fill="E4E4E4" w:color="auto" w:val="clear"/>
        </w:rPr>
        <w:t>                                       </w:t>
      </w:r>
      <w:r>
        <w:rPr>
          <w:color w:val="000000"/>
          <w:spacing w:val="-2"/>
          <w:shd w:fill="E4E4E4" w:color="auto" w:val="clear"/>
        </w:rPr>
        <w:t>险责任，给付其中一项保险金后，对另一项轻度疾病保险责任同时终止。因治疗“脑垂体瘤、脑囊肿、脑动脉瘤</w:t>
      </w:r>
      <w:r>
        <w:rPr>
          <w:rFonts w:ascii="华文中宋" w:hAnsi="华文中宋" w:eastAsia="华文中宋"/>
          <w:color w:val="000000"/>
          <w:spacing w:val="-2"/>
          <w:shd w:fill="E4E4E4" w:color="auto" w:val="clear"/>
        </w:rPr>
        <w:t>/</w:t>
      </w:r>
      <w:r>
        <w:rPr>
          <w:color w:val="000000"/>
          <w:spacing w:val="-2"/>
          <w:shd w:fill="E4E4E4" w:color="auto" w:val="clear"/>
        </w:rPr>
        <w:t>脑血管瘤”所致轻度颅脑手术不在保障范围之内。</w:t>
      </w:r>
    </w:p>
    <w:p>
      <w:pPr>
        <w:pStyle w:val="BodyText"/>
        <w:spacing w:before="8"/>
        <w:rPr>
          <w:sz w:val="23"/>
        </w:rPr>
      </w:pPr>
    </w:p>
    <w:p>
      <w:pPr>
        <w:spacing w:after="0"/>
        <w:rPr>
          <w:sz w:val="23"/>
        </w:rPr>
        <w:sectPr>
          <w:type w:val="continuous"/>
          <w:pgSz w:w="11910" w:h="16840"/>
          <w:pgMar w:header="484" w:footer="706" w:top="1240" w:bottom="900" w:left="980" w:right="980"/>
        </w:sectPr>
      </w:pPr>
    </w:p>
    <w:p>
      <w:pPr>
        <w:pStyle w:val="Heading2"/>
        <w:numPr>
          <w:ilvl w:val="1"/>
          <w:numId w:val="80"/>
        </w:numPr>
        <w:tabs>
          <w:tab w:pos="955" w:val="left" w:leader="none"/>
        </w:tabs>
        <w:spacing w:line="240" w:lineRule="auto" w:before="72" w:after="0"/>
        <w:ind w:left="954" w:right="0" w:hanging="803"/>
        <w:jc w:val="left"/>
      </w:pPr>
      <w:r>
        <w:rPr>
          <w:spacing w:val="-4"/>
        </w:rPr>
        <w:t>外伤性颅内血</w:t>
      </w:r>
    </w:p>
    <w:p>
      <w:pPr>
        <w:spacing w:before="30"/>
        <w:ind w:left="954" w:right="0" w:firstLine="0"/>
        <w:jc w:val="left"/>
        <w:rPr>
          <w:rFonts w:ascii="华文中宋" w:eastAsia="华文中宋" w:hint="eastAsia"/>
          <w:b/>
          <w:sz w:val="22"/>
        </w:rPr>
      </w:pPr>
      <w:r>
        <w:rPr>
          <w:rFonts w:ascii="华文中宋" w:eastAsia="华文中宋" w:hint="eastAsia"/>
          <w:b/>
          <w:spacing w:val="-5"/>
          <w:sz w:val="22"/>
        </w:rPr>
        <w:t>肿清除术</w:t>
      </w:r>
    </w:p>
    <w:p>
      <w:pPr>
        <w:pStyle w:val="BodyText"/>
        <w:spacing w:line="324" w:lineRule="auto" w:before="102"/>
        <w:ind w:left="152" w:right="150"/>
        <w:jc w:val="both"/>
      </w:pPr>
      <w:r>
        <w:rPr/>
        <w:br w:type="column"/>
      </w:r>
      <w:r>
        <w:rPr>
          <w:spacing w:val="-2"/>
        </w:rPr>
        <w:t>指因外伤引起的急性硬膜下血肿、急性硬膜外血肿或急性脑内血肿，已经实施了颅骨钻孔血肿清除手术。</w:t>
      </w:r>
      <w:r>
        <w:rPr>
          <w:color w:val="000000"/>
          <w:spacing w:val="-2"/>
          <w:shd w:fill="E4E4E4" w:color="auto" w:val="clear"/>
        </w:rPr>
        <w:t>微创颅内血肿穿刺针治疗、脑血管意外所致脑</w:t>
      </w:r>
      <w:r>
        <w:rPr>
          <w:color w:val="000000"/>
          <w:spacing w:val="40"/>
          <w:shd w:fill="E4E4E4" w:color="auto" w:val="clear"/>
        </w:rPr>
        <w:t> </w:t>
      </w:r>
      <w:r>
        <w:rPr>
          <w:color w:val="000000"/>
          <w:spacing w:val="-2"/>
          <w:shd w:fill="E4E4E4" w:color="auto" w:val="clear"/>
        </w:rPr>
        <w:t>出血血肿清除术均不在保障范围内。</w:t>
      </w:r>
    </w:p>
    <w:p>
      <w:pPr>
        <w:spacing w:after="0" w:line="324" w:lineRule="auto"/>
        <w:jc w:val="both"/>
        <w:sectPr>
          <w:type w:val="continuous"/>
          <w:pgSz w:w="11910" w:h="16840"/>
          <w:pgMar w:header="484" w:footer="706" w:top="1240" w:bottom="900" w:left="980" w:right="980"/>
          <w:cols w:num="2" w:equalWidth="0">
            <w:col w:w="2277" w:space="51"/>
            <w:col w:w="7622"/>
          </w:cols>
        </w:sectPr>
      </w:pPr>
    </w:p>
    <w:p>
      <w:pPr>
        <w:pStyle w:val="BodyText"/>
        <w:spacing w:before="6"/>
        <w:rPr>
          <w:sz w:val="21"/>
        </w:rPr>
      </w:pPr>
    </w:p>
    <w:p>
      <w:pPr>
        <w:spacing w:after="0"/>
        <w:rPr>
          <w:sz w:val="21"/>
        </w:rPr>
        <w:sectPr>
          <w:type w:val="continuous"/>
          <w:pgSz w:w="11910" w:h="16840"/>
          <w:pgMar w:header="484" w:footer="706" w:top="1240" w:bottom="900" w:left="980" w:right="980"/>
        </w:sectPr>
      </w:pPr>
    </w:p>
    <w:p>
      <w:pPr>
        <w:pStyle w:val="Heading2"/>
        <w:numPr>
          <w:ilvl w:val="1"/>
          <w:numId w:val="80"/>
        </w:numPr>
        <w:tabs>
          <w:tab w:pos="802" w:val="left" w:leader="none"/>
        </w:tabs>
        <w:spacing w:line="240" w:lineRule="auto" w:before="75" w:after="0"/>
        <w:ind w:left="801" w:right="0" w:hanging="802"/>
        <w:jc w:val="right"/>
      </w:pPr>
      <w:r>
        <w:rPr>
          <w:spacing w:val="-4"/>
        </w:rPr>
        <w:t>骨质疏松骨折</w:t>
      </w:r>
    </w:p>
    <w:p>
      <w:pPr>
        <w:spacing w:before="30"/>
        <w:ind w:left="0" w:right="0" w:firstLine="0"/>
        <w:jc w:val="right"/>
        <w:rPr>
          <w:rFonts w:ascii="华文中宋" w:eastAsia="华文中宋" w:hint="eastAsia"/>
          <w:b/>
          <w:sz w:val="22"/>
        </w:rPr>
      </w:pPr>
      <w:r>
        <w:rPr>
          <w:rFonts w:ascii="华文中宋" w:eastAsia="华文中宋" w:hint="eastAsia"/>
          <w:b/>
          <w:spacing w:val="-4"/>
          <w:sz w:val="22"/>
        </w:rPr>
        <w:t>髋关节置换手</w:t>
      </w:r>
    </w:p>
    <w:p>
      <w:pPr>
        <w:pStyle w:val="BodyText"/>
        <w:spacing w:line="324" w:lineRule="auto" w:before="105"/>
        <w:ind w:left="152" w:right="150"/>
      </w:pPr>
      <w:r>
        <w:rPr/>
        <w:br w:type="column"/>
      </w:r>
      <w:r>
        <w:rPr>
          <w:spacing w:val="-2"/>
        </w:rPr>
        <w:t>骨质疏松是一种系统性疾病。其特征为骨质量减少，骨小梁数目减少、变细</w:t>
      </w:r>
      <w:r>
        <w:rPr>
          <w:spacing w:val="4"/>
        </w:rPr>
        <w:t>和骨皮质变薄， 导致骨脆性增加， 骨折危险增加。根据世界卫生组织</w:t>
      </w:r>
    </w:p>
    <w:p>
      <w:pPr>
        <w:spacing w:after="0" w:line="324" w:lineRule="auto"/>
        <w:sectPr>
          <w:type w:val="continuous"/>
          <w:pgSz w:w="11910" w:h="16840"/>
          <w:pgMar w:header="484" w:footer="706" w:top="1240" w:bottom="900" w:left="980" w:right="980"/>
          <w:cols w:num="2" w:equalWidth="0">
            <w:col w:w="2277" w:space="51"/>
            <w:col w:w="7622"/>
          </w:cols>
        </w:sectPr>
      </w:pPr>
    </w:p>
    <w:p>
      <w:pPr>
        <w:pStyle w:val="BodyText"/>
        <w:spacing w:before="11"/>
        <w:rPr>
          <w:sz w:val="19"/>
        </w:rPr>
      </w:pPr>
    </w:p>
    <w:tbl>
      <w:tblPr>
        <w:tblW w:w="0" w:type="auto"/>
        <w:jc w:val="left"/>
        <w:tblInd w:w="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8"/>
        <w:gridCol w:w="1548"/>
        <w:gridCol w:w="7465"/>
      </w:tblGrid>
      <w:tr>
        <w:trPr>
          <w:trHeight w:val="1647" w:hRule="atLeast"/>
        </w:trPr>
        <w:tc>
          <w:tcPr>
            <w:tcW w:w="728" w:type="dxa"/>
          </w:tcPr>
          <w:p>
            <w:pPr>
              <w:pStyle w:val="TableParagraph"/>
              <w:rPr>
                <w:rFonts w:ascii="Times New Roman"/>
                <w:sz w:val="22"/>
              </w:rPr>
            </w:pPr>
          </w:p>
        </w:tc>
        <w:tc>
          <w:tcPr>
            <w:tcW w:w="1548" w:type="dxa"/>
          </w:tcPr>
          <w:p>
            <w:pPr>
              <w:pStyle w:val="TableParagraph"/>
              <w:spacing w:line="322" w:lineRule="exact"/>
              <w:ind w:left="123"/>
              <w:rPr>
                <w:rFonts w:ascii="华文中宋" w:eastAsia="华文中宋" w:hint="eastAsia"/>
                <w:b/>
                <w:sz w:val="22"/>
              </w:rPr>
            </w:pPr>
            <w:r>
              <w:rPr>
                <w:rFonts w:ascii="华文中宋" w:eastAsia="华文中宋" w:hint="eastAsia"/>
                <w:b/>
                <w:w w:val="100"/>
                <w:sz w:val="22"/>
              </w:rPr>
              <w:t>术</w:t>
            </w:r>
          </w:p>
        </w:tc>
        <w:tc>
          <w:tcPr>
            <w:tcW w:w="7465" w:type="dxa"/>
          </w:tcPr>
          <w:p>
            <w:pPr>
              <w:pStyle w:val="TableParagraph"/>
              <w:spacing w:line="324" w:lineRule="auto" w:before="2"/>
              <w:ind w:left="101" w:right="48"/>
              <w:rPr>
                <w:sz w:val="22"/>
              </w:rPr>
            </w:pPr>
            <w:r>
              <w:rPr>
                <w:spacing w:val="4"/>
                <w:w w:val="100"/>
                <w:sz w:val="22"/>
              </w:rPr>
              <w:t>（</w:t>
            </w:r>
            <w:r>
              <w:rPr>
                <w:spacing w:val="-1"/>
                <w:w w:val="100"/>
                <w:sz w:val="22"/>
              </w:rPr>
              <w:t>WH</w:t>
            </w:r>
            <w:r>
              <w:rPr>
                <w:spacing w:val="2"/>
                <w:w w:val="100"/>
                <w:sz w:val="22"/>
              </w:rPr>
              <w:t>O</w:t>
            </w:r>
            <w:r>
              <w:rPr>
                <w:spacing w:val="4"/>
                <w:w w:val="100"/>
                <w:sz w:val="22"/>
              </w:rPr>
              <w:t>）</w:t>
            </w:r>
            <w:r>
              <w:rPr>
                <w:spacing w:val="3"/>
                <w:w w:val="100"/>
                <w:sz w:val="22"/>
              </w:rPr>
              <w:t>建议，骨密度</w:t>
            </w:r>
            <w:r>
              <w:rPr>
                <w:spacing w:val="7"/>
                <w:w w:val="100"/>
                <w:sz w:val="22"/>
              </w:rPr>
              <w:t>（</w:t>
            </w:r>
            <w:r>
              <w:rPr>
                <w:spacing w:val="-1"/>
                <w:w w:val="100"/>
                <w:sz w:val="22"/>
              </w:rPr>
              <w:t>BM</w:t>
            </w:r>
            <w:r>
              <w:rPr>
                <w:spacing w:val="4"/>
                <w:w w:val="100"/>
                <w:sz w:val="22"/>
              </w:rPr>
              <w:t>D）</w:t>
            </w:r>
            <w:r>
              <w:rPr>
                <w:spacing w:val="2"/>
                <w:w w:val="100"/>
                <w:sz w:val="22"/>
              </w:rPr>
              <w:t>较正常成人骨密度平均值降低</w:t>
            </w:r>
            <w:r>
              <w:rPr>
                <w:spacing w:val="-1"/>
                <w:w w:val="100"/>
                <w:sz w:val="22"/>
              </w:rPr>
              <w:t>2.</w:t>
            </w:r>
            <w:r>
              <w:rPr>
                <w:spacing w:val="4"/>
                <w:w w:val="100"/>
                <w:sz w:val="22"/>
              </w:rPr>
              <w:t>5</w:t>
            </w:r>
            <w:r>
              <w:rPr>
                <w:spacing w:val="3"/>
                <w:w w:val="100"/>
                <w:sz w:val="22"/>
              </w:rPr>
              <w:t>个标准差为</w:t>
            </w:r>
            <w:r>
              <w:rPr>
                <w:spacing w:val="-3"/>
                <w:w w:val="100"/>
                <w:sz w:val="22"/>
              </w:rPr>
              <w:t>骨质疏松症。</w:t>
            </w:r>
            <w:r>
              <w:rPr>
                <w:color w:val="000000"/>
                <w:spacing w:val="-3"/>
                <w:w w:val="100"/>
                <w:sz w:val="22"/>
                <w:shd w:fill="E4E4E4" w:color="auto" w:val="clear"/>
              </w:rPr>
              <w:t>必须满足下列所有条件：</w:t>
            </w:r>
          </w:p>
          <w:p>
            <w:pPr>
              <w:pStyle w:val="TableParagraph"/>
              <w:numPr>
                <w:ilvl w:val="0"/>
                <w:numId w:val="98"/>
              </w:numPr>
              <w:tabs>
                <w:tab w:pos="556" w:val="left" w:leader="none"/>
              </w:tabs>
              <w:spacing w:line="282" w:lineRule="exact" w:before="0" w:after="0"/>
              <w:ind w:left="555" w:right="0" w:hanging="455"/>
              <w:jc w:val="left"/>
              <w:rPr>
                <w:sz w:val="22"/>
              </w:rPr>
            </w:pPr>
            <w:r>
              <w:rPr>
                <w:spacing w:val="-3"/>
                <w:sz w:val="22"/>
              </w:rPr>
              <w:t>依照诊断标准确诊为骨质疏松症；</w:t>
            </w:r>
          </w:p>
          <w:p>
            <w:pPr>
              <w:pStyle w:val="TableParagraph"/>
              <w:numPr>
                <w:ilvl w:val="0"/>
                <w:numId w:val="98"/>
              </w:numPr>
              <w:tabs>
                <w:tab w:pos="556" w:val="left" w:leader="none"/>
              </w:tabs>
              <w:spacing w:line="240" w:lineRule="auto" w:before="98" w:after="0"/>
              <w:ind w:left="555" w:right="0" w:hanging="455"/>
              <w:jc w:val="left"/>
              <w:rPr>
                <w:sz w:val="22"/>
              </w:rPr>
            </w:pPr>
            <w:r>
              <w:rPr>
                <w:spacing w:val="-3"/>
                <w:sz w:val="22"/>
              </w:rPr>
              <w:t>实际发生了股骨颈骨折并接受了髋关节置换手术。</w:t>
            </w:r>
          </w:p>
        </w:tc>
      </w:tr>
      <w:tr>
        <w:trPr>
          <w:trHeight w:val="605" w:hRule="atLeast"/>
        </w:trPr>
        <w:tc>
          <w:tcPr>
            <w:tcW w:w="728" w:type="dxa"/>
          </w:tcPr>
          <w:p>
            <w:pPr>
              <w:pStyle w:val="TableParagraph"/>
              <w:spacing w:before="12"/>
              <w:rPr>
                <w:sz w:val="19"/>
              </w:rPr>
            </w:pPr>
          </w:p>
          <w:p>
            <w:pPr>
              <w:pStyle w:val="TableParagraph"/>
              <w:ind w:left="50"/>
              <w:rPr>
                <w:b/>
                <w:sz w:val="22"/>
              </w:rPr>
            </w:pPr>
            <w:r>
              <w:rPr>
                <w:b/>
                <w:spacing w:val="-2"/>
                <w:sz w:val="22"/>
              </w:rPr>
              <w:t>12.44</w:t>
            </w:r>
          </w:p>
        </w:tc>
        <w:tc>
          <w:tcPr>
            <w:tcW w:w="1548" w:type="dxa"/>
          </w:tcPr>
          <w:p>
            <w:pPr>
              <w:pStyle w:val="TableParagraph"/>
              <w:spacing w:before="226"/>
              <w:ind w:left="123"/>
              <w:rPr>
                <w:rFonts w:ascii="华文中宋" w:eastAsia="华文中宋" w:hint="eastAsia"/>
                <w:b/>
                <w:sz w:val="22"/>
              </w:rPr>
            </w:pPr>
            <w:r>
              <w:rPr>
                <w:rFonts w:ascii="华文中宋" w:eastAsia="华文中宋" w:hint="eastAsia"/>
                <w:b/>
                <w:spacing w:val="-4"/>
                <w:sz w:val="22"/>
              </w:rPr>
              <w:t>多发肋骨骨折</w:t>
            </w:r>
          </w:p>
        </w:tc>
        <w:tc>
          <w:tcPr>
            <w:tcW w:w="7465" w:type="dxa"/>
          </w:tcPr>
          <w:p>
            <w:pPr>
              <w:pStyle w:val="TableParagraph"/>
              <w:spacing w:before="12"/>
              <w:rPr>
                <w:sz w:val="19"/>
              </w:rPr>
            </w:pPr>
          </w:p>
          <w:p>
            <w:pPr>
              <w:pStyle w:val="TableParagraph"/>
              <w:ind w:left="101"/>
              <w:rPr>
                <w:sz w:val="22"/>
              </w:rPr>
            </w:pPr>
            <w:r>
              <w:rPr>
                <w:spacing w:val="-2"/>
                <w:sz w:val="22"/>
              </w:rPr>
              <w:t>因一次意外伤害事故导致胸部损伤同时大于等于12根肋骨骨折，</w:t>
            </w:r>
            <w:r>
              <w:rPr>
                <w:color w:val="000000"/>
                <w:spacing w:val="-4"/>
                <w:sz w:val="22"/>
                <w:shd w:fill="E4E4E4" w:color="auto" w:val="clear"/>
              </w:rPr>
              <w:t>陈旧性骨折</w:t>
            </w:r>
          </w:p>
        </w:tc>
      </w:tr>
      <w:tr>
        <w:trPr>
          <w:trHeight w:val="534" w:hRule="atLeast"/>
        </w:trPr>
        <w:tc>
          <w:tcPr>
            <w:tcW w:w="728" w:type="dxa"/>
          </w:tcPr>
          <w:p>
            <w:pPr>
              <w:pStyle w:val="TableParagraph"/>
              <w:rPr>
                <w:rFonts w:ascii="Times New Roman"/>
                <w:sz w:val="22"/>
              </w:rPr>
            </w:pPr>
          </w:p>
        </w:tc>
        <w:tc>
          <w:tcPr>
            <w:tcW w:w="1548" w:type="dxa"/>
          </w:tcPr>
          <w:p>
            <w:pPr>
              <w:pStyle w:val="TableParagraph"/>
              <w:rPr>
                <w:rFonts w:ascii="Times New Roman"/>
                <w:sz w:val="22"/>
              </w:rPr>
            </w:pPr>
          </w:p>
        </w:tc>
        <w:tc>
          <w:tcPr>
            <w:tcW w:w="7465" w:type="dxa"/>
          </w:tcPr>
          <w:p>
            <w:pPr>
              <w:pStyle w:val="TableParagraph"/>
              <w:spacing w:before="29"/>
              <w:ind w:left="101"/>
              <w:rPr>
                <w:sz w:val="22"/>
              </w:rPr>
            </w:pPr>
            <w:r>
              <w:rPr>
                <w:color w:val="000000"/>
                <w:spacing w:val="-3"/>
                <w:sz w:val="22"/>
                <w:shd w:fill="E4E4E4" w:color="auto" w:val="clear"/>
              </w:rPr>
              <w:t>不在保障范围之内。</w:t>
            </w:r>
          </w:p>
        </w:tc>
      </w:tr>
      <w:tr>
        <w:trPr>
          <w:trHeight w:val="986" w:hRule="atLeast"/>
        </w:trPr>
        <w:tc>
          <w:tcPr>
            <w:tcW w:w="728" w:type="dxa"/>
          </w:tcPr>
          <w:p>
            <w:pPr>
              <w:pStyle w:val="TableParagraph"/>
              <w:spacing w:before="12"/>
              <w:rPr>
                <w:sz w:val="19"/>
              </w:rPr>
            </w:pPr>
          </w:p>
          <w:p>
            <w:pPr>
              <w:pStyle w:val="TableParagraph"/>
              <w:ind w:left="50"/>
              <w:rPr>
                <w:b/>
                <w:sz w:val="22"/>
              </w:rPr>
            </w:pPr>
            <w:r>
              <w:rPr>
                <w:b/>
                <w:spacing w:val="-2"/>
                <w:sz w:val="22"/>
              </w:rPr>
              <w:t>12.45</w:t>
            </w:r>
          </w:p>
        </w:tc>
        <w:tc>
          <w:tcPr>
            <w:tcW w:w="1548" w:type="dxa"/>
          </w:tcPr>
          <w:p>
            <w:pPr>
              <w:pStyle w:val="TableParagraph"/>
              <w:spacing w:line="380" w:lineRule="atLeast" w:before="195"/>
              <w:ind w:left="123" w:right="99"/>
              <w:rPr>
                <w:rFonts w:ascii="华文中宋" w:eastAsia="华文中宋" w:hint="eastAsia"/>
                <w:b/>
                <w:sz w:val="22"/>
              </w:rPr>
            </w:pPr>
            <w:r>
              <w:rPr>
                <w:rFonts w:ascii="华文中宋" w:eastAsia="华文中宋" w:hint="eastAsia"/>
                <w:b/>
                <w:spacing w:val="-2"/>
                <w:sz w:val="22"/>
              </w:rPr>
              <w:t>急性肾衰竭肾</w:t>
            </w:r>
            <w:r>
              <w:rPr>
                <w:rFonts w:ascii="华文中宋" w:eastAsia="华文中宋" w:hint="eastAsia"/>
                <w:b/>
                <w:spacing w:val="-4"/>
                <w:sz w:val="22"/>
              </w:rPr>
              <w:t>脏透析治疗</w:t>
            </w:r>
          </w:p>
        </w:tc>
        <w:tc>
          <w:tcPr>
            <w:tcW w:w="7465" w:type="dxa"/>
          </w:tcPr>
          <w:p>
            <w:pPr>
              <w:pStyle w:val="TableParagraph"/>
              <w:spacing w:line="380" w:lineRule="atLeast" w:before="158"/>
              <w:ind w:left="101" w:right="48"/>
              <w:rPr>
                <w:sz w:val="22"/>
              </w:rPr>
            </w:pPr>
            <w:r>
              <w:rPr>
                <w:spacing w:val="3"/>
                <w:w w:val="100"/>
                <w:sz w:val="22"/>
              </w:rPr>
              <w:t>急性肾衰竭</w:t>
            </w:r>
            <w:r>
              <w:rPr>
                <w:spacing w:val="4"/>
                <w:w w:val="100"/>
                <w:sz w:val="22"/>
              </w:rPr>
              <w:t>（</w:t>
            </w:r>
            <w:r>
              <w:rPr>
                <w:spacing w:val="-1"/>
                <w:w w:val="100"/>
                <w:sz w:val="22"/>
              </w:rPr>
              <w:t>AR</w:t>
            </w:r>
            <w:r>
              <w:rPr>
                <w:spacing w:val="4"/>
                <w:w w:val="100"/>
                <w:sz w:val="22"/>
              </w:rPr>
              <w:t>F）</w:t>
            </w:r>
            <w:r>
              <w:rPr>
                <w:spacing w:val="2"/>
                <w:w w:val="100"/>
                <w:sz w:val="22"/>
              </w:rPr>
              <w:t>是指各种病因引起的肾功能在短期内</w:t>
            </w:r>
            <w:r>
              <w:rPr>
                <w:spacing w:val="4"/>
                <w:w w:val="100"/>
                <w:sz w:val="22"/>
              </w:rPr>
              <w:t>（</w:t>
            </w:r>
            <w:r>
              <w:rPr>
                <w:spacing w:val="3"/>
                <w:w w:val="100"/>
                <w:sz w:val="22"/>
              </w:rPr>
              <w:t>数小时或数周</w:t>
            </w:r>
            <w:r>
              <w:rPr>
                <w:w w:val="100"/>
                <w:sz w:val="22"/>
              </w:rPr>
              <w:t>）</w:t>
            </w:r>
            <w:r>
              <w:rPr>
                <w:spacing w:val="-1"/>
                <w:w w:val="100"/>
                <w:sz w:val="22"/>
              </w:rPr>
              <w:t>急剧进行性下降，导致体内氮质产物潴留而出现的临床综合征，国际上近年</w:t>
            </w:r>
          </w:p>
        </w:tc>
      </w:tr>
      <w:tr>
        <w:trPr>
          <w:trHeight w:val="360" w:hRule="atLeast"/>
        </w:trPr>
        <w:tc>
          <w:tcPr>
            <w:tcW w:w="728" w:type="dxa"/>
          </w:tcPr>
          <w:p>
            <w:pPr>
              <w:pStyle w:val="TableParagraph"/>
              <w:rPr>
                <w:rFonts w:ascii="Times New Roman"/>
                <w:sz w:val="22"/>
              </w:rPr>
            </w:pPr>
          </w:p>
        </w:tc>
        <w:tc>
          <w:tcPr>
            <w:tcW w:w="1548" w:type="dxa"/>
          </w:tcPr>
          <w:p>
            <w:pPr>
              <w:pStyle w:val="TableParagraph"/>
              <w:rPr>
                <w:rFonts w:ascii="Times New Roman"/>
                <w:sz w:val="22"/>
              </w:rPr>
            </w:pPr>
          </w:p>
        </w:tc>
        <w:tc>
          <w:tcPr>
            <w:tcW w:w="7465" w:type="dxa"/>
          </w:tcPr>
          <w:p>
            <w:pPr>
              <w:pStyle w:val="TableParagraph"/>
              <w:spacing w:before="30"/>
              <w:ind w:left="101"/>
              <w:rPr>
                <w:sz w:val="22"/>
              </w:rPr>
            </w:pPr>
            <w:r>
              <w:rPr>
                <w:sz w:val="22"/>
              </w:rPr>
              <w:t>来改称为急性肾损伤（AKI）</w:t>
            </w:r>
            <w:r>
              <w:rPr>
                <w:spacing w:val="-1"/>
                <w:sz w:val="22"/>
              </w:rPr>
              <w:t>。急性肾衰竭肾脏透析治疗指诊断为急性肾衰</w:t>
            </w:r>
          </w:p>
        </w:tc>
      </w:tr>
      <w:tr>
        <w:trPr>
          <w:trHeight w:val="300" w:hRule="atLeast"/>
        </w:trPr>
        <w:tc>
          <w:tcPr>
            <w:tcW w:w="728" w:type="dxa"/>
          </w:tcPr>
          <w:p>
            <w:pPr>
              <w:pStyle w:val="TableParagraph"/>
              <w:rPr>
                <w:rFonts w:ascii="Times New Roman"/>
                <w:sz w:val="22"/>
              </w:rPr>
            </w:pPr>
          </w:p>
        </w:tc>
        <w:tc>
          <w:tcPr>
            <w:tcW w:w="1548" w:type="dxa"/>
          </w:tcPr>
          <w:p>
            <w:pPr>
              <w:pStyle w:val="TableParagraph"/>
              <w:rPr>
                <w:rFonts w:ascii="Times New Roman"/>
                <w:sz w:val="22"/>
              </w:rPr>
            </w:pPr>
          </w:p>
        </w:tc>
        <w:tc>
          <w:tcPr>
            <w:tcW w:w="7465" w:type="dxa"/>
          </w:tcPr>
          <w:p>
            <w:pPr>
              <w:pStyle w:val="TableParagraph"/>
              <w:spacing w:line="231" w:lineRule="exact" w:before="49"/>
              <w:ind w:left="101"/>
              <w:rPr>
                <w:sz w:val="22"/>
              </w:rPr>
            </w:pPr>
            <w:r>
              <w:rPr>
                <w:spacing w:val="-2"/>
                <w:sz w:val="22"/>
              </w:rPr>
              <w:t>竭，</w:t>
            </w:r>
            <w:r>
              <w:rPr>
                <w:color w:val="000000"/>
                <w:spacing w:val="-3"/>
                <w:sz w:val="22"/>
                <w:shd w:fill="E4E4E4" w:color="auto" w:val="clear"/>
              </w:rPr>
              <w:t>且满足下列全部条件：</w:t>
            </w:r>
          </w:p>
        </w:tc>
      </w:tr>
    </w:tbl>
    <w:p>
      <w:pPr>
        <w:pStyle w:val="ListParagraph"/>
        <w:numPr>
          <w:ilvl w:val="2"/>
          <w:numId w:val="80"/>
        </w:numPr>
        <w:tabs>
          <w:tab w:pos="2935" w:val="left" w:leader="none"/>
        </w:tabs>
        <w:spacing w:line="240" w:lineRule="auto" w:before="130" w:after="0"/>
        <w:ind w:left="2934" w:right="0" w:hanging="455"/>
        <w:jc w:val="left"/>
        <w:rPr>
          <w:sz w:val="22"/>
        </w:rPr>
      </w:pPr>
      <w:r>
        <w:rPr>
          <w:spacing w:val="-2"/>
          <w:sz w:val="22"/>
        </w:rPr>
        <w:t>少尿或无尿2</w:t>
      </w:r>
      <w:r>
        <w:rPr>
          <w:spacing w:val="-4"/>
          <w:sz w:val="22"/>
        </w:rPr>
        <w:t>天以上；</w:t>
      </w:r>
    </w:p>
    <w:p>
      <w:pPr>
        <w:pStyle w:val="ListParagraph"/>
        <w:numPr>
          <w:ilvl w:val="2"/>
          <w:numId w:val="80"/>
        </w:numPr>
        <w:tabs>
          <w:tab w:pos="2935" w:val="left" w:leader="none"/>
        </w:tabs>
        <w:spacing w:line="240" w:lineRule="auto" w:before="100" w:after="0"/>
        <w:ind w:left="2934" w:right="0" w:hanging="455"/>
        <w:jc w:val="left"/>
        <w:rPr>
          <w:sz w:val="22"/>
        </w:rPr>
      </w:pPr>
      <w:r>
        <w:rPr>
          <w:sz w:val="22"/>
        </w:rPr>
        <w:t>血肌酐（Scr）＞5mg/dl</w:t>
      </w:r>
      <w:r>
        <w:rPr>
          <w:spacing w:val="-8"/>
          <w:sz w:val="22"/>
        </w:rPr>
        <w:t> 或＞</w:t>
      </w:r>
      <w:r>
        <w:rPr>
          <w:spacing w:val="-2"/>
          <w:sz w:val="22"/>
        </w:rPr>
        <w:t>442µmol/L；</w:t>
      </w:r>
    </w:p>
    <w:p>
      <w:pPr>
        <w:pStyle w:val="ListParagraph"/>
        <w:numPr>
          <w:ilvl w:val="2"/>
          <w:numId w:val="80"/>
        </w:numPr>
        <w:tabs>
          <w:tab w:pos="2935" w:val="left" w:leader="none"/>
        </w:tabs>
        <w:spacing w:line="240" w:lineRule="auto" w:before="97" w:after="0"/>
        <w:ind w:left="2934" w:right="0" w:hanging="455"/>
        <w:jc w:val="left"/>
        <w:rPr>
          <w:sz w:val="22"/>
        </w:rPr>
      </w:pPr>
      <w:r>
        <w:rPr>
          <w:spacing w:val="-2"/>
          <w:sz w:val="22"/>
        </w:rPr>
        <w:t>血钾＞6.5mmol/L；</w:t>
      </w:r>
    </w:p>
    <w:p>
      <w:pPr>
        <w:pStyle w:val="ListParagraph"/>
        <w:numPr>
          <w:ilvl w:val="2"/>
          <w:numId w:val="80"/>
        </w:numPr>
        <w:tabs>
          <w:tab w:pos="2935" w:val="left" w:leader="none"/>
        </w:tabs>
        <w:spacing w:line="240" w:lineRule="auto" w:before="98" w:after="0"/>
        <w:ind w:left="2934" w:right="0" w:hanging="455"/>
        <w:jc w:val="left"/>
        <w:rPr>
          <w:sz w:val="22"/>
        </w:rPr>
      </w:pPr>
      <w:r>
        <w:rPr>
          <w:spacing w:val="-3"/>
          <w:sz w:val="22"/>
        </w:rPr>
        <w:t>接受了血液透析治疗。</w:t>
      </w:r>
    </w:p>
    <w:p>
      <w:pPr>
        <w:pStyle w:val="BodyText"/>
        <w:rPr>
          <w:sz w:val="20"/>
        </w:rPr>
      </w:pPr>
    </w:p>
    <w:p>
      <w:pPr>
        <w:pStyle w:val="BodyText"/>
        <w:spacing w:before="2"/>
        <w:rPr>
          <w:sz w:val="17"/>
        </w:rPr>
      </w:pPr>
    </w:p>
    <w:tbl>
      <w:tblPr>
        <w:tblW w:w="0" w:type="auto"/>
        <w:jc w:val="left"/>
        <w:tblInd w:w="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8"/>
        <w:gridCol w:w="1548"/>
        <w:gridCol w:w="7465"/>
      </w:tblGrid>
      <w:tr>
        <w:trPr>
          <w:trHeight w:val="1285" w:hRule="atLeast"/>
        </w:trPr>
        <w:tc>
          <w:tcPr>
            <w:tcW w:w="728" w:type="dxa"/>
          </w:tcPr>
          <w:p>
            <w:pPr>
              <w:pStyle w:val="TableParagraph"/>
              <w:spacing w:before="2"/>
              <w:ind w:left="50"/>
              <w:rPr>
                <w:b/>
                <w:sz w:val="22"/>
              </w:rPr>
            </w:pPr>
            <w:r>
              <w:rPr>
                <w:b/>
                <w:spacing w:val="-2"/>
                <w:sz w:val="22"/>
              </w:rPr>
              <w:t>12.46</w:t>
            </w:r>
          </w:p>
        </w:tc>
        <w:tc>
          <w:tcPr>
            <w:tcW w:w="1548" w:type="dxa"/>
          </w:tcPr>
          <w:p>
            <w:pPr>
              <w:pStyle w:val="TableParagraph"/>
              <w:spacing w:line="322" w:lineRule="exact"/>
              <w:ind w:left="123"/>
              <w:rPr>
                <w:rFonts w:ascii="华文中宋" w:eastAsia="华文中宋" w:hint="eastAsia"/>
                <w:b/>
                <w:sz w:val="22"/>
              </w:rPr>
            </w:pPr>
            <w:r>
              <w:rPr>
                <w:rFonts w:ascii="华文中宋" w:eastAsia="华文中宋" w:hint="eastAsia"/>
                <w:b/>
                <w:spacing w:val="-4"/>
                <w:sz w:val="22"/>
              </w:rPr>
              <w:t>急性出血坏死</w:t>
            </w:r>
          </w:p>
          <w:p>
            <w:pPr>
              <w:pStyle w:val="TableParagraph"/>
              <w:spacing w:line="261" w:lineRule="auto" w:before="30"/>
              <w:ind w:left="123" w:right="99"/>
              <w:rPr>
                <w:rFonts w:ascii="华文中宋" w:eastAsia="华文中宋" w:hint="eastAsia"/>
                <w:b/>
                <w:sz w:val="22"/>
              </w:rPr>
            </w:pPr>
            <w:r>
              <w:rPr>
                <w:rFonts w:ascii="华文中宋" w:eastAsia="华文中宋" w:hint="eastAsia"/>
                <w:b/>
                <w:spacing w:val="-2"/>
                <w:sz w:val="22"/>
              </w:rPr>
              <w:t>性胰腺炎腹腔</w:t>
            </w:r>
            <w:r>
              <w:rPr>
                <w:rFonts w:ascii="华文中宋" w:eastAsia="华文中宋" w:hint="eastAsia"/>
                <w:b/>
                <w:spacing w:val="-4"/>
                <w:sz w:val="22"/>
              </w:rPr>
              <w:t>镜手术</w:t>
            </w:r>
          </w:p>
        </w:tc>
        <w:tc>
          <w:tcPr>
            <w:tcW w:w="7465" w:type="dxa"/>
          </w:tcPr>
          <w:p>
            <w:pPr>
              <w:pStyle w:val="TableParagraph"/>
              <w:spacing w:line="324" w:lineRule="auto" w:before="2"/>
              <w:ind w:left="101" w:right="48"/>
              <w:rPr>
                <w:sz w:val="22"/>
              </w:rPr>
            </w:pPr>
            <w:r>
              <w:rPr>
                <w:spacing w:val="6"/>
                <w:w w:val="100"/>
                <w:sz w:val="22"/>
              </w:rPr>
              <w:t>指被保险人确诊为急性出血性坏死性胰腺炎，并实际接受了腹腔镜手术治</w:t>
            </w:r>
            <w:r>
              <w:rPr>
                <w:spacing w:val="-3"/>
                <w:w w:val="100"/>
                <w:sz w:val="22"/>
              </w:rPr>
              <w:t>疗，以进行坏死组织清除、坏死病灶切除或胰腺切除。</w:t>
            </w:r>
          </w:p>
          <w:p>
            <w:pPr>
              <w:pStyle w:val="TableParagraph"/>
              <w:spacing w:line="282" w:lineRule="exact"/>
              <w:ind w:left="101"/>
              <w:rPr>
                <w:sz w:val="22"/>
              </w:rPr>
            </w:pPr>
            <w:r>
              <w:rPr>
                <w:color w:val="000000"/>
                <w:spacing w:val="-3"/>
                <w:sz w:val="22"/>
                <w:shd w:fill="E4E4E4" w:color="auto" w:val="clear"/>
              </w:rPr>
              <w:t>因酗酒或饮酒过量所致的急性坏死胰腺炎不在保障范围内。</w:t>
            </w:r>
          </w:p>
        </w:tc>
      </w:tr>
      <w:tr>
        <w:trPr>
          <w:trHeight w:val="1347" w:hRule="atLeast"/>
        </w:trPr>
        <w:tc>
          <w:tcPr>
            <w:tcW w:w="728" w:type="dxa"/>
          </w:tcPr>
          <w:p>
            <w:pPr>
              <w:pStyle w:val="TableParagraph"/>
              <w:spacing w:before="5"/>
              <w:rPr>
                <w:sz w:val="18"/>
              </w:rPr>
            </w:pPr>
          </w:p>
          <w:p>
            <w:pPr>
              <w:pStyle w:val="TableParagraph"/>
              <w:spacing w:before="1"/>
              <w:ind w:left="50"/>
              <w:rPr>
                <w:b/>
                <w:sz w:val="22"/>
              </w:rPr>
            </w:pPr>
            <w:r>
              <w:rPr>
                <w:b/>
                <w:spacing w:val="-2"/>
                <w:sz w:val="22"/>
              </w:rPr>
              <w:t>12.47</w:t>
            </w:r>
          </w:p>
        </w:tc>
        <w:tc>
          <w:tcPr>
            <w:tcW w:w="1548" w:type="dxa"/>
          </w:tcPr>
          <w:p>
            <w:pPr>
              <w:pStyle w:val="TableParagraph"/>
              <w:spacing w:line="261" w:lineRule="auto" w:before="206"/>
              <w:ind w:left="123" w:right="99"/>
              <w:rPr>
                <w:rFonts w:ascii="华文中宋" w:eastAsia="华文中宋" w:hint="eastAsia"/>
                <w:b/>
                <w:sz w:val="22"/>
              </w:rPr>
            </w:pPr>
            <w:r>
              <w:rPr>
                <w:rFonts w:ascii="华文中宋" w:eastAsia="华文中宋" w:hint="eastAsia"/>
                <w:b/>
                <w:spacing w:val="-2"/>
                <w:sz w:val="22"/>
              </w:rPr>
              <w:t>严重长管骨慢</w:t>
            </w:r>
            <w:r>
              <w:rPr>
                <w:rFonts w:ascii="华文中宋" w:eastAsia="华文中宋" w:hint="eastAsia"/>
                <w:b/>
                <w:spacing w:val="-4"/>
                <w:sz w:val="22"/>
              </w:rPr>
              <w:t>性骨髓炎手术</w:t>
            </w:r>
          </w:p>
          <w:p>
            <w:pPr>
              <w:pStyle w:val="TableParagraph"/>
              <w:spacing w:line="349" w:lineRule="exact"/>
              <w:ind w:left="123"/>
              <w:rPr>
                <w:rFonts w:ascii="华文中宋" w:eastAsia="华文中宋" w:hint="eastAsia"/>
                <w:b/>
                <w:sz w:val="22"/>
              </w:rPr>
            </w:pPr>
            <w:r>
              <w:rPr>
                <w:rFonts w:ascii="华文中宋" w:eastAsia="华文中宋" w:hint="eastAsia"/>
                <w:b/>
                <w:spacing w:val="-6"/>
                <w:sz w:val="22"/>
              </w:rPr>
              <w:t>治疗</w:t>
            </w:r>
          </w:p>
        </w:tc>
        <w:tc>
          <w:tcPr>
            <w:tcW w:w="7465" w:type="dxa"/>
          </w:tcPr>
          <w:p>
            <w:pPr>
              <w:pStyle w:val="TableParagraph"/>
              <w:spacing w:before="5"/>
              <w:rPr>
                <w:sz w:val="18"/>
              </w:rPr>
            </w:pPr>
          </w:p>
          <w:p>
            <w:pPr>
              <w:pStyle w:val="TableParagraph"/>
              <w:spacing w:line="324" w:lineRule="auto" w:before="1"/>
              <w:ind w:left="101" w:right="48"/>
              <w:rPr>
                <w:sz w:val="22"/>
              </w:rPr>
            </w:pPr>
            <w:r>
              <w:rPr>
                <w:spacing w:val="-2"/>
                <w:sz w:val="22"/>
              </w:rPr>
              <w:t>因长管骨慢性骨髓炎形成窦道，被保险人在手术清除死骨、化脓及坏死组织</w:t>
            </w:r>
            <w:r>
              <w:rPr>
                <w:color w:val="000000"/>
                <w:spacing w:val="-2"/>
                <w:sz w:val="22"/>
                <w:shd w:fill="E4E4E4" w:color="auto" w:val="clear"/>
              </w:rPr>
              <w:t>之后实际接受了下列至少一项手术治疗：</w:t>
            </w:r>
          </w:p>
          <w:p>
            <w:pPr>
              <w:pStyle w:val="TableParagraph"/>
              <w:spacing w:line="282" w:lineRule="exact"/>
              <w:ind w:left="101"/>
              <w:rPr>
                <w:sz w:val="22"/>
              </w:rPr>
            </w:pPr>
            <w:r>
              <w:rPr>
                <w:sz w:val="22"/>
              </w:rPr>
              <w:t>(1</w:t>
            </w:r>
            <w:r>
              <w:rPr>
                <w:spacing w:val="-2"/>
                <w:sz w:val="22"/>
              </w:rPr>
              <w:t>) 松质骨移植术；</w:t>
            </w:r>
          </w:p>
        </w:tc>
      </w:tr>
      <w:tr>
        <w:trPr>
          <w:trHeight w:val="360" w:hRule="atLeast"/>
        </w:trPr>
        <w:tc>
          <w:tcPr>
            <w:tcW w:w="728" w:type="dxa"/>
          </w:tcPr>
          <w:p>
            <w:pPr>
              <w:pStyle w:val="TableParagraph"/>
              <w:rPr>
                <w:rFonts w:ascii="Times New Roman"/>
                <w:sz w:val="22"/>
              </w:rPr>
            </w:pPr>
          </w:p>
        </w:tc>
        <w:tc>
          <w:tcPr>
            <w:tcW w:w="1548" w:type="dxa"/>
          </w:tcPr>
          <w:p>
            <w:pPr>
              <w:pStyle w:val="TableParagraph"/>
              <w:rPr>
                <w:rFonts w:ascii="Times New Roman"/>
                <w:sz w:val="22"/>
              </w:rPr>
            </w:pPr>
          </w:p>
        </w:tc>
        <w:tc>
          <w:tcPr>
            <w:tcW w:w="7465" w:type="dxa"/>
          </w:tcPr>
          <w:p>
            <w:pPr>
              <w:pStyle w:val="TableParagraph"/>
              <w:spacing w:before="29"/>
              <w:ind w:left="101"/>
              <w:rPr>
                <w:sz w:val="22"/>
              </w:rPr>
            </w:pPr>
            <w:r>
              <w:rPr>
                <w:sz w:val="22"/>
              </w:rPr>
              <w:t>(2</w:t>
            </w:r>
            <w:r>
              <w:rPr>
                <w:spacing w:val="-3"/>
                <w:sz w:val="22"/>
              </w:rPr>
              <w:t>) 皮瓣、肌皮瓣移植术；</w:t>
            </w:r>
          </w:p>
        </w:tc>
      </w:tr>
      <w:tr>
        <w:trPr>
          <w:trHeight w:val="380" w:hRule="atLeast"/>
        </w:trPr>
        <w:tc>
          <w:tcPr>
            <w:tcW w:w="728" w:type="dxa"/>
          </w:tcPr>
          <w:p>
            <w:pPr>
              <w:pStyle w:val="TableParagraph"/>
              <w:rPr>
                <w:rFonts w:ascii="Times New Roman"/>
                <w:sz w:val="22"/>
              </w:rPr>
            </w:pPr>
          </w:p>
        </w:tc>
        <w:tc>
          <w:tcPr>
            <w:tcW w:w="1548" w:type="dxa"/>
          </w:tcPr>
          <w:p>
            <w:pPr>
              <w:pStyle w:val="TableParagraph"/>
              <w:rPr>
                <w:rFonts w:ascii="Times New Roman"/>
                <w:sz w:val="22"/>
              </w:rPr>
            </w:pPr>
          </w:p>
        </w:tc>
        <w:tc>
          <w:tcPr>
            <w:tcW w:w="7465" w:type="dxa"/>
          </w:tcPr>
          <w:p>
            <w:pPr>
              <w:pStyle w:val="TableParagraph"/>
              <w:spacing w:before="50"/>
              <w:ind w:left="101"/>
              <w:rPr>
                <w:sz w:val="22"/>
              </w:rPr>
            </w:pPr>
            <w:r>
              <w:rPr>
                <w:sz w:val="22"/>
              </w:rPr>
              <w:t>(3</w:t>
            </w:r>
            <w:r>
              <w:rPr>
                <w:spacing w:val="-2"/>
                <w:sz w:val="22"/>
              </w:rPr>
              <w:t>) 骨皮瓣转移术；</w:t>
            </w:r>
          </w:p>
        </w:tc>
      </w:tr>
      <w:tr>
        <w:trPr>
          <w:trHeight w:val="379" w:hRule="atLeast"/>
        </w:trPr>
        <w:tc>
          <w:tcPr>
            <w:tcW w:w="728" w:type="dxa"/>
          </w:tcPr>
          <w:p>
            <w:pPr>
              <w:pStyle w:val="TableParagraph"/>
              <w:rPr>
                <w:rFonts w:ascii="Times New Roman"/>
                <w:sz w:val="22"/>
              </w:rPr>
            </w:pPr>
          </w:p>
        </w:tc>
        <w:tc>
          <w:tcPr>
            <w:tcW w:w="1548" w:type="dxa"/>
          </w:tcPr>
          <w:p>
            <w:pPr>
              <w:pStyle w:val="TableParagraph"/>
              <w:rPr>
                <w:rFonts w:ascii="Times New Roman"/>
                <w:sz w:val="22"/>
              </w:rPr>
            </w:pPr>
          </w:p>
        </w:tc>
        <w:tc>
          <w:tcPr>
            <w:tcW w:w="7465" w:type="dxa"/>
          </w:tcPr>
          <w:p>
            <w:pPr>
              <w:pStyle w:val="TableParagraph"/>
              <w:spacing w:before="49"/>
              <w:ind w:left="101"/>
              <w:rPr>
                <w:sz w:val="22"/>
              </w:rPr>
            </w:pPr>
            <w:r>
              <w:rPr>
                <w:sz w:val="22"/>
              </w:rPr>
              <w:t>(4</w:t>
            </w:r>
            <w:r>
              <w:rPr>
                <w:spacing w:val="-2"/>
                <w:sz w:val="22"/>
              </w:rPr>
              <w:t>) 骨搬移术；</w:t>
            </w:r>
          </w:p>
        </w:tc>
      </w:tr>
      <w:tr>
        <w:trPr>
          <w:trHeight w:val="553" w:hRule="atLeast"/>
        </w:trPr>
        <w:tc>
          <w:tcPr>
            <w:tcW w:w="728" w:type="dxa"/>
          </w:tcPr>
          <w:p>
            <w:pPr>
              <w:pStyle w:val="TableParagraph"/>
              <w:rPr>
                <w:rFonts w:ascii="Times New Roman"/>
                <w:sz w:val="22"/>
              </w:rPr>
            </w:pPr>
          </w:p>
        </w:tc>
        <w:tc>
          <w:tcPr>
            <w:tcW w:w="1548" w:type="dxa"/>
          </w:tcPr>
          <w:p>
            <w:pPr>
              <w:pStyle w:val="TableParagraph"/>
              <w:rPr>
                <w:rFonts w:ascii="Times New Roman"/>
                <w:sz w:val="22"/>
              </w:rPr>
            </w:pPr>
          </w:p>
        </w:tc>
        <w:tc>
          <w:tcPr>
            <w:tcW w:w="7465" w:type="dxa"/>
          </w:tcPr>
          <w:p>
            <w:pPr>
              <w:pStyle w:val="TableParagraph"/>
              <w:spacing w:before="49"/>
              <w:ind w:left="101"/>
              <w:rPr>
                <w:sz w:val="22"/>
              </w:rPr>
            </w:pPr>
            <w:r>
              <w:rPr>
                <w:sz w:val="22"/>
              </w:rPr>
              <w:t>(5</w:t>
            </w:r>
            <w:r>
              <w:rPr>
                <w:spacing w:val="-2"/>
                <w:sz w:val="22"/>
              </w:rPr>
              <w:t>) 截肢</w:t>
            </w:r>
            <w:r>
              <w:rPr>
                <w:sz w:val="22"/>
              </w:rPr>
              <w:t>（指、趾）</w:t>
            </w:r>
            <w:r>
              <w:rPr>
                <w:spacing w:val="-5"/>
                <w:sz w:val="22"/>
              </w:rPr>
              <w:t>术。</w:t>
            </w:r>
          </w:p>
        </w:tc>
      </w:tr>
      <w:tr>
        <w:trPr>
          <w:trHeight w:val="605" w:hRule="atLeast"/>
        </w:trPr>
        <w:tc>
          <w:tcPr>
            <w:tcW w:w="728" w:type="dxa"/>
          </w:tcPr>
          <w:p>
            <w:pPr>
              <w:pStyle w:val="TableParagraph"/>
              <w:spacing w:before="12"/>
              <w:rPr>
                <w:sz w:val="19"/>
              </w:rPr>
            </w:pPr>
          </w:p>
          <w:p>
            <w:pPr>
              <w:pStyle w:val="TableParagraph"/>
              <w:ind w:left="50"/>
              <w:rPr>
                <w:b/>
                <w:sz w:val="22"/>
              </w:rPr>
            </w:pPr>
            <w:r>
              <w:rPr>
                <w:b/>
                <w:spacing w:val="-2"/>
                <w:sz w:val="22"/>
              </w:rPr>
              <w:t>12.48</w:t>
            </w:r>
          </w:p>
        </w:tc>
        <w:tc>
          <w:tcPr>
            <w:tcW w:w="1548" w:type="dxa"/>
          </w:tcPr>
          <w:p>
            <w:pPr>
              <w:pStyle w:val="TableParagraph"/>
              <w:spacing w:before="226"/>
              <w:ind w:left="123"/>
              <w:rPr>
                <w:rFonts w:ascii="华文中宋" w:eastAsia="华文中宋" w:hint="eastAsia"/>
                <w:b/>
                <w:sz w:val="22"/>
              </w:rPr>
            </w:pPr>
            <w:r>
              <w:rPr>
                <w:rFonts w:ascii="华文中宋" w:eastAsia="华文中宋" w:hint="eastAsia"/>
                <w:b/>
                <w:spacing w:val="-2"/>
                <w:sz w:val="22"/>
              </w:rPr>
              <w:t>昏迷48</w:t>
            </w:r>
            <w:r>
              <w:rPr>
                <w:rFonts w:ascii="华文中宋" w:eastAsia="华文中宋" w:hint="eastAsia"/>
                <w:b/>
                <w:spacing w:val="-7"/>
                <w:sz w:val="22"/>
              </w:rPr>
              <w:t>小时</w:t>
            </w:r>
          </w:p>
        </w:tc>
        <w:tc>
          <w:tcPr>
            <w:tcW w:w="7465" w:type="dxa"/>
          </w:tcPr>
          <w:p>
            <w:pPr>
              <w:pStyle w:val="TableParagraph"/>
              <w:spacing w:before="12"/>
              <w:rPr>
                <w:sz w:val="19"/>
              </w:rPr>
            </w:pPr>
          </w:p>
          <w:p>
            <w:pPr>
              <w:pStyle w:val="TableParagraph"/>
              <w:ind w:left="101"/>
              <w:rPr>
                <w:sz w:val="22"/>
              </w:rPr>
            </w:pPr>
            <w:r>
              <w:rPr>
                <w:spacing w:val="-1"/>
                <w:sz w:val="22"/>
              </w:rPr>
              <w:t>指因疾病或意外伤害导致意识丧失，对外界刺激和体内需求均无反应，昏迷</w:t>
            </w:r>
          </w:p>
        </w:tc>
      </w:tr>
      <w:tr>
        <w:trPr>
          <w:trHeight w:val="360" w:hRule="atLeast"/>
        </w:trPr>
        <w:tc>
          <w:tcPr>
            <w:tcW w:w="728" w:type="dxa"/>
          </w:tcPr>
          <w:p>
            <w:pPr>
              <w:pStyle w:val="TableParagraph"/>
              <w:rPr>
                <w:rFonts w:ascii="Times New Roman"/>
                <w:sz w:val="22"/>
              </w:rPr>
            </w:pPr>
          </w:p>
        </w:tc>
        <w:tc>
          <w:tcPr>
            <w:tcW w:w="1548" w:type="dxa"/>
          </w:tcPr>
          <w:p>
            <w:pPr>
              <w:pStyle w:val="TableParagraph"/>
              <w:rPr>
                <w:rFonts w:ascii="Times New Roman"/>
                <w:sz w:val="22"/>
              </w:rPr>
            </w:pPr>
          </w:p>
        </w:tc>
        <w:tc>
          <w:tcPr>
            <w:tcW w:w="7465" w:type="dxa"/>
          </w:tcPr>
          <w:p>
            <w:pPr>
              <w:pStyle w:val="TableParagraph"/>
              <w:spacing w:before="29"/>
              <w:ind w:left="101"/>
              <w:rPr>
                <w:sz w:val="22"/>
              </w:rPr>
            </w:pPr>
            <w:r>
              <w:rPr>
                <w:sz w:val="22"/>
              </w:rPr>
              <w:t>程度按照格拉斯哥昏迷分级（GCS，Glasgow</w:t>
            </w:r>
            <w:r>
              <w:rPr>
                <w:spacing w:val="54"/>
                <w:sz w:val="22"/>
              </w:rPr>
              <w:t> </w:t>
            </w:r>
            <w:r>
              <w:rPr>
                <w:sz w:val="22"/>
              </w:rPr>
              <w:t>Coma</w:t>
            </w:r>
            <w:r>
              <w:rPr>
                <w:spacing w:val="50"/>
                <w:sz w:val="22"/>
              </w:rPr>
              <w:t> </w:t>
            </w:r>
            <w:r>
              <w:rPr>
                <w:sz w:val="22"/>
              </w:rPr>
              <w:t>Scale）结果为5分或5</w:t>
            </w:r>
            <w:r>
              <w:rPr>
                <w:spacing w:val="-10"/>
                <w:sz w:val="22"/>
              </w:rPr>
              <w:t>分</w:t>
            </w:r>
          </w:p>
        </w:tc>
      </w:tr>
      <w:tr>
        <w:trPr>
          <w:trHeight w:val="380" w:hRule="atLeast"/>
        </w:trPr>
        <w:tc>
          <w:tcPr>
            <w:tcW w:w="728" w:type="dxa"/>
          </w:tcPr>
          <w:p>
            <w:pPr>
              <w:pStyle w:val="TableParagraph"/>
              <w:rPr>
                <w:rFonts w:ascii="Times New Roman"/>
                <w:sz w:val="22"/>
              </w:rPr>
            </w:pPr>
          </w:p>
        </w:tc>
        <w:tc>
          <w:tcPr>
            <w:tcW w:w="1548" w:type="dxa"/>
          </w:tcPr>
          <w:p>
            <w:pPr>
              <w:pStyle w:val="TableParagraph"/>
              <w:rPr>
                <w:rFonts w:ascii="Times New Roman"/>
                <w:sz w:val="22"/>
              </w:rPr>
            </w:pPr>
          </w:p>
        </w:tc>
        <w:tc>
          <w:tcPr>
            <w:tcW w:w="7465" w:type="dxa"/>
          </w:tcPr>
          <w:p>
            <w:pPr>
              <w:pStyle w:val="TableParagraph"/>
              <w:spacing w:before="50"/>
              <w:ind w:left="101"/>
              <w:rPr>
                <w:sz w:val="22"/>
              </w:rPr>
            </w:pPr>
            <w:r>
              <w:rPr>
                <w:sz w:val="22"/>
              </w:rPr>
              <w:t>以下，且已经持续使用呼吸机及其它生命维持系统48小时以上，但未达到</w:t>
            </w:r>
            <w:r>
              <w:rPr>
                <w:spacing w:val="-5"/>
                <w:sz w:val="22"/>
              </w:rPr>
              <w:t>72</w:t>
            </w:r>
          </w:p>
        </w:tc>
      </w:tr>
      <w:tr>
        <w:trPr>
          <w:trHeight w:val="552" w:hRule="atLeast"/>
        </w:trPr>
        <w:tc>
          <w:tcPr>
            <w:tcW w:w="728" w:type="dxa"/>
          </w:tcPr>
          <w:p>
            <w:pPr>
              <w:pStyle w:val="TableParagraph"/>
              <w:rPr>
                <w:rFonts w:ascii="Times New Roman"/>
                <w:sz w:val="22"/>
              </w:rPr>
            </w:pPr>
          </w:p>
        </w:tc>
        <w:tc>
          <w:tcPr>
            <w:tcW w:w="1548" w:type="dxa"/>
          </w:tcPr>
          <w:p>
            <w:pPr>
              <w:pStyle w:val="TableParagraph"/>
              <w:rPr>
                <w:rFonts w:ascii="Times New Roman"/>
                <w:sz w:val="22"/>
              </w:rPr>
            </w:pPr>
          </w:p>
        </w:tc>
        <w:tc>
          <w:tcPr>
            <w:tcW w:w="7465" w:type="dxa"/>
          </w:tcPr>
          <w:p>
            <w:pPr>
              <w:pStyle w:val="TableParagraph"/>
              <w:spacing w:before="49"/>
              <w:ind w:left="101"/>
              <w:rPr>
                <w:sz w:val="22"/>
              </w:rPr>
            </w:pPr>
            <w:r>
              <w:rPr>
                <w:spacing w:val="-2"/>
                <w:sz w:val="22"/>
              </w:rPr>
              <w:t>小时。</w:t>
            </w:r>
            <w:r>
              <w:rPr>
                <w:color w:val="000000"/>
                <w:spacing w:val="-3"/>
                <w:sz w:val="22"/>
                <w:shd w:fill="E4E4E4" w:color="auto" w:val="clear"/>
              </w:rPr>
              <w:t>因酗酒或药物滥用导致的昏迷不在保障范围内。</w:t>
            </w:r>
          </w:p>
        </w:tc>
      </w:tr>
      <w:tr>
        <w:trPr>
          <w:trHeight w:val="926" w:hRule="atLeast"/>
        </w:trPr>
        <w:tc>
          <w:tcPr>
            <w:tcW w:w="728" w:type="dxa"/>
          </w:tcPr>
          <w:p>
            <w:pPr>
              <w:pStyle w:val="TableParagraph"/>
              <w:spacing w:before="1"/>
              <w:rPr>
                <w:sz w:val="20"/>
              </w:rPr>
            </w:pPr>
          </w:p>
          <w:p>
            <w:pPr>
              <w:pStyle w:val="TableParagraph"/>
              <w:ind w:left="50"/>
              <w:rPr>
                <w:b/>
                <w:sz w:val="22"/>
              </w:rPr>
            </w:pPr>
            <w:r>
              <w:rPr>
                <w:b/>
                <w:spacing w:val="-2"/>
                <w:sz w:val="22"/>
              </w:rPr>
              <w:t>12.49</w:t>
            </w:r>
          </w:p>
        </w:tc>
        <w:tc>
          <w:tcPr>
            <w:tcW w:w="1548" w:type="dxa"/>
          </w:tcPr>
          <w:p>
            <w:pPr>
              <w:pStyle w:val="TableParagraph"/>
              <w:spacing w:line="380" w:lineRule="atLeast" w:before="174"/>
              <w:ind w:left="123" w:right="99"/>
              <w:rPr>
                <w:rFonts w:ascii="华文中宋" w:hAnsi="华文中宋" w:eastAsia="华文中宋" w:hint="eastAsia"/>
                <w:b/>
                <w:sz w:val="22"/>
              </w:rPr>
            </w:pPr>
            <w:r>
              <w:rPr>
                <w:rFonts w:ascii="华文中宋" w:hAnsi="华文中宋" w:eastAsia="华文中宋" w:hint="eastAsia"/>
                <w:b/>
                <w:spacing w:val="-2"/>
                <w:sz w:val="22"/>
              </w:rPr>
              <w:t>较轻面积Ⅲ度</w:t>
            </w:r>
            <w:r>
              <w:rPr>
                <w:rFonts w:ascii="华文中宋" w:hAnsi="华文中宋" w:eastAsia="华文中宋" w:hint="eastAsia"/>
                <w:b/>
                <w:spacing w:val="-6"/>
                <w:sz w:val="22"/>
              </w:rPr>
              <w:t>烧伤</w:t>
            </w:r>
          </w:p>
        </w:tc>
        <w:tc>
          <w:tcPr>
            <w:tcW w:w="7465" w:type="dxa"/>
          </w:tcPr>
          <w:p>
            <w:pPr>
              <w:pStyle w:val="TableParagraph"/>
              <w:spacing w:line="380" w:lineRule="atLeast" w:before="147"/>
              <w:ind w:left="101" w:right="49"/>
              <w:rPr>
                <w:sz w:val="22"/>
              </w:rPr>
            </w:pPr>
            <w:r>
              <w:rPr>
                <w:spacing w:val="-2"/>
                <w:sz w:val="22"/>
              </w:rPr>
              <w:t>指烧伤程度为Ⅲ度，即全层皮肤烧伤，包括表皮、真皮和皮下组织，</w:t>
            </w:r>
            <w:r>
              <w:rPr>
                <w:color w:val="000000"/>
                <w:spacing w:val="-2"/>
                <w:sz w:val="22"/>
                <w:shd w:fill="E4E4E4" w:color="auto" w:val="clear"/>
              </w:rPr>
              <w:t>且Ⅲ度</w:t>
            </w:r>
            <w:r>
              <w:rPr>
                <w:color w:val="000000"/>
                <w:spacing w:val="80"/>
                <w:w w:val="150"/>
                <w:sz w:val="22"/>
                <w:shd w:fill="E4E4E4" w:color="auto" w:val="clear"/>
              </w:rPr>
              <w:t>                                       </w:t>
            </w:r>
            <w:r>
              <w:rPr>
                <w:color w:val="000000"/>
                <w:sz w:val="22"/>
                <w:shd w:fill="E4E4E4" w:color="auto" w:val="clear"/>
              </w:rPr>
              <w:t>烧伤的面积达到全身体表面积的10%或10%以上且未达到15%。</w:t>
            </w:r>
            <w:r>
              <w:rPr>
                <w:color w:val="000000"/>
                <w:spacing w:val="-2"/>
                <w:sz w:val="22"/>
              </w:rPr>
              <w:t>体表面积根据</w:t>
            </w:r>
          </w:p>
        </w:tc>
      </w:tr>
    </w:tbl>
    <w:p>
      <w:pPr>
        <w:spacing w:after="0" w:line="380" w:lineRule="atLeast"/>
        <w:rPr>
          <w:sz w:val="22"/>
        </w:rPr>
        <w:sectPr>
          <w:pgSz w:w="11910" w:h="16840"/>
          <w:pgMar w:header="484" w:footer="706" w:top="1240" w:bottom="900" w:left="980" w:right="980"/>
        </w:sectPr>
      </w:pPr>
    </w:p>
    <w:p>
      <w:pPr>
        <w:pStyle w:val="BodyText"/>
        <w:spacing w:before="7"/>
        <w:rPr>
          <w:sz w:val="14"/>
        </w:rPr>
      </w:pPr>
    </w:p>
    <w:p>
      <w:pPr>
        <w:pStyle w:val="BodyText"/>
        <w:spacing w:before="70"/>
        <w:ind w:left="2480"/>
      </w:pPr>
      <w:r>
        <w:rPr>
          <w:spacing w:val="-3"/>
        </w:rPr>
        <w:t>《中国新九分法》计算。</w:t>
      </w:r>
    </w:p>
    <w:p>
      <w:pPr>
        <w:pStyle w:val="BodyText"/>
        <w:spacing w:before="5"/>
        <w:rPr>
          <w:sz w:val="29"/>
        </w:rPr>
      </w:pPr>
    </w:p>
    <w:p>
      <w:pPr>
        <w:spacing w:after="0"/>
        <w:rPr>
          <w:sz w:val="29"/>
        </w:rPr>
        <w:sectPr>
          <w:pgSz w:w="11910" w:h="16840"/>
          <w:pgMar w:header="484" w:footer="706" w:top="1240" w:bottom="900" w:left="980" w:right="980"/>
        </w:sectPr>
      </w:pPr>
    </w:p>
    <w:p>
      <w:pPr>
        <w:pStyle w:val="Heading2"/>
        <w:spacing w:line="261" w:lineRule="auto" w:before="73"/>
        <w:ind w:hanging="802"/>
      </w:pPr>
      <w:r>
        <w:rPr>
          <w:rFonts w:ascii="宋体" w:hAnsi="宋体" w:eastAsia="宋体" w:hint="eastAsia"/>
        </w:rPr>
        <w:t>12.50</w:t>
      </w:r>
      <w:r>
        <w:rPr>
          <w:rFonts w:ascii="宋体" w:hAnsi="宋体" w:eastAsia="宋体" w:hint="eastAsia"/>
          <w:spacing w:val="80"/>
        </w:rPr>
        <w:t> </w:t>
      </w:r>
      <w:r>
        <w:rPr/>
        <w:t>轻度面部Ⅲ度</w:t>
      </w:r>
      <w:r>
        <w:rPr>
          <w:spacing w:val="-6"/>
        </w:rPr>
        <w:t>烧伤</w:t>
      </w:r>
    </w:p>
    <w:p>
      <w:pPr>
        <w:pStyle w:val="BodyText"/>
        <w:spacing w:line="324" w:lineRule="auto" w:before="103"/>
        <w:ind w:left="152" w:right="150"/>
        <w:jc w:val="both"/>
      </w:pPr>
      <w:r>
        <w:rPr/>
        <w:br w:type="column"/>
      </w:r>
      <w:r>
        <w:rPr>
          <w:spacing w:val="2"/>
          <w:w w:val="100"/>
        </w:rPr>
        <w:t>指面部烧伤程度为Ⅲ度，且面部Ⅲ度烧伤的面积达到面部表面积的</w:t>
      </w:r>
      <w:r>
        <w:rPr>
          <w:spacing w:val="-1"/>
          <w:w w:val="100"/>
        </w:rPr>
        <w:t>30</w:t>
      </w:r>
      <w:r>
        <w:rPr>
          <w:spacing w:val="2"/>
          <w:w w:val="100"/>
        </w:rPr>
        <w:t>%及以</w:t>
      </w:r>
      <w:r>
        <w:rPr>
          <w:spacing w:val="3"/>
          <w:w w:val="100"/>
        </w:rPr>
        <w:t>上，但未达到</w:t>
      </w:r>
      <w:r>
        <w:rPr>
          <w:spacing w:val="-1"/>
          <w:w w:val="100"/>
        </w:rPr>
        <w:t>60</w:t>
      </w:r>
      <w:r>
        <w:rPr>
          <w:spacing w:val="1"/>
          <w:w w:val="100"/>
        </w:rPr>
        <w:t>%。面部的范围指上至发际、下至下颌下缘、两侧至下颌支</w:t>
      </w:r>
      <w:r>
        <w:rPr>
          <w:spacing w:val="-1"/>
          <w:w w:val="100"/>
        </w:rPr>
        <w:t>后缘之间的区域，包括额部、眼部、眶部、鼻部、口唇部、颏部、颧部、颊</w:t>
      </w:r>
      <w:r>
        <w:rPr>
          <w:spacing w:val="-3"/>
          <w:w w:val="100"/>
        </w:rPr>
        <w:t>部和腮腺咬肌部。</w:t>
      </w:r>
    </w:p>
    <w:p>
      <w:pPr>
        <w:spacing w:after="0" w:line="324" w:lineRule="auto"/>
        <w:jc w:val="both"/>
        <w:sectPr>
          <w:type w:val="continuous"/>
          <w:pgSz w:w="11910" w:h="16840"/>
          <w:pgMar w:header="484" w:footer="706" w:top="1240" w:bottom="900" w:left="980" w:right="980"/>
          <w:cols w:num="2" w:equalWidth="0">
            <w:col w:w="2278" w:space="50"/>
            <w:col w:w="7622"/>
          </w:cols>
        </w:sectPr>
      </w:pPr>
    </w:p>
    <w:p>
      <w:pPr>
        <w:pStyle w:val="BodyText"/>
        <w:spacing w:before="6"/>
        <w:rPr>
          <w:sz w:val="19"/>
        </w:rPr>
      </w:pPr>
    </w:p>
    <w:p>
      <w:pPr>
        <w:spacing w:before="47" w:after="2"/>
        <w:ind w:left="152" w:right="0" w:firstLine="0"/>
        <w:jc w:val="left"/>
        <w:rPr>
          <w:b/>
          <w:sz w:val="30"/>
        </w:rPr>
      </w:pPr>
      <w:r>
        <w:rPr>
          <w:b/>
          <w:spacing w:val="-382"/>
          <w:w w:val="95"/>
          <w:position w:val="-3"/>
          <w:sz w:val="40"/>
        </w:rPr>
        <w:t>●</w:t>
      </w:r>
      <w:r>
        <w:rPr>
          <w:b/>
          <w:color w:val="FFFFFF"/>
          <w:spacing w:val="-16"/>
          <w:w w:val="95"/>
          <w:sz w:val="28"/>
        </w:rPr>
        <w:t>1</w:t>
      </w:r>
      <w:r>
        <w:rPr>
          <w:b/>
          <w:color w:val="FFFFFF"/>
          <w:w w:val="95"/>
          <w:sz w:val="28"/>
        </w:rPr>
        <w:t>3</w:t>
      </w:r>
      <w:r>
        <w:rPr>
          <w:b/>
          <w:color w:val="FFFFFF"/>
          <w:spacing w:val="11"/>
          <w:w w:val="150"/>
          <w:sz w:val="28"/>
        </w:rPr>
        <w:t> </w:t>
      </w:r>
      <w:r>
        <w:rPr>
          <w:b/>
          <w:spacing w:val="-2"/>
          <w:w w:val="95"/>
          <w:position w:val="2"/>
          <w:sz w:val="30"/>
        </w:rPr>
        <w:t>特定疾病的定义</w:t>
      </w:r>
    </w:p>
    <w:p>
      <w:pPr>
        <w:pStyle w:val="BodyText"/>
        <w:spacing w:line="43" w:lineRule="exact"/>
        <w:ind w:left="126"/>
        <w:rPr>
          <w:sz w:val="4"/>
        </w:rPr>
      </w:pPr>
      <w:r>
        <w:rPr>
          <w:position w:val="0"/>
          <w:sz w:val="4"/>
        </w:rPr>
        <w:drawing>
          <wp:inline distT="0" distB="0" distL="0" distR="0">
            <wp:extent cx="6198437" cy="27622"/>
            <wp:effectExtent l="0" t="0" r="0" b="0"/>
            <wp:docPr id="117" name="image6.png"/>
            <wp:cNvGraphicFramePr>
              <a:graphicFrameLocks noChangeAspect="1"/>
            </wp:cNvGraphicFramePr>
            <a:graphic>
              <a:graphicData uri="http://schemas.openxmlformats.org/drawingml/2006/picture">
                <pic:pic>
                  <pic:nvPicPr>
                    <pic:cNvPr id="118" name="image6.png"/>
                    <pic:cNvPicPr/>
                  </pic:nvPicPr>
                  <pic:blipFill>
                    <a:blip r:embed="rId12" cstate="print"/>
                    <a:stretch>
                      <a:fillRect/>
                    </a:stretch>
                  </pic:blipFill>
                  <pic:spPr>
                    <a:xfrm>
                      <a:off x="0" y="0"/>
                      <a:ext cx="6198437" cy="27622"/>
                    </a:xfrm>
                    <a:prstGeom prst="rect">
                      <a:avLst/>
                    </a:prstGeom>
                  </pic:spPr>
                </pic:pic>
              </a:graphicData>
            </a:graphic>
          </wp:inline>
        </w:drawing>
      </w:r>
      <w:r>
        <w:rPr>
          <w:position w:val="0"/>
          <w:sz w:val="4"/>
        </w:rPr>
      </w:r>
    </w:p>
    <w:p>
      <w:pPr>
        <w:pStyle w:val="BodyText"/>
        <w:spacing w:before="1"/>
        <w:rPr>
          <w:b/>
          <w:sz w:val="28"/>
        </w:rPr>
      </w:pPr>
    </w:p>
    <w:p>
      <w:pPr>
        <w:pStyle w:val="ListParagraph"/>
        <w:numPr>
          <w:ilvl w:val="1"/>
          <w:numId w:val="99"/>
        </w:numPr>
        <w:tabs>
          <w:tab w:pos="930" w:val="left" w:leader="none"/>
          <w:tab w:pos="931" w:val="left" w:leader="none"/>
          <w:tab w:pos="2480" w:val="left" w:leader="none"/>
        </w:tabs>
        <w:spacing w:line="283" w:lineRule="auto" w:before="1" w:after="0"/>
        <w:ind w:left="2480" w:right="152" w:hanging="2328"/>
        <w:jc w:val="left"/>
        <w:rPr>
          <w:sz w:val="22"/>
        </w:rPr>
      </w:pPr>
      <w:r>
        <w:rPr>
          <w:rFonts w:ascii="华文中宋" w:hAnsi="华文中宋" w:eastAsia="华文中宋" w:hint="eastAsia"/>
          <w:b/>
          <w:spacing w:val="-1"/>
          <w:w w:val="100"/>
          <w:sz w:val="22"/>
        </w:rPr>
        <w:t>胃恶</w:t>
      </w:r>
      <w:r>
        <w:rPr>
          <w:rFonts w:ascii="华文中宋" w:hAnsi="华文中宋" w:eastAsia="华文中宋" w:hint="eastAsia"/>
          <w:b/>
          <w:spacing w:val="-3"/>
          <w:w w:val="100"/>
          <w:sz w:val="22"/>
        </w:rPr>
        <w:t>性</w:t>
      </w:r>
      <w:r>
        <w:rPr>
          <w:rFonts w:ascii="华文中宋" w:hAnsi="华文中宋" w:eastAsia="华文中宋" w:hint="eastAsia"/>
          <w:b/>
          <w:spacing w:val="-1"/>
          <w:w w:val="100"/>
          <w:sz w:val="22"/>
        </w:rPr>
        <w:t>肿</w:t>
      </w:r>
      <w:r>
        <w:rPr>
          <w:rFonts w:ascii="华文中宋" w:hAnsi="华文中宋" w:eastAsia="华文中宋" w:hint="eastAsia"/>
          <w:b/>
          <w:w w:val="100"/>
          <w:sz w:val="22"/>
        </w:rPr>
        <w:t>瘤</w:t>
      </w:r>
      <w:r>
        <w:rPr>
          <w:rFonts w:ascii="华文中宋" w:hAnsi="华文中宋" w:eastAsia="华文中宋" w:hint="eastAsia"/>
          <w:b/>
          <w:sz w:val="22"/>
        </w:rPr>
        <w:tab/>
      </w:r>
      <w:r>
        <w:rPr>
          <w:spacing w:val="4"/>
          <w:w w:val="100"/>
          <w:sz w:val="22"/>
        </w:rPr>
        <w:t>指原</w:t>
      </w:r>
      <w:r>
        <w:rPr>
          <w:spacing w:val="2"/>
          <w:w w:val="100"/>
          <w:sz w:val="22"/>
        </w:rPr>
        <w:t>发</w:t>
      </w:r>
      <w:r>
        <w:rPr>
          <w:spacing w:val="4"/>
          <w:w w:val="100"/>
          <w:sz w:val="22"/>
        </w:rPr>
        <w:t>于胃组织的</w:t>
      </w:r>
      <w:r>
        <w:rPr>
          <w:spacing w:val="2"/>
          <w:w w:val="100"/>
          <w:sz w:val="22"/>
        </w:rPr>
        <w:t>恶</w:t>
      </w:r>
      <w:r>
        <w:rPr>
          <w:spacing w:val="4"/>
          <w:w w:val="100"/>
          <w:sz w:val="22"/>
        </w:rPr>
        <w:t>性肿瘤</w:t>
      </w:r>
      <w:r>
        <w:rPr>
          <w:spacing w:val="2"/>
          <w:w w:val="100"/>
          <w:sz w:val="22"/>
        </w:rPr>
        <w:t>，</w:t>
      </w:r>
      <w:r>
        <w:rPr>
          <w:spacing w:val="4"/>
          <w:w w:val="100"/>
          <w:sz w:val="22"/>
        </w:rPr>
        <w:t>国际疾病分</w:t>
      </w:r>
      <w:r>
        <w:rPr>
          <w:spacing w:val="2"/>
          <w:w w:val="100"/>
          <w:sz w:val="22"/>
        </w:rPr>
        <w:t>类</w:t>
      </w:r>
      <w:r>
        <w:rPr>
          <w:spacing w:val="4"/>
          <w:w w:val="100"/>
          <w:sz w:val="22"/>
        </w:rPr>
        <w:t>码为</w:t>
      </w:r>
      <w:r>
        <w:rPr>
          <w:spacing w:val="-1"/>
          <w:w w:val="100"/>
          <w:sz w:val="22"/>
        </w:rPr>
        <w:t>C1</w:t>
      </w:r>
      <w:r>
        <w:rPr>
          <w:spacing w:val="4"/>
          <w:w w:val="100"/>
          <w:sz w:val="22"/>
        </w:rPr>
        <w:t>6大类</w:t>
      </w:r>
      <w:r>
        <w:rPr>
          <w:spacing w:val="2"/>
          <w:w w:val="100"/>
          <w:sz w:val="22"/>
        </w:rPr>
        <w:t>，</w:t>
      </w:r>
      <w:r>
        <w:rPr>
          <w:spacing w:val="4"/>
          <w:w w:val="100"/>
          <w:sz w:val="22"/>
        </w:rPr>
        <w:t>恶性肿瘤</w:t>
      </w:r>
      <w:r>
        <w:rPr>
          <w:spacing w:val="2"/>
          <w:w w:val="100"/>
          <w:sz w:val="22"/>
        </w:rPr>
        <w:t>释</w:t>
      </w:r>
      <w:r>
        <w:rPr>
          <w:spacing w:val="4"/>
          <w:w w:val="100"/>
          <w:sz w:val="22"/>
        </w:rPr>
        <w:t>义</w:t>
      </w:r>
      <w:r>
        <w:rPr>
          <w:w w:val="100"/>
          <w:sz w:val="22"/>
        </w:rPr>
        <w:t>参</w:t>
      </w:r>
      <w:r>
        <w:rPr>
          <w:spacing w:val="-1"/>
          <w:w w:val="100"/>
          <w:sz w:val="22"/>
        </w:rPr>
        <w:t>考</w:t>
      </w:r>
      <w:r>
        <w:rPr>
          <w:spacing w:val="-3"/>
          <w:w w:val="100"/>
          <w:sz w:val="22"/>
        </w:rPr>
        <w:t>本</w:t>
      </w:r>
      <w:r>
        <w:rPr>
          <w:spacing w:val="-1"/>
          <w:w w:val="100"/>
          <w:sz w:val="22"/>
        </w:rPr>
        <w:t>合同</w:t>
      </w:r>
      <w:r>
        <w:rPr>
          <w:spacing w:val="-3"/>
          <w:w w:val="100"/>
          <w:sz w:val="22"/>
        </w:rPr>
        <w:t>重</w:t>
      </w:r>
      <w:r>
        <w:rPr>
          <w:spacing w:val="-1"/>
          <w:w w:val="100"/>
          <w:sz w:val="22"/>
        </w:rPr>
        <w:t>大疾</w:t>
      </w:r>
      <w:r>
        <w:rPr>
          <w:spacing w:val="-3"/>
          <w:w w:val="100"/>
          <w:sz w:val="22"/>
        </w:rPr>
        <w:t>病</w:t>
      </w:r>
      <w:r>
        <w:rPr>
          <w:spacing w:val="-1"/>
          <w:w w:val="100"/>
          <w:sz w:val="22"/>
        </w:rPr>
        <w:t>“10.</w:t>
      </w:r>
      <w:r>
        <w:rPr>
          <w:w w:val="100"/>
          <w:sz w:val="22"/>
        </w:rPr>
        <w:t>1</w:t>
      </w:r>
      <w:r>
        <w:rPr>
          <w:spacing w:val="-3"/>
          <w:sz w:val="22"/>
        </w:rPr>
        <w:t> </w:t>
      </w:r>
      <w:r>
        <w:rPr>
          <w:spacing w:val="-1"/>
          <w:w w:val="100"/>
          <w:sz w:val="22"/>
        </w:rPr>
        <w:t>恶</w:t>
      </w:r>
      <w:r>
        <w:rPr>
          <w:spacing w:val="-3"/>
          <w:w w:val="100"/>
          <w:sz w:val="22"/>
        </w:rPr>
        <w:t>性</w:t>
      </w:r>
      <w:r>
        <w:rPr>
          <w:spacing w:val="-1"/>
          <w:w w:val="100"/>
          <w:sz w:val="22"/>
        </w:rPr>
        <w:t>肿瘤—</w:t>
      </w:r>
      <w:r>
        <w:rPr>
          <w:spacing w:val="-3"/>
          <w:w w:val="100"/>
          <w:sz w:val="22"/>
        </w:rPr>
        <w:t>—</w:t>
      </w:r>
      <w:r>
        <w:rPr>
          <w:spacing w:val="-1"/>
          <w:w w:val="100"/>
          <w:sz w:val="22"/>
        </w:rPr>
        <w:t>重度</w:t>
      </w:r>
      <w:r>
        <w:rPr>
          <w:spacing w:val="-3"/>
          <w:w w:val="100"/>
          <w:sz w:val="22"/>
        </w:rPr>
        <w:t>”</w:t>
      </w:r>
      <w:r>
        <w:rPr>
          <w:spacing w:val="-1"/>
          <w:w w:val="100"/>
          <w:sz w:val="22"/>
        </w:rPr>
        <w:t>的</w:t>
      </w:r>
      <w:r>
        <w:rPr>
          <w:spacing w:val="-3"/>
          <w:w w:val="100"/>
          <w:sz w:val="22"/>
        </w:rPr>
        <w:t>释</w:t>
      </w:r>
      <w:r>
        <w:rPr>
          <w:spacing w:val="-1"/>
          <w:w w:val="100"/>
          <w:sz w:val="22"/>
        </w:rPr>
        <w:t>义</w:t>
      </w:r>
      <w:r>
        <w:rPr>
          <w:w w:val="100"/>
          <w:sz w:val="22"/>
        </w:rPr>
        <w:t>。</w:t>
      </w:r>
    </w:p>
    <w:p>
      <w:pPr>
        <w:pStyle w:val="BodyText"/>
        <w:spacing w:before="46"/>
        <w:ind w:left="2480"/>
      </w:pPr>
      <w:r>
        <w:rPr>
          <w:color w:val="000000"/>
          <w:spacing w:val="-3"/>
          <w:shd w:fill="E4E4E4" w:color="auto" w:val="clear"/>
        </w:rPr>
        <w:t>下列情形不在保障范围内：</w:t>
      </w:r>
    </w:p>
    <w:p>
      <w:pPr>
        <w:pStyle w:val="ListParagraph"/>
        <w:numPr>
          <w:ilvl w:val="2"/>
          <w:numId w:val="99"/>
        </w:numPr>
        <w:tabs>
          <w:tab w:pos="3141" w:val="left" w:leader="none"/>
        </w:tabs>
        <w:spacing w:line="324" w:lineRule="auto" w:before="97" w:after="0"/>
        <w:ind w:left="3140" w:right="642" w:hanging="660"/>
        <w:jc w:val="left"/>
        <w:rPr>
          <w:sz w:val="22"/>
        </w:rPr>
      </w:pPr>
      <w:r>
        <w:rPr>
          <w:color w:val="000000"/>
          <w:spacing w:val="-2"/>
          <w:sz w:val="22"/>
          <w:shd w:fill="E4E4E4" w:color="auto" w:val="clear"/>
        </w:rPr>
        <w:t>ICD-O-3</w:t>
      </w:r>
      <w:r>
        <w:rPr>
          <w:color w:val="000000"/>
          <w:spacing w:val="-11"/>
          <w:sz w:val="22"/>
          <w:shd w:fill="E4E4E4" w:color="auto" w:val="clear"/>
        </w:rPr>
        <w:t> 肿瘤形态学编码属于 </w:t>
      </w:r>
      <w:r>
        <w:rPr>
          <w:color w:val="000000"/>
          <w:spacing w:val="-2"/>
          <w:sz w:val="22"/>
          <w:shd w:fill="E4E4E4" w:color="auto" w:val="clear"/>
        </w:rPr>
        <w:t>0（良性肿瘤）、1（动态未定性肿</w:t>
      </w:r>
      <w:r>
        <w:rPr>
          <w:color w:val="000000"/>
          <w:spacing w:val="80"/>
          <w:w w:val="150"/>
          <w:sz w:val="22"/>
          <w:shd w:fill="E4E4E4" w:color="auto" w:val="clear"/>
        </w:rPr>
        <w:t>                                </w:t>
      </w:r>
      <w:r>
        <w:rPr>
          <w:color w:val="000000"/>
          <w:spacing w:val="-2"/>
          <w:sz w:val="22"/>
          <w:shd w:fill="E4E4E4" w:color="auto" w:val="clear"/>
        </w:rPr>
        <w:t>瘤）、2（原位癌和非侵袭性癌）范畴的疾病，如：</w:t>
      </w:r>
    </w:p>
    <w:p>
      <w:pPr>
        <w:pStyle w:val="ListParagraph"/>
        <w:numPr>
          <w:ilvl w:val="3"/>
          <w:numId w:val="99"/>
        </w:numPr>
        <w:tabs>
          <w:tab w:pos="3429" w:val="left" w:leader="none"/>
        </w:tabs>
        <w:spacing w:line="324" w:lineRule="auto" w:before="0" w:after="0"/>
        <w:ind w:left="3200" w:right="150" w:firstLine="0"/>
        <w:jc w:val="left"/>
        <w:rPr>
          <w:sz w:val="22"/>
        </w:rPr>
      </w:pPr>
      <w:r>
        <w:rPr>
          <w:color w:val="000000"/>
          <w:spacing w:val="-2"/>
          <w:sz w:val="22"/>
          <w:shd w:fill="E4E4E4" w:color="auto" w:val="clear"/>
        </w:rPr>
        <w:t>原位癌，癌前病变，非浸润性癌，非侵袭性癌，肿瘤细胞未侵犯</w:t>
      </w:r>
      <w:r>
        <w:rPr>
          <w:color w:val="000000"/>
          <w:spacing w:val="80"/>
          <w:w w:val="150"/>
          <w:sz w:val="22"/>
          <w:shd w:fill="E4E4E4" w:color="auto" w:val="clear"/>
        </w:rPr>
        <w:t>                                   </w:t>
      </w:r>
      <w:r>
        <w:rPr>
          <w:color w:val="000000"/>
          <w:spacing w:val="-2"/>
          <w:sz w:val="22"/>
          <w:shd w:fill="E4E4E4" w:color="auto" w:val="clear"/>
        </w:rPr>
        <w:t>基底层，上皮内瘤变，细胞不典型性增生等；</w:t>
      </w:r>
    </w:p>
    <w:p>
      <w:pPr>
        <w:pStyle w:val="ListParagraph"/>
        <w:numPr>
          <w:ilvl w:val="3"/>
          <w:numId w:val="99"/>
        </w:numPr>
        <w:tabs>
          <w:tab w:pos="3429" w:val="left" w:leader="none"/>
        </w:tabs>
        <w:spacing w:line="324" w:lineRule="auto" w:before="0" w:after="0"/>
        <w:ind w:left="3200" w:right="150" w:firstLine="0"/>
        <w:jc w:val="left"/>
        <w:rPr>
          <w:sz w:val="22"/>
        </w:rPr>
      </w:pPr>
      <w:r>
        <w:rPr>
          <w:color w:val="000000"/>
          <w:spacing w:val="3"/>
          <w:w w:val="100"/>
          <w:sz w:val="22"/>
          <w:shd w:fill="E4E4E4" w:color="auto" w:val="clear"/>
        </w:rPr>
        <w:t>交界性肿瘤，交界恶性肿瘤，肿瘤低度恶性潜能，潜在低度恶性</w:t>
      </w:r>
      <w:r>
        <w:rPr>
          <w:color w:val="000000"/>
          <w:spacing w:val="-2"/>
          <w:w w:val="100"/>
          <w:sz w:val="22"/>
          <w:shd w:fill="E4E4E4" w:color="auto" w:val="clear"/>
        </w:rPr>
        <w:t>肿瘤等；</w:t>
      </w:r>
    </w:p>
    <w:p>
      <w:pPr>
        <w:pStyle w:val="ListParagraph"/>
        <w:numPr>
          <w:ilvl w:val="2"/>
          <w:numId w:val="99"/>
        </w:numPr>
        <w:tabs>
          <w:tab w:pos="3141" w:val="left" w:leader="none"/>
        </w:tabs>
        <w:spacing w:line="279" w:lineRule="exact" w:before="0" w:after="0"/>
        <w:ind w:left="3140" w:right="0" w:hanging="661"/>
        <w:jc w:val="left"/>
        <w:rPr>
          <w:sz w:val="22"/>
        </w:rPr>
      </w:pPr>
      <w:r>
        <w:rPr>
          <w:color w:val="000000"/>
          <w:spacing w:val="-3"/>
          <w:sz w:val="22"/>
          <w:shd w:fill="E4E4E4" w:color="auto" w:val="clear"/>
        </w:rPr>
        <w:t>由身体其他部位恶性肿瘤转移发生的胃恶性肿瘤；</w:t>
      </w:r>
    </w:p>
    <w:p>
      <w:pPr>
        <w:pStyle w:val="ListParagraph"/>
        <w:numPr>
          <w:ilvl w:val="2"/>
          <w:numId w:val="99"/>
        </w:numPr>
        <w:tabs>
          <w:tab w:pos="3141" w:val="left" w:leader="none"/>
        </w:tabs>
        <w:spacing w:line="240" w:lineRule="auto" w:before="99" w:after="0"/>
        <w:ind w:left="3140" w:right="0" w:hanging="661"/>
        <w:jc w:val="left"/>
        <w:rPr>
          <w:sz w:val="22"/>
        </w:rPr>
      </w:pPr>
      <w:r>
        <w:rPr>
          <w:color w:val="000000"/>
          <w:spacing w:val="-3"/>
          <w:sz w:val="22"/>
          <w:shd w:fill="E4E4E4" w:color="auto" w:val="clear"/>
        </w:rPr>
        <w:t>感染艾滋病病毒或患艾滋病期间所患胃恶性肿瘤。</w:t>
      </w:r>
    </w:p>
    <w:p>
      <w:pPr>
        <w:pStyle w:val="BodyText"/>
      </w:pPr>
    </w:p>
    <w:p>
      <w:pPr>
        <w:pStyle w:val="BodyText"/>
        <w:spacing w:before="1"/>
        <w:rPr>
          <w:sz w:val="16"/>
        </w:rPr>
      </w:pPr>
    </w:p>
    <w:p>
      <w:pPr>
        <w:pStyle w:val="ListParagraph"/>
        <w:numPr>
          <w:ilvl w:val="1"/>
          <w:numId w:val="99"/>
        </w:numPr>
        <w:tabs>
          <w:tab w:pos="954" w:val="left" w:leader="none"/>
          <w:tab w:pos="955" w:val="left" w:leader="none"/>
          <w:tab w:pos="2480" w:val="left" w:leader="none"/>
        </w:tabs>
        <w:spacing w:line="280" w:lineRule="auto" w:before="0" w:after="0"/>
        <w:ind w:left="2480" w:right="152" w:hanging="2328"/>
        <w:jc w:val="left"/>
        <w:rPr>
          <w:sz w:val="22"/>
        </w:rPr>
      </w:pPr>
      <w:r>
        <w:rPr>
          <w:rFonts w:ascii="华文中宋" w:hAnsi="华文中宋" w:eastAsia="华文中宋" w:hint="eastAsia"/>
          <w:b/>
          <w:spacing w:val="-1"/>
          <w:w w:val="100"/>
          <w:sz w:val="22"/>
        </w:rPr>
        <w:t>肺恶</w:t>
      </w:r>
      <w:r>
        <w:rPr>
          <w:rFonts w:ascii="华文中宋" w:hAnsi="华文中宋" w:eastAsia="华文中宋" w:hint="eastAsia"/>
          <w:b/>
          <w:spacing w:val="-3"/>
          <w:w w:val="100"/>
          <w:sz w:val="22"/>
        </w:rPr>
        <w:t>性</w:t>
      </w:r>
      <w:r>
        <w:rPr>
          <w:rFonts w:ascii="华文中宋" w:hAnsi="华文中宋" w:eastAsia="华文中宋" w:hint="eastAsia"/>
          <w:b/>
          <w:spacing w:val="-1"/>
          <w:w w:val="100"/>
          <w:sz w:val="22"/>
        </w:rPr>
        <w:t>肿</w:t>
      </w:r>
      <w:r>
        <w:rPr>
          <w:rFonts w:ascii="华文中宋" w:hAnsi="华文中宋" w:eastAsia="华文中宋" w:hint="eastAsia"/>
          <w:b/>
          <w:w w:val="100"/>
          <w:sz w:val="22"/>
        </w:rPr>
        <w:t>瘤</w:t>
      </w:r>
      <w:r>
        <w:rPr>
          <w:rFonts w:ascii="华文中宋" w:hAnsi="华文中宋" w:eastAsia="华文中宋" w:hint="eastAsia"/>
          <w:b/>
          <w:sz w:val="22"/>
        </w:rPr>
        <w:tab/>
      </w:r>
      <w:r>
        <w:rPr>
          <w:spacing w:val="4"/>
          <w:w w:val="100"/>
          <w:sz w:val="22"/>
        </w:rPr>
        <w:t>指原</w:t>
      </w:r>
      <w:r>
        <w:rPr>
          <w:spacing w:val="2"/>
          <w:w w:val="100"/>
          <w:sz w:val="22"/>
        </w:rPr>
        <w:t>发</w:t>
      </w:r>
      <w:r>
        <w:rPr>
          <w:spacing w:val="4"/>
          <w:w w:val="100"/>
          <w:sz w:val="22"/>
        </w:rPr>
        <w:t>于肺组织的</w:t>
      </w:r>
      <w:r>
        <w:rPr>
          <w:spacing w:val="2"/>
          <w:w w:val="100"/>
          <w:sz w:val="22"/>
        </w:rPr>
        <w:t>恶</w:t>
      </w:r>
      <w:r>
        <w:rPr>
          <w:spacing w:val="4"/>
          <w:w w:val="100"/>
          <w:sz w:val="22"/>
        </w:rPr>
        <w:t>性肿瘤，国</w:t>
      </w:r>
      <w:r>
        <w:rPr>
          <w:spacing w:val="2"/>
          <w:w w:val="100"/>
          <w:sz w:val="22"/>
        </w:rPr>
        <w:t>际</w:t>
      </w:r>
      <w:r>
        <w:rPr>
          <w:spacing w:val="4"/>
          <w:w w:val="100"/>
          <w:sz w:val="22"/>
        </w:rPr>
        <w:t>疾病分类码</w:t>
      </w:r>
      <w:r>
        <w:rPr>
          <w:spacing w:val="2"/>
          <w:w w:val="100"/>
          <w:sz w:val="22"/>
        </w:rPr>
        <w:t>为</w:t>
      </w:r>
      <w:r>
        <w:rPr>
          <w:spacing w:val="-1"/>
          <w:w w:val="100"/>
          <w:sz w:val="22"/>
        </w:rPr>
        <w:t>C3</w:t>
      </w:r>
      <w:r>
        <w:rPr>
          <w:spacing w:val="4"/>
          <w:w w:val="100"/>
          <w:sz w:val="22"/>
        </w:rPr>
        <w:t>4大类</w:t>
      </w:r>
      <w:r>
        <w:rPr>
          <w:spacing w:val="2"/>
          <w:w w:val="100"/>
          <w:sz w:val="22"/>
        </w:rPr>
        <w:t>，</w:t>
      </w:r>
      <w:r>
        <w:rPr>
          <w:spacing w:val="4"/>
          <w:w w:val="100"/>
          <w:sz w:val="22"/>
        </w:rPr>
        <w:t>恶性肿瘤释</w:t>
      </w:r>
      <w:r>
        <w:rPr>
          <w:spacing w:val="2"/>
          <w:w w:val="100"/>
          <w:sz w:val="22"/>
        </w:rPr>
        <w:t>义</w:t>
      </w:r>
      <w:r>
        <w:rPr>
          <w:w w:val="100"/>
          <w:sz w:val="22"/>
        </w:rPr>
        <w:t>参</w:t>
      </w:r>
      <w:r>
        <w:rPr>
          <w:spacing w:val="-1"/>
          <w:w w:val="100"/>
          <w:sz w:val="22"/>
        </w:rPr>
        <w:t>考</w:t>
      </w:r>
      <w:r>
        <w:rPr>
          <w:spacing w:val="-3"/>
          <w:w w:val="100"/>
          <w:sz w:val="22"/>
        </w:rPr>
        <w:t>本</w:t>
      </w:r>
      <w:r>
        <w:rPr>
          <w:spacing w:val="-1"/>
          <w:w w:val="100"/>
          <w:sz w:val="22"/>
        </w:rPr>
        <w:t>合同</w:t>
      </w:r>
      <w:r>
        <w:rPr>
          <w:spacing w:val="-3"/>
          <w:w w:val="100"/>
          <w:sz w:val="22"/>
        </w:rPr>
        <w:t>重</w:t>
      </w:r>
      <w:r>
        <w:rPr>
          <w:spacing w:val="-1"/>
          <w:w w:val="100"/>
          <w:sz w:val="22"/>
        </w:rPr>
        <w:t>大疾</w:t>
      </w:r>
      <w:r>
        <w:rPr>
          <w:spacing w:val="-3"/>
          <w:w w:val="100"/>
          <w:sz w:val="22"/>
        </w:rPr>
        <w:t>病</w:t>
      </w:r>
      <w:r>
        <w:rPr>
          <w:spacing w:val="-1"/>
          <w:w w:val="100"/>
          <w:sz w:val="22"/>
        </w:rPr>
        <w:t>“10.</w:t>
      </w:r>
      <w:r>
        <w:rPr>
          <w:w w:val="100"/>
          <w:sz w:val="22"/>
        </w:rPr>
        <w:t>1</w:t>
      </w:r>
      <w:r>
        <w:rPr>
          <w:spacing w:val="-3"/>
          <w:sz w:val="22"/>
        </w:rPr>
        <w:t> </w:t>
      </w:r>
      <w:r>
        <w:rPr>
          <w:spacing w:val="-1"/>
          <w:w w:val="100"/>
          <w:sz w:val="22"/>
        </w:rPr>
        <w:t>恶</w:t>
      </w:r>
      <w:r>
        <w:rPr>
          <w:spacing w:val="-3"/>
          <w:w w:val="100"/>
          <w:sz w:val="22"/>
        </w:rPr>
        <w:t>性</w:t>
      </w:r>
      <w:r>
        <w:rPr>
          <w:spacing w:val="-1"/>
          <w:w w:val="100"/>
          <w:sz w:val="22"/>
        </w:rPr>
        <w:t>肿瘤—</w:t>
      </w:r>
      <w:r>
        <w:rPr>
          <w:spacing w:val="-3"/>
          <w:w w:val="100"/>
          <w:sz w:val="22"/>
        </w:rPr>
        <w:t>—</w:t>
      </w:r>
      <w:r>
        <w:rPr>
          <w:spacing w:val="-1"/>
          <w:w w:val="100"/>
          <w:sz w:val="22"/>
        </w:rPr>
        <w:t>重度</w:t>
      </w:r>
      <w:r>
        <w:rPr>
          <w:spacing w:val="-3"/>
          <w:w w:val="100"/>
          <w:sz w:val="22"/>
        </w:rPr>
        <w:t>”</w:t>
      </w:r>
      <w:r>
        <w:rPr>
          <w:spacing w:val="-1"/>
          <w:w w:val="100"/>
          <w:sz w:val="22"/>
        </w:rPr>
        <w:t>的</w:t>
      </w:r>
      <w:r>
        <w:rPr>
          <w:spacing w:val="-3"/>
          <w:w w:val="100"/>
          <w:sz w:val="22"/>
        </w:rPr>
        <w:t>释</w:t>
      </w:r>
      <w:r>
        <w:rPr>
          <w:spacing w:val="-1"/>
          <w:w w:val="100"/>
          <w:sz w:val="22"/>
        </w:rPr>
        <w:t>义</w:t>
      </w:r>
      <w:r>
        <w:rPr>
          <w:w w:val="100"/>
          <w:sz w:val="22"/>
        </w:rPr>
        <w:t>。</w:t>
      </w:r>
    </w:p>
    <w:p>
      <w:pPr>
        <w:pStyle w:val="BodyText"/>
        <w:spacing w:before="52"/>
        <w:ind w:left="2480"/>
      </w:pPr>
      <w:r>
        <w:rPr>
          <w:color w:val="000000"/>
          <w:spacing w:val="-3"/>
          <w:shd w:fill="E4E4E4" w:color="auto" w:val="clear"/>
        </w:rPr>
        <w:t>下列情形不在保障范围内：</w:t>
      </w:r>
    </w:p>
    <w:p>
      <w:pPr>
        <w:pStyle w:val="ListParagraph"/>
        <w:numPr>
          <w:ilvl w:val="0"/>
          <w:numId w:val="100"/>
        </w:numPr>
        <w:tabs>
          <w:tab w:pos="3141" w:val="left" w:leader="none"/>
        </w:tabs>
        <w:spacing w:line="324" w:lineRule="auto" w:before="98" w:after="0"/>
        <w:ind w:left="3140" w:right="642" w:hanging="660"/>
        <w:jc w:val="left"/>
        <w:rPr>
          <w:sz w:val="22"/>
        </w:rPr>
      </w:pPr>
      <w:r>
        <w:rPr>
          <w:color w:val="000000"/>
          <w:spacing w:val="-2"/>
          <w:sz w:val="22"/>
          <w:shd w:fill="E4E4E4" w:color="auto" w:val="clear"/>
        </w:rPr>
        <w:t>ICD-O-3</w:t>
      </w:r>
      <w:r>
        <w:rPr>
          <w:color w:val="000000"/>
          <w:spacing w:val="-11"/>
          <w:sz w:val="22"/>
          <w:shd w:fill="E4E4E4" w:color="auto" w:val="clear"/>
        </w:rPr>
        <w:t> 肿瘤形态学编码属于 </w:t>
      </w:r>
      <w:r>
        <w:rPr>
          <w:color w:val="000000"/>
          <w:spacing w:val="-2"/>
          <w:sz w:val="22"/>
          <w:shd w:fill="E4E4E4" w:color="auto" w:val="clear"/>
        </w:rPr>
        <w:t>0（良性肿瘤）、1（动态未定性肿</w:t>
      </w:r>
      <w:r>
        <w:rPr>
          <w:color w:val="000000"/>
          <w:spacing w:val="80"/>
          <w:w w:val="150"/>
          <w:sz w:val="22"/>
          <w:shd w:fill="E4E4E4" w:color="auto" w:val="clear"/>
        </w:rPr>
        <w:t>                                </w:t>
      </w:r>
      <w:r>
        <w:rPr>
          <w:color w:val="000000"/>
          <w:spacing w:val="-2"/>
          <w:sz w:val="22"/>
          <w:shd w:fill="E4E4E4" w:color="auto" w:val="clear"/>
        </w:rPr>
        <w:t>瘤）、2（原位癌和非侵袭性癌）范畴的疾病，如：</w:t>
      </w:r>
    </w:p>
    <w:p>
      <w:pPr>
        <w:pStyle w:val="ListParagraph"/>
        <w:numPr>
          <w:ilvl w:val="1"/>
          <w:numId w:val="100"/>
        </w:numPr>
        <w:tabs>
          <w:tab w:pos="3429" w:val="left" w:leader="none"/>
        </w:tabs>
        <w:spacing w:line="324" w:lineRule="auto" w:before="0" w:after="0"/>
        <w:ind w:left="3200" w:right="150" w:firstLine="0"/>
        <w:jc w:val="left"/>
        <w:rPr>
          <w:sz w:val="22"/>
        </w:rPr>
      </w:pPr>
      <w:r>
        <w:rPr>
          <w:color w:val="000000"/>
          <w:spacing w:val="-2"/>
          <w:sz w:val="22"/>
          <w:shd w:fill="E4E4E4" w:color="auto" w:val="clear"/>
        </w:rPr>
        <w:t>原位癌，癌前病变，非浸润性癌，非侵袭性癌，肿瘤细胞未侵犯</w:t>
      </w:r>
      <w:r>
        <w:rPr>
          <w:color w:val="000000"/>
          <w:spacing w:val="80"/>
          <w:w w:val="150"/>
          <w:sz w:val="22"/>
          <w:shd w:fill="E4E4E4" w:color="auto" w:val="clear"/>
        </w:rPr>
        <w:t>                                   </w:t>
      </w:r>
      <w:r>
        <w:rPr>
          <w:color w:val="000000"/>
          <w:spacing w:val="-2"/>
          <w:sz w:val="22"/>
          <w:shd w:fill="E4E4E4" w:color="auto" w:val="clear"/>
        </w:rPr>
        <w:t>基底层，上皮内瘤变，细胞不典型性增生等；</w:t>
      </w:r>
    </w:p>
    <w:p>
      <w:pPr>
        <w:pStyle w:val="ListParagraph"/>
        <w:numPr>
          <w:ilvl w:val="1"/>
          <w:numId w:val="100"/>
        </w:numPr>
        <w:tabs>
          <w:tab w:pos="3429" w:val="left" w:leader="none"/>
        </w:tabs>
        <w:spacing w:line="324" w:lineRule="auto" w:before="0" w:after="0"/>
        <w:ind w:left="3200" w:right="150" w:firstLine="0"/>
        <w:jc w:val="left"/>
        <w:rPr>
          <w:sz w:val="22"/>
        </w:rPr>
      </w:pPr>
      <w:r>
        <w:rPr>
          <w:color w:val="000000"/>
          <w:spacing w:val="3"/>
          <w:w w:val="100"/>
          <w:sz w:val="22"/>
          <w:shd w:fill="E4E4E4" w:color="auto" w:val="clear"/>
        </w:rPr>
        <w:t>交界性肿瘤，交界恶性肿瘤，肿瘤低度恶性潜能，潜在低度恶性</w:t>
      </w:r>
      <w:r>
        <w:rPr>
          <w:color w:val="000000"/>
          <w:spacing w:val="-2"/>
          <w:w w:val="100"/>
          <w:sz w:val="22"/>
          <w:shd w:fill="E4E4E4" w:color="auto" w:val="clear"/>
        </w:rPr>
        <w:t>肿瘤等；</w:t>
      </w:r>
    </w:p>
    <w:p>
      <w:pPr>
        <w:pStyle w:val="ListParagraph"/>
        <w:numPr>
          <w:ilvl w:val="0"/>
          <w:numId w:val="100"/>
        </w:numPr>
        <w:tabs>
          <w:tab w:pos="3141" w:val="left" w:leader="none"/>
        </w:tabs>
        <w:spacing w:line="282" w:lineRule="exact" w:before="0" w:after="0"/>
        <w:ind w:left="3140" w:right="0" w:hanging="661"/>
        <w:jc w:val="left"/>
        <w:rPr>
          <w:sz w:val="22"/>
        </w:rPr>
      </w:pPr>
      <w:r>
        <w:rPr>
          <w:color w:val="000000"/>
          <w:spacing w:val="-3"/>
          <w:sz w:val="22"/>
          <w:shd w:fill="E4E4E4" w:color="auto" w:val="clear"/>
        </w:rPr>
        <w:t>由身体其他部位恶性肿瘤转移发生的肺恶性肿瘤；</w:t>
      </w:r>
    </w:p>
    <w:p>
      <w:pPr>
        <w:pStyle w:val="ListParagraph"/>
        <w:numPr>
          <w:ilvl w:val="0"/>
          <w:numId w:val="100"/>
        </w:numPr>
        <w:tabs>
          <w:tab w:pos="3141" w:val="left" w:leader="none"/>
        </w:tabs>
        <w:spacing w:line="240" w:lineRule="auto" w:before="94" w:after="0"/>
        <w:ind w:left="3140" w:right="0" w:hanging="661"/>
        <w:jc w:val="left"/>
        <w:rPr>
          <w:sz w:val="22"/>
        </w:rPr>
      </w:pPr>
      <w:r>
        <w:rPr>
          <w:color w:val="000000"/>
          <w:spacing w:val="-3"/>
          <w:sz w:val="22"/>
          <w:shd w:fill="E4E4E4" w:color="auto" w:val="clear"/>
        </w:rPr>
        <w:t>感染艾滋病病毒或患艾滋病期间所患肺恶性肿瘤。</w:t>
      </w:r>
    </w:p>
    <w:p>
      <w:pPr>
        <w:pStyle w:val="BodyText"/>
      </w:pPr>
    </w:p>
    <w:p>
      <w:pPr>
        <w:pStyle w:val="ListParagraph"/>
        <w:numPr>
          <w:ilvl w:val="1"/>
          <w:numId w:val="99"/>
        </w:numPr>
        <w:tabs>
          <w:tab w:pos="954" w:val="left" w:leader="none"/>
          <w:tab w:pos="955" w:val="left" w:leader="none"/>
          <w:tab w:pos="2480" w:val="left" w:leader="none"/>
        </w:tabs>
        <w:spacing w:line="280" w:lineRule="auto" w:before="167" w:after="0"/>
        <w:ind w:left="2480" w:right="152" w:hanging="2328"/>
        <w:jc w:val="left"/>
        <w:rPr>
          <w:sz w:val="22"/>
        </w:rPr>
      </w:pPr>
      <w:r>
        <w:rPr>
          <w:rFonts w:ascii="华文中宋" w:hAnsi="华文中宋" w:eastAsia="华文中宋" w:hint="eastAsia"/>
          <w:b/>
          <w:spacing w:val="-1"/>
          <w:w w:val="100"/>
          <w:sz w:val="22"/>
        </w:rPr>
        <w:t>肝恶</w:t>
      </w:r>
      <w:r>
        <w:rPr>
          <w:rFonts w:ascii="华文中宋" w:hAnsi="华文中宋" w:eastAsia="华文中宋" w:hint="eastAsia"/>
          <w:b/>
          <w:spacing w:val="-3"/>
          <w:w w:val="100"/>
          <w:sz w:val="22"/>
        </w:rPr>
        <w:t>性</w:t>
      </w:r>
      <w:r>
        <w:rPr>
          <w:rFonts w:ascii="华文中宋" w:hAnsi="华文中宋" w:eastAsia="华文中宋" w:hint="eastAsia"/>
          <w:b/>
          <w:spacing w:val="-1"/>
          <w:w w:val="100"/>
          <w:sz w:val="22"/>
        </w:rPr>
        <w:t>肿</w:t>
      </w:r>
      <w:r>
        <w:rPr>
          <w:rFonts w:ascii="华文中宋" w:hAnsi="华文中宋" w:eastAsia="华文中宋" w:hint="eastAsia"/>
          <w:b/>
          <w:w w:val="100"/>
          <w:sz w:val="22"/>
        </w:rPr>
        <w:t>瘤</w:t>
      </w:r>
      <w:r>
        <w:rPr>
          <w:rFonts w:ascii="华文中宋" w:hAnsi="华文中宋" w:eastAsia="华文中宋" w:hint="eastAsia"/>
          <w:b/>
          <w:sz w:val="22"/>
        </w:rPr>
        <w:tab/>
      </w:r>
      <w:r>
        <w:rPr>
          <w:spacing w:val="4"/>
          <w:w w:val="100"/>
          <w:sz w:val="22"/>
        </w:rPr>
        <w:t>指原</w:t>
      </w:r>
      <w:r>
        <w:rPr>
          <w:spacing w:val="2"/>
          <w:w w:val="100"/>
          <w:sz w:val="22"/>
        </w:rPr>
        <w:t>发</w:t>
      </w:r>
      <w:r>
        <w:rPr>
          <w:spacing w:val="4"/>
          <w:w w:val="100"/>
          <w:sz w:val="22"/>
        </w:rPr>
        <w:t>于肝组织的</w:t>
      </w:r>
      <w:r>
        <w:rPr>
          <w:spacing w:val="2"/>
          <w:w w:val="100"/>
          <w:sz w:val="22"/>
        </w:rPr>
        <w:t>恶</w:t>
      </w:r>
      <w:r>
        <w:rPr>
          <w:spacing w:val="4"/>
          <w:w w:val="100"/>
          <w:sz w:val="22"/>
        </w:rPr>
        <w:t>性肿瘤，国</w:t>
      </w:r>
      <w:r>
        <w:rPr>
          <w:spacing w:val="2"/>
          <w:w w:val="100"/>
          <w:sz w:val="22"/>
        </w:rPr>
        <w:t>际</w:t>
      </w:r>
      <w:r>
        <w:rPr>
          <w:spacing w:val="4"/>
          <w:w w:val="100"/>
          <w:sz w:val="22"/>
        </w:rPr>
        <w:t>疾病分类码</w:t>
      </w:r>
      <w:r>
        <w:rPr>
          <w:spacing w:val="2"/>
          <w:w w:val="100"/>
          <w:sz w:val="22"/>
        </w:rPr>
        <w:t>为</w:t>
      </w:r>
      <w:r>
        <w:rPr>
          <w:spacing w:val="-1"/>
          <w:w w:val="100"/>
          <w:sz w:val="22"/>
        </w:rPr>
        <w:t>C2</w:t>
      </w:r>
      <w:r>
        <w:rPr>
          <w:spacing w:val="4"/>
          <w:w w:val="100"/>
          <w:sz w:val="22"/>
        </w:rPr>
        <w:t>2大类</w:t>
      </w:r>
      <w:r>
        <w:rPr>
          <w:spacing w:val="2"/>
          <w:w w:val="100"/>
          <w:sz w:val="22"/>
        </w:rPr>
        <w:t>，</w:t>
      </w:r>
      <w:r>
        <w:rPr>
          <w:spacing w:val="4"/>
          <w:w w:val="100"/>
          <w:sz w:val="22"/>
        </w:rPr>
        <w:t>恶性肿瘤释</w:t>
      </w:r>
      <w:r>
        <w:rPr>
          <w:spacing w:val="2"/>
          <w:w w:val="100"/>
          <w:sz w:val="22"/>
        </w:rPr>
        <w:t>义</w:t>
      </w:r>
      <w:r>
        <w:rPr>
          <w:w w:val="100"/>
          <w:sz w:val="22"/>
        </w:rPr>
        <w:t>参</w:t>
      </w:r>
      <w:r>
        <w:rPr>
          <w:spacing w:val="-1"/>
          <w:w w:val="100"/>
          <w:sz w:val="22"/>
        </w:rPr>
        <w:t>考</w:t>
      </w:r>
      <w:r>
        <w:rPr>
          <w:spacing w:val="-3"/>
          <w:w w:val="100"/>
          <w:sz w:val="22"/>
        </w:rPr>
        <w:t>本</w:t>
      </w:r>
      <w:r>
        <w:rPr>
          <w:spacing w:val="-1"/>
          <w:w w:val="100"/>
          <w:sz w:val="22"/>
        </w:rPr>
        <w:t>合同</w:t>
      </w:r>
      <w:r>
        <w:rPr>
          <w:spacing w:val="-3"/>
          <w:w w:val="100"/>
          <w:sz w:val="22"/>
        </w:rPr>
        <w:t>重</w:t>
      </w:r>
      <w:r>
        <w:rPr>
          <w:spacing w:val="-1"/>
          <w:w w:val="100"/>
          <w:sz w:val="22"/>
        </w:rPr>
        <w:t>大疾</w:t>
      </w:r>
      <w:r>
        <w:rPr>
          <w:spacing w:val="-3"/>
          <w:w w:val="100"/>
          <w:sz w:val="22"/>
        </w:rPr>
        <w:t>病</w:t>
      </w:r>
      <w:r>
        <w:rPr>
          <w:spacing w:val="-1"/>
          <w:w w:val="100"/>
          <w:sz w:val="22"/>
        </w:rPr>
        <w:t>“10.</w:t>
      </w:r>
      <w:r>
        <w:rPr>
          <w:w w:val="100"/>
          <w:sz w:val="22"/>
        </w:rPr>
        <w:t>1</w:t>
      </w:r>
      <w:r>
        <w:rPr>
          <w:spacing w:val="-3"/>
          <w:sz w:val="22"/>
        </w:rPr>
        <w:t> </w:t>
      </w:r>
      <w:r>
        <w:rPr>
          <w:spacing w:val="-1"/>
          <w:w w:val="100"/>
          <w:sz w:val="22"/>
        </w:rPr>
        <w:t>恶</w:t>
      </w:r>
      <w:r>
        <w:rPr>
          <w:spacing w:val="-3"/>
          <w:w w:val="100"/>
          <w:sz w:val="22"/>
        </w:rPr>
        <w:t>性</w:t>
      </w:r>
      <w:r>
        <w:rPr>
          <w:spacing w:val="-1"/>
          <w:w w:val="100"/>
          <w:sz w:val="22"/>
        </w:rPr>
        <w:t>肿瘤—</w:t>
      </w:r>
      <w:r>
        <w:rPr>
          <w:spacing w:val="-3"/>
          <w:w w:val="100"/>
          <w:sz w:val="22"/>
        </w:rPr>
        <w:t>—</w:t>
      </w:r>
      <w:r>
        <w:rPr>
          <w:spacing w:val="-1"/>
          <w:w w:val="100"/>
          <w:sz w:val="22"/>
        </w:rPr>
        <w:t>重度</w:t>
      </w:r>
      <w:r>
        <w:rPr>
          <w:spacing w:val="-3"/>
          <w:w w:val="100"/>
          <w:sz w:val="22"/>
        </w:rPr>
        <w:t>”</w:t>
      </w:r>
      <w:r>
        <w:rPr>
          <w:spacing w:val="-1"/>
          <w:w w:val="100"/>
          <w:sz w:val="22"/>
        </w:rPr>
        <w:t>的</w:t>
      </w:r>
      <w:r>
        <w:rPr>
          <w:spacing w:val="-3"/>
          <w:w w:val="100"/>
          <w:sz w:val="22"/>
        </w:rPr>
        <w:t>释</w:t>
      </w:r>
      <w:r>
        <w:rPr>
          <w:spacing w:val="-1"/>
          <w:w w:val="100"/>
          <w:sz w:val="22"/>
        </w:rPr>
        <w:t>义</w:t>
      </w:r>
      <w:r>
        <w:rPr>
          <w:w w:val="100"/>
          <w:sz w:val="22"/>
        </w:rPr>
        <w:t>。</w:t>
      </w:r>
    </w:p>
    <w:p>
      <w:pPr>
        <w:pStyle w:val="BodyText"/>
        <w:spacing w:before="53"/>
        <w:ind w:left="2480"/>
      </w:pPr>
      <w:r>
        <w:rPr>
          <w:color w:val="000000"/>
          <w:spacing w:val="-3"/>
          <w:shd w:fill="E4E4E4" w:color="auto" w:val="clear"/>
        </w:rPr>
        <w:t>下列情形不在保障范围内：</w:t>
      </w:r>
    </w:p>
    <w:p>
      <w:pPr>
        <w:spacing w:after="0"/>
        <w:sectPr>
          <w:type w:val="continuous"/>
          <w:pgSz w:w="11910" w:h="16840"/>
          <w:pgMar w:header="484" w:footer="706" w:top="1240" w:bottom="900" w:left="980" w:right="980"/>
        </w:sectPr>
      </w:pPr>
    </w:p>
    <w:p>
      <w:pPr>
        <w:pStyle w:val="BodyText"/>
        <w:spacing w:before="7"/>
        <w:rPr>
          <w:sz w:val="14"/>
        </w:rPr>
      </w:pPr>
    </w:p>
    <w:p>
      <w:pPr>
        <w:pStyle w:val="ListParagraph"/>
        <w:numPr>
          <w:ilvl w:val="0"/>
          <w:numId w:val="101"/>
        </w:numPr>
        <w:tabs>
          <w:tab w:pos="3141" w:val="left" w:leader="none"/>
        </w:tabs>
        <w:spacing w:line="324" w:lineRule="auto" w:before="70" w:after="0"/>
        <w:ind w:left="3140" w:right="642" w:hanging="660"/>
        <w:jc w:val="left"/>
        <w:rPr>
          <w:sz w:val="22"/>
        </w:rPr>
      </w:pPr>
      <w:r>
        <w:rPr>
          <w:color w:val="000000"/>
          <w:spacing w:val="-2"/>
          <w:sz w:val="22"/>
          <w:shd w:fill="E4E4E4" w:color="auto" w:val="clear"/>
        </w:rPr>
        <w:t>ICD-O-3</w:t>
      </w:r>
      <w:r>
        <w:rPr>
          <w:color w:val="000000"/>
          <w:spacing w:val="-11"/>
          <w:sz w:val="22"/>
          <w:shd w:fill="E4E4E4" w:color="auto" w:val="clear"/>
        </w:rPr>
        <w:t> 肿瘤形态学编码属于 </w:t>
      </w:r>
      <w:r>
        <w:rPr>
          <w:color w:val="000000"/>
          <w:spacing w:val="-2"/>
          <w:sz w:val="22"/>
          <w:shd w:fill="E4E4E4" w:color="auto" w:val="clear"/>
        </w:rPr>
        <w:t>0（良性肿瘤）、1（动态未定性肿</w:t>
      </w:r>
      <w:r>
        <w:rPr>
          <w:color w:val="000000"/>
          <w:spacing w:val="80"/>
          <w:w w:val="150"/>
          <w:sz w:val="22"/>
          <w:shd w:fill="E4E4E4" w:color="auto" w:val="clear"/>
        </w:rPr>
        <w:t>                                </w:t>
      </w:r>
      <w:r>
        <w:rPr>
          <w:color w:val="000000"/>
          <w:spacing w:val="-2"/>
          <w:sz w:val="22"/>
          <w:shd w:fill="E4E4E4" w:color="auto" w:val="clear"/>
        </w:rPr>
        <w:t>瘤）、2（原位癌和非侵袭性癌）范畴的疾病，如：</w:t>
      </w:r>
    </w:p>
    <w:p>
      <w:pPr>
        <w:pStyle w:val="ListParagraph"/>
        <w:numPr>
          <w:ilvl w:val="1"/>
          <w:numId w:val="101"/>
        </w:numPr>
        <w:tabs>
          <w:tab w:pos="3429" w:val="left" w:leader="none"/>
        </w:tabs>
        <w:spacing w:line="324" w:lineRule="auto" w:before="0" w:after="0"/>
        <w:ind w:left="3200" w:right="150" w:firstLine="0"/>
        <w:jc w:val="left"/>
        <w:rPr>
          <w:sz w:val="22"/>
        </w:rPr>
      </w:pPr>
      <w:r>
        <w:rPr>
          <w:color w:val="000000"/>
          <w:spacing w:val="-2"/>
          <w:sz w:val="22"/>
          <w:shd w:fill="E4E4E4" w:color="auto" w:val="clear"/>
        </w:rPr>
        <w:t>原位癌，癌前病变，非浸润性癌，非侵袭性癌，肿瘤细胞未侵犯</w:t>
      </w:r>
      <w:r>
        <w:rPr>
          <w:color w:val="000000"/>
          <w:spacing w:val="80"/>
          <w:w w:val="150"/>
          <w:sz w:val="22"/>
          <w:shd w:fill="E4E4E4" w:color="auto" w:val="clear"/>
        </w:rPr>
        <w:t>                                   </w:t>
      </w:r>
      <w:r>
        <w:rPr>
          <w:color w:val="000000"/>
          <w:spacing w:val="-2"/>
          <w:sz w:val="22"/>
          <w:shd w:fill="E4E4E4" w:color="auto" w:val="clear"/>
        </w:rPr>
        <w:t>基底层，上皮内瘤变，细胞不典型性增生等；</w:t>
      </w:r>
    </w:p>
    <w:p>
      <w:pPr>
        <w:pStyle w:val="ListParagraph"/>
        <w:numPr>
          <w:ilvl w:val="1"/>
          <w:numId w:val="101"/>
        </w:numPr>
        <w:tabs>
          <w:tab w:pos="3429" w:val="left" w:leader="none"/>
        </w:tabs>
        <w:spacing w:line="324" w:lineRule="auto" w:before="0" w:after="0"/>
        <w:ind w:left="3200" w:right="150" w:firstLine="0"/>
        <w:jc w:val="left"/>
        <w:rPr>
          <w:sz w:val="22"/>
        </w:rPr>
      </w:pPr>
      <w:r>
        <w:rPr>
          <w:color w:val="000000"/>
          <w:spacing w:val="-2"/>
          <w:sz w:val="22"/>
          <w:shd w:fill="E4E4E4" w:color="auto" w:val="clear"/>
        </w:rPr>
        <w:t>交界性肿瘤，交界恶性肿瘤，肿瘤低度恶性潜能，潜在低度恶性</w:t>
      </w:r>
      <w:r>
        <w:rPr>
          <w:color w:val="000000"/>
          <w:spacing w:val="80"/>
          <w:w w:val="150"/>
          <w:sz w:val="22"/>
          <w:shd w:fill="E4E4E4" w:color="auto" w:val="clear"/>
        </w:rPr>
        <w:t>                                   </w:t>
      </w:r>
      <w:r>
        <w:rPr>
          <w:color w:val="000000"/>
          <w:spacing w:val="-4"/>
          <w:sz w:val="22"/>
          <w:shd w:fill="E4E4E4" w:color="auto" w:val="clear"/>
        </w:rPr>
        <w:t>肿瘤等；</w:t>
      </w:r>
    </w:p>
    <w:p>
      <w:pPr>
        <w:pStyle w:val="ListParagraph"/>
        <w:numPr>
          <w:ilvl w:val="0"/>
          <w:numId w:val="101"/>
        </w:numPr>
        <w:tabs>
          <w:tab w:pos="3141" w:val="left" w:leader="none"/>
        </w:tabs>
        <w:spacing w:line="279" w:lineRule="exact" w:before="0" w:after="0"/>
        <w:ind w:left="3140" w:right="0" w:hanging="661"/>
        <w:jc w:val="left"/>
        <w:rPr>
          <w:sz w:val="22"/>
        </w:rPr>
      </w:pPr>
      <w:r>
        <w:rPr>
          <w:color w:val="000000"/>
          <w:spacing w:val="-3"/>
          <w:sz w:val="22"/>
          <w:shd w:fill="E4E4E4" w:color="auto" w:val="clear"/>
        </w:rPr>
        <w:t>由身体其他部位恶性肿瘤转移发生的肝恶性肿瘤；</w:t>
      </w:r>
    </w:p>
    <w:p>
      <w:pPr>
        <w:pStyle w:val="ListParagraph"/>
        <w:numPr>
          <w:ilvl w:val="0"/>
          <w:numId w:val="101"/>
        </w:numPr>
        <w:tabs>
          <w:tab w:pos="3141" w:val="left" w:leader="none"/>
        </w:tabs>
        <w:spacing w:line="240" w:lineRule="auto" w:before="100" w:after="0"/>
        <w:ind w:left="3140" w:right="0" w:hanging="661"/>
        <w:jc w:val="left"/>
        <w:rPr>
          <w:sz w:val="22"/>
        </w:rPr>
      </w:pPr>
      <w:r>
        <w:rPr>
          <w:color w:val="000000"/>
          <w:spacing w:val="-3"/>
          <w:sz w:val="22"/>
          <w:shd w:fill="E4E4E4" w:color="auto" w:val="clear"/>
        </w:rPr>
        <w:t>感染艾滋病病毒或患艾滋病期间所患肝恶性肿瘤。</w:t>
      </w:r>
    </w:p>
    <w:p>
      <w:pPr>
        <w:pStyle w:val="BodyText"/>
        <w:spacing w:before="2"/>
        <w:rPr>
          <w:sz w:val="29"/>
        </w:rPr>
      </w:pPr>
    </w:p>
    <w:p>
      <w:pPr>
        <w:spacing w:after="0"/>
        <w:rPr>
          <w:sz w:val="29"/>
        </w:rPr>
        <w:sectPr>
          <w:pgSz w:w="11910" w:h="16840"/>
          <w:pgMar w:header="484" w:footer="706" w:top="1240" w:bottom="900" w:left="980" w:right="980"/>
        </w:sectPr>
      </w:pPr>
    </w:p>
    <w:p>
      <w:pPr>
        <w:pStyle w:val="Heading2"/>
        <w:numPr>
          <w:ilvl w:val="1"/>
          <w:numId w:val="99"/>
        </w:numPr>
        <w:tabs>
          <w:tab w:pos="954" w:val="left" w:leader="none"/>
          <w:tab w:pos="955" w:val="left" w:leader="none"/>
        </w:tabs>
        <w:spacing w:line="240" w:lineRule="auto" w:before="72" w:after="0"/>
        <w:ind w:left="954" w:right="0" w:hanging="803"/>
        <w:jc w:val="left"/>
      </w:pPr>
      <w:r>
        <w:rPr>
          <w:spacing w:val="-4"/>
        </w:rPr>
        <w:t>结直肠恶性肿</w:t>
      </w:r>
    </w:p>
    <w:p>
      <w:pPr>
        <w:spacing w:before="30"/>
        <w:ind w:left="954" w:right="0" w:firstLine="0"/>
        <w:jc w:val="left"/>
        <w:rPr>
          <w:rFonts w:ascii="华文中宋" w:eastAsia="华文中宋" w:hint="eastAsia"/>
          <w:b/>
          <w:sz w:val="22"/>
        </w:rPr>
      </w:pPr>
      <w:r>
        <w:rPr>
          <w:rFonts w:ascii="华文中宋" w:eastAsia="华文中宋" w:hint="eastAsia"/>
          <w:b/>
          <w:w w:val="100"/>
          <w:sz w:val="22"/>
        </w:rPr>
        <w:t>瘤</w:t>
      </w:r>
    </w:p>
    <w:p>
      <w:pPr>
        <w:pStyle w:val="BodyText"/>
        <w:spacing w:line="324" w:lineRule="auto" w:before="103"/>
        <w:ind w:left="152" w:right="150"/>
      </w:pPr>
      <w:r>
        <w:rPr/>
        <w:br w:type="column"/>
      </w:r>
      <w:r>
        <w:rPr/>
        <w:t>指原发于结肠、直肠的恶性肿瘤，国际疾病分类码为C18- C19大类，恶性肿瘤释义参考本合同重大疾病“10.1 恶性肿瘤——重度”的释义。</w:t>
      </w:r>
    </w:p>
    <w:p>
      <w:pPr>
        <w:pStyle w:val="BodyText"/>
        <w:spacing w:line="282" w:lineRule="exact"/>
        <w:ind w:left="152"/>
      </w:pPr>
      <w:r>
        <w:rPr>
          <w:color w:val="000000"/>
          <w:spacing w:val="-3"/>
          <w:shd w:fill="E4E4E4" w:color="auto" w:val="clear"/>
        </w:rPr>
        <w:t>下列情形不在保障范围内：</w:t>
      </w:r>
    </w:p>
    <w:p>
      <w:pPr>
        <w:pStyle w:val="ListParagraph"/>
        <w:numPr>
          <w:ilvl w:val="0"/>
          <w:numId w:val="102"/>
        </w:numPr>
        <w:tabs>
          <w:tab w:pos="813" w:val="left" w:leader="none"/>
        </w:tabs>
        <w:spacing w:line="324" w:lineRule="auto" w:before="97" w:after="0"/>
        <w:ind w:left="812" w:right="642" w:hanging="660"/>
        <w:jc w:val="left"/>
        <w:rPr>
          <w:sz w:val="22"/>
        </w:rPr>
      </w:pPr>
      <w:r>
        <w:rPr>
          <w:color w:val="000000"/>
          <w:spacing w:val="-2"/>
          <w:sz w:val="22"/>
          <w:shd w:fill="E4E4E4" w:color="auto" w:val="clear"/>
        </w:rPr>
        <w:t>ICD-O-3</w:t>
      </w:r>
      <w:r>
        <w:rPr>
          <w:color w:val="000000"/>
          <w:spacing w:val="-11"/>
          <w:sz w:val="22"/>
          <w:shd w:fill="E4E4E4" w:color="auto" w:val="clear"/>
        </w:rPr>
        <w:t> 肿瘤形态学编码属于 </w:t>
      </w:r>
      <w:r>
        <w:rPr>
          <w:color w:val="000000"/>
          <w:spacing w:val="-2"/>
          <w:sz w:val="22"/>
          <w:shd w:fill="E4E4E4" w:color="auto" w:val="clear"/>
        </w:rPr>
        <w:t>0（良性肿瘤）、1（动态未定性肿</w:t>
      </w:r>
      <w:r>
        <w:rPr>
          <w:color w:val="000000"/>
          <w:spacing w:val="80"/>
          <w:w w:val="150"/>
          <w:sz w:val="22"/>
          <w:shd w:fill="E4E4E4" w:color="auto" w:val="clear"/>
        </w:rPr>
        <w:t>                                </w:t>
      </w:r>
      <w:r>
        <w:rPr>
          <w:color w:val="000000"/>
          <w:spacing w:val="-2"/>
          <w:sz w:val="22"/>
          <w:shd w:fill="E4E4E4" w:color="auto" w:val="clear"/>
        </w:rPr>
        <w:t>瘤）、2（原位癌和非侵袭性癌）范畴的疾病，如：</w:t>
      </w:r>
    </w:p>
    <w:p>
      <w:pPr>
        <w:pStyle w:val="ListParagraph"/>
        <w:numPr>
          <w:ilvl w:val="1"/>
          <w:numId w:val="102"/>
        </w:numPr>
        <w:tabs>
          <w:tab w:pos="1101" w:val="left" w:leader="none"/>
        </w:tabs>
        <w:spacing w:line="324" w:lineRule="auto" w:before="0" w:after="0"/>
        <w:ind w:left="872" w:right="150" w:firstLine="0"/>
        <w:jc w:val="left"/>
        <w:rPr>
          <w:sz w:val="22"/>
        </w:rPr>
      </w:pPr>
      <w:r>
        <w:rPr>
          <w:color w:val="000000"/>
          <w:spacing w:val="-2"/>
          <w:sz w:val="22"/>
          <w:shd w:fill="E4E4E4" w:color="auto" w:val="clear"/>
        </w:rPr>
        <w:t>原位癌，癌前病变，非浸润性癌，非侵袭性癌，肿瘤细胞未侵犯</w:t>
      </w:r>
      <w:r>
        <w:rPr>
          <w:color w:val="000000"/>
          <w:spacing w:val="80"/>
          <w:w w:val="150"/>
          <w:sz w:val="22"/>
          <w:shd w:fill="E4E4E4" w:color="auto" w:val="clear"/>
        </w:rPr>
        <w:t>                                   </w:t>
      </w:r>
      <w:r>
        <w:rPr>
          <w:color w:val="000000"/>
          <w:spacing w:val="-2"/>
          <w:sz w:val="22"/>
          <w:shd w:fill="E4E4E4" w:color="auto" w:val="clear"/>
        </w:rPr>
        <w:t>基底层，上皮内瘤变，细胞不典型性增生等；</w:t>
      </w:r>
    </w:p>
    <w:p>
      <w:pPr>
        <w:pStyle w:val="ListParagraph"/>
        <w:numPr>
          <w:ilvl w:val="1"/>
          <w:numId w:val="102"/>
        </w:numPr>
        <w:tabs>
          <w:tab w:pos="1101" w:val="left" w:leader="none"/>
        </w:tabs>
        <w:spacing w:line="324" w:lineRule="auto" w:before="0" w:after="0"/>
        <w:ind w:left="872" w:right="150" w:firstLine="0"/>
        <w:jc w:val="left"/>
        <w:rPr>
          <w:sz w:val="22"/>
        </w:rPr>
      </w:pPr>
      <w:r>
        <w:rPr>
          <w:color w:val="000000"/>
          <w:spacing w:val="3"/>
          <w:w w:val="100"/>
          <w:sz w:val="22"/>
          <w:shd w:fill="E4E4E4" w:color="auto" w:val="clear"/>
        </w:rPr>
        <w:t>交界性肿瘤，交界恶性肿瘤，肿瘤低度恶性潜能，潜在低度恶性</w:t>
      </w:r>
      <w:r>
        <w:rPr>
          <w:color w:val="000000"/>
          <w:spacing w:val="-2"/>
          <w:w w:val="100"/>
          <w:sz w:val="22"/>
          <w:shd w:fill="E4E4E4" w:color="auto" w:val="clear"/>
        </w:rPr>
        <w:t>肿瘤等；</w:t>
      </w:r>
    </w:p>
    <w:p>
      <w:pPr>
        <w:pStyle w:val="ListParagraph"/>
        <w:numPr>
          <w:ilvl w:val="0"/>
          <w:numId w:val="102"/>
        </w:numPr>
        <w:tabs>
          <w:tab w:pos="813" w:val="left" w:leader="none"/>
        </w:tabs>
        <w:spacing w:line="279" w:lineRule="exact" w:before="0" w:after="0"/>
        <w:ind w:left="812" w:right="0" w:hanging="661"/>
        <w:jc w:val="left"/>
        <w:rPr>
          <w:sz w:val="22"/>
        </w:rPr>
      </w:pPr>
      <w:r>
        <w:rPr>
          <w:color w:val="000000"/>
          <w:spacing w:val="-3"/>
          <w:sz w:val="22"/>
          <w:shd w:fill="E4E4E4" w:color="auto" w:val="clear"/>
        </w:rPr>
        <w:t>由身体其他部位恶性肿瘤转移发生的结直肠恶性肿瘤；</w:t>
      </w:r>
    </w:p>
    <w:p>
      <w:pPr>
        <w:pStyle w:val="ListParagraph"/>
        <w:numPr>
          <w:ilvl w:val="0"/>
          <w:numId w:val="102"/>
        </w:numPr>
        <w:tabs>
          <w:tab w:pos="813" w:val="left" w:leader="none"/>
        </w:tabs>
        <w:spacing w:line="240" w:lineRule="auto" w:before="99" w:after="0"/>
        <w:ind w:left="812" w:right="0" w:hanging="661"/>
        <w:jc w:val="left"/>
        <w:rPr>
          <w:sz w:val="22"/>
        </w:rPr>
      </w:pPr>
      <w:r>
        <w:rPr>
          <w:color w:val="000000"/>
          <w:spacing w:val="-3"/>
          <w:sz w:val="22"/>
          <w:shd w:fill="E4E4E4" w:color="auto" w:val="clear"/>
        </w:rPr>
        <w:t>感染艾滋病病毒或患艾滋病期间所患结直肠恶性肿瘤。</w:t>
      </w:r>
    </w:p>
    <w:p>
      <w:pPr>
        <w:spacing w:after="0" w:line="240" w:lineRule="auto"/>
        <w:jc w:val="left"/>
        <w:rPr>
          <w:sz w:val="22"/>
        </w:rPr>
        <w:sectPr>
          <w:type w:val="continuous"/>
          <w:pgSz w:w="11910" w:h="16840"/>
          <w:pgMar w:header="484" w:footer="706" w:top="1240" w:bottom="900" w:left="980" w:right="980"/>
          <w:cols w:num="2" w:equalWidth="0">
            <w:col w:w="2277" w:space="51"/>
            <w:col w:w="7622"/>
          </w:cols>
        </w:sectPr>
      </w:pPr>
    </w:p>
    <w:p>
      <w:pPr>
        <w:pStyle w:val="BodyText"/>
        <w:spacing w:before="2"/>
        <w:rPr>
          <w:sz w:val="29"/>
        </w:rPr>
      </w:pPr>
    </w:p>
    <w:p>
      <w:pPr>
        <w:pStyle w:val="ListParagraph"/>
        <w:numPr>
          <w:ilvl w:val="1"/>
          <w:numId w:val="99"/>
        </w:numPr>
        <w:tabs>
          <w:tab w:pos="954" w:val="left" w:leader="none"/>
          <w:tab w:pos="955" w:val="left" w:leader="none"/>
          <w:tab w:pos="2480" w:val="left" w:leader="none"/>
        </w:tabs>
        <w:spacing w:line="283" w:lineRule="auto" w:before="73" w:after="0"/>
        <w:ind w:left="2480" w:right="150" w:hanging="2328"/>
        <w:jc w:val="left"/>
        <w:rPr>
          <w:sz w:val="22"/>
        </w:rPr>
      </w:pPr>
      <w:r>
        <w:rPr>
          <w:rFonts w:ascii="华文中宋" w:hAnsi="华文中宋" w:eastAsia="华文中宋" w:hint="eastAsia"/>
          <w:b/>
          <w:spacing w:val="-1"/>
          <w:w w:val="100"/>
          <w:sz w:val="22"/>
        </w:rPr>
        <w:t>乳腺</w:t>
      </w:r>
      <w:r>
        <w:rPr>
          <w:rFonts w:ascii="华文中宋" w:hAnsi="华文中宋" w:eastAsia="华文中宋" w:hint="eastAsia"/>
          <w:b/>
          <w:spacing w:val="-3"/>
          <w:w w:val="100"/>
          <w:sz w:val="22"/>
        </w:rPr>
        <w:t>恶</w:t>
      </w:r>
      <w:r>
        <w:rPr>
          <w:rFonts w:ascii="华文中宋" w:hAnsi="华文中宋" w:eastAsia="华文中宋" w:hint="eastAsia"/>
          <w:b/>
          <w:spacing w:val="-1"/>
          <w:w w:val="100"/>
          <w:sz w:val="22"/>
        </w:rPr>
        <w:t>性肿</w:t>
      </w:r>
      <w:r>
        <w:rPr>
          <w:rFonts w:ascii="华文中宋" w:hAnsi="华文中宋" w:eastAsia="华文中宋" w:hint="eastAsia"/>
          <w:b/>
          <w:w w:val="100"/>
          <w:sz w:val="22"/>
        </w:rPr>
        <w:t>瘤</w:t>
      </w:r>
      <w:r>
        <w:rPr>
          <w:rFonts w:ascii="华文中宋" w:hAnsi="华文中宋" w:eastAsia="华文中宋" w:hint="eastAsia"/>
          <w:b/>
          <w:sz w:val="22"/>
        </w:rPr>
        <w:tab/>
      </w:r>
      <w:r>
        <w:rPr>
          <w:spacing w:val="4"/>
          <w:w w:val="100"/>
          <w:sz w:val="22"/>
        </w:rPr>
        <w:t>指原</w:t>
      </w:r>
      <w:r>
        <w:rPr>
          <w:spacing w:val="2"/>
          <w:w w:val="100"/>
          <w:sz w:val="22"/>
        </w:rPr>
        <w:t>发</w:t>
      </w:r>
      <w:r>
        <w:rPr>
          <w:spacing w:val="4"/>
          <w:w w:val="100"/>
          <w:sz w:val="22"/>
        </w:rPr>
        <w:t>于乳腺组织</w:t>
      </w:r>
      <w:r>
        <w:rPr>
          <w:spacing w:val="2"/>
          <w:w w:val="100"/>
          <w:sz w:val="22"/>
        </w:rPr>
        <w:t>的</w:t>
      </w:r>
      <w:r>
        <w:rPr>
          <w:spacing w:val="4"/>
          <w:w w:val="100"/>
          <w:sz w:val="22"/>
        </w:rPr>
        <w:t>恶性肿瘤，</w:t>
      </w:r>
      <w:r>
        <w:rPr>
          <w:spacing w:val="2"/>
          <w:w w:val="100"/>
          <w:sz w:val="22"/>
        </w:rPr>
        <w:t>国</w:t>
      </w:r>
      <w:r>
        <w:rPr>
          <w:spacing w:val="4"/>
          <w:w w:val="100"/>
          <w:sz w:val="22"/>
        </w:rPr>
        <w:t>际疾病分类</w:t>
      </w:r>
      <w:r>
        <w:rPr>
          <w:spacing w:val="2"/>
          <w:w w:val="100"/>
          <w:sz w:val="22"/>
        </w:rPr>
        <w:t>码</w:t>
      </w:r>
      <w:r>
        <w:rPr>
          <w:spacing w:val="4"/>
          <w:w w:val="100"/>
          <w:sz w:val="22"/>
        </w:rPr>
        <w:t>为</w:t>
      </w:r>
      <w:r>
        <w:rPr>
          <w:spacing w:val="-1"/>
          <w:w w:val="100"/>
          <w:sz w:val="22"/>
        </w:rPr>
        <w:t>C5</w:t>
      </w:r>
      <w:r>
        <w:rPr>
          <w:spacing w:val="4"/>
          <w:w w:val="100"/>
          <w:sz w:val="22"/>
        </w:rPr>
        <w:t>0大类</w:t>
      </w:r>
      <w:r>
        <w:rPr>
          <w:spacing w:val="2"/>
          <w:w w:val="100"/>
          <w:sz w:val="22"/>
        </w:rPr>
        <w:t>，</w:t>
      </w:r>
      <w:r>
        <w:rPr>
          <w:spacing w:val="4"/>
          <w:w w:val="100"/>
          <w:sz w:val="22"/>
        </w:rPr>
        <w:t>恶性肿瘤释</w:t>
      </w:r>
      <w:r>
        <w:rPr>
          <w:w w:val="100"/>
          <w:sz w:val="22"/>
        </w:rPr>
        <w:t>义</w:t>
      </w:r>
      <w:r>
        <w:rPr>
          <w:spacing w:val="-1"/>
          <w:w w:val="100"/>
          <w:sz w:val="22"/>
        </w:rPr>
        <w:t>参</w:t>
      </w:r>
      <w:r>
        <w:rPr>
          <w:spacing w:val="-3"/>
          <w:w w:val="100"/>
          <w:sz w:val="22"/>
        </w:rPr>
        <w:t>考</w:t>
      </w:r>
      <w:r>
        <w:rPr>
          <w:spacing w:val="-1"/>
          <w:w w:val="100"/>
          <w:sz w:val="22"/>
        </w:rPr>
        <w:t>本合</w:t>
      </w:r>
      <w:r>
        <w:rPr>
          <w:spacing w:val="-3"/>
          <w:w w:val="100"/>
          <w:sz w:val="22"/>
        </w:rPr>
        <w:t>同</w:t>
      </w:r>
      <w:r>
        <w:rPr>
          <w:spacing w:val="-1"/>
          <w:w w:val="100"/>
          <w:sz w:val="22"/>
        </w:rPr>
        <w:t>重大</w:t>
      </w:r>
      <w:r>
        <w:rPr>
          <w:spacing w:val="-3"/>
          <w:w w:val="100"/>
          <w:sz w:val="22"/>
        </w:rPr>
        <w:t>疾</w:t>
      </w:r>
      <w:r>
        <w:rPr>
          <w:spacing w:val="-1"/>
          <w:w w:val="100"/>
          <w:sz w:val="22"/>
        </w:rPr>
        <w:t>病“10.</w:t>
      </w:r>
      <w:r>
        <w:rPr>
          <w:w w:val="100"/>
          <w:sz w:val="22"/>
        </w:rPr>
        <w:t>1</w:t>
      </w:r>
      <w:r>
        <w:rPr>
          <w:spacing w:val="-3"/>
          <w:sz w:val="22"/>
        </w:rPr>
        <w:t> </w:t>
      </w:r>
      <w:r>
        <w:rPr>
          <w:spacing w:val="-1"/>
          <w:w w:val="100"/>
          <w:sz w:val="22"/>
        </w:rPr>
        <w:t>恶</w:t>
      </w:r>
      <w:r>
        <w:rPr>
          <w:spacing w:val="-3"/>
          <w:w w:val="100"/>
          <w:sz w:val="22"/>
        </w:rPr>
        <w:t>性</w:t>
      </w:r>
      <w:r>
        <w:rPr>
          <w:spacing w:val="-1"/>
          <w:w w:val="100"/>
          <w:sz w:val="22"/>
        </w:rPr>
        <w:t>肿瘤—</w:t>
      </w:r>
      <w:r>
        <w:rPr>
          <w:spacing w:val="-3"/>
          <w:w w:val="100"/>
          <w:sz w:val="22"/>
        </w:rPr>
        <w:t>—</w:t>
      </w:r>
      <w:r>
        <w:rPr>
          <w:spacing w:val="-1"/>
          <w:w w:val="100"/>
          <w:sz w:val="22"/>
        </w:rPr>
        <w:t>重</w:t>
      </w:r>
      <w:r>
        <w:rPr>
          <w:spacing w:val="-3"/>
          <w:w w:val="100"/>
          <w:sz w:val="22"/>
        </w:rPr>
        <w:t>度</w:t>
      </w:r>
      <w:r>
        <w:rPr>
          <w:spacing w:val="-1"/>
          <w:w w:val="100"/>
          <w:sz w:val="22"/>
        </w:rPr>
        <w:t>”的</w:t>
      </w:r>
      <w:r>
        <w:rPr>
          <w:spacing w:val="-3"/>
          <w:w w:val="100"/>
          <w:sz w:val="22"/>
        </w:rPr>
        <w:t>释</w:t>
      </w:r>
      <w:r>
        <w:rPr>
          <w:spacing w:val="-1"/>
          <w:w w:val="100"/>
          <w:sz w:val="22"/>
        </w:rPr>
        <w:t>义</w:t>
      </w:r>
      <w:r>
        <w:rPr>
          <w:w w:val="100"/>
          <w:sz w:val="22"/>
        </w:rPr>
        <w:t>。</w:t>
      </w:r>
    </w:p>
    <w:p>
      <w:pPr>
        <w:pStyle w:val="BodyText"/>
        <w:spacing w:before="46"/>
        <w:ind w:left="2480"/>
      </w:pPr>
      <w:r>
        <w:rPr>
          <w:color w:val="000000"/>
          <w:spacing w:val="-3"/>
          <w:shd w:fill="E4E4E4" w:color="auto" w:val="clear"/>
        </w:rPr>
        <w:t>下列情形不在保障范围内：</w:t>
      </w:r>
    </w:p>
    <w:p>
      <w:pPr>
        <w:pStyle w:val="ListParagraph"/>
        <w:numPr>
          <w:ilvl w:val="0"/>
          <w:numId w:val="103"/>
        </w:numPr>
        <w:tabs>
          <w:tab w:pos="3141" w:val="left" w:leader="none"/>
        </w:tabs>
        <w:spacing w:line="324" w:lineRule="auto" w:before="97" w:after="0"/>
        <w:ind w:left="3140" w:right="642" w:hanging="660"/>
        <w:jc w:val="left"/>
        <w:rPr>
          <w:sz w:val="22"/>
        </w:rPr>
      </w:pPr>
      <w:r>
        <w:rPr>
          <w:color w:val="000000"/>
          <w:spacing w:val="-2"/>
          <w:sz w:val="22"/>
          <w:shd w:fill="E4E4E4" w:color="auto" w:val="clear"/>
        </w:rPr>
        <w:t>ICD-O-3</w:t>
      </w:r>
      <w:r>
        <w:rPr>
          <w:color w:val="000000"/>
          <w:spacing w:val="-11"/>
          <w:sz w:val="22"/>
          <w:shd w:fill="E4E4E4" w:color="auto" w:val="clear"/>
        </w:rPr>
        <w:t> 肿瘤形态学编码属于 </w:t>
      </w:r>
      <w:r>
        <w:rPr>
          <w:color w:val="000000"/>
          <w:spacing w:val="-2"/>
          <w:sz w:val="22"/>
          <w:shd w:fill="E4E4E4" w:color="auto" w:val="clear"/>
        </w:rPr>
        <w:t>0（良性肿瘤）、1（动态未定性肿</w:t>
      </w:r>
      <w:r>
        <w:rPr>
          <w:color w:val="000000"/>
          <w:spacing w:val="80"/>
          <w:w w:val="150"/>
          <w:sz w:val="22"/>
          <w:shd w:fill="E4E4E4" w:color="auto" w:val="clear"/>
        </w:rPr>
        <w:t>                                </w:t>
      </w:r>
      <w:r>
        <w:rPr>
          <w:color w:val="000000"/>
          <w:spacing w:val="-2"/>
          <w:sz w:val="22"/>
          <w:shd w:fill="E4E4E4" w:color="auto" w:val="clear"/>
        </w:rPr>
        <w:t>瘤）、2（原位癌和非侵袭性癌）范畴的疾病，如：</w:t>
      </w:r>
    </w:p>
    <w:p>
      <w:pPr>
        <w:pStyle w:val="ListParagraph"/>
        <w:numPr>
          <w:ilvl w:val="1"/>
          <w:numId w:val="103"/>
        </w:numPr>
        <w:tabs>
          <w:tab w:pos="3429" w:val="left" w:leader="none"/>
        </w:tabs>
        <w:spacing w:line="324" w:lineRule="auto" w:before="0" w:after="0"/>
        <w:ind w:left="3200" w:right="150" w:firstLine="0"/>
        <w:jc w:val="left"/>
        <w:rPr>
          <w:sz w:val="22"/>
        </w:rPr>
      </w:pPr>
      <w:r>
        <w:rPr>
          <w:color w:val="000000"/>
          <w:spacing w:val="-2"/>
          <w:sz w:val="22"/>
          <w:shd w:fill="E4E4E4" w:color="auto" w:val="clear"/>
        </w:rPr>
        <w:t>原位癌，癌前病变，非浸润性癌，非侵袭性癌，肿瘤细胞未侵犯</w:t>
      </w:r>
      <w:r>
        <w:rPr>
          <w:color w:val="000000"/>
          <w:spacing w:val="80"/>
          <w:w w:val="150"/>
          <w:sz w:val="22"/>
          <w:shd w:fill="E4E4E4" w:color="auto" w:val="clear"/>
        </w:rPr>
        <w:t>                                   </w:t>
      </w:r>
      <w:r>
        <w:rPr>
          <w:color w:val="000000"/>
          <w:spacing w:val="-2"/>
          <w:sz w:val="22"/>
          <w:shd w:fill="E4E4E4" w:color="auto" w:val="clear"/>
        </w:rPr>
        <w:t>基底层，上皮内瘤变，细胞不典型性增生等；</w:t>
      </w:r>
    </w:p>
    <w:p>
      <w:pPr>
        <w:pStyle w:val="ListParagraph"/>
        <w:numPr>
          <w:ilvl w:val="1"/>
          <w:numId w:val="103"/>
        </w:numPr>
        <w:tabs>
          <w:tab w:pos="3429" w:val="left" w:leader="none"/>
        </w:tabs>
        <w:spacing w:line="324" w:lineRule="auto" w:before="0" w:after="0"/>
        <w:ind w:left="3200" w:right="150" w:firstLine="0"/>
        <w:jc w:val="left"/>
        <w:rPr>
          <w:sz w:val="22"/>
        </w:rPr>
      </w:pPr>
      <w:r>
        <w:rPr>
          <w:color w:val="000000"/>
          <w:spacing w:val="3"/>
          <w:w w:val="100"/>
          <w:sz w:val="22"/>
          <w:shd w:fill="E4E4E4" w:color="auto" w:val="clear"/>
        </w:rPr>
        <w:t>交界性肿瘤，交界恶性肿瘤，肿瘤低度恶性潜能，潜在低度恶性</w:t>
      </w:r>
      <w:r>
        <w:rPr>
          <w:color w:val="000000"/>
          <w:spacing w:val="-2"/>
          <w:w w:val="100"/>
          <w:sz w:val="22"/>
          <w:shd w:fill="E4E4E4" w:color="auto" w:val="clear"/>
        </w:rPr>
        <w:t>肿瘤等；</w:t>
      </w:r>
    </w:p>
    <w:p>
      <w:pPr>
        <w:pStyle w:val="ListParagraph"/>
        <w:numPr>
          <w:ilvl w:val="0"/>
          <w:numId w:val="103"/>
        </w:numPr>
        <w:tabs>
          <w:tab w:pos="3141" w:val="left" w:leader="none"/>
        </w:tabs>
        <w:spacing w:line="279" w:lineRule="exact" w:before="0" w:after="0"/>
        <w:ind w:left="3140" w:right="0" w:hanging="661"/>
        <w:jc w:val="left"/>
        <w:rPr>
          <w:sz w:val="22"/>
        </w:rPr>
      </w:pPr>
      <w:r>
        <w:rPr>
          <w:color w:val="000000"/>
          <w:spacing w:val="-3"/>
          <w:sz w:val="22"/>
          <w:shd w:fill="E4E4E4" w:color="auto" w:val="clear"/>
        </w:rPr>
        <w:t>由身体其他部位恶性肿瘤转移发生的乳腺恶性肿瘤；</w:t>
      </w:r>
    </w:p>
    <w:p>
      <w:pPr>
        <w:pStyle w:val="ListParagraph"/>
        <w:numPr>
          <w:ilvl w:val="0"/>
          <w:numId w:val="103"/>
        </w:numPr>
        <w:tabs>
          <w:tab w:pos="3141" w:val="left" w:leader="none"/>
        </w:tabs>
        <w:spacing w:line="240" w:lineRule="auto" w:before="100" w:after="0"/>
        <w:ind w:left="3140" w:right="0" w:hanging="661"/>
        <w:jc w:val="left"/>
        <w:rPr>
          <w:sz w:val="22"/>
        </w:rPr>
      </w:pPr>
      <w:r>
        <w:rPr>
          <w:color w:val="000000"/>
          <w:spacing w:val="-3"/>
          <w:sz w:val="22"/>
          <w:shd w:fill="E4E4E4" w:color="auto" w:val="clear"/>
        </w:rPr>
        <w:t>感染艾滋病病毒或患艾滋病期间所患乳腺恶性肿瘤。</w:t>
      </w:r>
    </w:p>
    <w:p>
      <w:pPr>
        <w:pStyle w:val="BodyText"/>
        <w:spacing w:before="2"/>
        <w:rPr>
          <w:sz w:val="29"/>
        </w:rPr>
      </w:pPr>
    </w:p>
    <w:p>
      <w:pPr>
        <w:spacing w:after="0"/>
        <w:rPr>
          <w:sz w:val="29"/>
        </w:rPr>
        <w:sectPr>
          <w:type w:val="continuous"/>
          <w:pgSz w:w="11910" w:h="16840"/>
          <w:pgMar w:header="484" w:footer="706" w:top="1240" w:bottom="900" w:left="980" w:right="980"/>
        </w:sectPr>
      </w:pPr>
    </w:p>
    <w:p>
      <w:pPr>
        <w:pStyle w:val="Heading2"/>
        <w:numPr>
          <w:ilvl w:val="1"/>
          <w:numId w:val="99"/>
        </w:numPr>
        <w:tabs>
          <w:tab w:pos="954" w:val="left" w:leader="none"/>
          <w:tab w:pos="955" w:val="left" w:leader="none"/>
        </w:tabs>
        <w:spacing w:line="240" w:lineRule="auto" w:before="73" w:after="0"/>
        <w:ind w:left="954" w:right="0" w:hanging="803"/>
        <w:jc w:val="left"/>
      </w:pPr>
      <w:r>
        <w:rPr>
          <w:spacing w:val="-4"/>
        </w:rPr>
        <w:t>子宫颈恶性肿</w:t>
      </w:r>
    </w:p>
    <w:p>
      <w:pPr>
        <w:spacing w:before="30"/>
        <w:ind w:left="954" w:right="0" w:firstLine="0"/>
        <w:jc w:val="left"/>
        <w:rPr>
          <w:rFonts w:ascii="华文中宋" w:eastAsia="华文中宋" w:hint="eastAsia"/>
          <w:b/>
          <w:sz w:val="22"/>
        </w:rPr>
      </w:pPr>
      <w:r>
        <w:rPr>
          <w:rFonts w:ascii="华文中宋" w:eastAsia="华文中宋" w:hint="eastAsia"/>
          <w:b/>
          <w:w w:val="100"/>
          <w:sz w:val="22"/>
        </w:rPr>
        <w:t>瘤</w:t>
      </w:r>
    </w:p>
    <w:p>
      <w:pPr>
        <w:pStyle w:val="BodyText"/>
        <w:spacing w:line="324" w:lineRule="auto" w:before="103"/>
        <w:ind w:left="152" w:right="150"/>
      </w:pPr>
      <w:r>
        <w:rPr/>
        <w:br w:type="column"/>
      </w:r>
      <w:r>
        <w:rPr>
          <w:spacing w:val="2"/>
          <w:w w:val="100"/>
        </w:rPr>
        <w:t>指原发于子宫颈组织的恶性肿瘤，国际疾病分类码为</w:t>
      </w:r>
      <w:r>
        <w:rPr>
          <w:spacing w:val="-1"/>
          <w:w w:val="100"/>
        </w:rPr>
        <w:t>C5</w:t>
      </w:r>
      <w:r>
        <w:rPr>
          <w:spacing w:val="4"/>
          <w:w w:val="100"/>
        </w:rPr>
        <w:t>3</w:t>
      </w:r>
      <w:r>
        <w:rPr>
          <w:spacing w:val="2"/>
          <w:w w:val="100"/>
        </w:rPr>
        <w:t>大类，恶性肿瘤释</w:t>
      </w:r>
      <w:r>
        <w:rPr>
          <w:spacing w:val="-3"/>
          <w:w w:val="100"/>
        </w:rPr>
        <w:t>义参考本合同重大疾病“</w:t>
      </w:r>
      <w:r>
        <w:rPr>
          <w:spacing w:val="-1"/>
          <w:w w:val="100"/>
        </w:rPr>
        <w:t>10.</w:t>
      </w:r>
      <w:r>
        <w:rPr>
          <w:w w:val="100"/>
        </w:rPr>
        <w:t>1</w:t>
      </w:r>
      <w:r>
        <w:rPr/>
        <w:t> </w:t>
      </w:r>
      <w:r>
        <w:rPr>
          <w:spacing w:val="-3"/>
          <w:w w:val="100"/>
        </w:rPr>
        <w:t>恶性肿瘤——重度”的释义。</w:t>
      </w:r>
    </w:p>
    <w:p>
      <w:pPr>
        <w:pStyle w:val="BodyText"/>
        <w:spacing w:line="282" w:lineRule="exact"/>
        <w:ind w:left="152"/>
      </w:pPr>
      <w:r>
        <w:rPr>
          <w:color w:val="000000"/>
          <w:spacing w:val="-3"/>
          <w:shd w:fill="E4E4E4" w:color="auto" w:val="clear"/>
        </w:rPr>
        <w:t>下列情形不在保障范围内：</w:t>
      </w:r>
    </w:p>
    <w:p>
      <w:pPr>
        <w:spacing w:after="0" w:line="282" w:lineRule="exact"/>
        <w:sectPr>
          <w:type w:val="continuous"/>
          <w:pgSz w:w="11910" w:h="16840"/>
          <w:pgMar w:header="484" w:footer="706" w:top="1240" w:bottom="900" w:left="980" w:right="980"/>
          <w:cols w:num="2" w:equalWidth="0">
            <w:col w:w="2277" w:space="51"/>
            <w:col w:w="7622"/>
          </w:cols>
        </w:sectPr>
      </w:pPr>
    </w:p>
    <w:p>
      <w:pPr>
        <w:pStyle w:val="BodyText"/>
        <w:spacing w:before="7"/>
        <w:rPr>
          <w:sz w:val="14"/>
        </w:rPr>
      </w:pPr>
    </w:p>
    <w:p>
      <w:pPr>
        <w:pStyle w:val="ListParagraph"/>
        <w:numPr>
          <w:ilvl w:val="0"/>
          <w:numId w:val="104"/>
        </w:numPr>
        <w:tabs>
          <w:tab w:pos="3141" w:val="left" w:leader="none"/>
        </w:tabs>
        <w:spacing w:line="324" w:lineRule="auto" w:before="70" w:after="0"/>
        <w:ind w:left="3140" w:right="642" w:hanging="660"/>
        <w:jc w:val="left"/>
        <w:rPr>
          <w:sz w:val="22"/>
        </w:rPr>
      </w:pPr>
      <w:r>
        <w:rPr>
          <w:color w:val="000000"/>
          <w:spacing w:val="-2"/>
          <w:sz w:val="22"/>
          <w:shd w:fill="E4E4E4" w:color="auto" w:val="clear"/>
        </w:rPr>
        <w:t>ICD-O-3</w:t>
      </w:r>
      <w:r>
        <w:rPr>
          <w:color w:val="000000"/>
          <w:spacing w:val="-11"/>
          <w:sz w:val="22"/>
          <w:shd w:fill="E4E4E4" w:color="auto" w:val="clear"/>
        </w:rPr>
        <w:t> 肿瘤形态学编码属于 </w:t>
      </w:r>
      <w:r>
        <w:rPr>
          <w:color w:val="000000"/>
          <w:spacing w:val="-2"/>
          <w:sz w:val="22"/>
          <w:shd w:fill="E4E4E4" w:color="auto" w:val="clear"/>
        </w:rPr>
        <w:t>0（良性肿瘤）、1（动态未定性肿</w:t>
      </w:r>
      <w:r>
        <w:rPr>
          <w:color w:val="000000"/>
          <w:spacing w:val="80"/>
          <w:w w:val="150"/>
          <w:sz w:val="22"/>
          <w:shd w:fill="E4E4E4" w:color="auto" w:val="clear"/>
        </w:rPr>
        <w:t>                                </w:t>
      </w:r>
      <w:r>
        <w:rPr>
          <w:color w:val="000000"/>
          <w:spacing w:val="-2"/>
          <w:sz w:val="22"/>
          <w:shd w:fill="E4E4E4" w:color="auto" w:val="clear"/>
        </w:rPr>
        <w:t>瘤）、2（原位癌和非侵袭性癌）范畴的疾病，如：</w:t>
      </w:r>
    </w:p>
    <w:p>
      <w:pPr>
        <w:pStyle w:val="ListParagraph"/>
        <w:numPr>
          <w:ilvl w:val="1"/>
          <w:numId w:val="104"/>
        </w:numPr>
        <w:tabs>
          <w:tab w:pos="3429" w:val="left" w:leader="none"/>
        </w:tabs>
        <w:spacing w:line="324" w:lineRule="auto" w:before="0" w:after="0"/>
        <w:ind w:left="3200" w:right="150" w:firstLine="0"/>
        <w:jc w:val="left"/>
        <w:rPr>
          <w:sz w:val="22"/>
        </w:rPr>
      </w:pPr>
      <w:r>
        <w:rPr>
          <w:color w:val="000000"/>
          <w:spacing w:val="-2"/>
          <w:sz w:val="22"/>
          <w:shd w:fill="E4E4E4" w:color="auto" w:val="clear"/>
        </w:rPr>
        <w:t>原位癌，癌前病变，非浸润性癌，非侵袭性癌，肿瘤细胞未侵犯</w:t>
      </w:r>
      <w:r>
        <w:rPr>
          <w:color w:val="000000"/>
          <w:spacing w:val="80"/>
          <w:w w:val="150"/>
          <w:sz w:val="22"/>
          <w:shd w:fill="E4E4E4" w:color="auto" w:val="clear"/>
        </w:rPr>
        <w:t>                                   </w:t>
      </w:r>
      <w:r>
        <w:rPr>
          <w:color w:val="000000"/>
          <w:spacing w:val="-2"/>
          <w:sz w:val="22"/>
          <w:shd w:fill="E4E4E4" w:color="auto" w:val="clear"/>
        </w:rPr>
        <w:t>基底层，上皮内瘤变，细胞不典型性增生等；</w:t>
      </w:r>
    </w:p>
    <w:p>
      <w:pPr>
        <w:pStyle w:val="ListParagraph"/>
        <w:numPr>
          <w:ilvl w:val="1"/>
          <w:numId w:val="104"/>
        </w:numPr>
        <w:tabs>
          <w:tab w:pos="3429" w:val="left" w:leader="none"/>
        </w:tabs>
        <w:spacing w:line="324" w:lineRule="auto" w:before="0" w:after="0"/>
        <w:ind w:left="3200" w:right="150" w:firstLine="0"/>
        <w:jc w:val="left"/>
        <w:rPr>
          <w:sz w:val="22"/>
        </w:rPr>
      </w:pPr>
      <w:r>
        <w:rPr>
          <w:color w:val="000000"/>
          <w:spacing w:val="-2"/>
          <w:sz w:val="22"/>
          <w:shd w:fill="E4E4E4" w:color="auto" w:val="clear"/>
        </w:rPr>
        <w:t>交界性肿瘤，交界恶性肿瘤，肿瘤低度恶性潜能，潜在低度恶性</w:t>
      </w:r>
      <w:r>
        <w:rPr>
          <w:color w:val="000000"/>
          <w:spacing w:val="80"/>
          <w:w w:val="150"/>
          <w:sz w:val="22"/>
          <w:shd w:fill="E4E4E4" w:color="auto" w:val="clear"/>
        </w:rPr>
        <w:t>                                   </w:t>
      </w:r>
      <w:r>
        <w:rPr>
          <w:color w:val="000000"/>
          <w:spacing w:val="-4"/>
          <w:sz w:val="22"/>
          <w:shd w:fill="E4E4E4" w:color="auto" w:val="clear"/>
        </w:rPr>
        <w:t>肿瘤等；</w:t>
      </w:r>
    </w:p>
    <w:p>
      <w:pPr>
        <w:pStyle w:val="ListParagraph"/>
        <w:numPr>
          <w:ilvl w:val="0"/>
          <w:numId w:val="104"/>
        </w:numPr>
        <w:tabs>
          <w:tab w:pos="3141" w:val="left" w:leader="none"/>
        </w:tabs>
        <w:spacing w:line="279" w:lineRule="exact" w:before="0" w:after="0"/>
        <w:ind w:left="3140" w:right="0" w:hanging="661"/>
        <w:jc w:val="left"/>
        <w:rPr>
          <w:sz w:val="22"/>
        </w:rPr>
      </w:pPr>
      <w:r>
        <w:rPr>
          <w:color w:val="000000"/>
          <w:spacing w:val="-3"/>
          <w:sz w:val="22"/>
          <w:shd w:fill="E4E4E4" w:color="auto" w:val="clear"/>
        </w:rPr>
        <w:t>由身体其他部位恶性肿瘤转移发生的子宫颈恶性肿瘤；</w:t>
      </w:r>
    </w:p>
    <w:p>
      <w:pPr>
        <w:pStyle w:val="ListParagraph"/>
        <w:numPr>
          <w:ilvl w:val="0"/>
          <w:numId w:val="104"/>
        </w:numPr>
        <w:tabs>
          <w:tab w:pos="3141" w:val="left" w:leader="none"/>
        </w:tabs>
        <w:spacing w:line="240" w:lineRule="auto" w:before="100" w:after="0"/>
        <w:ind w:left="3140" w:right="0" w:hanging="661"/>
        <w:jc w:val="left"/>
        <w:rPr>
          <w:sz w:val="22"/>
        </w:rPr>
      </w:pPr>
      <w:r>
        <w:rPr>
          <w:color w:val="000000"/>
          <w:spacing w:val="-3"/>
          <w:sz w:val="22"/>
          <w:shd w:fill="E4E4E4" w:color="auto" w:val="clear"/>
        </w:rPr>
        <w:t>感染艾滋病病毒或患艾滋病期间所患子宫颈恶性肿瘤。</w:t>
      </w:r>
    </w:p>
    <w:p>
      <w:pPr>
        <w:pStyle w:val="BodyText"/>
      </w:pPr>
    </w:p>
    <w:p>
      <w:pPr>
        <w:pStyle w:val="ListParagraph"/>
        <w:numPr>
          <w:ilvl w:val="1"/>
          <w:numId w:val="99"/>
        </w:numPr>
        <w:tabs>
          <w:tab w:pos="954" w:val="left" w:leader="none"/>
          <w:tab w:pos="955" w:val="left" w:leader="none"/>
          <w:tab w:pos="2480" w:val="left" w:leader="none"/>
        </w:tabs>
        <w:spacing w:line="283" w:lineRule="auto" w:before="164" w:after="0"/>
        <w:ind w:left="2480" w:right="150" w:hanging="2328"/>
        <w:jc w:val="left"/>
        <w:rPr>
          <w:sz w:val="22"/>
        </w:rPr>
      </w:pPr>
      <w:r>
        <w:rPr>
          <w:rFonts w:ascii="华文中宋" w:hAnsi="华文中宋" w:eastAsia="华文中宋" w:hint="eastAsia"/>
          <w:b/>
          <w:spacing w:val="-1"/>
          <w:w w:val="100"/>
          <w:sz w:val="22"/>
        </w:rPr>
        <w:t>卵巢</w:t>
      </w:r>
      <w:r>
        <w:rPr>
          <w:rFonts w:ascii="华文中宋" w:hAnsi="华文中宋" w:eastAsia="华文中宋" w:hint="eastAsia"/>
          <w:b/>
          <w:spacing w:val="-3"/>
          <w:w w:val="100"/>
          <w:sz w:val="22"/>
        </w:rPr>
        <w:t>恶</w:t>
      </w:r>
      <w:r>
        <w:rPr>
          <w:rFonts w:ascii="华文中宋" w:hAnsi="华文中宋" w:eastAsia="华文中宋" w:hint="eastAsia"/>
          <w:b/>
          <w:spacing w:val="-1"/>
          <w:w w:val="100"/>
          <w:sz w:val="22"/>
        </w:rPr>
        <w:t>性肿</w:t>
      </w:r>
      <w:r>
        <w:rPr>
          <w:rFonts w:ascii="华文中宋" w:hAnsi="华文中宋" w:eastAsia="华文中宋" w:hint="eastAsia"/>
          <w:b/>
          <w:w w:val="100"/>
          <w:sz w:val="22"/>
        </w:rPr>
        <w:t>瘤</w:t>
      </w:r>
      <w:r>
        <w:rPr>
          <w:rFonts w:ascii="华文中宋" w:hAnsi="华文中宋" w:eastAsia="华文中宋" w:hint="eastAsia"/>
          <w:b/>
          <w:sz w:val="22"/>
        </w:rPr>
        <w:tab/>
      </w:r>
      <w:r>
        <w:rPr>
          <w:spacing w:val="4"/>
          <w:w w:val="100"/>
          <w:sz w:val="22"/>
        </w:rPr>
        <w:t>指原</w:t>
      </w:r>
      <w:r>
        <w:rPr>
          <w:spacing w:val="2"/>
          <w:w w:val="100"/>
          <w:sz w:val="22"/>
        </w:rPr>
        <w:t>发</w:t>
      </w:r>
      <w:r>
        <w:rPr>
          <w:spacing w:val="4"/>
          <w:w w:val="100"/>
          <w:sz w:val="22"/>
        </w:rPr>
        <w:t>于卵巢组织</w:t>
      </w:r>
      <w:r>
        <w:rPr>
          <w:spacing w:val="2"/>
          <w:w w:val="100"/>
          <w:sz w:val="22"/>
        </w:rPr>
        <w:t>的</w:t>
      </w:r>
      <w:r>
        <w:rPr>
          <w:spacing w:val="4"/>
          <w:w w:val="100"/>
          <w:sz w:val="22"/>
        </w:rPr>
        <w:t>恶性肿瘤，</w:t>
      </w:r>
      <w:r>
        <w:rPr>
          <w:spacing w:val="2"/>
          <w:w w:val="100"/>
          <w:sz w:val="22"/>
        </w:rPr>
        <w:t>国</w:t>
      </w:r>
      <w:r>
        <w:rPr>
          <w:spacing w:val="4"/>
          <w:w w:val="100"/>
          <w:sz w:val="22"/>
        </w:rPr>
        <w:t>际疾病分类</w:t>
      </w:r>
      <w:r>
        <w:rPr>
          <w:spacing w:val="2"/>
          <w:w w:val="100"/>
          <w:sz w:val="22"/>
        </w:rPr>
        <w:t>码</w:t>
      </w:r>
      <w:r>
        <w:rPr>
          <w:spacing w:val="4"/>
          <w:w w:val="100"/>
          <w:sz w:val="22"/>
        </w:rPr>
        <w:t>为</w:t>
      </w:r>
      <w:r>
        <w:rPr>
          <w:spacing w:val="-1"/>
          <w:w w:val="100"/>
          <w:sz w:val="22"/>
        </w:rPr>
        <w:t>C5</w:t>
      </w:r>
      <w:r>
        <w:rPr>
          <w:spacing w:val="4"/>
          <w:w w:val="100"/>
          <w:sz w:val="22"/>
        </w:rPr>
        <w:t>6大类</w:t>
      </w:r>
      <w:r>
        <w:rPr>
          <w:spacing w:val="2"/>
          <w:w w:val="100"/>
          <w:sz w:val="22"/>
        </w:rPr>
        <w:t>，</w:t>
      </w:r>
      <w:r>
        <w:rPr>
          <w:spacing w:val="4"/>
          <w:w w:val="100"/>
          <w:sz w:val="22"/>
        </w:rPr>
        <w:t>恶性肿瘤释</w:t>
      </w:r>
      <w:r>
        <w:rPr>
          <w:w w:val="100"/>
          <w:sz w:val="22"/>
        </w:rPr>
        <w:t>义</w:t>
      </w:r>
      <w:r>
        <w:rPr>
          <w:spacing w:val="-1"/>
          <w:w w:val="100"/>
          <w:sz w:val="22"/>
        </w:rPr>
        <w:t>参</w:t>
      </w:r>
      <w:r>
        <w:rPr>
          <w:spacing w:val="-3"/>
          <w:w w:val="100"/>
          <w:sz w:val="22"/>
        </w:rPr>
        <w:t>考</w:t>
      </w:r>
      <w:r>
        <w:rPr>
          <w:spacing w:val="-1"/>
          <w:w w:val="100"/>
          <w:sz w:val="22"/>
        </w:rPr>
        <w:t>本合</w:t>
      </w:r>
      <w:r>
        <w:rPr>
          <w:spacing w:val="-3"/>
          <w:w w:val="100"/>
          <w:sz w:val="22"/>
        </w:rPr>
        <w:t>同</w:t>
      </w:r>
      <w:r>
        <w:rPr>
          <w:spacing w:val="-1"/>
          <w:w w:val="100"/>
          <w:sz w:val="22"/>
        </w:rPr>
        <w:t>重大</w:t>
      </w:r>
      <w:r>
        <w:rPr>
          <w:spacing w:val="-3"/>
          <w:w w:val="100"/>
          <w:sz w:val="22"/>
        </w:rPr>
        <w:t>疾</w:t>
      </w:r>
      <w:r>
        <w:rPr>
          <w:spacing w:val="-1"/>
          <w:w w:val="100"/>
          <w:sz w:val="22"/>
        </w:rPr>
        <w:t>病“10.</w:t>
      </w:r>
      <w:r>
        <w:rPr>
          <w:w w:val="100"/>
          <w:sz w:val="22"/>
        </w:rPr>
        <w:t>1</w:t>
      </w:r>
      <w:r>
        <w:rPr>
          <w:spacing w:val="-3"/>
          <w:sz w:val="22"/>
        </w:rPr>
        <w:t> </w:t>
      </w:r>
      <w:r>
        <w:rPr>
          <w:spacing w:val="-1"/>
          <w:w w:val="100"/>
          <w:sz w:val="22"/>
        </w:rPr>
        <w:t>恶</w:t>
      </w:r>
      <w:r>
        <w:rPr>
          <w:spacing w:val="-3"/>
          <w:w w:val="100"/>
          <w:sz w:val="22"/>
        </w:rPr>
        <w:t>性</w:t>
      </w:r>
      <w:r>
        <w:rPr>
          <w:spacing w:val="-1"/>
          <w:w w:val="100"/>
          <w:sz w:val="22"/>
        </w:rPr>
        <w:t>肿瘤—</w:t>
      </w:r>
      <w:r>
        <w:rPr>
          <w:spacing w:val="-3"/>
          <w:w w:val="100"/>
          <w:sz w:val="22"/>
        </w:rPr>
        <w:t>—</w:t>
      </w:r>
      <w:r>
        <w:rPr>
          <w:spacing w:val="-1"/>
          <w:w w:val="100"/>
          <w:sz w:val="22"/>
        </w:rPr>
        <w:t>重</w:t>
      </w:r>
      <w:r>
        <w:rPr>
          <w:spacing w:val="-3"/>
          <w:w w:val="100"/>
          <w:sz w:val="22"/>
        </w:rPr>
        <w:t>度</w:t>
      </w:r>
      <w:r>
        <w:rPr>
          <w:spacing w:val="-1"/>
          <w:w w:val="100"/>
          <w:sz w:val="22"/>
        </w:rPr>
        <w:t>”的</w:t>
      </w:r>
      <w:r>
        <w:rPr>
          <w:spacing w:val="-3"/>
          <w:w w:val="100"/>
          <w:sz w:val="22"/>
        </w:rPr>
        <w:t>释</w:t>
      </w:r>
      <w:r>
        <w:rPr>
          <w:spacing w:val="-1"/>
          <w:w w:val="100"/>
          <w:sz w:val="22"/>
        </w:rPr>
        <w:t>义</w:t>
      </w:r>
      <w:r>
        <w:rPr>
          <w:w w:val="100"/>
          <w:sz w:val="22"/>
        </w:rPr>
        <w:t>。</w:t>
      </w:r>
    </w:p>
    <w:p>
      <w:pPr>
        <w:pStyle w:val="BodyText"/>
        <w:spacing w:before="46"/>
        <w:ind w:left="2480"/>
      </w:pPr>
      <w:r>
        <w:rPr>
          <w:color w:val="000000"/>
          <w:spacing w:val="-3"/>
          <w:shd w:fill="E4E4E4" w:color="auto" w:val="clear"/>
        </w:rPr>
        <w:t>下列情形不在保障范围内：</w:t>
      </w:r>
    </w:p>
    <w:p>
      <w:pPr>
        <w:pStyle w:val="ListParagraph"/>
        <w:numPr>
          <w:ilvl w:val="0"/>
          <w:numId w:val="105"/>
        </w:numPr>
        <w:tabs>
          <w:tab w:pos="3141" w:val="left" w:leader="none"/>
        </w:tabs>
        <w:spacing w:line="324" w:lineRule="auto" w:before="98" w:after="0"/>
        <w:ind w:left="3140" w:right="642" w:hanging="660"/>
        <w:jc w:val="left"/>
        <w:rPr>
          <w:sz w:val="22"/>
        </w:rPr>
      </w:pPr>
      <w:r>
        <w:rPr>
          <w:color w:val="000000"/>
          <w:spacing w:val="-2"/>
          <w:sz w:val="22"/>
          <w:shd w:fill="E4E4E4" w:color="auto" w:val="clear"/>
        </w:rPr>
        <w:t>ICD-O-3</w:t>
      </w:r>
      <w:r>
        <w:rPr>
          <w:color w:val="000000"/>
          <w:spacing w:val="-11"/>
          <w:sz w:val="22"/>
          <w:shd w:fill="E4E4E4" w:color="auto" w:val="clear"/>
        </w:rPr>
        <w:t> 肿瘤形态学编码属于 </w:t>
      </w:r>
      <w:r>
        <w:rPr>
          <w:color w:val="000000"/>
          <w:spacing w:val="-2"/>
          <w:sz w:val="22"/>
          <w:shd w:fill="E4E4E4" w:color="auto" w:val="clear"/>
        </w:rPr>
        <w:t>0（良性肿瘤）、1（动态未定性肿</w:t>
      </w:r>
      <w:r>
        <w:rPr>
          <w:color w:val="000000"/>
          <w:spacing w:val="80"/>
          <w:w w:val="150"/>
          <w:sz w:val="22"/>
          <w:shd w:fill="E4E4E4" w:color="auto" w:val="clear"/>
        </w:rPr>
        <w:t>                                </w:t>
      </w:r>
      <w:r>
        <w:rPr>
          <w:color w:val="000000"/>
          <w:spacing w:val="-2"/>
          <w:sz w:val="22"/>
          <w:shd w:fill="E4E4E4" w:color="auto" w:val="clear"/>
        </w:rPr>
        <w:t>瘤）、2（原位癌和非侵袭性癌）范畴的疾病，如：</w:t>
      </w:r>
    </w:p>
    <w:p>
      <w:pPr>
        <w:pStyle w:val="ListParagraph"/>
        <w:numPr>
          <w:ilvl w:val="1"/>
          <w:numId w:val="105"/>
        </w:numPr>
        <w:tabs>
          <w:tab w:pos="3429" w:val="left" w:leader="none"/>
        </w:tabs>
        <w:spacing w:line="324" w:lineRule="auto" w:before="0" w:after="0"/>
        <w:ind w:left="3200" w:right="150" w:firstLine="0"/>
        <w:jc w:val="left"/>
        <w:rPr>
          <w:sz w:val="22"/>
        </w:rPr>
      </w:pPr>
      <w:r>
        <w:rPr>
          <w:color w:val="000000"/>
          <w:spacing w:val="-2"/>
          <w:sz w:val="22"/>
          <w:shd w:fill="E4E4E4" w:color="auto" w:val="clear"/>
        </w:rPr>
        <w:t>原位癌，癌前病变，非浸润性癌，非侵袭性癌，肿瘤细胞未侵犯</w:t>
      </w:r>
      <w:r>
        <w:rPr>
          <w:color w:val="000000"/>
          <w:spacing w:val="80"/>
          <w:w w:val="150"/>
          <w:sz w:val="22"/>
          <w:shd w:fill="E4E4E4" w:color="auto" w:val="clear"/>
        </w:rPr>
        <w:t>                                   </w:t>
      </w:r>
      <w:r>
        <w:rPr>
          <w:color w:val="000000"/>
          <w:spacing w:val="-2"/>
          <w:sz w:val="22"/>
          <w:shd w:fill="E4E4E4" w:color="auto" w:val="clear"/>
        </w:rPr>
        <w:t>基底层，上皮内瘤变，细胞不典型性增生等；</w:t>
      </w:r>
    </w:p>
    <w:p>
      <w:pPr>
        <w:pStyle w:val="ListParagraph"/>
        <w:numPr>
          <w:ilvl w:val="1"/>
          <w:numId w:val="105"/>
        </w:numPr>
        <w:tabs>
          <w:tab w:pos="3429" w:val="left" w:leader="none"/>
        </w:tabs>
        <w:spacing w:line="324" w:lineRule="auto" w:before="0" w:after="0"/>
        <w:ind w:left="3200" w:right="150" w:firstLine="0"/>
        <w:jc w:val="left"/>
        <w:rPr>
          <w:sz w:val="22"/>
        </w:rPr>
      </w:pPr>
      <w:r>
        <w:rPr>
          <w:color w:val="000000"/>
          <w:spacing w:val="-2"/>
          <w:sz w:val="22"/>
          <w:shd w:fill="E4E4E4" w:color="auto" w:val="clear"/>
        </w:rPr>
        <w:t>交界性肿瘤，交界恶性肿瘤，肿瘤低度恶性潜能，潜在低度恶性</w:t>
      </w:r>
      <w:r>
        <w:rPr>
          <w:color w:val="000000"/>
          <w:spacing w:val="80"/>
          <w:w w:val="150"/>
          <w:sz w:val="22"/>
          <w:shd w:fill="E4E4E4" w:color="auto" w:val="clear"/>
        </w:rPr>
        <w:t>                                   </w:t>
      </w:r>
      <w:r>
        <w:rPr>
          <w:color w:val="000000"/>
          <w:spacing w:val="-4"/>
          <w:sz w:val="22"/>
          <w:shd w:fill="E4E4E4" w:color="auto" w:val="clear"/>
        </w:rPr>
        <w:t>肿瘤等；</w:t>
      </w:r>
    </w:p>
    <w:p>
      <w:pPr>
        <w:pStyle w:val="ListParagraph"/>
        <w:numPr>
          <w:ilvl w:val="0"/>
          <w:numId w:val="105"/>
        </w:numPr>
        <w:tabs>
          <w:tab w:pos="3141" w:val="left" w:leader="none"/>
        </w:tabs>
        <w:spacing w:line="279" w:lineRule="exact" w:before="0" w:after="0"/>
        <w:ind w:left="3140" w:right="0" w:hanging="661"/>
        <w:jc w:val="left"/>
        <w:rPr>
          <w:sz w:val="22"/>
        </w:rPr>
      </w:pPr>
      <w:r>
        <w:rPr>
          <w:color w:val="000000"/>
          <w:spacing w:val="-3"/>
          <w:sz w:val="22"/>
          <w:shd w:fill="E4E4E4" w:color="auto" w:val="clear"/>
        </w:rPr>
        <w:t>由身体其他部位恶性肿瘤转移发生的卵巢恶性肿瘤；</w:t>
      </w:r>
    </w:p>
    <w:p>
      <w:pPr>
        <w:pStyle w:val="ListParagraph"/>
        <w:numPr>
          <w:ilvl w:val="0"/>
          <w:numId w:val="105"/>
        </w:numPr>
        <w:tabs>
          <w:tab w:pos="3141" w:val="left" w:leader="none"/>
        </w:tabs>
        <w:spacing w:line="240" w:lineRule="auto" w:before="99" w:after="0"/>
        <w:ind w:left="3140" w:right="0" w:hanging="661"/>
        <w:jc w:val="left"/>
        <w:rPr>
          <w:sz w:val="22"/>
        </w:rPr>
      </w:pPr>
      <w:r>
        <w:rPr>
          <w:color w:val="000000"/>
          <w:spacing w:val="-3"/>
          <w:sz w:val="22"/>
          <w:shd w:fill="E4E4E4" w:color="auto" w:val="clear"/>
        </w:rPr>
        <w:t>感染艾滋病病毒或患艾滋病期间所患卵巢恶性肿瘤。</w:t>
      </w:r>
    </w:p>
    <w:p>
      <w:pPr>
        <w:pStyle w:val="BodyText"/>
      </w:pPr>
    </w:p>
    <w:p>
      <w:pPr>
        <w:pStyle w:val="ListParagraph"/>
        <w:numPr>
          <w:ilvl w:val="1"/>
          <w:numId w:val="99"/>
        </w:numPr>
        <w:tabs>
          <w:tab w:pos="954" w:val="left" w:leader="none"/>
          <w:tab w:pos="955" w:val="left" w:leader="none"/>
          <w:tab w:pos="2480" w:val="left" w:leader="none"/>
        </w:tabs>
        <w:spacing w:line="283" w:lineRule="auto" w:before="164" w:after="0"/>
        <w:ind w:left="2480" w:right="152" w:hanging="2328"/>
        <w:jc w:val="left"/>
        <w:rPr>
          <w:sz w:val="22"/>
        </w:rPr>
      </w:pPr>
      <w:r>
        <w:rPr>
          <w:rFonts w:ascii="华文中宋" w:hAnsi="华文中宋" w:eastAsia="华文中宋" w:hint="eastAsia"/>
          <w:b/>
          <w:spacing w:val="-1"/>
          <w:w w:val="100"/>
          <w:sz w:val="22"/>
        </w:rPr>
        <w:t>喉</w:t>
      </w:r>
      <w:r>
        <w:rPr>
          <w:rFonts w:ascii="华文中宋" w:hAnsi="华文中宋" w:eastAsia="华文中宋" w:hint="eastAsia"/>
          <w:b/>
          <w:w w:val="100"/>
          <w:sz w:val="22"/>
        </w:rPr>
        <w:t>癌</w:t>
      </w:r>
      <w:r>
        <w:rPr>
          <w:rFonts w:ascii="华文中宋" w:hAnsi="华文中宋" w:eastAsia="华文中宋" w:hint="eastAsia"/>
          <w:b/>
          <w:sz w:val="22"/>
        </w:rPr>
        <w:tab/>
      </w:r>
      <w:r>
        <w:rPr>
          <w:spacing w:val="4"/>
          <w:w w:val="100"/>
          <w:sz w:val="22"/>
        </w:rPr>
        <w:t>指原</w:t>
      </w:r>
      <w:r>
        <w:rPr>
          <w:spacing w:val="2"/>
          <w:w w:val="100"/>
          <w:sz w:val="22"/>
        </w:rPr>
        <w:t>发</w:t>
      </w:r>
      <w:r>
        <w:rPr>
          <w:spacing w:val="4"/>
          <w:w w:val="100"/>
          <w:sz w:val="22"/>
        </w:rPr>
        <w:t>于喉的恶性</w:t>
      </w:r>
      <w:r>
        <w:rPr>
          <w:spacing w:val="2"/>
          <w:w w:val="100"/>
          <w:sz w:val="22"/>
        </w:rPr>
        <w:t>肿</w:t>
      </w:r>
      <w:r>
        <w:rPr>
          <w:spacing w:val="4"/>
          <w:w w:val="100"/>
          <w:sz w:val="22"/>
        </w:rPr>
        <w:t>瘤，国际疾</w:t>
      </w:r>
      <w:r>
        <w:rPr>
          <w:spacing w:val="2"/>
          <w:w w:val="100"/>
          <w:sz w:val="22"/>
        </w:rPr>
        <w:t>病</w:t>
      </w:r>
      <w:r>
        <w:rPr>
          <w:spacing w:val="4"/>
          <w:w w:val="100"/>
          <w:sz w:val="22"/>
        </w:rPr>
        <w:t>分类码为</w:t>
      </w:r>
      <w:r>
        <w:rPr>
          <w:spacing w:val="-1"/>
          <w:w w:val="100"/>
          <w:sz w:val="22"/>
        </w:rPr>
        <w:t>C3</w:t>
      </w:r>
      <w:r>
        <w:rPr>
          <w:spacing w:val="2"/>
          <w:w w:val="100"/>
          <w:sz w:val="22"/>
        </w:rPr>
        <w:t>2</w:t>
      </w:r>
      <w:r>
        <w:rPr>
          <w:spacing w:val="4"/>
          <w:w w:val="100"/>
          <w:sz w:val="22"/>
        </w:rPr>
        <w:t>大类</w:t>
      </w:r>
      <w:r>
        <w:rPr>
          <w:spacing w:val="2"/>
          <w:w w:val="100"/>
          <w:sz w:val="22"/>
        </w:rPr>
        <w:t>，</w:t>
      </w:r>
      <w:r>
        <w:rPr>
          <w:spacing w:val="4"/>
          <w:w w:val="100"/>
          <w:sz w:val="22"/>
        </w:rPr>
        <w:t>恶性肿瘤释</w:t>
      </w:r>
      <w:r>
        <w:rPr>
          <w:spacing w:val="2"/>
          <w:w w:val="100"/>
          <w:sz w:val="22"/>
        </w:rPr>
        <w:t>义</w:t>
      </w:r>
      <w:r>
        <w:rPr>
          <w:spacing w:val="4"/>
          <w:w w:val="100"/>
          <w:sz w:val="22"/>
        </w:rPr>
        <w:t>参考</w:t>
      </w:r>
      <w:r>
        <w:rPr>
          <w:w w:val="100"/>
          <w:sz w:val="22"/>
        </w:rPr>
        <w:t>本</w:t>
      </w:r>
      <w:r>
        <w:rPr>
          <w:spacing w:val="-1"/>
          <w:w w:val="100"/>
          <w:sz w:val="22"/>
        </w:rPr>
        <w:t>合</w:t>
      </w:r>
      <w:r>
        <w:rPr>
          <w:spacing w:val="-3"/>
          <w:w w:val="100"/>
          <w:sz w:val="22"/>
        </w:rPr>
        <w:t>同</w:t>
      </w:r>
      <w:r>
        <w:rPr>
          <w:spacing w:val="-1"/>
          <w:w w:val="100"/>
          <w:sz w:val="22"/>
        </w:rPr>
        <w:t>重大</w:t>
      </w:r>
      <w:r>
        <w:rPr>
          <w:spacing w:val="-3"/>
          <w:w w:val="100"/>
          <w:sz w:val="22"/>
        </w:rPr>
        <w:t>疾</w:t>
      </w:r>
      <w:r>
        <w:rPr>
          <w:spacing w:val="-1"/>
          <w:w w:val="100"/>
          <w:sz w:val="22"/>
        </w:rPr>
        <w:t>病“10.</w:t>
      </w:r>
      <w:r>
        <w:rPr>
          <w:w w:val="100"/>
          <w:sz w:val="22"/>
        </w:rPr>
        <w:t>1</w:t>
      </w:r>
      <w:r>
        <w:rPr>
          <w:spacing w:val="-3"/>
          <w:sz w:val="22"/>
        </w:rPr>
        <w:t> </w:t>
      </w:r>
      <w:r>
        <w:rPr>
          <w:spacing w:val="-1"/>
          <w:w w:val="100"/>
          <w:sz w:val="22"/>
        </w:rPr>
        <w:t>恶</w:t>
      </w:r>
      <w:r>
        <w:rPr>
          <w:spacing w:val="-3"/>
          <w:w w:val="100"/>
          <w:sz w:val="22"/>
        </w:rPr>
        <w:t>性</w:t>
      </w:r>
      <w:r>
        <w:rPr>
          <w:spacing w:val="-1"/>
          <w:w w:val="100"/>
          <w:sz w:val="22"/>
        </w:rPr>
        <w:t>肿瘤—</w:t>
      </w:r>
      <w:r>
        <w:rPr>
          <w:spacing w:val="-3"/>
          <w:w w:val="100"/>
          <w:sz w:val="22"/>
        </w:rPr>
        <w:t>—</w:t>
      </w:r>
      <w:r>
        <w:rPr>
          <w:spacing w:val="-1"/>
          <w:w w:val="100"/>
          <w:sz w:val="22"/>
        </w:rPr>
        <w:t>重</w:t>
      </w:r>
      <w:r>
        <w:rPr>
          <w:spacing w:val="-3"/>
          <w:w w:val="100"/>
          <w:sz w:val="22"/>
        </w:rPr>
        <w:t>度</w:t>
      </w:r>
      <w:r>
        <w:rPr>
          <w:spacing w:val="-1"/>
          <w:w w:val="100"/>
          <w:sz w:val="22"/>
        </w:rPr>
        <w:t>”的</w:t>
      </w:r>
      <w:r>
        <w:rPr>
          <w:spacing w:val="-3"/>
          <w:w w:val="100"/>
          <w:sz w:val="22"/>
        </w:rPr>
        <w:t>释</w:t>
      </w:r>
      <w:r>
        <w:rPr>
          <w:spacing w:val="-1"/>
          <w:w w:val="100"/>
          <w:sz w:val="22"/>
        </w:rPr>
        <w:t>义</w:t>
      </w:r>
      <w:r>
        <w:rPr>
          <w:w w:val="100"/>
          <w:sz w:val="22"/>
        </w:rPr>
        <w:t>。</w:t>
      </w:r>
    </w:p>
    <w:p>
      <w:pPr>
        <w:pStyle w:val="BodyText"/>
        <w:spacing w:before="47"/>
        <w:ind w:left="2480"/>
      </w:pPr>
      <w:r>
        <w:rPr>
          <w:color w:val="000000"/>
          <w:spacing w:val="-3"/>
          <w:shd w:fill="E4E4E4" w:color="auto" w:val="clear"/>
        </w:rPr>
        <w:t>下列情形不在保障范围内：</w:t>
      </w:r>
    </w:p>
    <w:p>
      <w:pPr>
        <w:pStyle w:val="ListParagraph"/>
        <w:numPr>
          <w:ilvl w:val="0"/>
          <w:numId w:val="106"/>
        </w:numPr>
        <w:tabs>
          <w:tab w:pos="3141" w:val="left" w:leader="none"/>
        </w:tabs>
        <w:spacing w:line="324" w:lineRule="auto" w:before="97" w:after="0"/>
        <w:ind w:left="3140" w:right="642" w:hanging="660"/>
        <w:jc w:val="left"/>
        <w:rPr>
          <w:sz w:val="22"/>
        </w:rPr>
      </w:pPr>
      <w:r>
        <w:rPr>
          <w:color w:val="000000"/>
          <w:spacing w:val="-2"/>
          <w:sz w:val="22"/>
          <w:shd w:fill="E4E4E4" w:color="auto" w:val="clear"/>
        </w:rPr>
        <w:t>ICD-O-3</w:t>
      </w:r>
      <w:r>
        <w:rPr>
          <w:color w:val="000000"/>
          <w:spacing w:val="-11"/>
          <w:sz w:val="22"/>
          <w:shd w:fill="E4E4E4" w:color="auto" w:val="clear"/>
        </w:rPr>
        <w:t> 肿瘤形态学编码属于 </w:t>
      </w:r>
      <w:r>
        <w:rPr>
          <w:color w:val="000000"/>
          <w:spacing w:val="-2"/>
          <w:sz w:val="22"/>
          <w:shd w:fill="E4E4E4" w:color="auto" w:val="clear"/>
        </w:rPr>
        <w:t>0（良性肿瘤）、1（动态未定性肿</w:t>
      </w:r>
      <w:r>
        <w:rPr>
          <w:color w:val="000000"/>
          <w:spacing w:val="80"/>
          <w:w w:val="150"/>
          <w:sz w:val="22"/>
          <w:shd w:fill="E4E4E4" w:color="auto" w:val="clear"/>
        </w:rPr>
        <w:t>                                </w:t>
      </w:r>
      <w:r>
        <w:rPr>
          <w:color w:val="000000"/>
          <w:spacing w:val="-2"/>
          <w:sz w:val="22"/>
          <w:shd w:fill="E4E4E4" w:color="auto" w:val="clear"/>
        </w:rPr>
        <w:t>瘤）、2（原位癌和非侵袭性癌）范畴的疾病，如：</w:t>
      </w:r>
    </w:p>
    <w:p>
      <w:pPr>
        <w:pStyle w:val="ListParagraph"/>
        <w:numPr>
          <w:ilvl w:val="1"/>
          <w:numId w:val="106"/>
        </w:numPr>
        <w:tabs>
          <w:tab w:pos="3429" w:val="left" w:leader="none"/>
        </w:tabs>
        <w:spacing w:line="324" w:lineRule="auto" w:before="0" w:after="0"/>
        <w:ind w:left="3200" w:right="150" w:firstLine="0"/>
        <w:jc w:val="left"/>
        <w:rPr>
          <w:sz w:val="22"/>
        </w:rPr>
      </w:pPr>
      <w:r>
        <w:rPr>
          <w:color w:val="000000"/>
          <w:spacing w:val="-2"/>
          <w:sz w:val="22"/>
          <w:shd w:fill="E4E4E4" w:color="auto" w:val="clear"/>
        </w:rPr>
        <w:t>原位癌，癌前病变，非浸润性癌，非侵袭性癌，肿瘤细胞未侵犯</w:t>
      </w:r>
      <w:r>
        <w:rPr>
          <w:color w:val="000000"/>
          <w:spacing w:val="80"/>
          <w:w w:val="150"/>
          <w:sz w:val="22"/>
          <w:shd w:fill="E4E4E4" w:color="auto" w:val="clear"/>
        </w:rPr>
        <w:t>                                   </w:t>
      </w:r>
      <w:r>
        <w:rPr>
          <w:color w:val="000000"/>
          <w:spacing w:val="-2"/>
          <w:sz w:val="22"/>
          <w:shd w:fill="E4E4E4" w:color="auto" w:val="clear"/>
        </w:rPr>
        <w:t>基底层，上皮内瘤变，细胞不典型性增生等；</w:t>
      </w:r>
    </w:p>
    <w:p>
      <w:pPr>
        <w:pStyle w:val="ListParagraph"/>
        <w:numPr>
          <w:ilvl w:val="1"/>
          <w:numId w:val="106"/>
        </w:numPr>
        <w:tabs>
          <w:tab w:pos="3429" w:val="left" w:leader="none"/>
        </w:tabs>
        <w:spacing w:line="324" w:lineRule="auto" w:before="0" w:after="0"/>
        <w:ind w:left="3200" w:right="150" w:firstLine="0"/>
        <w:jc w:val="left"/>
        <w:rPr>
          <w:sz w:val="22"/>
        </w:rPr>
      </w:pPr>
      <w:r>
        <w:rPr>
          <w:color w:val="000000"/>
          <w:spacing w:val="-2"/>
          <w:sz w:val="22"/>
          <w:shd w:fill="E4E4E4" w:color="auto" w:val="clear"/>
        </w:rPr>
        <w:t>交界性肿瘤，交界恶性肿瘤，肿瘤低度恶性潜能，潜在低度恶性</w:t>
      </w:r>
      <w:r>
        <w:rPr>
          <w:color w:val="000000"/>
          <w:spacing w:val="80"/>
          <w:w w:val="150"/>
          <w:sz w:val="22"/>
          <w:shd w:fill="E4E4E4" w:color="auto" w:val="clear"/>
        </w:rPr>
        <w:t>                                   </w:t>
      </w:r>
      <w:r>
        <w:rPr>
          <w:color w:val="000000"/>
          <w:spacing w:val="-4"/>
          <w:sz w:val="22"/>
          <w:shd w:fill="E4E4E4" w:color="auto" w:val="clear"/>
        </w:rPr>
        <w:t>肿瘤等；</w:t>
      </w:r>
    </w:p>
    <w:p>
      <w:pPr>
        <w:pStyle w:val="ListParagraph"/>
        <w:numPr>
          <w:ilvl w:val="0"/>
          <w:numId w:val="106"/>
        </w:numPr>
        <w:tabs>
          <w:tab w:pos="3141" w:val="left" w:leader="none"/>
        </w:tabs>
        <w:spacing w:line="279" w:lineRule="exact" w:before="0" w:after="0"/>
        <w:ind w:left="3140" w:right="0" w:hanging="661"/>
        <w:jc w:val="left"/>
        <w:rPr>
          <w:sz w:val="22"/>
        </w:rPr>
      </w:pPr>
      <w:r>
        <w:rPr>
          <w:color w:val="000000"/>
          <w:spacing w:val="-3"/>
          <w:sz w:val="22"/>
          <w:shd w:fill="E4E4E4" w:color="auto" w:val="clear"/>
        </w:rPr>
        <w:t>由身体其他部位恶性肿瘤转移发生的喉恶性肿瘤；</w:t>
      </w:r>
    </w:p>
    <w:p>
      <w:pPr>
        <w:pStyle w:val="ListParagraph"/>
        <w:numPr>
          <w:ilvl w:val="0"/>
          <w:numId w:val="106"/>
        </w:numPr>
        <w:tabs>
          <w:tab w:pos="3141" w:val="left" w:leader="none"/>
        </w:tabs>
        <w:spacing w:line="240" w:lineRule="auto" w:before="99" w:after="0"/>
        <w:ind w:left="3140" w:right="0" w:hanging="661"/>
        <w:jc w:val="left"/>
        <w:rPr>
          <w:sz w:val="22"/>
        </w:rPr>
      </w:pPr>
      <w:r>
        <w:rPr>
          <w:color w:val="000000"/>
          <w:spacing w:val="-3"/>
          <w:sz w:val="22"/>
          <w:shd w:fill="E4E4E4" w:color="auto" w:val="clear"/>
        </w:rPr>
        <w:t>感染艾滋病病毒或患艾滋病期间所患喉恶性肿瘤。</w:t>
      </w:r>
    </w:p>
    <w:p>
      <w:pPr>
        <w:pStyle w:val="BodyText"/>
      </w:pPr>
    </w:p>
    <w:p>
      <w:pPr>
        <w:pStyle w:val="ListParagraph"/>
        <w:numPr>
          <w:ilvl w:val="1"/>
          <w:numId w:val="99"/>
        </w:numPr>
        <w:tabs>
          <w:tab w:pos="954" w:val="left" w:leader="none"/>
          <w:tab w:pos="955" w:val="left" w:leader="none"/>
          <w:tab w:pos="2480" w:val="left" w:leader="none"/>
        </w:tabs>
        <w:spacing w:line="283" w:lineRule="auto" w:before="165" w:after="0"/>
        <w:ind w:left="2480" w:right="150" w:hanging="2328"/>
        <w:jc w:val="left"/>
        <w:rPr>
          <w:sz w:val="22"/>
        </w:rPr>
      </w:pPr>
      <w:r>
        <w:rPr>
          <w:rFonts w:ascii="华文中宋" w:hAnsi="华文中宋" w:eastAsia="华文中宋" w:hint="eastAsia"/>
          <w:b/>
          <w:spacing w:val="-1"/>
          <w:w w:val="100"/>
          <w:sz w:val="22"/>
        </w:rPr>
        <w:t>前列</w:t>
      </w:r>
      <w:r>
        <w:rPr>
          <w:rFonts w:ascii="华文中宋" w:hAnsi="华文中宋" w:eastAsia="华文中宋" w:hint="eastAsia"/>
          <w:b/>
          <w:spacing w:val="-3"/>
          <w:w w:val="100"/>
          <w:sz w:val="22"/>
        </w:rPr>
        <w:t>腺</w:t>
      </w:r>
      <w:r>
        <w:rPr>
          <w:rFonts w:ascii="华文中宋" w:hAnsi="华文中宋" w:eastAsia="华文中宋" w:hint="eastAsia"/>
          <w:b/>
          <w:w w:val="100"/>
          <w:sz w:val="22"/>
        </w:rPr>
        <w:t>癌</w:t>
      </w:r>
      <w:r>
        <w:rPr>
          <w:rFonts w:ascii="华文中宋" w:hAnsi="华文中宋" w:eastAsia="华文中宋" w:hint="eastAsia"/>
          <w:b/>
          <w:sz w:val="22"/>
        </w:rPr>
        <w:tab/>
      </w:r>
      <w:r>
        <w:rPr>
          <w:spacing w:val="4"/>
          <w:w w:val="100"/>
          <w:sz w:val="22"/>
        </w:rPr>
        <w:t>指原</w:t>
      </w:r>
      <w:r>
        <w:rPr>
          <w:spacing w:val="2"/>
          <w:w w:val="100"/>
          <w:sz w:val="22"/>
        </w:rPr>
        <w:t>发</w:t>
      </w:r>
      <w:r>
        <w:rPr>
          <w:spacing w:val="4"/>
          <w:w w:val="100"/>
          <w:sz w:val="22"/>
        </w:rPr>
        <w:t>于前列腺组</w:t>
      </w:r>
      <w:r>
        <w:rPr>
          <w:spacing w:val="2"/>
          <w:w w:val="100"/>
          <w:sz w:val="22"/>
        </w:rPr>
        <w:t>织</w:t>
      </w:r>
      <w:r>
        <w:rPr>
          <w:spacing w:val="4"/>
          <w:w w:val="100"/>
          <w:sz w:val="22"/>
        </w:rPr>
        <w:t>的恶性肿瘤</w:t>
      </w:r>
      <w:r>
        <w:rPr>
          <w:spacing w:val="2"/>
          <w:w w:val="100"/>
          <w:sz w:val="22"/>
        </w:rPr>
        <w:t>，</w:t>
      </w:r>
      <w:r>
        <w:rPr>
          <w:spacing w:val="4"/>
          <w:w w:val="100"/>
          <w:sz w:val="22"/>
        </w:rPr>
        <w:t>国际疾病分</w:t>
      </w:r>
      <w:r>
        <w:rPr>
          <w:spacing w:val="2"/>
          <w:w w:val="100"/>
          <w:sz w:val="22"/>
        </w:rPr>
        <w:t>类</w:t>
      </w:r>
      <w:r>
        <w:rPr>
          <w:spacing w:val="4"/>
          <w:w w:val="100"/>
          <w:sz w:val="22"/>
        </w:rPr>
        <w:t>码为</w:t>
      </w:r>
      <w:r>
        <w:rPr>
          <w:spacing w:val="-1"/>
          <w:w w:val="100"/>
          <w:sz w:val="22"/>
        </w:rPr>
        <w:t>C6</w:t>
      </w:r>
      <w:r>
        <w:rPr>
          <w:spacing w:val="4"/>
          <w:w w:val="100"/>
          <w:sz w:val="22"/>
        </w:rPr>
        <w:t>1大类</w:t>
      </w:r>
      <w:r>
        <w:rPr>
          <w:spacing w:val="2"/>
          <w:w w:val="100"/>
          <w:sz w:val="22"/>
        </w:rPr>
        <w:t>，</w:t>
      </w:r>
      <w:r>
        <w:rPr>
          <w:spacing w:val="4"/>
          <w:w w:val="100"/>
          <w:sz w:val="22"/>
        </w:rPr>
        <w:t>恶性肿瘤</w:t>
      </w:r>
      <w:r>
        <w:rPr>
          <w:w w:val="100"/>
          <w:sz w:val="22"/>
        </w:rPr>
        <w:t>释</w:t>
      </w:r>
      <w:r>
        <w:rPr>
          <w:spacing w:val="-1"/>
          <w:w w:val="100"/>
          <w:sz w:val="22"/>
        </w:rPr>
        <w:t>义</w:t>
      </w:r>
      <w:r>
        <w:rPr>
          <w:spacing w:val="-3"/>
          <w:w w:val="100"/>
          <w:sz w:val="22"/>
        </w:rPr>
        <w:t>参</w:t>
      </w:r>
      <w:r>
        <w:rPr>
          <w:spacing w:val="-1"/>
          <w:w w:val="100"/>
          <w:sz w:val="22"/>
        </w:rPr>
        <w:t>考本</w:t>
      </w:r>
      <w:r>
        <w:rPr>
          <w:spacing w:val="-3"/>
          <w:w w:val="100"/>
          <w:sz w:val="22"/>
        </w:rPr>
        <w:t>合</w:t>
      </w:r>
      <w:r>
        <w:rPr>
          <w:spacing w:val="-1"/>
          <w:w w:val="100"/>
          <w:sz w:val="22"/>
        </w:rPr>
        <w:t>同重</w:t>
      </w:r>
      <w:r>
        <w:rPr>
          <w:spacing w:val="-3"/>
          <w:w w:val="100"/>
          <w:sz w:val="22"/>
        </w:rPr>
        <w:t>大</w:t>
      </w:r>
      <w:r>
        <w:rPr>
          <w:spacing w:val="-1"/>
          <w:w w:val="100"/>
          <w:sz w:val="22"/>
        </w:rPr>
        <w:t>疾病</w:t>
      </w:r>
      <w:r>
        <w:rPr>
          <w:spacing w:val="-3"/>
          <w:w w:val="100"/>
          <w:sz w:val="22"/>
        </w:rPr>
        <w:t>“</w:t>
      </w:r>
      <w:r>
        <w:rPr>
          <w:spacing w:val="-1"/>
          <w:w w:val="100"/>
          <w:sz w:val="22"/>
        </w:rPr>
        <w:t>10.</w:t>
      </w:r>
      <w:r>
        <w:rPr>
          <w:w w:val="100"/>
          <w:sz w:val="22"/>
        </w:rPr>
        <w:t>1</w:t>
      </w:r>
      <w:r>
        <w:rPr>
          <w:sz w:val="22"/>
        </w:rPr>
        <w:t> </w:t>
      </w:r>
      <w:r>
        <w:rPr>
          <w:spacing w:val="-1"/>
          <w:w w:val="100"/>
          <w:sz w:val="22"/>
        </w:rPr>
        <w:t>恶</w:t>
      </w:r>
      <w:r>
        <w:rPr>
          <w:spacing w:val="-3"/>
          <w:w w:val="100"/>
          <w:sz w:val="22"/>
        </w:rPr>
        <w:t>性</w:t>
      </w:r>
      <w:r>
        <w:rPr>
          <w:spacing w:val="-1"/>
          <w:w w:val="100"/>
          <w:sz w:val="22"/>
        </w:rPr>
        <w:t>肿</w:t>
      </w:r>
      <w:r>
        <w:rPr>
          <w:spacing w:val="-3"/>
          <w:w w:val="100"/>
          <w:sz w:val="22"/>
        </w:rPr>
        <w:t>瘤</w:t>
      </w:r>
      <w:r>
        <w:rPr>
          <w:spacing w:val="-1"/>
          <w:w w:val="100"/>
          <w:sz w:val="22"/>
        </w:rPr>
        <w:t>——重</w:t>
      </w:r>
      <w:r>
        <w:rPr>
          <w:spacing w:val="-3"/>
          <w:w w:val="100"/>
          <w:sz w:val="22"/>
        </w:rPr>
        <w:t>度</w:t>
      </w:r>
      <w:r>
        <w:rPr>
          <w:spacing w:val="-1"/>
          <w:w w:val="100"/>
          <w:sz w:val="22"/>
        </w:rPr>
        <w:t>”的</w:t>
      </w:r>
      <w:r>
        <w:rPr>
          <w:spacing w:val="-3"/>
          <w:w w:val="100"/>
          <w:sz w:val="22"/>
        </w:rPr>
        <w:t>释</w:t>
      </w:r>
      <w:r>
        <w:rPr>
          <w:spacing w:val="-1"/>
          <w:w w:val="100"/>
          <w:sz w:val="22"/>
        </w:rPr>
        <w:t>义</w:t>
      </w:r>
      <w:r>
        <w:rPr>
          <w:w w:val="100"/>
          <w:sz w:val="22"/>
        </w:rPr>
        <w:t>。</w:t>
      </w:r>
    </w:p>
    <w:p>
      <w:pPr>
        <w:pStyle w:val="BodyText"/>
        <w:spacing w:before="46"/>
        <w:ind w:left="2480"/>
      </w:pPr>
      <w:r>
        <w:rPr>
          <w:color w:val="000000"/>
          <w:spacing w:val="-3"/>
          <w:shd w:fill="E4E4E4" w:color="auto" w:val="clear"/>
        </w:rPr>
        <w:t>下列情形不在保障范围内：</w:t>
      </w:r>
    </w:p>
    <w:p>
      <w:pPr>
        <w:spacing w:after="0"/>
        <w:sectPr>
          <w:pgSz w:w="11910" w:h="16840"/>
          <w:pgMar w:header="484" w:footer="706" w:top="1240" w:bottom="900" w:left="980" w:right="980"/>
        </w:sectPr>
      </w:pPr>
    </w:p>
    <w:p>
      <w:pPr>
        <w:pStyle w:val="BodyText"/>
        <w:spacing w:before="7"/>
        <w:rPr>
          <w:sz w:val="14"/>
        </w:rPr>
      </w:pPr>
    </w:p>
    <w:p>
      <w:pPr>
        <w:pStyle w:val="ListParagraph"/>
        <w:numPr>
          <w:ilvl w:val="0"/>
          <w:numId w:val="107"/>
        </w:numPr>
        <w:tabs>
          <w:tab w:pos="3141" w:val="left" w:leader="none"/>
        </w:tabs>
        <w:spacing w:line="324" w:lineRule="auto" w:before="70" w:after="0"/>
        <w:ind w:left="3140" w:right="642" w:hanging="660"/>
        <w:jc w:val="left"/>
        <w:rPr>
          <w:sz w:val="22"/>
        </w:rPr>
      </w:pPr>
      <w:r>
        <w:rPr>
          <w:color w:val="000000"/>
          <w:spacing w:val="-2"/>
          <w:sz w:val="22"/>
          <w:shd w:fill="E4E4E4" w:color="auto" w:val="clear"/>
        </w:rPr>
        <w:t>ICD-O-3</w:t>
      </w:r>
      <w:r>
        <w:rPr>
          <w:color w:val="000000"/>
          <w:spacing w:val="-11"/>
          <w:sz w:val="22"/>
          <w:shd w:fill="E4E4E4" w:color="auto" w:val="clear"/>
        </w:rPr>
        <w:t> 肿瘤形态学编码属于 </w:t>
      </w:r>
      <w:r>
        <w:rPr>
          <w:color w:val="000000"/>
          <w:spacing w:val="-2"/>
          <w:sz w:val="22"/>
          <w:shd w:fill="E4E4E4" w:color="auto" w:val="clear"/>
        </w:rPr>
        <w:t>0（良性肿瘤）、1（动态未定性肿</w:t>
      </w:r>
      <w:r>
        <w:rPr>
          <w:color w:val="000000"/>
          <w:spacing w:val="80"/>
          <w:w w:val="150"/>
          <w:sz w:val="22"/>
          <w:shd w:fill="E4E4E4" w:color="auto" w:val="clear"/>
        </w:rPr>
        <w:t>                                </w:t>
      </w:r>
      <w:r>
        <w:rPr>
          <w:color w:val="000000"/>
          <w:spacing w:val="-2"/>
          <w:sz w:val="22"/>
          <w:shd w:fill="E4E4E4" w:color="auto" w:val="clear"/>
        </w:rPr>
        <w:t>瘤）、2（原位癌和非侵袭性癌）范畴的疾病，如：</w:t>
      </w:r>
    </w:p>
    <w:p>
      <w:pPr>
        <w:pStyle w:val="ListParagraph"/>
        <w:numPr>
          <w:ilvl w:val="1"/>
          <w:numId w:val="107"/>
        </w:numPr>
        <w:tabs>
          <w:tab w:pos="3429" w:val="left" w:leader="none"/>
        </w:tabs>
        <w:spacing w:line="324" w:lineRule="auto" w:before="0" w:after="0"/>
        <w:ind w:left="3200" w:right="150" w:firstLine="0"/>
        <w:jc w:val="left"/>
        <w:rPr>
          <w:sz w:val="22"/>
        </w:rPr>
      </w:pPr>
      <w:r>
        <w:rPr>
          <w:color w:val="000000"/>
          <w:spacing w:val="-2"/>
          <w:sz w:val="22"/>
          <w:shd w:fill="E4E4E4" w:color="auto" w:val="clear"/>
        </w:rPr>
        <w:t>原位癌，癌前病变，非浸润性癌，非侵袭性癌，肿瘤细胞未侵犯</w:t>
      </w:r>
      <w:r>
        <w:rPr>
          <w:color w:val="000000"/>
          <w:spacing w:val="80"/>
          <w:w w:val="150"/>
          <w:sz w:val="22"/>
          <w:shd w:fill="E4E4E4" w:color="auto" w:val="clear"/>
        </w:rPr>
        <w:t>                                   </w:t>
      </w:r>
      <w:r>
        <w:rPr>
          <w:color w:val="000000"/>
          <w:spacing w:val="-2"/>
          <w:sz w:val="22"/>
          <w:shd w:fill="E4E4E4" w:color="auto" w:val="clear"/>
        </w:rPr>
        <w:t>基底层，上皮内瘤变，细胞不典型性增生等；</w:t>
      </w:r>
    </w:p>
    <w:p>
      <w:pPr>
        <w:pStyle w:val="ListParagraph"/>
        <w:numPr>
          <w:ilvl w:val="1"/>
          <w:numId w:val="107"/>
        </w:numPr>
        <w:tabs>
          <w:tab w:pos="3429" w:val="left" w:leader="none"/>
        </w:tabs>
        <w:spacing w:line="324" w:lineRule="auto" w:before="0" w:after="0"/>
        <w:ind w:left="3200" w:right="150" w:firstLine="0"/>
        <w:jc w:val="left"/>
        <w:rPr>
          <w:sz w:val="22"/>
        </w:rPr>
      </w:pPr>
      <w:r>
        <w:rPr/>
        <w:drawing>
          <wp:anchor distT="0" distB="0" distL="0" distR="0" allowOverlap="1" layoutInCell="1" locked="0" behindDoc="1" simplePos="0" relativeHeight="484620288">
            <wp:simplePos x="0" y="0"/>
            <wp:positionH relativeFrom="page">
              <wp:posOffset>2197735</wp:posOffset>
            </wp:positionH>
            <wp:positionV relativeFrom="paragraph">
              <wp:posOffset>480440</wp:posOffset>
            </wp:positionV>
            <wp:extent cx="3125469" cy="180975"/>
            <wp:effectExtent l="0" t="0" r="0" b="0"/>
            <wp:wrapNone/>
            <wp:docPr id="119" name="image12.png"/>
            <wp:cNvGraphicFramePr>
              <a:graphicFrameLocks noChangeAspect="1"/>
            </wp:cNvGraphicFramePr>
            <a:graphic>
              <a:graphicData uri="http://schemas.openxmlformats.org/drawingml/2006/picture">
                <pic:pic>
                  <pic:nvPicPr>
                    <pic:cNvPr id="120" name="image12.png"/>
                    <pic:cNvPicPr/>
                  </pic:nvPicPr>
                  <pic:blipFill>
                    <a:blip r:embed="rId20" cstate="print"/>
                    <a:stretch>
                      <a:fillRect/>
                    </a:stretch>
                  </pic:blipFill>
                  <pic:spPr>
                    <a:xfrm>
                      <a:off x="0" y="0"/>
                      <a:ext cx="3125469" cy="180975"/>
                    </a:xfrm>
                    <a:prstGeom prst="rect">
                      <a:avLst/>
                    </a:prstGeom>
                  </pic:spPr>
                </pic:pic>
              </a:graphicData>
            </a:graphic>
          </wp:anchor>
        </w:drawing>
      </w:r>
      <w:r>
        <w:rPr/>
        <w:pict>
          <v:shape style="position:absolute;margin-left:173.050003pt;margin-top:37.829979pt;width:246.1pt;height:14.25pt;mso-position-horizontal-relative:page;mso-position-vertical-relative:paragraph;z-index:-18695680" type="#_x0000_t202" id="docshape63" filled="false" stroked="false">
            <v:textbox inset="0,0,0,0">
              <w:txbxContent>
                <w:p>
                  <w:pPr>
                    <w:pStyle w:val="BodyText"/>
                    <w:spacing w:before="2"/>
                    <w:ind w:left="-1" w:right="-15"/>
                  </w:pPr>
                  <w:r>
                    <w:rPr/>
                    <w:t>（2）</w:t>
                  </w:r>
                  <w:r>
                    <w:rPr>
                      <w:spacing w:val="-29"/>
                    </w:rPr>
                    <w:t> </w:t>
                  </w:r>
                  <w:r>
                    <w:rPr/>
                    <w:t>TNM</w:t>
                  </w:r>
                  <w:r>
                    <w:rPr>
                      <w:spacing w:val="-3"/>
                    </w:rPr>
                    <w:t> 分期为</w:t>
                  </w:r>
                  <w:r>
                    <w:rPr/>
                    <w:t>T</w:t>
                  </w:r>
                  <w:r>
                    <w:rPr>
                      <w:position w:val="-2"/>
                      <w:sz w:val="11"/>
                    </w:rPr>
                    <w:t>1</w:t>
                  </w:r>
                  <w:r>
                    <w:rPr/>
                    <w:t>N</w:t>
                  </w:r>
                  <w:r>
                    <w:rPr>
                      <w:position w:val="-2"/>
                      <w:sz w:val="11"/>
                    </w:rPr>
                    <w:t>0</w:t>
                  </w:r>
                  <w:r>
                    <w:rPr/>
                    <w:t>M</w:t>
                  </w:r>
                  <w:r>
                    <w:rPr>
                      <w:position w:val="-2"/>
                      <w:sz w:val="11"/>
                    </w:rPr>
                    <w:t>0</w:t>
                  </w:r>
                  <w:r>
                    <w:rPr>
                      <w:spacing w:val="-29"/>
                      <w:position w:val="-2"/>
                      <w:sz w:val="11"/>
                    </w:rPr>
                    <w:t> </w:t>
                  </w:r>
                  <w:r>
                    <w:rPr>
                      <w:spacing w:val="-1"/>
                    </w:rPr>
                    <w:t>期或更轻分期的前列腺癌；</w:t>
                  </w:r>
                </w:p>
              </w:txbxContent>
            </v:textbox>
            <w10:wrap type="none"/>
          </v:shape>
        </w:pict>
      </w:r>
      <w:r>
        <w:rPr>
          <w:color w:val="000000"/>
          <w:spacing w:val="-2"/>
          <w:sz w:val="22"/>
          <w:shd w:fill="E4E4E4" w:color="auto" w:val="clear"/>
        </w:rPr>
        <w:t>交界性肿瘤，交界恶性肿瘤，肿瘤低度恶性潜能，潜在低度恶性</w:t>
      </w:r>
      <w:r>
        <w:rPr>
          <w:color w:val="000000"/>
          <w:spacing w:val="80"/>
          <w:w w:val="150"/>
          <w:sz w:val="22"/>
          <w:shd w:fill="E4E4E4" w:color="auto" w:val="clear"/>
        </w:rPr>
        <w:t>                                   </w:t>
      </w:r>
      <w:r>
        <w:rPr>
          <w:color w:val="000000"/>
          <w:spacing w:val="-4"/>
          <w:sz w:val="22"/>
          <w:shd w:fill="E4E4E4" w:color="auto" w:val="clear"/>
        </w:rPr>
        <w:t>肿瘤等；</w:t>
      </w:r>
    </w:p>
    <w:p>
      <w:pPr>
        <w:pStyle w:val="ListParagraph"/>
        <w:numPr>
          <w:ilvl w:val="0"/>
          <w:numId w:val="108"/>
        </w:numPr>
        <w:tabs>
          <w:tab w:pos="3141" w:val="left" w:leader="none"/>
        </w:tabs>
        <w:spacing w:line="240" w:lineRule="auto" w:before="94" w:after="0"/>
        <w:ind w:left="3140" w:right="0" w:hanging="661"/>
        <w:jc w:val="left"/>
        <w:rPr>
          <w:sz w:val="22"/>
        </w:rPr>
      </w:pPr>
      <w:r>
        <w:rPr>
          <w:color w:val="000000"/>
          <w:spacing w:val="-3"/>
          <w:sz w:val="22"/>
          <w:shd w:fill="E4E4E4" w:color="auto" w:val="clear"/>
        </w:rPr>
        <w:t>由身体其他部位恶性肿瘤转移发生的前列腺恶性肿瘤；</w:t>
      </w:r>
    </w:p>
    <w:p>
      <w:pPr>
        <w:pStyle w:val="ListParagraph"/>
        <w:numPr>
          <w:ilvl w:val="0"/>
          <w:numId w:val="108"/>
        </w:numPr>
        <w:tabs>
          <w:tab w:pos="3141" w:val="left" w:leader="none"/>
        </w:tabs>
        <w:spacing w:line="240" w:lineRule="auto" w:before="97" w:after="0"/>
        <w:ind w:left="3140" w:right="0" w:hanging="661"/>
        <w:jc w:val="left"/>
        <w:rPr>
          <w:sz w:val="22"/>
        </w:rPr>
      </w:pPr>
      <w:r>
        <w:rPr>
          <w:color w:val="000000"/>
          <w:spacing w:val="-3"/>
          <w:sz w:val="22"/>
          <w:shd w:fill="E4E4E4" w:color="auto" w:val="clear"/>
        </w:rPr>
        <w:t>感染艾滋病病毒或患艾滋病期间所患前列腺恶性肿瘤。</w:t>
      </w:r>
    </w:p>
    <w:p>
      <w:pPr>
        <w:pStyle w:val="BodyText"/>
      </w:pPr>
    </w:p>
    <w:p>
      <w:pPr>
        <w:pStyle w:val="ListParagraph"/>
        <w:numPr>
          <w:ilvl w:val="1"/>
          <w:numId w:val="99"/>
        </w:numPr>
        <w:tabs>
          <w:tab w:pos="955" w:val="left" w:leader="none"/>
          <w:tab w:pos="2480" w:val="left" w:leader="none"/>
        </w:tabs>
        <w:spacing w:line="280" w:lineRule="auto" w:before="167" w:after="0"/>
        <w:ind w:left="2480" w:right="150" w:hanging="2328"/>
        <w:jc w:val="left"/>
        <w:rPr>
          <w:sz w:val="22"/>
        </w:rPr>
      </w:pPr>
      <w:r>
        <w:rPr>
          <w:rFonts w:ascii="华文中宋" w:hAnsi="华文中宋" w:eastAsia="华文中宋" w:hint="eastAsia"/>
          <w:b/>
          <w:spacing w:val="-1"/>
          <w:w w:val="100"/>
          <w:sz w:val="22"/>
        </w:rPr>
        <w:t>睾丸</w:t>
      </w:r>
      <w:r>
        <w:rPr>
          <w:rFonts w:ascii="华文中宋" w:hAnsi="华文中宋" w:eastAsia="华文中宋" w:hint="eastAsia"/>
          <w:b/>
          <w:w w:val="100"/>
          <w:sz w:val="22"/>
        </w:rPr>
        <w:t>癌</w:t>
      </w:r>
      <w:r>
        <w:rPr>
          <w:rFonts w:ascii="华文中宋" w:hAnsi="华文中宋" w:eastAsia="华文中宋" w:hint="eastAsia"/>
          <w:b/>
          <w:sz w:val="22"/>
        </w:rPr>
        <w:tab/>
      </w:r>
      <w:r>
        <w:rPr>
          <w:spacing w:val="4"/>
          <w:w w:val="100"/>
          <w:sz w:val="22"/>
        </w:rPr>
        <w:t>指原</w:t>
      </w:r>
      <w:r>
        <w:rPr>
          <w:spacing w:val="2"/>
          <w:w w:val="100"/>
          <w:sz w:val="22"/>
        </w:rPr>
        <w:t>发</w:t>
      </w:r>
      <w:r>
        <w:rPr>
          <w:spacing w:val="4"/>
          <w:w w:val="100"/>
          <w:sz w:val="22"/>
        </w:rPr>
        <w:t>于睾丸组织</w:t>
      </w:r>
      <w:r>
        <w:rPr>
          <w:spacing w:val="2"/>
          <w:w w:val="100"/>
          <w:sz w:val="22"/>
        </w:rPr>
        <w:t>的</w:t>
      </w:r>
      <w:r>
        <w:rPr>
          <w:spacing w:val="4"/>
          <w:w w:val="100"/>
          <w:sz w:val="22"/>
        </w:rPr>
        <w:t>恶性肿瘤，</w:t>
      </w:r>
      <w:r>
        <w:rPr>
          <w:spacing w:val="2"/>
          <w:w w:val="100"/>
          <w:sz w:val="22"/>
        </w:rPr>
        <w:t>国</w:t>
      </w:r>
      <w:r>
        <w:rPr>
          <w:spacing w:val="4"/>
          <w:w w:val="100"/>
          <w:sz w:val="22"/>
        </w:rPr>
        <w:t>际疾病分类</w:t>
      </w:r>
      <w:r>
        <w:rPr>
          <w:spacing w:val="2"/>
          <w:w w:val="100"/>
          <w:sz w:val="22"/>
        </w:rPr>
        <w:t>码</w:t>
      </w:r>
      <w:r>
        <w:rPr>
          <w:spacing w:val="4"/>
          <w:w w:val="100"/>
          <w:sz w:val="22"/>
        </w:rPr>
        <w:t>为</w:t>
      </w:r>
      <w:r>
        <w:rPr>
          <w:spacing w:val="-1"/>
          <w:w w:val="100"/>
          <w:sz w:val="22"/>
        </w:rPr>
        <w:t>C6</w:t>
      </w:r>
      <w:r>
        <w:rPr>
          <w:spacing w:val="4"/>
          <w:w w:val="100"/>
          <w:sz w:val="22"/>
        </w:rPr>
        <w:t>2大类</w:t>
      </w:r>
      <w:r>
        <w:rPr>
          <w:spacing w:val="2"/>
          <w:w w:val="100"/>
          <w:sz w:val="22"/>
        </w:rPr>
        <w:t>，</w:t>
      </w:r>
      <w:r>
        <w:rPr>
          <w:spacing w:val="4"/>
          <w:w w:val="100"/>
          <w:sz w:val="22"/>
        </w:rPr>
        <w:t>恶性肿瘤释</w:t>
      </w:r>
      <w:r>
        <w:rPr>
          <w:w w:val="100"/>
          <w:sz w:val="22"/>
        </w:rPr>
        <w:t>义</w:t>
      </w:r>
      <w:r>
        <w:rPr>
          <w:spacing w:val="-1"/>
          <w:w w:val="100"/>
          <w:sz w:val="22"/>
        </w:rPr>
        <w:t>参</w:t>
      </w:r>
      <w:r>
        <w:rPr>
          <w:spacing w:val="-3"/>
          <w:w w:val="100"/>
          <w:sz w:val="22"/>
        </w:rPr>
        <w:t>考</w:t>
      </w:r>
      <w:r>
        <w:rPr>
          <w:spacing w:val="-1"/>
          <w:w w:val="100"/>
          <w:sz w:val="22"/>
        </w:rPr>
        <w:t>本合</w:t>
      </w:r>
      <w:r>
        <w:rPr>
          <w:spacing w:val="-3"/>
          <w:w w:val="100"/>
          <w:sz w:val="22"/>
        </w:rPr>
        <w:t>同</w:t>
      </w:r>
      <w:r>
        <w:rPr>
          <w:spacing w:val="-1"/>
          <w:w w:val="100"/>
          <w:sz w:val="22"/>
        </w:rPr>
        <w:t>重大</w:t>
      </w:r>
      <w:r>
        <w:rPr>
          <w:spacing w:val="-3"/>
          <w:w w:val="100"/>
          <w:sz w:val="22"/>
        </w:rPr>
        <w:t>疾</w:t>
      </w:r>
      <w:r>
        <w:rPr>
          <w:spacing w:val="-1"/>
          <w:w w:val="100"/>
          <w:sz w:val="22"/>
        </w:rPr>
        <w:t>病“10.</w:t>
      </w:r>
      <w:r>
        <w:rPr>
          <w:w w:val="100"/>
          <w:sz w:val="22"/>
        </w:rPr>
        <w:t>1</w:t>
      </w:r>
      <w:r>
        <w:rPr>
          <w:spacing w:val="-3"/>
          <w:sz w:val="22"/>
        </w:rPr>
        <w:t> </w:t>
      </w:r>
      <w:r>
        <w:rPr>
          <w:spacing w:val="-1"/>
          <w:w w:val="100"/>
          <w:sz w:val="22"/>
        </w:rPr>
        <w:t>恶</w:t>
      </w:r>
      <w:r>
        <w:rPr>
          <w:spacing w:val="-3"/>
          <w:w w:val="100"/>
          <w:sz w:val="22"/>
        </w:rPr>
        <w:t>性</w:t>
      </w:r>
      <w:r>
        <w:rPr>
          <w:spacing w:val="-1"/>
          <w:w w:val="100"/>
          <w:sz w:val="22"/>
        </w:rPr>
        <w:t>肿瘤—</w:t>
      </w:r>
      <w:r>
        <w:rPr>
          <w:spacing w:val="-3"/>
          <w:w w:val="100"/>
          <w:sz w:val="22"/>
        </w:rPr>
        <w:t>—</w:t>
      </w:r>
      <w:r>
        <w:rPr>
          <w:spacing w:val="-1"/>
          <w:w w:val="100"/>
          <w:sz w:val="22"/>
        </w:rPr>
        <w:t>重</w:t>
      </w:r>
      <w:r>
        <w:rPr>
          <w:spacing w:val="-3"/>
          <w:w w:val="100"/>
          <w:sz w:val="22"/>
        </w:rPr>
        <w:t>度</w:t>
      </w:r>
      <w:r>
        <w:rPr>
          <w:spacing w:val="-1"/>
          <w:w w:val="100"/>
          <w:sz w:val="22"/>
        </w:rPr>
        <w:t>”的</w:t>
      </w:r>
      <w:r>
        <w:rPr>
          <w:spacing w:val="-3"/>
          <w:w w:val="100"/>
          <w:sz w:val="22"/>
        </w:rPr>
        <w:t>释</w:t>
      </w:r>
      <w:r>
        <w:rPr>
          <w:spacing w:val="-1"/>
          <w:w w:val="100"/>
          <w:sz w:val="22"/>
        </w:rPr>
        <w:t>义</w:t>
      </w:r>
      <w:r>
        <w:rPr>
          <w:w w:val="100"/>
          <w:sz w:val="22"/>
        </w:rPr>
        <w:t>。</w:t>
      </w:r>
    </w:p>
    <w:p>
      <w:pPr>
        <w:pStyle w:val="BodyText"/>
        <w:spacing w:before="50"/>
        <w:ind w:left="2480"/>
      </w:pPr>
      <w:r>
        <w:rPr>
          <w:color w:val="000000"/>
          <w:spacing w:val="-3"/>
          <w:shd w:fill="E4E4E4" w:color="auto" w:val="clear"/>
        </w:rPr>
        <w:t>下列情形不在保障范围内：</w:t>
      </w:r>
    </w:p>
    <w:p>
      <w:pPr>
        <w:pStyle w:val="ListParagraph"/>
        <w:numPr>
          <w:ilvl w:val="0"/>
          <w:numId w:val="109"/>
        </w:numPr>
        <w:tabs>
          <w:tab w:pos="3141" w:val="left" w:leader="none"/>
        </w:tabs>
        <w:spacing w:line="324" w:lineRule="auto" w:before="100" w:after="0"/>
        <w:ind w:left="3140" w:right="642" w:hanging="660"/>
        <w:jc w:val="left"/>
        <w:rPr>
          <w:sz w:val="22"/>
        </w:rPr>
      </w:pPr>
      <w:r>
        <w:rPr>
          <w:color w:val="000000"/>
          <w:spacing w:val="-2"/>
          <w:sz w:val="22"/>
          <w:shd w:fill="E4E4E4" w:color="auto" w:val="clear"/>
        </w:rPr>
        <w:t>ICD-O-3</w:t>
      </w:r>
      <w:r>
        <w:rPr>
          <w:color w:val="000000"/>
          <w:spacing w:val="-11"/>
          <w:sz w:val="22"/>
          <w:shd w:fill="E4E4E4" w:color="auto" w:val="clear"/>
        </w:rPr>
        <w:t> 肿瘤形态学编码属于 </w:t>
      </w:r>
      <w:r>
        <w:rPr>
          <w:color w:val="000000"/>
          <w:spacing w:val="-2"/>
          <w:sz w:val="22"/>
          <w:shd w:fill="E4E4E4" w:color="auto" w:val="clear"/>
        </w:rPr>
        <w:t>0（良性肿瘤）、1（动态未定性肿</w:t>
      </w:r>
      <w:r>
        <w:rPr>
          <w:color w:val="000000"/>
          <w:spacing w:val="80"/>
          <w:w w:val="150"/>
          <w:sz w:val="22"/>
          <w:shd w:fill="E4E4E4" w:color="auto" w:val="clear"/>
        </w:rPr>
        <w:t>                                </w:t>
      </w:r>
      <w:r>
        <w:rPr>
          <w:color w:val="000000"/>
          <w:spacing w:val="-2"/>
          <w:sz w:val="22"/>
          <w:shd w:fill="E4E4E4" w:color="auto" w:val="clear"/>
        </w:rPr>
        <w:t>瘤）、2（原位癌和非侵袭性癌）范畴的疾病，如：</w:t>
      </w:r>
    </w:p>
    <w:p>
      <w:pPr>
        <w:pStyle w:val="ListParagraph"/>
        <w:numPr>
          <w:ilvl w:val="1"/>
          <w:numId w:val="109"/>
        </w:numPr>
        <w:tabs>
          <w:tab w:pos="3429" w:val="left" w:leader="none"/>
        </w:tabs>
        <w:spacing w:line="324" w:lineRule="auto" w:before="0" w:after="0"/>
        <w:ind w:left="3200" w:right="150" w:firstLine="0"/>
        <w:jc w:val="left"/>
        <w:rPr>
          <w:sz w:val="22"/>
        </w:rPr>
      </w:pPr>
      <w:r>
        <w:rPr>
          <w:color w:val="000000"/>
          <w:spacing w:val="-2"/>
          <w:sz w:val="22"/>
          <w:shd w:fill="E4E4E4" w:color="auto" w:val="clear"/>
        </w:rPr>
        <w:t>原位癌，癌前病变，非浸润性癌，非侵袭性癌，肿瘤细胞未侵犯</w:t>
      </w:r>
      <w:r>
        <w:rPr>
          <w:color w:val="000000"/>
          <w:spacing w:val="80"/>
          <w:w w:val="150"/>
          <w:sz w:val="22"/>
          <w:shd w:fill="E4E4E4" w:color="auto" w:val="clear"/>
        </w:rPr>
        <w:t>                                   </w:t>
      </w:r>
      <w:r>
        <w:rPr>
          <w:color w:val="000000"/>
          <w:spacing w:val="-2"/>
          <w:sz w:val="22"/>
          <w:shd w:fill="E4E4E4" w:color="auto" w:val="clear"/>
        </w:rPr>
        <w:t>基底层，上皮内瘤变，细胞不典型性增生等；</w:t>
      </w:r>
    </w:p>
    <w:p>
      <w:pPr>
        <w:pStyle w:val="ListParagraph"/>
        <w:numPr>
          <w:ilvl w:val="1"/>
          <w:numId w:val="109"/>
        </w:numPr>
        <w:tabs>
          <w:tab w:pos="3429" w:val="left" w:leader="none"/>
        </w:tabs>
        <w:spacing w:line="324" w:lineRule="auto" w:before="0" w:after="27"/>
        <w:ind w:left="3200" w:right="150" w:firstLine="0"/>
        <w:jc w:val="left"/>
        <w:rPr>
          <w:sz w:val="22"/>
        </w:rPr>
      </w:pPr>
      <w:r>
        <w:rPr>
          <w:color w:val="000000"/>
          <w:spacing w:val="-2"/>
          <w:sz w:val="22"/>
          <w:shd w:fill="E4E4E4" w:color="auto" w:val="clear"/>
        </w:rPr>
        <w:t>交界性肿瘤，交界恶性肿瘤，肿瘤低度恶性潜能，潜在低度恶性</w:t>
      </w:r>
      <w:r>
        <w:rPr>
          <w:color w:val="000000"/>
          <w:spacing w:val="80"/>
          <w:w w:val="150"/>
          <w:sz w:val="22"/>
          <w:shd w:fill="E4E4E4" w:color="auto" w:val="clear"/>
        </w:rPr>
        <w:t>                                   </w:t>
      </w:r>
      <w:r>
        <w:rPr>
          <w:color w:val="000000"/>
          <w:spacing w:val="-4"/>
          <w:sz w:val="22"/>
          <w:shd w:fill="E4E4E4" w:color="auto" w:val="clear"/>
        </w:rPr>
        <w:t>肿瘤等；</w:t>
      </w:r>
    </w:p>
    <w:tbl>
      <w:tblPr>
        <w:tblW w:w="0" w:type="auto"/>
        <w:jc w:val="left"/>
        <w:tblInd w:w="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8"/>
        <w:gridCol w:w="1548"/>
        <w:gridCol w:w="7465"/>
      </w:tblGrid>
      <w:tr>
        <w:trPr>
          <w:trHeight w:val="852" w:hRule="atLeast"/>
        </w:trPr>
        <w:tc>
          <w:tcPr>
            <w:tcW w:w="2276" w:type="dxa"/>
            <w:gridSpan w:val="2"/>
          </w:tcPr>
          <w:p>
            <w:pPr>
              <w:pStyle w:val="TableParagraph"/>
              <w:rPr>
                <w:rFonts w:ascii="Times New Roman"/>
                <w:sz w:val="20"/>
              </w:rPr>
            </w:pPr>
          </w:p>
        </w:tc>
        <w:tc>
          <w:tcPr>
            <w:tcW w:w="7465" w:type="dxa"/>
          </w:tcPr>
          <w:p>
            <w:pPr>
              <w:pStyle w:val="TableParagraph"/>
              <w:numPr>
                <w:ilvl w:val="0"/>
                <w:numId w:val="110"/>
              </w:numPr>
              <w:tabs>
                <w:tab w:pos="762" w:val="left" w:leader="none"/>
              </w:tabs>
              <w:spacing w:line="252" w:lineRule="exact" w:before="0" w:after="0"/>
              <w:ind w:left="762" w:right="0" w:hanging="661"/>
              <w:jc w:val="left"/>
              <w:rPr>
                <w:sz w:val="22"/>
              </w:rPr>
            </w:pPr>
            <w:r>
              <w:rPr>
                <w:color w:val="000000"/>
                <w:spacing w:val="-3"/>
                <w:sz w:val="22"/>
                <w:shd w:fill="E4E4E4" w:color="auto" w:val="clear"/>
              </w:rPr>
              <w:t>由身体其他部位恶性肿瘤转移发生的睾丸恶性肿瘤；</w:t>
            </w:r>
          </w:p>
          <w:p>
            <w:pPr>
              <w:pStyle w:val="TableParagraph"/>
              <w:numPr>
                <w:ilvl w:val="0"/>
                <w:numId w:val="110"/>
              </w:numPr>
              <w:tabs>
                <w:tab w:pos="762" w:val="left" w:leader="none"/>
              </w:tabs>
              <w:spacing w:line="240" w:lineRule="auto" w:before="97" w:after="0"/>
              <w:ind w:left="762" w:right="0" w:hanging="661"/>
              <w:jc w:val="left"/>
              <w:rPr>
                <w:sz w:val="22"/>
              </w:rPr>
            </w:pPr>
            <w:r>
              <w:rPr>
                <w:color w:val="000000"/>
                <w:spacing w:val="-3"/>
                <w:sz w:val="22"/>
                <w:shd w:fill="E4E4E4" w:color="auto" w:val="clear"/>
              </w:rPr>
              <w:t>感染艾滋病病毒或患艾滋病期间所患睾丸恶性肿瘤。</w:t>
            </w:r>
          </w:p>
        </w:tc>
      </w:tr>
      <w:tr>
        <w:trPr>
          <w:trHeight w:val="1539" w:hRule="atLeast"/>
        </w:trPr>
        <w:tc>
          <w:tcPr>
            <w:tcW w:w="728" w:type="dxa"/>
          </w:tcPr>
          <w:p>
            <w:pPr>
              <w:pStyle w:val="TableParagraph"/>
              <w:spacing w:before="1"/>
              <w:rPr>
                <w:sz w:val="20"/>
              </w:rPr>
            </w:pPr>
          </w:p>
          <w:p>
            <w:pPr>
              <w:pStyle w:val="TableParagraph"/>
              <w:ind w:left="50"/>
              <w:rPr>
                <w:b/>
                <w:sz w:val="22"/>
              </w:rPr>
            </w:pPr>
            <w:r>
              <w:rPr>
                <w:b/>
                <w:spacing w:val="-2"/>
                <w:sz w:val="22"/>
              </w:rPr>
              <w:t>13.11</w:t>
            </w:r>
          </w:p>
        </w:tc>
        <w:tc>
          <w:tcPr>
            <w:tcW w:w="1548" w:type="dxa"/>
          </w:tcPr>
          <w:p>
            <w:pPr>
              <w:pStyle w:val="TableParagraph"/>
              <w:spacing w:line="261" w:lineRule="auto" w:before="224"/>
              <w:ind w:left="123" w:right="99"/>
              <w:jc w:val="both"/>
              <w:rPr>
                <w:rFonts w:ascii="华文中宋" w:eastAsia="华文中宋" w:hint="eastAsia"/>
                <w:b/>
                <w:sz w:val="22"/>
              </w:rPr>
            </w:pPr>
            <w:r>
              <w:rPr>
                <w:rFonts w:ascii="华文中宋" w:eastAsia="华文中宋" w:hint="eastAsia"/>
                <w:b/>
                <w:spacing w:val="-2"/>
                <w:sz w:val="22"/>
              </w:rPr>
              <w:t>重大器官移植</w:t>
            </w:r>
            <w:r>
              <w:rPr>
                <w:rFonts w:ascii="华文中宋" w:eastAsia="华文中宋" w:hint="eastAsia"/>
                <w:b/>
                <w:spacing w:val="-2"/>
                <w:sz w:val="22"/>
              </w:rPr>
              <w:t>术或造血干细</w:t>
            </w:r>
            <w:r>
              <w:rPr>
                <w:rFonts w:ascii="华文中宋" w:eastAsia="华文中宋" w:hint="eastAsia"/>
                <w:b/>
                <w:spacing w:val="-4"/>
                <w:sz w:val="22"/>
              </w:rPr>
              <w:t>胞移植术</w:t>
            </w:r>
          </w:p>
        </w:tc>
        <w:tc>
          <w:tcPr>
            <w:tcW w:w="7465" w:type="dxa"/>
          </w:tcPr>
          <w:p>
            <w:pPr>
              <w:pStyle w:val="TableParagraph"/>
              <w:spacing w:before="1"/>
              <w:rPr>
                <w:sz w:val="20"/>
              </w:rPr>
            </w:pPr>
          </w:p>
          <w:p>
            <w:pPr>
              <w:pStyle w:val="TableParagraph"/>
              <w:spacing w:line="324" w:lineRule="auto"/>
              <w:ind w:left="101" w:right="48"/>
              <w:rPr>
                <w:sz w:val="22"/>
              </w:rPr>
            </w:pPr>
            <w:r>
              <w:rPr>
                <w:sz w:val="22"/>
              </w:rPr>
              <w:t>该疾病释义参考本合同重大疾病“10.4 重大器官移植术或造血干细胞移植</w:t>
            </w:r>
            <w:r>
              <w:rPr>
                <w:spacing w:val="-2"/>
                <w:sz w:val="22"/>
              </w:rPr>
              <w:t>术”的释义。</w:t>
            </w:r>
          </w:p>
        </w:tc>
      </w:tr>
      <w:tr>
        <w:trPr>
          <w:trHeight w:val="1140" w:hRule="atLeast"/>
        </w:trPr>
        <w:tc>
          <w:tcPr>
            <w:tcW w:w="728" w:type="dxa"/>
          </w:tcPr>
          <w:p>
            <w:pPr>
              <w:pStyle w:val="TableParagraph"/>
              <w:spacing w:before="5"/>
              <w:rPr>
                <w:sz w:val="18"/>
              </w:rPr>
            </w:pPr>
          </w:p>
          <w:p>
            <w:pPr>
              <w:pStyle w:val="TableParagraph"/>
              <w:spacing w:before="1"/>
              <w:ind w:left="50"/>
              <w:rPr>
                <w:b/>
                <w:sz w:val="22"/>
              </w:rPr>
            </w:pPr>
            <w:r>
              <w:rPr>
                <w:b/>
                <w:spacing w:val="-2"/>
                <w:sz w:val="22"/>
              </w:rPr>
              <w:t>13.12</w:t>
            </w:r>
          </w:p>
        </w:tc>
        <w:tc>
          <w:tcPr>
            <w:tcW w:w="1548" w:type="dxa"/>
          </w:tcPr>
          <w:p>
            <w:pPr>
              <w:pStyle w:val="TableParagraph"/>
              <w:spacing w:line="261" w:lineRule="auto" w:before="206"/>
              <w:ind w:left="123" w:right="99"/>
              <w:rPr>
                <w:rFonts w:ascii="华文中宋" w:eastAsia="华文中宋" w:hint="eastAsia"/>
                <w:b/>
                <w:sz w:val="22"/>
              </w:rPr>
            </w:pPr>
            <w:r>
              <w:rPr>
                <w:rFonts w:ascii="华文中宋" w:eastAsia="华文中宋" w:hint="eastAsia"/>
                <w:b/>
                <w:spacing w:val="-2"/>
                <w:sz w:val="22"/>
              </w:rPr>
              <w:t>严重慢性肾衰</w:t>
            </w:r>
            <w:r>
              <w:rPr>
                <w:rFonts w:ascii="华文中宋" w:eastAsia="华文中宋" w:hint="eastAsia"/>
                <w:b/>
                <w:spacing w:val="-10"/>
                <w:sz w:val="22"/>
              </w:rPr>
              <w:t>竭</w:t>
            </w:r>
          </w:p>
        </w:tc>
        <w:tc>
          <w:tcPr>
            <w:tcW w:w="7465" w:type="dxa"/>
          </w:tcPr>
          <w:p>
            <w:pPr>
              <w:pStyle w:val="TableParagraph"/>
              <w:spacing w:before="5"/>
              <w:rPr>
                <w:sz w:val="18"/>
              </w:rPr>
            </w:pPr>
          </w:p>
          <w:p>
            <w:pPr>
              <w:pStyle w:val="TableParagraph"/>
              <w:spacing w:before="1"/>
              <w:ind w:left="101"/>
              <w:rPr>
                <w:sz w:val="22"/>
              </w:rPr>
            </w:pPr>
            <w:r>
              <w:rPr>
                <w:spacing w:val="-2"/>
                <w:sz w:val="22"/>
              </w:rPr>
              <w:t>该疾病释义参考本合同重大疾病“10.6</w:t>
            </w:r>
            <w:r>
              <w:rPr>
                <w:spacing w:val="-3"/>
                <w:sz w:val="22"/>
              </w:rPr>
              <w:t> 严重慢性肾衰竭”的释义。</w:t>
            </w:r>
          </w:p>
        </w:tc>
      </w:tr>
      <w:tr>
        <w:trPr>
          <w:trHeight w:val="759" w:hRule="atLeast"/>
        </w:trPr>
        <w:tc>
          <w:tcPr>
            <w:tcW w:w="728" w:type="dxa"/>
          </w:tcPr>
          <w:p>
            <w:pPr>
              <w:pStyle w:val="TableParagraph"/>
              <w:spacing w:before="5"/>
              <w:rPr>
                <w:sz w:val="18"/>
              </w:rPr>
            </w:pPr>
          </w:p>
          <w:p>
            <w:pPr>
              <w:pStyle w:val="TableParagraph"/>
              <w:spacing w:before="1"/>
              <w:ind w:left="50"/>
              <w:rPr>
                <w:b/>
                <w:sz w:val="22"/>
              </w:rPr>
            </w:pPr>
            <w:r>
              <w:rPr>
                <w:b/>
                <w:spacing w:val="-2"/>
                <w:sz w:val="22"/>
              </w:rPr>
              <w:t>13.13</w:t>
            </w:r>
          </w:p>
        </w:tc>
        <w:tc>
          <w:tcPr>
            <w:tcW w:w="1548" w:type="dxa"/>
          </w:tcPr>
          <w:p>
            <w:pPr>
              <w:pStyle w:val="TableParagraph"/>
              <w:spacing w:before="206"/>
              <w:ind w:left="115" w:right="94"/>
              <w:jc w:val="center"/>
              <w:rPr>
                <w:rFonts w:ascii="华文中宋" w:eastAsia="华文中宋" w:hint="eastAsia"/>
                <w:b/>
                <w:sz w:val="22"/>
              </w:rPr>
            </w:pPr>
            <w:r>
              <w:rPr>
                <w:rFonts w:ascii="华文中宋" w:eastAsia="华文中宋" w:hint="eastAsia"/>
                <w:b/>
                <w:spacing w:val="-4"/>
                <w:sz w:val="22"/>
              </w:rPr>
              <w:t>多个肢体缺失</w:t>
            </w:r>
          </w:p>
        </w:tc>
        <w:tc>
          <w:tcPr>
            <w:tcW w:w="7465" w:type="dxa"/>
          </w:tcPr>
          <w:p>
            <w:pPr>
              <w:pStyle w:val="TableParagraph"/>
              <w:spacing w:before="5"/>
              <w:rPr>
                <w:sz w:val="18"/>
              </w:rPr>
            </w:pPr>
          </w:p>
          <w:p>
            <w:pPr>
              <w:pStyle w:val="TableParagraph"/>
              <w:spacing w:before="1"/>
              <w:ind w:left="101"/>
              <w:rPr>
                <w:sz w:val="22"/>
              </w:rPr>
            </w:pPr>
            <w:r>
              <w:rPr>
                <w:spacing w:val="-2"/>
                <w:sz w:val="22"/>
              </w:rPr>
              <w:t>该疾病释义参考本合同重大疾病“10.7</w:t>
            </w:r>
            <w:r>
              <w:rPr>
                <w:spacing w:val="-3"/>
                <w:sz w:val="22"/>
              </w:rPr>
              <w:t> 多个肢体缺失”的释义。</w:t>
            </w:r>
          </w:p>
        </w:tc>
      </w:tr>
      <w:tr>
        <w:trPr>
          <w:trHeight w:val="1520" w:hRule="atLeast"/>
        </w:trPr>
        <w:tc>
          <w:tcPr>
            <w:tcW w:w="728" w:type="dxa"/>
          </w:tcPr>
          <w:p>
            <w:pPr>
              <w:pStyle w:val="TableParagraph"/>
              <w:spacing w:before="7"/>
              <w:rPr>
                <w:sz w:val="18"/>
              </w:rPr>
            </w:pPr>
          </w:p>
          <w:p>
            <w:pPr>
              <w:pStyle w:val="TableParagraph"/>
              <w:ind w:left="50"/>
              <w:rPr>
                <w:b/>
                <w:sz w:val="22"/>
              </w:rPr>
            </w:pPr>
            <w:r>
              <w:rPr>
                <w:b/>
                <w:spacing w:val="-2"/>
                <w:sz w:val="22"/>
              </w:rPr>
              <w:t>13.14</w:t>
            </w:r>
          </w:p>
        </w:tc>
        <w:tc>
          <w:tcPr>
            <w:tcW w:w="1548" w:type="dxa"/>
          </w:tcPr>
          <w:p>
            <w:pPr>
              <w:pStyle w:val="TableParagraph"/>
              <w:spacing w:line="261" w:lineRule="auto" w:before="205"/>
              <w:ind w:left="123" w:right="99"/>
              <w:jc w:val="both"/>
              <w:rPr>
                <w:rFonts w:ascii="华文中宋" w:eastAsia="华文中宋" w:hint="eastAsia"/>
                <w:b/>
                <w:sz w:val="22"/>
              </w:rPr>
            </w:pPr>
            <w:r>
              <w:rPr>
                <w:rFonts w:ascii="华文中宋" w:eastAsia="华文中宋" w:hint="eastAsia"/>
                <w:b/>
                <w:spacing w:val="-2"/>
                <w:sz w:val="22"/>
              </w:rPr>
              <w:t>急性重症肝炎</w:t>
            </w:r>
            <w:r>
              <w:rPr>
                <w:rFonts w:ascii="华文中宋" w:eastAsia="华文中宋" w:hint="eastAsia"/>
                <w:b/>
                <w:spacing w:val="-2"/>
                <w:sz w:val="22"/>
              </w:rPr>
              <w:t>或亚急性重症</w:t>
            </w:r>
            <w:r>
              <w:rPr>
                <w:rFonts w:ascii="华文中宋" w:eastAsia="华文中宋" w:hint="eastAsia"/>
                <w:b/>
                <w:spacing w:val="-6"/>
                <w:sz w:val="22"/>
              </w:rPr>
              <w:t>肝炎</w:t>
            </w:r>
          </w:p>
        </w:tc>
        <w:tc>
          <w:tcPr>
            <w:tcW w:w="7465" w:type="dxa"/>
          </w:tcPr>
          <w:p>
            <w:pPr>
              <w:pStyle w:val="TableParagraph"/>
              <w:spacing w:before="7"/>
              <w:rPr>
                <w:sz w:val="18"/>
              </w:rPr>
            </w:pPr>
          </w:p>
          <w:p>
            <w:pPr>
              <w:pStyle w:val="TableParagraph"/>
              <w:spacing w:line="324" w:lineRule="auto"/>
              <w:ind w:left="101" w:right="50"/>
              <w:rPr>
                <w:sz w:val="22"/>
              </w:rPr>
            </w:pPr>
            <w:r>
              <w:rPr>
                <w:sz w:val="22"/>
              </w:rPr>
              <w:t>该疾病释义参考本合同重大疾病“10.8 急性重症肝炎或亚急性重症肝炎”</w:t>
            </w:r>
            <w:r>
              <w:rPr>
                <w:spacing w:val="-4"/>
                <w:sz w:val="22"/>
              </w:rPr>
              <w:t>的释义。</w:t>
            </w:r>
          </w:p>
        </w:tc>
      </w:tr>
      <w:tr>
        <w:trPr>
          <w:trHeight w:val="526" w:hRule="atLeast"/>
        </w:trPr>
        <w:tc>
          <w:tcPr>
            <w:tcW w:w="728" w:type="dxa"/>
          </w:tcPr>
          <w:p>
            <w:pPr>
              <w:pStyle w:val="TableParagraph"/>
              <w:spacing w:before="5"/>
              <w:rPr>
                <w:sz w:val="18"/>
              </w:rPr>
            </w:pPr>
          </w:p>
          <w:p>
            <w:pPr>
              <w:pStyle w:val="TableParagraph"/>
              <w:spacing w:line="270" w:lineRule="exact" w:before="1"/>
              <w:ind w:left="50"/>
              <w:rPr>
                <w:b/>
                <w:sz w:val="22"/>
              </w:rPr>
            </w:pPr>
            <w:r>
              <w:rPr>
                <w:b/>
                <w:spacing w:val="-2"/>
                <w:sz w:val="22"/>
              </w:rPr>
              <w:t>13.15</w:t>
            </w:r>
          </w:p>
        </w:tc>
        <w:tc>
          <w:tcPr>
            <w:tcW w:w="1548" w:type="dxa"/>
          </w:tcPr>
          <w:p>
            <w:pPr>
              <w:pStyle w:val="TableParagraph"/>
              <w:spacing w:line="300" w:lineRule="exact" w:before="206"/>
              <w:ind w:left="115" w:right="94"/>
              <w:jc w:val="center"/>
              <w:rPr>
                <w:rFonts w:ascii="华文中宋" w:eastAsia="华文中宋" w:hint="eastAsia"/>
                <w:b/>
                <w:sz w:val="22"/>
              </w:rPr>
            </w:pPr>
            <w:r>
              <w:rPr>
                <w:rFonts w:ascii="华文中宋" w:eastAsia="华文中宋" w:hint="eastAsia"/>
                <w:b/>
                <w:spacing w:val="-4"/>
                <w:sz w:val="22"/>
              </w:rPr>
              <w:t>严重慢性肝衰</w:t>
            </w:r>
          </w:p>
        </w:tc>
        <w:tc>
          <w:tcPr>
            <w:tcW w:w="7465" w:type="dxa"/>
          </w:tcPr>
          <w:p>
            <w:pPr>
              <w:pStyle w:val="TableParagraph"/>
              <w:spacing w:before="5"/>
              <w:rPr>
                <w:sz w:val="18"/>
              </w:rPr>
            </w:pPr>
          </w:p>
          <w:p>
            <w:pPr>
              <w:pStyle w:val="TableParagraph"/>
              <w:spacing w:line="270" w:lineRule="exact" w:before="1"/>
              <w:ind w:left="101"/>
              <w:rPr>
                <w:sz w:val="22"/>
              </w:rPr>
            </w:pPr>
            <w:r>
              <w:rPr>
                <w:spacing w:val="-2"/>
                <w:sz w:val="22"/>
              </w:rPr>
              <w:t>该疾病释义参考本合同重大疾病“10.10</w:t>
            </w:r>
            <w:r>
              <w:rPr>
                <w:spacing w:val="-3"/>
                <w:sz w:val="22"/>
              </w:rPr>
              <w:t> 严重慢性肝衰竭”的释义。</w:t>
            </w:r>
          </w:p>
        </w:tc>
      </w:tr>
    </w:tbl>
    <w:p>
      <w:pPr>
        <w:spacing w:after="0" w:line="270" w:lineRule="exact"/>
        <w:rPr>
          <w:sz w:val="22"/>
        </w:rPr>
        <w:sectPr>
          <w:pgSz w:w="11910" w:h="16840"/>
          <w:pgMar w:header="484" w:footer="706" w:top="1240" w:bottom="900" w:left="980" w:right="980"/>
        </w:sectPr>
      </w:pPr>
    </w:p>
    <w:p>
      <w:pPr>
        <w:pStyle w:val="BodyText"/>
        <w:rPr>
          <w:sz w:val="12"/>
        </w:rPr>
      </w:pPr>
    </w:p>
    <w:p>
      <w:pPr>
        <w:pStyle w:val="Heading2"/>
        <w:spacing w:before="73"/>
      </w:pPr>
      <w:r>
        <w:rPr>
          <w:w w:val="100"/>
        </w:rPr>
        <w:t>竭</w:t>
      </w:r>
    </w:p>
    <w:p>
      <w:pPr>
        <w:pStyle w:val="BodyText"/>
        <w:rPr>
          <w:rFonts w:ascii="华文中宋"/>
          <w:b/>
          <w:sz w:val="24"/>
        </w:rPr>
      </w:pPr>
    </w:p>
    <w:p>
      <w:pPr>
        <w:spacing w:before="0" w:after="4"/>
        <w:ind w:left="152" w:right="0" w:firstLine="0"/>
        <w:jc w:val="left"/>
        <w:rPr>
          <w:b/>
          <w:sz w:val="30"/>
        </w:rPr>
      </w:pPr>
      <w:r>
        <w:rPr>
          <w:b/>
          <w:spacing w:val="-382"/>
          <w:w w:val="95"/>
          <w:position w:val="-3"/>
          <w:sz w:val="40"/>
        </w:rPr>
        <w:t>●</w:t>
      </w:r>
      <w:r>
        <w:rPr>
          <w:b/>
          <w:color w:val="FFFFFF"/>
          <w:spacing w:val="-19"/>
          <w:w w:val="95"/>
          <w:sz w:val="28"/>
        </w:rPr>
        <w:t>1</w:t>
      </w:r>
      <w:r>
        <w:rPr>
          <w:b/>
          <w:color w:val="FFFFFF"/>
          <w:w w:val="95"/>
          <w:sz w:val="28"/>
        </w:rPr>
        <w:t>4</w:t>
      </w:r>
      <w:r>
        <w:rPr>
          <w:b/>
          <w:color w:val="FFFFFF"/>
          <w:spacing w:val="66"/>
          <w:w w:val="150"/>
          <w:sz w:val="28"/>
        </w:rPr>
        <w:t> </w:t>
      </w:r>
      <w:r>
        <w:rPr>
          <w:b/>
          <w:spacing w:val="-1"/>
          <w:w w:val="95"/>
          <w:position w:val="2"/>
          <w:sz w:val="30"/>
        </w:rPr>
        <w:t>老年特定重大疾病的定义</w:t>
      </w:r>
    </w:p>
    <w:p>
      <w:pPr>
        <w:pStyle w:val="BodyText"/>
        <w:spacing w:line="43" w:lineRule="exact"/>
        <w:ind w:left="126"/>
        <w:rPr>
          <w:sz w:val="4"/>
        </w:rPr>
      </w:pPr>
      <w:r>
        <w:rPr>
          <w:position w:val="0"/>
          <w:sz w:val="4"/>
        </w:rPr>
        <w:drawing>
          <wp:inline distT="0" distB="0" distL="0" distR="0">
            <wp:extent cx="6155689" cy="27431"/>
            <wp:effectExtent l="0" t="0" r="0" b="0"/>
            <wp:docPr id="121" name="image3.png"/>
            <wp:cNvGraphicFramePr>
              <a:graphicFrameLocks noChangeAspect="1"/>
            </wp:cNvGraphicFramePr>
            <a:graphic>
              <a:graphicData uri="http://schemas.openxmlformats.org/drawingml/2006/picture">
                <pic:pic>
                  <pic:nvPicPr>
                    <pic:cNvPr id="122" name="image3.png"/>
                    <pic:cNvPicPr/>
                  </pic:nvPicPr>
                  <pic:blipFill>
                    <a:blip r:embed="rId9" cstate="print"/>
                    <a:stretch>
                      <a:fillRect/>
                    </a:stretch>
                  </pic:blipFill>
                  <pic:spPr>
                    <a:xfrm>
                      <a:off x="0" y="0"/>
                      <a:ext cx="6155689" cy="27431"/>
                    </a:xfrm>
                    <a:prstGeom prst="rect">
                      <a:avLst/>
                    </a:prstGeom>
                  </pic:spPr>
                </pic:pic>
              </a:graphicData>
            </a:graphic>
          </wp:inline>
        </w:drawing>
      </w:r>
      <w:r>
        <w:rPr>
          <w:position w:val="0"/>
          <w:sz w:val="4"/>
        </w:rPr>
      </w:r>
    </w:p>
    <w:p>
      <w:pPr>
        <w:pStyle w:val="BodyText"/>
        <w:rPr>
          <w:b/>
          <w:sz w:val="20"/>
        </w:rPr>
      </w:pPr>
    </w:p>
    <w:p>
      <w:pPr>
        <w:pStyle w:val="BodyText"/>
        <w:spacing w:before="4"/>
        <w:rPr>
          <w:b/>
          <w:sz w:val="10"/>
        </w:rPr>
      </w:pPr>
    </w:p>
    <w:tbl>
      <w:tblPr>
        <w:tblW w:w="0" w:type="auto"/>
        <w:jc w:val="left"/>
        <w:tblInd w:w="1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3"/>
        <w:gridCol w:w="1603"/>
        <w:gridCol w:w="7465"/>
      </w:tblGrid>
      <w:tr>
        <w:trPr>
          <w:trHeight w:val="926" w:hRule="atLeast"/>
        </w:trPr>
        <w:tc>
          <w:tcPr>
            <w:tcW w:w="673" w:type="dxa"/>
          </w:tcPr>
          <w:p>
            <w:pPr>
              <w:pStyle w:val="TableParagraph"/>
              <w:spacing w:before="2"/>
              <w:ind w:left="50"/>
              <w:rPr>
                <w:b/>
                <w:sz w:val="22"/>
              </w:rPr>
            </w:pPr>
            <w:r>
              <w:rPr>
                <w:b/>
                <w:spacing w:val="-4"/>
                <w:sz w:val="22"/>
              </w:rPr>
              <w:t>14.1</w:t>
            </w:r>
          </w:p>
        </w:tc>
        <w:tc>
          <w:tcPr>
            <w:tcW w:w="1603" w:type="dxa"/>
          </w:tcPr>
          <w:p>
            <w:pPr>
              <w:pStyle w:val="TableParagraph"/>
              <w:spacing w:line="322" w:lineRule="exact"/>
              <w:ind w:left="178"/>
              <w:rPr>
                <w:rFonts w:ascii="华文中宋" w:eastAsia="华文中宋" w:hint="eastAsia"/>
                <w:b/>
                <w:sz w:val="22"/>
              </w:rPr>
            </w:pPr>
            <w:r>
              <w:rPr>
                <w:rFonts w:ascii="华文中宋" w:eastAsia="华文中宋" w:hint="eastAsia"/>
                <w:b/>
                <w:spacing w:val="-4"/>
                <w:sz w:val="22"/>
              </w:rPr>
              <w:t>严重脑中风后</w:t>
            </w:r>
          </w:p>
          <w:p>
            <w:pPr>
              <w:pStyle w:val="TableParagraph"/>
              <w:spacing w:before="30"/>
              <w:ind w:left="178"/>
              <w:rPr>
                <w:rFonts w:ascii="华文中宋" w:eastAsia="华文中宋" w:hint="eastAsia"/>
                <w:b/>
                <w:sz w:val="22"/>
              </w:rPr>
            </w:pPr>
            <w:r>
              <w:rPr>
                <w:rFonts w:ascii="华文中宋" w:eastAsia="华文中宋" w:hint="eastAsia"/>
                <w:b/>
                <w:spacing w:val="-6"/>
                <w:sz w:val="22"/>
              </w:rPr>
              <w:t>遗症</w:t>
            </w:r>
          </w:p>
        </w:tc>
        <w:tc>
          <w:tcPr>
            <w:tcW w:w="7465" w:type="dxa"/>
          </w:tcPr>
          <w:p>
            <w:pPr>
              <w:pStyle w:val="TableParagraph"/>
              <w:spacing w:before="2"/>
              <w:ind w:left="101"/>
              <w:rPr>
                <w:sz w:val="22"/>
              </w:rPr>
            </w:pPr>
            <w:r>
              <w:rPr>
                <w:spacing w:val="-2"/>
                <w:sz w:val="22"/>
              </w:rPr>
              <w:t>该疾病释义参考重大疾病“10.3</w:t>
            </w:r>
            <w:r>
              <w:rPr>
                <w:spacing w:val="-3"/>
                <w:sz w:val="22"/>
              </w:rPr>
              <w:t> 严重脑中风后遗症”的释义。</w:t>
            </w:r>
          </w:p>
        </w:tc>
      </w:tr>
      <w:tr>
        <w:trPr>
          <w:trHeight w:val="1539" w:hRule="atLeast"/>
        </w:trPr>
        <w:tc>
          <w:tcPr>
            <w:tcW w:w="673" w:type="dxa"/>
          </w:tcPr>
          <w:p>
            <w:pPr>
              <w:pStyle w:val="TableParagraph"/>
              <w:rPr>
                <w:b/>
                <w:sz w:val="20"/>
              </w:rPr>
            </w:pPr>
          </w:p>
          <w:p>
            <w:pPr>
              <w:pStyle w:val="TableParagraph"/>
              <w:ind w:left="50"/>
              <w:rPr>
                <w:b/>
                <w:sz w:val="22"/>
              </w:rPr>
            </w:pPr>
            <w:r>
              <w:rPr>
                <w:b/>
                <w:spacing w:val="-4"/>
                <w:sz w:val="22"/>
              </w:rPr>
              <w:t>14.2</w:t>
            </w:r>
          </w:p>
        </w:tc>
        <w:tc>
          <w:tcPr>
            <w:tcW w:w="1603" w:type="dxa"/>
          </w:tcPr>
          <w:p>
            <w:pPr>
              <w:pStyle w:val="TableParagraph"/>
              <w:spacing w:line="261" w:lineRule="auto" w:before="227"/>
              <w:ind w:left="178" w:right="99"/>
              <w:jc w:val="both"/>
              <w:rPr>
                <w:rFonts w:ascii="华文中宋" w:eastAsia="华文中宋" w:hint="eastAsia"/>
                <w:b/>
                <w:sz w:val="22"/>
              </w:rPr>
            </w:pPr>
            <w:r>
              <w:rPr>
                <w:rFonts w:ascii="华文中宋" w:eastAsia="华文中宋" w:hint="eastAsia"/>
                <w:b/>
                <w:spacing w:val="-2"/>
                <w:sz w:val="22"/>
              </w:rPr>
              <w:t>严重脑炎后遗</w:t>
            </w:r>
            <w:r>
              <w:rPr>
                <w:rFonts w:ascii="华文中宋" w:eastAsia="华文中宋" w:hint="eastAsia"/>
                <w:b/>
                <w:spacing w:val="-2"/>
                <w:sz w:val="22"/>
              </w:rPr>
              <w:t>症或严重脑膜</w:t>
            </w:r>
            <w:r>
              <w:rPr>
                <w:rFonts w:ascii="华文中宋" w:eastAsia="华文中宋" w:hint="eastAsia"/>
                <w:b/>
                <w:spacing w:val="-4"/>
                <w:sz w:val="22"/>
              </w:rPr>
              <w:t>炎后遗症</w:t>
            </w:r>
          </w:p>
        </w:tc>
        <w:tc>
          <w:tcPr>
            <w:tcW w:w="7465" w:type="dxa"/>
          </w:tcPr>
          <w:p>
            <w:pPr>
              <w:pStyle w:val="TableParagraph"/>
              <w:rPr>
                <w:b/>
                <w:sz w:val="20"/>
              </w:rPr>
            </w:pPr>
          </w:p>
          <w:p>
            <w:pPr>
              <w:pStyle w:val="TableParagraph"/>
              <w:spacing w:line="324" w:lineRule="auto"/>
              <w:ind w:left="101" w:right="49"/>
              <w:rPr>
                <w:sz w:val="22"/>
              </w:rPr>
            </w:pPr>
            <w:r>
              <w:rPr>
                <w:sz w:val="22"/>
              </w:rPr>
              <w:t>该疾病释义参考重大疾病“10.11 严重脑炎后遗症或严重脑膜炎后遗症”的</w:t>
            </w:r>
            <w:r>
              <w:rPr>
                <w:spacing w:val="-4"/>
                <w:sz w:val="22"/>
              </w:rPr>
              <w:t>释义。</w:t>
            </w:r>
          </w:p>
        </w:tc>
      </w:tr>
      <w:tr>
        <w:trPr>
          <w:trHeight w:val="1139" w:hRule="atLeast"/>
        </w:trPr>
        <w:tc>
          <w:tcPr>
            <w:tcW w:w="673" w:type="dxa"/>
          </w:tcPr>
          <w:p>
            <w:pPr>
              <w:pStyle w:val="TableParagraph"/>
              <w:spacing w:before="5"/>
              <w:rPr>
                <w:b/>
                <w:sz w:val="18"/>
              </w:rPr>
            </w:pPr>
          </w:p>
          <w:p>
            <w:pPr>
              <w:pStyle w:val="TableParagraph"/>
              <w:spacing w:before="1"/>
              <w:ind w:left="50"/>
              <w:rPr>
                <w:b/>
                <w:sz w:val="22"/>
              </w:rPr>
            </w:pPr>
            <w:r>
              <w:rPr>
                <w:b/>
                <w:spacing w:val="-4"/>
                <w:sz w:val="22"/>
              </w:rPr>
              <w:t>14.3</w:t>
            </w:r>
          </w:p>
        </w:tc>
        <w:tc>
          <w:tcPr>
            <w:tcW w:w="1603" w:type="dxa"/>
          </w:tcPr>
          <w:p>
            <w:pPr>
              <w:pStyle w:val="TableParagraph"/>
              <w:spacing w:line="261" w:lineRule="auto" w:before="206"/>
              <w:ind w:left="178" w:right="99"/>
              <w:rPr>
                <w:rFonts w:ascii="华文中宋" w:eastAsia="华文中宋" w:hint="eastAsia"/>
                <w:b/>
                <w:sz w:val="22"/>
              </w:rPr>
            </w:pPr>
            <w:r>
              <w:rPr>
                <w:rFonts w:ascii="华文中宋" w:eastAsia="华文中宋" w:hint="eastAsia"/>
                <w:b/>
                <w:spacing w:val="-2"/>
                <w:sz w:val="22"/>
              </w:rPr>
              <w:t>严重阿尔茨海</w:t>
            </w:r>
            <w:r>
              <w:rPr>
                <w:rFonts w:ascii="华文中宋" w:eastAsia="华文中宋" w:hint="eastAsia"/>
                <w:b/>
                <w:spacing w:val="-6"/>
                <w:sz w:val="22"/>
              </w:rPr>
              <w:t>默病</w:t>
            </w:r>
          </w:p>
        </w:tc>
        <w:tc>
          <w:tcPr>
            <w:tcW w:w="7465" w:type="dxa"/>
          </w:tcPr>
          <w:p>
            <w:pPr>
              <w:pStyle w:val="TableParagraph"/>
              <w:spacing w:before="5"/>
              <w:rPr>
                <w:b/>
                <w:sz w:val="18"/>
              </w:rPr>
            </w:pPr>
          </w:p>
          <w:p>
            <w:pPr>
              <w:pStyle w:val="TableParagraph"/>
              <w:spacing w:line="324" w:lineRule="auto" w:before="1"/>
              <w:ind w:left="101" w:right="48"/>
              <w:rPr>
                <w:sz w:val="22"/>
              </w:rPr>
            </w:pPr>
            <w:r>
              <w:rPr>
                <w:sz w:val="22"/>
              </w:rPr>
              <w:t>该疾病释义参考重大疾病“10.17</w:t>
            </w:r>
            <w:r>
              <w:rPr>
                <w:b/>
                <w:spacing w:val="7"/>
                <w:sz w:val="22"/>
              </w:rPr>
              <w:t>错误！未找到引用源。 </w:t>
            </w:r>
            <w:r>
              <w:rPr>
                <w:sz w:val="22"/>
              </w:rPr>
              <w:t>严重阿尔茨海默</w:t>
            </w:r>
            <w:r>
              <w:rPr>
                <w:spacing w:val="-2"/>
                <w:sz w:val="22"/>
              </w:rPr>
              <w:t>病”的释义。</w:t>
            </w:r>
          </w:p>
        </w:tc>
      </w:tr>
      <w:tr>
        <w:trPr>
          <w:trHeight w:val="1139" w:hRule="atLeast"/>
        </w:trPr>
        <w:tc>
          <w:tcPr>
            <w:tcW w:w="673" w:type="dxa"/>
          </w:tcPr>
          <w:p>
            <w:pPr>
              <w:pStyle w:val="TableParagraph"/>
              <w:spacing w:before="5"/>
              <w:rPr>
                <w:b/>
                <w:sz w:val="18"/>
              </w:rPr>
            </w:pPr>
          </w:p>
          <w:p>
            <w:pPr>
              <w:pStyle w:val="TableParagraph"/>
              <w:spacing w:before="1"/>
              <w:ind w:left="50"/>
              <w:rPr>
                <w:b/>
                <w:sz w:val="22"/>
              </w:rPr>
            </w:pPr>
            <w:r>
              <w:rPr>
                <w:b/>
                <w:spacing w:val="-4"/>
                <w:sz w:val="22"/>
              </w:rPr>
              <w:t>14.4</w:t>
            </w:r>
          </w:p>
        </w:tc>
        <w:tc>
          <w:tcPr>
            <w:tcW w:w="1603" w:type="dxa"/>
          </w:tcPr>
          <w:p>
            <w:pPr>
              <w:pStyle w:val="TableParagraph"/>
              <w:spacing w:line="261" w:lineRule="auto" w:before="206"/>
              <w:ind w:left="178" w:right="99"/>
              <w:rPr>
                <w:rFonts w:ascii="华文中宋" w:eastAsia="华文中宋" w:hint="eastAsia"/>
                <w:b/>
                <w:sz w:val="22"/>
              </w:rPr>
            </w:pPr>
            <w:r>
              <w:rPr>
                <w:rFonts w:ascii="华文中宋" w:eastAsia="华文中宋" w:hint="eastAsia"/>
                <w:b/>
                <w:spacing w:val="-2"/>
                <w:sz w:val="22"/>
              </w:rPr>
              <w:t>严重原发性帕</w:t>
            </w:r>
            <w:r>
              <w:rPr>
                <w:rFonts w:ascii="华文中宋" w:eastAsia="华文中宋" w:hint="eastAsia"/>
                <w:b/>
                <w:spacing w:val="-4"/>
                <w:sz w:val="22"/>
              </w:rPr>
              <w:t>金森病</w:t>
            </w:r>
          </w:p>
        </w:tc>
        <w:tc>
          <w:tcPr>
            <w:tcW w:w="7465" w:type="dxa"/>
          </w:tcPr>
          <w:p>
            <w:pPr>
              <w:pStyle w:val="TableParagraph"/>
              <w:spacing w:before="5"/>
              <w:rPr>
                <w:b/>
                <w:sz w:val="18"/>
              </w:rPr>
            </w:pPr>
          </w:p>
          <w:p>
            <w:pPr>
              <w:pStyle w:val="TableParagraph"/>
              <w:spacing w:before="1"/>
              <w:ind w:left="101"/>
              <w:rPr>
                <w:sz w:val="22"/>
              </w:rPr>
            </w:pPr>
            <w:r>
              <w:rPr>
                <w:spacing w:val="-2"/>
                <w:sz w:val="22"/>
              </w:rPr>
              <w:t>该疾病释义参考重大疾病“10.19</w:t>
            </w:r>
            <w:r>
              <w:rPr>
                <w:spacing w:val="-3"/>
                <w:sz w:val="22"/>
              </w:rPr>
              <w:t> 严重原发性帕金森病”的释义。</w:t>
            </w:r>
          </w:p>
        </w:tc>
      </w:tr>
      <w:tr>
        <w:trPr>
          <w:trHeight w:val="1140" w:hRule="atLeast"/>
        </w:trPr>
        <w:tc>
          <w:tcPr>
            <w:tcW w:w="673" w:type="dxa"/>
          </w:tcPr>
          <w:p>
            <w:pPr>
              <w:pStyle w:val="TableParagraph"/>
              <w:spacing w:before="5"/>
              <w:rPr>
                <w:b/>
                <w:sz w:val="18"/>
              </w:rPr>
            </w:pPr>
          </w:p>
          <w:p>
            <w:pPr>
              <w:pStyle w:val="TableParagraph"/>
              <w:spacing w:before="1"/>
              <w:ind w:left="50"/>
              <w:rPr>
                <w:b/>
                <w:sz w:val="22"/>
              </w:rPr>
            </w:pPr>
            <w:r>
              <w:rPr>
                <w:b/>
                <w:spacing w:val="-4"/>
                <w:sz w:val="22"/>
              </w:rPr>
              <w:t>14.5</w:t>
            </w:r>
          </w:p>
        </w:tc>
        <w:tc>
          <w:tcPr>
            <w:tcW w:w="1603" w:type="dxa"/>
          </w:tcPr>
          <w:p>
            <w:pPr>
              <w:pStyle w:val="TableParagraph"/>
              <w:spacing w:line="261" w:lineRule="auto" w:before="206"/>
              <w:ind w:left="178" w:right="99"/>
              <w:rPr>
                <w:rFonts w:ascii="华文中宋" w:eastAsia="华文中宋" w:hint="eastAsia"/>
                <w:b/>
                <w:sz w:val="22"/>
              </w:rPr>
            </w:pPr>
            <w:r>
              <w:rPr>
                <w:rFonts w:ascii="华文中宋" w:eastAsia="华文中宋" w:hint="eastAsia"/>
                <w:b/>
                <w:spacing w:val="-2"/>
                <w:sz w:val="22"/>
              </w:rPr>
              <w:t>严重运动神经</w:t>
            </w:r>
            <w:r>
              <w:rPr>
                <w:rFonts w:ascii="华文中宋" w:eastAsia="华文中宋" w:hint="eastAsia"/>
                <w:b/>
                <w:spacing w:val="-6"/>
                <w:sz w:val="22"/>
              </w:rPr>
              <w:t>元病</w:t>
            </w:r>
          </w:p>
        </w:tc>
        <w:tc>
          <w:tcPr>
            <w:tcW w:w="7465" w:type="dxa"/>
          </w:tcPr>
          <w:p>
            <w:pPr>
              <w:pStyle w:val="TableParagraph"/>
              <w:spacing w:before="5"/>
              <w:rPr>
                <w:b/>
                <w:sz w:val="18"/>
              </w:rPr>
            </w:pPr>
          </w:p>
          <w:p>
            <w:pPr>
              <w:pStyle w:val="TableParagraph"/>
              <w:spacing w:before="1"/>
              <w:ind w:left="101"/>
              <w:rPr>
                <w:sz w:val="22"/>
              </w:rPr>
            </w:pPr>
            <w:r>
              <w:rPr>
                <w:spacing w:val="-2"/>
                <w:sz w:val="22"/>
              </w:rPr>
              <w:t>该疾病释义参考重大疾病“10.22</w:t>
            </w:r>
            <w:r>
              <w:rPr>
                <w:spacing w:val="-3"/>
                <w:sz w:val="22"/>
              </w:rPr>
              <w:t> 严重运动神经元病”的释义。</w:t>
            </w:r>
          </w:p>
        </w:tc>
      </w:tr>
      <w:tr>
        <w:trPr>
          <w:trHeight w:val="1140" w:hRule="atLeast"/>
        </w:trPr>
        <w:tc>
          <w:tcPr>
            <w:tcW w:w="673" w:type="dxa"/>
          </w:tcPr>
          <w:p>
            <w:pPr>
              <w:pStyle w:val="TableParagraph"/>
              <w:spacing w:before="5"/>
              <w:rPr>
                <w:b/>
                <w:sz w:val="18"/>
              </w:rPr>
            </w:pPr>
          </w:p>
          <w:p>
            <w:pPr>
              <w:pStyle w:val="TableParagraph"/>
              <w:spacing w:before="1"/>
              <w:ind w:left="50"/>
              <w:rPr>
                <w:b/>
                <w:sz w:val="22"/>
              </w:rPr>
            </w:pPr>
            <w:r>
              <w:rPr>
                <w:b/>
                <w:spacing w:val="-4"/>
                <w:sz w:val="22"/>
              </w:rPr>
              <w:t>14.6</w:t>
            </w:r>
          </w:p>
        </w:tc>
        <w:tc>
          <w:tcPr>
            <w:tcW w:w="1603" w:type="dxa"/>
          </w:tcPr>
          <w:p>
            <w:pPr>
              <w:pStyle w:val="TableParagraph"/>
              <w:spacing w:line="261" w:lineRule="auto" w:before="206"/>
              <w:ind w:left="178" w:right="99"/>
              <w:rPr>
                <w:rFonts w:ascii="华文中宋" w:eastAsia="华文中宋" w:hint="eastAsia"/>
                <w:b/>
                <w:sz w:val="22"/>
              </w:rPr>
            </w:pPr>
            <w:r>
              <w:rPr>
                <w:rFonts w:ascii="华文中宋" w:eastAsia="华文中宋" w:hint="eastAsia"/>
                <w:b/>
                <w:spacing w:val="-2"/>
                <w:sz w:val="22"/>
              </w:rPr>
              <w:t>严重多发性硬</w:t>
            </w:r>
            <w:r>
              <w:rPr>
                <w:rFonts w:ascii="华文中宋" w:eastAsia="华文中宋" w:hint="eastAsia"/>
                <w:b/>
                <w:spacing w:val="-6"/>
                <w:sz w:val="22"/>
              </w:rPr>
              <w:t>化症</w:t>
            </w:r>
          </w:p>
        </w:tc>
        <w:tc>
          <w:tcPr>
            <w:tcW w:w="7465" w:type="dxa"/>
          </w:tcPr>
          <w:p>
            <w:pPr>
              <w:pStyle w:val="TableParagraph"/>
              <w:spacing w:before="5"/>
              <w:rPr>
                <w:b/>
                <w:sz w:val="18"/>
              </w:rPr>
            </w:pPr>
          </w:p>
          <w:p>
            <w:pPr>
              <w:pStyle w:val="TableParagraph"/>
              <w:spacing w:before="1"/>
              <w:ind w:left="101"/>
              <w:rPr>
                <w:sz w:val="22"/>
              </w:rPr>
            </w:pPr>
            <w:r>
              <w:rPr>
                <w:spacing w:val="-2"/>
                <w:sz w:val="22"/>
              </w:rPr>
              <w:t>该疾病释义参考重大疾病“10.29</w:t>
            </w:r>
            <w:r>
              <w:rPr>
                <w:spacing w:val="-3"/>
                <w:sz w:val="22"/>
              </w:rPr>
              <w:t> 严重多发性硬化症”的释义。</w:t>
            </w:r>
          </w:p>
        </w:tc>
      </w:tr>
      <w:tr>
        <w:trPr>
          <w:trHeight w:val="1140" w:hRule="atLeast"/>
        </w:trPr>
        <w:tc>
          <w:tcPr>
            <w:tcW w:w="673" w:type="dxa"/>
          </w:tcPr>
          <w:p>
            <w:pPr>
              <w:pStyle w:val="TableParagraph"/>
              <w:spacing w:before="5"/>
              <w:rPr>
                <w:b/>
                <w:sz w:val="18"/>
              </w:rPr>
            </w:pPr>
          </w:p>
          <w:p>
            <w:pPr>
              <w:pStyle w:val="TableParagraph"/>
              <w:spacing w:before="1"/>
              <w:ind w:left="50"/>
              <w:rPr>
                <w:b/>
                <w:sz w:val="22"/>
              </w:rPr>
            </w:pPr>
            <w:r>
              <w:rPr>
                <w:b/>
                <w:spacing w:val="-4"/>
                <w:sz w:val="22"/>
              </w:rPr>
              <w:t>14.7</w:t>
            </w:r>
          </w:p>
        </w:tc>
        <w:tc>
          <w:tcPr>
            <w:tcW w:w="1603" w:type="dxa"/>
          </w:tcPr>
          <w:p>
            <w:pPr>
              <w:pStyle w:val="TableParagraph"/>
              <w:spacing w:line="261" w:lineRule="auto" w:before="206"/>
              <w:ind w:left="178" w:right="99"/>
              <w:rPr>
                <w:rFonts w:ascii="华文中宋" w:eastAsia="华文中宋" w:hint="eastAsia"/>
                <w:b/>
                <w:sz w:val="22"/>
              </w:rPr>
            </w:pPr>
            <w:r>
              <w:rPr>
                <w:rFonts w:ascii="华文中宋" w:eastAsia="华文中宋" w:hint="eastAsia"/>
                <w:b/>
                <w:spacing w:val="-2"/>
                <w:sz w:val="22"/>
              </w:rPr>
              <w:t>严重肌营养不</w:t>
            </w:r>
            <w:r>
              <w:rPr>
                <w:rFonts w:ascii="华文中宋" w:eastAsia="华文中宋" w:hint="eastAsia"/>
                <w:b/>
                <w:spacing w:val="-6"/>
                <w:sz w:val="22"/>
              </w:rPr>
              <w:t>良症</w:t>
            </w:r>
          </w:p>
        </w:tc>
        <w:tc>
          <w:tcPr>
            <w:tcW w:w="7465" w:type="dxa"/>
          </w:tcPr>
          <w:p>
            <w:pPr>
              <w:pStyle w:val="TableParagraph"/>
              <w:spacing w:before="5"/>
              <w:rPr>
                <w:b/>
                <w:sz w:val="18"/>
              </w:rPr>
            </w:pPr>
          </w:p>
          <w:p>
            <w:pPr>
              <w:pStyle w:val="TableParagraph"/>
              <w:spacing w:before="1"/>
              <w:ind w:left="101"/>
              <w:rPr>
                <w:sz w:val="22"/>
              </w:rPr>
            </w:pPr>
            <w:r>
              <w:rPr>
                <w:spacing w:val="-2"/>
                <w:sz w:val="22"/>
              </w:rPr>
              <w:t>该疾病释义参考重大疾病“10.105</w:t>
            </w:r>
            <w:r>
              <w:rPr>
                <w:spacing w:val="-3"/>
                <w:sz w:val="22"/>
              </w:rPr>
              <w:t> 严重肌营养不良症”的释义。</w:t>
            </w:r>
          </w:p>
        </w:tc>
      </w:tr>
      <w:tr>
        <w:trPr>
          <w:trHeight w:val="1287" w:hRule="atLeast"/>
        </w:trPr>
        <w:tc>
          <w:tcPr>
            <w:tcW w:w="673" w:type="dxa"/>
          </w:tcPr>
          <w:p>
            <w:pPr>
              <w:pStyle w:val="TableParagraph"/>
              <w:spacing w:before="5"/>
              <w:rPr>
                <w:b/>
                <w:sz w:val="18"/>
              </w:rPr>
            </w:pPr>
          </w:p>
          <w:p>
            <w:pPr>
              <w:pStyle w:val="TableParagraph"/>
              <w:spacing w:before="1"/>
              <w:ind w:left="50"/>
              <w:rPr>
                <w:b/>
                <w:sz w:val="22"/>
              </w:rPr>
            </w:pPr>
            <w:r>
              <w:rPr>
                <w:b/>
                <w:spacing w:val="-4"/>
                <w:sz w:val="22"/>
              </w:rPr>
              <w:t>14.8</w:t>
            </w:r>
          </w:p>
        </w:tc>
        <w:tc>
          <w:tcPr>
            <w:tcW w:w="1603" w:type="dxa"/>
          </w:tcPr>
          <w:p>
            <w:pPr>
              <w:pStyle w:val="TableParagraph"/>
              <w:spacing w:line="261" w:lineRule="auto" w:before="206"/>
              <w:ind w:left="178" w:right="99"/>
              <w:rPr>
                <w:rFonts w:ascii="华文中宋" w:eastAsia="华文中宋" w:hint="eastAsia"/>
                <w:b/>
                <w:sz w:val="22"/>
              </w:rPr>
            </w:pPr>
            <w:r>
              <w:rPr>
                <w:rFonts w:ascii="华文中宋" w:eastAsia="华文中宋" w:hint="eastAsia"/>
                <w:b/>
                <w:spacing w:val="-2"/>
                <w:sz w:val="22"/>
              </w:rPr>
              <w:t>严重冠状动脉</w:t>
            </w:r>
            <w:r>
              <w:rPr>
                <w:rFonts w:ascii="华文中宋" w:eastAsia="华文中宋" w:hint="eastAsia"/>
                <w:b/>
                <w:spacing w:val="-4"/>
                <w:sz w:val="22"/>
              </w:rPr>
              <w:t>粥样硬化性心</w:t>
            </w:r>
          </w:p>
          <w:p>
            <w:pPr>
              <w:pStyle w:val="TableParagraph"/>
              <w:spacing w:line="300" w:lineRule="exact"/>
              <w:ind w:left="178"/>
              <w:rPr>
                <w:rFonts w:ascii="华文中宋" w:eastAsia="华文中宋" w:hint="eastAsia"/>
                <w:b/>
                <w:sz w:val="22"/>
              </w:rPr>
            </w:pPr>
            <w:r>
              <w:rPr>
                <w:rFonts w:ascii="华文中宋" w:eastAsia="华文中宋" w:hint="eastAsia"/>
                <w:b/>
                <w:spacing w:val="-6"/>
                <w:sz w:val="22"/>
              </w:rPr>
              <w:t>脏病</w:t>
            </w:r>
          </w:p>
        </w:tc>
        <w:tc>
          <w:tcPr>
            <w:tcW w:w="7465" w:type="dxa"/>
          </w:tcPr>
          <w:p>
            <w:pPr>
              <w:pStyle w:val="TableParagraph"/>
              <w:spacing w:before="5"/>
              <w:rPr>
                <w:b/>
                <w:sz w:val="18"/>
              </w:rPr>
            </w:pPr>
          </w:p>
          <w:p>
            <w:pPr>
              <w:pStyle w:val="TableParagraph"/>
              <w:spacing w:line="324" w:lineRule="auto" w:before="1"/>
              <w:ind w:left="101" w:right="48"/>
              <w:rPr>
                <w:sz w:val="22"/>
              </w:rPr>
            </w:pPr>
            <w:r>
              <w:rPr>
                <w:sz w:val="22"/>
              </w:rPr>
              <w:t>该疾病释义参考重大疾病“10.49 严重冠状动脉粥样硬化性心脏病”的释</w:t>
            </w:r>
            <w:r>
              <w:rPr>
                <w:spacing w:val="-6"/>
                <w:sz w:val="22"/>
              </w:rPr>
              <w:t>义。</w:t>
            </w:r>
          </w:p>
        </w:tc>
      </w:tr>
    </w:tbl>
    <w:p>
      <w:pPr>
        <w:spacing w:after="0" w:line="324" w:lineRule="auto"/>
        <w:rPr>
          <w:sz w:val="22"/>
        </w:rPr>
        <w:sectPr>
          <w:pgSz w:w="11910" w:h="16840"/>
          <w:pgMar w:header="484" w:footer="706" w:top="1240" w:bottom="900" w:left="980" w:right="980"/>
        </w:sectPr>
      </w:pPr>
    </w:p>
    <w:p>
      <w:pPr>
        <w:pStyle w:val="BodyText"/>
        <w:spacing w:before="6"/>
        <w:rPr>
          <w:b/>
          <w:sz w:val="15"/>
        </w:rPr>
      </w:pPr>
    </w:p>
    <w:p>
      <w:pPr>
        <w:pStyle w:val="Heading2"/>
        <w:spacing w:before="71"/>
        <w:ind w:left="152"/>
        <w:rPr>
          <w:rFonts w:ascii="宋体" w:eastAsia="宋体" w:hint="eastAsia"/>
        </w:rPr>
      </w:pPr>
      <w:r>
        <w:rPr>
          <w:rFonts w:ascii="宋体" w:eastAsia="宋体" w:hint="eastAsia"/>
          <w:w w:val="95"/>
        </w:rPr>
        <w:t>【</w:t>
      </w:r>
      <w:r>
        <w:rPr>
          <w:rFonts w:ascii="宋体" w:eastAsia="宋体" w:hint="eastAsia"/>
          <w:w w:val="95"/>
        </w:rPr>
        <w:t>附</w:t>
      </w:r>
      <w:r>
        <w:rPr>
          <w:rFonts w:ascii="宋体" w:eastAsia="宋体" w:hint="eastAsia"/>
          <w:w w:val="95"/>
        </w:rPr>
        <w:t>表</w:t>
      </w:r>
      <w:r>
        <w:rPr>
          <w:rFonts w:ascii="宋体" w:eastAsia="宋体" w:hint="eastAsia"/>
          <w:w w:val="95"/>
        </w:rPr>
        <w:t>一</w:t>
      </w:r>
      <w:r>
        <w:rPr>
          <w:rFonts w:ascii="宋体" w:eastAsia="宋体" w:hint="eastAsia"/>
          <w:w w:val="95"/>
        </w:rPr>
        <w:t>】</w:t>
      </w:r>
      <w:r>
        <w:rPr>
          <w:rFonts w:ascii="宋体" w:eastAsia="宋体" w:hint="eastAsia"/>
          <w:w w:val="95"/>
        </w:rPr>
        <w:t>甲</w:t>
      </w:r>
      <w:r>
        <w:rPr>
          <w:rFonts w:ascii="宋体" w:eastAsia="宋体" w:hint="eastAsia"/>
          <w:w w:val="95"/>
        </w:rPr>
        <w:t>状</w:t>
      </w:r>
      <w:r>
        <w:rPr>
          <w:rFonts w:ascii="宋体" w:eastAsia="宋体" w:hint="eastAsia"/>
          <w:w w:val="95"/>
        </w:rPr>
        <w:t>腺</w:t>
      </w:r>
      <w:r>
        <w:rPr>
          <w:rFonts w:ascii="宋体" w:eastAsia="宋体" w:hint="eastAsia"/>
          <w:w w:val="95"/>
        </w:rPr>
        <w:t>癌</w:t>
      </w:r>
      <w:r>
        <w:rPr>
          <w:rFonts w:ascii="宋体" w:eastAsia="宋体" w:hint="eastAsia"/>
          <w:w w:val="95"/>
        </w:rPr>
        <w:t>的</w:t>
      </w:r>
      <w:r>
        <w:rPr>
          <w:rFonts w:ascii="宋体" w:eastAsia="宋体" w:hint="eastAsia"/>
          <w:w w:val="95"/>
        </w:rPr>
        <w:t>TNM</w:t>
      </w:r>
      <w:r>
        <w:rPr>
          <w:rFonts w:ascii="宋体" w:eastAsia="宋体" w:hint="eastAsia"/>
          <w:spacing w:val="-5"/>
          <w:w w:val="95"/>
        </w:rPr>
        <w:t>分期</w:t>
      </w:r>
    </w:p>
    <w:p>
      <w:pPr>
        <w:pStyle w:val="BodyText"/>
        <w:spacing w:before="5"/>
        <w:rPr>
          <w:b/>
          <w:sz w:val="29"/>
        </w:rPr>
      </w:pPr>
    </w:p>
    <w:tbl>
      <w:tblPr>
        <w:tblW w:w="0" w:type="auto"/>
        <w:jc w:val="left"/>
        <w:tblInd w:w="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1"/>
        <w:gridCol w:w="3417"/>
        <w:gridCol w:w="1843"/>
        <w:gridCol w:w="1627"/>
        <w:gridCol w:w="1646"/>
        <w:gridCol w:w="1030"/>
      </w:tblGrid>
      <w:tr>
        <w:trPr>
          <w:trHeight w:val="11697" w:hRule="atLeast"/>
        </w:trPr>
        <w:tc>
          <w:tcPr>
            <w:tcW w:w="9694" w:type="dxa"/>
            <w:gridSpan w:val="6"/>
            <w:tcBorders>
              <w:bottom w:val="nil"/>
            </w:tcBorders>
          </w:tcPr>
          <w:p>
            <w:pPr>
              <w:pStyle w:val="TableParagraph"/>
              <w:spacing w:before="3"/>
              <w:ind w:left="26"/>
              <w:rPr>
                <w:sz w:val="22"/>
              </w:rPr>
            </w:pPr>
            <w:r>
              <w:rPr>
                <w:spacing w:val="-2"/>
                <w:sz w:val="22"/>
              </w:rPr>
              <w:t>甲状腺癌的TNM分期采用目前现行的AJCC第八版定义标准，我国国家卫生健康委员会2018</w:t>
            </w:r>
            <w:r>
              <w:rPr>
                <w:spacing w:val="-4"/>
                <w:sz w:val="22"/>
              </w:rPr>
              <w:t>年发布的</w:t>
            </w:r>
          </w:p>
          <w:p>
            <w:pPr>
              <w:pStyle w:val="TableParagraph"/>
              <w:spacing w:line="242" w:lineRule="auto" w:before="1"/>
              <w:ind w:left="26" w:right="3055"/>
              <w:rPr>
                <w:sz w:val="22"/>
              </w:rPr>
            </w:pPr>
            <w:r>
              <w:rPr>
                <w:spacing w:val="-2"/>
                <w:sz w:val="22"/>
              </w:rPr>
              <w:t>《甲状腺癌诊疗规范（2018年版）》也采用此定义标准，具体见下：甲状腺乳头状癌、滤泡癌、低分化癌、Hürthle细胞癌和未分化癌 pT</w:t>
            </w:r>
            <w:r>
              <w:rPr>
                <w:spacing w:val="-2"/>
                <w:position w:val="-2"/>
                <w:sz w:val="11"/>
              </w:rPr>
              <w:t>X</w:t>
            </w:r>
            <w:r>
              <w:rPr>
                <w:spacing w:val="-2"/>
                <w:sz w:val="22"/>
              </w:rPr>
              <w:t>：原发肿瘤不能评估</w:t>
            </w:r>
          </w:p>
          <w:p>
            <w:pPr>
              <w:pStyle w:val="TableParagraph"/>
              <w:spacing w:before="3"/>
              <w:ind w:left="26"/>
              <w:rPr>
                <w:sz w:val="22"/>
              </w:rPr>
            </w:pPr>
            <w:r>
              <w:rPr>
                <w:spacing w:val="-2"/>
                <w:sz w:val="22"/>
              </w:rPr>
              <w:t>pT</w:t>
            </w:r>
            <w:r>
              <w:rPr>
                <w:spacing w:val="-2"/>
                <w:position w:val="-2"/>
                <w:sz w:val="11"/>
              </w:rPr>
              <w:t>0</w:t>
            </w:r>
            <w:r>
              <w:rPr>
                <w:spacing w:val="-4"/>
                <w:sz w:val="22"/>
              </w:rPr>
              <w:t>：无肿瘤证据</w:t>
            </w:r>
          </w:p>
          <w:p>
            <w:pPr>
              <w:pStyle w:val="TableParagraph"/>
              <w:spacing w:line="242" w:lineRule="auto" w:before="3"/>
              <w:ind w:left="247" w:right="5601" w:hanging="221"/>
              <w:rPr>
                <w:sz w:val="22"/>
              </w:rPr>
            </w:pPr>
            <w:r>
              <w:rPr>
                <w:spacing w:val="-2"/>
                <w:sz w:val="22"/>
              </w:rPr>
              <w:t>pT</w:t>
            </w:r>
            <w:r>
              <w:rPr>
                <w:spacing w:val="-2"/>
                <w:position w:val="-2"/>
                <w:sz w:val="11"/>
              </w:rPr>
              <w:t>1</w:t>
            </w:r>
            <w:r>
              <w:rPr>
                <w:spacing w:val="-2"/>
                <w:sz w:val="22"/>
              </w:rPr>
              <w:t>：肿瘤局限在甲状腺内，最大径≤2cm T</w:t>
            </w:r>
            <w:r>
              <w:rPr>
                <w:spacing w:val="-2"/>
                <w:position w:val="-2"/>
                <w:sz w:val="11"/>
              </w:rPr>
              <w:t>1a</w:t>
            </w:r>
            <w:r>
              <w:rPr>
                <w:spacing w:val="-2"/>
                <w:sz w:val="22"/>
              </w:rPr>
              <w:t>肿瘤最大径≤1cm</w:t>
            </w:r>
          </w:p>
          <w:p>
            <w:pPr>
              <w:pStyle w:val="TableParagraph"/>
              <w:spacing w:line="242" w:lineRule="auto" w:before="2"/>
              <w:ind w:left="26" w:right="6365" w:firstLine="220"/>
              <w:rPr>
                <w:sz w:val="22"/>
              </w:rPr>
            </w:pPr>
            <w:r>
              <w:rPr>
                <w:spacing w:val="-2"/>
                <w:sz w:val="22"/>
              </w:rPr>
              <w:t>T</w:t>
            </w:r>
            <w:r>
              <w:rPr>
                <w:spacing w:val="-2"/>
                <w:position w:val="-2"/>
                <w:sz w:val="11"/>
              </w:rPr>
              <w:t>1b</w:t>
            </w:r>
            <w:r>
              <w:rPr>
                <w:spacing w:val="-2"/>
                <w:sz w:val="22"/>
              </w:rPr>
              <w:t>肿瘤最大径＞1cm，≤2cm pT</w:t>
            </w:r>
            <w:r>
              <w:rPr>
                <w:spacing w:val="-2"/>
                <w:position w:val="-2"/>
                <w:sz w:val="11"/>
              </w:rPr>
              <w:t>2</w:t>
            </w:r>
            <w:r>
              <w:rPr>
                <w:spacing w:val="-2"/>
                <w:sz w:val="22"/>
              </w:rPr>
              <w:t>：肿瘤2～4cm</w:t>
            </w:r>
          </w:p>
          <w:p>
            <w:pPr>
              <w:pStyle w:val="TableParagraph"/>
              <w:spacing w:line="242" w:lineRule="auto"/>
              <w:ind w:left="26" w:right="3768"/>
              <w:rPr>
                <w:sz w:val="22"/>
              </w:rPr>
            </w:pPr>
            <w:r>
              <w:rPr>
                <w:spacing w:val="-2"/>
                <w:sz w:val="22"/>
              </w:rPr>
              <w:t>pT</w:t>
            </w:r>
            <w:r>
              <w:rPr>
                <w:spacing w:val="-2"/>
                <w:position w:val="-2"/>
                <w:sz w:val="11"/>
              </w:rPr>
              <w:t>3</w:t>
            </w:r>
            <w:r>
              <w:rPr>
                <w:spacing w:val="-2"/>
                <w:sz w:val="22"/>
              </w:rPr>
              <w:t>：肿瘤＞4cm，局限于甲状腺内或大体侵犯甲状腺外带状肌 pT</w:t>
            </w:r>
            <w:r>
              <w:rPr>
                <w:spacing w:val="-2"/>
                <w:position w:val="-2"/>
                <w:sz w:val="11"/>
              </w:rPr>
              <w:t>3a</w:t>
            </w:r>
            <w:r>
              <w:rPr>
                <w:spacing w:val="-2"/>
                <w:sz w:val="22"/>
              </w:rPr>
              <w:t>：肿瘤＞4cm，局限于甲状腺内</w:t>
            </w:r>
          </w:p>
          <w:p>
            <w:pPr>
              <w:pStyle w:val="TableParagraph"/>
              <w:spacing w:before="1"/>
              <w:ind w:left="26"/>
              <w:rPr>
                <w:sz w:val="22"/>
              </w:rPr>
            </w:pPr>
            <w:r>
              <w:rPr>
                <w:spacing w:val="-2"/>
                <w:sz w:val="22"/>
              </w:rPr>
              <w:t>pT</w:t>
            </w:r>
            <w:r>
              <w:rPr>
                <w:spacing w:val="-2"/>
                <w:position w:val="-2"/>
                <w:sz w:val="11"/>
              </w:rPr>
              <w:t>3b</w:t>
            </w:r>
            <w:r>
              <w:rPr>
                <w:spacing w:val="-3"/>
                <w:sz w:val="22"/>
              </w:rPr>
              <w:t>：大体侵犯甲状腺外带状肌，无论肿瘤大小</w:t>
            </w:r>
          </w:p>
          <w:p>
            <w:pPr>
              <w:pStyle w:val="TableParagraph"/>
              <w:spacing w:line="242" w:lineRule="auto" w:before="4"/>
              <w:ind w:left="26" w:right="3052" w:firstLine="220"/>
              <w:rPr>
                <w:sz w:val="22"/>
              </w:rPr>
            </w:pPr>
            <w:r>
              <w:rPr>
                <w:spacing w:val="-2"/>
                <w:sz w:val="22"/>
              </w:rPr>
              <w:t>带状肌包括：胸骨舌骨肌、胸骨甲状肌、甲状舌骨肌、肩胛舌骨肌 pT</w:t>
            </w:r>
            <w:r>
              <w:rPr>
                <w:spacing w:val="-2"/>
                <w:position w:val="-2"/>
                <w:sz w:val="11"/>
              </w:rPr>
              <w:t>4</w:t>
            </w:r>
            <w:r>
              <w:rPr>
                <w:spacing w:val="-2"/>
                <w:sz w:val="22"/>
              </w:rPr>
              <w:t>：大体侵犯甲状腺外带状肌外</w:t>
            </w:r>
          </w:p>
          <w:p>
            <w:pPr>
              <w:pStyle w:val="TableParagraph"/>
              <w:spacing w:line="242" w:lineRule="auto" w:before="2"/>
              <w:ind w:left="26" w:right="4704"/>
              <w:rPr>
                <w:sz w:val="22"/>
              </w:rPr>
            </w:pPr>
            <w:r>
              <w:rPr>
                <w:spacing w:val="-2"/>
                <w:sz w:val="22"/>
              </w:rPr>
              <w:t>pT</w:t>
            </w:r>
            <w:r>
              <w:rPr>
                <w:spacing w:val="-2"/>
                <w:position w:val="-2"/>
                <w:sz w:val="11"/>
              </w:rPr>
              <w:t>4a</w:t>
            </w:r>
            <w:r>
              <w:rPr>
                <w:spacing w:val="-2"/>
                <w:sz w:val="22"/>
              </w:rPr>
              <w:t>：侵犯喉、气管、食管、喉反神经及皮下软组织 pT</w:t>
            </w:r>
            <w:r>
              <w:rPr>
                <w:spacing w:val="-2"/>
                <w:position w:val="-2"/>
                <w:sz w:val="11"/>
              </w:rPr>
              <w:t>4b</w:t>
            </w:r>
            <w:r>
              <w:rPr>
                <w:spacing w:val="-2"/>
                <w:sz w:val="22"/>
              </w:rPr>
              <w:t>：侵犯椎前筋膜，或包裹颈动脉、纵隔血管</w:t>
            </w:r>
          </w:p>
          <w:p>
            <w:pPr>
              <w:pStyle w:val="TableParagraph"/>
              <w:spacing w:before="2"/>
              <w:ind w:left="26"/>
              <w:rPr>
                <w:sz w:val="22"/>
              </w:rPr>
            </w:pPr>
            <w:r>
              <w:rPr>
                <w:spacing w:val="-4"/>
                <w:sz w:val="22"/>
              </w:rPr>
              <w:t>甲状腺髓样癌</w:t>
            </w:r>
          </w:p>
          <w:p>
            <w:pPr>
              <w:pStyle w:val="TableParagraph"/>
              <w:spacing w:before="3"/>
              <w:ind w:left="26" w:right="7399"/>
              <w:rPr>
                <w:sz w:val="22"/>
              </w:rPr>
            </w:pPr>
            <w:r>
              <w:rPr>
                <w:spacing w:val="-2"/>
                <w:sz w:val="22"/>
              </w:rPr>
              <w:t>pT</w:t>
            </w:r>
            <w:r>
              <w:rPr>
                <w:spacing w:val="-2"/>
                <w:position w:val="-2"/>
                <w:sz w:val="11"/>
              </w:rPr>
              <w:t>X</w:t>
            </w:r>
            <w:r>
              <w:rPr>
                <w:spacing w:val="-2"/>
                <w:sz w:val="22"/>
              </w:rPr>
              <w:t>：原发肿瘤不能评估 pT</w:t>
            </w:r>
            <w:r>
              <w:rPr>
                <w:spacing w:val="-2"/>
                <w:position w:val="-2"/>
                <w:sz w:val="11"/>
              </w:rPr>
              <w:t>0</w:t>
            </w:r>
            <w:r>
              <w:rPr>
                <w:spacing w:val="-2"/>
                <w:sz w:val="22"/>
              </w:rPr>
              <w:t>：无肿瘤证据</w:t>
            </w:r>
          </w:p>
          <w:p>
            <w:pPr>
              <w:pStyle w:val="TableParagraph"/>
              <w:spacing w:line="242" w:lineRule="auto" w:before="5"/>
              <w:ind w:left="247" w:right="5601" w:hanging="221"/>
              <w:rPr>
                <w:sz w:val="22"/>
              </w:rPr>
            </w:pPr>
            <w:r>
              <w:rPr>
                <w:spacing w:val="-2"/>
                <w:sz w:val="22"/>
              </w:rPr>
              <w:t>pT</w:t>
            </w:r>
            <w:r>
              <w:rPr>
                <w:spacing w:val="-2"/>
                <w:position w:val="-2"/>
                <w:sz w:val="11"/>
              </w:rPr>
              <w:t>1</w:t>
            </w:r>
            <w:r>
              <w:rPr>
                <w:spacing w:val="-2"/>
                <w:sz w:val="22"/>
              </w:rPr>
              <w:t>：肿瘤局限在甲状腺内，最大径≤2cm T</w:t>
            </w:r>
            <w:r>
              <w:rPr>
                <w:spacing w:val="-2"/>
                <w:position w:val="-2"/>
                <w:sz w:val="11"/>
              </w:rPr>
              <w:t>1a</w:t>
            </w:r>
            <w:r>
              <w:rPr>
                <w:spacing w:val="-2"/>
                <w:sz w:val="22"/>
              </w:rPr>
              <w:t>肿瘤最大径≤1cm</w:t>
            </w:r>
          </w:p>
          <w:p>
            <w:pPr>
              <w:pStyle w:val="TableParagraph"/>
              <w:spacing w:line="242" w:lineRule="auto" w:before="2"/>
              <w:ind w:left="26" w:right="6365" w:firstLine="220"/>
              <w:rPr>
                <w:sz w:val="22"/>
              </w:rPr>
            </w:pPr>
            <w:r>
              <w:rPr>
                <w:spacing w:val="-2"/>
                <w:sz w:val="22"/>
              </w:rPr>
              <w:t>T</w:t>
            </w:r>
            <w:r>
              <w:rPr>
                <w:spacing w:val="-2"/>
                <w:position w:val="-2"/>
                <w:sz w:val="11"/>
              </w:rPr>
              <w:t>1b</w:t>
            </w:r>
            <w:r>
              <w:rPr>
                <w:spacing w:val="-2"/>
                <w:sz w:val="22"/>
              </w:rPr>
              <w:t>肿瘤最大径＞1cm，≤2cm pT</w:t>
            </w:r>
            <w:r>
              <w:rPr>
                <w:spacing w:val="-2"/>
                <w:position w:val="-2"/>
                <w:sz w:val="11"/>
              </w:rPr>
              <w:t>2</w:t>
            </w:r>
            <w:r>
              <w:rPr>
                <w:spacing w:val="-2"/>
                <w:sz w:val="22"/>
              </w:rPr>
              <w:t>：肿瘤2～4cm</w:t>
            </w:r>
          </w:p>
          <w:p>
            <w:pPr>
              <w:pStyle w:val="TableParagraph"/>
              <w:spacing w:line="242" w:lineRule="auto" w:before="2"/>
              <w:ind w:left="26" w:right="3768"/>
              <w:rPr>
                <w:sz w:val="22"/>
              </w:rPr>
            </w:pPr>
            <w:r>
              <w:rPr>
                <w:spacing w:val="-2"/>
                <w:sz w:val="22"/>
              </w:rPr>
              <w:t>pT</w:t>
            </w:r>
            <w:r>
              <w:rPr>
                <w:spacing w:val="-2"/>
                <w:position w:val="-2"/>
                <w:sz w:val="11"/>
              </w:rPr>
              <w:t>3</w:t>
            </w:r>
            <w:r>
              <w:rPr>
                <w:spacing w:val="-2"/>
                <w:sz w:val="22"/>
              </w:rPr>
              <w:t>：肿瘤＞4cm，局限于甲状腺内或大体侵犯甲状腺外带状肌 pT</w:t>
            </w:r>
            <w:r>
              <w:rPr>
                <w:spacing w:val="-2"/>
                <w:position w:val="-2"/>
                <w:sz w:val="11"/>
              </w:rPr>
              <w:t>3a</w:t>
            </w:r>
            <w:r>
              <w:rPr>
                <w:spacing w:val="-2"/>
                <w:sz w:val="22"/>
              </w:rPr>
              <w:t>：肿瘤＞4cm，局限于甲状腺内</w:t>
            </w:r>
          </w:p>
          <w:p>
            <w:pPr>
              <w:pStyle w:val="TableParagraph"/>
              <w:spacing w:line="281" w:lineRule="exact"/>
              <w:ind w:left="26"/>
              <w:rPr>
                <w:sz w:val="22"/>
              </w:rPr>
            </w:pPr>
            <w:r>
              <w:rPr>
                <w:spacing w:val="-2"/>
                <w:sz w:val="22"/>
              </w:rPr>
              <w:t>pT</w:t>
            </w:r>
            <w:r>
              <w:rPr>
                <w:spacing w:val="-2"/>
                <w:position w:val="-2"/>
                <w:sz w:val="11"/>
              </w:rPr>
              <w:t>3b</w:t>
            </w:r>
            <w:r>
              <w:rPr>
                <w:spacing w:val="-3"/>
                <w:sz w:val="22"/>
              </w:rPr>
              <w:t>：大体侵犯甲状腺外带状肌，无论肿瘤大小</w:t>
            </w:r>
          </w:p>
          <w:p>
            <w:pPr>
              <w:pStyle w:val="TableParagraph"/>
              <w:spacing w:before="6"/>
              <w:ind w:left="26" w:right="3052" w:firstLine="220"/>
              <w:rPr>
                <w:sz w:val="22"/>
              </w:rPr>
            </w:pPr>
            <w:r>
              <w:rPr>
                <w:spacing w:val="-2"/>
                <w:sz w:val="22"/>
              </w:rPr>
              <w:t>带状肌包括：胸骨舌骨肌、胸骨甲状肌、甲状舌骨肌、肩胛舌骨肌 pT</w:t>
            </w:r>
            <w:r>
              <w:rPr>
                <w:spacing w:val="-2"/>
                <w:position w:val="-2"/>
                <w:sz w:val="11"/>
              </w:rPr>
              <w:t>4</w:t>
            </w:r>
            <w:r>
              <w:rPr>
                <w:spacing w:val="-2"/>
                <w:sz w:val="22"/>
              </w:rPr>
              <w:t>：进展期病变</w:t>
            </w:r>
          </w:p>
          <w:p>
            <w:pPr>
              <w:pStyle w:val="TableParagraph"/>
              <w:spacing w:line="242" w:lineRule="auto" w:before="5"/>
              <w:ind w:left="26" w:right="84"/>
              <w:rPr>
                <w:sz w:val="22"/>
              </w:rPr>
            </w:pPr>
            <w:r>
              <w:rPr>
                <w:spacing w:val="-2"/>
                <w:sz w:val="22"/>
              </w:rPr>
              <w:t>pT</w:t>
            </w:r>
            <w:r>
              <w:rPr>
                <w:spacing w:val="-2"/>
                <w:position w:val="-2"/>
                <w:sz w:val="11"/>
              </w:rPr>
              <w:t>4a</w:t>
            </w:r>
            <w:r>
              <w:rPr>
                <w:spacing w:val="-2"/>
                <w:sz w:val="22"/>
              </w:rPr>
              <w:t>：中度进展，任何大小的肿瘤，侵犯甲状腺外颈部周围器官和软组织，如喉、气管、食管、喉反神经及皮下软组织</w:t>
            </w:r>
          </w:p>
          <w:p>
            <w:pPr>
              <w:pStyle w:val="TableParagraph"/>
              <w:spacing w:line="242" w:lineRule="auto" w:before="2"/>
              <w:ind w:left="26" w:right="2282"/>
              <w:rPr>
                <w:sz w:val="22"/>
              </w:rPr>
            </w:pPr>
            <w:r>
              <w:rPr>
                <w:spacing w:val="-2"/>
                <w:sz w:val="22"/>
              </w:rPr>
              <w:t>pT</w:t>
            </w:r>
            <w:r>
              <w:rPr>
                <w:spacing w:val="-2"/>
                <w:position w:val="-2"/>
                <w:sz w:val="11"/>
              </w:rPr>
              <w:t>4b</w:t>
            </w:r>
            <w:r>
              <w:rPr>
                <w:spacing w:val="-2"/>
                <w:sz w:val="22"/>
              </w:rPr>
              <w:t>：重度进展，任何大小的肿瘤，侵犯椎前筋膜，或包裹颈动脉、纵隔血管区域淋巴结：适用于所有甲状腺癌</w:t>
            </w:r>
          </w:p>
          <w:p>
            <w:pPr>
              <w:pStyle w:val="TableParagraph"/>
              <w:spacing w:line="242" w:lineRule="auto" w:before="2"/>
              <w:ind w:left="26" w:right="7178"/>
              <w:rPr>
                <w:sz w:val="22"/>
              </w:rPr>
            </w:pPr>
            <w:r>
              <w:rPr>
                <w:spacing w:val="-2"/>
                <w:sz w:val="22"/>
              </w:rPr>
              <w:t>pN</w:t>
            </w:r>
            <w:r>
              <w:rPr>
                <w:spacing w:val="-2"/>
                <w:position w:val="-2"/>
                <w:sz w:val="11"/>
              </w:rPr>
              <w:t>x</w:t>
            </w:r>
            <w:r>
              <w:rPr>
                <w:spacing w:val="-2"/>
                <w:sz w:val="22"/>
              </w:rPr>
              <w:t>：区域淋巴结无法评估 pN</w:t>
            </w:r>
            <w:r>
              <w:rPr>
                <w:spacing w:val="-2"/>
                <w:position w:val="-2"/>
                <w:sz w:val="11"/>
              </w:rPr>
              <w:t>0</w:t>
            </w:r>
            <w:r>
              <w:rPr>
                <w:spacing w:val="-2"/>
                <w:sz w:val="22"/>
              </w:rPr>
              <w:t>：无淋巴结转移证据 pN</w:t>
            </w:r>
            <w:r>
              <w:rPr>
                <w:spacing w:val="-2"/>
                <w:position w:val="-2"/>
                <w:sz w:val="11"/>
              </w:rPr>
              <w:t>1</w:t>
            </w:r>
            <w:r>
              <w:rPr>
                <w:spacing w:val="-2"/>
                <w:sz w:val="22"/>
              </w:rPr>
              <w:t>：区域淋巴结转移</w:t>
            </w:r>
          </w:p>
          <w:p>
            <w:pPr>
              <w:pStyle w:val="TableParagraph"/>
              <w:spacing w:line="242" w:lineRule="auto"/>
              <w:ind w:left="26" w:right="194"/>
              <w:rPr>
                <w:sz w:val="22"/>
              </w:rPr>
            </w:pPr>
            <w:r>
              <w:rPr>
                <w:spacing w:val="-2"/>
                <w:sz w:val="22"/>
              </w:rPr>
              <w:t>pN</w:t>
            </w:r>
            <w:r>
              <w:rPr>
                <w:spacing w:val="-2"/>
                <w:position w:val="-2"/>
                <w:sz w:val="11"/>
              </w:rPr>
              <w:t>1a</w:t>
            </w:r>
            <w:r>
              <w:rPr>
                <w:spacing w:val="-2"/>
                <w:sz w:val="22"/>
              </w:rPr>
              <w:t>：转移至Ⅵ、Ⅶ区（包括气管旁、气管前、喉前/Delphian或上纵隔）淋巴结，可以为单侧或双</w:t>
            </w:r>
            <w:r>
              <w:rPr>
                <w:spacing w:val="-6"/>
                <w:sz w:val="22"/>
              </w:rPr>
              <w:t>侧。</w:t>
            </w:r>
          </w:p>
          <w:p>
            <w:pPr>
              <w:pStyle w:val="TableParagraph"/>
              <w:spacing w:line="242" w:lineRule="auto" w:before="2"/>
              <w:ind w:left="26" w:right="302"/>
              <w:rPr>
                <w:sz w:val="22"/>
              </w:rPr>
            </w:pPr>
            <w:r>
              <w:rPr>
                <w:spacing w:val="-2"/>
                <w:sz w:val="22"/>
              </w:rPr>
              <w:t>pN</w:t>
            </w:r>
            <w:r>
              <w:rPr>
                <w:spacing w:val="-2"/>
                <w:position w:val="-2"/>
                <w:sz w:val="11"/>
              </w:rPr>
              <w:t>1b</w:t>
            </w:r>
            <w:r>
              <w:rPr>
                <w:spacing w:val="-2"/>
                <w:sz w:val="22"/>
              </w:rPr>
              <w:t>：单侧、双侧或对侧颈淋巴结转移（包括Ⅰ、Ⅱ、Ⅲ、Ⅳ或Ⅴ区）淋巴结或咽后淋巴结转移。远处转移：适用于所有甲状腺癌</w:t>
            </w:r>
          </w:p>
          <w:p>
            <w:pPr>
              <w:pStyle w:val="TableParagraph"/>
              <w:spacing w:before="2"/>
              <w:ind w:left="26"/>
              <w:rPr>
                <w:sz w:val="22"/>
              </w:rPr>
            </w:pPr>
            <w:r>
              <w:rPr>
                <w:spacing w:val="-2"/>
                <w:sz w:val="22"/>
              </w:rPr>
              <w:t>M</w:t>
            </w:r>
            <w:r>
              <w:rPr>
                <w:spacing w:val="-2"/>
                <w:position w:val="-2"/>
                <w:sz w:val="11"/>
              </w:rPr>
              <w:t>0</w:t>
            </w:r>
            <w:r>
              <w:rPr>
                <w:spacing w:val="-4"/>
                <w:sz w:val="22"/>
              </w:rPr>
              <w:t>：无远处转移</w:t>
            </w:r>
          </w:p>
          <w:p>
            <w:pPr>
              <w:pStyle w:val="TableParagraph"/>
              <w:spacing w:line="263" w:lineRule="exact" w:before="4"/>
              <w:ind w:left="26"/>
              <w:rPr>
                <w:sz w:val="22"/>
              </w:rPr>
            </w:pPr>
            <w:r>
              <w:rPr>
                <w:spacing w:val="-2"/>
                <w:sz w:val="22"/>
              </w:rPr>
              <w:t>M</w:t>
            </w:r>
            <w:r>
              <w:rPr>
                <w:spacing w:val="-2"/>
                <w:position w:val="-2"/>
                <w:sz w:val="11"/>
              </w:rPr>
              <w:t>1</w:t>
            </w:r>
            <w:r>
              <w:rPr>
                <w:spacing w:val="-4"/>
                <w:sz w:val="22"/>
              </w:rPr>
              <w:t>：有远处转移</w:t>
            </w:r>
          </w:p>
        </w:tc>
      </w:tr>
      <w:tr>
        <w:trPr>
          <w:trHeight w:val="300" w:hRule="atLeast"/>
        </w:trPr>
        <w:tc>
          <w:tcPr>
            <w:tcW w:w="131" w:type="dxa"/>
            <w:tcBorders>
              <w:top w:val="nil"/>
              <w:bottom w:val="nil"/>
              <w:right w:val="single" w:sz="8" w:space="0" w:color="000000"/>
            </w:tcBorders>
          </w:tcPr>
          <w:p>
            <w:pPr>
              <w:pStyle w:val="TableParagraph"/>
              <w:rPr>
                <w:rFonts w:ascii="Times New Roman"/>
                <w:sz w:val="20"/>
              </w:rPr>
            </w:pPr>
          </w:p>
        </w:tc>
        <w:tc>
          <w:tcPr>
            <w:tcW w:w="8533" w:type="dxa"/>
            <w:gridSpan w:val="4"/>
            <w:tcBorders>
              <w:top w:val="single" w:sz="8" w:space="0" w:color="000000"/>
              <w:left w:val="single" w:sz="8" w:space="0" w:color="000000"/>
              <w:right w:val="single" w:sz="8" w:space="0" w:color="000000"/>
            </w:tcBorders>
          </w:tcPr>
          <w:p>
            <w:pPr>
              <w:pStyle w:val="TableParagraph"/>
              <w:spacing w:line="271" w:lineRule="exact" w:before="9"/>
              <w:ind w:left="101"/>
              <w:rPr>
                <w:sz w:val="22"/>
              </w:rPr>
            </w:pPr>
            <w:r>
              <w:rPr>
                <w:spacing w:val="-2"/>
                <w:sz w:val="22"/>
              </w:rPr>
              <w:t>乳头状或滤泡状癌（分化型</w:t>
            </w:r>
            <w:r>
              <w:rPr>
                <w:spacing w:val="-10"/>
                <w:sz w:val="22"/>
              </w:rPr>
              <w:t>）</w:t>
            </w:r>
          </w:p>
        </w:tc>
        <w:tc>
          <w:tcPr>
            <w:tcW w:w="1030" w:type="dxa"/>
            <w:vMerge w:val="restart"/>
            <w:tcBorders>
              <w:top w:val="nil"/>
              <w:left w:val="single" w:sz="8" w:space="0" w:color="000000"/>
            </w:tcBorders>
          </w:tcPr>
          <w:p>
            <w:pPr>
              <w:pStyle w:val="TableParagraph"/>
              <w:rPr>
                <w:rFonts w:ascii="Times New Roman"/>
                <w:sz w:val="20"/>
              </w:rPr>
            </w:pPr>
          </w:p>
        </w:tc>
      </w:tr>
      <w:tr>
        <w:trPr>
          <w:trHeight w:val="285" w:hRule="atLeast"/>
        </w:trPr>
        <w:tc>
          <w:tcPr>
            <w:tcW w:w="131" w:type="dxa"/>
            <w:tcBorders>
              <w:top w:val="nil"/>
              <w:bottom w:val="nil"/>
              <w:right w:val="single" w:sz="8" w:space="0" w:color="000000"/>
            </w:tcBorders>
          </w:tcPr>
          <w:p>
            <w:pPr>
              <w:pStyle w:val="TableParagraph"/>
              <w:rPr>
                <w:rFonts w:ascii="Times New Roman"/>
                <w:sz w:val="20"/>
              </w:rPr>
            </w:pPr>
          </w:p>
        </w:tc>
        <w:tc>
          <w:tcPr>
            <w:tcW w:w="8533" w:type="dxa"/>
            <w:gridSpan w:val="4"/>
            <w:tcBorders>
              <w:left w:val="single" w:sz="8" w:space="0" w:color="000000"/>
              <w:right w:val="single" w:sz="8" w:space="0" w:color="000000"/>
            </w:tcBorders>
          </w:tcPr>
          <w:p>
            <w:pPr>
              <w:pStyle w:val="TableParagraph"/>
              <w:spacing w:line="264" w:lineRule="exact" w:before="1"/>
              <w:ind w:left="101"/>
              <w:rPr>
                <w:sz w:val="22"/>
              </w:rPr>
            </w:pPr>
            <w:r>
              <w:rPr>
                <w:spacing w:val="-2"/>
                <w:sz w:val="22"/>
              </w:rPr>
              <w:t>年龄＜55</w:t>
            </w:r>
            <w:r>
              <w:rPr>
                <w:spacing w:val="-32"/>
                <w:sz w:val="22"/>
              </w:rPr>
              <w:t> 岁</w:t>
            </w:r>
          </w:p>
        </w:tc>
        <w:tc>
          <w:tcPr>
            <w:tcW w:w="1030" w:type="dxa"/>
            <w:vMerge/>
            <w:tcBorders>
              <w:top w:val="nil"/>
              <w:left w:val="single" w:sz="8" w:space="0" w:color="000000"/>
            </w:tcBorders>
          </w:tcPr>
          <w:p>
            <w:pPr>
              <w:rPr>
                <w:sz w:val="2"/>
                <w:szCs w:val="2"/>
              </w:rPr>
            </w:pPr>
          </w:p>
        </w:tc>
      </w:tr>
      <w:tr>
        <w:trPr>
          <w:trHeight w:val="285" w:hRule="atLeast"/>
        </w:trPr>
        <w:tc>
          <w:tcPr>
            <w:tcW w:w="131" w:type="dxa"/>
            <w:vMerge w:val="restart"/>
            <w:tcBorders>
              <w:top w:val="nil"/>
              <w:bottom w:val="nil"/>
              <w:right w:val="single" w:sz="8" w:space="0" w:color="000000"/>
            </w:tcBorders>
          </w:tcPr>
          <w:p>
            <w:pPr>
              <w:pStyle w:val="TableParagraph"/>
              <w:rPr>
                <w:rFonts w:ascii="Times New Roman"/>
                <w:sz w:val="20"/>
              </w:rPr>
            </w:pPr>
          </w:p>
        </w:tc>
        <w:tc>
          <w:tcPr>
            <w:tcW w:w="3417" w:type="dxa"/>
            <w:vMerge w:val="restart"/>
            <w:tcBorders>
              <w:left w:val="single" w:sz="8" w:space="0" w:color="000000"/>
            </w:tcBorders>
          </w:tcPr>
          <w:p>
            <w:pPr>
              <w:pStyle w:val="TableParagraph"/>
              <w:spacing w:before="150"/>
              <w:ind w:left="322"/>
              <w:rPr>
                <w:sz w:val="22"/>
              </w:rPr>
            </w:pPr>
            <w:r>
              <w:rPr>
                <w:spacing w:val="-6"/>
                <w:sz w:val="22"/>
              </w:rPr>
              <w:t>Ⅰ期</w:t>
            </w:r>
          </w:p>
        </w:tc>
        <w:tc>
          <w:tcPr>
            <w:tcW w:w="1843" w:type="dxa"/>
          </w:tcPr>
          <w:p>
            <w:pPr>
              <w:pStyle w:val="TableParagraph"/>
              <w:spacing w:line="264" w:lineRule="exact" w:before="1"/>
              <w:ind w:left="107"/>
              <w:rPr>
                <w:sz w:val="22"/>
              </w:rPr>
            </w:pPr>
            <w:r>
              <w:rPr>
                <w:w w:val="100"/>
                <w:sz w:val="22"/>
              </w:rPr>
              <w:t>T</w:t>
            </w:r>
          </w:p>
        </w:tc>
        <w:tc>
          <w:tcPr>
            <w:tcW w:w="1627" w:type="dxa"/>
          </w:tcPr>
          <w:p>
            <w:pPr>
              <w:pStyle w:val="TableParagraph"/>
              <w:spacing w:line="264" w:lineRule="exact" w:before="1"/>
              <w:ind w:left="107"/>
              <w:rPr>
                <w:sz w:val="22"/>
              </w:rPr>
            </w:pPr>
            <w:r>
              <w:rPr>
                <w:w w:val="100"/>
                <w:sz w:val="22"/>
              </w:rPr>
              <w:t>N</w:t>
            </w:r>
          </w:p>
        </w:tc>
        <w:tc>
          <w:tcPr>
            <w:tcW w:w="1646" w:type="dxa"/>
            <w:tcBorders>
              <w:right w:val="single" w:sz="8" w:space="0" w:color="000000"/>
            </w:tcBorders>
          </w:tcPr>
          <w:p>
            <w:pPr>
              <w:pStyle w:val="TableParagraph"/>
              <w:spacing w:line="264" w:lineRule="exact" w:before="1"/>
              <w:ind w:left="102"/>
              <w:rPr>
                <w:sz w:val="22"/>
              </w:rPr>
            </w:pPr>
            <w:r>
              <w:rPr>
                <w:w w:val="100"/>
                <w:sz w:val="22"/>
              </w:rPr>
              <w:t>M</w:t>
            </w:r>
          </w:p>
        </w:tc>
        <w:tc>
          <w:tcPr>
            <w:tcW w:w="1030" w:type="dxa"/>
            <w:vMerge/>
            <w:tcBorders>
              <w:top w:val="nil"/>
              <w:left w:val="single" w:sz="8" w:space="0" w:color="000000"/>
            </w:tcBorders>
          </w:tcPr>
          <w:p>
            <w:pPr>
              <w:rPr>
                <w:sz w:val="2"/>
                <w:szCs w:val="2"/>
              </w:rPr>
            </w:pPr>
          </w:p>
        </w:tc>
      </w:tr>
      <w:tr>
        <w:trPr>
          <w:trHeight w:val="286" w:hRule="atLeast"/>
        </w:trPr>
        <w:tc>
          <w:tcPr>
            <w:tcW w:w="131" w:type="dxa"/>
            <w:vMerge/>
            <w:tcBorders>
              <w:top w:val="nil"/>
              <w:bottom w:val="nil"/>
              <w:right w:val="single" w:sz="8" w:space="0" w:color="000000"/>
            </w:tcBorders>
          </w:tcPr>
          <w:p>
            <w:pPr>
              <w:rPr>
                <w:sz w:val="2"/>
                <w:szCs w:val="2"/>
              </w:rPr>
            </w:pPr>
          </w:p>
        </w:tc>
        <w:tc>
          <w:tcPr>
            <w:tcW w:w="3417" w:type="dxa"/>
            <w:vMerge/>
            <w:tcBorders>
              <w:top w:val="nil"/>
              <w:left w:val="single" w:sz="8" w:space="0" w:color="000000"/>
            </w:tcBorders>
          </w:tcPr>
          <w:p>
            <w:pPr>
              <w:rPr>
                <w:sz w:val="2"/>
                <w:szCs w:val="2"/>
              </w:rPr>
            </w:pPr>
          </w:p>
        </w:tc>
        <w:tc>
          <w:tcPr>
            <w:tcW w:w="1843" w:type="dxa"/>
          </w:tcPr>
          <w:p>
            <w:pPr>
              <w:pStyle w:val="TableParagraph"/>
              <w:spacing w:line="264" w:lineRule="exact" w:before="1"/>
              <w:ind w:left="107"/>
              <w:rPr>
                <w:sz w:val="22"/>
              </w:rPr>
            </w:pPr>
            <w:r>
              <w:rPr>
                <w:spacing w:val="-6"/>
                <w:sz w:val="22"/>
              </w:rPr>
              <w:t>任何</w:t>
            </w:r>
          </w:p>
        </w:tc>
        <w:tc>
          <w:tcPr>
            <w:tcW w:w="1627" w:type="dxa"/>
          </w:tcPr>
          <w:p>
            <w:pPr>
              <w:pStyle w:val="TableParagraph"/>
              <w:spacing w:line="264" w:lineRule="exact" w:before="1"/>
              <w:ind w:left="107"/>
              <w:rPr>
                <w:sz w:val="22"/>
              </w:rPr>
            </w:pPr>
            <w:r>
              <w:rPr>
                <w:spacing w:val="-6"/>
                <w:sz w:val="22"/>
              </w:rPr>
              <w:t>任何</w:t>
            </w:r>
          </w:p>
        </w:tc>
        <w:tc>
          <w:tcPr>
            <w:tcW w:w="1646" w:type="dxa"/>
            <w:tcBorders>
              <w:right w:val="single" w:sz="8" w:space="0" w:color="000000"/>
            </w:tcBorders>
          </w:tcPr>
          <w:p>
            <w:pPr>
              <w:pStyle w:val="TableParagraph"/>
              <w:spacing w:line="264" w:lineRule="exact" w:before="1"/>
              <w:ind w:left="102"/>
              <w:rPr>
                <w:sz w:val="22"/>
              </w:rPr>
            </w:pPr>
            <w:r>
              <w:rPr>
                <w:w w:val="100"/>
                <w:sz w:val="22"/>
              </w:rPr>
              <w:t>0</w:t>
            </w:r>
          </w:p>
        </w:tc>
        <w:tc>
          <w:tcPr>
            <w:tcW w:w="1030" w:type="dxa"/>
            <w:vMerge/>
            <w:tcBorders>
              <w:top w:val="nil"/>
              <w:left w:val="single" w:sz="8" w:space="0" w:color="000000"/>
            </w:tcBorders>
          </w:tcPr>
          <w:p>
            <w:pPr>
              <w:rPr>
                <w:sz w:val="2"/>
                <w:szCs w:val="2"/>
              </w:rPr>
            </w:pPr>
          </w:p>
        </w:tc>
      </w:tr>
      <w:tr>
        <w:trPr>
          <w:trHeight w:val="282" w:hRule="atLeast"/>
        </w:trPr>
        <w:tc>
          <w:tcPr>
            <w:tcW w:w="131" w:type="dxa"/>
            <w:tcBorders>
              <w:top w:val="nil"/>
              <w:right w:val="single" w:sz="8" w:space="0" w:color="000000"/>
            </w:tcBorders>
          </w:tcPr>
          <w:p>
            <w:pPr>
              <w:pStyle w:val="TableParagraph"/>
              <w:rPr>
                <w:rFonts w:ascii="Times New Roman"/>
                <w:sz w:val="20"/>
              </w:rPr>
            </w:pPr>
          </w:p>
        </w:tc>
        <w:tc>
          <w:tcPr>
            <w:tcW w:w="3417" w:type="dxa"/>
            <w:tcBorders>
              <w:left w:val="single" w:sz="8" w:space="0" w:color="000000"/>
              <w:bottom w:val="single" w:sz="8" w:space="0" w:color="000000"/>
            </w:tcBorders>
          </w:tcPr>
          <w:p>
            <w:pPr>
              <w:pStyle w:val="TableParagraph"/>
              <w:spacing w:line="262" w:lineRule="exact" w:before="1"/>
              <w:ind w:left="101"/>
              <w:rPr>
                <w:sz w:val="22"/>
              </w:rPr>
            </w:pPr>
            <w:r>
              <w:rPr>
                <w:spacing w:val="-6"/>
                <w:sz w:val="22"/>
              </w:rPr>
              <w:t>Ⅱ期</w:t>
            </w:r>
          </w:p>
        </w:tc>
        <w:tc>
          <w:tcPr>
            <w:tcW w:w="1843" w:type="dxa"/>
            <w:tcBorders>
              <w:bottom w:val="single" w:sz="8" w:space="0" w:color="000000"/>
            </w:tcBorders>
          </w:tcPr>
          <w:p>
            <w:pPr>
              <w:pStyle w:val="TableParagraph"/>
              <w:spacing w:line="262" w:lineRule="exact" w:before="1"/>
              <w:ind w:left="107"/>
              <w:rPr>
                <w:sz w:val="22"/>
              </w:rPr>
            </w:pPr>
            <w:r>
              <w:rPr>
                <w:spacing w:val="-6"/>
                <w:sz w:val="22"/>
              </w:rPr>
              <w:t>任何</w:t>
            </w:r>
          </w:p>
        </w:tc>
        <w:tc>
          <w:tcPr>
            <w:tcW w:w="1627" w:type="dxa"/>
            <w:tcBorders>
              <w:bottom w:val="single" w:sz="8" w:space="0" w:color="000000"/>
            </w:tcBorders>
          </w:tcPr>
          <w:p>
            <w:pPr>
              <w:pStyle w:val="TableParagraph"/>
              <w:spacing w:line="262" w:lineRule="exact" w:before="1"/>
              <w:ind w:left="107"/>
              <w:rPr>
                <w:sz w:val="22"/>
              </w:rPr>
            </w:pPr>
            <w:r>
              <w:rPr>
                <w:spacing w:val="-6"/>
                <w:sz w:val="22"/>
              </w:rPr>
              <w:t>任何</w:t>
            </w:r>
          </w:p>
        </w:tc>
        <w:tc>
          <w:tcPr>
            <w:tcW w:w="1646" w:type="dxa"/>
            <w:tcBorders>
              <w:bottom w:val="single" w:sz="8" w:space="0" w:color="000000"/>
              <w:right w:val="single" w:sz="8" w:space="0" w:color="000000"/>
            </w:tcBorders>
          </w:tcPr>
          <w:p>
            <w:pPr>
              <w:pStyle w:val="TableParagraph"/>
              <w:spacing w:line="262" w:lineRule="exact" w:before="1"/>
              <w:ind w:left="102"/>
              <w:rPr>
                <w:sz w:val="22"/>
              </w:rPr>
            </w:pPr>
            <w:r>
              <w:rPr>
                <w:w w:val="100"/>
                <w:sz w:val="22"/>
              </w:rPr>
              <w:t>1</w:t>
            </w:r>
          </w:p>
        </w:tc>
        <w:tc>
          <w:tcPr>
            <w:tcW w:w="1030" w:type="dxa"/>
            <w:vMerge/>
            <w:tcBorders>
              <w:top w:val="nil"/>
              <w:left w:val="single" w:sz="8" w:space="0" w:color="000000"/>
            </w:tcBorders>
          </w:tcPr>
          <w:p>
            <w:pPr>
              <w:rPr>
                <w:sz w:val="2"/>
                <w:szCs w:val="2"/>
              </w:rPr>
            </w:pPr>
          </w:p>
        </w:tc>
      </w:tr>
    </w:tbl>
    <w:p>
      <w:pPr>
        <w:spacing w:after="0"/>
        <w:rPr>
          <w:sz w:val="2"/>
          <w:szCs w:val="2"/>
        </w:rPr>
        <w:sectPr>
          <w:pgSz w:w="11910" w:h="16840"/>
          <w:pgMar w:header="484" w:footer="706" w:top="1240" w:bottom="900" w:left="980" w:right="980"/>
        </w:sectPr>
      </w:pPr>
    </w:p>
    <w:p>
      <w:pPr>
        <w:pStyle w:val="BodyText"/>
        <w:spacing w:before="6"/>
        <w:rPr>
          <w:b/>
          <w:sz w:val="13"/>
        </w:rPr>
      </w:pPr>
    </w:p>
    <w:tbl>
      <w:tblPr>
        <w:tblW w:w="0" w:type="auto"/>
        <w:jc w:val="left"/>
        <w:tblInd w:w="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1"/>
        <w:gridCol w:w="3417"/>
        <w:gridCol w:w="1843"/>
        <w:gridCol w:w="1627"/>
        <w:gridCol w:w="1646"/>
        <w:gridCol w:w="1030"/>
      </w:tblGrid>
      <w:tr>
        <w:trPr>
          <w:trHeight w:val="285" w:hRule="atLeast"/>
        </w:trPr>
        <w:tc>
          <w:tcPr>
            <w:tcW w:w="131" w:type="dxa"/>
            <w:tcBorders>
              <w:bottom w:val="nil"/>
              <w:right w:val="single" w:sz="8" w:space="0" w:color="000000"/>
            </w:tcBorders>
          </w:tcPr>
          <w:p>
            <w:pPr>
              <w:pStyle w:val="TableParagraph"/>
              <w:rPr>
                <w:rFonts w:ascii="Times New Roman"/>
                <w:sz w:val="20"/>
              </w:rPr>
            </w:pPr>
          </w:p>
        </w:tc>
        <w:tc>
          <w:tcPr>
            <w:tcW w:w="8533" w:type="dxa"/>
            <w:gridSpan w:val="4"/>
            <w:tcBorders>
              <w:top w:val="single" w:sz="8" w:space="0" w:color="000000"/>
              <w:left w:val="single" w:sz="8" w:space="0" w:color="000000"/>
              <w:right w:val="single" w:sz="8" w:space="0" w:color="000000"/>
            </w:tcBorders>
          </w:tcPr>
          <w:p>
            <w:pPr>
              <w:pStyle w:val="TableParagraph"/>
              <w:spacing w:line="263" w:lineRule="exact" w:before="1"/>
              <w:ind w:left="101"/>
              <w:rPr>
                <w:sz w:val="22"/>
              </w:rPr>
            </w:pPr>
            <w:r>
              <w:rPr>
                <w:spacing w:val="-2"/>
                <w:sz w:val="22"/>
              </w:rPr>
              <w:t>年龄≥55</w:t>
            </w:r>
            <w:r>
              <w:rPr>
                <w:spacing w:val="-31"/>
                <w:sz w:val="22"/>
              </w:rPr>
              <w:t> 岁</w:t>
            </w:r>
          </w:p>
        </w:tc>
        <w:tc>
          <w:tcPr>
            <w:tcW w:w="1030" w:type="dxa"/>
            <w:vMerge w:val="restart"/>
            <w:tcBorders>
              <w:left w:val="single" w:sz="8" w:space="0" w:color="000000"/>
              <w:bottom w:val="nil"/>
            </w:tcBorders>
          </w:tcPr>
          <w:p>
            <w:pPr>
              <w:pStyle w:val="TableParagraph"/>
              <w:rPr>
                <w:rFonts w:ascii="Times New Roman"/>
                <w:sz w:val="20"/>
              </w:rPr>
            </w:pPr>
          </w:p>
        </w:tc>
      </w:tr>
      <w:tr>
        <w:trPr>
          <w:trHeight w:val="285" w:hRule="atLeast"/>
        </w:trPr>
        <w:tc>
          <w:tcPr>
            <w:tcW w:w="131" w:type="dxa"/>
            <w:vMerge w:val="restart"/>
            <w:tcBorders>
              <w:top w:val="nil"/>
              <w:bottom w:val="nil"/>
              <w:right w:val="single" w:sz="8" w:space="0" w:color="000000"/>
            </w:tcBorders>
          </w:tcPr>
          <w:p>
            <w:pPr>
              <w:pStyle w:val="TableParagraph"/>
              <w:rPr>
                <w:rFonts w:ascii="Times New Roman"/>
                <w:sz w:val="20"/>
              </w:rPr>
            </w:pPr>
          </w:p>
        </w:tc>
        <w:tc>
          <w:tcPr>
            <w:tcW w:w="3417" w:type="dxa"/>
            <w:vMerge w:val="restart"/>
            <w:tcBorders>
              <w:left w:val="single" w:sz="8" w:space="0" w:color="000000"/>
            </w:tcBorders>
          </w:tcPr>
          <w:p>
            <w:pPr>
              <w:pStyle w:val="TableParagraph"/>
              <w:spacing w:before="148"/>
              <w:ind w:left="101"/>
              <w:rPr>
                <w:sz w:val="22"/>
              </w:rPr>
            </w:pPr>
            <w:r>
              <w:rPr>
                <w:spacing w:val="-6"/>
                <w:sz w:val="22"/>
              </w:rPr>
              <w:t>Ⅰ期</w:t>
            </w:r>
          </w:p>
        </w:tc>
        <w:tc>
          <w:tcPr>
            <w:tcW w:w="1843" w:type="dxa"/>
          </w:tcPr>
          <w:p>
            <w:pPr>
              <w:pStyle w:val="TableParagraph"/>
              <w:spacing w:line="264" w:lineRule="exact" w:before="2"/>
              <w:ind w:left="107"/>
              <w:rPr>
                <w:sz w:val="22"/>
              </w:rPr>
            </w:pPr>
            <w:r>
              <w:rPr>
                <w:w w:val="100"/>
                <w:sz w:val="22"/>
              </w:rPr>
              <w:t>1</w:t>
            </w:r>
          </w:p>
        </w:tc>
        <w:tc>
          <w:tcPr>
            <w:tcW w:w="1627" w:type="dxa"/>
          </w:tcPr>
          <w:p>
            <w:pPr>
              <w:pStyle w:val="TableParagraph"/>
              <w:spacing w:line="264" w:lineRule="exact" w:before="2"/>
              <w:ind w:left="107"/>
              <w:rPr>
                <w:sz w:val="22"/>
              </w:rPr>
            </w:pPr>
            <w:r>
              <w:rPr>
                <w:spacing w:val="-5"/>
                <w:sz w:val="22"/>
              </w:rPr>
              <w:t>0/x</w:t>
            </w:r>
          </w:p>
        </w:tc>
        <w:tc>
          <w:tcPr>
            <w:tcW w:w="1646" w:type="dxa"/>
            <w:tcBorders>
              <w:right w:val="single" w:sz="8" w:space="0" w:color="000000"/>
            </w:tcBorders>
          </w:tcPr>
          <w:p>
            <w:pPr>
              <w:pStyle w:val="TableParagraph"/>
              <w:spacing w:line="264" w:lineRule="exact" w:before="2"/>
              <w:ind w:left="102"/>
              <w:rPr>
                <w:sz w:val="22"/>
              </w:rPr>
            </w:pPr>
            <w:r>
              <w:rPr>
                <w:w w:val="100"/>
                <w:sz w:val="22"/>
              </w:rPr>
              <w:t>0</w:t>
            </w:r>
          </w:p>
        </w:tc>
        <w:tc>
          <w:tcPr>
            <w:tcW w:w="1030" w:type="dxa"/>
            <w:vMerge/>
            <w:tcBorders>
              <w:top w:val="nil"/>
              <w:left w:val="single" w:sz="8" w:space="0" w:color="000000"/>
              <w:bottom w:val="nil"/>
            </w:tcBorders>
          </w:tcPr>
          <w:p>
            <w:pPr>
              <w:rPr>
                <w:sz w:val="2"/>
                <w:szCs w:val="2"/>
              </w:rPr>
            </w:pPr>
          </w:p>
        </w:tc>
      </w:tr>
      <w:tr>
        <w:trPr>
          <w:trHeight w:val="285" w:hRule="atLeast"/>
        </w:trPr>
        <w:tc>
          <w:tcPr>
            <w:tcW w:w="131" w:type="dxa"/>
            <w:vMerge/>
            <w:tcBorders>
              <w:top w:val="nil"/>
              <w:bottom w:val="nil"/>
              <w:right w:val="single" w:sz="8" w:space="0" w:color="000000"/>
            </w:tcBorders>
          </w:tcPr>
          <w:p>
            <w:pPr>
              <w:rPr>
                <w:sz w:val="2"/>
                <w:szCs w:val="2"/>
              </w:rPr>
            </w:pPr>
          </w:p>
        </w:tc>
        <w:tc>
          <w:tcPr>
            <w:tcW w:w="3417" w:type="dxa"/>
            <w:vMerge/>
            <w:tcBorders>
              <w:top w:val="nil"/>
              <w:left w:val="single" w:sz="8" w:space="0" w:color="000000"/>
            </w:tcBorders>
          </w:tcPr>
          <w:p>
            <w:pPr>
              <w:rPr>
                <w:sz w:val="2"/>
                <w:szCs w:val="2"/>
              </w:rPr>
            </w:pPr>
          </w:p>
        </w:tc>
        <w:tc>
          <w:tcPr>
            <w:tcW w:w="1843" w:type="dxa"/>
          </w:tcPr>
          <w:p>
            <w:pPr>
              <w:pStyle w:val="TableParagraph"/>
              <w:spacing w:line="264" w:lineRule="exact" w:before="1"/>
              <w:ind w:left="107"/>
              <w:rPr>
                <w:sz w:val="22"/>
              </w:rPr>
            </w:pPr>
            <w:r>
              <w:rPr>
                <w:w w:val="100"/>
                <w:sz w:val="22"/>
              </w:rPr>
              <w:t>2</w:t>
            </w:r>
          </w:p>
        </w:tc>
        <w:tc>
          <w:tcPr>
            <w:tcW w:w="1627" w:type="dxa"/>
          </w:tcPr>
          <w:p>
            <w:pPr>
              <w:pStyle w:val="TableParagraph"/>
              <w:spacing w:line="264" w:lineRule="exact" w:before="1"/>
              <w:ind w:left="107"/>
              <w:rPr>
                <w:sz w:val="22"/>
              </w:rPr>
            </w:pPr>
            <w:r>
              <w:rPr>
                <w:spacing w:val="-5"/>
                <w:sz w:val="22"/>
              </w:rPr>
              <w:t>0/x</w:t>
            </w:r>
          </w:p>
        </w:tc>
        <w:tc>
          <w:tcPr>
            <w:tcW w:w="1646" w:type="dxa"/>
            <w:tcBorders>
              <w:right w:val="single" w:sz="8" w:space="0" w:color="000000"/>
            </w:tcBorders>
          </w:tcPr>
          <w:p>
            <w:pPr>
              <w:pStyle w:val="TableParagraph"/>
              <w:spacing w:line="264" w:lineRule="exact" w:before="1"/>
              <w:ind w:left="102"/>
              <w:rPr>
                <w:sz w:val="22"/>
              </w:rPr>
            </w:pPr>
            <w:r>
              <w:rPr>
                <w:w w:val="100"/>
                <w:sz w:val="22"/>
              </w:rPr>
              <w:t>0</w:t>
            </w:r>
          </w:p>
        </w:tc>
        <w:tc>
          <w:tcPr>
            <w:tcW w:w="1030" w:type="dxa"/>
            <w:vMerge/>
            <w:tcBorders>
              <w:top w:val="nil"/>
              <w:left w:val="single" w:sz="8" w:space="0" w:color="000000"/>
              <w:bottom w:val="nil"/>
            </w:tcBorders>
          </w:tcPr>
          <w:p>
            <w:pPr>
              <w:rPr>
                <w:sz w:val="2"/>
                <w:szCs w:val="2"/>
              </w:rPr>
            </w:pPr>
          </w:p>
        </w:tc>
      </w:tr>
      <w:tr>
        <w:trPr>
          <w:trHeight w:val="285" w:hRule="atLeast"/>
        </w:trPr>
        <w:tc>
          <w:tcPr>
            <w:tcW w:w="131" w:type="dxa"/>
            <w:vMerge w:val="restart"/>
            <w:tcBorders>
              <w:top w:val="nil"/>
              <w:bottom w:val="nil"/>
              <w:right w:val="single" w:sz="8" w:space="0" w:color="000000"/>
            </w:tcBorders>
          </w:tcPr>
          <w:p>
            <w:pPr>
              <w:pStyle w:val="TableParagraph"/>
              <w:rPr>
                <w:rFonts w:ascii="Times New Roman"/>
                <w:sz w:val="20"/>
              </w:rPr>
            </w:pPr>
          </w:p>
        </w:tc>
        <w:tc>
          <w:tcPr>
            <w:tcW w:w="3417" w:type="dxa"/>
            <w:vMerge w:val="restart"/>
            <w:tcBorders>
              <w:left w:val="single" w:sz="8" w:space="0" w:color="000000"/>
            </w:tcBorders>
          </w:tcPr>
          <w:p>
            <w:pPr>
              <w:pStyle w:val="TableParagraph"/>
              <w:spacing w:before="147"/>
              <w:ind w:left="101"/>
              <w:rPr>
                <w:sz w:val="22"/>
              </w:rPr>
            </w:pPr>
            <w:r>
              <w:rPr>
                <w:spacing w:val="-6"/>
                <w:sz w:val="22"/>
              </w:rPr>
              <w:t>Ⅱ期</w:t>
            </w:r>
          </w:p>
        </w:tc>
        <w:tc>
          <w:tcPr>
            <w:tcW w:w="1843" w:type="dxa"/>
          </w:tcPr>
          <w:p>
            <w:pPr>
              <w:pStyle w:val="TableParagraph"/>
              <w:spacing w:line="264" w:lineRule="exact" w:before="1"/>
              <w:ind w:left="107"/>
              <w:rPr>
                <w:sz w:val="22"/>
              </w:rPr>
            </w:pPr>
            <w:r>
              <w:rPr>
                <w:spacing w:val="-5"/>
                <w:sz w:val="22"/>
              </w:rPr>
              <w:t>1～2</w:t>
            </w:r>
          </w:p>
        </w:tc>
        <w:tc>
          <w:tcPr>
            <w:tcW w:w="1627" w:type="dxa"/>
          </w:tcPr>
          <w:p>
            <w:pPr>
              <w:pStyle w:val="TableParagraph"/>
              <w:spacing w:line="264" w:lineRule="exact" w:before="1"/>
              <w:ind w:left="107"/>
              <w:rPr>
                <w:sz w:val="22"/>
              </w:rPr>
            </w:pPr>
            <w:r>
              <w:rPr>
                <w:w w:val="100"/>
                <w:sz w:val="22"/>
              </w:rPr>
              <w:t>1</w:t>
            </w:r>
          </w:p>
        </w:tc>
        <w:tc>
          <w:tcPr>
            <w:tcW w:w="1646" w:type="dxa"/>
            <w:tcBorders>
              <w:right w:val="single" w:sz="8" w:space="0" w:color="000000"/>
            </w:tcBorders>
          </w:tcPr>
          <w:p>
            <w:pPr>
              <w:pStyle w:val="TableParagraph"/>
              <w:spacing w:line="264" w:lineRule="exact" w:before="1"/>
              <w:ind w:left="102"/>
              <w:rPr>
                <w:sz w:val="22"/>
              </w:rPr>
            </w:pPr>
            <w:r>
              <w:rPr>
                <w:w w:val="100"/>
                <w:sz w:val="22"/>
              </w:rPr>
              <w:t>0</w:t>
            </w:r>
          </w:p>
        </w:tc>
        <w:tc>
          <w:tcPr>
            <w:tcW w:w="1030" w:type="dxa"/>
            <w:vMerge/>
            <w:tcBorders>
              <w:top w:val="nil"/>
              <w:left w:val="single" w:sz="8" w:space="0" w:color="000000"/>
              <w:bottom w:val="nil"/>
            </w:tcBorders>
          </w:tcPr>
          <w:p>
            <w:pPr>
              <w:rPr>
                <w:sz w:val="2"/>
                <w:szCs w:val="2"/>
              </w:rPr>
            </w:pPr>
          </w:p>
        </w:tc>
      </w:tr>
      <w:tr>
        <w:trPr>
          <w:trHeight w:val="286" w:hRule="atLeast"/>
        </w:trPr>
        <w:tc>
          <w:tcPr>
            <w:tcW w:w="131" w:type="dxa"/>
            <w:vMerge/>
            <w:tcBorders>
              <w:top w:val="nil"/>
              <w:bottom w:val="nil"/>
              <w:right w:val="single" w:sz="8" w:space="0" w:color="000000"/>
            </w:tcBorders>
          </w:tcPr>
          <w:p>
            <w:pPr>
              <w:rPr>
                <w:sz w:val="2"/>
                <w:szCs w:val="2"/>
              </w:rPr>
            </w:pPr>
          </w:p>
        </w:tc>
        <w:tc>
          <w:tcPr>
            <w:tcW w:w="3417" w:type="dxa"/>
            <w:vMerge/>
            <w:tcBorders>
              <w:top w:val="nil"/>
              <w:left w:val="single" w:sz="8" w:space="0" w:color="000000"/>
            </w:tcBorders>
          </w:tcPr>
          <w:p>
            <w:pPr>
              <w:rPr>
                <w:sz w:val="2"/>
                <w:szCs w:val="2"/>
              </w:rPr>
            </w:pPr>
          </w:p>
        </w:tc>
        <w:tc>
          <w:tcPr>
            <w:tcW w:w="1843" w:type="dxa"/>
          </w:tcPr>
          <w:p>
            <w:pPr>
              <w:pStyle w:val="TableParagraph"/>
              <w:spacing w:line="265" w:lineRule="exact" w:before="1"/>
              <w:ind w:left="107"/>
              <w:rPr>
                <w:sz w:val="22"/>
              </w:rPr>
            </w:pPr>
            <w:r>
              <w:rPr>
                <w:spacing w:val="-2"/>
                <w:sz w:val="22"/>
              </w:rPr>
              <w:t>3a～3b</w:t>
            </w:r>
          </w:p>
        </w:tc>
        <w:tc>
          <w:tcPr>
            <w:tcW w:w="1627" w:type="dxa"/>
          </w:tcPr>
          <w:p>
            <w:pPr>
              <w:pStyle w:val="TableParagraph"/>
              <w:spacing w:line="265" w:lineRule="exact" w:before="1"/>
              <w:ind w:left="107"/>
              <w:rPr>
                <w:sz w:val="22"/>
              </w:rPr>
            </w:pPr>
            <w:r>
              <w:rPr>
                <w:spacing w:val="-6"/>
                <w:sz w:val="22"/>
              </w:rPr>
              <w:t>任何</w:t>
            </w:r>
          </w:p>
        </w:tc>
        <w:tc>
          <w:tcPr>
            <w:tcW w:w="1646" w:type="dxa"/>
            <w:tcBorders>
              <w:right w:val="single" w:sz="8" w:space="0" w:color="000000"/>
            </w:tcBorders>
          </w:tcPr>
          <w:p>
            <w:pPr>
              <w:pStyle w:val="TableParagraph"/>
              <w:spacing w:line="265" w:lineRule="exact" w:before="1"/>
              <w:ind w:left="102"/>
              <w:rPr>
                <w:sz w:val="22"/>
              </w:rPr>
            </w:pPr>
            <w:r>
              <w:rPr>
                <w:w w:val="100"/>
                <w:sz w:val="22"/>
              </w:rPr>
              <w:t>0</w:t>
            </w:r>
          </w:p>
        </w:tc>
        <w:tc>
          <w:tcPr>
            <w:tcW w:w="1030" w:type="dxa"/>
            <w:vMerge/>
            <w:tcBorders>
              <w:top w:val="nil"/>
              <w:left w:val="single" w:sz="8" w:space="0" w:color="000000"/>
              <w:bottom w:val="nil"/>
            </w:tcBorders>
          </w:tcPr>
          <w:p>
            <w:pPr>
              <w:rPr>
                <w:sz w:val="2"/>
                <w:szCs w:val="2"/>
              </w:rPr>
            </w:pPr>
          </w:p>
        </w:tc>
      </w:tr>
      <w:tr>
        <w:trPr>
          <w:trHeight w:val="285" w:hRule="atLeast"/>
        </w:trPr>
        <w:tc>
          <w:tcPr>
            <w:tcW w:w="131" w:type="dxa"/>
            <w:tcBorders>
              <w:top w:val="nil"/>
              <w:bottom w:val="nil"/>
              <w:right w:val="single" w:sz="8" w:space="0" w:color="000000"/>
            </w:tcBorders>
          </w:tcPr>
          <w:p>
            <w:pPr>
              <w:pStyle w:val="TableParagraph"/>
              <w:rPr>
                <w:rFonts w:ascii="Times New Roman"/>
                <w:sz w:val="20"/>
              </w:rPr>
            </w:pPr>
          </w:p>
        </w:tc>
        <w:tc>
          <w:tcPr>
            <w:tcW w:w="3417" w:type="dxa"/>
            <w:tcBorders>
              <w:left w:val="single" w:sz="8" w:space="0" w:color="000000"/>
            </w:tcBorders>
          </w:tcPr>
          <w:p>
            <w:pPr>
              <w:pStyle w:val="TableParagraph"/>
              <w:spacing w:line="264" w:lineRule="exact"/>
              <w:ind w:left="101"/>
              <w:rPr>
                <w:sz w:val="22"/>
              </w:rPr>
            </w:pPr>
            <w:r>
              <w:rPr>
                <w:spacing w:val="-6"/>
                <w:sz w:val="22"/>
              </w:rPr>
              <w:t>Ⅲ期</w:t>
            </w:r>
          </w:p>
        </w:tc>
        <w:tc>
          <w:tcPr>
            <w:tcW w:w="1843" w:type="dxa"/>
          </w:tcPr>
          <w:p>
            <w:pPr>
              <w:pStyle w:val="TableParagraph"/>
              <w:spacing w:line="264" w:lineRule="exact"/>
              <w:ind w:left="107"/>
              <w:rPr>
                <w:sz w:val="22"/>
              </w:rPr>
            </w:pPr>
            <w:r>
              <w:rPr>
                <w:spacing w:val="-5"/>
                <w:sz w:val="22"/>
              </w:rPr>
              <w:t>4a</w:t>
            </w:r>
          </w:p>
        </w:tc>
        <w:tc>
          <w:tcPr>
            <w:tcW w:w="1627" w:type="dxa"/>
          </w:tcPr>
          <w:p>
            <w:pPr>
              <w:pStyle w:val="TableParagraph"/>
              <w:spacing w:line="264" w:lineRule="exact"/>
              <w:ind w:left="107"/>
              <w:rPr>
                <w:sz w:val="22"/>
              </w:rPr>
            </w:pPr>
            <w:r>
              <w:rPr>
                <w:spacing w:val="-6"/>
                <w:sz w:val="22"/>
              </w:rPr>
              <w:t>任何</w:t>
            </w:r>
          </w:p>
        </w:tc>
        <w:tc>
          <w:tcPr>
            <w:tcW w:w="1646" w:type="dxa"/>
            <w:tcBorders>
              <w:right w:val="single" w:sz="8" w:space="0" w:color="000000"/>
            </w:tcBorders>
          </w:tcPr>
          <w:p>
            <w:pPr>
              <w:pStyle w:val="TableParagraph"/>
              <w:spacing w:line="264" w:lineRule="exact"/>
              <w:ind w:left="102"/>
              <w:rPr>
                <w:sz w:val="22"/>
              </w:rPr>
            </w:pPr>
            <w:r>
              <w:rPr>
                <w:w w:val="100"/>
                <w:sz w:val="22"/>
              </w:rPr>
              <w:t>0</w:t>
            </w:r>
          </w:p>
        </w:tc>
        <w:tc>
          <w:tcPr>
            <w:tcW w:w="1030" w:type="dxa"/>
            <w:vMerge/>
            <w:tcBorders>
              <w:top w:val="nil"/>
              <w:left w:val="single" w:sz="8" w:space="0" w:color="000000"/>
              <w:bottom w:val="nil"/>
            </w:tcBorders>
          </w:tcPr>
          <w:p>
            <w:pPr>
              <w:rPr>
                <w:sz w:val="2"/>
                <w:szCs w:val="2"/>
              </w:rPr>
            </w:pPr>
          </w:p>
        </w:tc>
      </w:tr>
      <w:tr>
        <w:trPr>
          <w:trHeight w:val="285" w:hRule="atLeast"/>
        </w:trPr>
        <w:tc>
          <w:tcPr>
            <w:tcW w:w="131" w:type="dxa"/>
            <w:tcBorders>
              <w:top w:val="nil"/>
              <w:bottom w:val="nil"/>
              <w:right w:val="single" w:sz="8" w:space="0" w:color="000000"/>
            </w:tcBorders>
          </w:tcPr>
          <w:p>
            <w:pPr>
              <w:pStyle w:val="TableParagraph"/>
              <w:rPr>
                <w:rFonts w:ascii="Times New Roman"/>
                <w:sz w:val="20"/>
              </w:rPr>
            </w:pPr>
          </w:p>
        </w:tc>
        <w:tc>
          <w:tcPr>
            <w:tcW w:w="3417" w:type="dxa"/>
            <w:tcBorders>
              <w:left w:val="single" w:sz="8" w:space="0" w:color="000000"/>
            </w:tcBorders>
          </w:tcPr>
          <w:p>
            <w:pPr>
              <w:pStyle w:val="TableParagraph"/>
              <w:spacing w:line="264" w:lineRule="exact" w:before="1"/>
              <w:ind w:left="101"/>
              <w:rPr>
                <w:sz w:val="22"/>
              </w:rPr>
            </w:pPr>
            <w:r>
              <w:rPr>
                <w:spacing w:val="-2"/>
                <w:sz w:val="22"/>
              </w:rPr>
              <w:t>ⅣA</w:t>
            </w:r>
            <w:r>
              <w:rPr>
                <w:spacing w:val="-31"/>
                <w:sz w:val="22"/>
              </w:rPr>
              <w:t> 期</w:t>
            </w:r>
          </w:p>
        </w:tc>
        <w:tc>
          <w:tcPr>
            <w:tcW w:w="1843" w:type="dxa"/>
          </w:tcPr>
          <w:p>
            <w:pPr>
              <w:pStyle w:val="TableParagraph"/>
              <w:spacing w:line="264" w:lineRule="exact" w:before="1"/>
              <w:ind w:left="107"/>
              <w:rPr>
                <w:sz w:val="22"/>
              </w:rPr>
            </w:pPr>
            <w:r>
              <w:rPr>
                <w:spacing w:val="-5"/>
                <w:sz w:val="22"/>
              </w:rPr>
              <w:t>4b</w:t>
            </w:r>
          </w:p>
        </w:tc>
        <w:tc>
          <w:tcPr>
            <w:tcW w:w="1627" w:type="dxa"/>
          </w:tcPr>
          <w:p>
            <w:pPr>
              <w:pStyle w:val="TableParagraph"/>
              <w:spacing w:line="264" w:lineRule="exact" w:before="1"/>
              <w:ind w:left="107"/>
              <w:rPr>
                <w:sz w:val="22"/>
              </w:rPr>
            </w:pPr>
            <w:r>
              <w:rPr>
                <w:spacing w:val="-6"/>
                <w:sz w:val="22"/>
              </w:rPr>
              <w:t>任何</w:t>
            </w:r>
          </w:p>
        </w:tc>
        <w:tc>
          <w:tcPr>
            <w:tcW w:w="1646" w:type="dxa"/>
            <w:tcBorders>
              <w:right w:val="single" w:sz="8" w:space="0" w:color="000000"/>
            </w:tcBorders>
          </w:tcPr>
          <w:p>
            <w:pPr>
              <w:pStyle w:val="TableParagraph"/>
              <w:spacing w:line="264" w:lineRule="exact" w:before="1"/>
              <w:ind w:left="102"/>
              <w:rPr>
                <w:sz w:val="22"/>
              </w:rPr>
            </w:pPr>
            <w:r>
              <w:rPr>
                <w:w w:val="100"/>
                <w:sz w:val="22"/>
              </w:rPr>
              <w:t>0</w:t>
            </w:r>
          </w:p>
        </w:tc>
        <w:tc>
          <w:tcPr>
            <w:tcW w:w="1030" w:type="dxa"/>
            <w:vMerge/>
            <w:tcBorders>
              <w:top w:val="nil"/>
              <w:left w:val="single" w:sz="8" w:space="0" w:color="000000"/>
              <w:bottom w:val="nil"/>
            </w:tcBorders>
          </w:tcPr>
          <w:p>
            <w:pPr>
              <w:rPr>
                <w:sz w:val="2"/>
                <w:szCs w:val="2"/>
              </w:rPr>
            </w:pPr>
          </w:p>
        </w:tc>
      </w:tr>
      <w:tr>
        <w:trPr>
          <w:trHeight w:val="285" w:hRule="atLeast"/>
        </w:trPr>
        <w:tc>
          <w:tcPr>
            <w:tcW w:w="131" w:type="dxa"/>
            <w:tcBorders>
              <w:top w:val="nil"/>
              <w:bottom w:val="nil"/>
              <w:right w:val="single" w:sz="8" w:space="0" w:color="000000"/>
            </w:tcBorders>
          </w:tcPr>
          <w:p>
            <w:pPr>
              <w:pStyle w:val="TableParagraph"/>
              <w:rPr>
                <w:rFonts w:ascii="Times New Roman"/>
                <w:sz w:val="20"/>
              </w:rPr>
            </w:pPr>
          </w:p>
        </w:tc>
        <w:tc>
          <w:tcPr>
            <w:tcW w:w="3417" w:type="dxa"/>
            <w:tcBorders>
              <w:left w:val="single" w:sz="8" w:space="0" w:color="000000"/>
            </w:tcBorders>
          </w:tcPr>
          <w:p>
            <w:pPr>
              <w:pStyle w:val="TableParagraph"/>
              <w:spacing w:line="265" w:lineRule="exact" w:before="1"/>
              <w:ind w:left="101"/>
              <w:rPr>
                <w:sz w:val="22"/>
              </w:rPr>
            </w:pPr>
            <w:r>
              <w:rPr>
                <w:spacing w:val="-2"/>
                <w:sz w:val="22"/>
              </w:rPr>
              <w:t>ⅣB</w:t>
            </w:r>
            <w:r>
              <w:rPr>
                <w:spacing w:val="-31"/>
                <w:sz w:val="22"/>
              </w:rPr>
              <w:t> 期</w:t>
            </w:r>
          </w:p>
        </w:tc>
        <w:tc>
          <w:tcPr>
            <w:tcW w:w="1843" w:type="dxa"/>
          </w:tcPr>
          <w:p>
            <w:pPr>
              <w:pStyle w:val="TableParagraph"/>
              <w:spacing w:line="265" w:lineRule="exact" w:before="1"/>
              <w:ind w:left="107"/>
              <w:rPr>
                <w:sz w:val="22"/>
              </w:rPr>
            </w:pPr>
            <w:r>
              <w:rPr>
                <w:spacing w:val="-6"/>
                <w:sz w:val="22"/>
              </w:rPr>
              <w:t>任何</w:t>
            </w:r>
          </w:p>
        </w:tc>
        <w:tc>
          <w:tcPr>
            <w:tcW w:w="1627" w:type="dxa"/>
          </w:tcPr>
          <w:p>
            <w:pPr>
              <w:pStyle w:val="TableParagraph"/>
              <w:spacing w:line="265" w:lineRule="exact" w:before="1"/>
              <w:ind w:left="107"/>
              <w:rPr>
                <w:sz w:val="22"/>
              </w:rPr>
            </w:pPr>
            <w:r>
              <w:rPr>
                <w:spacing w:val="-6"/>
                <w:sz w:val="22"/>
              </w:rPr>
              <w:t>任何</w:t>
            </w:r>
          </w:p>
        </w:tc>
        <w:tc>
          <w:tcPr>
            <w:tcW w:w="1646" w:type="dxa"/>
            <w:tcBorders>
              <w:right w:val="single" w:sz="8" w:space="0" w:color="000000"/>
            </w:tcBorders>
          </w:tcPr>
          <w:p>
            <w:pPr>
              <w:pStyle w:val="TableParagraph"/>
              <w:spacing w:line="265" w:lineRule="exact" w:before="1"/>
              <w:ind w:left="102"/>
              <w:rPr>
                <w:sz w:val="22"/>
              </w:rPr>
            </w:pPr>
            <w:r>
              <w:rPr>
                <w:w w:val="100"/>
                <w:sz w:val="22"/>
              </w:rPr>
              <w:t>1</w:t>
            </w:r>
          </w:p>
        </w:tc>
        <w:tc>
          <w:tcPr>
            <w:tcW w:w="1030" w:type="dxa"/>
            <w:vMerge/>
            <w:tcBorders>
              <w:top w:val="nil"/>
              <w:left w:val="single" w:sz="8" w:space="0" w:color="000000"/>
              <w:bottom w:val="nil"/>
            </w:tcBorders>
          </w:tcPr>
          <w:p>
            <w:pPr>
              <w:rPr>
                <w:sz w:val="2"/>
                <w:szCs w:val="2"/>
              </w:rPr>
            </w:pPr>
          </w:p>
        </w:tc>
      </w:tr>
      <w:tr>
        <w:trPr>
          <w:trHeight w:val="300" w:hRule="atLeast"/>
        </w:trPr>
        <w:tc>
          <w:tcPr>
            <w:tcW w:w="131" w:type="dxa"/>
            <w:tcBorders>
              <w:top w:val="nil"/>
              <w:bottom w:val="nil"/>
              <w:right w:val="single" w:sz="8" w:space="0" w:color="000000"/>
            </w:tcBorders>
          </w:tcPr>
          <w:p>
            <w:pPr>
              <w:pStyle w:val="TableParagraph"/>
              <w:rPr>
                <w:rFonts w:ascii="Times New Roman"/>
                <w:sz w:val="20"/>
              </w:rPr>
            </w:pPr>
          </w:p>
        </w:tc>
        <w:tc>
          <w:tcPr>
            <w:tcW w:w="8533" w:type="dxa"/>
            <w:gridSpan w:val="4"/>
            <w:tcBorders>
              <w:left w:val="single" w:sz="8" w:space="0" w:color="000000"/>
              <w:right w:val="single" w:sz="8" w:space="0" w:color="000000"/>
            </w:tcBorders>
          </w:tcPr>
          <w:p>
            <w:pPr>
              <w:pStyle w:val="TableParagraph"/>
              <w:spacing w:line="273" w:lineRule="exact" w:before="7"/>
              <w:ind w:left="101"/>
              <w:rPr>
                <w:sz w:val="22"/>
              </w:rPr>
            </w:pPr>
            <w:r>
              <w:rPr>
                <w:spacing w:val="-2"/>
                <w:sz w:val="22"/>
              </w:rPr>
              <w:t>髓样癌（所有年龄组</w:t>
            </w:r>
            <w:r>
              <w:rPr>
                <w:spacing w:val="-10"/>
                <w:sz w:val="22"/>
              </w:rPr>
              <w:t>）</w:t>
            </w:r>
          </w:p>
        </w:tc>
        <w:tc>
          <w:tcPr>
            <w:tcW w:w="1030" w:type="dxa"/>
            <w:vMerge/>
            <w:tcBorders>
              <w:top w:val="nil"/>
              <w:left w:val="single" w:sz="8" w:space="0" w:color="000000"/>
              <w:bottom w:val="nil"/>
            </w:tcBorders>
          </w:tcPr>
          <w:p>
            <w:pPr>
              <w:rPr>
                <w:sz w:val="2"/>
                <w:szCs w:val="2"/>
              </w:rPr>
            </w:pPr>
          </w:p>
        </w:tc>
      </w:tr>
      <w:tr>
        <w:trPr>
          <w:trHeight w:val="285" w:hRule="atLeast"/>
        </w:trPr>
        <w:tc>
          <w:tcPr>
            <w:tcW w:w="131" w:type="dxa"/>
            <w:tcBorders>
              <w:top w:val="nil"/>
              <w:bottom w:val="nil"/>
              <w:right w:val="single" w:sz="8" w:space="0" w:color="000000"/>
            </w:tcBorders>
          </w:tcPr>
          <w:p>
            <w:pPr>
              <w:pStyle w:val="TableParagraph"/>
              <w:rPr>
                <w:rFonts w:ascii="Times New Roman"/>
                <w:sz w:val="20"/>
              </w:rPr>
            </w:pPr>
          </w:p>
        </w:tc>
        <w:tc>
          <w:tcPr>
            <w:tcW w:w="3417" w:type="dxa"/>
            <w:tcBorders>
              <w:left w:val="single" w:sz="8" w:space="0" w:color="000000"/>
            </w:tcBorders>
          </w:tcPr>
          <w:p>
            <w:pPr>
              <w:pStyle w:val="TableParagraph"/>
              <w:spacing w:line="263" w:lineRule="exact" w:before="2"/>
              <w:ind w:left="101"/>
              <w:rPr>
                <w:sz w:val="22"/>
              </w:rPr>
            </w:pPr>
            <w:r>
              <w:rPr>
                <w:spacing w:val="-6"/>
                <w:sz w:val="22"/>
              </w:rPr>
              <w:t>Ⅰ期</w:t>
            </w:r>
          </w:p>
        </w:tc>
        <w:tc>
          <w:tcPr>
            <w:tcW w:w="1843" w:type="dxa"/>
          </w:tcPr>
          <w:p>
            <w:pPr>
              <w:pStyle w:val="TableParagraph"/>
              <w:spacing w:line="263" w:lineRule="exact" w:before="2"/>
              <w:ind w:left="107"/>
              <w:rPr>
                <w:sz w:val="22"/>
              </w:rPr>
            </w:pPr>
            <w:r>
              <w:rPr>
                <w:w w:val="100"/>
                <w:sz w:val="22"/>
              </w:rPr>
              <w:t>1</w:t>
            </w:r>
          </w:p>
        </w:tc>
        <w:tc>
          <w:tcPr>
            <w:tcW w:w="1627" w:type="dxa"/>
          </w:tcPr>
          <w:p>
            <w:pPr>
              <w:pStyle w:val="TableParagraph"/>
              <w:spacing w:line="263" w:lineRule="exact" w:before="2"/>
              <w:ind w:left="107"/>
              <w:rPr>
                <w:sz w:val="22"/>
              </w:rPr>
            </w:pPr>
            <w:r>
              <w:rPr>
                <w:w w:val="100"/>
                <w:sz w:val="22"/>
              </w:rPr>
              <w:t>0</w:t>
            </w:r>
          </w:p>
        </w:tc>
        <w:tc>
          <w:tcPr>
            <w:tcW w:w="1646" w:type="dxa"/>
            <w:tcBorders>
              <w:right w:val="single" w:sz="8" w:space="0" w:color="000000"/>
            </w:tcBorders>
          </w:tcPr>
          <w:p>
            <w:pPr>
              <w:pStyle w:val="TableParagraph"/>
              <w:spacing w:line="263" w:lineRule="exact" w:before="2"/>
              <w:ind w:left="102"/>
              <w:rPr>
                <w:sz w:val="22"/>
              </w:rPr>
            </w:pPr>
            <w:r>
              <w:rPr>
                <w:w w:val="100"/>
                <w:sz w:val="22"/>
              </w:rPr>
              <w:t>0</w:t>
            </w:r>
          </w:p>
        </w:tc>
        <w:tc>
          <w:tcPr>
            <w:tcW w:w="1030" w:type="dxa"/>
            <w:vMerge/>
            <w:tcBorders>
              <w:top w:val="nil"/>
              <w:left w:val="single" w:sz="8" w:space="0" w:color="000000"/>
              <w:bottom w:val="nil"/>
            </w:tcBorders>
          </w:tcPr>
          <w:p>
            <w:pPr>
              <w:rPr>
                <w:sz w:val="2"/>
                <w:szCs w:val="2"/>
              </w:rPr>
            </w:pPr>
          </w:p>
        </w:tc>
      </w:tr>
      <w:tr>
        <w:trPr>
          <w:trHeight w:val="285" w:hRule="atLeast"/>
        </w:trPr>
        <w:tc>
          <w:tcPr>
            <w:tcW w:w="131" w:type="dxa"/>
            <w:tcBorders>
              <w:top w:val="nil"/>
              <w:bottom w:val="nil"/>
              <w:right w:val="single" w:sz="8" w:space="0" w:color="000000"/>
            </w:tcBorders>
          </w:tcPr>
          <w:p>
            <w:pPr>
              <w:pStyle w:val="TableParagraph"/>
              <w:rPr>
                <w:rFonts w:ascii="Times New Roman"/>
                <w:sz w:val="20"/>
              </w:rPr>
            </w:pPr>
          </w:p>
        </w:tc>
        <w:tc>
          <w:tcPr>
            <w:tcW w:w="3417" w:type="dxa"/>
            <w:tcBorders>
              <w:left w:val="single" w:sz="8" w:space="0" w:color="000000"/>
            </w:tcBorders>
          </w:tcPr>
          <w:p>
            <w:pPr>
              <w:pStyle w:val="TableParagraph"/>
              <w:spacing w:line="265" w:lineRule="exact"/>
              <w:ind w:left="101"/>
              <w:rPr>
                <w:sz w:val="22"/>
              </w:rPr>
            </w:pPr>
            <w:r>
              <w:rPr>
                <w:spacing w:val="-6"/>
                <w:sz w:val="22"/>
              </w:rPr>
              <w:t>Ⅱ期</w:t>
            </w:r>
          </w:p>
        </w:tc>
        <w:tc>
          <w:tcPr>
            <w:tcW w:w="1843" w:type="dxa"/>
          </w:tcPr>
          <w:p>
            <w:pPr>
              <w:pStyle w:val="TableParagraph"/>
              <w:spacing w:line="265" w:lineRule="exact"/>
              <w:ind w:left="107"/>
              <w:rPr>
                <w:sz w:val="22"/>
              </w:rPr>
            </w:pPr>
            <w:r>
              <w:rPr>
                <w:spacing w:val="-5"/>
                <w:sz w:val="22"/>
              </w:rPr>
              <w:t>2～3</w:t>
            </w:r>
          </w:p>
        </w:tc>
        <w:tc>
          <w:tcPr>
            <w:tcW w:w="1627" w:type="dxa"/>
          </w:tcPr>
          <w:p>
            <w:pPr>
              <w:pStyle w:val="TableParagraph"/>
              <w:spacing w:line="265" w:lineRule="exact"/>
              <w:ind w:left="107"/>
              <w:rPr>
                <w:sz w:val="22"/>
              </w:rPr>
            </w:pPr>
            <w:r>
              <w:rPr>
                <w:w w:val="100"/>
                <w:sz w:val="22"/>
              </w:rPr>
              <w:t>0</w:t>
            </w:r>
          </w:p>
        </w:tc>
        <w:tc>
          <w:tcPr>
            <w:tcW w:w="1646" w:type="dxa"/>
            <w:tcBorders>
              <w:right w:val="single" w:sz="8" w:space="0" w:color="000000"/>
            </w:tcBorders>
          </w:tcPr>
          <w:p>
            <w:pPr>
              <w:pStyle w:val="TableParagraph"/>
              <w:spacing w:line="265" w:lineRule="exact"/>
              <w:ind w:left="102"/>
              <w:rPr>
                <w:sz w:val="22"/>
              </w:rPr>
            </w:pPr>
            <w:r>
              <w:rPr>
                <w:w w:val="100"/>
                <w:sz w:val="22"/>
              </w:rPr>
              <w:t>0</w:t>
            </w:r>
          </w:p>
        </w:tc>
        <w:tc>
          <w:tcPr>
            <w:tcW w:w="1030" w:type="dxa"/>
            <w:vMerge/>
            <w:tcBorders>
              <w:top w:val="nil"/>
              <w:left w:val="single" w:sz="8" w:space="0" w:color="000000"/>
              <w:bottom w:val="nil"/>
            </w:tcBorders>
          </w:tcPr>
          <w:p>
            <w:pPr>
              <w:rPr>
                <w:sz w:val="2"/>
                <w:szCs w:val="2"/>
              </w:rPr>
            </w:pPr>
          </w:p>
        </w:tc>
      </w:tr>
      <w:tr>
        <w:trPr>
          <w:trHeight w:val="285" w:hRule="atLeast"/>
        </w:trPr>
        <w:tc>
          <w:tcPr>
            <w:tcW w:w="131" w:type="dxa"/>
            <w:tcBorders>
              <w:top w:val="nil"/>
              <w:bottom w:val="nil"/>
              <w:right w:val="single" w:sz="8" w:space="0" w:color="000000"/>
            </w:tcBorders>
          </w:tcPr>
          <w:p>
            <w:pPr>
              <w:pStyle w:val="TableParagraph"/>
              <w:rPr>
                <w:rFonts w:ascii="Times New Roman"/>
                <w:sz w:val="20"/>
              </w:rPr>
            </w:pPr>
          </w:p>
        </w:tc>
        <w:tc>
          <w:tcPr>
            <w:tcW w:w="3417" w:type="dxa"/>
            <w:tcBorders>
              <w:left w:val="single" w:sz="8" w:space="0" w:color="000000"/>
            </w:tcBorders>
          </w:tcPr>
          <w:p>
            <w:pPr>
              <w:pStyle w:val="TableParagraph"/>
              <w:spacing w:line="262" w:lineRule="exact" w:before="2"/>
              <w:ind w:left="101"/>
              <w:rPr>
                <w:sz w:val="22"/>
              </w:rPr>
            </w:pPr>
            <w:r>
              <w:rPr>
                <w:spacing w:val="-6"/>
                <w:sz w:val="22"/>
              </w:rPr>
              <w:t>Ⅲ期</w:t>
            </w:r>
          </w:p>
        </w:tc>
        <w:tc>
          <w:tcPr>
            <w:tcW w:w="1843" w:type="dxa"/>
          </w:tcPr>
          <w:p>
            <w:pPr>
              <w:pStyle w:val="TableParagraph"/>
              <w:spacing w:line="262" w:lineRule="exact" w:before="2"/>
              <w:ind w:left="107"/>
              <w:rPr>
                <w:sz w:val="22"/>
              </w:rPr>
            </w:pPr>
            <w:r>
              <w:rPr>
                <w:spacing w:val="-5"/>
                <w:sz w:val="22"/>
              </w:rPr>
              <w:t>1～3</w:t>
            </w:r>
          </w:p>
        </w:tc>
        <w:tc>
          <w:tcPr>
            <w:tcW w:w="1627" w:type="dxa"/>
          </w:tcPr>
          <w:p>
            <w:pPr>
              <w:pStyle w:val="TableParagraph"/>
              <w:spacing w:line="262" w:lineRule="exact" w:before="2"/>
              <w:ind w:left="107"/>
              <w:rPr>
                <w:sz w:val="22"/>
              </w:rPr>
            </w:pPr>
            <w:r>
              <w:rPr>
                <w:spacing w:val="-5"/>
                <w:sz w:val="22"/>
              </w:rPr>
              <w:t>1a</w:t>
            </w:r>
          </w:p>
        </w:tc>
        <w:tc>
          <w:tcPr>
            <w:tcW w:w="1646" w:type="dxa"/>
            <w:tcBorders>
              <w:right w:val="single" w:sz="8" w:space="0" w:color="000000"/>
            </w:tcBorders>
          </w:tcPr>
          <w:p>
            <w:pPr>
              <w:pStyle w:val="TableParagraph"/>
              <w:spacing w:line="262" w:lineRule="exact" w:before="2"/>
              <w:ind w:left="102"/>
              <w:rPr>
                <w:sz w:val="22"/>
              </w:rPr>
            </w:pPr>
            <w:r>
              <w:rPr>
                <w:w w:val="100"/>
                <w:sz w:val="22"/>
              </w:rPr>
              <w:t>0</w:t>
            </w:r>
          </w:p>
        </w:tc>
        <w:tc>
          <w:tcPr>
            <w:tcW w:w="1030" w:type="dxa"/>
            <w:vMerge/>
            <w:tcBorders>
              <w:top w:val="nil"/>
              <w:left w:val="single" w:sz="8" w:space="0" w:color="000000"/>
              <w:bottom w:val="nil"/>
            </w:tcBorders>
          </w:tcPr>
          <w:p>
            <w:pPr>
              <w:rPr>
                <w:sz w:val="2"/>
                <w:szCs w:val="2"/>
              </w:rPr>
            </w:pPr>
          </w:p>
        </w:tc>
      </w:tr>
      <w:tr>
        <w:trPr>
          <w:trHeight w:val="286" w:hRule="atLeast"/>
        </w:trPr>
        <w:tc>
          <w:tcPr>
            <w:tcW w:w="131" w:type="dxa"/>
            <w:vMerge w:val="restart"/>
            <w:tcBorders>
              <w:top w:val="nil"/>
              <w:bottom w:val="nil"/>
              <w:right w:val="single" w:sz="8" w:space="0" w:color="000000"/>
            </w:tcBorders>
          </w:tcPr>
          <w:p>
            <w:pPr>
              <w:pStyle w:val="TableParagraph"/>
              <w:rPr>
                <w:rFonts w:ascii="Times New Roman"/>
                <w:sz w:val="20"/>
              </w:rPr>
            </w:pPr>
          </w:p>
        </w:tc>
        <w:tc>
          <w:tcPr>
            <w:tcW w:w="3417" w:type="dxa"/>
            <w:vMerge w:val="restart"/>
            <w:tcBorders>
              <w:left w:val="single" w:sz="8" w:space="0" w:color="000000"/>
            </w:tcBorders>
          </w:tcPr>
          <w:p>
            <w:pPr>
              <w:pStyle w:val="TableParagraph"/>
              <w:spacing w:before="149"/>
              <w:ind w:left="101"/>
              <w:rPr>
                <w:sz w:val="22"/>
              </w:rPr>
            </w:pPr>
            <w:r>
              <w:rPr>
                <w:spacing w:val="-2"/>
                <w:sz w:val="22"/>
              </w:rPr>
              <w:t>ⅣA</w:t>
            </w:r>
            <w:r>
              <w:rPr>
                <w:spacing w:val="-31"/>
                <w:sz w:val="22"/>
              </w:rPr>
              <w:t> 期</w:t>
            </w:r>
          </w:p>
        </w:tc>
        <w:tc>
          <w:tcPr>
            <w:tcW w:w="1843" w:type="dxa"/>
          </w:tcPr>
          <w:p>
            <w:pPr>
              <w:pStyle w:val="TableParagraph"/>
              <w:spacing w:line="263" w:lineRule="exact" w:before="3"/>
              <w:ind w:left="107"/>
              <w:rPr>
                <w:sz w:val="22"/>
              </w:rPr>
            </w:pPr>
            <w:r>
              <w:rPr>
                <w:spacing w:val="-5"/>
                <w:sz w:val="22"/>
              </w:rPr>
              <w:t>4a</w:t>
            </w:r>
          </w:p>
        </w:tc>
        <w:tc>
          <w:tcPr>
            <w:tcW w:w="1627" w:type="dxa"/>
          </w:tcPr>
          <w:p>
            <w:pPr>
              <w:pStyle w:val="TableParagraph"/>
              <w:spacing w:line="263" w:lineRule="exact" w:before="3"/>
              <w:ind w:left="107"/>
              <w:rPr>
                <w:sz w:val="22"/>
              </w:rPr>
            </w:pPr>
            <w:r>
              <w:rPr>
                <w:spacing w:val="-6"/>
                <w:sz w:val="22"/>
              </w:rPr>
              <w:t>任何</w:t>
            </w:r>
          </w:p>
        </w:tc>
        <w:tc>
          <w:tcPr>
            <w:tcW w:w="1646" w:type="dxa"/>
            <w:tcBorders>
              <w:right w:val="single" w:sz="8" w:space="0" w:color="000000"/>
            </w:tcBorders>
          </w:tcPr>
          <w:p>
            <w:pPr>
              <w:pStyle w:val="TableParagraph"/>
              <w:spacing w:line="263" w:lineRule="exact" w:before="3"/>
              <w:ind w:left="102"/>
              <w:rPr>
                <w:sz w:val="22"/>
              </w:rPr>
            </w:pPr>
            <w:r>
              <w:rPr>
                <w:w w:val="100"/>
                <w:sz w:val="22"/>
              </w:rPr>
              <w:t>0</w:t>
            </w:r>
          </w:p>
        </w:tc>
        <w:tc>
          <w:tcPr>
            <w:tcW w:w="1030" w:type="dxa"/>
            <w:vMerge/>
            <w:tcBorders>
              <w:top w:val="nil"/>
              <w:left w:val="single" w:sz="8" w:space="0" w:color="000000"/>
              <w:bottom w:val="nil"/>
            </w:tcBorders>
          </w:tcPr>
          <w:p>
            <w:pPr>
              <w:rPr>
                <w:sz w:val="2"/>
                <w:szCs w:val="2"/>
              </w:rPr>
            </w:pPr>
          </w:p>
        </w:tc>
      </w:tr>
      <w:tr>
        <w:trPr>
          <w:trHeight w:val="285" w:hRule="atLeast"/>
        </w:trPr>
        <w:tc>
          <w:tcPr>
            <w:tcW w:w="131" w:type="dxa"/>
            <w:vMerge/>
            <w:tcBorders>
              <w:top w:val="nil"/>
              <w:bottom w:val="nil"/>
              <w:right w:val="single" w:sz="8" w:space="0" w:color="000000"/>
            </w:tcBorders>
          </w:tcPr>
          <w:p>
            <w:pPr>
              <w:rPr>
                <w:sz w:val="2"/>
                <w:szCs w:val="2"/>
              </w:rPr>
            </w:pPr>
          </w:p>
        </w:tc>
        <w:tc>
          <w:tcPr>
            <w:tcW w:w="3417" w:type="dxa"/>
            <w:vMerge/>
            <w:tcBorders>
              <w:top w:val="nil"/>
              <w:left w:val="single" w:sz="8" w:space="0" w:color="000000"/>
            </w:tcBorders>
          </w:tcPr>
          <w:p>
            <w:pPr>
              <w:rPr>
                <w:sz w:val="2"/>
                <w:szCs w:val="2"/>
              </w:rPr>
            </w:pPr>
          </w:p>
        </w:tc>
        <w:tc>
          <w:tcPr>
            <w:tcW w:w="1843" w:type="dxa"/>
          </w:tcPr>
          <w:p>
            <w:pPr>
              <w:pStyle w:val="TableParagraph"/>
              <w:spacing w:line="263" w:lineRule="exact" w:before="2"/>
              <w:ind w:left="107"/>
              <w:rPr>
                <w:sz w:val="22"/>
              </w:rPr>
            </w:pPr>
            <w:r>
              <w:rPr>
                <w:spacing w:val="-5"/>
                <w:sz w:val="22"/>
              </w:rPr>
              <w:t>1～3</w:t>
            </w:r>
          </w:p>
        </w:tc>
        <w:tc>
          <w:tcPr>
            <w:tcW w:w="1627" w:type="dxa"/>
          </w:tcPr>
          <w:p>
            <w:pPr>
              <w:pStyle w:val="TableParagraph"/>
              <w:spacing w:line="263" w:lineRule="exact" w:before="2"/>
              <w:ind w:left="107"/>
              <w:rPr>
                <w:sz w:val="22"/>
              </w:rPr>
            </w:pPr>
            <w:r>
              <w:rPr>
                <w:spacing w:val="-5"/>
                <w:sz w:val="22"/>
              </w:rPr>
              <w:t>1b</w:t>
            </w:r>
          </w:p>
        </w:tc>
        <w:tc>
          <w:tcPr>
            <w:tcW w:w="1646" w:type="dxa"/>
            <w:tcBorders>
              <w:right w:val="single" w:sz="8" w:space="0" w:color="000000"/>
            </w:tcBorders>
          </w:tcPr>
          <w:p>
            <w:pPr>
              <w:pStyle w:val="TableParagraph"/>
              <w:spacing w:line="263" w:lineRule="exact" w:before="2"/>
              <w:ind w:left="102"/>
              <w:rPr>
                <w:sz w:val="22"/>
              </w:rPr>
            </w:pPr>
            <w:r>
              <w:rPr>
                <w:w w:val="100"/>
                <w:sz w:val="22"/>
              </w:rPr>
              <w:t>0</w:t>
            </w:r>
          </w:p>
        </w:tc>
        <w:tc>
          <w:tcPr>
            <w:tcW w:w="1030" w:type="dxa"/>
            <w:vMerge/>
            <w:tcBorders>
              <w:top w:val="nil"/>
              <w:left w:val="single" w:sz="8" w:space="0" w:color="000000"/>
              <w:bottom w:val="nil"/>
            </w:tcBorders>
          </w:tcPr>
          <w:p>
            <w:pPr>
              <w:rPr>
                <w:sz w:val="2"/>
                <w:szCs w:val="2"/>
              </w:rPr>
            </w:pPr>
          </w:p>
        </w:tc>
      </w:tr>
      <w:tr>
        <w:trPr>
          <w:trHeight w:val="285" w:hRule="atLeast"/>
        </w:trPr>
        <w:tc>
          <w:tcPr>
            <w:tcW w:w="131" w:type="dxa"/>
            <w:tcBorders>
              <w:top w:val="nil"/>
              <w:bottom w:val="nil"/>
              <w:right w:val="single" w:sz="8" w:space="0" w:color="000000"/>
            </w:tcBorders>
          </w:tcPr>
          <w:p>
            <w:pPr>
              <w:pStyle w:val="TableParagraph"/>
              <w:rPr>
                <w:rFonts w:ascii="Times New Roman"/>
                <w:sz w:val="20"/>
              </w:rPr>
            </w:pPr>
          </w:p>
        </w:tc>
        <w:tc>
          <w:tcPr>
            <w:tcW w:w="3417" w:type="dxa"/>
            <w:tcBorders>
              <w:left w:val="single" w:sz="8" w:space="0" w:color="000000"/>
            </w:tcBorders>
          </w:tcPr>
          <w:p>
            <w:pPr>
              <w:pStyle w:val="TableParagraph"/>
              <w:spacing w:line="263" w:lineRule="exact" w:before="2"/>
              <w:ind w:left="101"/>
              <w:rPr>
                <w:sz w:val="22"/>
              </w:rPr>
            </w:pPr>
            <w:r>
              <w:rPr>
                <w:spacing w:val="-2"/>
                <w:sz w:val="22"/>
              </w:rPr>
              <w:t>ⅣB</w:t>
            </w:r>
            <w:r>
              <w:rPr>
                <w:spacing w:val="-31"/>
                <w:sz w:val="22"/>
              </w:rPr>
              <w:t> 期</w:t>
            </w:r>
          </w:p>
        </w:tc>
        <w:tc>
          <w:tcPr>
            <w:tcW w:w="1843" w:type="dxa"/>
          </w:tcPr>
          <w:p>
            <w:pPr>
              <w:pStyle w:val="TableParagraph"/>
              <w:spacing w:line="263" w:lineRule="exact" w:before="2"/>
              <w:ind w:left="107"/>
              <w:rPr>
                <w:sz w:val="22"/>
              </w:rPr>
            </w:pPr>
            <w:r>
              <w:rPr>
                <w:spacing w:val="-5"/>
                <w:sz w:val="22"/>
              </w:rPr>
              <w:t>4b</w:t>
            </w:r>
          </w:p>
        </w:tc>
        <w:tc>
          <w:tcPr>
            <w:tcW w:w="1627" w:type="dxa"/>
          </w:tcPr>
          <w:p>
            <w:pPr>
              <w:pStyle w:val="TableParagraph"/>
              <w:spacing w:line="263" w:lineRule="exact" w:before="2"/>
              <w:ind w:left="107"/>
              <w:rPr>
                <w:sz w:val="22"/>
              </w:rPr>
            </w:pPr>
            <w:r>
              <w:rPr>
                <w:spacing w:val="-6"/>
                <w:sz w:val="22"/>
              </w:rPr>
              <w:t>任何</w:t>
            </w:r>
          </w:p>
        </w:tc>
        <w:tc>
          <w:tcPr>
            <w:tcW w:w="1646" w:type="dxa"/>
            <w:tcBorders>
              <w:right w:val="single" w:sz="8" w:space="0" w:color="000000"/>
            </w:tcBorders>
          </w:tcPr>
          <w:p>
            <w:pPr>
              <w:pStyle w:val="TableParagraph"/>
              <w:spacing w:line="263" w:lineRule="exact" w:before="2"/>
              <w:ind w:left="102"/>
              <w:rPr>
                <w:sz w:val="22"/>
              </w:rPr>
            </w:pPr>
            <w:r>
              <w:rPr>
                <w:w w:val="100"/>
                <w:sz w:val="22"/>
              </w:rPr>
              <w:t>0</w:t>
            </w:r>
          </w:p>
        </w:tc>
        <w:tc>
          <w:tcPr>
            <w:tcW w:w="1030" w:type="dxa"/>
            <w:vMerge/>
            <w:tcBorders>
              <w:top w:val="nil"/>
              <w:left w:val="single" w:sz="8" w:space="0" w:color="000000"/>
              <w:bottom w:val="nil"/>
            </w:tcBorders>
          </w:tcPr>
          <w:p>
            <w:pPr>
              <w:rPr>
                <w:sz w:val="2"/>
                <w:szCs w:val="2"/>
              </w:rPr>
            </w:pPr>
          </w:p>
        </w:tc>
      </w:tr>
      <w:tr>
        <w:trPr>
          <w:trHeight w:val="285" w:hRule="atLeast"/>
        </w:trPr>
        <w:tc>
          <w:tcPr>
            <w:tcW w:w="131" w:type="dxa"/>
            <w:tcBorders>
              <w:top w:val="nil"/>
              <w:bottom w:val="nil"/>
              <w:right w:val="single" w:sz="8" w:space="0" w:color="000000"/>
            </w:tcBorders>
          </w:tcPr>
          <w:p>
            <w:pPr>
              <w:pStyle w:val="TableParagraph"/>
              <w:rPr>
                <w:rFonts w:ascii="Times New Roman"/>
                <w:sz w:val="20"/>
              </w:rPr>
            </w:pPr>
          </w:p>
        </w:tc>
        <w:tc>
          <w:tcPr>
            <w:tcW w:w="3417" w:type="dxa"/>
            <w:tcBorders>
              <w:left w:val="single" w:sz="8" w:space="0" w:color="000000"/>
            </w:tcBorders>
          </w:tcPr>
          <w:p>
            <w:pPr>
              <w:pStyle w:val="TableParagraph"/>
              <w:spacing w:line="264" w:lineRule="exact" w:before="2"/>
              <w:ind w:left="101"/>
              <w:rPr>
                <w:sz w:val="22"/>
              </w:rPr>
            </w:pPr>
            <w:r>
              <w:rPr>
                <w:spacing w:val="-2"/>
                <w:sz w:val="22"/>
              </w:rPr>
              <w:t>ⅣC</w:t>
            </w:r>
            <w:r>
              <w:rPr>
                <w:spacing w:val="-31"/>
                <w:sz w:val="22"/>
              </w:rPr>
              <w:t> 期</w:t>
            </w:r>
          </w:p>
        </w:tc>
        <w:tc>
          <w:tcPr>
            <w:tcW w:w="1843" w:type="dxa"/>
          </w:tcPr>
          <w:p>
            <w:pPr>
              <w:pStyle w:val="TableParagraph"/>
              <w:spacing w:line="264" w:lineRule="exact" w:before="2"/>
              <w:ind w:left="107"/>
              <w:rPr>
                <w:sz w:val="22"/>
              </w:rPr>
            </w:pPr>
            <w:r>
              <w:rPr>
                <w:spacing w:val="-6"/>
                <w:sz w:val="22"/>
              </w:rPr>
              <w:t>任何</w:t>
            </w:r>
          </w:p>
        </w:tc>
        <w:tc>
          <w:tcPr>
            <w:tcW w:w="1627" w:type="dxa"/>
          </w:tcPr>
          <w:p>
            <w:pPr>
              <w:pStyle w:val="TableParagraph"/>
              <w:spacing w:line="264" w:lineRule="exact" w:before="2"/>
              <w:ind w:left="107"/>
              <w:rPr>
                <w:sz w:val="22"/>
              </w:rPr>
            </w:pPr>
            <w:r>
              <w:rPr>
                <w:spacing w:val="-6"/>
                <w:sz w:val="22"/>
              </w:rPr>
              <w:t>任何</w:t>
            </w:r>
          </w:p>
        </w:tc>
        <w:tc>
          <w:tcPr>
            <w:tcW w:w="1646" w:type="dxa"/>
            <w:tcBorders>
              <w:right w:val="single" w:sz="8" w:space="0" w:color="000000"/>
            </w:tcBorders>
          </w:tcPr>
          <w:p>
            <w:pPr>
              <w:pStyle w:val="TableParagraph"/>
              <w:spacing w:line="264" w:lineRule="exact" w:before="2"/>
              <w:ind w:left="102"/>
              <w:rPr>
                <w:sz w:val="22"/>
              </w:rPr>
            </w:pPr>
            <w:r>
              <w:rPr>
                <w:w w:val="100"/>
                <w:sz w:val="22"/>
              </w:rPr>
              <w:t>1</w:t>
            </w:r>
          </w:p>
        </w:tc>
        <w:tc>
          <w:tcPr>
            <w:tcW w:w="1030" w:type="dxa"/>
            <w:vMerge/>
            <w:tcBorders>
              <w:top w:val="nil"/>
              <w:left w:val="single" w:sz="8" w:space="0" w:color="000000"/>
              <w:bottom w:val="nil"/>
            </w:tcBorders>
          </w:tcPr>
          <w:p>
            <w:pPr>
              <w:rPr>
                <w:sz w:val="2"/>
                <w:szCs w:val="2"/>
              </w:rPr>
            </w:pPr>
          </w:p>
        </w:tc>
      </w:tr>
      <w:tr>
        <w:trPr>
          <w:trHeight w:val="300" w:hRule="atLeast"/>
        </w:trPr>
        <w:tc>
          <w:tcPr>
            <w:tcW w:w="131" w:type="dxa"/>
            <w:tcBorders>
              <w:top w:val="nil"/>
              <w:bottom w:val="nil"/>
              <w:right w:val="single" w:sz="8" w:space="0" w:color="000000"/>
            </w:tcBorders>
          </w:tcPr>
          <w:p>
            <w:pPr>
              <w:pStyle w:val="TableParagraph"/>
              <w:rPr>
                <w:rFonts w:ascii="Times New Roman"/>
                <w:sz w:val="20"/>
              </w:rPr>
            </w:pPr>
          </w:p>
        </w:tc>
        <w:tc>
          <w:tcPr>
            <w:tcW w:w="8533" w:type="dxa"/>
            <w:gridSpan w:val="4"/>
            <w:tcBorders>
              <w:left w:val="single" w:sz="8" w:space="0" w:color="000000"/>
              <w:right w:val="single" w:sz="8" w:space="0" w:color="000000"/>
            </w:tcBorders>
          </w:tcPr>
          <w:p>
            <w:pPr>
              <w:pStyle w:val="TableParagraph"/>
              <w:spacing w:line="271" w:lineRule="exact" w:before="8"/>
              <w:ind w:left="101"/>
              <w:rPr>
                <w:sz w:val="22"/>
              </w:rPr>
            </w:pPr>
            <w:r>
              <w:rPr>
                <w:spacing w:val="-2"/>
                <w:sz w:val="22"/>
              </w:rPr>
              <w:t>未分化癌（所有年龄组</w:t>
            </w:r>
            <w:r>
              <w:rPr>
                <w:spacing w:val="-10"/>
                <w:sz w:val="22"/>
              </w:rPr>
              <w:t>）</w:t>
            </w:r>
          </w:p>
        </w:tc>
        <w:tc>
          <w:tcPr>
            <w:tcW w:w="1030" w:type="dxa"/>
            <w:vMerge/>
            <w:tcBorders>
              <w:top w:val="nil"/>
              <w:left w:val="single" w:sz="8" w:space="0" w:color="000000"/>
              <w:bottom w:val="nil"/>
            </w:tcBorders>
          </w:tcPr>
          <w:p>
            <w:pPr>
              <w:rPr>
                <w:sz w:val="2"/>
                <w:szCs w:val="2"/>
              </w:rPr>
            </w:pPr>
          </w:p>
        </w:tc>
      </w:tr>
      <w:tr>
        <w:trPr>
          <w:trHeight w:val="285" w:hRule="atLeast"/>
        </w:trPr>
        <w:tc>
          <w:tcPr>
            <w:tcW w:w="131" w:type="dxa"/>
            <w:tcBorders>
              <w:top w:val="nil"/>
              <w:bottom w:val="nil"/>
              <w:right w:val="single" w:sz="8" w:space="0" w:color="000000"/>
            </w:tcBorders>
          </w:tcPr>
          <w:p>
            <w:pPr>
              <w:pStyle w:val="TableParagraph"/>
              <w:rPr>
                <w:rFonts w:ascii="Times New Roman"/>
                <w:sz w:val="20"/>
              </w:rPr>
            </w:pPr>
          </w:p>
        </w:tc>
        <w:tc>
          <w:tcPr>
            <w:tcW w:w="3417" w:type="dxa"/>
            <w:tcBorders>
              <w:left w:val="single" w:sz="8" w:space="0" w:color="000000"/>
            </w:tcBorders>
          </w:tcPr>
          <w:p>
            <w:pPr>
              <w:pStyle w:val="TableParagraph"/>
              <w:spacing w:line="264" w:lineRule="exact" w:before="1"/>
              <w:ind w:left="101"/>
              <w:rPr>
                <w:sz w:val="22"/>
              </w:rPr>
            </w:pPr>
            <w:r>
              <w:rPr>
                <w:spacing w:val="-2"/>
                <w:sz w:val="22"/>
              </w:rPr>
              <w:t>ⅣA</w:t>
            </w:r>
            <w:r>
              <w:rPr>
                <w:spacing w:val="-31"/>
                <w:sz w:val="22"/>
              </w:rPr>
              <w:t> 期</w:t>
            </w:r>
          </w:p>
        </w:tc>
        <w:tc>
          <w:tcPr>
            <w:tcW w:w="1843" w:type="dxa"/>
          </w:tcPr>
          <w:p>
            <w:pPr>
              <w:pStyle w:val="TableParagraph"/>
              <w:spacing w:line="264" w:lineRule="exact" w:before="1"/>
              <w:ind w:left="107"/>
              <w:rPr>
                <w:sz w:val="22"/>
              </w:rPr>
            </w:pPr>
            <w:r>
              <w:rPr>
                <w:spacing w:val="-4"/>
                <w:sz w:val="22"/>
              </w:rPr>
              <w:t>1～3a</w:t>
            </w:r>
          </w:p>
        </w:tc>
        <w:tc>
          <w:tcPr>
            <w:tcW w:w="1627" w:type="dxa"/>
          </w:tcPr>
          <w:p>
            <w:pPr>
              <w:pStyle w:val="TableParagraph"/>
              <w:spacing w:line="264" w:lineRule="exact" w:before="1"/>
              <w:ind w:left="107"/>
              <w:rPr>
                <w:sz w:val="22"/>
              </w:rPr>
            </w:pPr>
            <w:r>
              <w:rPr>
                <w:spacing w:val="-5"/>
                <w:sz w:val="22"/>
              </w:rPr>
              <w:t>0/x</w:t>
            </w:r>
          </w:p>
        </w:tc>
        <w:tc>
          <w:tcPr>
            <w:tcW w:w="1646" w:type="dxa"/>
            <w:tcBorders>
              <w:right w:val="single" w:sz="8" w:space="0" w:color="000000"/>
            </w:tcBorders>
          </w:tcPr>
          <w:p>
            <w:pPr>
              <w:pStyle w:val="TableParagraph"/>
              <w:spacing w:line="264" w:lineRule="exact" w:before="1"/>
              <w:ind w:left="102"/>
              <w:rPr>
                <w:sz w:val="22"/>
              </w:rPr>
            </w:pPr>
            <w:r>
              <w:rPr>
                <w:w w:val="100"/>
                <w:sz w:val="22"/>
              </w:rPr>
              <w:t>0</w:t>
            </w:r>
          </w:p>
        </w:tc>
        <w:tc>
          <w:tcPr>
            <w:tcW w:w="1030" w:type="dxa"/>
            <w:vMerge/>
            <w:tcBorders>
              <w:top w:val="nil"/>
              <w:left w:val="single" w:sz="8" w:space="0" w:color="000000"/>
              <w:bottom w:val="nil"/>
            </w:tcBorders>
          </w:tcPr>
          <w:p>
            <w:pPr>
              <w:rPr>
                <w:sz w:val="2"/>
                <w:szCs w:val="2"/>
              </w:rPr>
            </w:pPr>
          </w:p>
        </w:tc>
      </w:tr>
      <w:tr>
        <w:trPr>
          <w:trHeight w:val="285" w:hRule="atLeast"/>
        </w:trPr>
        <w:tc>
          <w:tcPr>
            <w:tcW w:w="131" w:type="dxa"/>
            <w:vMerge w:val="restart"/>
            <w:tcBorders>
              <w:top w:val="nil"/>
              <w:bottom w:val="nil"/>
              <w:right w:val="single" w:sz="8" w:space="0" w:color="000000"/>
            </w:tcBorders>
          </w:tcPr>
          <w:p>
            <w:pPr>
              <w:pStyle w:val="TableParagraph"/>
              <w:rPr>
                <w:rFonts w:ascii="Times New Roman"/>
                <w:sz w:val="20"/>
              </w:rPr>
            </w:pPr>
          </w:p>
        </w:tc>
        <w:tc>
          <w:tcPr>
            <w:tcW w:w="3417" w:type="dxa"/>
            <w:vMerge w:val="restart"/>
            <w:tcBorders>
              <w:left w:val="single" w:sz="8" w:space="0" w:color="000000"/>
            </w:tcBorders>
          </w:tcPr>
          <w:p>
            <w:pPr>
              <w:pStyle w:val="TableParagraph"/>
              <w:spacing w:before="150"/>
              <w:ind w:left="101"/>
              <w:rPr>
                <w:sz w:val="22"/>
              </w:rPr>
            </w:pPr>
            <w:r>
              <w:rPr>
                <w:spacing w:val="-2"/>
                <w:sz w:val="22"/>
              </w:rPr>
              <w:t>ⅣB</w:t>
            </w:r>
            <w:r>
              <w:rPr>
                <w:spacing w:val="-31"/>
                <w:sz w:val="22"/>
              </w:rPr>
              <w:t> 期</w:t>
            </w:r>
          </w:p>
        </w:tc>
        <w:tc>
          <w:tcPr>
            <w:tcW w:w="1843" w:type="dxa"/>
          </w:tcPr>
          <w:p>
            <w:pPr>
              <w:pStyle w:val="TableParagraph"/>
              <w:spacing w:line="264" w:lineRule="exact" w:before="1"/>
              <w:ind w:left="107"/>
              <w:rPr>
                <w:sz w:val="22"/>
              </w:rPr>
            </w:pPr>
            <w:r>
              <w:rPr>
                <w:spacing w:val="-4"/>
                <w:sz w:val="22"/>
              </w:rPr>
              <w:t>1～3a</w:t>
            </w:r>
          </w:p>
        </w:tc>
        <w:tc>
          <w:tcPr>
            <w:tcW w:w="1627" w:type="dxa"/>
          </w:tcPr>
          <w:p>
            <w:pPr>
              <w:pStyle w:val="TableParagraph"/>
              <w:spacing w:line="264" w:lineRule="exact" w:before="1"/>
              <w:ind w:left="107"/>
              <w:rPr>
                <w:sz w:val="22"/>
              </w:rPr>
            </w:pPr>
            <w:r>
              <w:rPr>
                <w:w w:val="100"/>
                <w:sz w:val="22"/>
              </w:rPr>
              <w:t>1</w:t>
            </w:r>
          </w:p>
        </w:tc>
        <w:tc>
          <w:tcPr>
            <w:tcW w:w="1646" w:type="dxa"/>
            <w:tcBorders>
              <w:right w:val="single" w:sz="8" w:space="0" w:color="000000"/>
            </w:tcBorders>
          </w:tcPr>
          <w:p>
            <w:pPr>
              <w:pStyle w:val="TableParagraph"/>
              <w:spacing w:line="264" w:lineRule="exact" w:before="1"/>
              <w:ind w:left="102"/>
              <w:rPr>
                <w:sz w:val="22"/>
              </w:rPr>
            </w:pPr>
            <w:r>
              <w:rPr>
                <w:w w:val="100"/>
                <w:sz w:val="22"/>
              </w:rPr>
              <w:t>0</w:t>
            </w:r>
          </w:p>
        </w:tc>
        <w:tc>
          <w:tcPr>
            <w:tcW w:w="1030" w:type="dxa"/>
            <w:vMerge/>
            <w:tcBorders>
              <w:top w:val="nil"/>
              <w:left w:val="single" w:sz="8" w:space="0" w:color="000000"/>
              <w:bottom w:val="nil"/>
            </w:tcBorders>
          </w:tcPr>
          <w:p>
            <w:pPr>
              <w:rPr>
                <w:sz w:val="2"/>
                <w:szCs w:val="2"/>
              </w:rPr>
            </w:pPr>
          </w:p>
        </w:tc>
      </w:tr>
      <w:tr>
        <w:trPr>
          <w:trHeight w:val="286" w:hRule="atLeast"/>
        </w:trPr>
        <w:tc>
          <w:tcPr>
            <w:tcW w:w="131" w:type="dxa"/>
            <w:vMerge/>
            <w:tcBorders>
              <w:top w:val="nil"/>
              <w:bottom w:val="nil"/>
              <w:right w:val="single" w:sz="8" w:space="0" w:color="000000"/>
            </w:tcBorders>
          </w:tcPr>
          <w:p>
            <w:pPr>
              <w:rPr>
                <w:sz w:val="2"/>
                <w:szCs w:val="2"/>
              </w:rPr>
            </w:pPr>
          </w:p>
        </w:tc>
        <w:tc>
          <w:tcPr>
            <w:tcW w:w="3417" w:type="dxa"/>
            <w:vMerge/>
            <w:tcBorders>
              <w:top w:val="nil"/>
              <w:left w:val="single" w:sz="8" w:space="0" w:color="000000"/>
            </w:tcBorders>
          </w:tcPr>
          <w:p>
            <w:pPr>
              <w:rPr>
                <w:sz w:val="2"/>
                <w:szCs w:val="2"/>
              </w:rPr>
            </w:pPr>
          </w:p>
        </w:tc>
        <w:tc>
          <w:tcPr>
            <w:tcW w:w="1843" w:type="dxa"/>
          </w:tcPr>
          <w:p>
            <w:pPr>
              <w:pStyle w:val="TableParagraph"/>
              <w:spacing w:line="264" w:lineRule="exact" w:before="1"/>
              <w:ind w:left="107"/>
              <w:rPr>
                <w:sz w:val="22"/>
              </w:rPr>
            </w:pPr>
            <w:r>
              <w:rPr>
                <w:spacing w:val="-4"/>
                <w:sz w:val="22"/>
              </w:rPr>
              <w:t>3b～4</w:t>
            </w:r>
          </w:p>
        </w:tc>
        <w:tc>
          <w:tcPr>
            <w:tcW w:w="1627" w:type="dxa"/>
          </w:tcPr>
          <w:p>
            <w:pPr>
              <w:pStyle w:val="TableParagraph"/>
              <w:spacing w:line="264" w:lineRule="exact" w:before="1"/>
              <w:ind w:left="107"/>
              <w:rPr>
                <w:sz w:val="22"/>
              </w:rPr>
            </w:pPr>
            <w:r>
              <w:rPr>
                <w:spacing w:val="-6"/>
                <w:sz w:val="22"/>
              </w:rPr>
              <w:t>任何</w:t>
            </w:r>
          </w:p>
        </w:tc>
        <w:tc>
          <w:tcPr>
            <w:tcW w:w="1646" w:type="dxa"/>
            <w:tcBorders>
              <w:right w:val="single" w:sz="8" w:space="0" w:color="000000"/>
            </w:tcBorders>
          </w:tcPr>
          <w:p>
            <w:pPr>
              <w:pStyle w:val="TableParagraph"/>
              <w:spacing w:line="264" w:lineRule="exact" w:before="1"/>
              <w:ind w:left="102"/>
              <w:rPr>
                <w:sz w:val="22"/>
              </w:rPr>
            </w:pPr>
            <w:r>
              <w:rPr>
                <w:w w:val="100"/>
                <w:sz w:val="22"/>
              </w:rPr>
              <w:t>0</w:t>
            </w:r>
          </w:p>
        </w:tc>
        <w:tc>
          <w:tcPr>
            <w:tcW w:w="1030" w:type="dxa"/>
            <w:vMerge/>
            <w:tcBorders>
              <w:top w:val="nil"/>
              <w:left w:val="single" w:sz="8" w:space="0" w:color="000000"/>
              <w:bottom w:val="nil"/>
            </w:tcBorders>
          </w:tcPr>
          <w:p>
            <w:pPr>
              <w:rPr>
                <w:sz w:val="2"/>
                <w:szCs w:val="2"/>
              </w:rPr>
            </w:pPr>
          </w:p>
        </w:tc>
      </w:tr>
      <w:tr>
        <w:trPr>
          <w:trHeight w:val="284" w:hRule="atLeast"/>
        </w:trPr>
        <w:tc>
          <w:tcPr>
            <w:tcW w:w="131" w:type="dxa"/>
            <w:tcBorders>
              <w:top w:val="nil"/>
              <w:bottom w:val="nil"/>
              <w:right w:val="single" w:sz="8" w:space="0" w:color="000000"/>
            </w:tcBorders>
          </w:tcPr>
          <w:p>
            <w:pPr>
              <w:pStyle w:val="TableParagraph"/>
              <w:rPr>
                <w:rFonts w:ascii="Times New Roman"/>
                <w:sz w:val="20"/>
              </w:rPr>
            </w:pPr>
          </w:p>
        </w:tc>
        <w:tc>
          <w:tcPr>
            <w:tcW w:w="3417" w:type="dxa"/>
            <w:tcBorders>
              <w:left w:val="single" w:sz="8" w:space="0" w:color="000000"/>
              <w:bottom w:val="single" w:sz="8" w:space="0" w:color="000000"/>
            </w:tcBorders>
          </w:tcPr>
          <w:p>
            <w:pPr>
              <w:pStyle w:val="TableParagraph"/>
              <w:spacing w:line="264" w:lineRule="exact"/>
              <w:ind w:left="101"/>
              <w:rPr>
                <w:sz w:val="22"/>
              </w:rPr>
            </w:pPr>
            <w:r>
              <w:rPr>
                <w:spacing w:val="-2"/>
                <w:sz w:val="22"/>
              </w:rPr>
              <w:t>ⅣC</w:t>
            </w:r>
            <w:r>
              <w:rPr>
                <w:spacing w:val="-31"/>
                <w:sz w:val="22"/>
              </w:rPr>
              <w:t> 期</w:t>
            </w:r>
          </w:p>
        </w:tc>
        <w:tc>
          <w:tcPr>
            <w:tcW w:w="1843" w:type="dxa"/>
            <w:tcBorders>
              <w:bottom w:val="single" w:sz="8" w:space="0" w:color="000000"/>
            </w:tcBorders>
          </w:tcPr>
          <w:p>
            <w:pPr>
              <w:pStyle w:val="TableParagraph"/>
              <w:spacing w:line="264" w:lineRule="exact"/>
              <w:ind w:left="107"/>
              <w:rPr>
                <w:sz w:val="22"/>
              </w:rPr>
            </w:pPr>
            <w:r>
              <w:rPr>
                <w:spacing w:val="-6"/>
                <w:sz w:val="22"/>
              </w:rPr>
              <w:t>任何</w:t>
            </w:r>
          </w:p>
        </w:tc>
        <w:tc>
          <w:tcPr>
            <w:tcW w:w="1627" w:type="dxa"/>
            <w:tcBorders>
              <w:bottom w:val="single" w:sz="8" w:space="0" w:color="000000"/>
            </w:tcBorders>
          </w:tcPr>
          <w:p>
            <w:pPr>
              <w:pStyle w:val="TableParagraph"/>
              <w:spacing w:line="264" w:lineRule="exact"/>
              <w:ind w:left="107"/>
              <w:rPr>
                <w:sz w:val="22"/>
              </w:rPr>
            </w:pPr>
            <w:r>
              <w:rPr>
                <w:spacing w:val="-6"/>
                <w:sz w:val="22"/>
              </w:rPr>
              <w:t>任何</w:t>
            </w:r>
          </w:p>
        </w:tc>
        <w:tc>
          <w:tcPr>
            <w:tcW w:w="1646" w:type="dxa"/>
            <w:tcBorders>
              <w:bottom w:val="single" w:sz="8" w:space="0" w:color="000000"/>
              <w:right w:val="single" w:sz="8" w:space="0" w:color="000000"/>
            </w:tcBorders>
          </w:tcPr>
          <w:p>
            <w:pPr>
              <w:pStyle w:val="TableParagraph"/>
              <w:spacing w:line="264" w:lineRule="exact"/>
              <w:ind w:left="102"/>
              <w:rPr>
                <w:sz w:val="22"/>
              </w:rPr>
            </w:pPr>
            <w:r>
              <w:rPr>
                <w:w w:val="100"/>
                <w:sz w:val="22"/>
              </w:rPr>
              <w:t>1</w:t>
            </w:r>
          </w:p>
        </w:tc>
        <w:tc>
          <w:tcPr>
            <w:tcW w:w="1030" w:type="dxa"/>
            <w:vMerge/>
            <w:tcBorders>
              <w:top w:val="nil"/>
              <w:left w:val="single" w:sz="8" w:space="0" w:color="000000"/>
              <w:bottom w:val="nil"/>
            </w:tcBorders>
          </w:tcPr>
          <w:p>
            <w:pPr>
              <w:rPr>
                <w:sz w:val="2"/>
                <w:szCs w:val="2"/>
              </w:rPr>
            </w:pPr>
          </w:p>
        </w:tc>
      </w:tr>
      <w:tr>
        <w:trPr>
          <w:trHeight w:val="285" w:hRule="atLeast"/>
        </w:trPr>
        <w:tc>
          <w:tcPr>
            <w:tcW w:w="9694" w:type="dxa"/>
            <w:gridSpan w:val="6"/>
            <w:tcBorders>
              <w:top w:val="nil"/>
            </w:tcBorders>
          </w:tcPr>
          <w:p>
            <w:pPr>
              <w:pStyle w:val="TableParagraph"/>
              <w:spacing w:line="264" w:lineRule="exact"/>
              <w:ind w:left="26"/>
              <w:rPr>
                <w:sz w:val="22"/>
              </w:rPr>
            </w:pPr>
            <w:r>
              <w:rPr>
                <w:spacing w:val="-3"/>
                <w:sz w:val="22"/>
              </w:rPr>
              <w:t>注：以上表格中“年龄”指患者病理组织标本获取日期时的年龄。</w:t>
            </w:r>
          </w:p>
        </w:tc>
      </w:tr>
    </w:tbl>
    <w:p>
      <w:pPr>
        <w:spacing w:after="0" w:line="264" w:lineRule="exact"/>
        <w:rPr>
          <w:sz w:val="22"/>
        </w:rPr>
        <w:sectPr>
          <w:pgSz w:w="11910" w:h="16840"/>
          <w:pgMar w:header="484" w:footer="706" w:top="1240" w:bottom="900" w:left="980" w:right="980"/>
        </w:sectPr>
      </w:pPr>
    </w:p>
    <w:p>
      <w:pPr>
        <w:pStyle w:val="BodyText"/>
        <w:spacing w:before="6"/>
        <w:rPr>
          <w:b/>
          <w:sz w:val="15"/>
        </w:rPr>
      </w:pPr>
    </w:p>
    <w:p>
      <w:pPr>
        <w:spacing w:before="71"/>
        <w:ind w:left="152" w:right="0" w:firstLine="0"/>
        <w:jc w:val="left"/>
        <w:rPr>
          <w:b/>
          <w:sz w:val="22"/>
        </w:rPr>
      </w:pPr>
      <w:r>
        <w:rPr>
          <w:b/>
          <w:spacing w:val="-3"/>
          <w:sz w:val="22"/>
        </w:rPr>
        <w:t>【附表二】全残项目表</w:t>
      </w:r>
    </w:p>
    <w:p>
      <w:pPr>
        <w:pStyle w:val="BodyText"/>
        <w:spacing w:before="11"/>
        <w:rPr>
          <w:b/>
          <w:sz w:val="27"/>
        </w:rPr>
      </w:pPr>
      <w:r>
        <w:rPr/>
        <w:pict>
          <v:shape style="position:absolute;margin-left:64.25pt;margin-top:19.827656pt;width:466.8pt;height:317.9pt;mso-position-horizontal-relative:page;mso-position-vertical-relative:paragraph;z-index:-15675392;mso-wrap-distance-left:0;mso-wrap-distance-right:0" type="#_x0000_t202" id="docshape64" filled="false" stroked="true" strokeweight="1.44pt" strokecolor="#000000">
            <v:textbox inset="0,0,0,0">
              <w:txbxContent>
                <w:p>
                  <w:pPr>
                    <w:pStyle w:val="BodyText"/>
                    <w:rPr>
                      <w:b/>
                    </w:rPr>
                  </w:pPr>
                </w:p>
                <w:p>
                  <w:pPr>
                    <w:pStyle w:val="BodyText"/>
                    <w:spacing w:before="2"/>
                    <w:rPr>
                      <w:b/>
                      <w:sz w:val="23"/>
                    </w:rPr>
                  </w:pPr>
                </w:p>
                <w:p>
                  <w:pPr>
                    <w:pStyle w:val="BodyText"/>
                    <w:ind w:left="270"/>
                    <w:jc w:val="both"/>
                  </w:pPr>
                  <w:r>
                    <w:rPr>
                      <w:spacing w:val="-25"/>
                    </w:rPr>
                    <w:t>一、 </w:t>
                  </w:r>
                  <w:r>
                    <w:rPr>
                      <w:color w:val="000000"/>
                      <w:spacing w:val="-2"/>
                      <w:shd w:fill="E4E4E4" w:color="auto" w:val="clear"/>
                    </w:rPr>
                    <w:t>双目永久完全失明的（注</w:t>
                  </w:r>
                  <w:r>
                    <w:rPr>
                      <w:color w:val="000000"/>
                      <w:spacing w:val="-4"/>
                      <w:shd w:fill="E4E4E4" w:color="auto" w:val="clear"/>
                    </w:rPr>
                    <w:t>1，5）</w:t>
                  </w:r>
                </w:p>
                <w:p>
                  <w:pPr>
                    <w:pStyle w:val="BodyText"/>
                    <w:spacing w:before="11"/>
                    <w:rPr>
                      <w:sz w:val="27"/>
                    </w:rPr>
                  </w:pPr>
                </w:p>
                <w:p>
                  <w:pPr>
                    <w:pStyle w:val="BodyText"/>
                    <w:spacing w:line="544" w:lineRule="auto"/>
                    <w:ind w:left="270" w:right="4153"/>
                    <w:jc w:val="both"/>
                  </w:pPr>
                  <w:r>
                    <w:rPr>
                      <w:w w:val="95"/>
                    </w:rPr>
                    <w:t>二、 </w:t>
                  </w:r>
                  <w:r>
                    <w:rPr>
                      <w:color w:val="000000"/>
                      <w:w w:val="95"/>
                      <w:shd w:fill="E4E4E4" w:color="auto" w:val="clear"/>
                    </w:rPr>
                    <w:t>两上</w:t>
                  </w:r>
                  <w:r>
                    <w:rPr>
                      <w:color w:val="000000"/>
                      <w:w w:val="95"/>
                      <w:shd w:fill="E4E4E4" w:color="auto" w:val="clear"/>
                    </w:rPr>
                    <w:t>肢</w:t>
                  </w:r>
                  <w:r>
                    <w:rPr>
                      <w:color w:val="000000"/>
                      <w:w w:val="95"/>
                      <w:shd w:fill="E4E4E4" w:color="auto" w:val="clear"/>
                    </w:rPr>
                    <w:t>腕</w:t>
                  </w:r>
                  <w:r>
                    <w:rPr>
                      <w:color w:val="000000"/>
                      <w:w w:val="95"/>
                      <w:shd w:fill="E4E4E4" w:color="auto" w:val="clear"/>
                    </w:rPr>
                    <w:t>关</w:t>
                  </w:r>
                  <w:r>
                    <w:rPr>
                      <w:color w:val="000000"/>
                      <w:w w:val="95"/>
                      <w:shd w:fill="E4E4E4" w:color="auto" w:val="clear"/>
                    </w:rPr>
                    <w:t>节</w:t>
                  </w:r>
                  <w:r>
                    <w:rPr>
                      <w:color w:val="000000"/>
                      <w:w w:val="95"/>
                      <w:shd w:fill="E4E4E4" w:color="auto" w:val="clear"/>
                    </w:rPr>
                    <w:t>以</w:t>
                  </w:r>
                  <w:r>
                    <w:rPr>
                      <w:color w:val="000000"/>
                      <w:w w:val="95"/>
                      <w:shd w:fill="E4E4E4" w:color="auto" w:val="clear"/>
                    </w:rPr>
                    <w:t>上</w:t>
                  </w:r>
                  <w:r>
                    <w:rPr>
                      <w:color w:val="000000"/>
                      <w:w w:val="95"/>
                      <w:shd w:fill="E4E4E4" w:color="auto" w:val="clear"/>
                    </w:rPr>
                    <w:t>或</w:t>
                  </w:r>
                  <w:r>
                    <w:rPr>
                      <w:color w:val="000000"/>
                      <w:w w:val="95"/>
                      <w:shd w:fill="E4E4E4" w:color="auto" w:val="clear"/>
                    </w:rPr>
                    <w:t>两</w:t>
                  </w:r>
                  <w:r>
                    <w:rPr>
                      <w:color w:val="000000"/>
                      <w:w w:val="95"/>
                      <w:shd w:fill="E4E4E4" w:color="auto" w:val="clear"/>
                    </w:rPr>
                    <w:t>下</w:t>
                  </w:r>
                  <w:r>
                    <w:rPr>
                      <w:color w:val="000000"/>
                      <w:w w:val="95"/>
                      <w:shd w:fill="E4E4E4" w:color="auto" w:val="clear"/>
                    </w:rPr>
                    <w:t>肢</w:t>
                  </w:r>
                  <w:r>
                    <w:rPr>
                      <w:color w:val="000000"/>
                      <w:w w:val="95"/>
                      <w:shd w:fill="E4E4E4" w:color="auto" w:val="clear"/>
                    </w:rPr>
                    <w:t>踝</w:t>
                  </w:r>
                  <w:r>
                    <w:rPr>
                      <w:color w:val="000000"/>
                      <w:w w:val="95"/>
                      <w:shd w:fill="E4E4E4" w:color="auto" w:val="clear"/>
                    </w:rPr>
                    <w:t>关</w:t>
                  </w:r>
                  <w:r>
                    <w:rPr>
                      <w:color w:val="000000"/>
                      <w:w w:val="95"/>
                      <w:shd w:fill="E4E4E4" w:color="auto" w:val="clear"/>
                    </w:rPr>
                    <w:t>节</w:t>
                  </w:r>
                  <w:r>
                    <w:rPr>
                      <w:color w:val="000000"/>
                      <w:w w:val="95"/>
                      <w:shd w:fill="E4E4E4" w:color="auto" w:val="clear"/>
                    </w:rPr>
                    <w:t>以</w:t>
                  </w:r>
                  <w:r>
                    <w:rPr>
                      <w:color w:val="000000"/>
                      <w:w w:val="95"/>
                      <w:shd w:fill="E4E4E4" w:color="auto" w:val="clear"/>
                    </w:rPr>
                    <w:t>上</w:t>
                  </w:r>
                  <w:r>
                    <w:rPr>
                      <w:color w:val="000000"/>
                      <w:w w:val="95"/>
                      <w:shd w:fill="E4E4E4" w:color="auto" w:val="clear"/>
                    </w:rPr>
                    <w:t>缺</w:t>
                  </w:r>
                  <w:r>
                    <w:rPr>
                      <w:color w:val="000000"/>
                      <w:w w:val="95"/>
                      <w:shd w:fill="E4E4E4" w:color="auto" w:val="clear"/>
                    </w:rPr>
                    <w:t>失</w:t>
                  </w:r>
                  <w:r>
                    <w:rPr>
                      <w:color w:val="000000"/>
                      <w:w w:val="95"/>
                      <w:shd w:fill="E4E4E4" w:color="auto" w:val="clear"/>
                    </w:rPr>
                    <w:t>的</w:t>
                  </w:r>
                  <w:r>
                    <w:rPr>
                      <w:color w:val="000000"/>
                      <w:spacing w:val="-23"/>
                    </w:rPr>
                    <w:t>三、 </w:t>
                  </w:r>
                  <w:r>
                    <w:rPr>
                      <w:color w:val="000000"/>
                      <w:spacing w:val="-3"/>
                      <w:shd w:fill="E4E4E4" w:color="auto" w:val="clear"/>
                    </w:rPr>
                    <w:t>一上肢腕关节以上及一下肢踝关节以上缺失的</w:t>
                  </w:r>
                </w:p>
                <w:p>
                  <w:pPr>
                    <w:pStyle w:val="BodyText"/>
                    <w:spacing w:line="544" w:lineRule="auto" w:before="2"/>
                    <w:ind w:left="270" w:right="3054"/>
                    <w:jc w:val="both"/>
                  </w:pPr>
                  <w:r>
                    <w:rPr>
                      <w:spacing w:val="-10"/>
                    </w:rPr>
                    <w:t>四、 </w:t>
                  </w:r>
                  <w:r>
                    <w:rPr>
                      <w:color w:val="000000"/>
                      <w:spacing w:val="-2"/>
                      <w:shd w:fill="E4E4E4" w:color="auto" w:val="clear"/>
                    </w:rPr>
                    <w:t>一目永久完全失明（注1，5）及一上肢腕关节以上缺失的</w:t>
                  </w:r>
                  <w:r>
                    <w:rPr>
                      <w:color w:val="000000"/>
                      <w:spacing w:val="-10"/>
                    </w:rPr>
                    <w:t>五、 </w:t>
                  </w:r>
                  <w:r>
                    <w:rPr>
                      <w:color w:val="000000"/>
                      <w:spacing w:val="-2"/>
                      <w:shd w:fill="E4E4E4" w:color="auto" w:val="clear"/>
                    </w:rPr>
                    <w:t>一目永久完全失明（注1，5）及一下肢踝关节以上缺失的</w:t>
                  </w:r>
                  <w:r>
                    <w:rPr>
                      <w:color w:val="000000"/>
                      <w:spacing w:val="-25"/>
                    </w:rPr>
                    <w:t>六、 </w:t>
                  </w:r>
                  <w:r>
                    <w:rPr>
                      <w:color w:val="000000"/>
                      <w:shd w:fill="E4E4E4" w:color="auto" w:val="clear"/>
                    </w:rPr>
                    <w:t>四肢关节机能永久完全丧失的（注2，5）</w:t>
                  </w:r>
                </w:p>
                <w:p>
                  <w:pPr>
                    <w:pStyle w:val="BodyText"/>
                    <w:ind w:left="270"/>
                    <w:jc w:val="both"/>
                  </w:pPr>
                  <w:r>
                    <w:rPr>
                      <w:spacing w:val="-24"/>
                    </w:rPr>
                    <w:t>七、 </w:t>
                  </w:r>
                  <w:r>
                    <w:rPr>
                      <w:color w:val="000000"/>
                      <w:spacing w:val="-2"/>
                      <w:shd w:fill="E4E4E4" w:color="auto" w:val="clear"/>
                    </w:rPr>
                    <w:t>咀嚼、吞咽机能永久完全丧失的（注</w:t>
                  </w:r>
                  <w:r>
                    <w:rPr>
                      <w:color w:val="000000"/>
                      <w:spacing w:val="-4"/>
                      <w:shd w:fill="E4E4E4" w:color="auto" w:val="clear"/>
                    </w:rPr>
                    <w:t>3，5）</w:t>
                  </w:r>
                </w:p>
                <w:p>
                  <w:pPr>
                    <w:pStyle w:val="BodyText"/>
                    <w:spacing w:before="3"/>
                    <w:rPr>
                      <w:sz w:val="27"/>
                    </w:rPr>
                  </w:pPr>
                </w:p>
                <w:p>
                  <w:pPr>
                    <w:pStyle w:val="BodyText"/>
                    <w:spacing w:line="544" w:lineRule="auto"/>
                    <w:ind w:left="750" w:right="414" w:hanging="480"/>
                  </w:pPr>
                  <w:r>
                    <w:rPr>
                      <w:spacing w:val="-26"/>
                    </w:rPr>
                    <w:t>八、 </w:t>
                  </w:r>
                  <w:r>
                    <w:rPr>
                      <w:color w:val="000000"/>
                      <w:spacing w:val="-2"/>
                      <w:shd w:fill="E4E4E4" w:color="auto" w:val="clear"/>
                    </w:rPr>
                    <w:t>中枢神经系统机能或胸、腹部脏器机能极度障碍，终身不能从事任何工作，为维持生</w:t>
                  </w:r>
                  <w:r>
                    <w:rPr>
                      <w:color w:val="000000"/>
                      <w:spacing w:val="80"/>
                      <w:w w:val="150"/>
                      <w:shd w:fill="E4E4E4" w:color="auto" w:val="clear"/>
                    </w:rPr>
                    <w:t>                                           </w:t>
                  </w:r>
                  <w:r>
                    <w:rPr>
                      <w:color w:val="000000"/>
                      <w:spacing w:val="-2"/>
                      <w:shd w:fill="E4E4E4" w:color="auto" w:val="clear"/>
                    </w:rPr>
                    <w:t>命必要的日常生活活动，全需他人扶助的（注4）</w:t>
                  </w:r>
                </w:p>
              </w:txbxContent>
            </v:textbox>
            <v:stroke dashstyle="solid"/>
            <w10:wrap type="topAndBottom"/>
          </v:shape>
        </w:pict>
      </w:r>
    </w:p>
    <w:p>
      <w:pPr>
        <w:pStyle w:val="BodyText"/>
        <w:spacing w:before="2"/>
        <w:rPr>
          <w:b/>
          <w:sz w:val="29"/>
        </w:rPr>
      </w:pPr>
    </w:p>
    <w:p>
      <w:pPr>
        <w:pStyle w:val="BodyText"/>
        <w:spacing w:line="364" w:lineRule="auto" w:before="70"/>
        <w:ind w:left="944" w:right="289" w:hanging="648"/>
      </w:pPr>
      <w:r>
        <w:rPr/>
        <w:t>注 1: </w:t>
      </w:r>
      <w:r>
        <w:rPr>
          <w:color w:val="000000"/>
          <w:shd w:fill="E4E4E4" w:color="auto" w:val="clear"/>
        </w:rPr>
        <w:t>失明包括眼球缺失或摘除、或不能辨别明暗、或仅能辨别眼前手动者，最佳矫正视力低于</w:t>
      </w:r>
      <w:r>
        <w:rPr>
          <w:color w:val="000000"/>
          <w:spacing w:val="80"/>
          <w:w w:val="150"/>
          <w:shd w:fill="E4E4E4" w:color="auto" w:val="clear"/>
        </w:rPr>
        <w:t>                                              </w:t>
      </w:r>
      <w:r>
        <w:rPr>
          <w:color w:val="000000"/>
          <w:spacing w:val="-2"/>
          <w:shd w:fill="E4E4E4" w:color="auto" w:val="clear"/>
        </w:rPr>
        <w:t>国际标准视力表0.02，或视野半径小于5度，并由有资格的眼科医师出具医疗诊断证明。</w:t>
      </w:r>
    </w:p>
    <w:p>
      <w:pPr>
        <w:pStyle w:val="BodyText"/>
        <w:ind w:left="296"/>
      </w:pPr>
      <w:r>
        <w:rPr>
          <w:spacing w:val="1"/>
        </w:rPr>
        <w:t>注 </w:t>
      </w:r>
      <w:r>
        <w:rPr>
          <w:spacing w:val="-2"/>
        </w:rPr>
        <w:t>2</w:t>
      </w:r>
      <w:r>
        <w:rPr>
          <w:spacing w:val="-4"/>
        </w:rPr>
        <w:t>: </w:t>
      </w:r>
      <w:r>
        <w:rPr>
          <w:color w:val="000000"/>
          <w:spacing w:val="-3"/>
          <w:shd w:fill="E4E4E4" w:color="auto" w:val="clear"/>
        </w:rPr>
        <w:t>关节机能的丧失系指关节永久完全僵硬、或麻痹、或关节不能随意识活动。</w:t>
      </w:r>
    </w:p>
    <w:p>
      <w:pPr>
        <w:pStyle w:val="BodyText"/>
        <w:spacing w:line="364" w:lineRule="auto" w:before="146"/>
        <w:ind w:left="944" w:right="289" w:hanging="648"/>
      </w:pPr>
      <w:r>
        <w:rPr/>
        <w:t>注 3: </w:t>
      </w:r>
      <w:r>
        <w:rPr>
          <w:color w:val="000000"/>
          <w:shd w:fill="E4E4E4" w:color="auto" w:val="clear"/>
        </w:rPr>
        <w:t>咀嚼、吞咽机能的丧失系指由于牙齿以外的原因引起器质障碍或机能障碍，以致不能做咀</w:t>
      </w:r>
      <w:r>
        <w:rPr>
          <w:color w:val="000000"/>
          <w:spacing w:val="80"/>
          <w:w w:val="150"/>
          <w:shd w:fill="E4E4E4" w:color="auto" w:val="clear"/>
        </w:rPr>
        <w:t>                                              </w:t>
      </w:r>
      <w:r>
        <w:rPr>
          <w:color w:val="000000"/>
          <w:spacing w:val="-2"/>
          <w:shd w:fill="E4E4E4" w:color="auto" w:val="clear"/>
        </w:rPr>
        <w:t>嚼、吞咽运动，除流质食物外不能摄取或吞咽的状态。</w:t>
      </w:r>
    </w:p>
    <w:p>
      <w:pPr>
        <w:pStyle w:val="BodyText"/>
        <w:spacing w:line="364" w:lineRule="auto"/>
        <w:ind w:left="944" w:right="289" w:hanging="648"/>
      </w:pPr>
      <w:r>
        <w:rPr/>
        <w:t>注 4: </w:t>
      </w:r>
      <w:r>
        <w:rPr>
          <w:color w:val="000000"/>
          <w:shd w:fill="E4E4E4" w:color="auto" w:val="clear"/>
        </w:rPr>
        <w:t>为维持生命必要之日常生活活动，全需他人扶助系指食物摄取、大小便始末、穿脱衣服、</w:t>
      </w:r>
      <w:r>
        <w:rPr>
          <w:color w:val="000000"/>
          <w:spacing w:val="80"/>
          <w:w w:val="150"/>
          <w:shd w:fill="E4E4E4" w:color="auto" w:val="clear"/>
        </w:rPr>
        <w:t>                                              </w:t>
      </w:r>
      <w:r>
        <w:rPr>
          <w:color w:val="000000"/>
          <w:spacing w:val="-2"/>
          <w:shd w:fill="E4E4E4" w:color="auto" w:val="clear"/>
        </w:rPr>
        <w:t>起居、步行、入浴等，皆不能自己为之，需要他人帮助。</w:t>
      </w:r>
    </w:p>
    <w:p>
      <w:pPr>
        <w:pStyle w:val="BodyText"/>
        <w:spacing w:line="348" w:lineRule="auto"/>
        <w:ind w:left="944" w:right="289" w:hanging="648"/>
      </w:pPr>
      <w:r>
        <w:rPr>
          <w:sz w:val="24"/>
        </w:rPr>
        <w:t>注 5:</w:t>
      </w:r>
      <w:r>
        <w:rPr>
          <w:spacing w:val="-36"/>
          <w:sz w:val="24"/>
        </w:rPr>
        <w:t> </w:t>
      </w:r>
      <w:r>
        <w:rPr>
          <w:color w:val="000000"/>
          <w:shd w:fill="E4E4E4" w:color="auto" w:val="clear"/>
        </w:rPr>
        <w:t>所谓永久完全系指自意外伤害事故或疾病诊断之日起经过180天的治疗，机能仍然完全丧</w:t>
      </w:r>
      <w:r>
        <w:rPr>
          <w:color w:val="000000"/>
          <w:spacing w:val="80"/>
          <w:w w:val="150"/>
          <w:shd w:fill="E4E4E4" w:color="auto" w:val="clear"/>
        </w:rPr>
        <w:t>                                              </w:t>
      </w:r>
      <w:r>
        <w:rPr>
          <w:color w:val="000000"/>
          <w:spacing w:val="-2"/>
          <w:shd w:fill="E4E4E4" w:color="auto" w:val="clear"/>
        </w:rPr>
        <w:t>失，但眼球摘除等明显无法复原之情况，不在此限。</w:t>
      </w:r>
    </w:p>
    <w:sectPr>
      <w:pgSz w:w="11910" w:h="16840"/>
      <w:pgMar w:header="484" w:footer="706" w:top="1240" w:bottom="900" w:left="98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华文中宋">
    <w:altName w:val="华文中宋"/>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宋体">
    <w:altName w:val="宋体"/>
    <w:charset w:val="86"/>
    <w:family w:val="auto"/>
    <w:pitch w:val="variable"/>
  </w:font>
  <w:font w:name="PMingLiU-ExtB">
    <w:altName w:val="PMingLiU-ExtB"/>
    <w:charset w:val="0"/>
    <w:family w:val="roman"/>
    <w:pitch w:val="variable"/>
  </w:font>
  <w:font w:name="等线 Light">
    <w:altName w:val="等线 Light"/>
    <w:charset w:val="86"/>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4.519989pt;margin-top:795.623474pt;width:26.75pt;height:13.05pt;mso-position-horizontal-relative:page;mso-position-vertical-relative:page;z-index:-18746880" type="#_x0000_t202" id="docshape3" filled="false" stroked="false">
          <v:textbox inset="0,0,0,0">
            <w:txbxContent>
              <w:p>
                <w:pPr>
                  <w:spacing w:before="10"/>
                  <w:ind w:left="60" w:right="0" w:firstLine="0"/>
                  <w:jc w:val="left"/>
                  <w:rPr>
                    <w:rFonts w:ascii="Times New Roman"/>
                    <w:b/>
                    <w:sz w:val="20"/>
                  </w:rPr>
                </w:pPr>
                <w:r>
                  <w:rPr>
                    <w:rFonts w:ascii="Times New Roman"/>
                    <w:b/>
                    <w:sz w:val="20"/>
                  </w:rPr>
                  <w:fldChar w:fldCharType="begin"/>
                </w:r>
                <w:r>
                  <w:rPr>
                    <w:rFonts w:ascii="Times New Roman"/>
                    <w:b/>
                    <w:sz w:val="20"/>
                  </w:rPr>
                  <w:instrText> PAGE </w:instrText>
                </w:r>
                <w:r>
                  <w:rPr>
                    <w:rFonts w:ascii="Times New Roman"/>
                    <w:b/>
                    <w:sz w:val="20"/>
                  </w:rPr>
                  <w:fldChar w:fldCharType="separate"/>
                </w:r>
                <w:r>
                  <w:rPr>
                    <w:rFonts w:ascii="Times New Roman"/>
                    <w:b/>
                    <w:sz w:val="20"/>
                  </w:rPr>
                  <w:t>1</w:t>
                </w:r>
                <w:r>
                  <w:rPr>
                    <w:rFonts w:ascii="Times New Roman"/>
                    <w:b/>
                    <w:sz w:val="20"/>
                  </w:rPr>
                  <w:fldChar w:fldCharType="end"/>
                </w:r>
                <w:r>
                  <w:rPr>
                    <w:rFonts w:ascii="Times New Roman"/>
                    <w:b/>
                    <w:spacing w:val="-2"/>
                    <w:sz w:val="20"/>
                  </w:rPr>
                  <w:t> </w:t>
                </w:r>
                <w:r>
                  <w:rPr>
                    <w:rFonts w:ascii="Times New Roman"/>
                    <w:sz w:val="20"/>
                  </w:rPr>
                  <w:t>/</w:t>
                </w:r>
                <w:r>
                  <w:rPr>
                    <w:rFonts w:ascii="Times New Roman"/>
                    <w:spacing w:val="-1"/>
                    <w:sz w:val="20"/>
                  </w:rPr>
                  <w:t> </w:t>
                </w:r>
                <w:r>
                  <w:rPr>
                    <w:rFonts w:ascii="Times New Roman"/>
                    <w:b/>
                    <w:spacing w:val="-5"/>
                    <w:sz w:val="20"/>
                  </w:rPr>
                  <w:fldChar w:fldCharType="begin"/>
                </w:r>
                <w:r>
                  <w:rPr>
                    <w:rFonts w:ascii="Times New Roman"/>
                    <w:b/>
                    <w:spacing w:val="-5"/>
                    <w:sz w:val="20"/>
                  </w:rPr>
                  <w:instrText> NUMPAGES </w:instrText>
                </w:r>
                <w:r>
                  <w:rPr>
                    <w:rFonts w:ascii="Times New Roman"/>
                    <w:b/>
                    <w:spacing w:val="-5"/>
                    <w:sz w:val="20"/>
                  </w:rPr>
                  <w:fldChar w:fldCharType="separate"/>
                </w:r>
                <w:r>
                  <w:rPr>
                    <w:rFonts w:ascii="Times New Roman"/>
                    <w:b/>
                    <w:spacing w:val="-5"/>
                    <w:sz w:val="20"/>
                  </w:rPr>
                  <w:t>65</w:t>
                </w:r>
                <w:r>
                  <w:rPr>
                    <w:rFonts w:ascii="Times New Roman"/>
                    <w:b/>
                    <w:spacing w:val="-5"/>
                    <w:sz w:val="20"/>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2pt;margin-top:795.623474pt;width:31.8pt;height:13.05pt;mso-position-horizontal-relative:page;mso-position-vertical-relative:page;z-index:-18744832" type="#_x0000_t202" id="docshape15" filled="false" stroked="false">
          <v:textbox inset="0,0,0,0">
            <w:txbxContent>
              <w:p>
                <w:pPr>
                  <w:spacing w:before="10"/>
                  <w:ind w:left="60" w:right="0" w:firstLine="0"/>
                  <w:jc w:val="left"/>
                  <w:rPr>
                    <w:rFonts w:ascii="Times New Roman"/>
                    <w:b/>
                    <w:sz w:val="20"/>
                  </w:rPr>
                </w:pPr>
                <w:r>
                  <w:rPr>
                    <w:rFonts w:ascii="Times New Roman"/>
                    <w:b/>
                    <w:sz w:val="20"/>
                  </w:rPr>
                  <w:fldChar w:fldCharType="begin"/>
                </w:r>
                <w:r>
                  <w:rPr>
                    <w:rFonts w:ascii="Times New Roman"/>
                    <w:b/>
                    <w:sz w:val="20"/>
                  </w:rPr>
                  <w:instrText> PAGE </w:instrText>
                </w:r>
                <w:r>
                  <w:rPr>
                    <w:rFonts w:ascii="Times New Roman"/>
                    <w:b/>
                    <w:sz w:val="20"/>
                  </w:rPr>
                  <w:fldChar w:fldCharType="separate"/>
                </w:r>
                <w:r>
                  <w:rPr>
                    <w:rFonts w:ascii="Times New Roman"/>
                    <w:b/>
                    <w:sz w:val="20"/>
                  </w:rPr>
                  <w:t>10</w:t>
                </w:r>
                <w:r>
                  <w:rPr>
                    <w:rFonts w:ascii="Times New Roman"/>
                    <w:b/>
                    <w:sz w:val="20"/>
                  </w:rPr>
                  <w:fldChar w:fldCharType="end"/>
                </w:r>
                <w:r>
                  <w:rPr>
                    <w:rFonts w:ascii="Times New Roman"/>
                    <w:b/>
                    <w:spacing w:val="-3"/>
                    <w:sz w:val="20"/>
                  </w:rPr>
                  <w:t> </w:t>
                </w:r>
                <w:r>
                  <w:rPr>
                    <w:rFonts w:ascii="Times New Roman"/>
                    <w:sz w:val="20"/>
                  </w:rPr>
                  <w:t>/</w:t>
                </w:r>
                <w:r>
                  <w:rPr>
                    <w:rFonts w:ascii="Times New Roman"/>
                    <w:spacing w:val="-1"/>
                    <w:sz w:val="20"/>
                  </w:rPr>
                  <w:t> </w:t>
                </w:r>
                <w:r>
                  <w:rPr>
                    <w:rFonts w:ascii="Times New Roman"/>
                    <w:b/>
                    <w:spacing w:val="-5"/>
                    <w:sz w:val="20"/>
                  </w:rPr>
                  <w:fldChar w:fldCharType="begin"/>
                </w:r>
                <w:r>
                  <w:rPr>
                    <w:rFonts w:ascii="Times New Roman"/>
                    <w:b/>
                    <w:spacing w:val="-5"/>
                    <w:sz w:val="20"/>
                  </w:rPr>
                  <w:instrText> NUMPAGES </w:instrText>
                </w:r>
                <w:r>
                  <w:rPr>
                    <w:rFonts w:ascii="Times New Roman"/>
                    <w:b/>
                    <w:spacing w:val="-5"/>
                    <w:sz w:val="20"/>
                  </w:rPr>
                  <w:fldChar w:fldCharType="separate"/>
                </w:r>
                <w:r>
                  <w:rPr>
                    <w:rFonts w:ascii="Times New Roman"/>
                    <w:b/>
                    <w:spacing w:val="-5"/>
                    <w:sz w:val="20"/>
                  </w:rPr>
                  <w:t>65</w:t>
                </w:r>
                <w:r>
                  <w:rPr>
                    <w:rFonts w:ascii="Times New Roman"/>
                    <w:b/>
                    <w:spacing w:val="-5"/>
                    <w:sz w:val="20"/>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line style="position:absolute;mso-position-horizontal-relative:page;mso-position-vertical-relative:page;z-index:-18748416" from="56.599998pt,33.950024pt" to="538.549998pt,33.950024pt" stroked="true" strokeweight=".48pt" strokecolor="#000000">
          <v:stroke dashstyle="solid"/>
          <w10:wrap type="none"/>
        </v:line>
      </w:pict>
    </w:r>
    <w:r>
      <w:rPr/>
      <w:pict>
        <v:shapetype id="_x0000_t202" o:spt="202" coordsize="21600,21600" path="m,l,21600r21600,l21600,xe">
          <v:stroke joinstyle="miter"/>
          <v:path gradientshapeok="t" o:connecttype="rect"/>
        </v:shapetype>
        <v:shape style="position:absolute;margin-left:55.639999pt;margin-top:23.258244pt;width:199.9pt;height:11.95pt;mso-position-horizontal-relative:page;mso-position-vertical-relative:page;z-index:-18747904" type="#_x0000_t202" id="docshape1" filled="false" stroked="false">
          <v:textbox inset="0,0,0,0">
            <w:txbxContent>
              <w:p>
                <w:pPr>
                  <w:spacing w:line="239" w:lineRule="exact" w:before="0"/>
                  <w:ind w:left="20" w:right="0" w:firstLine="0"/>
                  <w:jc w:val="left"/>
                  <w:rPr>
                    <w:sz w:val="20"/>
                  </w:rPr>
                </w:pPr>
                <w:r>
                  <w:rPr>
                    <w:w w:val="95"/>
                    <w:sz w:val="20"/>
                  </w:rPr>
                  <w:t>君</w:t>
                </w:r>
                <w:r>
                  <w:rPr>
                    <w:w w:val="95"/>
                    <w:sz w:val="20"/>
                  </w:rPr>
                  <w:t>龙</w:t>
                </w:r>
                <w:r>
                  <w:rPr>
                    <w:w w:val="95"/>
                    <w:sz w:val="20"/>
                  </w:rPr>
                  <w:t>福</w:t>
                </w:r>
                <w:r>
                  <w:rPr>
                    <w:w w:val="95"/>
                    <w:sz w:val="20"/>
                  </w:rPr>
                  <w:t>寿</w:t>
                </w:r>
                <w:r>
                  <w:rPr>
                    <w:w w:val="95"/>
                    <w:sz w:val="20"/>
                  </w:rPr>
                  <w:t>安</w:t>
                </w:r>
                <w:r>
                  <w:rPr>
                    <w:w w:val="95"/>
                    <w:sz w:val="20"/>
                  </w:rPr>
                  <w:t>康</w:t>
                </w:r>
                <w:r>
                  <w:rPr>
                    <w:w w:val="95"/>
                    <w:sz w:val="20"/>
                  </w:rPr>
                  <w:t>重</w:t>
                </w:r>
                <w:r>
                  <w:rPr>
                    <w:w w:val="95"/>
                    <w:sz w:val="20"/>
                  </w:rPr>
                  <w:t>大</w:t>
                </w:r>
                <w:r>
                  <w:rPr>
                    <w:w w:val="95"/>
                    <w:sz w:val="20"/>
                  </w:rPr>
                  <w:t>疾</w:t>
                </w:r>
                <w:r>
                  <w:rPr>
                    <w:w w:val="95"/>
                    <w:sz w:val="20"/>
                  </w:rPr>
                  <w:t>病</w:t>
                </w:r>
                <w:r>
                  <w:rPr>
                    <w:w w:val="95"/>
                    <w:sz w:val="20"/>
                  </w:rPr>
                  <w:t>保</w:t>
                </w:r>
                <w:r>
                  <w:rPr>
                    <w:w w:val="95"/>
                    <w:sz w:val="20"/>
                  </w:rPr>
                  <w:t>险</w:t>
                </w:r>
                <w:r>
                  <w:rPr>
                    <w:w w:val="95"/>
                    <w:sz w:val="20"/>
                  </w:rPr>
                  <w:t>（</w:t>
                </w:r>
                <w:r>
                  <w:rPr>
                    <w:w w:val="95"/>
                    <w:sz w:val="20"/>
                  </w:rPr>
                  <w:t>互</w:t>
                </w:r>
                <w:r>
                  <w:rPr>
                    <w:w w:val="95"/>
                    <w:sz w:val="20"/>
                  </w:rPr>
                  <w:t>联</w:t>
                </w:r>
                <w:r>
                  <w:rPr>
                    <w:w w:val="95"/>
                    <w:sz w:val="20"/>
                  </w:rPr>
                  <w:t>网</w:t>
                </w:r>
                <w:r>
                  <w:rPr>
                    <w:w w:val="95"/>
                    <w:sz w:val="20"/>
                  </w:rPr>
                  <w:t>）</w:t>
                </w:r>
                <w:r>
                  <w:rPr>
                    <w:w w:val="95"/>
                    <w:sz w:val="20"/>
                  </w:rPr>
                  <w:t>条</w:t>
                </w:r>
                <w:r>
                  <w:rPr>
                    <w:spacing w:val="-10"/>
                    <w:w w:val="95"/>
                    <w:sz w:val="20"/>
                  </w:rPr>
                  <w:t>款</w:t>
                </w:r>
              </w:p>
            </w:txbxContent>
          </v:textbox>
          <w10:wrap type="none"/>
        </v:shape>
      </w:pict>
    </w:r>
    <w:r>
      <w:rPr/>
      <w:pict>
        <v:shape style="position:absolute;margin-left:433.640015pt;margin-top:23.258244pt;width:105.95pt;height:11.95pt;mso-position-horizontal-relative:page;mso-position-vertical-relative:page;z-index:-18747392" type="#_x0000_t202" id="docshape2" filled="false" stroked="false">
          <v:textbox inset="0,0,0,0">
            <w:txbxContent>
              <w:p>
                <w:pPr>
                  <w:spacing w:line="239" w:lineRule="exact" w:before="0"/>
                  <w:ind w:left="20" w:right="0" w:firstLine="0"/>
                  <w:jc w:val="left"/>
                  <w:rPr>
                    <w:sz w:val="20"/>
                  </w:rPr>
                </w:pPr>
                <w:r>
                  <w:rPr>
                    <w:w w:val="95"/>
                    <w:sz w:val="20"/>
                  </w:rPr>
                  <w:t>君</w:t>
                </w:r>
                <w:r>
                  <w:rPr>
                    <w:w w:val="95"/>
                    <w:sz w:val="20"/>
                  </w:rPr>
                  <w:t>龙</w:t>
                </w:r>
                <w:r>
                  <w:rPr>
                    <w:w w:val="95"/>
                    <w:sz w:val="20"/>
                  </w:rPr>
                  <w:t>人</w:t>
                </w:r>
                <w:r>
                  <w:rPr>
                    <w:w w:val="95"/>
                    <w:sz w:val="20"/>
                  </w:rPr>
                  <w:t>寿</w:t>
                </w:r>
                <w:r>
                  <w:rPr>
                    <w:w w:val="95"/>
                    <w:sz w:val="20"/>
                  </w:rPr>
                  <w:t>保</w:t>
                </w:r>
                <w:r>
                  <w:rPr>
                    <w:w w:val="95"/>
                    <w:sz w:val="20"/>
                  </w:rPr>
                  <w:t>险</w:t>
                </w:r>
                <w:r>
                  <w:rPr>
                    <w:w w:val="95"/>
                    <w:sz w:val="20"/>
                  </w:rPr>
                  <w:t>有</w:t>
                </w:r>
                <w:r>
                  <w:rPr>
                    <w:w w:val="95"/>
                    <w:sz w:val="20"/>
                  </w:rPr>
                  <w:t>限</w:t>
                </w:r>
                <w:r>
                  <w:rPr>
                    <w:w w:val="95"/>
                    <w:sz w:val="20"/>
                  </w:rPr>
                  <w:t>公</w:t>
                </w:r>
                <w:r>
                  <w:rPr>
                    <w:spacing w:val="-10"/>
                    <w:w w:val="95"/>
                    <w:sz w:val="20"/>
                  </w:rPr>
                  <w:t>司</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line style="position:absolute;mso-position-horizontal-relative:page;mso-position-vertical-relative:page;z-index:-18746368" from="56.599998pt,33.950024pt" to="538.549998pt,33.950024pt" stroked="true" strokeweight=".48pt" strokecolor="#000000">
          <v:stroke dashstyle="solid"/>
          <w10:wrap type="none"/>
        </v:line>
      </w:pict>
    </w:r>
    <w:r>
      <w:rPr/>
      <w:pict>
        <v:shape style="position:absolute;margin-left:55.639999pt;margin-top:23.258244pt;width:199.9pt;height:11.95pt;mso-position-horizontal-relative:page;mso-position-vertical-relative:page;z-index:-18745856" type="#_x0000_t202" id="docshape13" filled="false" stroked="false">
          <v:textbox inset="0,0,0,0">
            <w:txbxContent>
              <w:p>
                <w:pPr>
                  <w:spacing w:line="239" w:lineRule="exact" w:before="0"/>
                  <w:ind w:left="20" w:right="0" w:firstLine="0"/>
                  <w:jc w:val="left"/>
                  <w:rPr>
                    <w:sz w:val="20"/>
                  </w:rPr>
                </w:pPr>
                <w:r>
                  <w:rPr>
                    <w:w w:val="95"/>
                    <w:sz w:val="20"/>
                  </w:rPr>
                  <w:t>君</w:t>
                </w:r>
                <w:r>
                  <w:rPr>
                    <w:w w:val="95"/>
                    <w:sz w:val="20"/>
                  </w:rPr>
                  <w:t>龙</w:t>
                </w:r>
                <w:r>
                  <w:rPr>
                    <w:w w:val="95"/>
                    <w:sz w:val="20"/>
                  </w:rPr>
                  <w:t>福</w:t>
                </w:r>
                <w:r>
                  <w:rPr>
                    <w:w w:val="95"/>
                    <w:sz w:val="20"/>
                  </w:rPr>
                  <w:t>寿</w:t>
                </w:r>
                <w:r>
                  <w:rPr>
                    <w:w w:val="95"/>
                    <w:sz w:val="20"/>
                  </w:rPr>
                  <w:t>安</w:t>
                </w:r>
                <w:r>
                  <w:rPr>
                    <w:w w:val="95"/>
                    <w:sz w:val="20"/>
                  </w:rPr>
                  <w:t>康</w:t>
                </w:r>
                <w:r>
                  <w:rPr>
                    <w:w w:val="95"/>
                    <w:sz w:val="20"/>
                  </w:rPr>
                  <w:t>重</w:t>
                </w:r>
                <w:r>
                  <w:rPr>
                    <w:w w:val="95"/>
                    <w:sz w:val="20"/>
                  </w:rPr>
                  <w:t>大</w:t>
                </w:r>
                <w:r>
                  <w:rPr>
                    <w:w w:val="95"/>
                    <w:sz w:val="20"/>
                  </w:rPr>
                  <w:t>疾</w:t>
                </w:r>
                <w:r>
                  <w:rPr>
                    <w:w w:val="95"/>
                    <w:sz w:val="20"/>
                  </w:rPr>
                  <w:t>病</w:t>
                </w:r>
                <w:r>
                  <w:rPr>
                    <w:w w:val="95"/>
                    <w:sz w:val="20"/>
                  </w:rPr>
                  <w:t>保</w:t>
                </w:r>
                <w:r>
                  <w:rPr>
                    <w:w w:val="95"/>
                    <w:sz w:val="20"/>
                  </w:rPr>
                  <w:t>险</w:t>
                </w:r>
                <w:r>
                  <w:rPr>
                    <w:w w:val="95"/>
                    <w:sz w:val="20"/>
                  </w:rPr>
                  <w:t>（</w:t>
                </w:r>
                <w:r>
                  <w:rPr>
                    <w:w w:val="95"/>
                    <w:sz w:val="20"/>
                  </w:rPr>
                  <w:t>互</w:t>
                </w:r>
                <w:r>
                  <w:rPr>
                    <w:w w:val="95"/>
                    <w:sz w:val="20"/>
                  </w:rPr>
                  <w:t>联</w:t>
                </w:r>
                <w:r>
                  <w:rPr>
                    <w:w w:val="95"/>
                    <w:sz w:val="20"/>
                  </w:rPr>
                  <w:t>网</w:t>
                </w:r>
                <w:r>
                  <w:rPr>
                    <w:w w:val="95"/>
                    <w:sz w:val="20"/>
                  </w:rPr>
                  <w:t>）</w:t>
                </w:r>
                <w:r>
                  <w:rPr>
                    <w:w w:val="95"/>
                    <w:sz w:val="20"/>
                  </w:rPr>
                  <w:t>条</w:t>
                </w:r>
                <w:r>
                  <w:rPr>
                    <w:spacing w:val="-10"/>
                    <w:w w:val="95"/>
                    <w:sz w:val="20"/>
                  </w:rPr>
                  <w:t>款</w:t>
                </w:r>
              </w:p>
            </w:txbxContent>
          </v:textbox>
          <w10:wrap type="none"/>
        </v:shape>
      </w:pict>
    </w:r>
    <w:r>
      <w:rPr/>
      <w:pict>
        <v:shape style="position:absolute;margin-left:433.640015pt;margin-top:23.258244pt;width:105.95pt;height:11.95pt;mso-position-horizontal-relative:page;mso-position-vertical-relative:page;z-index:-18745344" type="#_x0000_t202" id="docshape14" filled="false" stroked="false">
          <v:textbox inset="0,0,0,0">
            <w:txbxContent>
              <w:p>
                <w:pPr>
                  <w:spacing w:line="239" w:lineRule="exact" w:before="0"/>
                  <w:ind w:left="20" w:right="0" w:firstLine="0"/>
                  <w:jc w:val="left"/>
                  <w:rPr>
                    <w:sz w:val="20"/>
                  </w:rPr>
                </w:pPr>
                <w:r>
                  <w:rPr>
                    <w:w w:val="95"/>
                    <w:sz w:val="20"/>
                  </w:rPr>
                  <w:t>君</w:t>
                </w:r>
                <w:r>
                  <w:rPr>
                    <w:w w:val="95"/>
                    <w:sz w:val="20"/>
                  </w:rPr>
                  <w:t>龙</w:t>
                </w:r>
                <w:r>
                  <w:rPr>
                    <w:w w:val="95"/>
                    <w:sz w:val="20"/>
                  </w:rPr>
                  <w:t>人</w:t>
                </w:r>
                <w:r>
                  <w:rPr>
                    <w:w w:val="95"/>
                    <w:sz w:val="20"/>
                  </w:rPr>
                  <w:t>寿</w:t>
                </w:r>
                <w:r>
                  <w:rPr>
                    <w:w w:val="95"/>
                    <w:sz w:val="20"/>
                  </w:rPr>
                  <w:t>保</w:t>
                </w:r>
                <w:r>
                  <w:rPr>
                    <w:w w:val="95"/>
                    <w:sz w:val="20"/>
                  </w:rPr>
                  <w:t>险</w:t>
                </w:r>
                <w:r>
                  <w:rPr>
                    <w:w w:val="95"/>
                    <w:sz w:val="20"/>
                  </w:rPr>
                  <w:t>有</w:t>
                </w:r>
                <w:r>
                  <w:rPr>
                    <w:w w:val="95"/>
                    <w:sz w:val="20"/>
                  </w:rPr>
                  <w:t>限</w:t>
                </w:r>
                <w:r>
                  <w:rPr>
                    <w:w w:val="95"/>
                    <w:sz w:val="20"/>
                  </w:rPr>
                  <w:t>公</w:t>
                </w:r>
                <w:r>
                  <w:rPr>
                    <w:spacing w:val="-10"/>
                    <w:w w:val="95"/>
                    <w:sz w:val="20"/>
                  </w:rPr>
                  <w:t>司</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6">
    <w:multiLevelType w:val="hybridMultilevel"/>
    <w:lvl w:ilvl="0">
      <w:start w:val="1"/>
      <w:numFmt w:val="decimal"/>
      <w:lvlText w:val="（%1）"/>
      <w:lvlJc w:val="left"/>
      <w:pPr>
        <w:ind w:left="837" w:hanging="450"/>
        <w:jc w:val="left"/>
      </w:pPr>
      <w:rPr>
        <w:rFonts w:hint="default" w:ascii="宋体" w:hAnsi="宋体" w:eastAsia="宋体" w:cs="宋体"/>
        <w:b w:val="0"/>
        <w:bCs w:val="0"/>
        <w:i w:val="0"/>
        <w:iCs w:val="0"/>
        <w:spacing w:val="-2"/>
        <w:w w:val="100"/>
        <w:sz w:val="16"/>
        <w:szCs w:val="16"/>
        <w:lang w:val="en-US" w:eastAsia="zh-CN" w:bidi="ar-SA"/>
      </w:rPr>
    </w:lvl>
    <w:lvl w:ilvl="1">
      <w:start w:val="0"/>
      <w:numFmt w:val="bullet"/>
      <w:lvlText w:val="•"/>
      <w:lvlJc w:val="left"/>
      <w:pPr>
        <w:ind w:left="1750" w:hanging="450"/>
      </w:pPr>
      <w:rPr>
        <w:rFonts w:hint="default"/>
        <w:lang w:val="en-US" w:eastAsia="zh-CN" w:bidi="ar-SA"/>
      </w:rPr>
    </w:lvl>
    <w:lvl w:ilvl="2">
      <w:start w:val="0"/>
      <w:numFmt w:val="bullet"/>
      <w:lvlText w:val="•"/>
      <w:lvlJc w:val="left"/>
      <w:pPr>
        <w:ind w:left="2661" w:hanging="450"/>
      </w:pPr>
      <w:rPr>
        <w:rFonts w:hint="default"/>
        <w:lang w:val="en-US" w:eastAsia="zh-CN" w:bidi="ar-SA"/>
      </w:rPr>
    </w:lvl>
    <w:lvl w:ilvl="3">
      <w:start w:val="0"/>
      <w:numFmt w:val="bullet"/>
      <w:lvlText w:val="•"/>
      <w:lvlJc w:val="left"/>
      <w:pPr>
        <w:ind w:left="3571" w:hanging="450"/>
      </w:pPr>
      <w:rPr>
        <w:rFonts w:hint="default"/>
        <w:lang w:val="en-US" w:eastAsia="zh-CN" w:bidi="ar-SA"/>
      </w:rPr>
    </w:lvl>
    <w:lvl w:ilvl="4">
      <w:start w:val="0"/>
      <w:numFmt w:val="bullet"/>
      <w:lvlText w:val="•"/>
      <w:lvlJc w:val="left"/>
      <w:pPr>
        <w:ind w:left="4482" w:hanging="450"/>
      </w:pPr>
      <w:rPr>
        <w:rFonts w:hint="default"/>
        <w:lang w:val="en-US" w:eastAsia="zh-CN" w:bidi="ar-SA"/>
      </w:rPr>
    </w:lvl>
    <w:lvl w:ilvl="5">
      <w:start w:val="0"/>
      <w:numFmt w:val="bullet"/>
      <w:lvlText w:val="•"/>
      <w:lvlJc w:val="left"/>
      <w:pPr>
        <w:ind w:left="5393" w:hanging="450"/>
      </w:pPr>
      <w:rPr>
        <w:rFonts w:hint="default"/>
        <w:lang w:val="en-US" w:eastAsia="zh-CN" w:bidi="ar-SA"/>
      </w:rPr>
    </w:lvl>
    <w:lvl w:ilvl="6">
      <w:start w:val="0"/>
      <w:numFmt w:val="bullet"/>
      <w:lvlText w:val="•"/>
      <w:lvlJc w:val="left"/>
      <w:pPr>
        <w:ind w:left="6303" w:hanging="450"/>
      </w:pPr>
      <w:rPr>
        <w:rFonts w:hint="default"/>
        <w:lang w:val="en-US" w:eastAsia="zh-CN" w:bidi="ar-SA"/>
      </w:rPr>
    </w:lvl>
    <w:lvl w:ilvl="7">
      <w:start w:val="0"/>
      <w:numFmt w:val="bullet"/>
      <w:lvlText w:val="•"/>
      <w:lvlJc w:val="left"/>
      <w:pPr>
        <w:ind w:left="7214" w:hanging="450"/>
      </w:pPr>
      <w:rPr>
        <w:rFonts w:hint="default"/>
        <w:lang w:val="en-US" w:eastAsia="zh-CN" w:bidi="ar-SA"/>
      </w:rPr>
    </w:lvl>
    <w:lvl w:ilvl="8">
      <w:start w:val="0"/>
      <w:numFmt w:val="bullet"/>
      <w:lvlText w:val="•"/>
      <w:lvlJc w:val="left"/>
      <w:pPr>
        <w:ind w:left="8124" w:hanging="450"/>
      </w:pPr>
      <w:rPr>
        <w:rFonts w:hint="default"/>
        <w:lang w:val="en-US" w:eastAsia="zh-CN" w:bidi="ar-SA"/>
      </w:rPr>
    </w:lvl>
  </w:abstractNum>
  <w:abstractNum w:abstractNumId="109">
    <w:multiLevelType w:val="hybridMultilevel"/>
    <w:lvl w:ilvl="0">
      <w:start w:val="2"/>
      <w:numFmt w:val="decimal"/>
      <w:lvlText w:val="（%1）"/>
      <w:lvlJc w:val="left"/>
      <w:pPr>
        <w:ind w:left="762" w:hanging="660"/>
        <w:jc w:val="left"/>
      </w:pPr>
      <w:rPr>
        <w:rFonts w:hint="default" w:ascii="宋体" w:hAnsi="宋体" w:eastAsia="宋体" w:cs="宋体"/>
        <w:b w:val="0"/>
        <w:bCs w:val="0"/>
        <w:i w:val="0"/>
        <w:iCs w:val="0"/>
        <w:spacing w:val="-1"/>
        <w:w w:val="100"/>
        <w:sz w:val="22"/>
        <w:szCs w:val="22"/>
        <w:shd w:fill="E4E4E4" w:color="auto" w:val="clear"/>
        <w:lang w:val="en-US" w:eastAsia="zh-CN" w:bidi="ar-SA"/>
      </w:rPr>
    </w:lvl>
    <w:lvl w:ilvl="1">
      <w:start w:val="0"/>
      <w:numFmt w:val="bullet"/>
      <w:lvlText w:val="•"/>
      <w:lvlJc w:val="left"/>
      <w:pPr>
        <w:ind w:left="1430" w:hanging="660"/>
      </w:pPr>
      <w:rPr>
        <w:rFonts w:hint="default"/>
        <w:lang w:val="en-US" w:eastAsia="zh-CN" w:bidi="ar-SA"/>
      </w:rPr>
    </w:lvl>
    <w:lvl w:ilvl="2">
      <w:start w:val="0"/>
      <w:numFmt w:val="bullet"/>
      <w:lvlText w:val="•"/>
      <w:lvlJc w:val="left"/>
      <w:pPr>
        <w:ind w:left="2101" w:hanging="660"/>
      </w:pPr>
      <w:rPr>
        <w:rFonts w:hint="default"/>
        <w:lang w:val="en-US" w:eastAsia="zh-CN" w:bidi="ar-SA"/>
      </w:rPr>
    </w:lvl>
    <w:lvl w:ilvl="3">
      <w:start w:val="0"/>
      <w:numFmt w:val="bullet"/>
      <w:lvlText w:val="•"/>
      <w:lvlJc w:val="left"/>
      <w:pPr>
        <w:ind w:left="2771" w:hanging="660"/>
      </w:pPr>
      <w:rPr>
        <w:rFonts w:hint="default"/>
        <w:lang w:val="en-US" w:eastAsia="zh-CN" w:bidi="ar-SA"/>
      </w:rPr>
    </w:lvl>
    <w:lvl w:ilvl="4">
      <w:start w:val="0"/>
      <w:numFmt w:val="bullet"/>
      <w:lvlText w:val="•"/>
      <w:lvlJc w:val="left"/>
      <w:pPr>
        <w:ind w:left="3442" w:hanging="660"/>
      </w:pPr>
      <w:rPr>
        <w:rFonts w:hint="default"/>
        <w:lang w:val="en-US" w:eastAsia="zh-CN" w:bidi="ar-SA"/>
      </w:rPr>
    </w:lvl>
    <w:lvl w:ilvl="5">
      <w:start w:val="0"/>
      <w:numFmt w:val="bullet"/>
      <w:lvlText w:val="•"/>
      <w:lvlJc w:val="left"/>
      <w:pPr>
        <w:ind w:left="4112" w:hanging="660"/>
      </w:pPr>
      <w:rPr>
        <w:rFonts w:hint="default"/>
        <w:lang w:val="en-US" w:eastAsia="zh-CN" w:bidi="ar-SA"/>
      </w:rPr>
    </w:lvl>
    <w:lvl w:ilvl="6">
      <w:start w:val="0"/>
      <w:numFmt w:val="bullet"/>
      <w:lvlText w:val="•"/>
      <w:lvlJc w:val="left"/>
      <w:pPr>
        <w:ind w:left="4783" w:hanging="660"/>
      </w:pPr>
      <w:rPr>
        <w:rFonts w:hint="default"/>
        <w:lang w:val="en-US" w:eastAsia="zh-CN" w:bidi="ar-SA"/>
      </w:rPr>
    </w:lvl>
    <w:lvl w:ilvl="7">
      <w:start w:val="0"/>
      <w:numFmt w:val="bullet"/>
      <w:lvlText w:val="•"/>
      <w:lvlJc w:val="left"/>
      <w:pPr>
        <w:ind w:left="5453" w:hanging="660"/>
      </w:pPr>
      <w:rPr>
        <w:rFonts w:hint="default"/>
        <w:lang w:val="en-US" w:eastAsia="zh-CN" w:bidi="ar-SA"/>
      </w:rPr>
    </w:lvl>
    <w:lvl w:ilvl="8">
      <w:start w:val="0"/>
      <w:numFmt w:val="bullet"/>
      <w:lvlText w:val="•"/>
      <w:lvlJc w:val="left"/>
      <w:pPr>
        <w:ind w:left="6124" w:hanging="660"/>
      </w:pPr>
      <w:rPr>
        <w:rFonts w:hint="default"/>
        <w:lang w:val="en-US" w:eastAsia="zh-CN" w:bidi="ar-SA"/>
      </w:rPr>
    </w:lvl>
  </w:abstractNum>
  <w:abstractNum w:abstractNumId="108">
    <w:multiLevelType w:val="hybridMultilevel"/>
    <w:lvl w:ilvl="0">
      <w:start w:val="1"/>
      <w:numFmt w:val="decimal"/>
      <w:lvlText w:val="（%1）"/>
      <w:lvlJc w:val="left"/>
      <w:pPr>
        <w:ind w:left="3140" w:hanging="660"/>
        <w:jc w:val="left"/>
      </w:pPr>
      <w:rPr>
        <w:rFonts w:hint="default" w:ascii="宋体" w:hAnsi="宋体" w:eastAsia="宋体" w:cs="宋体"/>
        <w:b w:val="0"/>
        <w:bCs w:val="0"/>
        <w:i w:val="0"/>
        <w:iCs w:val="0"/>
        <w:spacing w:val="-1"/>
        <w:w w:val="100"/>
        <w:sz w:val="22"/>
        <w:szCs w:val="22"/>
        <w:shd w:fill="E4E4E4" w:color="auto" w:val="clear"/>
        <w:lang w:val="en-US" w:eastAsia="zh-CN" w:bidi="ar-SA"/>
      </w:rPr>
    </w:lvl>
    <w:lvl w:ilvl="1">
      <w:start w:val="1"/>
      <w:numFmt w:val="lowerLetter"/>
      <w:lvlText w:val="%2."/>
      <w:lvlJc w:val="left"/>
      <w:pPr>
        <w:ind w:left="3200" w:hanging="228"/>
        <w:jc w:val="left"/>
      </w:pPr>
      <w:rPr>
        <w:rFonts w:hint="default" w:ascii="宋体" w:hAnsi="宋体" w:eastAsia="宋体" w:cs="宋体"/>
        <w:b w:val="0"/>
        <w:bCs w:val="0"/>
        <w:i w:val="0"/>
        <w:iCs w:val="0"/>
        <w:spacing w:val="-1"/>
        <w:w w:val="100"/>
        <w:sz w:val="20"/>
        <w:szCs w:val="20"/>
        <w:shd w:fill="E4E4E4" w:color="auto" w:val="clear"/>
        <w:lang w:val="en-US" w:eastAsia="zh-CN" w:bidi="ar-SA"/>
      </w:rPr>
    </w:lvl>
    <w:lvl w:ilvl="2">
      <w:start w:val="0"/>
      <w:numFmt w:val="bullet"/>
      <w:lvlText w:val="•"/>
      <w:lvlJc w:val="left"/>
      <w:pPr>
        <w:ind w:left="3949" w:hanging="228"/>
      </w:pPr>
      <w:rPr>
        <w:rFonts w:hint="default"/>
        <w:lang w:val="en-US" w:eastAsia="zh-CN" w:bidi="ar-SA"/>
      </w:rPr>
    </w:lvl>
    <w:lvl w:ilvl="3">
      <w:start w:val="0"/>
      <w:numFmt w:val="bullet"/>
      <w:lvlText w:val="•"/>
      <w:lvlJc w:val="left"/>
      <w:pPr>
        <w:ind w:left="4699" w:hanging="228"/>
      </w:pPr>
      <w:rPr>
        <w:rFonts w:hint="default"/>
        <w:lang w:val="en-US" w:eastAsia="zh-CN" w:bidi="ar-SA"/>
      </w:rPr>
    </w:lvl>
    <w:lvl w:ilvl="4">
      <w:start w:val="0"/>
      <w:numFmt w:val="bullet"/>
      <w:lvlText w:val="•"/>
      <w:lvlJc w:val="left"/>
      <w:pPr>
        <w:ind w:left="5448" w:hanging="228"/>
      </w:pPr>
      <w:rPr>
        <w:rFonts w:hint="default"/>
        <w:lang w:val="en-US" w:eastAsia="zh-CN" w:bidi="ar-SA"/>
      </w:rPr>
    </w:lvl>
    <w:lvl w:ilvl="5">
      <w:start w:val="0"/>
      <w:numFmt w:val="bullet"/>
      <w:lvlText w:val="•"/>
      <w:lvlJc w:val="left"/>
      <w:pPr>
        <w:ind w:left="6198" w:hanging="228"/>
      </w:pPr>
      <w:rPr>
        <w:rFonts w:hint="default"/>
        <w:lang w:val="en-US" w:eastAsia="zh-CN" w:bidi="ar-SA"/>
      </w:rPr>
    </w:lvl>
    <w:lvl w:ilvl="6">
      <w:start w:val="0"/>
      <w:numFmt w:val="bullet"/>
      <w:lvlText w:val="•"/>
      <w:lvlJc w:val="left"/>
      <w:pPr>
        <w:ind w:left="6947" w:hanging="228"/>
      </w:pPr>
      <w:rPr>
        <w:rFonts w:hint="default"/>
        <w:lang w:val="en-US" w:eastAsia="zh-CN" w:bidi="ar-SA"/>
      </w:rPr>
    </w:lvl>
    <w:lvl w:ilvl="7">
      <w:start w:val="0"/>
      <w:numFmt w:val="bullet"/>
      <w:lvlText w:val="•"/>
      <w:lvlJc w:val="left"/>
      <w:pPr>
        <w:ind w:left="7697" w:hanging="228"/>
      </w:pPr>
      <w:rPr>
        <w:rFonts w:hint="default"/>
        <w:lang w:val="en-US" w:eastAsia="zh-CN" w:bidi="ar-SA"/>
      </w:rPr>
    </w:lvl>
    <w:lvl w:ilvl="8">
      <w:start w:val="0"/>
      <w:numFmt w:val="bullet"/>
      <w:lvlText w:val="•"/>
      <w:lvlJc w:val="left"/>
      <w:pPr>
        <w:ind w:left="8446" w:hanging="228"/>
      </w:pPr>
      <w:rPr>
        <w:rFonts w:hint="default"/>
        <w:lang w:val="en-US" w:eastAsia="zh-CN" w:bidi="ar-SA"/>
      </w:rPr>
    </w:lvl>
  </w:abstractNum>
  <w:abstractNum w:abstractNumId="107">
    <w:multiLevelType w:val="hybridMultilevel"/>
    <w:lvl w:ilvl="0">
      <w:start w:val="3"/>
      <w:numFmt w:val="decimal"/>
      <w:lvlText w:val="（%1）"/>
      <w:lvlJc w:val="left"/>
      <w:pPr>
        <w:ind w:left="3140" w:hanging="660"/>
        <w:jc w:val="left"/>
      </w:pPr>
      <w:rPr>
        <w:rFonts w:hint="default" w:ascii="宋体" w:hAnsi="宋体" w:eastAsia="宋体" w:cs="宋体"/>
        <w:b w:val="0"/>
        <w:bCs w:val="0"/>
        <w:i w:val="0"/>
        <w:iCs w:val="0"/>
        <w:spacing w:val="-1"/>
        <w:w w:val="100"/>
        <w:sz w:val="22"/>
        <w:szCs w:val="22"/>
        <w:shd w:fill="E4E4E4" w:color="auto" w:val="clear"/>
        <w:lang w:val="en-US" w:eastAsia="zh-CN" w:bidi="ar-SA"/>
      </w:rPr>
    </w:lvl>
    <w:lvl w:ilvl="1">
      <w:start w:val="0"/>
      <w:numFmt w:val="bullet"/>
      <w:lvlText w:val="•"/>
      <w:lvlJc w:val="left"/>
      <w:pPr>
        <w:ind w:left="3820" w:hanging="660"/>
      </w:pPr>
      <w:rPr>
        <w:rFonts w:hint="default"/>
        <w:lang w:val="en-US" w:eastAsia="zh-CN" w:bidi="ar-SA"/>
      </w:rPr>
    </w:lvl>
    <w:lvl w:ilvl="2">
      <w:start w:val="0"/>
      <w:numFmt w:val="bullet"/>
      <w:lvlText w:val="•"/>
      <w:lvlJc w:val="left"/>
      <w:pPr>
        <w:ind w:left="4501" w:hanging="660"/>
      </w:pPr>
      <w:rPr>
        <w:rFonts w:hint="default"/>
        <w:lang w:val="en-US" w:eastAsia="zh-CN" w:bidi="ar-SA"/>
      </w:rPr>
    </w:lvl>
    <w:lvl w:ilvl="3">
      <w:start w:val="0"/>
      <w:numFmt w:val="bullet"/>
      <w:lvlText w:val="•"/>
      <w:lvlJc w:val="left"/>
      <w:pPr>
        <w:ind w:left="5181" w:hanging="660"/>
      </w:pPr>
      <w:rPr>
        <w:rFonts w:hint="default"/>
        <w:lang w:val="en-US" w:eastAsia="zh-CN" w:bidi="ar-SA"/>
      </w:rPr>
    </w:lvl>
    <w:lvl w:ilvl="4">
      <w:start w:val="0"/>
      <w:numFmt w:val="bullet"/>
      <w:lvlText w:val="•"/>
      <w:lvlJc w:val="left"/>
      <w:pPr>
        <w:ind w:left="5862" w:hanging="660"/>
      </w:pPr>
      <w:rPr>
        <w:rFonts w:hint="default"/>
        <w:lang w:val="en-US" w:eastAsia="zh-CN" w:bidi="ar-SA"/>
      </w:rPr>
    </w:lvl>
    <w:lvl w:ilvl="5">
      <w:start w:val="0"/>
      <w:numFmt w:val="bullet"/>
      <w:lvlText w:val="•"/>
      <w:lvlJc w:val="left"/>
      <w:pPr>
        <w:ind w:left="6543" w:hanging="660"/>
      </w:pPr>
      <w:rPr>
        <w:rFonts w:hint="default"/>
        <w:lang w:val="en-US" w:eastAsia="zh-CN" w:bidi="ar-SA"/>
      </w:rPr>
    </w:lvl>
    <w:lvl w:ilvl="6">
      <w:start w:val="0"/>
      <w:numFmt w:val="bullet"/>
      <w:lvlText w:val="•"/>
      <w:lvlJc w:val="left"/>
      <w:pPr>
        <w:ind w:left="7223" w:hanging="660"/>
      </w:pPr>
      <w:rPr>
        <w:rFonts w:hint="default"/>
        <w:lang w:val="en-US" w:eastAsia="zh-CN" w:bidi="ar-SA"/>
      </w:rPr>
    </w:lvl>
    <w:lvl w:ilvl="7">
      <w:start w:val="0"/>
      <w:numFmt w:val="bullet"/>
      <w:lvlText w:val="•"/>
      <w:lvlJc w:val="left"/>
      <w:pPr>
        <w:ind w:left="7904" w:hanging="660"/>
      </w:pPr>
      <w:rPr>
        <w:rFonts w:hint="default"/>
        <w:lang w:val="en-US" w:eastAsia="zh-CN" w:bidi="ar-SA"/>
      </w:rPr>
    </w:lvl>
    <w:lvl w:ilvl="8">
      <w:start w:val="0"/>
      <w:numFmt w:val="bullet"/>
      <w:lvlText w:val="•"/>
      <w:lvlJc w:val="left"/>
      <w:pPr>
        <w:ind w:left="8584" w:hanging="660"/>
      </w:pPr>
      <w:rPr>
        <w:rFonts w:hint="default"/>
        <w:lang w:val="en-US" w:eastAsia="zh-CN" w:bidi="ar-SA"/>
      </w:rPr>
    </w:lvl>
  </w:abstractNum>
  <w:abstractNum w:abstractNumId="106">
    <w:multiLevelType w:val="hybridMultilevel"/>
    <w:lvl w:ilvl="0">
      <w:start w:val="1"/>
      <w:numFmt w:val="decimal"/>
      <w:lvlText w:val="（%1）"/>
      <w:lvlJc w:val="left"/>
      <w:pPr>
        <w:ind w:left="3140" w:hanging="660"/>
        <w:jc w:val="left"/>
      </w:pPr>
      <w:rPr>
        <w:rFonts w:hint="default" w:ascii="宋体" w:hAnsi="宋体" w:eastAsia="宋体" w:cs="宋体"/>
        <w:b w:val="0"/>
        <w:bCs w:val="0"/>
        <w:i w:val="0"/>
        <w:iCs w:val="0"/>
        <w:spacing w:val="-1"/>
        <w:w w:val="100"/>
        <w:sz w:val="22"/>
        <w:szCs w:val="22"/>
        <w:shd w:fill="E4E4E4" w:color="auto" w:val="clear"/>
        <w:lang w:val="en-US" w:eastAsia="zh-CN" w:bidi="ar-SA"/>
      </w:rPr>
    </w:lvl>
    <w:lvl w:ilvl="1">
      <w:start w:val="1"/>
      <w:numFmt w:val="lowerLetter"/>
      <w:lvlText w:val="%2."/>
      <w:lvlJc w:val="left"/>
      <w:pPr>
        <w:ind w:left="3200" w:hanging="228"/>
        <w:jc w:val="left"/>
      </w:pPr>
      <w:rPr>
        <w:rFonts w:hint="default" w:ascii="宋体" w:hAnsi="宋体" w:eastAsia="宋体" w:cs="宋体"/>
        <w:b w:val="0"/>
        <w:bCs w:val="0"/>
        <w:i w:val="0"/>
        <w:iCs w:val="0"/>
        <w:spacing w:val="-1"/>
        <w:w w:val="100"/>
        <w:sz w:val="20"/>
        <w:szCs w:val="20"/>
        <w:shd w:fill="E4E4E4" w:color="auto" w:val="clear"/>
        <w:lang w:val="en-US" w:eastAsia="zh-CN" w:bidi="ar-SA"/>
      </w:rPr>
    </w:lvl>
    <w:lvl w:ilvl="2">
      <w:start w:val="0"/>
      <w:numFmt w:val="bullet"/>
      <w:lvlText w:val="•"/>
      <w:lvlJc w:val="left"/>
      <w:pPr>
        <w:ind w:left="3949" w:hanging="228"/>
      </w:pPr>
      <w:rPr>
        <w:rFonts w:hint="default"/>
        <w:lang w:val="en-US" w:eastAsia="zh-CN" w:bidi="ar-SA"/>
      </w:rPr>
    </w:lvl>
    <w:lvl w:ilvl="3">
      <w:start w:val="0"/>
      <w:numFmt w:val="bullet"/>
      <w:lvlText w:val="•"/>
      <w:lvlJc w:val="left"/>
      <w:pPr>
        <w:ind w:left="4699" w:hanging="228"/>
      </w:pPr>
      <w:rPr>
        <w:rFonts w:hint="default"/>
        <w:lang w:val="en-US" w:eastAsia="zh-CN" w:bidi="ar-SA"/>
      </w:rPr>
    </w:lvl>
    <w:lvl w:ilvl="4">
      <w:start w:val="0"/>
      <w:numFmt w:val="bullet"/>
      <w:lvlText w:val="•"/>
      <w:lvlJc w:val="left"/>
      <w:pPr>
        <w:ind w:left="5448" w:hanging="228"/>
      </w:pPr>
      <w:rPr>
        <w:rFonts w:hint="default"/>
        <w:lang w:val="en-US" w:eastAsia="zh-CN" w:bidi="ar-SA"/>
      </w:rPr>
    </w:lvl>
    <w:lvl w:ilvl="5">
      <w:start w:val="0"/>
      <w:numFmt w:val="bullet"/>
      <w:lvlText w:val="•"/>
      <w:lvlJc w:val="left"/>
      <w:pPr>
        <w:ind w:left="6198" w:hanging="228"/>
      </w:pPr>
      <w:rPr>
        <w:rFonts w:hint="default"/>
        <w:lang w:val="en-US" w:eastAsia="zh-CN" w:bidi="ar-SA"/>
      </w:rPr>
    </w:lvl>
    <w:lvl w:ilvl="6">
      <w:start w:val="0"/>
      <w:numFmt w:val="bullet"/>
      <w:lvlText w:val="•"/>
      <w:lvlJc w:val="left"/>
      <w:pPr>
        <w:ind w:left="6947" w:hanging="228"/>
      </w:pPr>
      <w:rPr>
        <w:rFonts w:hint="default"/>
        <w:lang w:val="en-US" w:eastAsia="zh-CN" w:bidi="ar-SA"/>
      </w:rPr>
    </w:lvl>
    <w:lvl w:ilvl="7">
      <w:start w:val="0"/>
      <w:numFmt w:val="bullet"/>
      <w:lvlText w:val="•"/>
      <w:lvlJc w:val="left"/>
      <w:pPr>
        <w:ind w:left="7697" w:hanging="228"/>
      </w:pPr>
      <w:rPr>
        <w:rFonts w:hint="default"/>
        <w:lang w:val="en-US" w:eastAsia="zh-CN" w:bidi="ar-SA"/>
      </w:rPr>
    </w:lvl>
    <w:lvl w:ilvl="8">
      <w:start w:val="0"/>
      <w:numFmt w:val="bullet"/>
      <w:lvlText w:val="•"/>
      <w:lvlJc w:val="left"/>
      <w:pPr>
        <w:ind w:left="8446" w:hanging="228"/>
      </w:pPr>
      <w:rPr>
        <w:rFonts w:hint="default"/>
        <w:lang w:val="en-US" w:eastAsia="zh-CN" w:bidi="ar-SA"/>
      </w:rPr>
    </w:lvl>
  </w:abstractNum>
  <w:abstractNum w:abstractNumId="105">
    <w:multiLevelType w:val="hybridMultilevel"/>
    <w:lvl w:ilvl="0">
      <w:start w:val="1"/>
      <w:numFmt w:val="decimal"/>
      <w:lvlText w:val="（%1）"/>
      <w:lvlJc w:val="left"/>
      <w:pPr>
        <w:ind w:left="3140" w:hanging="660"/>
        <w:jc w:val="left"/>
      </w:pPr>
      <w:rPr>
        <w:rFonts w:hint="default" w:ascii="宋体" w:hAnsi="宋体" w:eastAsia="宋体" w:cs="宋体"/>
        <w:b w:val="0"/>
        <w:bCs w:val="0"/>
        <w:i w:val="0"/>
        <w:iCs w:val="0"/>
        <w:spacing w:val="-1"/>
        <w:w w:val="100"/>
        <w:sz w:val="22"/>
        <w:szCs w:val="22"/>
        <w:shd w:fill="E4E4E4" w:color="auto" w:val="clear"/>
        <w:lang w:val="en-US" w:eastAsia="zh-CN" w:bidi="ar-SA"/>
      </w:rPr>
    </w:lvl>
    <w:lvl w:ilvl="1">
      <w:start w:val="1"/>
      <w:numFmt w:val="lowerLetter"/>
      <w:lvlText w:val="%2."/>
      <w:lvlJc w:val="left"/>
      <w:pPr>
        <w:ind w:left="3200" w:hanging="228"/>
        <w:jc w:val="left"/>
      </w:pPr>
      <w:rPr>
        <w:rFonts w:hint="default" w:ascii="宋体" w:hAnsi="宋体" w:eastAsia="宋体" w:cs="宋体"/>
        <w:b w:val="0"/>
        <w:bCs w:val="0"/>
        <w:i w:val="0"/>
        <w:iCs w:val="0"/>
        <w:spacing w:val="-1"/>
        <w:w w:val="100"/>
        <w:sz w:val="20"/>
        <w:szCs w:val="20"/>
        <w:shd w:fill="E4E4E4" w:color="auto" w:val="clear"/>
        <w:lang w:val="en-US" w:eastAsia="zh-CN" w:bidi="ar-SA"/>
      </w:rPr>
    </w:lvl>
    <w:lvl w:ilvl="2">
      <w:start w:val="0"/>
      <w:numFmt w:val="bullet"/>
      <w:lvlText w:val="•"/>
      <w:lvlJc w:val="left"/>
      <w:pPr>
        <w:ind w:left="3949" w:hanging="228"/>
      </w:pPr>
      <w:rPr>
        <w:rFonts w:hint="default"/>
        <w:lang w:val="en-US" w:eastAsia="zh-CN" w:bidi="ar-SA"/>
      </w:rPr>
    </w:lvl>
    <w:lvl w:ilvl="3">
      <w:start w:val="0"/>
      <w:numFmt w:val="bullet"/>
      <w:lvlText w:val="•"/>
      <w:lvlJc w:val="left"/>
      <w:pPr>
        <w:ind w:left="4699" w:hanging="228"/>
      </w:pPr>
      <w:rPr>
        <w:rFonts w:hint="default"/>
        <w:lang w:val="en-US" w:eastAsia="zh-CN" w:bidi="ar-SA"/>
      </w:rPr>
    </w:lvl>
    <w:lvl w:ilvl="4">
      <w:start w:val="0"/>
      <w:numFmt w:val="bullet"/>
      <w:lvlText w:val="•"/>
      <w:lvlJc w:val="left"/>
      <w:pPr>
        <w:ind w:left="5448" w:hanging="228"/>
      </w:pPr>
      <w:rPr>
        <w:rFonts w:hint="default"/>
        <w:lang w:val="en-US" w:eastAsia="zh-CN" w:bidi="ar-SA"/>
      </w:rPr>
    </w:lvl>
    <w:lvl w:ilvl="5">
      <w:start w:val="0"/>
      <w:numFmt w:val="bullet"/>
      <w:lvlText w:val="•"/>
      <w:lvlJc w:val="left"/>
      <w:pPr>
        <w:ind w:left="6198" w:hanging="228"/>
      </w:pPr>
      <w:rPr>
        <w:rFonts w:hint="default"/>
        <w:lang w:val="en-US" w:eastAsia="zh-CN" w:bidi="ar-SA"/>
      </w:rPr>
    </w:lvl>
    <w:lvl w:ilvl="6">
      <w:start w:val="0"/>
      <w:numFmt w:val="bullet"/>
      <w:lvlText w:val="•"/>
      <w:lvlJc w:val="left"/>
      <w:pPr>
        <w:ind w:left="6947" w:hanging="228"/>
      </w:pPr>
      <w:rPr>
        <w:rFonts w:hint="default"/>
        <w:lang w:val="en-US" w:eastAsia="zh-CN" w:bidi="ar-SA"/>
      </w:rPr>
    </w:lvl>
    <w:lvl w:ilvl="7">
      <w:start w:val="0"/>
      <w:numFmt w:val="bullet"/>
      <w:lvlText w:val="•"/>
      <w:lvlJc w:val="left"/>
      <w:pPr>
        <w:ind w:left="7697" w:hanging="228"/>
      </w:pPr>
      <w:rPr>
        <w:rFonts w:hint="default"/>
        <w:lang w:val="en-US" w:eastAsia="zh-CN" w:bidi="ar-SA"/>
      </w:rPr>
    </w:lvl>
    <w:lvl w:ilvl="8">
      <w:start w:val="0"/>
      <w:numFmt w:val="bullet"/>
      <w:lvlText w:val="•"/>
      <w:lvlJc w:val="left"/>
      <w:pPr>
        <w:ind w:left="8446" w:hanging="228"/>
      </w:pPr>
      <w:rPr>
        <w:rFonts w:hint="default"/>
        <w:lang w:val="en-US" w:eastAsia="zh-CN" w:bidi="ar-SA"/>
      </w:rPr>
    </w:lvl>
  </w:abstractNum>
  <w:abstractNum w:abstractNumId="104">
    <w:multiLevelType w:val="hybridMultilevel"/>
    <w:lvl w:ilvl="0">
      <w:start w:val="1"/>
      <w:numFmt w:val="decimal"/>
      <w:lvlText w:val="（%1）"/>
      <w:lvlJc w:val="left"/>
      <w:pPr>
        <w:ind w:left="3140" w:hanging="660"/>
        <w:jc w:val="left"/>
      </w:pPr>
      <w:rPr>
        <w:rFonts w:hint="default" w:ascii="宋体" w:hAnsi="宋体" w:eastAsia="宋体" w:cs="宋体"/>
        <w:b w:val="0"/>
        <w:bCs w:val="0"/>
        <w:i w:val="0"/>
        <w:iCs w:val="0"/>
        <w:spacing w:val="-1"/>
        <w:w w:val="100"/>
        <w:sz w:val="22"/>
        <w:szCs w:val="22"/>
        <w:shd w:fill="E4E4E4" w:color="auto" w:val="clear"/>
        <w:lang w:val="en-US" w:eastAsia="zh-CN" w:bidi="ar-SA"/>
      </w:rPr>
    </w:lvl>
    <w:lvl w:ilvl="1">
      <w:start w:val="1"/>
      <w:numFmt w:val="lowerLetter"/>
      <w:lvlText w:val="%2."/>
      <w:lvlJc w:val="left"/>
      <w:pPr>
        <w:ind w:left="3200" w:hanging="228"/>
        <w:jc w:val="left"/>
      </w:pPr>
      <w:rPr>
        <w:rFonts w:hint="default" w:ascii="宋体" w:hAnsi="宋体" w:eastAsia="宋体" w:cs="宋体"/>
        <w:b w:val="0"/>
        <w:bCs w:val="0"/>
        <w:i w:val="0"/>
        <w:iCs w:val="0"/>
        <w:spacing w:val="-1"/>
        <w:w w:val="100"/>
        <w:sz w:val="20"/>
        <w:szCs w:val="20"/>
        <w:shd w:fill="E4E4E4" w:color="auto" w:val="clear"/>
        <w:lang w:val="en-US" w:eastAsia="zh-CN" w:bidi="ar-SA"/>
      </w:rPr>
    </w:lvl>
    <w:lvl w:ilvl="2">
      <w:start w:val="0"/>
      <w:numFmt w:val="bullet"/>
      <w:lvlText w:val="•"/>
      <w:lvlJc w:val="left"/>
      <w:pPr>
        <w:ind w:left="3949" w:hanging="228"/>
      </w:pPr>
      <w:rPr>
        <w:rFonts w:hint="default"/>
        <w:lang w:val="en-US" w:eastAsia="zh-CN" w:bidi="ar-SA"/>
      </w:rPr>
    </w:lvl>
    <w:lvl w:ilvl="3">
      <w:start w:val="0"/>
      <w:numFmt w:val="bullet"/>
      <w:lvlText w:val="•"/>
      <w:lvlJc w:val="left"/>
      <w:pPr>
        <w:ind w:left="4699" w:hanging="228"/>
      </w:pPr>
      <w:rPr>
        <w:rFonts w:hint="default"/>
        <w:lang w:val="en-US" w:eastAsia="zh-CN" w:bidi="ar-SA"/>
      </w:rPr>
    </w:lvl>
    <w:lvl w:ilvl="4">
      <w:start w:val="0"/>
      <w:numFmt w:val="bullet"/>
      <w:lvlText w:val="•"/>
      <w:lvlJc w:val="left"/>
      <w:pPr>
        <w:ind w:left="5448" w:hanging="228"/>
      </w:pPr>
      <w:rPr>
        <w:rFonts w:hint="default"/>
        <w:lang w:val="en-US" w:eastAsia="zh-CN" w:bidi="ar-SA"/>
      </w:rPr>
    </w:lvl>
    <w:lvl w:ilvl="5">
      <w:start w:val="0"/>
      <w:numFmt w:val="bullet"/>
      <w:lvlText w:val="•"/>
      <w:lvlJc w:val="left"/>
      <w:pPr>
        <w:ind w:left="6198" w:hanging="228"/>
      </w:pPr>
      <w:rPr>
        <w:rFonts w:hint="default"/>
        <w:lang w:val="en-US" w:eastAsia="zh-CN" w:bidi="ar-SA"/>
      </w:rPr>
    </w:lvl>
    <w:lvl w:ilvl="6">
      <w:start w:val="0"/>
      <w:numFmt w:val="bullet"/>
      <w:lvlText w:val="•"/>
      <w:lvlJc w:val="left"/>
      <w:pPr>
        <w:ind w:left="6947" w:hanging="228"/>
      </w:pPr>
      <w:rPr>
        <w:rFonts w:hint="default"/>
        <w:lang w:val="en-US" w:eastAsia="zh-CN" w:bidi="ar-SA"/>
      </w:rPr>
    </w:lvl>
    <w:lvl w:ilvl="7">
      <w:start w:val="0"/>
      <w:numFmt w:val="bullet"/>
      <w:lvlText w:val="•"/>
      <w:lvlJc w:val="left"/>
      <w:pPr>
        <w:ind w:left="7697" w:hanging="228"/>
      </w:pPr>
      <w:rPr>
        <w:rFonts w:hint="default"/>
        <w:lang w:val="en-US" w:eastAsia="zh-CN" w:bidi="ar-SA"/>
      </w:rPr>
    </w:lvl>
    <w:lvl w:ilvl="8">
      <w:start w:val="0"/>
      <w:numFmt w:val="bullet"/>
      <w:lvlText w:val="•"/>
      <w:lvlJc w:val="left"/>
      <w:pPr>
        <w:ind w:left="8446" w:hanging="228"/>
      </w:pPr>
      <w:rPr>
        <w:rFonts w:hint="default"/>
        <w:lang w:val="en-US" w:eastAsia="zh-CN" w:bidi="ar-SA"/>
      </w:rPr>
    </w:lvl>
  </w:abstractNum>
  <w:abstractNum w:abstractNumId="103">
    <w:multiLevelType w:val="hybridMultilevel"/>
    <w:lvl w:ilvl="0">
      <w:start w:val="1"/>
      <w:numFmt w:val="decimal"/>
      <w:lvlText w:val="（%1）"/>
      <w:lvlJc w:val="left"/>
      <w:pPr>
        <w:ind w:left="3140" w:hanging="660"/>
        <w:jc w:val="left"/>
      </w:pPr>
      <w:rPr>
        <w:rFonts w:hint="default" w:ascii="宋体" w:hAnsi="宋体" w:eastAsia="宋体" w:cs="宋体"/>
        <w:b w:val="0"/>
        <w:bCs w:val="0"/>
        <w:i w:val="0"/>
        <w:iCs w:val="0"/>
        <w:spacing w:val="-1"/>
        <w:w w:val="100"/>
        <w:sz w:val="22"/>
        <w:szCs w:val="22"/>
        <w:shd w:fill="E4E4E4" w:color="auto" w:val="clear"/>
        <w:lang w:val="en-US" w:eastAsia="zh-CN" w:bidi="ar-SA"/>
      </w:rPr>
    </w:lvl>
    <w:lvl w:ilvl="1">
      <w:start w:val="1"/>
      <w:numFmt w:val="lowerLetter"/>
      <w:lvlText w:val="%2."/>
      <w:lvlJc w:val="left"/>
      <w:pPr>
        <w:ind w:left="3200" w:hanging="228"/>
        <w:jc w:val="left"/>
      </w:pPr>
      <w:rPr>
        <w:rFonts w:hint="default" w:ascii="宋体" w:hAnsi="宋体" w:eastAsia="宋体" w:cs="宋体"/>
        <w:b w:val="0"/>
        <w:bCs w:val="0"/>
        <w:i w:val="0"/>
        <w:iCs w:val="0"/>
        <w:spacing w:val="-1"/>
        <w:w w:val="100"/>
        <w:sz w:val="20"/>
        <w:szCs w:val="20"/>
        <w:shd w:fill="E4E4E4" w:color="auto" w:val="clear"/>
        <w:lang w:val="en-US" w:eastAsia="zh-CN" w:bidi="ar-SA"/>
      </w:rPr>
    </w:lvl>
    <w:lvl w:ilvl="2">
      <w:start w:val="0"/>
      <w:numFmt w:val="bullet"/>
      <w:lvlText w:val="•"/>
      <w:lvlJc w:val="left"/>
      <w:pPr>
        <w:ind w:left="3949" w:hanging="228"/>
      </w:pPr>
      <w:rPr>
        <w:rFonts w:hint="default"/>
        <w:lang w:val="en-US" w:eastAsia="zh-CN" w:bidi="ar-SA"/>
      </w:rPr>
    </w:lvl>
    <w:lvl w:ilvl="3">
      <w:start w:val="0"/>
      <w:numFmt w:val="bullet"/>
      <w:lvlText w:val="•"/>
      <w:lvlJc w:val="left"/>
      <w:pPr>
        <w:ind w:left="4699" w:hanging="228"/>
      </w:pPr>
      <w:rPr>
        <w:rFonts w:hint="default"/>
        <w:lang w:val="en-US" w:eastAsia="zh-CN" w:bidi="ar-SA"/>
      </w:rPr>
    </w:lvl>
    <w:lvl w:ilvl="4">
      <w:start w:val="0"/>
      <w:numFmt w:val="bullet"/>
      <w:lvlText w:val="•"/>
      <w:lvlJc w:val="left"/>
      <w:pPr>
        <w:ind w:left="5448" w:hanging="228"/>
      </w:pPr>
      <w:rPr>
        <w:rFonts w:hint="default"/>
        <w:lang w:val="en-US" w:eastAsia="zh-CN" w:bidi="ar-SA"/>
      </w:rPr>
    </w:lvl>
    <w:lvl w:ilvl="5">
      <w:start w:val="0"/>
      <w:numFmt w:val="bullet"/>
      <w:lvlText w:val="•"/>
      <w:lvlJc w:val="left"/>
      <w:pPr>
        <w:ind w:left="6198" w:hanging="228"/>
      </w:pPr>
      <w:rPr>
        <w:rFonts w:hint="default"/>
        <w:lang w:val="en-US" w:eastAsia="zh-CN" w:bidi="ar-SA"/>
      </w:rPr>
    </w:lvl>
    <w:lvl w:ilvl="6">
      <w:start w:val="0"/>
      <w:numFmt w:val="bullet"/>
      <w:lvlText w:val="•"/>
      <w:lvlJc w:val="left"/>
      <w:pPr>
        <w:ind w:left="6947" w:hanging="228"/>
      </w:pPr>
      <w:rPr>
        <w:rFonts w:hint="default"/>
        <w:lang w:val="en-US" w:eastAsia="zh-CN" w:bidi="ar-SA"/>
      </w:rPr>
    </w:lvl>
    <w:lvl w:ilvl="7">
      <w:start w:val="0"/>
      <w:numFmt w:val="bullet"/>
      <w:lvlText w:val="•"/>
      <w:lvlJc w:val="left"/>
      <w:pPr>
        <w:ind w:left="7697" w:hanging="228"/>
      </w:pPr>
      <w:rPr>
        <w:rFonts w:hint="default"/>
        <w:lang w:val="en-US" w:eastAsia="zh-CN" w:bidi="ar-SA"/>
      </w:rPr>
    </w:lvl>
    <w:lvl w:ilvl="8">
      <w:start w:val="0"/>
      <w:numFmt w:val="bullet"/>
      <w:lvlText w:val="•"/>
      <w:lvlJc w:val="left"/>
      <w:pPr>
        <w:ind w:left="8446" w:hanging="228"/>
      </w:pPr>
      <w:rPr>
        <w:rFonts w:hint="default"/>
        <w:lang w:val="en-US" w:eastAsia="zh-CN" w:bidi="ar-SA"/>
      </w:rPr>
    </w:lvl>
  </w:abstractNum>
  <w:abstractNum w:abstractNumId="102">
    <w:multiLevelType w:val="hybridMultilevel"/>
    <w:lvl w:ilvl="0">
      <w:start w:val="1"/>
      <w:numFmt w:val="decimal"/>
      <w:lvlText w:val="（%1）"/>
      <w:lvlJc w:val="left"/>
      <w:pPr>
        <w:ind w:left="3140" w:hanging="660"/>
        <w:jc w:val="left"/>
      </w:pPr>
      <w:rPr>
        <w:rFonts w:hint="default" w:ascii="宋体" w:hAnsi="宋体" w:eastAsia="宋体" w:cs="宋体"/>
        <w:b w:val="0"/>
        <w:bCs w:val="0"/>
        <w:i w:val="0"/>
        <w:iCs w:val="0"/>
        <w:spacing w:val="-1"/>
        <w:w w:val="100"/>
        <w:sz w:val="22"/>
        <w:szCs w:val="22"/>
        <w:shd w:fill="E4E4E4" w:color="auto" w:val="clear"/>
        <w:lang w:val="en-US" w:eastAsia="zh-CN" w:bidi="ar-SA"/>
      </w:rPr>
    </w:lvl>
    <w:lvl w:ilvl="1">
      <w:start w:val="1"/>
      <w:numFmt w:val="lowerLetter"/>
      <w:lvlText w:val="%2."/>
      <w:lvlJc w:val="left"/>
      <w:pPr>
        <w:ind w:left="3200" w:hanging="228"/>
        <w:jc w:val="left"/>
      </w:pPr>
      <w:rPr>
        <w:rFonts w:hint="default" w:ascii="宋体" w:hAnsi="宋体" w:eastAsia="宋体" w:cs="宋体"/>
        <w:b w:val="0"/>
        <w:bCs w:val="0"/>
        <w:i w:val="0"/>
        <w:iCs w:val="0"/>
        <w:spacing w:val="-1"/>
        <w:w w:val="100"/>
        <w:sz w:val="20"/>
        <w:szCs w:val="20"/>
        <w:shd w:fill="E4E4E4" w:color="auto" w:val="clear"/>
        <w:lang w:val="en-US" w:eastAsia="zh-CN" w:bidi="ar-SA"/>
      </w:rPr>
    </w:lvl>
    <w:lvl w:ilvl="2">
      <w:start w:val="0"/>
      <w:numFmt w:val="bullet"/>
      <w:lvlText w:val="•"/>
      <w:lvlJc w:val="left"/>
      <w:pPr>
        <w:ind w:left="3949" w:hanging="228"/>
      </w:pPr>
      <w:rPr>
        <w:rFonts w:hint="default"/>
        <w:lang w:val="en-US" w:eastAsia="zh-CN" w:bidi="ar-SA"/>
      </w:rPr>
    </w:lvl>
    <w:lvl w:ilvl="3">
      <w:start w:val="0"/>
      <w:numFmt w:val="bullet"/>
      <w:lvlText w:val="•"/>
      <w:lvlJc w:val="left"/>
      <w:pPr>
        <w:ind w:left="4699" w:hanging="228"/>
      </w:pPr>
      <w:rPr>
        <w:rFonts w:hint="default"/>
        <w:lang w:val="en-US" w:eastAsia="zh-CN" w:bidi="ar-SA"/>
      </w:rPr>
    </w:lvl>
    <w:lvl w:ilvl="4">
      <w:start w:val="0"/>
      <w:numFmt w:val="bullet"/>
      <w:lvlText w:val="•"/>
      <w:lvlJc w:val="left"/>
      <w:pPr>
        <w:ind w:left="5448" w:hanging="228"/>
      </w:pPr>
      <w:rPr>
        <w:rFonts w:hint="default"/>
        <w:lang w:val="en-US" w:eastAsia="zh-CN" w:bidi="ar-SA"/>
      </w:rPr>
    </w:lvl>
    <w:lvl w:ilvl="5">
      <w:start w:val="0"/>
      <w:numFmt w:val="bullet"/>
      <w:lvlText w:val="•"/>
      <w:lvlJc w:val="left"/>
      <w:pPr>
        <w:ind w:left="6198" w:hanging="228"/>
      </w:pPr>
      <w:rPr>
        <w:rFonts w:hint="default"/>
        <w:lang w:val="en-US" w:eastAsia="zh-CN" w:bidi="ar-SA"/>
      </w:rPr>
    </w:lvl>
    <w:lvl w:ilvl="6">
      <w:start w:val="0"/>
      <w:numFmt w:val="bullet"/>
      <w:lvlText w:val="•"/>
      <w:lvlJc w:val="left"/>
      <w:pPr>
        <w:ind w:left="6947" w:hanging="228"/>
      </w:pPr>
      <w:rPr>
        <w:rFonts w:hint="default"/>
        <w:lang w:val="en-US" w:eastAsia="zh-CN" w:bidi="ar-SA"/>
      </w:rPr>
    </w:lvl>
    <w:lvl w:ilvl="7">
      <w:start w:val="0"/>
      <w:numFmt w:val="bullet"/>
      <w:lvlText w:val="•"/>
      <w:lvlJc w:val="left"/>
      <w:pPr>
        <w:ind w:left="7697" w:hanging="228"/>
      </w:pPr>
      <w:rPr>
        <w:rFonts w:hint="default"/>
        <w:lang w:val="en-US" w:eastAsia="zh-CN" w:bidi="ar-SA"/>
      </w:rPr>
    </w:lvl>
    <w:lvl w:ilvl="8">
      <w:start w:val="0"/>
      <w:numFmt w:val="bullet"/>
      <w:lvlText w:val="•"/>
      <w:lvlJc w:val="left"/>
      <w:pPr>
        <w:ind w:left="8446" w:hanging="228"/>
      </w:pPr>
      <w:rPr>
        <w:rFonts w:hint="default"/>
        <w:lang w:val="en-US" w:eastAsia="zh-CN" w:bidi="ar-SA"/>
      </w:rPr>
    </w:lvl>
  </w:abstractNum>
  <w:abstractNum w:abstractNumId="101">
    <w:multiLevelType w:val="hybridMultilevel"/>
    <w:lvl w:ilvl="0">
      <w:start w:val="1"/>
      <w:numFmt w:val="decimal"/>
      <w:lvlText w:val="（%1）"/>
      <w:lvlJc w:val="left"/>
      <w:pPr>
        <w:ind w:left="812" w:hanging="660"/>
        <w:jc w:val="left"/>
      </w:pPr>
      <w:rPr>
        <w:rFonts w:hint="default" w:ascii="宋体" w:hAnsi="宋体" w:eastAsia="宋体" w:cs="宋体"/>
        <w:b w:val="0"/>
        <w:bCs w:val="0"/>
        <w:i w:val="0"/>
        <w:iCs w:val="0"/>
        <w:spacing w:val="-1"/>
        <w:w w:val="100"/>
        <w:sz w:val="22"/>
        <w:szCs w:val="22"/>
        <w:shd w:fill="E4E4E4" w:color="auto" w:val="clear"/>
        <w:lang w:val="en-US" w:eastAsia="zh-CN" w:bidi="ar-SA"/>
      </w:rPr>
    </w:lvl>
    <w:lvl w:ilvl="1">
      <w:start w:val="1"/>
      <w:numFmt w:val="lowerLetter"/>
      <w:lvlText w:val="%2."/>
      <w:lvlJc w:val="left"/>
      <w:pPr>
        <w:ind w:left="872" w:hanging="228"/>
        <w:jc w:val="left"/>
      </w:pPr>
      <w:rPr>
        <w:rFonts w:hint="default" w:ascii="宋体" w:hAnsi="宋体" w:eastAsia="宋体" w:cs="宋体"/>
        <w:b w:val="0"/>
        <w:bCs w:val="0"/>
        <w:i w:val="0"/>
        <w:iCs w:val="0"/>
        <w:spacing w:val="-1"/>
        <w:w w:val="100"/>
        <w:sz w:val="20"/>
        <w:szCs w:val="20"/>
        <w:shd w:fill="E4E4E4" w:color="auto" w:val="clear"/>
        <w:lang w:val="en-US" w:eastAsia="zh-CN" w:bidi="ar-SA"/>
      </w:rPr>
    </w:lvl>
    <w:lvl w:ilvl="2">
      <w:start w:val="0"/>
      <w:numFmt w:val="bullet"/>
      <w:lvlText w:val="•"/>
      <w:lvlJc w:val="left"/>
      <w:pPr>
        <w:ind w:left="1628" w:hanging="228"/>
      </w:pPr>
      <w:rPr>
        <w:rFonts w:hint="default"/>
        <w:lang w:val="en-US" w:eastAsia="zh-CN" w:bidi="ar-SA"/>
      </w:rPr>
    </w:lvl>
    <w:lvl w:ilvl="3">
      <w:start w:val="0"/>
      <w:numFmt w:val="bullet"/>
      <w:lvlText w:val="•"/>
      <w:lvlJc w:val="left"/>
      <w:pPr>
        <w:ind w:left="2377" w:hanging="228"/>
      </w:pPr>
      <w:rPr>
        <w:rFonts w:hint="default"/>
        <w:lang w:val="en-US" w:eastAsia="zh-CN" w:bidi="ar-SA"/>
      </w:rPr>
    </w:lvl>
    <w:lvl w:ilvl="4">
      <w:start w:val="0"/>
      <w:numFmt w:val="bullet"/>
      <w:lvlText w:val="•"/>
      <w:lvlJc w:val="left"/>
      <w:pPr>
        <w:ind w:left="3126" w:hanging="228"/>
      </w:pPr>
      <w:rPr>
        <w:rFonts w:hint="default"/>
        <w:lang w:val="en-US" w:eastAsia="zh-CN" w:bidi="ar-SA"/>
      </w:rPr>
    </w:lvl>
    <w:lvl w:ilvl="5">
      <w:start w:val="0"/>
      <w:numFmt w:val="bullet"/>
      <w:lvlText w:val="•"/>
      <w:lvlJc w:val="left"/>
      <w:pPr>
        <w:ind w:left="3874" w:hanging="228"/>
      </w:pPr>
      <w:rPr>
        <w:rFonts w:hint="default"/>
        <w:lang w:val="en-US" w:eastAsia="zh-CN" w:bidi="ar-SA"/>
      </w:rPr>
    </w:lvl>
    <w:lvl w:ilvl="6">
      <w:start w:val="0"/>
      <w:numFmt w:val="bullet"/>
      <w:lvlText w:val="•"/>
      <w:lvlJc w:val="left"/>
      <w:pPr>
        <w:ind w:left="4623" w:hanging="228"/>
      </w:pPr>
      <w:rPr>
        <w:rFonts w:hint="default"/>
        <w:lang w:val="en-US" w:eastAsia="zh-CN" w:bidi="ar-SA"/>
      </w:rPr>
    </w:lvl>
    <w:lvl w:ilvl="7">
      <w:start w:val="0"/>
      <w:numFmt w:val="bullet"/>
      <w:lvlText w:val="•"/>
      <w:lvlJc w:val="left"/>
      <w:pPr>
        <w:ind w:left="5372" w:hanging="228"/>
      </w:pPr>
      <w:rPr>
        <w:rFonts w:hint="default"/>
        <w:lang w:val="en-US" w:eastAsia="zh-CN" w:bidi="ar-SA"/>
      </w:rPr>
    </w:lvl>
    <w:lvl w:ilvl="8">
      <w:start w:val="0"/>
      <w:numFmt w:val="bullet"/>
      <w:lvlText w:val="•"/>
      <w:lvlJc w:val="left"/>
      <w:pPr>
        <w:ind w:left="6120" w:hanging="228"/>
      </w:pPr>
      <w:rPr>
        <w:rFonts w:hint="default"/>
        <w:lang w:val="en-US" w:eastAsia="zh-CN" w:bidi="ar-SA"/>
      </w:rPr>
    </w:lvl>
  </w:abstractNum>
  <w:abstractNum w:abstractNumId="100">
    <w:multiLevelType w:val="hybridMultilevel"/>
    <w:lvl w:ilvl="0">
      <w:start w:val="1"/>
      <w:numFmt w:val="decimal"/>
      <w:lvlText w:val="（%1）"/>
      <w:lvlJc w:val="left"/>
      <w:pPr>
        <w:ind w:left="3140" w:hanging="660"/>
        <w:jc w:val="left"/>
      </w:pPr>
      <w:rPr>
        <w:rFonts w:hint="default" w:ascii="宋体" w:hAnsi="宋体" w:eastAsia="宋体" w:cs="宋体"/>
        <w:b w:val="0"/>
        <w:bCs w:val="0"/>
        <w:i w:val="0"/>
        <w:iCs w:val="0"/>
        <w:spacing w:val="-1"/>
        <w:w w:val="100"/>
        <w:sz w:val="22"/>
        <w:szCs w:val="22"/>
        <w:shd w:fill="E4E4E4" w:color="auto" w:val="clear"/>
        <w:lang w:val="en-US" w:eastAsia="zh-CN" w:bidi="ar-SA"/>
      </w:rPr>
    </w:lvl>
    <w:lvl w:ilvl="1">
      <w:start w:val="1"/>
      <w:numFmt w:val="lowerLetter"/>
      <w:lvlText w:val="%2."/>
      <w:lvlJc w:val="left"/>
      <w:pPr>
        <w:ind w:left="3200" w:hanging="228"/>
        <w:jc w:val="left"/>
      </w:pPr>
      <w:rPr>
        <w:rFonts w:hint="default" w:ascii="宋体" w:hAnsi="宋体" w:eastAsia="宋体" w:cs="宋体"/>
        <w:b w:val="0"/>
        <w:bCs w:val="0"/>
        <w:i w:val="0"/>
        <w:iCs w:val="0"/>
        <w:spacing w:val="-1"/>
        <w:w w:val="100"/>
        <w:sz w:val="20"/>
        <w:szCs w:val="20"/>
        <w:shd w:fill="E4E4E4" w:color="auto" w:val="clear"/>
        <w:lang w:val="en-US" w:eastAsia="zh-CN" w:bidi="ar-SA"/>
      </w:rPr>
    </w:lvl>
    <w:lvl w:ilvl="2">
      <w:start w:val="0"/>
      <w:numFmt w:val="bullet"/>
      <w:lvlText w:val="•"/>
      <w:lvlJc w:val="left"/>
      <w:pPr>
        <w:ind w:left="3949" w:hanging="228"/>
      </w:pPr>
      <w:rPr>
        <w:rFonts w:hint="default"/>
        <w:lang w:val="en-US" w:eastAsia="zh-CN" w:bidi="ar-SA"/>
      </w:rPr>
    </w:lvl>
    <w:lvl w:ilvl="3">
      <w:start w:val="0"/>
      <w:numFmt w:val="bullet"/>
      <w:lvlText w:val="•"/>
      <w:lvlJc w:val="left"/>
      <w:pPr>
        <w:ind w:left="4699" w:hanging="228"/>
      </w:pPr>
      <w:rPr>
        <w:rFonts w:hint="default"/>
        <w:lang w:val="en-US" w:eastAsia="zh-CN" w:bidi="ar-SA"/>
      </w:rPr>
    </w:lvl>
    <w:lvl w:ilvl="4">
      <w:start w:val="0"/>
      <w:numFmt w:val="bullet"/>
      <w:lvlText w:val="•"/>
      <w:lvlJc w:val="left"/>
      <w:pPr>
        <w:ind w:left="5448" w:hanging="228"/>
      </w:pPr>
      <w:rPr>
        <w:rFonts w:hint="default"/>
        <w:lang w:val="en-US" w:eastAsia="zh-CN" w:bidi="ar-SA"/>
      </w:rPr>
    </w:lvl>
    <w:lvl w:ilvl="5">
      <w:start w:val="0"/>
      <w:numFmt w:val="bullet"/>
      <w:lvlText w:val="•"/>
      <w:lvlJc w:val="left"/>
      <w:pPr>
        <w:ind w:left="6198" w:hanging="228"/>
      </w:pPr>
      <w:rPr>
        <w:rFonts w:hint="default"/>
        <w:lang w:val="en-US" w:eastAsia="zh-CN" w:bidi="ar-SA"/>
      </w:rPr>
    </w:lvl>
    <w:lvl w:ilvl="6">
      <w:start w:val="0"/>
      <w:numFmt w:val="bullet"/>
      <w:lvlText w:val="•"/>
      <w:lvlJc w:val="left"/>
      <w:pPr>
        <w:ind w:left="6947" w:hanging="228"/>
      </w:pPr>
      <w:rPr>
        <w:rFonts w:hint="default"/>
        <w:lang w:val="en-US" w:eastAsia="zh-CN" w:bidi="ar-SA"/>
      </w:rPr>
    </w:lvl>
    <w:lvl w:ilvl="7">
      <w:start w:val="0"/>
      <w:numFmt w:val="bullet"/>
      <w:lvlText w:val="•"/>
      <w:lvlJc w:val="left"/>
      <w:pPr>
        <w:ind w:left="7697" w:hanging="228"/>
      </w:pPr>
      <w:rPr>
        <w:rFonts w:hint="default"/>
        <w:lang w:val="en-US" w:eastAsia="zh-CN" w:bidi="ar-SA"/>
      </w:rPr>
    </w:lvl>
    <w:lvl w:ilvl="8">
      <w:start w:val="0"/>
      <w:numFmt w:val="bullet"/>
      <w:lvlText w:val="•"/>
      <w:lvlJc w:val="left"/>
      <w:pPr>
        <w:ind w:left="8446" w:hanging="228"/>
      </w:pPr>
      <w:rPr>
        <w:rFonts w:hint="default"/>
        <w:lang w:val="en-US" w:eastAsia="zh-CN" w:bidi="ar-SA"/>
      </w:rPr>
    </w:lvl>
  </w:abstractNum>
  <w:abstractNum w:abstractNumId="99">
    <w:multiLevelType w:val="hybridMultilevel"/>
    <w:lvl w:ilvl="0">
      <w:start w:val="1"/>
      <w:numFmt w:val="decimal"/>
      <w:lvlText w:val="（%1）"/>
      <w:lvlJc w:val="left"/>
      <w:pPr>
        <w:ind w:left="3140" w:hanging="660"/>
        <w:jc w:val="left"/>
      </w:pPr>
      <w:rPr>
        <w:rFonts w:hint="default" w:ascii="宋体" w:hAnsi="宋体" w:eastAsia="宋体" w:cs="宋体"/>
        <w:b w:val="0"/>
        <w:bCs w:val="0"/>
        <w:i w:val="0"/>
        <w:iCs w:val="0"/>
        <w:spacing w:val="-1"/>
        <w:w w:val="100"/>
        <w:sz w:val="22"/>
        <w:szCs w:val="22"/>
        <w:shd w:fill="E4E4E4" w:color="auto" w:val="clear"/>
        <w:lang w:val="en-US" w:eastAsia="zh-CN" w:bidi="ar-SA"/>
      </w:rPr>
    </w:lvl>
    <w:lvl w:ilvl="1">
      <w:start w:val="1"/>
      <w:numFmt w:val="lowerLetter"/>
      <w:lvlText w:val="%2."/>
      <w:lvlJc w:val="left"/>
      <w:pPr>
        <w:ind w:left="3200" w:hanging="228"/>
        <w:jc w:val="left"/>
      </w:pPr>
      <w:rPr>
        <w:rFonts w:hint="default" w:ascii="宋体" w:hAnsi="宋体" w:eastAsia="宋体" w:cs="宋体"/>
        <w:b w:val="0"/>
        <w:bCs w:val="0"/>
        <w:i w:val="0"/>
        <w:iCs w:val="0"/>
        <w:spacing w:val="-1"/>
        <w:w w:val="100"/>
        <w:sz w:val="20"/>
        <w:szCs w:val="20"/>
        <w:shd w:fill="E4E4E4" w:color="auto" w:val="clear"/>
        <w:lang w:val="en-US" w:eastAsia="zh-CN" w:bidi="ar-SA"/>
      </w:rPr>
    </w:lvl>
    <w:lvl w:ilvl="2">
      <w:start w:val="0"/>
      <w:numFmt w:val="bullet"/>
      <w:lvlText w:val="•"/>
      <w:lvlJc w:val="left"/>
      <w:pPr>
        <w:ind w:left="3949" w:hanging="228"/>
      </w:pPr>
      <w:rPr>
        <w:rFonts w:hint="default"/>
        <w:lang w:val="en-US" w:eastAsia="zh-CN" w:bidi="ar-SA"/>
      </w:rPr>
    </w:lvl>
    <w:lvl w:ilvl="3">
      <w:start w:val="0"/>
      <w:numFmt w:val="bullet"/>
      <w:lvlText w:val="•"/>
      <w:lvlJc w:val="left"/>
      <w:pPr>
        <w:ind w:left="4699" w:hanging="228"/>
      </w:pPr>
      <w:rPr>
        <w:rFonts w:hint="default"/>
        <w:lang w:val="en-US" w:eastAsia="zh-CN" w:bidi="ar-SA"/>
      </w:rPr>
    </w:lvl>
    <w:lvl w:ilvl="4">
      <w:start w:val="0"/>
      <w:numFmt w:val="bullet"/>
      <w:lvlText w:val="•"/>
      <w:lvlJc w:val="left"/>
      <w:pPr>
        <w:ind w:left="5448" w:hanging="228"/>
      </w:pPr>
      <w:rPr>
        <w:rFonts w:hint="default"/>
        <w:lang w:val="en-US" w:eastAsia="zh-CN" w:bidi="ar-SA"/>
      </w:rPr>
    </w:lvl>
    <w:lvl w:ilvl="5">
      <w:start w:val="0"/>
      <w:numFmt w:val="bullet"/>
      <w:lvlText w:val="•"/>
      <w:lvlJc w:val="left"/>
      <w:pPr>
        <w:ind w:left="6198" w:hanging="228"/>
      </w:pPr>
      <w:rPr>
        <w:rFonts w:hint="default"/>
        <w:lang w:val="en-US" w:eastAsia="zh-CN" w:bidi="ar-SA"/>
      </w:rPr>
    </w:lvl>
    <w:lvl w:ilvl="6">
      <w:start w:val="0"/>
      <w:numFmt w:val="bullet"/>
      <w:lvlText w:val="•"/>
      <w:lvlJc w:val="left"/>
      <w:pPr>
        <w:ind w:left="6947" w:hanging="228"/>
      </w:pPr>
      <w:rPr>
        <w:rFonts w:hint="default"/>
        <w:lang w:val="en-US" w:eastAsia="zh-CN" w:bidi="ar-SA"/>
      </w:rPr>
    </w:lvl>
    <w:lvl w:ilvl="7">
      <w:start w:val="0"/>
      <w:numFmt w:val="bullet"/>
      <w:lvlText w:val="•"/>
      <w:lvlJc w:val="left"/>
      <w:pPr>
        <w:ind w:left="7697" w:hanging="228"/>
      </w:pPr>
      <w:rPr>
        <w:rFonts w:hint="default"/>
        <w:lang w:val="en-US" w:eastAsia="zh-CN" w:bidi="ar-SA"/>
      </w:rPr>
    </w:lvl>
    <w:lvl w:ilvl="8">
      <w:start w:val="0"/>
      <w:numFmt w:val="bullet"/>
      <w:lvlText w:val="•"/>
      <w:lvlJc w:val="left"/>
      <w:pPr>
        <w:ind w:left="8446" w:hanging="228"/>
      </w:pPr>
      <w:rPr>
        <w:rFonts w:hint="default"/>
        <w:lang w:val="en-US" w:eastAsia="zh-CN" w:bidi="ar-SA"/>
      </w:rPr>
    </w:lvl>
  </w:abstractNum>
  <w:abstractNum w:abstractNumId="98">
    <w:multiLevelType w:val="hybridMultilevel"/>
    <w:lvl w:ilvl="0">
      <w:start w:val="13"/>
      <w:numFmt w:val="decimal"/>
      <w:lvlText w:val="%1"/>
      <w:lvlJc w:val="left"/>
      <w:pPr>
        <w:ind w:left="2480" w:hanging="778"/>
        <w:jc w:val="left"/>
      </w:pPr>
      <w:rPr>
        <w:rFonts w:hint="default"/>
        <w:lang w:val="en-US" w:eastAsia="zh-CN" w:bidi="ar-SA"/>
      </w:rPr>
    </w:lvl>
    <w:lvl w:ilvl="1">
      <w:start w:val="1"/>
      <w:numFmt w:val="decimal"/>
      <w:lvlText w:val="%1.%2"/>
      <w:lvlJc w:val="left"/>
      <w:pPr>
        <w:ind w:left="2480" w:hanging="778"/>
        <w:jc w:val="left"/>
      </w:pPr>
      <w:rPr>
        <w:rFonts w:hint="default" w:ascii="宋体" w:hAnsi="宋体" w:eastAsia="宋体" w:cs="宋体"/>
        <w:b/>
        <w:bCs/>
        <w:i w:val="0"/>
        <w:iCs w:val="0"/>
        <w:spacing w:val="-1"/>
        <w:w w:val="99"/>
        <w:sz w:val="22"/>
        <w:szCs w:val="22"/>
        <w:lang w:val="en-US" w:eastAsia="zh-CN" w:bidi="ar-SA"/>
      </w:rPr>
    </w:lvl>
    <w:lvl w:ilvl="2">
      <w:start w:val="1"/>
      <w:numFmt w:val="decimal"/>
      <w:lvlText w:val="（%3）"/>
      <w:lvlJc w:val="left"/>
      <w:pPr>
        <w:ind w:left="3140" w:hanging="660"/>
        <w:jc w:val="left"/>
      </w:pPr>
      <w:rPr>
        <w:rFonts w:hint="default" w:ascii="宋体" w:hAnsi="宋体" w:eastAsia="宋体" w:cs="宋体"/>
        <w:b w:val="0"/>
        <w:bCs w:val="0"/>
        <w:i w:val="0"/>
        <w:iCs w:val="0"/>
        <w:spacing w:val="-1"/>
        <w:w w:val="100"/>
        <w:sz w:val="22"/>
        <w:szCs w:val="22"/>
        <w:shd w:fill="E4E4E4" w:color="auto" w:val="clear"/>
        <w:lang w:val="en-US" w:eastAsia="zh-CN" w:bidi="ar-SA"/>
      </w:rPr>
    </w:lvl>
    <w:lvl w:ilvl="3">
      <w:start w:val="1"/>
      <w:numFmt w:val="lowerLetter"/>
      <w:lvlText w:val="%4."/>
      <w:lvlJc w:val="left"/>
      <w:pPr>
        <w:ind w:left="3200" w:hanging="228"/>
        <w:jc w:val="left"/>
      </w:pPr>
      <w:rPr>
        <w:rFonts w:hint="default" w:ascii="宋体" w:hAnsi="宋体" w:eastAsia="宋体" w:cs="宋体"/>
        <w:b w:val="0"/>
        <w:bCs w:val="0"/>
        <w:i w:val="0"/>
        <w:iCs w:val="0"/>
        <w:spacing w:val="-1"/>
        <w:w w:val="100"/>
        <w:sz w:val="20"/>
        <w:szCs w:val="20"/>
        <w:shd w:fill="E4E4E4" w:color="auto" w:val="clear"/>
        <w:lang w:val="en-US" w:eastAsia="zh-CN" w:bidi="ar-SA"/>
      </w:rPr>
    </w:lvl>
    <w:lvl w:ilvl="4">
      <w:start w:val="0"/>
      <w:numFmt w:val="bullet"/>
      <w:lvlText w:val="•"/>
      <w:lvlJc w:val="left"/>
      <w:pPr>
        <w:ind w:left="4886" w:hanging="228"/>
      </w:pPr>
      <w:rPr>
        <w:rFonts w:hint="default"/>
        <w:lang w:val="en-US" w:eastAsia="zh-CN" w:bidi="ar-SA"/>
      </w:rPr>
    </w:lvl>
    <w:lvl w:ilvl="5">
      <w:start w:val="0"/>
      <w:numFmt w:val="bullet"/>
      <w:lvlText w:val="•"/>
      <w:lvlJc w:val="left"/>
      <w:pPr>
        <w:ind w:left="5729" w:hanging="228"/>
      </w:pPr>
      <w:rPr>
        <w:rFonts w:hint="default"/>
        <w:lang w:val="en-US" w:eastAsia="zh-CN" w:bidi="ar-SA"/>
      </w:rPr>
    </w:lvl>
    <w:lvl w:ilvl="6">
      <w:start w:val="0"/>
      <w:numFmt w:val="bullet"/>
      <w:lvlText w:val="•"/>
      <w:lvlJc w:val="left"/>
      <w:pPr>
        <w:ind w:left="6573" w:hanging="228"/>
      </w:pPr>
      <w:rPr>
        <w:rFonts w:hint="default"/>
        <w:lang w:val="en-US" w:eastAsia="zh-CN" w:bidi="ar-SA"/>
      </w:rPr>
    </w:lvl>
    <w:lvl w:ilvl="7">
      <w:start w:val="0"/>
      <w:numFmt w:val="bullet"/>
      <w:lvlText w:val="•"/>
      <w:lvlJc w:val="left"/>
      <w:pPr>
        <w:ind w:left="7416" w:hanging="228"/>
      </w:pPr>
      <w:rPr>
        <w:rFonts w:hint="default"/>
        <w:lang w:val="en-US" w:eastAsia="zh-CN" w:bidi="ar-SA"/>
      </w:rPr>
    </w:lvl>
    <w:lvl w:ilvl="8">
      <w:start w:val="0"/>
      <w:numFmt w:val="bullet"/>
      <w:lvlText w:val="•"/>
      <w:lvlJc w:val="left"/>
      <w:pPr>
        <w:ind w:left="8259" w:hanging="228"/>
      </w:pPr>
      <w:rPr>
        <w:rFonts w:hint="default"/>
        <w:lang w:val="en-US" w:eastAsia="zh-CN" w:bidi="ar-SA"/>
      </w:rPr>
    </w:lvl>
  </w:abstractNum>
  <w:abstractNum w:abstractNumId="97">
    <w:multiLevelType w:val="hybridMultilevel"/>
    <w:lvl w:ilvl="0">
      <w:start w:val="1"/>
      <w:numFmt w:val="decimal"/>
      <w:lvlText w:val="(%1)"/>
      <w:lvlJc w:val="left"/>
      <w:pPr>
        <w:ind w:left="555"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250" w:hanging="454"/>
      </w:pPr>
      <w:rPr>
        <w:rFonts w:hint="default"/>
        <w:lang w:val="en-US" w:eastAsia="zh-CN" w:bidi="ar-SA"/>
      </w:rPr>
    </w:lvl>
    <w:lvl w:ilvl="2">
      <w:start w:val="0"/>
      <w:numFmt w:val="bullet"/>
      <w:lvlText w:val="•"/>
      <w:lvlJc w:val="left"/>
      <w:pPr>
        <w:ind w:left="1941" w:hanging="454"/>
      </w:pPr>
      <w:rPr>
        <w:rFonts w:hint="default"/>
        <w:lang w:val="en-US" w:eastAsia="zh-CN" w:bidi="ar-SA"/>
      </w:rPr>
    </w:lvl>
    <w:lvl w:ilvl="3">
      <w:start w:val="0"/>
      <w:numFmt w:val="bullet"/>
      <w:lvlText w:val="•"/>
      <w:lvlJc w:val="left"/>
      <w:pPr>
        <w:ind w:left="2631" w:hanging="454"/>
      </w:pPr>
      <w:rPr>
        <w:rFonts w:hint="default"/>
        <w:lang w:val="en-US" w:eastAsia="zh-CN" w:bidi="ar-SA"/>
      </w:rPr>
    </w:lvl>
    <w:lvl w:ilvl="4">
      <w:start w:val="0"/>
      <w:numFmt w:val="bullet"/>
      <w:lvlText w:val="•"/>
      <w:lvlJc w:val="left"/>
      <w:pPr>
        <w:ind w:left="3322" w:hanging="454"/>
      </w:pPr>
      <w:rPr>
        <w:rFonts w:hint="default"/>
        <w:lang w:val="en-US" w:eastAsia="zh-CN" w:bidi="ar-SA"/>
      </w:rPr>
    </w:lvl>
    <w:lvl w:ilvl="5">
      <w:start w:val="0"/>
      <w:numFmt w:val="bullet"/>
      <w:lvlText w:val="•"/>
      <w:lvlJc w:val="left"/>
      <w:pPr>
        <w:ind w:left="4012" w:hanging="454"/>
      </w:pPr>
      <w:rPr>
        <w:rFonts w:hint="default"/>
        <w:lang w:val="en-US" w:eastAsia="zh-CN" w:bidi="ar-SA"/>
      </w:rPr>
    </w:lvl>
    <w:lvl w:ilvl="6">
      <w:start w:val="0"/>
      <w:numFmt w:val="bullet"/>
      <w:lvlText w:val="•"/>
      <w:lvlJc w:val="left"/>
      <w:pPr>
        <w:ind w:left="4703" w:hanging="454"/>
      </w:pPr>
      <w:rPr>
        <w:rFonts w:hint="default"/>
        <w:lang w:val="en-US" w:eastAsia="zh-CN" w:bidi="ar-SA"/>
      </w:rPr>
    </w:lvl>
    <w:lvl w:ilvl="7">
      <w:start w:val="0"/>
      <w:numFmt w:val="bullet"/>
      <w:lvlText w:val="•"/>
      <w:lvlJc w:val="left"/>
      <w:pPr>
        <w:ind w:left="5393" w:hanging="454"/>
      </w:pPr>
      <w:rPr>
        <w:rFonts w:hint="default"/>
        <w:lang w:val="en-US" w:eastAsia="zh-CN" w:bidi="ar-SA"/>
      </w:rPr>
    </w:lvl>
    <w:lvl w:ilvl="8">
      <w:start w:val="0"/>
      <w:numFmt w:val="bullet"/>
      <w:lvlText w:val="•"/>
      <w:lvlJc w:val="left"/>
      <w:pPr>
        <w:ind w:left="6084" w:hanging="454"/>
      </w:pPr>
      <w:rPr>
        <w:rFonts w:hint="default"/>
        <w:lang w:val="en-US" w:eastAsia="zh-CN" w:bidi="ar-SA"/>
      </w:rPr>
    </w:lvl>
  </w:abstractNum>
  <w:abstractNum w:abstractNumId="96">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95">
    <w:multiLevelType w:val="hybridMultilevel"/>
    <w:lvl w:ilvl="0">
      <w:start w:val="1"/>
      <w:numFmt w:val="decimal"/>
      <w:lvlText w:val="(%1)"/>
      <w:lvlJc w:val="left"/>
      <w:pPr>
        <w:ind w:left="617"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20" w:hanging="454"/>
      </w:pPr>
      <w:rPr>
        <w:rFonts w:hint="default"/>
        <w:lang w:val="en-US" w:eastAsia="zh-CN" w:bidi="ar-SA"/>
      </w:rPr>
    </w:lvl>
    <w:lvl w:ilvl="2">
      <w:start w:val="0"/>
      <w:numFmt w:val="bullet"/>
      <w:lvlText w:val="•"/>
      <w:lvlJc w:val="left"/>
      <w:pPr>
        <w:ind w:left="2021" w:hanging="454"/>
      </w:pPr>
      <w:rPr>
        <w:rFonts w:hint="default"/>
        <w:lang w:val="en-US" w:eastAsia="zh-CN" w:bidi="ar-SA"/>
      </w:rPr>
    </w:lvl>
    <w:lvl w:ilvl="3">
      <w:start w:val="0"/>
      <w:numFmt w:val="bullet"/>
      <w:lvlText w:val="•"/>
      <w:lvlJc w:val="left"/>
      <w:pPr>
        <w:ind w:left="2722" w:hanging="454"/>
      </w:pPr>
      <w:rPr>
        <w:rFonts w:hint="default"/>
        <w:lang w:val="en-US" w:eastAsia="zh-CN" w:bidi="ar-SA"/>
      </w:rPr>
    </w:lvl>
    <w:lvl w:ilvl="4">
      <w:start w:val="0"/>
      <w:numFmt w:val="bullet"/>
      <w:lvlText w:val="•"/>
      <w:lvlJc w:val="left"/>
      <w:pPr>
        <w:ind w:left="3423" w:hanging="454"/>
      </w:pPr>
      <w:rPr>
        <w:rFonts w:hint="default"/>
        <w:lang w:val="en-US" w:eastAsia="zh-CN" w:bidi="ar-SA"/>
      </w:rPr>
    </w:lvl>
    <w:lvl w:ilvl="5">
      <w:start w:val="0"/>
      <w:numFmt w:val="bullet"/>
      <w:lvlText w:val="•"/>
      <w:lvlJc w:val="left"/>
      <w:pPr>
        <w:ind w:left="4124" w:hanging="454"/>
      </w:pPr>
      <w:rPr>
        <w:rFonts w:hint="default"/>
        <w:lang w:val="en-US" w:eastAsia="zh-CN" w:bidi="ar-SA"/>
      </w:rPr>
    </w:lvl>
    <w:lvl w:ilvl="6">
      <w:start w:val="0"/>
      <w:numFmt w:val="bullet"/>
      <w:lvlText w:val="•"/>
      <w:lvlJc w:val="left"/>
      <w:pPr>
        <w:ind w:left="4825" w:hanging="454"/>
      </w:pPr>
      <w:rPr>
        <w:rFonts w:hint="default"/>
        <w:lang w:val="en-US" w:eastAsia="zh-CN" w:bidi="ar-SA"/>
      </w:rPr>
    </w:lvl>
    <w:lvl w:ilvl="7">
      <w:start w:val="0"/>
      <w:numFmt w:val="bullet"/>
      <w:lvlText w:val="•"/>
      <w:lvlJc w:val="left"/>
      <w:pPr>
        <w:ind w:left="5526" w:hanging="454"/>
      </w:pPr>
      <w:rPr>
        <w:rFonts w:hint="default"/>
        <w:lang w:val="en-US" w:eastAsia="zh-CN" w:bidi="ar-SA"/>
      </w:rPr>
    </w:lvl>
    <w:lvl w:ilvl="8">
      <w:start w:val="0"/>
      <w:numFmt w:val="bullet"/>
      <w:lvlText w:val="•"/>
      <w:lvlJc w:val="left"/>
      <w:pPr>
        <w:ind w:left="6227" w:hanging="454"/>
      </w:pPr>
      <w:rPr>
        <w:rFonts w:hint="default"/>
        <w:lang w:val="en-US" w:eastAsia="zh-CN" w:bidi="ar-SA"/>
      </w:rPr>
    </w:lvl>
  </w:abstractNum>
  <w:abstractNum w:abstractNumId="94">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93">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92">
    <w:multiLevelType w:val="hybridMultilevel"/>
    <w:lvl w:ilvl="0">
      <w:start w:val="1"/>
      <w:numFmt w:val="decimal"/>
      <w:lvlText w:val="(%1)"/>
      <w:lvlJc w:val="left"/>
      <w:pPr>
        <w:ind w:left="617"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20" w:hanging="454"/>
      </w:pPr>
      <w:rPr>
        <w:rFonts w:hint="default"/>
        <w:lang w:val="en-US" w:eastAsia="zh-CN" w:bidi="ar-SA"/>
      </w:rPr>
    </w:lvl>
    <w:lvl w:ilvl="2">
      <w:start w:val="0"/>
      <w:numFmt w:val="bullet"/>
      <w:lvlText w:val="•"/>
      <w:lvlJc w:val="left"/>
      <w:pPr>
        <w:ind w:left="2021" w:hanging="454"/>
      </w:pPr>
      <w:rPr>
        <w:rFonts w:hint="default"/>
        <w:lang w:val="en-US" w:eastAsia="zh-CN" w:bidi="ar-SA"/>
      </w:rPr>
    </w:lvl>
    <w:lvl w:ilvl="3">
      <w:start w:val="0"/>
      <w:numFmt w:val="bullet"/>
      <w:lvlText w:val="•"/>
      <w:lvlJc w:val="left"/>
      <w:pPr>
        <w:ind w:left="2722" w:hanging="454"/>
      </w:pPr>
      <w:rPr>
        <w:rFonts w:hint="default"/>
        <w:lang w:val="en-US" w:eastAsia="zh-CN" w:bidi="ar-SA"/>
      </w:rPr>
    </w:lvl>
    <w:lvl w:ilvl="4">
      <w:start w:val="0"/>
      <w:numFmt w:val="bullet"/>
      <w:lvlText w:val="•"/>
      <w:lvlJc w:val="left"/>
      <w:pPr>
        <w:ind w:left="3423" w:hanging="454"/>
      </w:pPr>
      <w:rPr>
        <w:rFonts w:hint="default"/>
        <w:lang w:val="en-US" w:eastAsia="zh-CN" w:bidi="ar-SA"/>
      </w:rPr>
    </w:lvl>
    <w:lvl w:ilvl="5">
      <w:start w:val="0"/>
      <w:numFmt w:val="bullet"/>
      <w:lvlText w:val="•"/>
      <w:lvlJc w:val="left"/>
      <w:pPr>
        <w:ind w:left="4124" w:hanging="454"/>
      </w:pPr>
      <w:rPr>
        <w:rFonts w:hint="default"/>
        <w:lang w:val="en-US" w:eastAsia="zh-CN" w:bidi="ar-SA"/>
      </w:rPr>
    </w:lvl>
    <w:lvl w:ilvl="6">
      <w:start w:val="0"/>
      <w:numFmt w:val="bullet"/>
      <w:lvlText w:val="•"/>
      <w:lvlJc w:val="left"/>
      <w:pPr>
        <w:ind w:left="4825" w:hanging="454"/>
      </w:pPr>
      <w:rPr>
        <w:rFonts w:hint="default"/>
        <w:lang w:val="en-US" w:eastAsia="zh-CN" w:bidi="ar-SA"/>
      </w:rPr>
    </w:lvl>
    <w:lvl w:ilvl="7">
      <w:start w:val="0"/>
      <w:numFmt w:val="bullet"/>
      <w:lvlText w:val="•"/>
      <w:lvlJc w:val="left"/>
      <w:pPr>
        <w:ind w:left="5526" w:hanging="454"/>
      </w:pPr>
      <w:rPr>
        <w:rFonts w:hint="default"/>
        <w:lang w:val="en-US" w:eastAsia="zh-CN" w:bidi="ar-SA"/>
      </w:rPr>
    </w:lvl>
    <w:lvl w:ilvl="8">
      <w:start w:val="0"/>
      <w:numFmt w:val="bullet"/>
      <w:lvlText w:val="•"/>
      <w:lvlJc w:val="left"/>
      <w:pPr>
        <w:ind w:left="6227" w:hanging="454"/>
      </w:pPr>
      <w:rPr>
        <w:rFonts w:hint="default"/>
        <w:lang w:val="en-US" w:eastAsia="zh-CN" w:bidi="ar-SA"/>
      </w:rPr>
    </w:lvl>
  </w:abstractNum>
  <w:abstractNum w:abstractNumId="91">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90">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89">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88">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87">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86">
    <w:multiLevelType w:val="hybridMultilevel"/>
    <w:lvl w:ilvl="0">
      <w:start w:val="1"/>
      <w:numFmt w:val="decimal"/>
      <w:lvlText w:val="(%1)"/>
      <w:lvlJc w:val="left"/>
      <w:pPr>
        <w:ind w:left="583"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284" w:hanging="454"/>
      </w:pPr>
      <w:rPr>
        <w:rFonts w:hint="default"/>
        <w:lang w:val="en-US" w:eastAsia="zh-CN" w:bidi="ar-SA"/>
      </w:rPr>
    </w:lvl>
    <w:lvl w:ilvl="2">
      <w:start w:val="0"/>
      <w:numFmt w:val="bullet"/>
      <w:lvlText w:val="•"/>
      <w:lvlJc w:val="left"/>
      <w:pPr>
        <w:ind w:left="1989" w:hanging="454"/>
      </w:pPr>
      <w:rPr>
        <w:rFonts w:hint="default"/>
        <w:lang w:val="en-US" w:eastAsia="zh-CN" w:bidi="ar-SA"/>
      </w:rPr>
    </w:lvl>
    <w:lvl w:ilvl="3">
      <w:start w:val="0"/>
      <w:numFmt w:val="bullet"/>
      <w:lvlText w:val="•"/>
      <w:lvlJc w:val="left"/>
      <w:pPr>
        <w:ind w:left="2694" w:hanging="454"/>
      </w:pPr>
      <w:rPr>
        <w:rFonts w:hint="default"/>
        <w:lang w:val="en-US" w:eastAsia="zh-CN" w:bidi="ar-SA"/>
      </w:rPr>
    </w:lvl>
    <w:lvl w:ilvl="4">
      <w:start w:val="0"/>
      <w:numFmt w:val="bullet"/>
      <w:lvlText w:val="•"/>
      <w:lvlJc w:val="left"/>
      <w:pPr>
        <w:ind w:left="3399" w:hanging="454"/>
      </w:pPr>
      <w:rPr>
        <w:rFonts w:hint="default"/>
        <w:lang w:val="en-US" w:eastAsia="zh-CN" w:bidi="ar-SA"/>
      </w:rPr>
    </w:lvl>
    <w:lvl w:ilvl="5">
      <w:start w:val="0"/>
      <w:numFmt w:val="bullet"/>
      <w:lvlText w:val="•"/>
      <w:lvlJc w:val="left"/>
      <w:pPr>
        <w:ind w:left="4104" w:hanging="454"/>
      </w:pPr>
      <w:rPr>
        <w:rFonts w:hint="default"/>
        <w:lang w:val="en-US" w:eastAsia="zh-CN" w:bidi="ar-SA"/>
      </w:rPr>
    </w:lvl>
    <w:lvl w:ilvl="6">
      <w:start w:val="0"/>
      <w:numFmt w:val="bullet"/>
      <w:lvlText w:val="•"/>
      <w:lvlJc w:val="left"/>
      <w:pPr>
        <w:ind w:left="4809" w:hanging="454"/>
      </w:pPr>
      <w:rPr>
        <w:rFonts w:hint="default"/>
        <w:lang w:val="en-US" w:eastAsia="zh-CN" w:bidi="ar-SA"/>
      </w:rPr>
    </w:lvl>
    <w:lvl w:ilvl="7">
      <w:start w:val="0"/>
      <w:numFmt w:val="bullet"/>
      <w:lvlText w:val="•"/>
      <w:lvlJc w:val="left"/>
      <w:pPr>
        <w:ind w:left="5514" w:hanging="454"/>
      </w:pPr>
      <w:rPr>
        <w:rFonts w:hint="default"/>
        <w:lang w:val="en-US" w:eastAsia="zh-CN" w:bidi="ar-SA"/>
      </w:rPr>
    </w:lvl>
    <w:lvl w:ilvl="8">
      <w:start w:val="0"/>
      <w:numFmt w:val="bullet"/>
      <w:lvlText w:val="•"/>
      <w:lvlJc w:val="left"/>
      <w:pPr>
        <w:ind w:left="6219" w:hanging="454"/>
      </w:pPr>
      <w:rPr>
        <w:rFonts w:hint="default"/>
        <w:lang w:val="en-US" w:eastAsia="zh-CN" w:bidi="ar-SA"/>
      </w:rPr>
    </w:lvl>
  </w:abstractNum>
  <w:abstractNum w:abstractNumId="85">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84">
    <w:multiLevelType w:val="hybridMultilevel"/>
    <w:lvl w:ilvl="0">
      <w:start w:val="1"/>
      <w:numFmt w:val="decimal"/>
      <w:lvlText w:val="(%1)"/>
      <w:lvlJc w:val="left"/>
      <w:pPr>
        <w:ind w:left="572" w:hanging="420"/>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283" w:hanging="420"/>
      </w:pPr>
      <w:rPr>
        <w:rFonts w:hint="default"/>
        <w:lang w:val="en-US" w:eastAsia="zh-CN" w:bidi="ar-SA"/>
      </w:rPr>
    </w:lvl>
    <w:lvl w:ilvl="2">
      <w:start w:val="0"/>
      <w:numFmt w:val="bullet"/>
      <w:lvlText w:val="•"/>
      <w:lvlJc w:val="left"/>
      <w:pPr>
        <w:ind w:left="1987" w:hanging="420"/>
      </w:pPr>
      <w:rPr>
        <w:rFonts w:hint="default"/>
        <w:lang w:val="en-US" w:eastAsia="zh-CN" w:bidi="ar-SA"/>
      </w:rPr>
    </w:lvl>
    <w:lvl w:ilvl="3">
      <w:start w:val="0"/>
      <w:numFmt w:val="bullet"/>
      <w:lvlText w:val="•"/>
      <w:lvlJc w:val="left"/>
      <w:pPr>
        <w:ind w:left="2691" w:hanging="420"/>
      </w:pPr>
      <w:rPr>
        <w:rFonts w:hint="default"/>
        <w:lang w:val="en-US" w:eastAsia="zh-CN" w:bidi="ar-SA"/>
      </w:rPr>
    </w:lvl>
    <w:lvl w:ilvl="4">
      <w:start w:val="0"/>
      <w:numFmt w:val="bullet"/>
      <w:lvlText w:val="•"/>
      <w:lvlJc w:val="left"/>
      <w:pPr>
        <w:ind w:left="3395" w:hanging="420"/>
      </w:pPr>
      <w:rPr>
        <w:rFonts w:hint="default"/>
        <w:lang w:val="en-US" w:eastAsia="zh-CN" w:bidi="ar-SA"/>
      </w:rPr>
    </w:lvl>
    <w:lvl w:ilvl="5">
      <w:start w:val="0"/>
      <w:numFmt w:val="bullet"/>
      <w:lvlText w:val="•"/>
      <w:lvlJc w:val="left"/>
      <w:pPr>
        <w:ind w:left="4099" w:hanging="420"/>
      </w:pPr>
      <w:rPr>
        <w:rFonts w:hint="default"/>
        <w:lang w:val="en-US" w:eastAsia="zh-CN" w:bidi="ar-SA"/>
      </w:rPr>
    </w:lvl>
    <w:lvl w:ilvl="6">
      <w:start w:val="0"/>
      <w:numFmt w:val="bullet"/>
      <w:lvlText w:val="•"/>
      <w:lvlJc w:val="left"/>
      <w:pPr>
        <w:ind w:left="4802" w:hanging="420"/>
      </w:pPr>
      <w:rPr>
        <w:rFonts w:hint="default"/>
        <w:lang w:val="en-US" w:eastAsia="zh-CN" w:bidi="ar-SA"/>
      </w:rPr>
    </w:lvl>
    <w:lvl w:ilvl="7">
      <w:start w:val="0"/>
      <w:numFmt w:val="bullet"/>
      <w:lvlText w:val="•"/>
      <w:lvlJc w:val="left"/>
      <w:pPr>
        <w:ind w:left="5506" w:hanging="420"/>
      </w:pPr>
      <w:rPr>
        <w:rFonts w:hint="default"/>
        <w:lang w:val="en-US" w:eastAsia="zh-CN" w:bidi="ar-SA"/>
      </w:rPr>
    </w:lvl>
    <w:lvl w:ilvl="8">
      <w:start w:val="0"/>
      <w:numFmt w:val="bullet"/>
      <w:lvlText w:val="•"/>
      <w:lvlJc w:val="left"/>
      <w:pPr>
        <w:ind w:left="6210" w:hanging="420"/>
      </w:pPr>
      <w:rPr>
        <w:rFonts w:hint="default"/>
        <w:lang w:val="en-US" w:eastAsia="zh-CN" w:bidi="ar-SA"/>
      </w:rPr>
    </w:lvl>
  </w:abstractNum>
  <w:abstractNum w:abstractNumId="83">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82">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81">
    <w:multiLevelType w:val="hybridMultilevel"/>
    <w:lvl w:ilvl="0">
      <w:start w:val="1"/>
      <w:numFmt w:val="lowerLetter"/>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80">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79">
    <w:multiLevelType w:val="hybridMultilevel"/>
    <w:lvl w:ilvl="0">
      <w:start w:val="12"/>
      <w:numFmt w:val="decimal"/>
      <w:lvlText w:val="%1"/>
      <w:lvlJc w:val="left"/>
      <w:pPr>
        <w:ind w:left="930" w:hanging="778"/>
        <w:jc w:val="left"/>
      </w:pPr>
      <w:rPr>
        <w:rFonts w:hint="default"/>
        <w:lang w:val="en-US" w:eastAsia="zh-CN" w:bidi="ar-SA"/>
      </w:rPr>
    </w:lvl>
    <w:lvl w:ilvl="1">
      <w:start w:val="1"/>
      <w:numFmt w:val="decimal"/>
      <w:lvlText w:val="%1.%2"/>
      <w:lvlJc w:val="left"/>
      <w:pPr>
        <w:ind w:left="930" w:hanging="778"/>
        <w:jc w:val="left"/>
      </w:pPr>
      <w:rPr>
        <w:rFonts w:hint="default" w:ascii="宋体" w:hAnsi="宋体" w:eastAsia="宋体" w:cs="宋体"/>
        <w:b/>
        <w:bCs/>
        <w:i w:val="0"/>
        <w:iCs w:val="0"/>
        <w:spacing w:val="-1"/>
        <w:w w:val="99"/>
        <w:sz w:val="22"/>
        <w:szCs w:val="22"/>
        <w:lang w:val="en-US" w:eastAsia="zh-CN" w:bidi="ar-SA"/>
      </w:rPr>
    </w:lvl>
    <w:lvl w:ilvl="2">
      <w:start w:val="1"/>
      <w:numFmt w:val="decimal"/>
      <w:lvlText w:val="(%3)"/>
      <w:lvlJc w:val="left"/>
      <w:pPr>
        <w:ind w:left="2934" w:hanging="454"/>
        <w:jc w:val="left"/>
      </w:pPr>
      <w:rPr>
        <w:rFonts w:hint="default" w:ascii="宋体" w:hAnsi="宋体" w:eastAsia="宋体" w:cs="宋体"/>
        <w:b w:val="0"/>
        <w:bCs w:val="0"/>
        <w:i w:val="0"/>
        <w:iCs w:val="0"/>
        <w:spacing w:val="-1"/>
        <w:w w:val="100"/>
        <w:sz w:val="22"/>
        <w:szCs w:val="22"/>
        <w:lang w:val="en-US" w:eastAsia="zh-CN" w:bidi="ar-SA"/>
      </w:rPr>
    </w:lvl>
    <w:lvl w:ilvl="3">
      <w:start w:val="0"/>
      <w:numFmt w:val="bullet"/>
      <w:lvlText w:val="•"/>
      <w:lvlJc w:val="left"/>
      <w:pPr>
        <w:ind w:left="2786" w:hanging="454"/>
      </w:pPr>
      <w:rPr>
        <w:rFonts w:hint="default"/>
        <w:lang w:val="en-US" w:eastAsia="zh-CN" w:bidi="ar-SA"/>
      </w:rPr>
    </w:lvl>
    <w:lvl w:ilvl="4">
      <w:start w:val="0"/>
      <w:numFmt w:val="bullet"/>
      <w:lvlText w:val="•"/>
      <w:lvlJc w:val="left"/>
      <w:pPr>
        <w:ind w:left="2710" w:hanging="454"/>
      </w:pPr>
      <w:rPr>
        <w:rFonts w:hint="default"/>
        <w:lang w:val="en-US" w:eastAsia="zh-CN" w:bidi="ar-SA"/>
      </w:rPr>
    </w:lvl>
    <w:lvl w:ilvl="5">
      <w:start w:val="0"/>
      <w:numFmt w:val="bullet"/>
      <w:lvlText w:val="•"/>
      <w:lvlJc w:val="left"/>
      <w:pPr>
        <w:ind w:left="2633" w:hanging="454"/>
      </w:pPr>
      <w:rPr>
        <w:rFonts w:hint="default"/>
        <w:lang w:val="en-US" w:eastAsia="zh-CN" w:bidi="ar-SA"/>
      </w:rPr>
    </w:lvl>
    <w:lvl w:ilvl="6">
      <w:start w:val="0"/>
      <w:numFmt w:val="bullet"/>
      <w:lvlText w:val="•"/>
      <w:lvlJc w:val="left"/>
      <w:pPr>
        <w:ind w:left="2557" w:hanging="454"/>
      </w:pPr>
      <w:rPr>
        <w:rFonts w:hint="default"/>
        <w:lang w:val="en-US" w:eastAsia="zh-CN" w:bidi="ar-SA"/>
      </w:rPr>
    </w:lvl>
    <w:lvl w:ilvl="7">
      <w:start w:val="0"/>
      <w:numFmt w:val="bullet"/>
      <w:lvlText w:val="•"/>
      <w:lvlJc w:val="left"/>
      <w:pPr>
        <w:ind w:left="2480" w:hanging="454"/>
      </w:pPr>
      <w:rPr>
        <w:rFonts w:hint="default"/>
        <w:lang w:val="en-US" w:eastAsia="zh-CN" w:bidi="ar-SA"/>
      </w:rPr>
    </w:lvl>
    <w:lvl w:ilvl="8">
      <w:start w:val="0"/>
      <w:numFmt w:val="bullet"/>
      <w:lvlText w:val="•"/>
      <w:lvlJc w:val="left"/>
      <w:pPr>
        <w:ind w:left="2403" w:hanging="454"/>
      </w:pPr>
      <w:rPr>
        <w:rFonts w:hint="default"/>
        <w:lang w:val="en-US" w:eastAsia="zh-CN" w:bidi="ar-SA"/>
      </w:rPr>
    </w:lvl>
  </w:abstractNum>
  <w:abstractNum w:abstractNumId="78">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77">
    <w:multiLevelType w:val="hybridMultilevel"/>
    <w:lvl w:ilvl="0">
      <w:start w:val="1"/>
      <w:numFmt w:val="decimal"/>
      <w:lvlText w:val="(%1)"/>
      <w:lvlJc w:val="left"/>
      <w:pPr>
        <w:ind w:left="606" w:hanging="454"/>
        <w:jc w:val="righ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76">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75">
    <w:multiLevelType w:val="hybridMultilevel"/>
    <w:lvl w:ilvl="0">
      <w:start w:val="11"/>
      <w:numFmt w:val="decimal"/>
      <w:lvlText w:val="%1"/>
      <w:lvlJc w:val="left"/>
      <w:pPr>
        <w:ind w:left="954" w:hanging="802"/>
        <w:jc w:val="left"/>
      </w:pPr>
      <w:rPr>
        <w:rFonts w:hint="default"/>
        <w:lang w:val="en-US" w:eastAsia="zh-CN" w:bidi="ar-SA"/>
      </w:rPr>
    </w:lvl>
    <w:lvl w:ilvl="1">
      <w:start w:val="1"/>
      <w:numFmt w:val="decimal"/>
      <w:lvlText w:val="%1.%2"/>
      <w:lvlJc w:val="left"/>
      <w:pPr>
        <w:ind w:left="954" w:hanging="802"/>
        <w:jc w:val="left"/>
      </w:pPr>
      <w:rPr>
        <w:rFonts w:hint="default" w:ascii="宋体" w:hAnsi="宋体" w:eastAsia="宋体" w:cs="宋体"/>
        <w:b/>
        <w:bCs/>
        <w:i w:val="0"/>
        <w:iCs w:val="0"/>
        <w:spacing w:val="-1"/>
        <w:w w:val="99"/>
        <w:sz w:val="22"/>
        <w:szCs w:val="22"/>
        <w:lang w:val="en-US" w:eastAsia="zh-CN" w:bidi="ar-SA"/>
      </w:rPr>
    </w:lvl>
    <w:lvl w:ilvl="2">
      <w:start w:val="1"/>
      <w:numFmt w:val="decimal"/>
      <w:lvlText w:val="(%3)"/>
      <w:lvlJc w:val="left"/>
      <w:pPr>
        <w:ind w:left="2934" w:hanging="454"/>
        <w:jc w:val="left"/>
      </w:pPr>
      <w:rPr>
        <w:rFonts w:hint="default" w:ascii="宋体" w:hAnsi="宋体" w:eastAsia="宋体" w:cs="宋体"/>
        <w:b w:val="0"/>
        <w:bCs w:val="0"/>
        <w:i w:val="0"/>
        <w:iCs w:val="0"/>
        <w:spacing w:val="-1"/>
        <w:w w:val="100"/>
        <w:sz w:val="22"/>
        <w:szCs w:val="22"/>
        <w:lang w:val="en-US" w:eastAsia="zh-CN" w:bidi="ar-SA"/>
      </w:rPr>
    </w:lvl>
    <w:lvl w:ilvl="3">
      <w:start w:val="0"/>
      <w:numFmt w:val="bullet"/>
      <w:lvlText w:val="•"/>
      <w:lvlJc w:val="left"/>
      <w:pPr>
        <w:ind w:left="2792" w:hanging="454"/>
      </w:pPr>
      <w:rPr>
        <w:rFonts w:hint="default"/>
        <w:lang w:val="en-US" w:eastAsia="zh-CN" w:bidi="ar-SA"/>
      </w:rPr>
    </w:lvl>
    <w:lvl w:ilvl="4">
      <w:start w:val="0"/>
      <w:numFmt w:val="bullet"/>
      <w:lvlText w:val="•"/>
      <w:lvlJc w:val="left"/>
      <w:pPr>
        <w:ind w:left="2719" w:hanging="454"/>
      </w:pPr>
      <w:rPr>
        <w:rFonts w:hint="default"/>
        <w:lang w:val="en-US" w:eastAsia="zh-CN" w:bidi="ar-SA"/>
      </w:rPr>
    </w:lvl>
    <w:lvl w:ilvl="5">
      <w:start w:val="0"/>
      <w:numFmt w:val="bullet"/>
      <w:lvlText w:val="•"/>
      <w:lvlJc w:val="left"/>
      <w:pPr>
        <w:ind w:left="2645" w:hanging="454"/>
      </w:pPr>
      <w:rPr>
        <w:rFonts w:hint="default"/>
        <w:lang w:val="en-US" w:eastAsia="zh-CN" w:bidi="ar-SA"/>
      </w:rPr>
    </w:lvl>
    <w:lvl w:ilvl="6">
      <w:start w:val="0"/>
      <w:numFmt w:val="bullet"/>
      <w:lvlText w:val="•"/>
      <w:lvlJc w:val="left"/>
      <w:pPr>
        <w:ind w:left="2571" w:hanging="454"/>
      </w:pPr>
      <w:rPr>
        <w:rFonts w:hint="default"/>
        <w:lang w:val="en-US" w:eastAsia="zh-CN" w:bidi="ar-SA"/>
      </w:rPr>
    </w:lvl>
    <w:lvl w:ilvl="7">
      <w:start w:val="0"/>
      <w:numFmt w:val="bullet"/>
      <w:lvlText w:val="•"/>
      <w:lvlJc w:val="left"/>
      <w:pPr>
        <w:ind w:left="2497" w:hanging="454"/>
      </w:pPr>
      <w:rPr>
        <w:rFonts w:hint="default"/>
        <w:lang w:val="en-US" w:eastAsia="zh-CN" w:bidi="ar-SA"/>
      </w:rPr>
    </w:lvl>
    <w:lvl w:ilvl="8">
      <w:start w:val="0"/>
      <w:numFmt w:val="bullet"/>
      <w:lvlText w:val="•"/>
      <w:lvlJc w:val="left"/>
      <w:pPr>
        <w:ind w:left="2424" w:hanging="454"/>
      </w:pPr>
      <w:rPr>
        <w:rFonts w:hint="default"/>
        <w:lang w:val="en-US" w:eastAsia="zh-CN" w:bidi="ar-SA"/>
      </w:rPr>
    </w:lvl>
  </w:abstractNum>
  <w:abstractNum w:abstractNumId="74">
    <w:multiLevelType w:val="hybridMultilevel"/>
    <w:lvl w:ilvl="0">
      <w:start w:val="1"/>
      <w:numFmt w:val="decimal"/>
      <w:lvlText w:val="(%1)"/>
      <w:lvlJc w:val="left"/>
      <w:pPr>
        <w:ind w:left="1071"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734" w:hanging="454"/>
      </w:pPr>
      <w:rPr>
        <w:rFonts w:hint="default"/>
        <w:lang w:val="en-US" w:eastAsia="zh-CN" w:bidi="ar-SA"/>
      </w:rPr>
    </w:lvl>
    <w:lvl w:ilvl="2">
      <w:start w:val="0"/>
      <w:numFmt w:val="bullet"/>
      <w:lvlText w:val="•"/>
      <w:lvlJc w:val="left"/>
      <w:pPr>
        <w:ind w:left="2389" w:hanging="454"/>
      </w:pPr>
      <w:rPr>
        <w:rFonts w:hint="default"/>
        <w:lang w:val="en-US" w:eastAsia="zh-CN" w:bidi="ar-SA"/>
      </w:rPr>
    </w:lvl>
    <w:lvl w:ilvl="3">
      <w:start w:val="0"/>
      <w:numFmt w:val="bullet"/>
      <w:lvlText w:val="•"/>
      <w:lvlJc w:val="left"/>
      <w:pPr>
        <w:ind w:left="3044" w:hanging="454"/>
      </w:pPr>
      <w:rPr>
        <w:rFonts w:hint="default"/>
        <w:lang w:val="en-US" w:eastAsia="zh-CN" w:bidi="ar-SA"/>
      </w:rPr>
    </w:lvl>
    <w:lvl w:ilvl="4">
      <w:start w:val="0"/>
      <w:numFmt w:val="bullet"/>
      <w:lvlText w:val="•"/>
      <w:lvlJc w:val="left"/>
      <w:pPr>
        <w:ind w:left="3699" w:hanging="454"/>
      </w:pPr>
      <w:rPr>
        <w:rFonts w:hint="default"/>
        <w:lang w:val="en-US" w:eastAsia="zh-CN" w:bidi="ar-SA"/>
      </w:rPr>
    </w:lvl>
    <w:lvl w:ilvl="5">
      <w:start w:val="0"/>
      <w:numFmt w:val="bullet"/>
      <w:lvlText w:val="•"/>
      <w:lvlJc w:val="left"/>
      <w:pPr>
        <w:ind w:left="4354" w:hanging="454"/>
      </w:pPr>
      <w:rPr>
        <w:rFonts w:hint="default"/>
        <w:lang w:val="en-US" w:eastAsia="zh-CN" w:bidi="ar-SA"/>
      </w:rPr>
    </w:lvl>
    <w:lvl w:ilvl="6">
      <w:start w:val="0"/>
      <w:numFmt w:val="bullet"/>
      <w:lvlText w:val="•"/>
      <w:lvlJc w:val="left"/>
      <w:pPr>
        <w:ind w:left="5009" w:hanging="454"/>
      </w:pPr>
      <w:rPr>
        <w:rFonts w:hint="default"/>
        <w:lang w:val="en-US" w:eastAsia="zh-CN" w:bidi="ar-SA"/>
      </w:rPr>
    </w:lvl>
    <w:lvl w:ilvl="7">
      <w:start w:val="0"/>
      <w:numFmt w:val="bullet"/>
      <w:lvlText w:val="•"/>
      <w:lvlJc w:val="left"/>
      <w:pPr>
        <w:ind w:left="5664" w:hanging="454"/>
      </w:pPr>
      <w:rPr>
        <w:rFonts w:hint="default"/>
        <w:lang w:val="en-US" w:eastAsia="zh-CN" w:bidi="ar-SA"/>
      </w:rPr>
    </w:lvl>
    <w:lvl w:ilvl="8">
      <w:start w:val="0"/>
      <w:numFmt w:val="bullet"/>
      <w:lvlText w:val="•"/>
      <w:lvlJc w:val="left"/>
      <w:pPr>
        <w:ind w:left="6319" w:hanging="454"/>
      </w:pPr>
      <w:rPr>
        <w:rFonts w:hint="default"/>
        <w:lang w:val="en-US" w:eastAsia="zh-CN" w:bidi="ar-SA"/>
      </w:rPr>
    </w:lvl>
  </w:abstractNum>
  <w:abstractNum w:abstractNumId="73">
    <w:multiLevelType w:val="hybridMultilevel"/>
    <w:lvl w:ilvl="0">
      <w:start w:val="10"/>
      <w:numFmt w:val="decimal"/>
      <w:lvlText w:val="%1"/>
      <w:lvlJc w:val="left"/>
      <w:pPr>
        <w:ind w:left="954" w:hanging="802"/>
        <w:jc w:val="left"/>
      </w:pPr>
      <w:rPr>
        <w:rFonts w:hint="default"/>
        <w:lang w:val="en-US" w:eastAsia="zh-CN" w:bidi="ar-SA"/>
      </w:rPr>
    </w:lvl>
    <w:lvl w:ilvl="1">
      <w:start w:val="119"/>
      <w:numFmt w:val="decimal"/>
      <w:lvlText w:val="%1.%2"/>
      <w:lvlJc w:val="left"/>
      <w:pPr>
        <w:ind w:left="954" w:hanging="802"/>
        <w:jc w:val="left"/>
      </w:pPr>
      <w:rPr>
        <w:rFonts w:hint="default" w:ascii="宋体" w:hAnsi="宋体" w:eastAsia="宋体" w:cs="宋体"/>
        <w:b/>
        <w:bCs/>
        <w:i w:val="0"/>
        <w:iCs w:val="0"/>
        <w:spacing w:val="-1"/>
        <w:w w:val="99"/>
        <w:sz w:val="22"/>
        <w:szCs w:val="22"/>
        <w:lang w:val="en-US" w:eastAsia="zh-CN" w:bidi="ar-SA"/>
      </w:rPr>
    </w:lvl>
    <w:lvl w:ilvl="2">
      <w:start w:val="1"/>
      <w:numFmt w:val="decimal"/>
      <w:lvlText w:val="(%3)"/>
      <w:lvlJc w:val="left"/>
      <w:pPr>
        <w:ind w:left="2934" w:hanging="454"/>
        <w:jc w:val="left"/>
      </w:pPr>
      <w:rPr>
        <w:rFonts w:hint="default" w:ascii="宋体" w:hAnsi="宋体" w:eastAsia="宋体" w:cs="宋体"/>
        <w:b w:val="0"/>
        <w:bCs w:val="0"/>
        <w:i w:val="0"/>
        <w:iCs w:val="0"/>
        <w:spacing w:val="-1"/>
        <w:w w:val="100"/>
        <w:sz w:val="22"/>
        <w:szCs w:val="22"/>
        <w:lang w:val="en-US" w:eastAsia="zh-CN" w:bidi="ar-SA"/>
      </w:rPr>
    </w:lvl>
    <w:lvl w:ilvl="3">
      <w:start w:val="0"/>
      <w:numFmt w:val="bullet"/>
      <w:lvlText w:val="•"/>
      <w:lvlJc w:val="left"/>
      <w:pPr>
        <w:ind w:left="2792" w:hanging="454"/>
      </w:pPr>
      <w:rPr>
        <w:rFonts w:hint="default"/>
        <w:lang w:val="en-US" w:eastAsia="zh-CN" w:bidi="ar-SA"/>
      </w:rPr>
    </w:lvl>
    <w:lvl w:ilvl="4">
      <w:start w:val="0"/>
      <w:numFmt w:val="bullet"/>
      <w:lvlText w:val="•"/>
      <w:lvlJc w:val="left"/>
      <w:pPr>
        <w:ind w:left="2719" w:hanging="454"/>
      </w:pPr>
      <w:rPr>
        <w:rFonts w:hint="default"/>
        <w:lang w:val="en-US" w:eastAsia="zh-CN" w:bidi="ar-SA"/>
      </w:rPr>
    </w:lvl>
    <w:lvl w:ilvl="5">
      <w:start w:val="0"/>
      <w:numFmt w:val="bullet"/>
      <w:lvlText w:val="•"/>
      <w:lvlJc w:val="left"/>
      <w:pPr>
        <w:ind w:left="2645" w:hanging="454"/>
      </w:pPr>
      <w:rPr>
        <w:rFonts w:hint="default"/>
        <w:lang w:val="en-US" w:eastAsia="zh-CN" w:bidi="ar-SA"/>
      </w:rPr>
    </w:lvl>
    <w:lvl w:ilvl="6">
      <w:start w:val="0"/>
      <w:numFmt w:val="bullet"/>
      <w:lvlText w:val="•"/>
      <w:lvlJc w:val="left"/>
      <w:pPr>
        <w:ind w:left="2571" w:hanging="454"/>
      </w:pPr>
      <w:rPr>
        <w:rFonts w:hint="default"/>
        <w:lang w:val="en-US" w:eastAsia="zh-CN" w:bidi="ar-SA"/>
      </w:rPr>
    </w:lvl>
    <w:lvl w:ilvl="7">
      <w:start w:val="0"/>
      <w:numFmt w:val="bullet"/>
      <w:lvlText w:val="•"/>
      <w:lvlJc w:val="left"/>
      <w:pPr>
        <w:ind w:left="2497" w:hanging="454"/>
      </w:pPr>
      <w:rPr>
        <w:rFonts w:hint="default"/>
        <w:lang w:val="en-US" w:eastAsia="zh-CN" w:bidi="ar-SA"/>
      </w:rPr>
    </w:lvl>
    <w:lvl w:ilvl="8">
      <w:start w:val="0"/>
      <w:numFmt w:val="bullet"/>
      <w:lvlText w:val="•"/>
      <w:lvlJc w:val="left"/>
      <w:pPr>
        <w:ind w:left="2424" w:hanging="454"/>
      </w:pPr>
      <w:rPr>
        <w:rFonts w:hint="default"/>
        <w:lang w:val="en-US" w:eastAsia="zh-CN" w:bidi="ar-SA"/>
      </w:rPr>
    </w:lvl>
  </w:abstractNum>
  <w:abstractNum w:abstractNumId="72">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71">
    <w:multiLevelType w:val="hybridMultilevel"/>
    <w:lvl w:ilvl="0">
      <w:start w:val="1"/>
      <w:numFmt w:val="decimal"/>
      <w:lvlText w:val="(%1)"/>
      <w:lvlJc w:val="left"/>
      <w:pPr>
        <w:ind w:left="2934"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3640" w:hanging="454"/>
      </w:pPr>
      <w:rPr>
        <w:rFonts w:hint="default"/>
        <w:lang w:val="en-US" w:eastAsia="zh-CN" w:bidi="ar-SA"/>
      </w:rPr>
    </w:lvl>
    <w:lvl w:ilvl="2">
      <w:start w:val="0"/>
      <w:numFmt w:val="bullet"/>
      <w:lvlText w:val="•"/>
      <w:lvlJc w:val="left"/>
      <w:pPr>
        <w:ind w:left="4341" w:hanging="454"/>
      </w:pPr>
      <w:rPr>
        <w:rFonts w:hint="default"/>
        <w:lang w:val="en-US" w:eastAsia="zh-CN" w:bidi="ar-SA"/>
      </w:rPr>
    </w:lvl>
    <w:lvl w:ilvl="3">
      <w:start w:val="0"/>
      <w:numFmt w:val="bullet"/>
      <w:lvlText w:val="•"/>
      <w:lvlJc w:val="left"/>
      <w:pPr>
        <w:ind w:left="5041" w:hanging="454"/>
      </w:pPr>
      <w:rPr>
        <w:rFonts w:hint="default"/>
        <w:lang w:val="en-US" w:eastAsia="zh-CN" w:bidi="ar-SA"/>
      </w:rPr>
    </w:lvl>
    <w:lvl w:ilvl="4">
      <w:start w:val="0"/>
      <w:numFmt w:val="bullet"/>
      <w:lvlText w:val="•"/>
      <w:lvlJc w:val="left"/>
      <w:pPr>
        <w:ind w:left="5742" w:hanging="454"/>
      </w:pPr>
      <w:rPr>
        <w:rFonts w:hint="default"/>
        <w:lang w:val="en-US" w:eastAsia="zh-CN" w:bidi="ar-SA"/>
      </w:rPr>
    </w:lvl>
    <w:lvl w:ilvl="5">
      <w:start w:val="0"/>
      <w:numFmt w:val="bullet"/>
      <w:lvlText w:val="•"/>
      <w:lvlJc w:val="left"/>
      <w:pPr>
        <w:ind w:left="6443" w:hanging="454"/>
      </w:pPr>
      <w:rPr>
        <w:rFonts w:hint="default"/>
        <w:lang w:val="en-US" w:eastAsia="zh-CN" w:bidi="ar-SA"/>
      </w:rPr>
    </w:lvl>
    <w:lvl w:ilvl="6">
      <w:start w:val="0"/>
      <w:numFmt w:val="bullet"/>
      <w:lvlText w:val="•"/>
      <w:lvlJc w:val="left"/>
      <w:pPr>
        <w:ind w:left="7143" w:hanging="454"/>
      </w:pPr>
      <w:rPr>
        <w:rFonts w:hint="default"/>
        <w:lang w:val="en-US" w:eastAsia="zh-CN" w:bidi="ar-SA"/>
      </w:rPr>
    </w:lvl>
    <w:lvl w:ilvl="7">
      <w:start w:val="0"/>
      <w:numFmt w:val="bullet"/>
      <w:lvlText w:val="•"/>
      <w:lvlJc w:val="left"/>
      <w:pPr>
        <w:ind w:left="7844" w:hanging="454"/>
      </w:pPr>
      <w:rPr>
        <w:rFonts w:hint="default"/>
        <w:lang w:val="en-US" w:eastAsia="zh-CN" w:bidi="ar-SA"/>
      </w:rPr>
    </w:lvl>
    <w:lvl w:ilvl="8">
      <w:start w:val="0"/>
      <w:numFmt w:val="bullet"/>
      <w:lvlText w:val="•"/>
      <w:lvlJc w:val="left"/>
      <w:pPr>
        <w:ind w:left="8544" w:hanging="454"/>
      </w:pPr>
      <w:rPr>
        <w:rFonts w:hint="default"/>
        <w:lang w:val="en-US" w:eastAsia="zh-CN" w:bidi="ar-SA"/>
      </w:rPr>
    </w:lvl>
  </w:abstractNum>
  <w:abstractNum w:abstractNumId="70">
    <w:multiLevelType w:val="hybridMultilevel"/>
    <w:lvl w:ilvl="0">
      <w:start w:val="10"/>
      <w:numFmt w:val="decimal"/>
      <w:lvlText w:val="%1"/>
      <w:lvlJc w:val="left"/>
      <w:pPr>
        <w:ind w:left="954" w:hanging="802"/>
        <w:jc w:val="left"/>
      </w:pPr>
      <w:rPr>
        <w:rFonts w:hint="default"/>
        <w:lang w:val="en-US" w:eastAsia="zh-CN" w:bidi="ar-SA"/>
      </w:rPr>
    </w:lvl>
    <w:lvl w:ilvl="1">
      <w:start w:val="105"/>
      <w:numFmt w:val="decimal"/>
      <w:lvlText w:val="%1.%2"/>
      <w:lvlJc w:val="left"/>
      <w:pPr>
        <w:ind w:left="954" w:hanging="802"/>
        <w:jc w:val="left"/>
      </w:pPr>
      <w:rPr>
        <w:rFonts w:hint="default" w:ascii="宋体" w:hAnsi="宋体" w:eastAsia="宋体" w:cs="宋体"/>
        <w:b/>
        <w:bCs/>
        <w:i w:val="0"/>
        <w:iCs w:val="0"/>
        <w:spacing w:val="-1"/>
        <w:w w:val="99"/>
        <w:sz w:val="22"/>
        <w:szCs w:val="22"/>
        <w:lang w:val="en-US" w:eastAsia="zh-CN" w:bidi="ar-SA"/>
      </w:rPr>
    </w:lvl>
    <w:lvl w:ilvl="2">
      <w:start w:val="1"/>
      <w:numFmt w:val="decimal"/>
      <w:lvlText w:val="(%3)"/>
      <w:lvlJc w:val="left"/>
      <w:pPr>
        <w:ind w:left="2934" w:hanging="454"/>
        <w:jc w:val="left"/>
      </w:pPr>
      <w:rPr>
        <w:rFonts w:hint="default" w:ascii="宋体" w:hAnsi="宋体" w:eastAsia="宋体" w:cs="宋体"/>
        <w:b w:val="0"/>
        <w:bCs w:val="0"/>
        <w:i w:val="0"/>
        <w:iCs w:val="0"/>
        <w:spacing w:val="-1"/>
        <w:w w:val="100"/>
        <w:sz w:val="22"/>
        <w:szCs w:val="22"/>
        <w:lang w:val="en-US" w:eastAsia="zh-CN" w:bidi="ar-SA"/>
      </w:rPr>
    </w:lvl>
    <w:lvl w:ilvl="3">
      <w:start w:val="0"/>
      <w:numFmt w:val="bullet"/>
      <w:lvlText w:val="•"/>
      <w:lvlJc w:val="left"/>
      <w:pPr>
        <w:ind w:left="2792" w:hanging="454"/>
      </w:pPr>
      <w:rPr>
        <w:rFonts w:hint="default"/>
        <w:lang w:val="en-US" w:eastAsia="zh-CN" w:bidi="ar-SA"/>
      </w:rPr>
    </w:lvl>
    <w:lvl w:ilvl="4">
      <w:start w:val="0"/>
      <w:numFmt w:val="bullet"/>
      <w:lvlText w:val="•"/>
      <w:lvlJc w:val="left"/>
      <w:pPr>
        <w:ind w:left="2719" w:hanging="454"/>
      </w:pPr>
      <w:rPr>
        <w:rFonts w:hint="default"/>
        <w:lang w:val="en-US" w:eastAsia="zh-CN" w:bidi="ar-SA"/>
      </w:rPr>
    </w:lvl>
    <w:lvl w:ilvl="5">
      <w:start w:val="0"/>
      <w:numFmt w:val="bullet"/>
      <w:lvlText w:val="•"/>
      <w:lvlJc w:val="left"/>
      <w:pPr>
        <w:ind w:left="2645" w:hanging="454"/>
      </w:pPr>
      <w:rPr>
        <w:rFonts w:hint="default"/>
        <w:lang w:val="en-US" w:eastAsia="zh-CN" w:bidi="ar-SA"/>
      </w:rPr>
    </w:lvl>
    <w:lvl w:ilvl="6">
      <w:start w:val="0"/>
      <w:numFmt w:val="bullet"/>
      <w:lvlText w:val="•"/>
      <w:lvlJc w:val="left"/>
      <w:pPr>
        <w:ind w:left="2571" w:hanging="454"/>
      </w:pPr>
      <w:rPr>
        <w:rFonts w:hint="default"/>
        <w:lang w:val="en-US" w:eastAsia="zh-CN" w:bidi="ar-SA"/>
      </w:rPr>
    </w:lvl>
    <w:lvl w:ilvl="7">
      <w:start w:val="0"/>
      <w:numFmt w:val="bullet"/>
      <w:lvlText w:val="•"/>
      <w:lvlJc w:val="left"/>
      <w:pPr>
        <w:ind w:left="2497" w:hanging="454"/>
      </w:pPr>
      <w:rPr>
        <w:rFonts w:hint="default"/>
        <w:lang w:val="en-US" w:eastAsia="zh-CN" w:bidi="ar-SA"/>
      </w:rPr>
    </w:lvl>
    <w:lvl w:ilvl="8">
      <w:start w:val="0"/>
      <w:numFmt w:val="bullet"/>
      <w:lvlText w:val="•"/>
      <w:lvlJc w:val="left"/>
      <w:pPr>
        <w:ind w:left="2424" w:hanging="454"/>
      </w:pPr>
      <w:rPr>
        <w:rFonts w:hint="default"/>
        <w:lang w:val="en-US" w:eastAsia="zh-CN" w:bidi="ar-SA"/>
      </w:rPr>
    </w:lvl>
  </w:abstractNum>
  <w:abstractNum w:abstractNumId="69">
    <w:multiLevelType w:val="hybridMultilevel"/>
    <w:lvl w:ilvl="0">
      <w:start w:val="1"/>
      <w:numFmt w:val="decimal"/>
      <w:lvlText w:val="(%1)"/>
      <w:lvlJc w:val="left"/>
      <w:pPr>
        <w:ind w:left="600"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2940" w:hanging="454"/>
      </w:pPr>
      <w:rPr>
        <w:rFonts w:hint="default"/>
        <w:lang w:val="en-US" w:eastAsia="zh-CN" w:bidi="ar-SA"/>
      </w:rPr>
    </w:lvl>
    <w:lvl w:ilvl="2">
      <w:start w:val="0"/>
      <w:numFmt w:val="bullet"/>
      <w:lvlText w:val="•"/>
      <w:lvlJc w:val="left"/>
      <w:pPr>
        <w:ind w:left="3459" w:hanging="454"/>
      </w:pPr>
      <w:rPr>
        <w:rFonts w:hint="default"/>
        <w:lang w:val="en-US" w:eastAsia="zh-CN" w:bidi="ar-SA"/>
      </w:rPr>
    </w:lvl>
    <w:lvl w:ilvl="3">
      <w:start w:val="0"/>
      <w:numFmt w:val="bullet"/>
      <w:lvlText w:val="•"/>
      <w:lvlJc w:val="left"/>
      <w:pPr>
        <w:ind w:left="3978" w:hanging="454"/>
      </w:pPr>
      <w:rPr>
        <w:rFonts w:hint="default"/>
        <w:lang w:val="en-US" w:eastAsia="zh-CN" w:bidi="ar-SA"/>
      </w:rPr>
    </w:lvl>
    <w:lvl w:ilvl="4">
      <w:start w:val="0"/>
      <w:numFmt w:val="bullet"/>
      <w:lvlText w:val="•"/>
      <w:lvlJc w:val="left"/>
      <w:pPr>
        <w:ind w:left="4497" w:hanging="454"/>
      </w:pPr>
      <w:rPr>
        <w:rFonts w:hint="default"/>
        <w:lang w:val="en-US" w:eastAsia="zh-CN" w:bidi="ar-SA"/>
      </w:rPr>
    </w:lvl>
    <w:lvl w:ilvl="5">
      <w:start w:val="0"/>
      <w:numFmt w:val="bullet"/>
      <w:lvlText w:val="•"/>
      <w:lvlJc w:val="left"/>
      <w:pPr>
        <w:ind w:left="5016" w:hanging="454"/>
      </w:pPr>
      <w:rPr>
        <w:rFonts w:hint="default"/>
        <w:lang w:val="en-US" w:eastAsia="zh-CN" w:bidi="ar-SA"/>
      </w:rPr>
    </w:lvl>
    <w:lvl w:ilvl="6">
      <w:start w:val="0"/>
      <w:numFmt w:val="bullet"/>
      <w:lvlText w:val="•"/>
      <w:lvlJc w:val="left"/>
      <w:pPr>
        <w:ind w:left="5535" w:hanging="454"/>
      </w:pPr>
      <w:rPr>
        <w:rFonts w:hint="default"/>
        <w:lang w:val="en-US" w:eastAsia="zh-CN" w:bidi="ar-SA"/>
      </w:rPr>
    </w:lvl>
    <w:lvl w:ilvl="7">
      <w:start w:val="0"/>
      <w:numFmt w:val="bullet"/>
      <w:lvlText w:val="•"/>
      <w:lvlJc w:val="left"/>
      <w:pPr>
        <w:ind w:left="6054" w:hanging="454"/>
      </w:pPr>
      <w:rPr>
        <w:rFonts w:hint="default"/>
        <w:lang w:val="en-US" w:eastAsia="zh-CN" w:bidi="ar-SA"/>
      </w:rPr>
    </w:lvl>
    <w:lvl w:ilvl="8">
      <w:start w:val="0"/>
      <w:numFmt w:val="bullet"/>
      <w:lvlText w:val="•"/>
      <w:lvlJc w:val="left"/>
      <w:pPr>
        <w:ind w:left="6573" w:hanging="454"/>
      </w:pPr>
      <w:rPr>
        <w:rFonts w:hint="default"/>
        <w:lang w:val="en-US" w:eastAsia="zh-CN" w:bidi="ar-SA"/>
      </w:rPr>
    </w:lvl>
  </w:abstractNum>
  <w:abstractNum w:abstractNumId="68">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67">
    <w:multiLevelType w:val="hybridMultilevel"/>
    <w:lvl w:ilvl="0">
      <w:start w:val="1"/>
      <w:numFmt w:val="decimal"/>
      <w:lvlText w:val="(%1)"/>
      <w:lvlJc w:val="left"/>
      <w:pPr>
        <w:ind w:left="606" w:hanging="454"/>
        <w:jc w:val="righ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66">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65">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64">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63">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62">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61">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60">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59">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58">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57">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56">
    <w:multiLevelType w:val="hybridMultilevel"/>
    <w:lvl w:ilvl="0">
      <w:start w:val="1"/>
      <w:numFmt w:val="decimal"/>
      <w:lvlText w:val="(%1)"/>
      <w:lvlJc w:val="left"/>
      <w:pPr>
        <w:ind w:left="606" w:hanging="454"/>
        <w:jc w:val="righ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55">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54">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53">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52">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51">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50">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49">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48">
    <w:multiLevelType w:val="hybridMultilevel"/>
    <w:lvl w:ilvl="0">
      <w:start w:val="1"/>
      <w:numFmt w:val="decimal"/>
      <w:lvlText w:val="(%1)"/>
      <w:lvlJc w:val="left"/>
      <w:pPr>
        <w:ind w:left="606" w:hanging="454"/>
        <w:jc w:val="righ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47">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46">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45">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44">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43">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42">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41">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40">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39">
    <w:multiLevelType w:val="hybridMultilevel"/>
    <w:lvl w:ilvl="0">
      <w:start w:val="1"/>
      <w:numFmt w:val="decimal"/>
      <w:lvlText w:val="(%1)"/>
      <w:lvlJc w:val="left"/>
      <w:pPr>
        <w:ind w:left="606" w:hanging="454"/>
        <w:jc w:val="righ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38">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37">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36">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35">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34">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33">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32">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31">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30">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29">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28">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27">
    <w:multiLevelType w:val="hybridMultilevel"/>
    <w:lvl w:ilvl="0">
      <w:start w:val="10"/>
      <w:numFmt w:val="decimal"/>
      <w:lvlText w:val="%1"/>
      <w:lvlJc w:val="left"/>
      <w:pPr>
        <w:ind w:left="954" w:hanging="802"/>
        <w:jc w:val="left"/>
      </w:pPr>
      <w:rPr>
        <w:rFonts w:hint="default"/>
        <w:lang w:val="en-US" w:eastAsia="zh-CN" w:bidi="ar-SA"/>
      </w:rPr>
    </w:lvl>
    <w:lvl w:ilvl="1">
      <w:start w:val="9"/>
      <w:numFmt w:val="decimal"/>
      <w:lvlText w:val="%1.%2"/>
      <w:lvlJc w:val="left"/>
      <w:pPr>
        <w:ind w:left="954" w:hanging="802"/>
        <w:jc w:val="left"/>
      </w:pPr>
      <w:rPr>
        <w:rFonts w:hint="default" w:ascii="宋体" w:hAnsi="宋体" w:eastAsia="宋体" w:cs="宋体"/>
        <w:b/>
        <w:bCs/>
        <w:i w:val="0"/>
        <w:iCs w:val="0"/>
        <w:spacing w:val="-1"/>
        <w:w w:val="99"/>
        <w:sz w:val="22"/>
        <w:szCs w:val="22"/>
        <w:lang w:val="en-US" w:eastAsia="zh-CN" w:bidi="ar-SA"/>
      </w:rPr>
    </w:lvl>
    <w:lvl w:ilvl="2">
      <w:start w:val="1"/>
      <w:numFmt w:val="decimal"/>
      <w:lvlText w:val="(%3)"/>
      <w:lvlJc w:val="left"/>
      <w:pPr>
        <w:ind w:left="2934" w:hanging="454"/>
        <w:jc w:val="left"/>
      </w:pPr>
      <w:rPr>
        <w:rFonts w:hint="default" w:ascii="宋体" w:hAnsi="宋体" w:eastAsia="宋体" w:cs="宋体"/>
        <w:b w:val="0"/>
        <w:bCs w:val="0"/>
        <w:i w:val="0"/>
        <w:iCs w:val="0"/>
        <w:spacing w:val="-1"/>
        <w:w w:val="100"/>
        <w:sz w:val="22"/>
        <w:szCs w:val="22"/>
        <w:lang w:val="en-US" w:eastAsia="zh-CN" w:bidi="ar-SA"/>
      </w:rPr>
    </w:lvl>
    <w:lvl w:ilvl="3">
      <w:start w:val="0"/>
      <w:numFmt w:val="bullet"/>
      <w:lvlText w:val="•"/>
      <w:lvlJc w:val="left"/>
      <w:pPr>
        <w:ind w:left="3242" w:hanging="454"/>
      </w:pPr>
      <w:rPr>
        <w:rFonts w:hint="default"/>
        <w:lang w:val="en-US" w:eastAsia="zh-CN" w:bidi="ar-SA"/>
      </w:rPr>
    </w:lvl>
    <w:lvl w:ilvl="4">
      <w:start w:val="0"/>
      <w:numFmt w:val="bullet"/>
      <w:lvlText w:val="•"/>
      <w:lvlJc w:val="left"/>
      <w:pPr>
        <w:ind w:left="3104" w:hanging="454"/>
      </w:pPr>
      <w:rPr>
        <w:rFonts w:hint="default"/>
        <w:lang w:val="en-US" w:eastAsia="zh-CN" w:bidi="ar-SA"/>
      </w:rPr>
    </w:lvl>
    <w:lvl w:ilvl="5">
      <w:start w:val="0"/>
      <w:numFmt w:val="bullet"/>
      <w:lvlText w:val="•"/>
      <w:lvlJc w:val="left"/>
      <w:pPr>
        <w:ind w:left="2966" w:hanging="454"/>
      </w:pPr>
      <w:rPr>
        <w:rFonts w:hint="default"/>
        <w:lang w:val="en-US" w:eastAsia="zh-CN" w:bidi="ar-SA"/>
      </w:rPr>
    </w:lvl>
    <w:lvl w:ilvl="6">
      <w:start w:val="0"/>
      <w:numFmt w:val="bullet"/>
      <w:lvlText w:val="•"/>
      <w:lvlJc w:val="left"/>
      <w:pPr>
        <w:ind w:left="2828" w:hanging="454"/>
      </w:pPr>
      <w:rPr>
        <w:rFonts w:hint="default"/>
        <w:lang w:val="en-US" w:eastAsia="zh-CN" w:bidi="ar-SA"/>
      </w:rPr>
    </w:lvl>
    <w:lvl w:ilvl="7">
      <w:start w:val="0"/>
      <w:numFmt w:val="bullet"/>
      <w:lvlText w:val="•"/>
      <w:lvlJc w:val="left"/>
      <w:pPr>
        <w:ind w:left="2690" w:hanging="454"/>
      </w:pPr>
      <w:rPr>
        <w:rFonts w:hint="default"/>
        <w:lang w:val="en-US" w:eastAsia="zh-CN" w:bidi="ar-SA"/>
      </w:rPr>
    </w:lvl>
    <w:lvl w:ilvl="8">
      <w:start w:val="0"/>
      <w:numFmt w:val="bullet"/>
      <w:lvlText w:val="•"/>
      <w:lvlJc w:val="left"/>
      <w:pPr>
        <w:ind w:left="2552" w:hanging="454"/>
      </w:pPr>
      <w:rPr>
        <w:rFonts w:hint="default"/>
        <w:lang w:val="en-US" w:eastAsia="zh-CN" w:bidi="ar-SA"/>
      </w:rPr>
    </w:lvl>
  </w:abstractNum>
  <w:abstractNum w:abstractNumId="25">
    <w:multiLevelType w:val="hybridMultilevel"/>
    <w:lvl w:ilvl="0">
      <w:start w:val="1"/>
      <w:numFmt w:val="decimal"/>
      <w:lvlText w:val="(%1)"/>
      <w:lvlJc w:val="left"/>
      <w:pPr>
        <w:ind w:left="588" w:hanging="454"/>
        <w:jc w:val="righ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282" w:hanging="454"/>
      </w:pPr>
      <w:rPr>
        <w:rFonts w:hint="default"/>
        <w:lang w:val="en-US" w:eastAsia="zh-CN" w:bidi="ar-SA"/>
      </w:rPr>
    </w:lvl>
    <w:lvl w:ilvl="2">
      <w:start w:val="0"/>
      <w:numFmt w:val="bullet"/>
      <w:lvlText w:val="•"/>
      <w:lvlJc w:val="left"/>
      <w:pPr>
        <w:ind w:left="1984" w:hanging="454"/>
      </w:pPr>
      <w:rPr>
        <w:rFonts w:hint="default"/>
        <w:lang w:val="en-US" w:eastAsia="zh-CN" w:bidi="ar-SA"/>
      </w:rPr>
    </w:lvl>
    <w:lvl w:ilvl="3">
      <w:start w:val="0"/>
      <w:numFmt w:val="bullet"/>
      <w:lvlText w:val="•"/>
      <w:lvlJc w:val="left"/>
      <w:pPr>
        <w:ind w:left="2686" w:hanging="454"/>
      </w:pPr>
      <w:rPr>
        <w:rFonts w:hint="default"/>
        <w:lang w:val="en-US" w:eastAsia="zh-CN" w:bidi="ar-SA"/>
      </w:rPr>
    </w:lvl>
    <w:lvl w:ilvl="4">
      <w:start w:val="0"/>
      <w:numFmt w:val="bullet"/>
      <w:lvlText w:val="•"/>
      <w:lvlJc w:val="left"/>
      <w:pPr>
        <w:ind w:left="3388" w:hanging="454"/>
      </w:pPr>
      <w:rPr>
        <w:rFonts w:hint="default"/>
        <w:lang w:val="en-US" w:eastAsia="zh-CN" w:bidi="ar-SA"/>
      </w:rPr>
    </w:lvl>
    <w:lvl w:ilvl="5">
      <w:start w:val="0"/>
      <w:numFmt w:val="bullet"/>
      <w:lvlText w:val="•"/>
      <w:lvlJc w:val="left"/>
      <w:pPr>
        <w:ind w:left="4090" w:hanging="454"/>
      </w:pPr>
      <w:rPr>
        <w:rFonts w:hint="default"/>
        <w:lang w:val="en-US" w:eastAsia="zh-CN" w:bidi="ar-SA"/>
      </w:rPr>
    </w:lvl>
    <w:lvl w:ilvl="6">
      <w:start w:val="0"/>
      <w:numFmt w:val="bullet"/>
      <w:lvlText w:val="•"/>
      <w:lvlJc w:val="left"/>
      <w:pPr>
        <w:ind w:left="4792" w:hanging="454"/>
      </w:pPr>
      <w:rPr>
        <w:rFonts w:hint="default"/>
        <w:lang w:val="en-US" w:eastAsia="zh-CN" w:bidi="ar-SA"/>
      </w:rPr>
    </w:lvl>
    <w:lvl w:ilvl="7">
      <w:start w:val="0"/>
      <w:numFmt w:val="bullet"/>
      <w:lvlText w:val="•"/>
      <w:lvlJc w:val="left"/>
      <w:pPr>
        <w:ind w:left="5494" w:hanging="454"/>
      </w:pPr>
      <w:rPr>
        <w:rFonts w:hint="default"/>
        <w:lang w:val="en-US" w:eastAsia="zh-CN" w:bidi="ar-SA"/>
      </w:rPr>
    </w:lvl>
    <w:lvl w:ilvl="8">
      <w:start w:val="0"/>
      <w:numFmt w:val="bullet"/>
      <w:lvlText w:val="•"/>
      <w:lvlJc w:val="left"/>
      <w:pPr>
        <w:ind w:left="6196" w:hanging="454"/>
      </w:pPr>
      <w:rPr>
        <w:rFonts w:hint="default"/>
        <w:lang w:val="en-US" w:eastAsia="zh-CN" w:bidi="ar-SA"/>
      </w:rPr>
    </w:lvl>
  </w:abstractNum>
  <w:abstractNum w:abstractNumId="24">
    <w:multiLevelType w:val="hybridMultilevel"/>
    <w:lvl w:ilvl="0">
      <w:start w:val="1"/>
      <w:numFmt w:val="decimal"/>
      <w:lvlText w:val="(%1)"/>
      <w:lvlJc w:val="left"/>
      <w:pPr>
        <w:ind w:left="588"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282" w:hanging="454"/>
      </w:pPr>
      <w:rPr>
        <w:rFonts w:hint="default"/>
        <w:lang w:val="en-US" w:eastAsia="zh-CN" w:bidi="ar-SA"/>
      </w:rPr>
    </w:lvl>
    <w:lvl w:ilvl="2">
      <w:start w:val="0"/>
      <w:numFmt w:val="bullet"/>
      <w:lvlText w:val="•"/>
      <w:lvlJc w:val="left"/>
      <w:pPr>
        <w:ind w:left="1984" w:hanging="454"/>
      </w:pPr>
      <w:rPr>
        <w:rFonts w:hint="default"/>
        <w:lang w:val="en-US" w:eastAsia="zh-CN" w:bidi="ar-SA"/>
      </w:rPr>
    </w:lvl>
    <w:lvl w:ilvl="3">
      <w:start w:val="0"/>
      <w:numFmt w:val="bullet"/>
      <w:lvlText w:val="•"/>
      <w:lvlJc w:val="left"/>
      <w:pPr>
        <w:ind w:left="2686" w:hanging="454"/>
      </w:pPr>
      <w:rPr>
        <w:rFonts w:hint="default"/>
        <w:lang w:val="en-US" w:eastAsia="zh-CN" w:bidi="ar-SA"/>
      </w:rPr>
    </w:lvl>
    <w:lvl w:ilvl="4">
      <w:start w:val="0"/>
      <w:numFmt w:val="bullet"/>
      <w:lvlText w:val="•"/>
      <w:lvlJc w:val="left"/>
      <w:pPr>
        <w:ind w:left="3388" w:hanging="454"/>
      </w:pPr>
      <w:rPr>
        <w:rFonts w:hint="default"/>
        <w:lang w:val="en-US" w:eastAsia="zh-CN" w:bidi="ar-SA"/>
      </w:rPr>
    </w:lvl>
    <w:lvl w:ilvl="5">
      <w:start w:val="0"/>
      <w:numFmt w:val="bullet"/>
      <w:lvlText w:val="•"/>
      <w:lvlJc w:val="left"/>
      <w:pPr>
        <w:ind w:left="4090" w:hanging="454"/>
      </w:pPr>
      <w:rPr>
        <w:rFonts w:hint="default"/>
        <w:lang w:val="en-US" w:eastAsia="zh-CN" w:bidi="ar-SA"/>
      </w:rPr>
    </w:lvl>
    <w:lvl w:ilvl="6">
      <w:start w:val="0"/>
      <w:numFmt w:val="bullet"/>
      <w:lvlText w:val="•"/>
      <w:lvlJc w:val="left"/>
      <w:pPr>
        <w:ind w:left="4792" w:hanging="454"/>
      </w:pPr>
      <w:rPr>
        <w:rFonts w:hint="default"/>
        <w:lang w:val="en-US" w:eastAsia="zh-CN" w:bidi="ar-SA"/>
      </w:rPr>
    </w:lvl>
    <w:lvl w:ilvl="7">
      <w:start w:val="0"/>
      <w:numFmt w:val="bullet"/>
      <w:lvlText w:val="•"/>
      <w:lvlJc w:val="left"/>
      <w:pPr>
        <w:ind w:left="5494" w:hanging="454"/>
      </w:pPr>
      <w:rPr>
        <w:rFonts w:hint="default"/>
        <w:lang w:val="en-US" w:eastAsia="zh-CN" w:bidi="ar-SA"/>
      </w:rPr>
    </w:lvl>
    <w:lvl w:ilvl="8">
      <w:start w:val="0"/>
      <w:numFmt w:val="bullet"/>
      <w:lvlText w:val="•"/>
      <w:lvlJc w:val="left"/>
      <w:pPr>
        <w:ind w:left="6196" w:hanging="454"/>
      </w:pPr>
      <w:rPr>
        <w:rFonts w:hint="default"/>
        <w:lang w:val="en-US" w:eastAsia="zh-CN" w:bidi="ar-SA"/>
      </w:rPr>
    </w:lvl>
  </w:abstractNum>
  <w:abstractNum w:abstractNumId="23">
    <w:multiLevelType w:val="hybridMultilevel"/>
    <w:lvl w:ilvl="0">
      <w:start w:val="1"/>
      <w:numFmt w:val="decimal"/>
      <w:lvlText w:val="(%1)"/>
      <w:lvlJc w:val="left"/>
      <w:pPr>
        <w:ind w:left="606" w:hanging="454"/>
        <w:jc w:val="right"/>
      </w:pPr>
      <w:rPr>
        <w:rFonts w:hint="default" w:ascii="宋体" w:hAnsi="宋体" w:eastAsia="宋体" w:cs="宋体"/>
        <w:b w:val="0"/>
        <w:bCs w:val="0"/>
        <w:i w:val="0"/>
        <w:iCs w:val="0"/>
        <w:spacing w:val="-1"/>
        <w:w w:val="100"/>
        <w:sz w:val="22"/>
        <w:szCs w:val="22"/>
        <w:lang w:val="en-US" w:eastAsia="zh-CN" w:bidi="ar-SA"/>
      </w:rPr>
    </w:lvl>
    <w:lvl w:ilvl="1">
      <w:start w:val="1"/>
      <w:numFmt w:val="lowerLetter"/>
      <w:lvlText w:val="%2."/>
      <w:lvlJc w:val="left"/>
      <w:pPr>
        <w:ind w:left="892" w:hanging="286"/>
        <w:jc w:val="left"/>
      </w:pPr>
      <w:rPr>
        <w:rFonts w:hint="default" w:ascii="宋体" w:hAnsi="宋体" w:eastAsia="宋体" w:cs="宋体"/>
        <w:b w:val="0"/>
        <w:bCs w:val="0"/>
        <w:i w:val="0"/>
        <w:iCs w:val="0"/>
        <w:spacing w:val="-1"/>
        <w:w w:val="100"/>
        <w:sz w:val="22"/>
        <w:szCs w:val="22"/>
        <w:lang w:val="en-US" w:eastAsia="zh-CN" w:bidi="ar-SA"/>
      </w:rPr>
    </w:lvl>
    <w:lvl w:ilvl="2">
      <w:start w:val="0"/>
      <w:numFmt w:val="bullet"/>
      <w:lvlText w:val="•"/>
      <w:lvlJc w:val="left"/>
      <w:pPr>
        <w:ind w:left="1646" w:hanging="286"/>
      </w:pPr>
      <w:rPr>
        <w:rFonts w:hint="default"/>
        <w:lang w:val="en-US" w:eastAsia="zh-CN" w:bidi="ar-SA"/>
      </w:rPr>
    </w:lvl>
    <w:lvl w:ilvl="3">
      <w:start w:val="0"/>
      <w:numFmt w:val="bullet"/>
      <w:lvlText w:val="•"/>
      <w:lvlJc w:val="left"/>
      <w:pPr>
        <w:ind w:left="2392" w:hanging="286"/>
      </w:pPr>
      <w:rPr>
        <w:rFonts w:hint="default"/>
        <w:lang w:val="en-US" w:eastAsia="zh-CN" w:bidi="ar-SA"/>
      </w:rPr>
    </w:lvl>
    <w:lvl w:ilvl="4">
      <w:start w:val="0"/>
      <w:numFmt w:val="bullet"/>
      <w:lvlText w:val="•"/>
      <w:lvlJc w:val="left"/>
      <w:pPr>
        <w:ind w:left="3139" w:hanging="286"/>
      </w:pPr>
      <w:rPr>
        <w:rFonts w:hint="default"/>
        <w:lang w:val="en-US" w:eastAsia="zh-CN" w:bidi="ar-SA"/>
      </w:rPr>
    </w:lvl>
    <w:lvl w:ilvl="5">
      <w:start w:val="0"/>
      <w:numFmt w:val="bullet"/>
      <w:lvlText w:val="•"/>
      <w:lvlJc w:val="left"/>
      <w:pPr>
        <w:ind w:left="3885" w:hanging="286"/>
      </w:pPr>
      <w:rPr>
        <w:rFonts w:hint="default"/>
        <w:lang w:val="en-US" w:eastAsia="zh-CN" w:bidi="ar-SA"/>
      </w:rPr>
    </w:lvl>
    <w:lvl w:ilvl="6">
      <w:start w:val="0"/>
      <w:numFmt w:val="bullet"/>
      <w:lvlText w:val="•"/>
      <w:lvlJc w:val="left"/>
      <w:pPr>
        <w:ind w:left="4632" w:hanging="286"/>
      </w:pPr>
      <w:rPr>
        <w:rFonts w:hint="default"/>
        <w:lang w:val="en-US" w:eastAsia="zh-CN" w:bidi="ar-SA"/>
      </w:rPr>
    </w:lvl>
    <w:lvl w:ilvl="7">
      <w:start w:val="0"/>
      <w:numFmt w:val="bullet"/>
      <w:lvlText w:val="•"/>
      <w:lvlJc w:val="left"/>
      <w:pPr>
        <w:ind w:left="5378" w:hanging="286"/>
      </w:pPr>
      <w:rPr>
        <w:rFonts w:hint="default"/>
        <w:lang w:val="en-US" w:eastAsia="zh-CN" w:bidi="ar-SA"/>
      </w:rPr>
    </w:lvl>
    <w:lvl w:ilvl="8">
      <w:start w:val="0"/>
      <w:numFmt w:val="bullet"/>
      <w:lvlText w:val="•"/>
      <w:lvlJc w:val="left"/>
      <w:pPr>
        <w:ind w:left="6125" w:hanging="286"/>
      </w:pPr>
      <w:rPr>
        <w:rFonts w:hint="default"/>
        <w:lang w:val="en-US" w:eastAsia="zh-CN" w:bidi="ar-SA"/>
      </w:rPr>
    </w:lvl>
  </w:abstractNum>
  <w:abstractNum w:abstractNumId="22">
    <w:multiLevelType w:val="hybridMultilevel"/>
    <w:lvl w:ilvl="0">
      <w:start w:val="10"/>
      <w:numFmt w:val="decimal"/>
      <w:lvlText w:val="%1"/>
      <w:lvlJc w:val="left"/>
      <w:pPr>
        <w:ind w:left="954" w:hanging="802"/>
        <w:jc w:val="left"/>
      </w:pPr>
      <w:rPr>
        <w:rFonts w:hint="default"/>
        <w:lang w:val="en-US" w:eastAsia="zh-CN" w:bidi="ar-SA"/>
      </w:rPr>
    </w:lvl>
    <w:lvl w:ilvl="1">
      <w:start w:val="1"/>
      <w:numFmt w:val="decimal"/>
      <w:lvlText w:val="%1.%2"/>
      <w:lvlJc w:val="left"/>
      <w:pPr>
        <w:ind w:left="954" w:hanging="802"/>
        <w:jc w:val="left"/>
      </w:pPr>
      <w:rPr>
        <w:rFonts w:hint="default" w:ascii="宋体" w:hAnsi="宋体" w:eastAsia="宋体" w:cs="宋体"/>
        <w:b/>
        <w:bCs/>
        <w:i w:val="0"/>
        <w:iCs w:val="0"/>
        <w:spacing w:val="-1"/>
        <w:w w:val="99"/>
        <w:sz w:val="22"/>
        <w:szCs w:val="22"/>
        <w:lang w:val="en-US" w:eastAsia="zh-CN" w:bidi="ar-SA"/>
      </w:rPr>
    </w:lvl>
    <w:lvl w:ilvl="2">
      <w:start w:val="0"/>
      <w:numFmt w:val="bullet"/>
      <w:lvlText w:val="•"/>
      <w:lvlJc w:val="left"/>
      <w:pPr>
        <w:ind w:left="1222" w:hanging="802"/>
      </w:pPr>
      <w:rPr>
        <w:rFonts w:hint="default"/>
        <w:lang w:val="en-US" w:eastAsia="zh-CN" w:bidi="ar-SA"/>
      </w:rPr>
    </w:lvl>
    <w:lvl w:ilvl="3">
      <w:start w:val="0"/>
      <w:numFmt w:val="bullet"/>
      <w:lvlText w:val="•"/>
      <w:lvlJc w:val="left"/>
      <w:pPr>
        <w:ind w:left="1354" w:hanging="802"/>
      </w:pPr>
      <w:rPr>
        <w:rFonts w:hint="default"/>
        <w:lang w:val="en-US" w:eastAsia="zh-CN" w:bidi="ar-SA"/>
      </w:rPr>
    </w:lvl>
    <w:lvl w:ilvl="4">
      <w:start w:val="0"/>
      <w:numFmt w:val="bullet"/>
      <w:lvlText w:val="•"/>
      <w:lvlJc w:val="left"/>
      <w:pPr>
        <w:ind w:left="1485" w:hanging="802"/>
      </w:pPr>
      <w:rPr>
        <w:rFonts w:hint="default"/>
        <w:lang w:val="en-US" w:eastAsia="zh-CN" w:bidi="ar-SA"/>
      </w:rPr>
    </w:lvl>
    <w:lvl w:ilvl="5">
      <w:start w:val="0"/>
      <w:numFmt w:val="bullet"/>
      <w:lvlText w:val="•"/>
      <w:lvlJc w:val="left"/>
      <w:pPr>
        <w:ind w:left="1617" w:hanging="802"/>
      </w:pPr>
      <w:rPr>
        <w:rFonts w:hint="default"/>
        <w:lang w:val="en-US" w:eastAsia="zh-CN" w:bidi="ar-SA"/>
      </w:rPr>
    </w:lvl>
    <w:lvl w:ilvl="6">
      <w:start w:val="0"/>
      <w:numFmt w:val="bullet"/>
      <w:lvlText w:val="•"/>
      <w:lvlJc w:val="left"/>
      <w:pPr>
        <w:ind w:left="1748" w:hanging="802"/>
      </w:pPr>
      <w:rPr>
        <w:rFonts w:hint="default"/>
        <w:lang w:val="en-US" w:eastAsia="zh-CN" w:bidi="ar-SA"/>
      </w:rPr>
    </w:lvl>
    <w:lvl w:ilvl="7">
      <w:start w:val="0"/>
      <w:numFmt w:val="bullet"/>
      <w:lvlText w:val="•"/>
      <w:lvlJc w:val="left"/>
      <w:pPr>
        <w:ind w:left="1880" w:hanging="802"/>
      </w:pPr>
      <w:rPr>
        <w:rFonts w:hint="default"/>
        <w:lang w:val="en-US" w:eastAsia="zh-CN" w:bidi="ar-SA"/>
      </w:rPr>
    </w:lvl>
    <w:lvl w:ilvl="8">
      <w:start w:val="0"/>
      <w:numFmt w:val="bullet"/>
      <w:lvlText w:val="•"/>
      <w:lvlJc w:val="left"/>
      <w:pPr>
        <w:ind w:left="2011" w:hanging="802"/>
      </w:pPr>
      <w:rPr>
        <w:rFonts w:hint="default"/>
        <w:lang w:val="en-US" w:eastAsia="zh-CN" w:bidi="ar-SA"/>
      </w:rPr>
    </w:lvl>
  </w:abstractNum>
  <w:abstractNum w:abstractNumId="21">
    <w:multiLevelType w:val="hybridMultilevel"/>
    <w:lvl w:ilvl="0">
      <w:start w:val="9"/>
      <w:numFmt w:val="decimal"/>
      <w:lvlText w:val="%1"/>
      <w:lvlJc w:val="left"/>
      <w:pPr>
        <w:ind w:left="930" w:hanging="778"/>
        <w:jc w:val="left"/>
      </w:pPr>
      <w:rPr>
        <w:rFonts w:hint="default"/>
        <w:lang w:val="en-US" w:eastAsia="zh-CN" w:bidi="ar-SA"/>
      </w:rPr>
    </w:lvl>
    <w:lvl w:ilvl="1">
      <w:start w:val="1"/>
      <w:numFmt w:val="decimal"/>
      <w:lvlText w:val="%1.%2"/>
      <w:lvlJc w:val="left"/>
      <w:pPr>
        <w:ind w:left="930" w:hanging="778"/>
        <w:jc w:val="left"/>
      </w:pPr>
      <w:rPr>
        <w:rFonts w:hint="default" w:ascii="宋体" w:hAnsi="宋体" w:eastAsia="宋体" w:cs="宋体"/>
        <w:b/>
        <w:bCs/>
        <w:i w:val="0"/>
        <w:iCs w:val="0"/>
        <w:spacing w:val="-1"/>
        <w:w w:val="99"/>
        <w:sz w:val="22"/>
        <w:szCs w:val="22"/>
        <w:lang w:val="en-US" w:eastAsia="zh-CN" w:bidi="ar-SA"/>
      </w:rPr>
    </w:lvl>
    <w:lvl w:ilvl="2">
      <w:start w:val="1"/>
      <w:numFmt w:val="decimal"/>
      <w:lvlText w:val="(%3)"/>
      <w:lvlJc w:val="left"/>
      <w:pPr>
        <w:ind w:left="2934" w:hanging="454"/>
        <w:jc w:val="left"/>
      </w:pPr>
      <w:rPr>
        <w:rFonts w:hint="default" w:ascii="宋体" w:hAnsi="宋体" w:eastAsia="宋体" w:cs="宋体"/>
        <w:b w:val="0"/>
        <w:bCs w:val="0"/>
        <w:i w:val="0"/>
        <w:iCs w:val="0"/>
        <w:spacing w:val="-1"/>
        <w:w w:val="100"/>
        <w:sz w:val="22"/>
        <w:szCs w:val="22"/>
        <w:lang w:val="en-US" w:eastAsia="zh-CN" w:bidi="ar-SA"/>
      </w:rPr>
    </w:lvl>
    <w:lvl w:ilvl="3">
      <w:start w:val="0"/>
      <w:numFmt w:val="bullet"/>
      <w:lvlText w:val="•"/>
      <w:lvlJc w:val="left"/>
      <w:pPr>
        <w:ind w:left="2787" w:hanging="454"/>
      </w:pPr>
      <w:rPr>
        <w:rFonts w:hint="default"/>
        <w:lang w:val="en-US" w:eastAsia="zh-CN" w:bidi="ar-SA"/>
      </w:rPr>
    </w:lvl>
    <w:lvl w:ilvl="4">
      <w:start w:val="0"/>
      <w:numFmt w:val="bullet"/>
      <w:lvlText w:val="•"/>
      <w:lvlJc w:val="left"/>
      <w:pPr>
        <w:ind w:left="2711" w:hanging="454"/>
      </w:pPr>
      <w:rPr>
        <w:rFonts w:hint="default"/>
        <w:lang w:val="en-US" w:eastAsia="zh-CN" w:bidi="ar-SA"/>
      </w:rPr>
    </w:lvl>
    <w:lvl w:ilvl="5">
      <w:start w:val="0"/>
      <w:numFmt w:val="bullet"/>
      <w:lvlText w:val="•"/>
      <w:lvlJc w:val="left"/>
      <w:pPr>
        <w:ind w:left="2635" w:hanging="454"/>
      </w:pPr>
      <w:rPr>
        <w:rFonts w:hint="default"/>
        <w:lang w:val="en-US" w:eastAsia="zh-CN" w:bidi="ar-SA"/>
      </w:rPr>
    </w:lvl>
    <w:lvl w:ilvl="6">
      <w:start w:val="0"/>
      <w:numFmt w:val="bullet"/>
      <w:lvlText w:val="•"/>
      <w:lvlJc w:val="left"/>
      <w:pPr>
        <w:ind w:left="2559" w:hanging="454"/>
      </w:pPr>
      <w:rPr>
        <w:rFonts w:hint="default"/>
        <w:lang w:val="en-US" w:eastAsia="zh-CN" w:bidi="ar-SA"/>
      </w:rPr>
    </w:lvl>
    <w:lvl w:ilvl="7">
      <w:start w:val="0"/>
      <w:numFmt w:val="bullet"/>
      <w:lvlText w:val="•"/>
      <w:lvlJc w:val="left"/>
      <w:pPr>
        <w:ind w:left="2483" w:hanging="454"/>
      </w:pPr>
      <w:rPr>
        <w:rFonts w:hint="default"/>
        <w:lang w:val="en-US" w:eastAsia="zh-CN" w:bidi="ar-SA"/>
      </w:rPr>
    </w:lvl>
    <w:lvl w:ilvl="8">
      <w:start w:val="0"/>
      <w:numFmt w:val="bullet"/>
      <w:lvlText w:val="•"/>
      <w:lvlJc w:val="left"/>
      <w:pPr>
        <w:ind w:left="2407" w:hanging="454"/>
      </w:pPr>
      <w:rPr>
        <w:rFonts w:hint="default"/>
        <w:lang w:val="en-US" w:eastAsia="zh-CN" w:bidi="ar-SA"/>
      </w:rPr>
    </w:lvl>
  </w:abstractNum>
  <w:abstractNum w:abstractNumId="20">
    <w:multiLevelType w:val="hybridMultilevel"/>
    <w:lvl w:ilvl="0">
      <w:start w:val="8"/>
      <w:numFmt w:val="decimal"/>
      <w:lvlText w:val="%1"/>
      <w:lvlJc w:val="left"/>
      <w:pPr>
        <w:ind w:left="966" w:hanging="814"/>
        <w:jc w:val="left"/>
      </w:pPr>
      <w:rPr>
        <w:rFonts w:hint="default"/>
        <w:lang w:val="en-US" w:eastAsia="zh-CN" w:bidi="ar-SA"/>
      </w:rPr>
    </w:lvl>
    <w:lvl w:ilvl="1">
      <w:start w:val="1"/>
      <w:numFmt w:val="decimal"/>
      <w:lvlText w:val="%1.%2"/>
      <w:lvlJc w:val="left"/>
      <w:pPr>
        <w:ind w:left="966" w:hanging="814"/>
        <w:jc w:val="left"/>
      </w:pPr>
      <w:rPr>
        <w:rFonts w:hint="default" w:ascii="宋体" w:hAnsi="宋体" w:eastAsia="宋体" w:cs="宋体"/>
        <w:b/>
        <w:bCs/>
        <w:i w:val="0"/>
        <w:iCs w:val="0"/>
        <w:spacing w:val="-1"/>
        <w:w w:val="99"/>
        <w:sz w:val="22"/>
        <w:szCs w:val="22"/>
        <w:lang w:val="en-US" w:eastAsia="zh-CN" w:bidi="ar-SA"/>
      </w:rPr>
    </w:lvl>
    <w:lvl w:ilvl="2">
      <w:start w:val="0"/>
      <w:numFmt w:val="bullet"/>
      <w:lvlText w:val="•"/>
      <w:lvlJc w:val="left"/>
      <w:pPr>
        <w:ind w:left="2757" w:hanging="814"/>
      </w:pPr>
      <w:rPr>
        <w:rFonts w:hint="default"/>
        <w:lang w:val="en-US" w:eastAsia="zh-CN" w:bidi="ar-SA"/>
      </w:rPr>
    </w:lvl>
    <w:lvl w:ilvl="3">
      <w:start w:val="0"/>
      <w:numFmt w:val="bullet"/>
      <w:lvlText w:val="•"/>
      <w:lvlJc w:val="left"/>
      <w:pPr>
        <w:ind w:left="3655" w:hanging="814"/>
      </w:pPr>
      <w:rPr>
        <w:rFonts w:hint="default"/>
        <w:lang w:val="en-US" w:eastAsia="zh-CN" w:bidi="ar-SA"/>
      </w:rPr>
    </w:lvl>
    <w:lvl w:ilvl="4">
      <w:start w:val="0"/>
      <w:numFmt w:val="bullet"/>
      <w:lvlText w:val="•"/>
      <w:lvlJc w:val="left"/>
      <w:pPr>
        <w:ind w:left="4554" w:hanging="814"/>
      </w:pPr>
      <w:rPr>
        <w:rFonts w:hint="default"/>
        <w:lang w:val="en-US" w:eastAsia="zh-CN" w:bidi="ar-SA"/>
      </w:rPr>
    </w:lvl>
    <w:lvl w:ilvl="5">
      <w:start w:val="0"/>
      <w:numFmt w:val="bullet"/>
      <w:lvlText w:val="•"/>
      <w:lvlJc w:val="left"/>
      <w:pPr>
        <w:ind w:left="5453" w:hanging="814"/>
      </w:pPr>
      <w:rPr>
        <w:rFonts w:hint="default"/>
        <w:lang w:val="en-US" w:eastAsia="zh-CN" w:bidi="ar-SA"/>
      </w:rPr>
    </w:lvl>
    <w:lvl w:ilvl="6">
      <w:start w:val="0"/>
      <w:numFmt w:val="bullet"/>
      <w:lvlText w:val="•"/>
      <w:lvlJc w:val="left"/>
      <w:pPr>
        <w:ind w:left="6351" w:hanging="814"/>
      </w:pPr>
      <w:rPr>
        <w:rFonts w:hint="default"/>
        <w:lang w:val="en-US" w:eastAsia="zh-CN" w:bidi="ar-SA"/>
      </w:rPr>
    </w:lvl>
    <w:lvl w:ilvl="7">
      <w:start w:val="0"/>
      <w:numFmt w:val="bullet"/>
      <w:lvlText w:val="•"/>
      <w:lvlJc w:val="left"/>
      <w:pPr>
        <w:ind w:left="7250" w:hanging="814"/>
      </w:pPr>
      <w:rPr>
        <w:rFonts w:hint="default"/>
        <w:lang w:val="en-US" w:eastAsia="zh-CN" w:bidi="ar-SA"/>
      </w:rPr>
    </w:lvl>
    <w:lvl w:ilvl="8">
      <w:start w:val="0"/>
      <w:numFmt w:val="bullet"/>
      <w:lvlText w:val="•"/>
      <w:lvlJc w:val="left"/>
      <w:pPr>
        <w:ind w:left="8148" w:hanging="814"/>
      </w:pPr>
      <w:rPr>
        <w:rFonts w:hint="default"/>
        <w:lang w:val="en-US" w:eastAsia="zh-CN" w:bidi="ar-SA"/>
      </w:rPr>
    </w:lvl>
  </w:abstractNum>
  <w:abstractNum w:abstractNumId="19">
    <w:multiLevelType w:val="hybridMultilevel"/>
    <w:lvl w:ilvl="0">
      <w:start w:val="7"/>
      <w:numFmt w:val="decimal"/>
      <w:lvlText w:val="%1"/>
      <w:lvlJc w:val="left"/>
      <w:pPr>
        <w:ind w:left="954" w:hanging="802"/>
        <w:jc w:val="left"/>
      </w:pPr>
      <w:rPr>
        <w:rFonts w:hint="default"/>
        <w:lang w:val="en-US" w:eastAsia="zh-CN" w:bidi="ar-SA"/>
      </w:rPr>
    </w:lvl>
    <w:lvl w:ilvl="1">
      <w:start w:val="1"/>
      <w:numFmt w:val="decimal"/>
      <w:lvlText w:val="%1.%2"/>
      <w:lvlJc w:val="left"/>
      <w:pPr>
        <w:ind w:left="954" w:hanging="802"/>
        <w:jc w:val="left"/>
      </w:pPr>
      <w:rPr>
        <w:rFonts w:hint="default" w:ascii="宋体" w:hAnsi="宋体" w:eastAsia="宋体" w:cs="宋体"/>
        <w:b/>
        <w:bCs/>
        <w:i w:val="0"/>
        <w:iCs w:val="0"/>
        <w:spacing w:val="-1"/>
        <w:w w:val="99"/>
        <w:sz w:val="22"/>
        <w:szCs w:val="22"/>
        <w:lang w:val="en-US" w:eastAsia="zh-CN" w:bidi="ar-SA"/>
      </w:rPr>
    </w:lvl>
    <w:lvl w:ilvl="2">
      <w:start w:val="0"/>
      <w:numFmt w:val="bullet"/>
      <w:lvlText w:val="•"/>
      <w:lvlJc w:val="left"/>
      <w:pPr>
        <w:ind w:left="2757" w:hanging="802"/>
      </w:pPr>
      <w:rPr>
        <w:rFonts w:hint="default"/>
        <w:lang w:val="en-US" w:eastAsia="zh-CN" w:bidi="ar-SA"/>
      </w:rPr>
    </w:lvl>
    <w:lvl w:ilvl="3">
      <w:start w:val="0"/>
      <w:numFmt w:val="bullet"/>
      <w:lvlText w:val="•"/>
      <w:lvlJc w:val="left"/>
      <w:pPr>
        <w:ind w:left="3655" w:hanging="802"/>
      </w:pPr>
      <w:rPr>
        <w:rFonts w:hint="default"/>
        <w:lang w:val="en-US" w:eastAsia="zh-CN" w:bidi="ar-SA"/>
      </w:rPr>
    </w:lvl>
    <w:lvl w:ilvl="4">
      <w:start w:val="0"/>
      <w:numFmt w:val="bullet"/>
      <w:lvlText w:val="•"/>
      <w:lvlJc w:val="left"/>
      <w:pPr>
        <w:ind w:left="4554" w:hanging="802"/>
      </w:pPr>
      <w:rPr>
        <w:rFonts w:hint="default"/>
        <w:lang w:val="en-US" w:eastAsia="zh-CN" w:bidi="ar-SA"/>
      </w:rPr>
    </w:lvl>
    <w:lvl w:ilvl="5">
      <w:start w:val="0"/>
      <w:numFmt w:val="bullet"/>
      <w:lvlText w:val="•"/>
      <w:lvlJc w:val="left"/>
      <w:pPr>
        <w:ind w:left="5453" w:hanging="802"/>
      </w:pPr>
      <w:rPr>
        <w:rFonts w:hint="default"/>
        <w:lang w:val="en-US" w:eastAsia="zh-CN" w:bidi="ar-SA"/>
      </w:rPr>
    </w:lvl>
    <w:lvl w:ilvl="6">
      <w:start w:val="0"/>
      <w:numFmt w:val="bullet"/>
      <w:lvlText w:val="•"/>
      <w:lvlJc w:val="left"/>
      <w:pPr>
        <w:ind w:left="6351" w:hanging="802"/>
      </w:pPr>
      <w:rPr>
        <w:rFonts w:hint="default"/>
        <w:lang w:val="en-US" w:eastAsia="zh-CN" w:bidi="ar-SA"/>
      </w:rPr>
    </w:lvl>
    <w:lvl w:ilvl="7">
      <w:start w:val="0"/>
      <w:numFmt w:val="bullet"/>
      <w:lvlText w:val="•"/>
      <w:lvlJc w:val="left"/>
      <w:pPr>
        <w:ind w:left="7250" w:hanging="802"/>
      </w:pPr>
      <w:rPr>
        <w:rFonts w:hint="default"/>
        <w:lang w:val="en-US" w:eastAsia="zh-CN" w:bidi="ar-SA"/>
      </w:rPr>
    </w:lvl>
    <w:lvl w:ilvl="8">
      <w:start w:val="0"/>
      <w:numFmt w:val="bullet"/>
      <w:lvlText w:val="•"/>
      <w:lvlJc w:val="left"/>
      <w:pPr>
        <w:ind w:left="8148" w:hanging="802"/>
      </w:pPr>
      <w:rPr>
        <w:rFonts w:hint="default"/>
        <w:lang w:val="en-US" w:eastAsia="zh-CN" w:bidi="ar-SA"/>
      </w:rPr>
    </w:lvl>
  </w:abstractNum>
  <w:abstractNum w:abstractNumId="18">
    <w:multiLevelType w:val="hybridMultilevel"/>
    <w:lvl w:ilvl="0">
      <w:start w:val="6"/>
      <w:numFmt w:val="decimal"/>
      <w:lvlText w:val="%1"/>
      <w:lvlJc w:val="left"/>
      <w:pPr>
        <w:ind w:left="930" w:hanging="778"/>
        <w:jc w:val="left"/>
      </w:pPr>
      <w:rPr>
        <w:rFonts w:hint="default"/>
        <w:lang w:val="en-US" w:eastAsia="zh-CN" w:bidi="ar-SA"/>
      </w:rPr>
    </w:lvl>
    <w:lvl w:ilvl="1">
      <w:start w:val="1"/>
      <w:numFmt w:val="decimal"/>
      <w:lvlText w:val="%1.%2"/>
      <w:lvlJc w:val="left"/>
      <w:pPr>
        <w:ind w:left="930" w:hanging="778"/>
        <w:jc w:val="left"/>
      </w:pPr>
      <w:rPr>
        <w:rFonts w:hint="default" w:ascii="宋体" w:hAnsi="宋体" w:eastAsia="宋体" w:cs="宋体"/>
        <w:b/>
        <w:bCs/>
        <w:i w:val="0"/>
        <w:iCs w:val="0"/>
        <w:spacing w:val="-1"/>
        <w:w w:val="99"/>
        <w:sz w:val="22"/>
        <w:szCs w:val="22"/>
        <w:lang w:val="en-US" w:eastAsia="zh-CN" w:bidi="ar-SA"/>
      </w:rPr>
    </w:lvl>
    <w:lvl w:ilvl="2">
      <w:start w:val="0"/>
      <w:numFmt w:val="bullet"/>
      <w:lvlText w:val="•"/>
      <w:lvlJc w:val="left"/>
      <w:pPr>
        <w:ind w:left="2741" w:hanging="778"/>
      </w:pPr>
      <w:rPr>
        <w:rFonts w:hint="default"/>
        <w:lang w:val="en-US" w:eastAsia="zh-CN" w:bidi="ar-SA"/>
      </w:rPr>
    </w:lvl>
    <w:lvl w:ilvl="3">
      <w:start w:val="0"/>
      <w:numFmt w:val="bullet"/>
      <w:lvlText w:val="•"/>
      <w:lvlJc w:val="left"/>
      <w:pPr>
        <w:ind w:left="3641" w:hanging="778"/>
      </w:pPr>
      <w:rPr>
        <w:rFonts w:hint="default"/>
        <w:lang w:val="en-US" w:eastAsia="zh-CN" w:bidi="ar-SA"/>
      </w:rPr>
    </w:lvl>
    <w:lvl w:ilvl="4">
      <w:start w:val="0"/>
      <w:numFmt w:val="bullet"/>
      <w:lvlText w:val="•"/>
      <w:lvlJc w:val="left"/>
      <w:pPr>
        <w:ind w:left="4542" w:hanging="778"/>
      </w:pPr>
      <w:rPr>
        <w:rFonts w:hint="default"/>
        <w:lang w:val="en-US" w:eastAsia="zh-CN" w:bidi="ar-SA"/>
      </w:rPr>
    </w:lvl>
    <w:lvl w:ilvl="5">
      <w:start w:val="0"/>
      <w:numFmt w:val="bullet"/>
      <w:lvlText w:val="•"/>
      <w:lvlJc w:val="left"/>
      <w:pPr>
        <w:ind w:left="5443" w:hanging="778"/>
      </w:pPr>
      <w:rPr>
        <w:rFonts w:hint="default"/>
        <w:lang w:val="en-US" w:eastAsia="zh-CN" w:bidi="ar-SA"/>
      </w:rPr>
    </w:lvl>
    <w:lvl w:ilvl="6">
      <w:start w:val="0"/>
      <w:numFmt w:val="bullet"/>
      <w:lvlText w:val="•"/>
      <w:lvlJc w:val="left"/>
      <w:pPr>
        <w:ind w:left="6343" w:hanging="778"/>
      </w:pPr>
      <w:rPr>
        <w:rFonts w:hint="default"/>
        <w:lang w:val="en-US" w:eastAsia="zh-CN" w:bidi="ar-SA"/>
      </w:rPr>
    </w:lvl>
    <w:lvl w:ilvl="7">
      <w:start w:val="0"/>
      <w:numFmt w:val="bullet"/>
      <w:lvlText w:val="•"/>
      <w:lvlJc w:val="left"/>
      <w:pPr>
        <w:ind w:left="7244" w:hanging="778"/>
      </w:pPr>
      <w:rPr>
        <w:rFonts w:hint="default"/>
        <w:lang w:val="en-US" w:eastAsia="zh-CN" w:bidi="ar-SA"/>
      </w:rPr>
    </w:lvl>
    <w:lvl w:ilvl="8">
      <w:start w:val="0"/>
      <w:numFmt w:val="bullet"/>
      <w:lvlText w:val="•"/>
      <w:lvlJc w:val="left"/>
      <w:pPr>
        <w:ind w:left="8144" w:hanging="778"/>
      </w:pPr>
      <w:rPr>
        <w:rFonts w:hint="default"/>
        <w:lang w:val="en-US" w:eastAsia="zh-CN" w:bidi="ar-SA"/>
      </w:rPr>
    </w:lvl>
  </w:abstractNum>
  <w:abstractNum w:abstractNumId="17">
    <w:multiLevelType w:val="hybridMultilevel"/>
    <w:lvl w:ilvl="0">
      <w:start w:val="1"/>
      <w:numFmt w:val="decimal"/>
      <w:lvlText w:val="(%1)"/>
      <w:lvlJc w:val="left"/>
      <w:pPr>
        <w:ind w:left="641"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41" w:hanging="454"/>
      </w:pPr>
      <w:rPr>
        <w:rFonts w:hint="default"/>
        <w:lang w:val="en-US" w:eastAsia="zh-CN" w:bidi="ar-SA"/>
      </w:rPr>
    </w:lvl>
    <w:lvl w:ilvl="2">
      <w:start w:val="0"/>
      <w:numFmt w:val="bullet"/>
      <w:lvlText w:val="•"/>
      <w:lvlJc w:val="left"/>
      <w:pPr>
        <w:ind w:left="2042" w:hanging="454"/>
      </w:pPr>
      <w:rPr>
        <w:rFonts w:hint="default"/>
        <w:lang w:val="en-US" w:eastAsia="zh-CN" w:bidi="ar-SA"/>
      </w:rPr>
    </w:lvl>
    <w:lvl w:ilvl="3">
      <w:start w:val="0"/>
      <w:numFmt w:val="bullet"/>
      <w:lvlText w:val="•"/>
      <w:lvlJc w:val="left"/>
      <w:pPr>
        <w:ind w:left="2743" w:hanging="454"/>
      </w:pPr>
      <w:rPr>
        <w:rFonts w:hint="default"/>
        <w:lang w:val="en-US" w:eastAsia="zh-CN" w:bidi="ar-SA"/>
      </w:rPr>
    </w:lvl>
    <w:lvl w:ilvl="4">
      <w:start w:val="0"/>
      <w:numFmt w:val="bullet"/>
      <w:lvlText w:val="•"/>
      <w:lvlJc w:val="left"/>
      <w:pPr>
        <w:ind w:left="3445" w:hanging="454"/>
      </w:pPr>
      <w:rPr>
        <w:rFonts w:hint="default"/>
        <w:lang w:val="en-US" w:eastAsia="zh-CN" w:bidi="ar-SA"/>
      </w:rPr>
    </w:lvl>
    <w:lvl w:ilvl="5">
      <w:start w:val="0"/>
      <w:numFmt w:val="bullet"/>
      <w:lvlText w:val="•"/>
      <w:lvlJc w:val="left"/>
      <w:pPr>
        <w:ind w:left="4146" w:hanging="454"/>
      </w:pPr>
      <w:rPr>
        <w:rFonts w:hint="default"/>
        <w:lang w:val="en-US" w:eastAsia="zh-CN" w:bidi="ar-SA"/>
      </w:rPr>
    </w:lvl>
    <w:lvl w:ilvl="6">
      <w:start w:val="0"/>
      <w:numFmt w:val="bullet"/>
      <w:lvlText w:val="•"/>
      <w:lvlJc w:val="left"/>
      <w:pPr>
        <w:ind w:left="4847" w:hanging="454"/>
      </w:pPr>
      <w:rPr>
        <w:rFonts w:hint="default"/>
        <w:lang w:val="en-US" w:eastAsia="zh-CN" w:bidi="ar-SA"/>
      </w:rPr>
    </w:lvl>
    <w:lvl w:ilvl="7">
      <w:start w:val="0"/>
      <w:numFmt w:val="bullet"/>
      <w:lvlText w:val="•"/>
      <w:lvlJc w:val="left"/>
      <w:pPr>
        <w:ind w:left="5549" w:hanging="454"/>
      </w:pPr>
      <w:rPr>
        <w:rFonts w:hint="default"/>
        <w:lang w:val="en-US" w:eastAsia="zh-CN" w:bidi="ar-SA"/>
      </w:rPr>
    </w:lvl>
    <w:lvl w:ilvl="8">
      <w:start w:val="0"/>
      <w:numFmt w:val="bullet"/>
      <w:lvlText w:val="•"/>
      <w:lvlJc w:val="left"/>
      <w:pPr>
        <w:ind w:left="6250" w:hanging="454"/>
      </w:pPr>
      <w:rPr>
        <w:rFonts w:hint="default"/>
        <w:lang w:val="en-US" w:eastAsia="zh-CN" w:bidi="ar-SA"/>
      </w:rPr>
    </w:lvl>
  </w:abstractNum>
  <w:abstractNum w:abstractNumId="16">
    <w:multiLevelType w:val="hybridMultilevel"/>
    <w:lvl w:ilvl="0">
      <w:start w:val="1"/>
      <w:numFmt w:val="decimal"/>
      <w:lvlText w:val="(%1)"/>
      <w:lvlJc w:val="left"/>
      <w:pPr>
        <w:ind w:left="641"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41" w:hanging="454"/>
      </w:pPr>
      <w:rPr>
        <w:rFonts w:hint="default"/>
        <w:lang w:val="en-US" w:eastAsia="zh-CN" w:bidi="ar-SA"/>
      </w:rPr>
    </w:lvl>
    <w:lvl w:ilvl="2">
      <w:start w:val="0"/>
      <w:numFmt w:val="bullet"/>
      <w:lvlText w:val="•"/>
      <w:lvlJc w:val="left"/>
      <w:pPr>
        <w:ind w:left="2042" w:hanging="454"/>
      </w:pPr>
      <w:rPr>
        <w:rFonts w:hint="default"/>
        <w:lang w:val="en-US" w:eastAsia="zh-CN" w:bidi="ar-SA"/>
      </w:rPr>
    </w:lvl>
    <w:lvl w:ilvl="3">
      <w:start w:val="0"/>
      <w:numFmt w:val="bullet"/>
      <w:lvlText w:val="•"/>
      <w:lvlJc w:val="left"/>
      <w:pPr>
        <w:ind w:left="2743" w:hanging="454"/>
      </w:pPr>
      <w:rPr>
        <w:rFonts w:hint="default"/>
        <w:lang w:val="en-US" w:eastAsia="zh-CN" w:bidi="ar-SA"/>
      </w:rPr>
    </w:lvl>
    <w:lvl w:ilvl="4">
      <w:start w:val="0"/>
      <w:numFmt w:val="bullet"/>
      <w:lvlText w:val="•"/>
      <w:lvlJc w:val="left"/>
      <w:pPr>
        <w:ind w:left="3445" w:hanging="454"/>
      </w:pPr>
      <w:rPr>
        <w:rFonts w:hint="default"/>
        <w:lang w:val="en-US" w:eastAsia="zh-CN" w:bidi="ar-SA"/>
      </w:rPr>
    </w:lvl>
    <w:lvl w:ilvl="5">
      <w:start w:val="0"/>
      <w:numFmt w:val="bullet"/>
      <w:lvlText w:val="•"/>
      <w:lvlJc w:val="left"/>
      <w:pPr>
        <w:ind w:left="4146" w:hanging="454"/>
      </w:pPr>
      <w:rPr>
        <w:rFonts w:hint="default"/>
        <w:lang w:val="en-US" w:eastAsia="zh-CN" w:bidi="ar-SA"/>
      </w:rPr>
    </w:lvl>
    <w:lvl w:ilvl="6">
      <w:start w:val="0"/>
      <w:numFmt w:val="bullet"/>
      <w:lvlText w:val="•"/>
      <w:lvlJc w:val="left"/>
      <w:pPr>
        <w:ind w:left="4847" w:hanging="454"/>
      </w:pPr>
      <w:rPr>
        <w:rFonts w:hint="default"/>
        <w:lang w:val="en-US" w:eastAsia="zh-CN" w:bidi="ar-SA"/>
      </w:rPr>
    </w:lvl>
    <w:lvl w:ilvl="7">
      <w:start w:val="0"/>
      <w:numFmt w:val="bullet"/>
      <w:lvlText w:val="•"/>
      <w:lvlJc w:val="left"/>
      <w:pPr>
        <w:ind w:left="5549" w:hanging="454"/>
      </w:pPr>
      <w:rPr>
        <w:rFonts w:hint="default"/>
        <w:lang w:val="en-US" w:eastAsia="zh-CN" w:bidi="ar-SA"/>
      </w:rPr>
    </w:lvl>
    <w:lvl w:ilvl="8">
      <w:start w:val="0"/>
      <w:numFmt w:val="bullet"/>
      <w:lvlText w:val="•"/>
      <w:lvlJc w:val="left"/>
      <w:pPr>
        <w:ind w:left="6250" w:hanging="454"/>
      </w:pPr>
      <w:rPr>
        <w:rFonts w:hint="default"/>
        <w:lang w:val="en-US" w:eastAsia="zh-CN" w:bidi="ar-SA"/>
      </w:rPr>
    </w:lvl>
  </w:abstractNum>
  <w:abstractNum w:abstractNumId="15">
    <w:multiLevelType w:val="hybridMultilevel"/>
    <w:lvl w:ilvl="0">
      <w:start w:val="1"/>
      <w:numFmt w:val="decimal"/>
      <w:lvlText w:val="(%1)"/>
      <w:lvlJc w:val="left"/>
      <w:pPr>
        <w:ind w:left="641"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41" w:hanging="454"/>
      </w:pPr>
      <w:rPr>
        <w:rFonts w:hint="default"/>
        <w:lang w:val="en-US" w:eastAsia="zh-CN" w:bidi="ar-SA"/>
      </w:rPr>
    </w:lvl>
    <w:lvl w:ilvl="2">
      <w:start w:val="0"/>
      <w:numFmt w:val="bullet"/>
      <w:lvlText w:val="•"/>
      <w:lvlJc w:val="left"/>
      <w:pPr>
        <w:ind w:left="2042" w:hanging="454"/>
      </w:pPr>
      <w:rPr>
        <w:rFonts w:hint="default"/>
        <w:lang w:val="en-US" w:eastAsia="zh-CN" w:bidi="ar-SA"/>
      </w:rPr>
    </w:lvl>
    <w:lvl w:ilvl="3">
      <w:start w:val="0"/>
      <w:numFmt w:val="bullet"/>
      <w:lvlText w:val="•"/>
      <w:lvlJc w:val="left"/>
      <w:pPr>
        <w:ind w:left="2743" w:hanging="454"/>
      </w:pPr>
      <w:rPr>
        <w:rFonts w:hint="default"/>
        <w:lang w:val="en-US" w:eastAsia="zh-CN" w:bidi="ar-SA"/>
      </w:rPr>
    </w:lvl>
    <w:lvl w:ilvl="4">
      <w:start w:val="0"/>
      <w:numFmt w:val="bullet"/>
      <w:lvlText w:val="•"/>
      <w:lvlJc w:val="left"/>
      <w:pPr>
        <w:ind w:left="3445" w:hanging="454"/>
      </w:pPr>
      <w:rPr>
        <w:rFonts w:hint="default"/>
        <w:lang w:val="en-US" w:eastAsia="zh-CN" w:bidi="ar-SA"/>
      </w:rPr>
    </w:lvl>
    <w:lvl w:ilvl="5">
      <w:start w:val="0"/>
      <w:numFmt w:val="bullet"/>
      <w:lvlText w:val="•"/>
      <w:lvlJc w:val="left"/>
      <w:pPr>
        <w:ind w:left="4146" w:hanging="454"/>
      </w:pPr>
      <w:rPr>
        <w:rFonts w:hint="default"/>
        <w:lang w:val="en-US" w:eastAsia="zh-CN" w:bidi="ar-SA"/>
      </w:rPr>
    </w:lvl>
    <w:lvl w:ilvl="6">
      <w:start w:val="0"/>
      <w:numFmt w:val="bullet"/>
      <w:lvlText w:val="•"/>
      <w:lvlJc w:val="left"/>
      <w:pPr>
        <w:ind w:left="4847" w:hanging="454"/>
      </w:pPr>
      <w:rPr>
        <w:rFonts w:hint="default"/>
        <w:lang w:val="en-US" w:eastAsia="zh-CN" w:bidi="ar-SA"/>
      </w:rPr>
    </w:lvl>
    <w:lvl w:ilvl="7">
      <w:start w:val="0"/>
      <w:numFmt w:val="bullet"/>
      <w:lvlText w:val="•"/>
      <w:lvlJc w:val="left"/>
      <w:pPr>
        <w:ind w:left="5549" w:hanging="454"/>
      </w:pPr>
      <w:rPr>
        <w:rFonts w:hint="default"/>
        <w:lang w:val="en-US" w:eastAsia="zh-CN" w:bidi="ar-SA"/>
      </w:rPr>
    </w:lvl>
    <w:lvl w:ilvl="8">
      <w:start w:val="0"/>
      <w:numFmt w:val="bullet"/>
      <w:lvlText w:val="•"/>
      <w:lvlJc w:val="left"/>
      <w:pPr>
        <w:ind w:left="6250" w:hanging="454"/>
      </w:pPr>
      <w:rPr>
        <w:rFonts w:hint="default"/>
        <w:lang w:val="en-US" w:eastAsia="zh-CN" w:bidi="ar-SA"/>
      </w:rPr>
    </w:lvl>
  </w:abstractNum>
  <w:abstractNum w:abstractNumId="14">
    <w:multiLevelType w:val="hybridMultilevel"/>
    <w:lvl w:ilvl="0">
      <w:start w:val="5"/>
      <w:numFmt w:val="decimal"/>
      <w:lvlText w:val="%1"/>
      <w:lvlJc w:val="left"/>
      <w:pPr>
        <w:ind w:left="930" w:hanging="778"/>
        <w:jc w:val="left"/>
      </w:pPr>
      <w:rPr>
        <w:rFonts w:hint="default"/>
        <w:lang w:val="en-US" w:eastAsia="zh-CN" w:bidi="ar-SA"/>
      </w:rPr>
    </w:lvl>
    <w:lvl w:ilvl="1">
      <w:start w:val="1"/>
      <w:numFmt w:val="decimal"/>
      <w:lvlText w:val="%1.%2"/>
      <w:lvlJc w:val="left"/>
      <w:pPr>
        <w:ind w:left="930" w:hanging="778"/>
        <w:jc w:val="left"/>
      </w:pPr>
      <w:rPr>
        <w:rFonts w:hint="default" w:ascii="宋体" w:hAnsi="宋体" w:eastAsia="宋体" w:cs="宋体"/>
        <w:b/>
        <w:bCs/>
        <w:i w:val="0"/>
        <w:iCs w:val="0"/>
        <w:spacing w:val="-1"/>
        <w:w w:val="99"/>
        <w:sz w:val="22"/>
        <w:szCs w:val="22"/>
        <w:lang w:val="en-US" w:eastAsia="zh-CN" w:bidi="ar-SA"/>
      </w:rPr>
    </w:lvl>
    <w:lvl w:ilvl="2">
      <w:start w:val="1"/>
      <w:numFmt w:val="decimal"/>
      <w:lvlText w:val="(%3)"/>
      <w:lvlJc w:val="left"/>
      <w:pPr>
        <w:ind w:left="2934" w:hanging="454"/>
        <w:jc w:val="left"/>
      </w:pPr>
      <w:rPr>
        <w:rFonts w:hint="default" w:ascii="宋体" w:hAnsi="宋体" w:eastAsia="宋体" w:cs="宋体"/>
        <w:b w:val="0"/>
        <w:bCs w:val="0"/>
        <w:i w:val="0"/>
        <w:iCs w:val="0"/>
        <w:spacing w:val="-1"/>
        <w:w w:val="100"/>
        <w:sz w:val="22"/>
        <w:szCs w:val="22"/>
        <w:lang w:val="en-US" w:eastAsia="zh-CN" w:bidi="ar-SA"/>
      </w:rPr>
    </w:lvl>
    <w:lvl w:ilvl="3">
      <w:start w:val="0"/>
      <w:numFmt w:val="bullet"/>
      <w:lvlText w:val="•"/>
      <w:lvlJc w:val="left"/>
      <w:pPr>
        <w:ind w:left="4496" w:hanging="454"/>
      </w:pPr>
      <w:rPr>
        <w:rFonts w:hint="default"/>
        <w:lang w:val="en-US" w:eastAsia="zh-CN" w:bidi="ar-SA"/>
      </w:rPr>
    </w:lvl>
    <w:lvl w:ilvl="4">
      <w:start w:val="0"/>
      <w:numFmt w:val="bullet"/>
      <w:lvlText w:val="•"/>
      <w:lvlJc w:val="left"/>
      <w:pPr>
        <w:ind w:left="5275" w:hanging="454"/>
      </w:pPr>
      <w:rPr>
        <w:rFonts w:hint="default"/>
        <w:lang w:val="en-US" w:eastAsia="zh-CN" w:bidi="ar-SA"/>
      </w:rPr>
    </w:lvl>
    <w:lvl w:ilvl="5">
      <w:start w:val="0"/>
      <w:numFmt w:val="bullet"/>
      <w:lvlText w:val="•"/>
      <w:lvlJc w:val="left"/>
      <w:pPr>
        <w:ind w:left="6053" w:hanging="454"/>
      </w:pPr>
      <w:rPr>
        <w:rFonts w:hint="default"/>
        <w:lang w:val="en-US" w:eastAsia="zh-CN" w:bidi="ar-SA"/>
      </w:rPr>
    </w:lvl>
    <w:lvl w:ilvl="6">
      <w:start w:val="0"/>
      <w:numFmt w:val="bullet"/>
      <w:lvlText w:val="•"/>
      <w:lvlJc w:val="left"/>
      <w:pPr>
        <w:ind w:left="6832" w:hanging="454"/>
      </w:pPr>
      <w:rPr>
        <w:rFonts w:hint="default"/>
        <w:lang w:val="en-US" w:eastAsia="zh-CN" w:bidi="ar-SA"/>
      </w:rPr>
    </w:lvl>
    <w:lvl w:ilvl="7">
      <w:start w:val="0"/>
      <w:numFmt w:val="bullet"/>
      <w:lvlText w:val="•"/>
      <w:lvlJc w:val="left"/>
      <w:pPr>
        <w:ind w:left="7610" w:hanging="454"/>
      </w:pPr>
      <w:rPr>
        <w:rFonts w:hint="default"/>
        <w:lang w:val="en-US" w:eastAsia="zh-CN" w:bidi="ar-SA"/>
      </w:rPr>
    </w:lvl>
    <w:lvl w:ilvl="8">
      <w:start w:val="0"/>
      <w:numFmt w:val="bullet"/>
      <w:lvlText w:val="•"/>
      <w:lvlJc w:val="left"/>
      <w:pPr>
        <w:ind w:left="8389" w:hanging="454"/>
      </w:pPr>
      <w:rPr>
        <w:rFonts w:hint="default"/>
        <w:lang w:val="en-US" w:eastAsia="zh-CN" w:bidi="ar-SA"/>
      </w:rPr>
    </w:lvl>
  </w:abstractNum>
  <w:abstractNum w:abstractNumId="13">
    <w:multiLevelType w:val="hybridMultilevel"/>
    <w:lvl w:ilvl="0">
      <w:start w:val="4"/>
      <w:numFmt w:val="decimal"/>
      <w:lvlText w:val="%1"/>
      <w:lvlJc w:val="left"/>
      <w:pPr>
        <w:ind w:left="930" w:hanging="778"/>
        <w:jc w:val="left"/>
      </w:pPr>
      <w:rPr>
        <w:rFonts w:hint="default"/>
        <w:lang w:val="en-US" w:eastAsia="zh-CN" w:bidi="ar-SA"/>
      </w:rPr>
    </w:lvl>
    <w:lvl w:ilvl="1">
      <w:start w:val="1"/>
      <w:numFmt w:val="decimal"/>
      <w:lvlText w:val="%1.%2"/>
      <w:lvlJc w:val="left"/>
      <w:pPr>
        <w:ind w:left="930" w:hanging="778"/>
        <w:jc w:val="left"/>
      </w:pPr>
      <w:rPr>
        <w:rFonts w:hint="default" w:ascii="宋体" w:hAnsi="宋体" w:eastAsia="宋体" w:cs="宋体"/>
        <w:b/>
        <w:bCs/>
        <w:i w:val="0"/>
        <w:iCs w:val="0"/>
        <w:spacing w:val="-1"/>
        <w:w w:val="99"/>
        <w:sz w:val="22"/>
        <w:szCs w:val="22"/>
        <w:lang w:val="en-US" w:eastAsia="zh-CN" w:bidi="ar-SA"/>
      </w:rPr>
    </w:lvl>
    <w:lvl w:ilvl="2">
      <w:start w:val="0"/>
      <w:numFmt w:val="bullet"/>
      <w:lvlText w:val="•"/>
      <w:lvlJc w:val="left"/>
      <w:pPr>
        <w:ind w:left="1203" w:hanging="778"/>
      </w:pPr>
      <w:rPr>
        <w:rFonts w:hint="default"/>
        <w:lang w:val="en-US" w:eastAsia="zh-CN" w:bidi="ar-SA"/>
      </w:rPr>
    </w:lvl>
    <w:lvl w:ilvl="3">
      <w:start w:val="0"/>
      <w:numFmt w:val="bullet"/>
      <w:lvlText w:val="•"/>
      <w:lvlJc w:val="left"/>
      <w:pPr>
        <w:ind w:left="1334" w:hanging="778"/>
      </w:pPr>
      <w:rPr>
        <w:rFonts w:hint="default"/>
        <w:lang w:val="en-US" w:eastAsia="zh-CN" w:bidi="ar-SA"/>
      </w:rPr>
    </w:lvl>
    <w:lvl w:ilvl="4">
      <w:start w:val="0"/>
      <w:numFmt w:val="bullet"/>
      <w:lvlText w:val="•"/>
      <w:lvlJc w:val="left"/>
      <w:pPr>
        <w:ind w:left="1466" w:hanging="778"/>
      </w:pPr>
      <w:rPr>
        <w:rFonts w:hint="default"/>
        <w:lang w:val="en-US" w:eastAsia="zh-CN" w:bidi="ar-SA"/>
      </w:rPr>
    </w:lvl>
    <w:lvl w:ilvl="5">
      <w:start w:val="0"/>
      <w:numFmt w:val="bullet"/>
      <w:lvlText w:val="•"/>
      <w:lvlJc w:val="left"/>
      <w:pPr>
        <w:ind w:left="1597" w:hanging="778"/>
      </w:pPr>
      <w:rPr>
        <w:rFonts w:hint="default"/>
        <w:lang w:val="en-US" w:eastAsia="zh-CN" w:bidi="ar-SA"/>
      </w:rPr>
    </w:lvl>
    <w:lvl w:ilvl="6">
      <w:start w:val="0"/>
      <w:numFmt w:val="bullet"/>
      <w:lvlText w:val="•"/>
      <w:lvlJc w:val="left"/>
      <w:pPr>
        <w:ind w:left="1729" w:hanging="778"/>
      </w:pPr>
      <w:rPr>
        <w:rFonts w:hint="default"/>
        <w:lang w:val="en-US" w:eastAsia="zh-CN" w:bidi="ar-SA"/>
      </w:rPr>
    </w:lvl>
    <w:lvl w:ilvl="7">
      <w:start w:val="0"/>
      <w:numFmt w:val="bullet"/>
      <w:lvlText w:val="•"/>
      <w:lvlJc w:val="left"/>
      <w:pPr>
        <w:ind w:left="1860" w:hanging="778"/>
      </w:pPr>
      <w:rPr>
        <w:rFonts w:hint="default"/>
        <w:lang w:val="en-US" w:eastAsia="zh-CN" w:bidi="ar-SA"/>
      </w:rPr>
    </w:lvl>
    <w:lvl w:ilvl="8">
      <w:start w:val="0"/>
      <w:numFmt w:val="bullet"/>
      <w:lvlText w:val="•"/>
      <w:lvlJc w:val="left"/>
      <w:pPr>
        <w:ind w:left="1992" w:hanging="778"/>
      </w:pPr>
      <w:rPr>
        <w:rFonts w:hint="default"/>
        <w:lang w:val="en-US" w:eastAsia="zh-CN" w:bidi="ar-SA"/>
      </w:rPr>
    </w:lvl>
  </w:abstractNum>
  <w:abstractNum w:abstractNumId="12">
    <w:multiLevelType w:val="hybridMultilevel"/>
    <w:lvl w:ilvl="0">
      <w:start w:val="3"/>
      <w:numFmt w:val="decimal"/>
      <w:lvlText w:val="%1"/>
      <w:lvlJc w:val="left"/>
      <w:pPr>
        <w:ind w:left="2480" w:hanging="778"/>
        <w:jc w:val="left"/>
      </w:pPr>
      <w:rPr>
        <w:rFonts w:hint="default"/>
        <w:lang w:val="en-US" w:eastAsia="zh-CN" w:bidi="ar-SA"/>
      </w:rPr>
    </w:lvl>
    <w:lvl w:ilvl="1">
      <w:start w:val="1"/>
      <w:numFmt w:val="decimal"/>
      <w:lvlText w:val="%1.%2"/>
      <w:lvlJc w:val="left"/>
      <w:pPr>
        <w:ind w:left="2480" w:hanging="778"/>
        <w:jc w:val="left"/>
      </w:pPr>
      <w:rPr>
        <w:rFonts w:hint="default" w:ascii="宋体" w:hAnsi="宋体" w:eastAsia="宋体" w:cs="宋体"/>
        <w:b/>
        <w:bCs/>
        <w:i w:val="0"/>
        <w:iCs w:val="0"/>
        <w:spacing w:val="-1"/>
        <w:w w:val="99"/>
        <w:sz w:val="22"/>
        <w:szCs w:val="22"/>
        <w:lang w:val="en-US" w:eastAsia="zh-CN" w:bidi="ar-SA"/>
      </w:rPr>
    </w:lvl>
    <w:lvl w:ilvl="2">
      <w:start w:val="1"/>
      <w:numFmt w:val="decimal"/>
      <w:lvlText w:val="(%3)"/>
      <w:lvlJc w:val="left"/>
      <w:pPr>
        <w:ind w:left="2934" w:hanging="454"/>
        <w:jc w:val="left"/>
      </w:pPr>
      <w:rPr>
        <w:rFonts w:hint="default" w:ascii="宋体" w:hAnsi="宋体" w:eastAsia="宋体" w:cs="宋体"/>
        <w:b w:val="0"/>
        <w:bCs w:val="0"/>
        <w:i w:val="0"/>
        <w:iCs w:val="0"/>
        <w:spacing w:val="-1"/>
        <w:w w:val="100"/>
        <w:sz w:val="22"/>
        <w:szCs w:val="22"/>
        <w:lang w:val="en-US" w:eastAsia="zh-CN" w:bidi="ar-SA"/>
      </w:rPr>
    </w:lvl>
    <w:lvl w:ilvl="3">
      <w:start w:val="0"/>
      <w:numFmt w:val="bullet"/>
      <w:lvlText w:val="•"/>
      <w:lvlJc w:val="left"/>
      <w:pPr>
        <w:ind w:left="4496" w:hanging="454"/>
      </w:pPr>
      <w:rPr>
        <w:rFonts w:hint="default"/>
        <w:lang w:val="en-US" w:eastAsia="zh-CN" w:bidi="ar-SA"/>
      </w:rPr>
    </w:lvl>
    <w:lvl w:ilvl="4">
      <w:start w:val="0"/>
      <w:numFmt w:val="bullet"/>
      <w:lvlText w:val="•"/>
      <w:lvlJc w:val="left"/>
      <w:pPr>
        <w:ind w:left="5275" w:hanging="454"/>
      </w:pPr>
      <w:rPr>
        <w:rFonts w:hint="default"/>
        <w:lang w:val="en-US" w:eastAsia="zh-CN" w:bidi="ar-SA"/>
      </w:rPr>
    </w:lvl>
    <w:lvl w:ilvl="5">
      <w:start w:val="0"/>
      <w:numFmt w:val="bullet"/>
      <w:lvlText w:val="•"/>
      <w:lvlJc w:val="left"/>
      <w:pPr>
        <w:ind w:left="6053" w:hanging="454"/>
      </w:pPr>
      <w:rPr>
        <w:rFonts w:hint="default"/>
        <w:lang w:val="en-US" w:eastAsia="zh-CN" w:bidi="ar-SA"/>
      </w:rPr>
    </w:lvl>
    <w:lvl w:ilvl="6">
      <w:start w:val="0"/>
      <w:numFmt w:val="bullet"/>
      <w:lvlText w:val="•"/>
      <w:lvlJc w:val="left"/>
      <w:pPr>
        <w:ind w:left="6832" w:hanging="454"/>
      </w:pPr>
      <w:rPr>
        <w:rFonts w:hint="default"/>
        <w:lang w:val="en-US" w:eastAsia="zh-CN" w:bidi="ar-SA"/>
      </w:rPr>
    </w:lvl>
    <w:lvl w:ilvl="7">
      <w:start w:val="0"/>
      <w:numFmt w:val="bullet"/>
      <w:lvlText w:val="•"/>
      <w:lvlJc w:val="left"/>
      <w:pPr>
        <w:ind w:left="7610" w:hanging="454"/>
      </w:pPr>
      <w:rPr>
        <w:rFonts w:hint="default"/>
        <w:lang w:val="en-US" w:eastAsia="zh-CN" w:bidi="ar-SA"/>
      </w:rPr>
    </w:lvl>
    <w:lvl w:ilvl="8">
      <w:start w:val="0"/>
      <w:numFmt w:val="bullet"/>
      <w:lvlText w:val="•"/>
      <w:lvlJc w:val="left"/>
      <w:pPr>
        <w:ind w:left="8389" w:hanging="454"/>
      </w:pPr>
      <w:rPr>
        <w:rFonts w:hint="default"/>
        <w:lang w:val="en-US" w:eastAsia="zh-CN" w:bidi="ar-SA"/>
      </w:rPr>
    </w:lvl>
  </w:abstractNum>
  <w:abstractNum w:abstractNumId="11">
    <w:multiLevelType w:val="hybridMultilevel"/>
    <w:lvl w:ilvl="0">
      <w:start w:val="1"/>
      <w:numFmt w:val="decimal"/>
      <w:lvlText w:val="(%1)"/>
      <w:lvlJc w:val="left"/>
      <w:pPr>
        <w:ind w:left="607" w:hanging="420"/>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5" w:hanging="420"/>
      </w:pPr>
      <w:rPr>
        <w:rFonts w:hint="default"/>
        <w:lang w:val="en-US" w:eastAsia="zh-CN" w:bidi="ar-SA"/>
      </w:rPr>
    </w:lvl>
    <w:lvl w:ilvl="2">
      <w:start w:val="0"/>
      <w:numFmt w:val="bullet"/>
      <w:lvlText w:val="•"/>
      <w:lvlJc w:val="left"/>
      <w:pPr>
        <w:ind w:left="2010" w:hanging="420"/>
      </w:pPr>
      <w:rPr>
        <w:rFonts w:hint="default"/>
        <w:lang w:val="en-US" w:eastAsia="zh-CN" w:bidi="ar-SA"/>
      </w:rPr>
    </w:lvl>
    <w:lvl w:ilvl="3">
      <w:start w:val="0"/>
      <w:numFmt w:val="bullet"/>
      <w:lvlText w:val="•"/>
      <w:lvlJc w:val="left"/>
      <w:pPr>
        <w:ind w:left="2715" w:hanging="420"/>
      </w:pPr>
      <w:rPr>
        <w:rFonts w:hint="default"/>
        <w:lang w:val="en-US" w:eastAsia="zh-CN" w:bidi="ar-SA"/>
      </w:rPr>
    </w:lvl>
    <w:lvl w:ilvl="4">
      <w:start w:val="0"/>
      <w:numFmt w:val="bullet"/>
      <w:lvlText w:val="•"/>
      <w:lvlJc w:val="left"/>
      <w:pPr>
        <w:ind w:left="3421" w:hanging="420"/>
      </w:pPr>
      <w:rPr>
        <w:rFonts w:hint="default"/>
        <w:lang w:val="en-US" w:eastAsia="zh-CN" w:bidi="ar-SA"/>
      </w:rPr>
    </w:lvl>
    <w:lvl w:ilvl="5">
      <w:start w:val="0"/>
      <w:numFmt w:val="bullet"/>
      <w:lvlText w:val="•"/>
      <w:lvlJc w:val="left"/>
      <w:pPr>
        <w:ind w:left="4126" w:hanging="420"/>
      </w:pPr>
      <w:rPr>
        <w:rFonts w:hint="default"/>
        <w:lang w:val="en-US" w:eastAsia="zh-CN" w:bidi="ar-SA"/>
      </w:rPr>
    </w:lvl>
    <w:lvl w:ilvl="6">
      <w:start w:val="0"/>
      <w:numFmt w:val="bullet"/>
      <w:lvlText w:val="•"/>
      <w:lvlJc w:val="left"/>
      <w:pPr>
        <w:ind w:left="4831" w:hanging="420"/>
      </w:pPr>
      <w:rPr>
        <w:rFonts w:hint="default"/>
        <w:lang w:val="en-US" w:eastAsia="zh-CN" w:bidi="ar-SA"/>
      </w:rPr>
    </w:lvl>
    <w:lvl w:ilvl="7">
      <w:start w:val="0"/>
      <w:numFmt w:val="bullet"/>
      <w:lvlText w:val="•"/>
      <w:lvlJc w:val="left"/>
      <w:pPr>
        <w:ind w:left="5537" w:hanging="420"/>
      </w:pPr>
      <w:rPr>
        <w:rFonts w:hint="default"/>
        <w:lang w:val="en-US" w:eastAsia="zh-CN" w:bidi="ar-SA"/>
      </w:rPr>
    </w:lvl>
    <w:lvl w:ilvl="8">
      <w:start w:val="0"/>
      <w:numFmt w:val="bullet"/>
      <w:lvlText w:val="•"/>
      <w:lvlJc w:val="left"/>
      <w:pPr>
        <w:ind w:left="6242" w:hanging="420"/>
      </w:pPr>
      <w:rPr>
        <w:rFonts w:hint="default"/>
        <w:lang w:val="en-US" w:eastAsia="zh-CN" w:bidi="ar-SA"/>
      </w:rPr>
    </w:lvl>
  </w:abstractNum>
  <w:abstractNum w:abstractNumId="10">
    <w:multiLevelType w:val="hybridMultilevel"/>
    <w:lvl w:ilvl="0">
      <w:start w:val="2"/>
      <w:numFmt w:val="decimal"/>
      <w:lvlText w:val="%1"/>
      <w:lvlJc w:val="left"/>
      <w:pPr>
        <w:ind w:left="2480" w:hanging="778"/>
        <w:jc w:val="left"/>
      </w:pPr>
      <w:rPr>
        <w:rFonts w:hint="default"/>
        <w:lang w:val="en-US" w:eastAsia="zh-CN" w:bidi="ar-SA"/>
      </w:rPr>
    </w:lvl>
    <w:lvl w:ilvl="1">
      <w:start w:val="1"/>
      <w:numFmt w:val="decimal"/>
      <w:lvlText w:val="%1.%2"/>
      <w:lvlJc w:val="left"/>
      <w:pPr>
        <w:ind w:left="2480" w:hanging="778"/>
        <w:jc w:val="left"/>
      </w:pPr>
      <w:rPr>
        <w:rFonts w:hint="default" w:ascii="宋体" w:hAnsi="宋体" w:eastAsia="宋体" w:cs="宋体"/>
        <w:b/>
        <w:bCs/>
        <w:i w:val="0"/>
        <w:iCs w:val="0"/>
        <w:spacing w:val="-1"/>
        <w:w w:val="99"/>
        <w:sz w:val="22"/>
        <w:szCs w:val="22"/>
        <w:lang w:val="en-US" w:eastAsia="zh-CN" w:bidi="ar-SA"/>
      </w:rPr>
    </w:lvl>
    <w:lvl w:ilvl="2">
      <w:start w:val="1"/>
      <w:numFmt w:val="decimal"/>
      <w:lvlText w:val="%1.%2.%3"/>
      <w:lvlJc w:val="left"/>
      <w:pPr>
        <w:ind w:left="930" w:hanging="778"/>
        <w:jc w:val="left"/>
      </w:pPr>
      <w:rPr>
        <w:rFonts w:hint="default" w:ascii="宋体" w:hAnsi="宋体" w:eastAsia="宋体" w:cs="宋体"/>
        <w:b/>
        <w:bCs/>
        <w:i w:val="0"/>
        <w:iCs w:val="0"/>
        <w:spacing w:val="-1"/>
        <w:w w:val="99"/>
        <w:sz w:val="22"/>
        <w:szCs w:val="22"/>
        <w:lang w:val="en-US" w:eastAsia="zh-CN" w:bidi="ar-SA"/>
      </w:rPr>
    </w:lvl>
    <w:lvl w:ilvl="3">
      <w:start w:val="1"/>
      <w:numFmt w:val="decimal"/>
      <w:lvlText w:val="(%4)"/>
      <w:lvlJc w:val="left"/>
      <w:pPr>
        <w:ind w:left="2900" w:hanging="420"/>
        <w:jc w:val="left"/>
      </w:pPr>
      <w:rPr>
        <w:rFonts w:hint="default" w:ascii="宋体" w:hAnsi="宋体" w:eastAsia="宋体" w:cs="宋体"/>
        <w:b w:val="0"/>
        <w:bCs w:val="0"/>
        <w:i w:val="0"/>
        <w:iCs w:val="0"/>
        <w:spacing w:val="-1"/>
        <w:w w:val="100"/>
        <w:sz w:val="22"/>
        <w:szCs w:val="22"/>
        <w:lang w:val="en-US" w:eastAsia="zh-CN" w:bidi="ar-SA"/>
      </w:rPr>
    </w:lvl>
    <w:lvl w:ilvl="4">
      <w:start w:val="0"/>
      <w:numFmt w:val="bullet"/>
      <w:lvlText w:val="•"/>
      <w:lvlJc w:val="left"/>
      <w:pPr>
        <w:ind w:left="4661" w:hanging="420"/>
      </w:pPr>
      <w:rPr>
        <w:rFonts w:hint="default"/>
        <w:lang w:val="en-US" w:eastAsia="zh-CN" w:bidi="ar-SA"/>
      </w:rPr>
    </w:lvl>
    <w:lvl w:ilvl="5">
      <w:start w:val="0"/>
      <w:numFmt w:val="bullet"/>
      <w:lvlText w:val="•"/>
      <w:lvlJc w:val="left"/>
      <w:pPr>
        <w:ind w:left="5542" w:hanging="420"/>
      </w:pPr>
      <w:rPr>
        <w:rFonts w:hint="default"/>
        <w:lang w:val="en-US" w:eastAsia="zh-CN" w:bidi="ar-SA"/>
      </w:rPr>
    </w:lvl>
    <w:lvl w:ilvl="6">
      <w:start w:val="0"/>
      <w:numFmt w:val="bullet"/>
      <w:lvlText w:val="•"/>
      <w:lvlJc w:val="left"/>
      <w:pPr>
        <w:ind w:left="6423" w:hanging="420"/>
      </w:pPr>
      <w:rPr>
        <w:rFonts w:hint="default"/>
        <w:lang w:val="en-US" w:eastAsia="zh-CN" w:bidi="ar-SA"/>
      </w:rPr>
    </w:lvl>
    <w:lvl w:ilvl="7">
      <w:start w:val="0"/>
      <w:numFmt w:val="bullet"/>
      <w:lvlText w:val="•"/>
      <w:lvlJc w:val="left"/>
      <w:pPr>
        <w:ind w:left="7303" w:hanging="420"/>
      </w:pPr>
      <w:rPr>
        <w:rFonts w:hint="default"/>
        <w:lang w:val="en-US" w:eastAsia="zh-CN" w:bidi="ar-SA"/>
      </w:rPr>
    </w:lvl>
    <w:lvl w:ilvl="8">
      <w:start w:val="0"/>
      <w:numFmt w:val="bullet"/>
      <w:lvlText w:val="•"/>
      <w:lvlJc w:val="left"/>
      <w:pPr>
        <w:ind w:left="8184" w:hanging="420"/>
      </w:pPr>
      <w:rPr>
        <w:rFonts w:hint="default"/>
        <w:lang w:val="en-US" w:eastAsia="zh-CN" w:bidi="ar-SA"/>
      </w:rPr>
    </w:lvl>
  </w:abstractNum>
  <w:abstractNum w:abstractNumId="9">
    <w:multiLevelType w:val="hybridMultilevel"/>
    <w:lvl w:ilvl="0">
      <w:start w:val="1"/>
      <w:numFmt w:val="decimal"/>
      <w:lvlText w:val="(%1)"/>
      <w:lvlJc w:val="left"/>
      <w:pPr>
        <w:ind w:left="606" w:hanging="454"/>
        <w:jc w:val="left"/>
      </w:pPr>
      <w:rPr>
        <w:rFonts w:hint="default" w:ascii="宋体" w:hAnsi="宋体" w:eastAsia="宋体" w:cs="宋体"/>
        <w:b w:val="0"/>
        <w:bCs w:val="0"/>
        <w:i w:val="0"/>
        <w:iCs w:val="0"/>
        <w:spacing w:val="-1"/>
        <w:w w:val="100"/>
        <w:sz w:val="22"/>
        <w:szCs w:val="22"/>
        <w:lang w:val="en-US" w:eastAsia="zh-CN" w:bidi="ar-SA"/>
      </w:rPr>
    </w:lvl>
    <w:lvl w:ilvl="1">
      <w:start w:val="0"/>
      <w:numFmt w:val="bullet"/>
      <w:lvlText w:val="•"/>
      <w:lvlJc w:val="left"/>
      <w:pPr>
        <w:ind w:left="1301" w:hanging="454"/>
      </w:pPr>
      <w:rPr>
        <w:rFonts w:hint="default"/>
        <w:lang w:val="en-US" w:eastAsia="zh-CN" w:bidi="ar-SA"/>
      </w:rPr>
    </w:lvl>
    <w:lvl w:ilvl="2">
      <w:start w:val="0"/>
      <w:numFmt w:val="bullet"/>
      <w:lvlText w:val="•"/>
      <w:lvlJc w:val="left"/>
      <w:pPr>
        <w:ind w:left="2003" w:hanging="454"/>
      </w:pPr>
      <w:rPr>
        <w:rFonts w:hint="default"/>
        <w:lang w:val="en-US" w:eastAsia="zh-CN" w:bidi="ar-SA"/>
      </w:rPr>
    </w:lvl>
    <w:lvl w:ilvl="3">
      <w:start w:val="0"/>
      <w:numFmt w:val="bullet"/>
      <w:lvlText w:val="•"/>
      <w:lvlJc w:val="left"/>
      <w:pPr>
        <w:ind w:left="2705" w:hanging="454"/>
      </w:pPr>
      <w:rPr>
        <w:rFonts w:hint="default"/>
        <w:lang w:val="en-US" w:eastAsia="zh-CN" w:bidi="ar-SA"/>
      </w:rPr>
    </w:lvl>
    <w:lvl w:ilvl="4">
      <w:start w:val="0"/>
      <w:numFmt w:val="bullet"/>
      <w:lvlText w:val="•"/>
      <w:lvlJc w:val="left"/>
      <w:pPr>
        <w:ind w:left="3407" w:hanging="454"/>
      </w:pPr>
      <w:rPr>
        <w:rFonts w:hint="default"/>
        <w:lang w:val="en-US" w:eastAsia="zh-CN" w:bidi="ar-SA"/>
      </w:rPr>
    </w:lvl>
    <w:lvl w:ilvl="5">
      <w:start w:val="0"/>
      <w:numFmt w:val="bullet"/>
      <w:lvlText w:val="•"/>
      <w:lvlJc w:val="left"/>
      <w:pPr>
        <w:ind w:left="4109" w:hanging="454"/>
      </w:pPr>
      <w:rPr>
        <w:rFonts w:hint="default"/>
        <w:lang w:val="en-US" w:eastAsia="zh-CN" w:bidi="ar-SA"/>
      </w:rPr>
    </w:lvl>
    <w:lvl w:ilvl="6">
      <w:start w:val="0"/>
      <w:numFmt w:val="bullet"/>
      <w:lvlText w:val="•"/>
      <w:lvlJc w:val="left"/>
      <w:pPr>
        <w:ind w:left="4810" w:hanging="454"/>
      </w:pPr>
      <w:rPr>
        <w:rFonts w:hint="default"/>
        <w:lang w:val="en-US" w:eastAsia="zh-CN" w:bidi="ar-SA"/>
      </w:rPr>
    </w:lvl>
    <w:lvl w:ilvl="7">
      <w:start w:val="0"/>
      <w:numFmt w:val="bullet"/>
      <w:lvlText w:val="•"/>
      <w:lvlJc w:val="left"/>
      <w:pPr>
        <w:ind w:left="5512" w:hanging="454"/>
      </w:pPr>
      <w:rPr>
        <w:rFonts w:hint="default"/>
        <w:lang w:val="en-US" w:eastAsia="zh-CN" w:bidi="ar-SA"/>
      </w:rPr>
    </w:lvl>
    <w:lvl w:ilvl="8">
      <w:start w:val="0"/>
      <w:numFmt w:val="bullet"/>
      <w:lvlText w:val="•"/>
      <w:lvlJc w:val="left"/>
      <w:pPr>
        <w:ind w:left="6214" w:hanging="454"/>
      </w:pPr>
      <w:rPr>
        <w:rFonts w:hint="default"/>
        <w:lang w:val="en-US" w:eastAsia="zh-CN" w:bidi="ar-SA"/>
      </w:rPr>
    </w:lvl>
  </w:abstractNum>
  <w:abstractNum w:abstractNumId="8">
    <w:multiLevelType w:val="hybridMultilevel"/>
    <w:lvl w:ilvl="0">
      <w:start w:val="1"/>
      <w:numFmt w:val="decimal"/>
      <w:lvlText w:val="%1"/>
      <w:lvlJc w:val="left"/>
      <w:pPr>
        <w:ind w:left="2480" w:hanging="778"/>
        <w:jc w:val="left"/>
      </w:pPr>
      <w:rPr>
        <w:rFonts w:hint="default"/>
        <w:lang w:val="en-US" w:eastAsia="zh-CN" w:bidi="ar-SA"/>
      </w:rPr>
    </w:lvl>
    <w:lvl w:ilvl="1">
      <w:start w:val="1"/>
      <w:numFmt w:val="decimal"/>
      <w:lvlText w:val="%1.%2"/>
      <w:lvlJc w:val="left"/>
      <w:pPr>
        <w:ind w:left="2480" w:hanging="778"/>
        <w:jc w:val="left"/>
      </w:pPr>
      <w:rPr>
        <w:rFonts w:hint="default" w:ascii="宋体" w:hAnsi="宋体" w:eastAsia="宋体" w:cs="宋体"/>
        <w:b/>
        <w:bCs/>
        <w:i w:val="0"/>
        <w:iCs w:val="0"/>
        <w:spacing w:val="-1"/>
        <w:w w:val="99"/>
        <w:sz w:val="22"/>
        <w:szCs w:val="22"/>
        <w:lang w:val="en-US" w:eastAsia="zh-CN" w:bidi="ar-SA"/>
      </w:rPr>
    </w:lvl>
    <w:lvl w:ilvl="2">
      <w:start w:val="0"/>
      <w:numFmt w:val="bullet"/>
      <w:lvlText w:val="•"/>
      <w:lvlJc w:val="left"/>
      <w:pPr>
        <w:ind w:left="3973" w:hanging="778"/>
      </w:pPr>
      <w:rPr>
        <w:rFonts w:hint="default"/>
        <w:lang w:val="en-US" w:eastAsia="zh-CN" w:bidi="ar-SA"/>
      </w:rPr>
    </w:lvl>
    <w:lvl w:ilvl="3">
      <w:start w:val="0"/>
      <w:numFmt w:val="bullet"/>
      <w:lvlText w:val="•"/>
      <w:lvlJc w:val="left"/>
      <w:pPr>
        <w:ind w:left="4719" w:hanging="778"/>
      </w:pPr>
      <w:rPr>
        <w:rFonts w:hint="default"/>
        <w:lang w:val="en-US" w:eastAsia="zh-CN" w:bidi="ar-SA"/>
      </w:rPr>
    </w:lvl>
    <w:lvl w:ilvl="4">
      <w:start w:val="0"/>
      <w:numFmt w:val="bullet"/>
      <w:lvlText w:val="•"/>
      <w:lvlJc w:val="left"/>
      <w:pPr>
        <w:ind w:left="5466" w:hanging="778"/>
      </w:pPr>
      <w:rPr>
        <w:rFonts w:hint="default"/>
        <w:lang w:val="en-US" w:eastAsia="zh-CN" w:bidi="ar-SA"/>
      </w:rPr>
    </w:lvl>
    <w:lvl w:ilvl="5">
      <w:start w:val="0"/>
      <w:numFmt w:val="bullet"/>
      <w:lvlText w:val="•"/>
      <w:lvlJc w:val="left"/>
      <w:pPr>
        <w:ind w:left="6213" w:hanging="778"/>
      </w:pPr>
      <w:rPr>
        <w:rFonts w:hint="default"/>
        <w:lang w:val="en-US" w:eastAsia="zh-CN" w:bidi="ar-SA"/>
      </w:rPr>
    </w:lvl>
    <w:lvl w:ilvl="6">
      <w:start w:val="0"/>
      <w:numFmt w:val="bullet"/>
      <w:lvlText w:val="•"/>
      <w:lvlJc w:val="left"/>
      <w:pPr>
        <w:ind w:left="6959" w:hanging="778"/>
      </w:pPr>
      <w:rPr>
        <w:rFonts w:hint="default"/>
        <w:lang w:val="en-US" w:eastAsia="zh-CN" w:bidi="ar-SA"/>
      </w:rPr>
    </w:lvl>
    <w:lvl w:ilvl="7">
      <w:start w:val="0"/>
      <w:numFmt w:val="bullet"/>
      <w:lvlText w:val="•"/>
      <w:lvlJc w:val="left"/>
      <w:pPr>
        <w:ind w:left="7706" w:hanging="778"/>
      </w:pPr>
      <w:rPr>
        <w:rFonts w:hint="default"/>
        <w:lang w:val="en-US" w:eastAsia="zh-CN" w:bidi="ar-SA"/>
      </w:rPr>
    </w:lvl>
    <w:lvl w:ilvl="8">
      <w:start w:val="0"/>
      <w:numFmt w:val="bullet"/>
      <w:lvlText w:val="•"/>
      <w:lvlJc w:val="left"/>
      <w:pPr>
        <w:ind w:left="8452" w:hanging="778"/>
      </w:pPr>
      <w:rPr>
        <w:rFonts w:hint="default"/>
        <w:lang w:val="en-US" w:eastAsia="zh-CN" w:bidi="ar-SA"/>
      </w:rPr>
    </w:lvl>
  </w:abstractNum>
  <w:abstractNum w:abstractNumId="7">
    <w:multiLevelType w:val="hybridMultilevel"/>
    <w:lvl w:ilvl="0">
      <w:start w:val="9"/>
      <w:numFmt w:val="decimal"/>
      <w:lvlText w:val="%1"/>
      <w:lvlJc w:val="left"/>
      <w:pPr>
        <w:ind w:left="583" w:hanging="456"/>
        <w:jc w:val="left"/>
      </w:pPr>
      <w:rPr>
        <w:rFonts w:hint="default"/>
        <w:lang w:val="en-US" w:eastAsia="zh-CN" w:bidi="ar-SA"/>
      </w:rPr>
    </w:lvl>
    <w:lvl w:ilvl="1">
      <w:start w:val="1"/>
      <w:numFmt w:val="decimal"/>
      <w:lvlText w:val="%1.%2"/>
      <w:lvlJc w:val="left"/>
      <w:pPr>
        <w:ind w:left="583" w:hanging="456"/>
        <w:jc w:val="left"/>
      </w:pPr>
      <w:rPr>
        <w:rFonts w:hint="default" w:ascii="宋体" w:hAnsi="宋体" w:eastAsia="宋体" w:cs="宋体"/>
        <w:b w:val="0"/>
        <w:bCs w:val="0"/>
        <w:i w:val="0"/>
        <w:iCs w:val="0"/>
        <w:spacing w:val="-1"/>
        <w:w w:val="100"/>
        <w:sz w:val="22"/>
        <w:szCs w:val="22"/>
        <w:lang w:val="en-US" w:eastAsia="zh-CN" w:bidi="ar-SA"/>
      </w:rPr>
    </w:lvl>
    <w:lvl w:ilvl="2">
      <w:start w:val="0"/>
      <w:numFmt w:val="bullet"/>
      <w:lvlText w:val="•"/>
      <w:lvlJc w:val="left"/>
      <w:pPr>
        <w:ind w:left="1079" w:hanging="456"/>
      </w:pPr>
      <w:rPr>
        <w:rFonts w:hint="default"/>
        <w:lang w:val="en-US" w:eastAsia="zh-CN" w:bidi="ar-SA"/>
      </w:rPr>
    </w:lvl>
    <w:lvl w:ilvl="3">
      <w:start w:val="0"/>
      <w:numFmt w:val="bullet"/>
      <w:lvlText w:val="•"/>
      <w:lvlJc w:val="left"/>
      <w:pPr>
        <w:ind w:left="1328" w:hanging="456"/>
      </w:pPr>
      <w:rPr>
        <w:rFonts w:hint="default"/>
        <w:lang w:val="en-US" w:eastAsia="zh-CN" w:bidi="ar-SA"/>
      </w:rPr>
    </w:lvl>
    <w:lvl w:ilvl="4">
      <w:start w:val="0"/>
      <w:numFmt w:val="bullet"/>
      <w:lvlText w:val="•"/>
      <w:lvlJc w:val="left"/>
      <w:pPr>
        <w:ind w:left="1578" w:hanging="456"/>
      </w:pPr>
      <w:rPr>
        <w:rFonts w:hint="default"/>
        <w:lang w:val="en-US" w:eastAsia="zh-CN" w:bidi="ar-SA"/>
      </w:rPr>
    </w:lvl>
    <w:lvl w:ilvl="5">
      <w:start w:val="0"/>
      <w:numFmt w:val="bullet"/>
      <w:lvlText w:val="•"/>
      <w:lvlJc w:val="left"/>
      <w:pPr>
        <w:ind w:left="1827" w:hanging="456"/>
      </w:pPr>
      <w:rPr>
        <w:rFonts w:hint="default"/>
        <w:lang w:val="en-US" w:eastAsia="zh-CN" w:bidi="ar-SA"/>
      </w:rPr>
    </w:lvl>
    <w:lvl w:ilvl="6">
      <w:start w:val="0"/>
      <w:numFmt w:val="bullet"/>
      <w:lvlText w:val="•"/>
      <w:lvlJc w:val="left"/>
      <w:pPr>
        <w:ind w:left="2077" w:hanging="456"/>
      </w:pPr>
      <w:rPr>
        <w:rFonts w:hint="default"/>
        <w:lang w:val="en-US" w:eastAsia="zh-CN" w:bidi="ar-SA"/>
      </w:rPr>
    </w:lvl>
    <w:lvl w:ilvl="7">
      <w:start w:val="0"/>
      <w:numFmt w:val="bullet"/>
      <w:lvlText w:val="•"/>
      <w:lvlJc w:val="left"/>
      <w:pPr>
        <w:ind w:left="2326" w:hanging="456"/>
      </w:pPr>
      <w:rPr>
        <w:rFonts w:hint="default"/>
        <w:lang w:val="en-US" w:eastAsia="zh-CN" w:bidi="ar-SA"/>
      </w:rPr>
    </w:lvl>
    <w:lvl w:ilvl="8">
      <w:start w:val="0"/>
      <w:numFmt w:val="bullet"/>
      <w:lvlText w:val="•"/>
      <w:lvlJc w:val="left"/>
      <w:pPr>
        <w:ind w:left="2576" w:hanging="456"/>
      </w:pPr>
      <w:rPr>
        <w:rFonts w:hint="default"/>
        <w:lang w:val="en-US" w:eastAsia="zh-CN" w:bidi="ar-SA"/>
      </w:rPr>
    </w:lvl>
  </w:abstractNum>
  <w:abstractNum w:abstractNumId="6">
    <w:multiLevelType w:val="hybridMultilevel"/>
    <w:lvl w:ilvl="0">
      <w:start w:val="2"/>
      <w:numFmt w:val="decimal"/>
      <w:lvlText w:val="%1"/>
      <w:lvlJc w:val="left"/>
      <w:pPr>
        <w:ind w:left="883" w:hanging="454"/>
        <w:jc w:val="left"/>
      </w:pPr>
      <w:rPr>
        <w:rFonts w:hint="default"/>
        <w:lang w:val="en-US" w:eastAsia="zh-CN" w:bidi="ar-SA"/>
      </w:rPr>
    </w:lvl>
    <w:lvl w:ilvl="1">
      <w:start w:val="4"/>
      <w:numFmt w:val="decimal"/>
      <w:lvlText w:val="%1.%2"/>
      <w:lvlJc w:val="left"/>
      <w:pPr>
        <w:ind w:left="883" w:hanging="454"/>
        <w:jc w:val="left"/>
      </w:pPr>
      <w:rPr>
        <w:rFonts w:hint="default" w:ascii="宋体" w:hAnsi="宋体" w:eastAsia="宋体" w:cs="宋体"/>
        <w:b w:val="0"/>
        <w:bCs w:val="0"/>
        <w:i w:val="0"/>
        <w:iCs w:val="0"/>
        <w:spacing w:val="-1"/>
        <w:w w:val="100"/>
        <w:sz w:val="22"/>
        <w:szCs w:val="22"/>
        <w:lang w:val="en-US" w:eastAsia="zh-CN" w:bidi="ar-SA"/>
      </w:rPr>
    </w:lvl>
    <w:lvl w:ilvl="2">
      <w:start w:val="0"/>
      <w:numFmt w:val="bullet"/>
      <w:lvlText w:val="•"/>
      <w:lvlJc w:val="left"/>
      <w:pPr>
        <w:ind w:left="1644" w:hanging="454"/>
      </w:pPr>
      <w:rPr>
        <w:rFonts w:hint="default"/>
        <w:lang w:val="en-US" w:eastAsia="zh-CN" w:bidi="ar-SA"/>
      </w:rPr>
    </w:lvl>
    <w:lvl w:ilvl="3">
      <w:start w:val="0"/>
      <w:numFmt w:val="bullet"/>
      <w:lvlText w:val="•"/>
      <w:lvlJc w:val="left"/>
      <w:pPr>
        <w:ind w:left="2026" w:hanging="454"/>
      </w:pPr>
      <w:rPr>
        <w:rFonts w:hint="default"/>
        <w:lang w:val="en-US" w:eastAsia="zh-CN" w:bidi="ar-SA"/>
      </w:rPr>
    </w:lvl>
    <w:lvl w:ilvl="4">
      <w:start w:val="0"/>
      <w:numFmt w:val="bullet"/>
      <w:lvlText w:val="•"/>
      <w:lvlJc w:val="left"/>
      <w:pPr>
        <w:ind w:left="2408" w:hanging="454"/>
      </w:pPr>
      <w:rPr>
        <w:rFonts w:hint="default"/>
        <w:lang w:val="en-US" w:eastAsia="zh-CN" w:bidi="ar-SA"/>
      </w:rPr>
    </w:lvl>
    <w:lvl w:ilvl="5">
      <w:start w:val="0"/>
      <w:numFmt w:val="bullet"/>
      <w:lvlText w:val="•"/>
      <w:lvlJc w:val="left"/>
      <w:pPr>
        <w:ind w:left="2791" w:hanging="454"/>
      </w:pPr>
      <w:rPr>
        <w:rFonts w:hint="default"/>
        <w:lang w:val="en-US" w:eastAsia="zh-CN" w:bidi="ar-SA"/>
      </w:rPr>
    </w:lvl>
    <w:lvl w:ilvl="6">
      <w:start w:val="0"/>
      <w:numFmt w:val="bullet"/>
      <w:lvlText w:val="•"/>
      <w:lvlJc w:val="left"/>
      <w:pPr>
        <w:ind w:left="3173" w:hanging="454"/>
      </w:pPr>
      <w:rPr>
        <w:rFonts w:hint="default"/>
        <w:lang w:val="en-US" w:eastAsia="zh-CN" w:bidi="ar-SA"/>
      </w:rPr>
    </w:lvl>
    <w:lvl w:ilvl="7">
      <w:start w:val="0"/>
      <w:numFmt w:val="bullet"/>
      <w:lvlText w:val="•"/>
      <w:lvlJc w:val="left"/>
      <w:pPr>
        <w:ind w:left="3555" w:hanging="454"/>
      </w:pPr>
      <w:rPr>
        <w:rFonts w:hint="default"/>
        <w:lang w:val="en-US" w:eastAsia="zh-CN" w:bidi="ar-SA"/>
      </w:rPr>
    </w:lvl>
    <w:lvl w:ilvl="8">
      <w:start w:val="0"/>
      <w:numFmt w:val="bullet"/>
      <w:lvlText w:val="•"/>
      <w:lvlJc w:val="left"/>
      <w:pPr>
        <w:ind w:left="3937" w:hanging="454"/>
      </w:pPr>
      <w:rPr>
        <w:rFonts w:hint="default"/>
        <w:lang w:val="en-US" w:eastAsia="zh-CN" w:bidi="ar-SA"/>
      </w:rPr>
    </w:lvl>
  </w:abstractNum>
  <w:abstractNum w:abstractNumId="5">
    <w:multiLevelType w:val="hybridMultilevel"/>
    <w:lvl w:ilvl="0">
      <w:start w:val="8"/>
      <w:numFmt w:val="decimal"/>
      <w:lvlText w:val="%1"/>
      <w:lvlJc w:val="left"/>
      <w:pPr>
        <w:ind w:left="583" w:hanging="456"/>
        <w:jc w:val="left"/>
      </w:pPr>
      <w:rPr>
        <w:rFonts w:hint="default"/>
        <w:lang w:val="en-US" w:eastAsia="zh-CN" w:bidi="ar-SA"/>
      </w:rPr>
    </w:lvl>
    <w:lvl w:ilvl="1">
      <w:start w:val="1"/>
      <w:numFmt w:val="decimal"/>
      <w:lvlText w:val="%1.%2"/>
      <w:lvlJc w:val="left"/>
      <w:pPr>
        <w:ind w:left="583" w:hanging="456"/>
        <w:jc w:val="left"/>
      </w:pPr>
      <w:rPr>
        <w:rFonts w:hint="default" w:ascii="宋体" w:hAnsi="宋体" w:eastAsia="宋体" w:cs="宋体"/>
        <w:b w:val="0"/>
        <w:bCs w:val="0"/>
        <w:i w:val="0"/>
        <w:iCs w:val="0"/>
        <w:spacing w:val="-1"/>
        <w:w w:val="100"/>
        <w:sz w:val="22"/>
        <w:szCs w:val="22"/>
        <w:lang w:val="en-US" w:eastAsia="zh-CN" w:bidi="ar-SA"/>
      </w:rPr>
    </w:lvl>
    <w:lvl w:ilvl="2">
      <w:start w:val="0"/>
      <w:numFmt w:val="bullet"/>
      <w:lvlText w:val="•"/>
      <w:lvlJc w:val="left"/>
      <w:pPr>
        <w:ind w:left="1079" w:hanging="456"/>
      </w:pPr>
      <w:rPr>
        <w:rFonts w:hint="default"/>
        <w:lang w:val="en-US" w:eastAsia="zh-CN" w:bidi="ar-SA"/>
      </w:rPr>
    </w:lvl>
    <w:lvl w:ilvl="3">
      <w:start w:val="0"/>
      <w:numFmt w:val="bullet"/>
      <w:lvlText w:val="•"/>
      <w:lvlJc w:val="left"/>
      <w:pPr>
        <w:ind w:left="1328" w:hanging="456"/>
      </w:pPr>
      <w:rPr>
        <w:rFonts w:hint="default"/>
        <w:lang w:val="en-US" w:eastAsia="zh-CN" w:bidi="ar-SA"/>
      </w:rPr>
    </w:lvl>
    <w:lvl w:ilvl="4">
      <w:start w:val="0"/>
      <w:numFmt w:val="bullet"/>
      <w:lvlText w:val="•"/>
      <w:lvlJc w:val="left"/>
      <w:pPr>
        <w:ind w:left="1578" w:hanging="456"/>
      </w:pPr>
      <w:rPr>
        <w:rFonts w:hint="default"/>
        <w:lang w:val="en-US" w:eastAsia="zh-CN" w:bidi="ar-SA"/>
      </w:rPr>
    </w:lvl>
    <w:lvl w:ilvl="5">
      <w:start w:val="0"/>
      <w:numFmt w:val="bullet"/>
      <w:lvlText w:val="•"/>
      <w:lvlJc w:val="left"/>
      <w:pPr>
        <w:ind w:left="1827" w:hanging="456"/>
      </w:pPr>
      <w:rPr>
        <w:rFonts w:hint="default"/>
        <w:lang w:val="en-US" w:eastAsia="zh-CN" w:bidi="ar-SA"/>
      </w:rPr>
    </w:lvl>
    <w:lvl w:ilvl="6">
      <w:start w:val="0"/>
      <w:numFmt w:val="bullet"/>
      <w:lvlText w:val="•"/>
      <w:lvlJc w:val="left"/>
      <w:pPr>
        <w:ind w:left="2077" w:hanging="456"/>
      </w:pPr>
      <w:rPr>
        <w:rFonts w:hint="default"/>
        <w:lang w:val="en-US" w:eastAsia="zh-CN" w:bidi="ar-SA"/>
      </w:rPr>
    </w:lvl>
    <w:lvl w:ilvl="7">
      <w:start w:val="0"/>
      <w:numFmt w:val="bullet"/>
      <w:lvlText w:val="•"/>
      <w:lvlJc w:val="left"/>
      <w:pPr>
        <w:ind w:left="2326" w:hanging="456"/>
      </w:pPr>
      <w:rPr>
        <w:rFonts w:hint="default"/>
        <w:lang w:val="en-US" w:eastAsia="zh-CN" w:bidi="ar-SA"/>
      </w:rPr>
    </w:lvl>
    <w:lvl w:ilvl="8">
      <w:start w:val="0"/>
      <w:numFmt w:val="bullet"/>
      <w:lvlText w:val="•"/>
      <w:lvlJc w:val="left"/>
      <w:pPr>
        <w:ind w:left="2576" w:hanging="456"/>
      </w:pPr>
      <w:rPr>
        <w:rFonts w:hint="default"/>
        <w:lang w:val="en-US" w:eastAsia="zh-CN" w:bidi="ar-SA"/>
      </w:rPr>
    </w:lvl>
  </w:abstractNum>
  <w:abstractNum w:abstractNumId="4">
    <w:multiLevelType w:val="hybridMultilevel"/>
    <w:lvl w:ilvl="0">
      <w:start w:val="2"/>
      <w:numFmt w:val="decimal"/>
      <w:lvlText w:val="%1"/>
      <w:lvlJc w:val="left"/>
      <w:pPr>
        <w:ind w:left="883" w:hanging="454"/>
        <w:jc w:val="left"/>
      </w:pPr>
      <w:rPr>
        <w:rFonts w:hint="default"/>
        <w:lang w:val="en-US" w:eastAsia="zh-CN" w:bidi="ar-SA"/>
      </w:rPr>
    </w:lvl>
    <w:lvl w:ilvl="1">
      <w:start w:val="1"/>
      <w:numFmt w:val="decimal"/>
      <w:lvlText w:val="%1.%2"/>
      <w:lvlJc w:val="left"/>
      <w:pPr>
        <w:ind w:left="883" w:hanging="454"/>
        <w:jc w:val="left"/>
      </w:pPr>
      <w:rPr>
        <w:rFonts w:hint="default" w:ascii="宋体" w:hAnsi="宋体" w:eastAsia="宋体" w:cs="宋体"/>
        <w:b w:val="0"/>
        <w:bCs w:val="0"/>
        <w:i w:val="0"/>
        <w:iCs w:val="0"/>
        <w:spacing w:val="-1"/>
        <w:w w:val="100"/>
        <w:sz w:val="22"/>
        <w:szCs w:val="22"/>
        <w:lang w:val="en-US" w:eastAsia="zh-CN" w:bidi="ar-SA"/>
      </w:rPr>
    </w:lvl>
    <w:lvl w:ilvl="2">
      <w:start w:val="0"/>
      <w:numFmt w:val="bullet"/>
      <w:lvlText w:val="•"/>
      <w:lvlJc w:val="left"/>
      <w:pPr>
        <w:ind w:left="1644" w:hanging="454"/>
      </w:pPr>
      <w:rPr>
        <w:rFonts w:hint="default"/>
        <w:lang w:val="en-US" w:eastAsia="zh-CN" w:bidi="ar-SA"/>
      </w:rPr>
    </w:lvl>
    <w:lvl w:ilvl="3">
      <w:start w:val="0"/>
      <w:numFmt w:val="bullet"/>
      <w:lvlText w:val="•"/>
      <w:lvlJc w:val="left"/>
      <w:pPr>
        <w:ind w:left="2026" w:hanging="454"/>
      </w:pPr>
      <w:rPr>
        <w:rFonts w:hint="default"/>
        <w:lang w:val="en-US" w:eastAsia="zh-CN" w:bidi="ar-SA"/>
      </w:rPr>
    </w:lvl>
    <w:lvl w:ilvl="4">
      <w:start w:val="0"/>
      <w:numFmt w:val="bullet"/>
      <w:lvlText w:val="•"/>
      <w:lvlJc w:val="left"/>
      <w:pPr>
        <w:ind w:left="2408" w:hanging="454"/>
      </w:pPr>
      <w:rPr>
        <w:rFonts w:hint="default"/>
        <w:lang w:val="en-US" w:eastAsia="zh-CN" w:bidi="ar-SA"/>
      </w:rPr>
    </w:lvl>
    <w:lvl w:ilvl="5">
      <w:start w:val="0"/>
      <w:numFmt w:val="bullet"/>
      <w:lvlText w:val="•"/>
      <w:lvlJc w:val="left"/>
      <w:pPr>
        <w:ind w:left="2791" w:hanging="454"/>
      </w:pPr>
      <w:rPr>
        <w:rFonts w:hint="default"/>
        <w:lang w:val="en-US" w:eastAsia="zh-CN" w:bidi="ar-SA"/>
      </w:rPr>
    </w:lvl>
    <w:lvl w:ilvl="6">
      <w:start w:val="0"/>
      <w:numFmt w:val="bullet"/>
      <w:lvlText w:val="•"/>
      <w:lvlJc w:val="left"/>
      <w:pPr>
        <w:ind w:left="3173" w:hanging="454"/>
      </w:pPr>
      <w:rPr>
        <w:rFonts w:hint="default"/>
        <w:lang w:val="en-US" w:eastAsia="zh-CN" w:bidi="ar-SA"/>
      </w:rPr>
    </w:lvl>
    <w:lvl w:ilvl="7">
      <w:start w:val="0"/>
      <w:numFmt w:val="bullet"/>
      <w:lvlText w:val="•"/>
      <w:lvlJc w:val="left"/>
      <w:pPr>
        <w:ind w:left="3555" w:hanging="454"/>
      </w:pPr>
      <w:rPr>
        <w:rFonts w:hint="default"/>
        <w:lang w:val="en-US" w:eastAsia="zh-CN" w:bidi="ar-SA"/>
      </w:rPr>
    </w:lvl>
    <w:lvl w:ilvl="8">
      <w:start w:val="0"/>
      <w:numFmt w:val="bullet"/>
      <w:lvlText w:val="•"/>
      <w:lvlJc w:val="left"/>
      <w:pPr>
        <w:ind w:left="3937" w:hanging="454"/>
      </w:pPr>
      <w:rPr>
        <w:rFonts w:hint="default"/>
        <w:lang w:val="en-US" w:eastAsia="zh-CN" w:bidi="ar-SA"/>
      </w:rPr>
    </w:lvl>
  </w:abstractNum>
  <w:abstractNum w:abstractNumId="3">
    <w:multiLevelType w:val="hybridMultilevel"/>
    <w:lvl w:ilvl="0">
      <w:start w:val="7"/>
      <w:numFmt w:val="decimal"/>
      <w:lvlText w:val="%1"/>
      <w:lvlJc w:val="left"/>
      <w:pPr>
        <w:ind w:left="583" w:hanging="456"/>
        <w:jc w:val="left"/>
      </w:pPr>
      <w:rPr>
        <w:rFonts w:hint="default"/>
        <w:lang w:val="en-US" w:eastAsia="zh-CN" w:bidi="ar-SA"/>
      </w:rPr>
    </w:lvl>
    <w:lvl w:ilvl="1">
      <w:start w:val="1"/>
      <w:numFmt w:val="decimal"/>
      <w:lvlText w:val="%1.%2"/>
      <w:lvlJc w:val="left"/>
      <w:pPr>
        <w:ind w:left="583" w:hanging="456"/>
        <w:jc w:val="left"/>
      </w:pPr>
      <w:rPr>
        <w:rFonts w:hint="default" w:ascii="宋体" w:hAnsi="宋体" w:eastAsia="宋体" w:cs="宋体"/>
        <w:b w:val="0"/>
        <w:bCs w:val="0"/>
        <w:i w:val="0"/>
        <w:iCs w:val="0"/>
        <w:spacing w:val="-1"/>
        <w:w w:val="100"/>
        <w:sz w:val="22"/>
        <w:szCs w:val="22"/>
        <w:lang w:val="en-US" w:eastAsia="zh-CN" w:bidi="ar-SA"/>
      </w:rPr>
    </w:lvl>
    <w:lvl w:ilvl="2">
      <w:start w:val="0"/>
      <w:numFmt w:val="bullet"/>
      <w:lvlText w:val="•"/>
      <w:lvlJc w:val="left"/>
      <w:pPr>
        <w:ind w:left="1079" w:hanging="456"/>
      </w:pPr>
      <w:rPr>
        <w:rFonts w:hint="default"/>
        <w:lang w:val="en-US" w:eastAsia="zh-CN" w:bidi="ar-SA"/>
      </w:rPr>
    </w:lvl>
    <w:lvl w:ilvl="3">
      <w:start w:val="0"/>
      <w:numFmt w:val="bullet"/>
      <w:lvlText w:val="•"/>
      <w:lvlJc w:val="left"/>
      <w:pPr>
        <w:ind w:left="1328" w:hanging="456"/>
      </w:pPr>
      <w:rPr>
        <w:rFonts w:hint="default"/>
        <w:lang w:val="en-US" w:eastAsia="zh-CN" w:bidi="ar-SA"/>
      </w:rPr>
    </w:lvl>
    <w:lvl w:ilvl="4">
      <w:start w:val="0"/>
      <w:numFmt w:val="bullet"/>
      <w:lvlText w:val="•"/>
      <w:lvlJc w:val="left"/>
      <w:pPr>
        <w:ind w:left="1578" w:hanging="456"/>
      </w:pPr>
      <w:rPr>
        <w:rFonts w:hint="default"/>
        <w:lang w:val="en-US" w:eastAsia="zh-CN" w:bidi="ar-SA"/>
      </w:rPr>
    </w:lvl>
    <w:lvl w:ilvl="5">
      <w:start w:val="0"/>
      <w:numFmt w:val="bullet"/>
      <w:lvlText w:val="•"/>
      <w:lvlJc w:val="left"/>
      <w:pPr>
        <w:ind w:left="1827" w:hanging="456"/>
      </w:pPr>
      <w:rPr>
        <w:rFonts w:hint="default"/>
        <w:lang w:val="en-US" w:eastAsia="zh-CN" w:bidi="ar-SA"/>
      </w:rPr>
    </w:lvl>
    <w:lvl w:ilvl="6">
      <w:start w:val="0"/>
      <w:numFmt w:val="bullet"/>
      <w:lvlText w:val="•"/>
      <w:lvlJc w:val="left"/>
      <w:pPr>
        <w:ind w:left="2077" w:hanging="456"/>
      </w:pPr>
      <w:rPr>
        <w:rFonts w:hint="default"/>
        <w:lang w:val="en-US" w:eastAsia="zh-CN" w:bidi="ar-SA"/>
      </w:rPr>
    </w:lvl>
    <w:lvl w:ilvl="7">
      <w:start w:val="0"/>
      <w:numFmt w:val="bullet"/>
      <w:lvlText w:val="•"/>
      <w:lvlJc w:val="left"/>
      <w:pPr>
        <w:ind w:left="2326" w:hanging="456"/>
      </w:pPr>
      <w:rPr>
        <w:rFonts w:hint="default"/>
        <w:lang w:val="en-US" w:eastAsia="zh-CN" w:bidi="ar-SA"/>
      </w:rPr>
    </w:lvl>
    <w:lvl w:ilvl="8">
      <w:start w:val="0"/>
      <w:numFmt w:val="bullet"/>
      <w:lvlText w:val="•"/>
      <w:lvlJc w:val="left"/>
      <w:pPr>
        <w:ind w:left="2576" w:hanging="456"/>
      </w:pPr>
      <w:rPr>
        <w:rFonts w:hint="default"/>
        <w:lang w:val="en-US" w:eastAsia="zh-CN" w:bidi="ar-SA"/>
      </w:rPr>
    </w:lvl>
  </w:abstractNum>
  <w:abstractNum w:abstractNumId="2">
    <w:multiLevelType w:val="hybridMultilevel"/>
    <w:lvl w:ilvl="0">
      <w:start w:val="6"/>
      <w:numFmt w:val="decimal"/>
      <w:lvlText w:val="%1"/>
      <w:lvlJc w:val="left"/>
      <w:pPr>
        <w:ind w:left="583" w:hanging="456"/>
        <w:jc w:val="left"/>
      </w:pPr>
      <w:rPr>
        <w:rFonts w:hint="default"/>
        <w:lang w:val="en-US" w:eastAsia="zh-CN" w:bidi="ar-SA"/>
      </w:rPr>
    </w:lvl>
    <w:lvl w:ilvl="1">
      <w:start w:val="1"/>
      <w:numFmt w:val="decimal"/>
      <w:lvlText w:val="%1.%2"/>
      <w:lvlJc w:val="left"/>
      <w:pPr>
        <w:ind w:left="583" w:hanging="456"/>
        <w:jc w:val="left"/>
      </w:pPr>
      <w:rPr>
        <w:rFonts w:hint="default" w:ascii="宋体" w:hAnsi="宋体" w:eastAsia="宋体" w:cs="宋体"/>
        <w:b w:val="0"/>
        <w:bCs w:val="0"/>
        <w:i w:val="0"/>
        <w:iCs w:val="0"/>
        <w:spacing w:val="-1"/>
        <w:w w:val="100"/>
        <w:sz w:val="22"/>
        <w:szCs w:val="22"/>
        <w:lang w:val="en-US" w:eastAsia="zh-CN" w:bidi="ar-SA"/>
      </w:rPr>
    </w:lvl>
    <w:lvl w:ilvl="2">
      <w:start w:val="0"/>
      <w:numFmt w:val="bullet"/>
      <w:lvlText w:val="•"/>
      <w:lvlJc w:val="left"/>
      <w:pPr>
        <w:ind w:left="1079" w:hanging="456"/>
      </w:pPr>
      <w:rPr>
        <w:rFonts w:hint="default"/>
        <w:lang w:val="en-US" w:eastAsia="zh-CN" w:bidi="ar-SA"/>
      </w:rPr>
    </w:lvl>
    <w:lvl w:ilvl="3">
      <w:start w:val="0"/>
      <w:numFmt w:val="bullet"/>
      <w:lvlText w:val="•"/>
      <w:lvlJc w:val="left"/>
      <w:pPr>
        <w:ind w:left="1328" w:hanging="456"/>
      </w:pPr>
      <w:rPr>
        <w:rFonts w:hint="default"/>
        <w:lang w:val="en-US" w:eastAsia="zh-CN" w:bidi="ar-SA"/>
      </w:rPr>
    </w:lvl>
    <w:lvl w:ilvl="4">
      <w:start w:val="0"/>
      <w:numFmt w:val="bullet"/>
      <w:lvlText w:val="•"/>
      <w:lvlJc w:val="left"/>
      <w:pPr>
        <w:ind w:left="1578" w:hanging="456"/>
      </w:pPr>
      <w:rPr>
        <w:rFonts w:hint="default"/>
        <w:lang w:val="en-US" w:eastAsia="zh-CN" w:bidi="ar-SA"/>
      </w:rPr>
    </w:lvl>
    <w:lvl w:ilvl="5">
      <w:start w:val="0"/>
      <w:numFmt w:val="bullet"/>
      <w:lvlText w:val="•"/>
      <w:lvlJc w:val="left"/>
      <w:pPr>
        <w:ind w:left="1827" w:hanging="456"/>
      </w:pPr>
      <w:rPr>
        <w:rFonts w:hint="default"/>
        <w:lang w:val="en-US" w:eastAsia="zh-CN" w:bidi="ar-SA"/>
      </w:rPr>
    </w:lvl>
    <w:lvl w:ilvl="6">
      <w:start w:val="0"/>
      <w:numFmt w:val="bullet"/>
      <w:lvlText w:val="•"/>
      <w:lvlJc w:val="left"/>
      <w:pPr>
        <w:ind w:left="2077" w:hanging="456"/>
      </w:pPr>
      <w:rPr>
        <w:rFonts w:hint="default"/>
        <w:lang w:val="en-US" w:eastAsia="zh-CN" w:bidi="ar-SA"/>
      </w:rPr>
    </w:lvl>
    <w:lvl w:ilvl="7">
      <w:start w:val="0"/>
      <w:numFmt w:val="bullet"/>
      <w:lvlText w:val="•"/>
      <w:lvlJc w:val="left"/>
      <w:pPr>
        <w:ind w:left="2326" w:hanging="456"/>
      </w:pPr>
      <w:rPr>
        <w:rFonts w:hint="default"/>
        <w:lang w:val="en-US" w:eastAsia="zh-CN" w:bidi="ar-SA"/>
      </w:rPr>
    </w:lvl>
    <w:lvl w:ilvl="8">
      <w:start w:val="0"/>
      <w:numFmt w:val="bullet"/>
      <w:lvlText w:val="•"/>
      <w:lvlJc w:val="left"/>
      <w:pPr>
        <w:ind w:left="2576" w:hanging="456"/>
      </w:pPr>
      <w:rPr>
        <w:rFonts w:hint="default"/>
        <w:lang w:val="en-US" w:eastAsia="zh-CN" w:bidi="ar-SA"/>
      </w:rPr>
    </w:lvl>
  </w:abstractNum>
  <w:abstractNum w:abstractNumId="1">
    <w:multiLevelType w:val="hybridMultilevel"/>
    <w:lvl w:ilvl="0">
      <w:start w:val="1"/>
      <w:numFmt w:val="decimal"/>
      <w:lvlText w:val="%1"/>
      <w:lvlJc w:val="left"/>
      <w:pPr>
        <w:ind w:left="331" w:hanging="221"/>
        <w:jc w:val="left"/>
      </w:pPr>
      <w:rPr>
        <w:rFonts w:hint="default" w:ascii="宋体" w:hAnsi="宋体" w:eastAsia="宋体" w:cs="宋体"/>
        <w:b/>
        <w:bCs/>
        <w:i w:val="0"/>
        <w:iCs w:val="0"/>
        <w:w w:val="99"/>
        <w:sz w:val="22"/>
        <w:szCs w:val="22"/>
        <w:lang w:val="en-US" w:eastAsia="zh-CN" w:bidi="ar-SA"/>
      </w:rPr>
    </w:lvl>
    <w:lvl w:ilvl="1">
      <w:start w:val="1"/>
      <w:numFmt w:val="decimal"/>
      <w:lvlText w:val="%1.%2"/>
      <w:lvlJc w:val="left"/>
      <w:pPr>
        <w:ind w:left="883" w:hanging="454"/>
        <w:jc w:val="left"/>
      </w:pPr>
      <w:rPr>
        <w:rFonts w:hint="default" w:ascii="宋体" w:hAnsi="宋体" w:eastAsia="宋体" w:cs="宋体"/>
        <w:b w:val="0"/>
        <w:bCs w:val="0"/>
        <w:i w:val="0"/>
        <w:iCs w:val="0"/>
        <w:spacing w:val="-1"/>
        <w:w w:val="100"/>
        <w:sz w:val="22"/>
        <w:szCs w:val="22"/>
        <w:lang w:val="en-US" w:eastAsia="zh-CN" w:bidi="ar-SA"/>
      </w:rPr>
    </w:lvl>
    <w:lvl w:ilvl="2">
      <w:start w:val="0"/>
      <w:numFmt w:val="bullet"/>
      <w:lvlText w:val="•"/>
      <w:lvlJc w:val="left"/>
      <w:pPr>
        <w:ind w:left="1304" w:hanging="454"/>
      </w:pPr>
      <w:rPr>
        <w:rFonts w:hint="default"/>
        <w:lang w:val="en-US" w:eastAsia="zh-CN" w:bidi="ar-SA"/>
      </w:rPr>
    </w:lvl>
    <w:lvl w:ilvl="3">
      <w:start w:val="0"/>
      <w:numFmt w:val="bullet"/>
      <w:lvlText w:val="•"/>
      <w:lvlJc w:val="left"/>
      <w:pPr>
        <w:ind w:left="1729" w:hanging="454"/>
      </w:pPr>
      <w:rPr>
        <w:rFonts w:hint="default"/>
        <w:lang w:val="en-US" w:eastAsia="zh-CN" w:bidi="ar-SA"/>
      </w:rPr>
    </w:lvl>
    <w:lvl w:ilvl="4">
      <w:start w:val="0"/>
      <w:numFmt w:val="bullet"/>
      <w:lvlText w:val="•"/>
      <w:lvlJc w:val="left"/>
      <w:pPr>
        <w:ind w:left="2154" w:hanging="454"/>
      </w:pPr>
      <w:rPr>
        <w:rFonts w:hint="default"/>
        <w:lang w:val="en-US" w:eastAsia="zh-CN" w:bidi="ar-SA"/>
      </w:rPr>
    </w:lvl>
    <w:lvl w:ilvl="5">
      <w:start w:val="0"/>
      <w:numFmt w:val="bullet"/>
      <w:lvlText w:val="•"/>
      <w:lvlJc w:val="left"/>
      <w:pPr>
        <w:ind w:left="2578" w:hanging="454"/>
      </w:pPr>
      <w:rPr>
        <w:rFonts w:hint="default"/>
        <w:lang w:val="en-US" w:eastAsia="zh-CN" w:bidi="ar-SA"/>
      </w:rPr>
    </w:lvl>
    <w:lvl w:ilvl="6">
      <w:start w:val="0"/>
      <w:numFmt w:val="bullet"/>
      <w:lvlText w:val="•"/>
      <w:lvlJc w:val="left"/>
      <w:pPr>
        <w:ind w:left="3003" w:hanging="454"/>
      </w:pPr>
      <w:rPr>
        <w:rFonts w:hint="default"/>
        <w:lang w:val="en-US" w:eastAsia="zh-CN" w:bidi="ar-SA"/>
      </w:rPr>
    </w:lvl>
    <w:lvl w:ilvl="7">
      <w:start w:val="0"/>
      <w:numFmt w:val="bullet"/>
      <w:lvlText w:val="•"/>
      <w:lvlJc w:val="left"/>
      <w:pPr>
        <w:ind w:left="3428" w:hanging="454"/>
      </w:pPr>
      <w:rPr>
        <w:rFonts w:hint="default"/>
        <w:lang w:val="en-US" w:eastAsia="zh-CN" w:bidi="ar-SA"/>
      </w:rPr>
    </w:lvl>
    <w:lvl w:ilvl="8">
      <w:start w:val="0"/>
      <w:numFmt w:val="bullet"/>
      <w:lvlText w:val="•"/>
      <w:lvlJc w:val="left"/>
      <w:pPr>
        <w:ind w:left="3852" w:hanging="454"/>
      </w:pPr>
      <w:rPr>
        <w:rFonts w:hint="default"/>
        <w:lang w:val="en-US" w:eastAsia="zh-CN" w:bidi="ar-SA"/>
      </w:rPr>
    </w:lvl>
  </w:abstractNum>
  <w:abstractNum w:abstractNumId="0">
    <w:multiLevelType w:val="hybridMultilevel"/>
    <w:lvl w:ilvl="0">
      <w:start w:val="0"/>
      <w:numFmt w:val="bullet"/>
      <w:lvlText w:val=""/>
      <w:lvlJc w:val="left"/>
      <w:pPr>
        <w:ind w:left="716" w:hanging="276"/>
      </w:pPr>
      <w:rPr>
        <w:rFonts w:hint="default" w:ascii="Wingdings" w:hAnsi="Wingdings" w:eastAsia="Wingdings" w:cs="Wingdings"/>
        <w:b w:val="0"/>
        <w:bCs w:val="0"/>
        <w:i w:val="0"/>
        <w:iCs w:val="0"/>
        <w:w w:val="99"/>
        <w:sz w:val="20"/>
        <w:szCs w:val="20"/>
        <w:lang w:val="en-US" w:eastAsia="zh-CN" w:bidi="ar-SA"/>
      </w:rPr>
    </w:lvl>
    <w:lvl w:ilvl="1">
      <w:start w:val="0"/>
      <w:numFmt w:val="bullet"/>
      <w:lvlText w:val="•"/>
      <w:lvlJc w:val="left"/>
      <w:pPr>
        <w:ind w:left="1642" w:hanging="276"/>
      </w:pPr>
      <w:rPr>
        <w:rFonts w:hint="default"/>
        <w:lang w:val="en-US" w:eastAsia="zh-CN" w:bidi="ar-SA"/>
      </w:rPr>
    </w:lvl>
    <w:lvl w:ilvl="2">
      <w:start w:val="0"/>
      <w:numFmt w:val="bullet"/>
      <w:lvlText w:val="•"/>
      <w:lvlJc w:val="left"/>
      <w:pPr>
        <w:ind w:left="2565" w:hanging="276"/>
      </w:pPr>
      <w:rPr>
        <w:rFonts w:hint="default"/>
        <w:lang w:val="en-US" w:eastAsia="zh-CN" w:bidi="ar-SA"/>
      </w:rPr>
    </w:lvl>
    <w:lvl w:ilvl="3">
      <w:start w:val="0"/>
      <w:numFmt w:val="bullet"/>
      <w:lvlText w:val="•"/>
      <w:lvlJc w:val="left"/>
      <w:pPr>
        <w:ind w:left="3487" w:hanging="276"/>
      </w:pPr>
      <w:rPr>
        <w:rFonts w:hint="default"/>
        <w:lang w:val="en-US" w:eastAsia="zh-CN" w:bidi="ar-SA"/>
      </w:rPr>
    </w:lvl>
    <w:lvl w:ilvl="4">
      <w:start w:val="0"/>
      <w:numFmt w:val="bullet"/>
      <w:lvlText w:val="•"/>
      <w:lvlJc w:val="left"/>
      <w:pPr>
        <w:ind w:left="4410" w:hanging="276"/>
      </w:pPr>
      <w:rPr>
        <w:rFonts w:hint="default"/>
        <w:lang w:val="en-US" w:eastAsia="zh-CN" w:bidi="ar-SA"/>
      </w:rPr>
    </w:lvl>
    <w:lvl w:ilvl="5">
      <w:start w:val="0"/>
      <w:numFmt w:val="bullet"/>
      <w:lvlText w:val="•"/>
      <w:lvlJc w:val="left"/>
      <w:pPr>
        <w:ind w:left="5333" w:hanging="276"/>
      </w:pPr>
      <w:rPr>
        <w:rFonts w:hint="default"/>
        <w:lang w:val="en-US" w:eastAsia="zh-CN" w:bidi="ar-SA"/>
      </w:rPr>
    </w:lvl>
    <w:lvl w:ilvl="6">
      <w:start w:val="0"/>
      <w:numFmt w:val="bullet"/>
      <w:lvlText w:val="•"/>
      <w:lvlJc w:val="left"/>
      <w:pPr>
        <w:ind w:left="6255" w:hanging="276"/>
      </w:pPr>
      <w:rPr>
        <w:rFonts w:hint="default"/>
        <w:lang w:val="en-US" w:eastAsia="zh-CN" w:bidi="ar-SA"/>
      </w:rPr>
    </w:lvl>
    <w:lvl w:ilvl="7">
      <w:start w:val="0"/>
      <w:numFmt w:val="bullet"/>
      <w:lvlText w:val="•"/>
      <w:lvlJc w:val="left"/>
      <w:pPr>
        <w:ind w:left="7178" w:hanging="276"/>
      </w:pPr>
      <w:rPr>
        <w:rFonts w:hint="default"/>
        <w:lang w:val="en-US" w:eastAsia="zh-CN" w:bidi="ar-SA"/>
      </w:rPr>
    </w:lvl>
    <w:lvl w:ilvl="8">
      <w:start w:val="0"/>
      <w:numFmt w:val="bullet"/>
      <w:lvlText w:val="•"/>
      <w:lvlJc w:val="left"/>
      <w:pPr>
        <w:ind w:left="8100" w:hanging="276"/>
      </w:pPr>
      <w:rPr>
        <w:rFonts w:hint="default"/>
        <w:lang w:val="en-US" w:eastAsia="zh-CN" w:bidi="ar-SA"/>
      </w:rPr>
    </w:lvl>
  </w:abstractNum>
  <w:num w:numId="27">
    <w:abstractNumId w:val="26"/>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2"/>
      <w:szCs w:val="22"/>
      <w:lang w:val="en-US" w:eastAsia="zh-CN" w:bidi="ar-SA"/>
    </w:rPr>
  </w:style>
  <w:style w:styleId="Heading1" w:type="paragraph">
    <w:name w:val="Heading 1"/>
    <w:basedOn w:val="Normal"/>
    <w:uiPriority w:val="1"/>
    <w:qFormat/>
    <w:pPr>
      <w:ind w:left="152"/>
      <w:outlineLvl w:val="1"/>
    </w:pPr>
    <w:rPr>
      <w:rFonts w:ascii="宋体" w:hAnsi="宋体" w:eastAsia="宋体" w:cs="宋体"/>
      <w:b/>
      <w:bCs/>
      <w:sz w:val="30"/>
      <w:szCs w:val="30"/>
      <w:lang w:val="en-US" w:eastAsia="zh-CN" w:bidi="ar-SA"/>
    </w:rPr>
  </w:style>
  <w:style w:styleId="Heading2" w:type="paragraph">
    <w:name w:val="Heading 2"/>
    <w:basedOn w:val="Normal"/>
    <w:uiPriority w:val="1"/>
    <w:qFormat/>
    <w:pPr>
      <w:spacing w:before="30"/>
      <w:ind w:left="954"/>
      <w:outlineLvl w:val="2"/>
    </w:pPr>
    <w:rPr>
      <w:rFonts w:ascii="华文中宋" w:hAnsi="华文中宋" w:eastAsia="华文中宋" w:cs="华文中宋"/>
      <w:b/>
      <w:bCs/>
      <w:sz w:val="22"/>
      <w:szCs w:val="22"/>
      <w:lang w:val="en-US" w:eastAsia="zh-CN" w:bidi="ar-SA"/>
    </w:rPr>
  </w:style>
  <w:style w:styleId="ListParagraph" w:type="paragraph">
    <w:name w:val="List Paragraph"/>
    <w:basedOn w:val="Normal"/>
    <w:uiPriority w:val="1"/>
    <w:qFormat/>
    <w:pPr>
      <w:ind w:left="606" w:hanging="455"/>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header" Target="header2.xml"/><Relationship Id="rId14" Type="http://schemas.openxmlformats.org/officeDocument/2006/relationships/footer" Target="footer2.xml"/><Relationship Id="rId15" Type="http://schemas.openxmlformats.org/officeDocument/2006/relationships/image" Target="media/image7.png"/><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image" Target="media/image11.png"/><Relationship Id="rId20" Type="http://schemas.openxmlformats.org/officeDocument/2006/relationships/image" Target="media/image12.png"/><Relationship Id="rId2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2023-06-05T08:32:03Z</dcterms:created>
  <dcterms:modified xsi:type="dcterms:W3CDTF">2023-06-05T08:32:03Z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