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
        <w:ind w:left="0" w:right="361" w:firstLine="0"/>
        <w:jc w:val="right"/>
        <w:rPr>
          <w:sz w:val="18"/>
        </w:rPr>
      </w:pPr>
      <w:r>
        <w:rPr>
          <w:sz w:val="18"/>
        </w:rPr>
        <w:t>复星联合健康保险〔</w:t>
      </w:r>
      <w:r>
        <w:rPr>
          <w:rFonts w:ascii="Times New Roman" w:eastAsia="Times New Roman"/>
          <w:sz w:val="18"/>
        </w:rPr>
        <w:t>2021</w:t>
      </w:r>
      <w:r>
        <w:rPr>
          <w:spacing w:val="-8"/>
          <w:sz w:val="18"/>
        </w:rPr>
        <w:t xml:space="preserve">〕疾病保险 </w:t>
      </w:r>
      <w:r>
        <w:rPr>
          <w:rFonts w:ascii="Times New Roman" w:eastAsia="Times New Roman"/>
          <w:sz w:val="18"/>
        </w:rPr>
        <w:t>006</w:t>
      </w:r>
      <w:r>
        <w:rPr>
          <w:rFonts w:ascii="Times New Roman" w:eastAsia="Times New Roman"/>
          <w:spacing w:val="-4"/>
          <w:sz w:val="18"/>
        </w:rPr>
        <w:t xml:space="preserve"> </w:t>
      </w:r>
      <w:r>
        <w:rPr>
          <w:spacing w:val="-10"/>
          <w:sz w:val="18"/>
        </w:rPr>
        <w:t>号</w:t>
      </w:r>
    </w:p>
    <w:p>
      <w:pPr>
        <w:pStyle w:val="4"/>
        <w:ind w:left="8884"/>
        <w:rPr>
          <w:sz w:val="20"/>
        </w:rPr>
      </w:pPr>
      <w:r>
        <w:rPr>
          <w:sz w:val="20"/>
        </w:rPr>
        <w:drawing>
          <wp:inline distT="0" distB="0" distL="0" distR="0">
            <wp:extent cx="72453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4806" cy="723900"/>
                    </a:xfrm>
                    <a:prstGeom prst="rect">
                      <a:avLst/>
                    </a:prstGeom>
                  </pic:spPr>
                </pic:pic>
              </a:graphicData>
            </a:graphic>
          </wp:inline>
        </w:drawing>
      </w:r>
    </w:p>
    <w:p>
      <w:pPr>
        <w:spacing w:before="2"/>
        <w:ind w:left="0" w:right="361" w:firstLine="0"/>
        <w:jc w:val="right"/>
        <w:rPr>
          <w:sz w:val="18"/>
        </w:rPr>
      </w:pPr>
      <w:r>
        <w:rPr>
          <w:spacing w:val="-1"/>
          <w:sz w:val="18"/>
        </w:rPr>
        <w:t>请扫描以查询验证条款</w:t>
      </w:r>
    </w:p>
    <w:p>
      <w:pPr>
        <w:pStyle w:val="5"/>
        <w:spacing w:before="109"/>
        <w:ind w:left="1570"/>
      </w:pPr>
      <w:r>
        <w:rPr>
          <w:w w:val="95"/>
        </w:rPr>
        <w:t>复星联合妈咪保贝（新生版）少儿重大疾病保险条</w:t>
      </w:r>
      <w:r>
        <w:rPr>
          <w:spacing w:val="-10"/>
          <w:w w:val="95"/>
        </w:rPr>
        <w:t>款</w:t>
      </w:r>
    </w:p>
    <w:p>
      <w:pPr>
        <w:pStyle w:val="2"/>
        <w:spacing w:before="237"/>
        <w:ind w:left="1568" w:right="1767" w:firstLine="0"/>
        <w:jc w:val="center"/>
      </w:pPr>
      <w:r>
        <w:rPr>
          <w:w w:val="95"/>
        </w:rPr>
        <w:t>阅读指</w:t>
      </w:r>
      <w:r>
        <w:rPr>
          <w:spacing w:val="-10"/>
          <w:w w:val="95"/>
        </w:rPr>
        <w:t>引</w:t>
      </w:r>
    </w:p>
    <w:p>
      <w:pPr>
        <w:pStyle w:val="4"/>
        <w:spacing w:before="9"/>
        <w:rPr>
          <w:b/>
          <w:sz w:val="20"/>
        </w:rPr>
      </w:pPr>
    </w:p>
    <w:p>
      <w:pPr>
        <w:pStyle w:val="3"/>
        <w:spacing w:before="25"/>
        <w:ind w:left="580" w:firstLine="0"/>
        <w:rPr>
          <w:rFonts w:ascii="宋体" w:hAnsi="宋体" w:eastAsia="宋体" w:cs="宋体"/>
          <w:sz w:val="24"/>
          <w:szCs w:val="24"/>
        </w:rPr>
      </w:pPr>
      <w:r>
        <w:rPr>
          <w:rStyle w:val="11"/>
          <w:b w:val="0"/>
          <w:bCs w:val="0"/>
        </w:rPr>
        <w:t>本阅读指引助您理解复星联合健康保险股份有限公司（以下简称“本公司” ） 《复星联合妈</w:t>
      </w:r>
      <w:r>
        <w:rPr>
          <w:rStyle w:val="11"/>
          <w:b w:val="0"/>
          <w:bCs w:val="0"/>
        </w:rPr>
        <w:br w:type="textWrapping"/>
      </w:r>
      <w:r>
        <w:rPr>
          <w:rStyle w:val="11"/>
          <w:b w:val="0"/>
          <w:bCs w:val="0"/>
        </w:rPr>
        <w:t>咪保贝（新生版） 少儿重大疾病保险条款》 （以下简称“本保险条款” ）</w:t>
      </w:r>
      <w:r>
        <w:rPr>
          <w:rFonts w:ascii="宋体" w:hAnsi="宋体" w:eastAsia="宋体" w:cs="宋体"/>
          <w:sz w:val="24"/>
          <w:szCs w:val="24"/>
        </w:rPr>
        <w:t xml:space="preserve"> </w:t>
      </w:r>
    </w:p>
    <w:p>
      <w:pPr>
        <w:pStyle w:val="3"/>
        <w:spacing w:before="25"/>
        <w:ind w:left="580" w:firstLine="0"/>
      </w:pPr>
      <w:r>
        <w:rPr>
          <w:rFonts w:ascii="Wingdings 2" w:hAnsi="Wingdings 2" w:eastAsia="Wingdings 2"/>
          <w:w w:val="95"/>
          <w:position w:val="-11"/>
          <w:sz w:val="52"/>
        </w:rPr>
        <w:t></w:t>
      </w:r>
      <w:r>
        <w:rPr>
          <w:w w:val="95"/>
        </w:rPr>
        <w:t>拥有的</w:t>
      </w:r>
      <w:r>
        <w:rPr>
          <w:spacing w:val="-4"/>
          <w:w w:val="95"/>
        </w:rPr>
        <w:t>重要权</w:t>
      </w:r>
    </w:p>
    <w:p>
      <w:pPr>
        <w:pStyle w:val="9"/>
        <w:numPr>
          <w:ilvl w:val="0"/>
          <w:numId w:val="1"/>
        </w:numPr>
        <w:tabs>
          <w:tab w:val="left" w:pos="1107"/>
          <w:tab w:val="left" w:pos="1108"/>
          <w:tab w:val="right" w:leader="dot" w:pos="9612"/>
        </w:tabs>
        <w:spacing w:before="59" w:after="0" w:line="240" w:lineRule="auto"/>
        <w:ind w:left="1108" w:right="0" w:hanging="420"/>
        <w:jc w:val="left"/>
        <w:rPr>
          <w:sz w:val="21"/>
        </w:rPr>
      </w:pPr>
      <w:r>
        <w:rPr>
          <w:w w:val="95"/>
          <w:sz w:val="21"/>
        </w:rPr>
        <w:t>被保险人享有的保险保</w:t>
      </w:r>
      <w:r>
        <w:rPr>
          <w:spacing w:val="-10"/>
          <w:w w:val="95"/>
          <w:sz w:val="21"/>
        </w:rPr>
        <w:t>障</w:t>
      </w:r>
      <w:r>
        <w:rPr>
          <w:rFonts w:ascii="Times New Roman" w:hAnsi="Times New Roman" w:eastAsia="Times New Roman"/>
          <w:sz w:val="21"/>
        </w:rPr>
        <w:tab/>
      </w:r>
      <w:r>
        <w:rPr>
          <w:spacing w:val="-5"/>
          <w:sz w:val="21"/>
        </w:rPr>
        <w:t>2.3</w:t>
      </w:r>
    </w:p>
    <w:p>
      <w:pPr>
        <w:pStyle w:val="9"/>
        <w:numPr>
          <w:ilvl w:val="0"/>
          <w:numId w:val="1"/>
        </w:numPr>
        <w:tabs>
          <w:tab w:val="left" w:pos="1105"/>
          <w:tab w:val="left" w:pos="1106"/>
          <w:tab w:val="right" w:leader="dot" w:pos="9610"/>
        </w:tabs>
        <w:spacing w:before="43" w:after="0" w:line="240" w:lineRule="auto"/>
        <w:ind w:left="1105" w:right="0" w:hanging="421"/>
        <w:jc w:val="left"/>
        <w:rPr>
          <w:sz w:val="21"/>
        </w:rPr>
      </w:pPr>
      <w:r>
        <w:rPr>
          <w:w w:val="95"/>
          <w:sz w:val="21"/>
        </w:rPr>
        <w:t>投保人有解除合同的权</w:t>
      </w:r>
      <w:r>
        <w:rPr>
          <w:spacing w:val="-10"/>
          <w:w w:val="95"/>
          <w:sz w:val="21"/>
        </w:rPr>
        <w:t>利</w:t>
      </w:r>
      <w:r>
        <w:rPr>
          <w:rFonts w:ascii="Times New Roman" w:hAnsi="Times New Roman" w:eastAsia="Times New Roman"/>
          <w:sz w:val="21"/>
        </w:rPr>
        <w:tab/>
      </w:r>
      <w:r>
        <w:rPr>
          <w:spacing w:val="-5"/>
          <w:sz w:val="21"/>
        </w:rPr>
        <w:t>7.1</w:t>
      </w:r>
      <w:bookmarkStart w:id="45" w:name="_GoBack"/>
      <w:bookmarkEnd w:id="45"/>
    </w:p>
    <w:p>
      <w:pPr>
        <w:pStyle w:val="3"/>
        <w:spacing w:before="59"/>
        <w:ind w:left="580" w:firstLine="0"/>
      </w:pPr>
      <w:r>
        <w:rPr>
          <w:rFonts w:ascii="Wingdings 2" w:hAnsi="Wingdings 2" w:eastAsia="Wingdings 2"/>
          <w:w w:val="95"/>
          <w:position w:val="-11"/>
          <w:sz w:val="52"/>
        </w:rPr>
        <w:t></w:t>
      </w:r>
      <w:r>
        <w:rPr>
          <w:w w:val="95"/>
        </w:rPr>
        <w:t>应当特别注意的事</w:t>
      </w:r>
      <w:r>
        <w:rPr>
          <w:spacing w:val="-10"/>
          <w:w w:val="95"/>
        </w:rPr>
        <w:t>项</w:t>
      </w:r>
    </w:p>
    <w:p>
      <w:pPr>
        <w:pStyle w:val="9"/>
        <w:numPr>
          <w:ilvl w:val="0"/>
          <w:numId w:val="1"/>
        </w:numPr>
        <w:tabs>
          <w:tab w:val="left" w:pos="1105"/>
          <w:tab w:val="left" w:pos="1106"/>
          <w:tab w:val="right" w:leader="dot" w:pos="9612"/>
        </w:tabs>
        <w:spacing w:before="60" w:after="0" w:line="240" w:lineRule="auto"/>
        <w:ind w:left="1105" w:right="0" w:hanging="421"/>
        <w:jc w:val="left"/>
        <w:rPr>
          <w:sz w:val="21"/>
        </w:rPr>
      </w:pPr>
      <w:r>
        <w:rPr>
          <w:w w:val="95"/>
          <w:sz w:val="21"/>
        </w:rPr>
        <w:t>在某些情况下，本公司不承担保险责</w:t>
      </w:r>
      <w:r>
        <w:rPr>
          <w:spacing w:val="-10"/>
          <w:w w:val="95"/>
          <w:sz w:val="21"/>
        </w:rPr>
        <w:t>任</w:t>
      </w:r>
      <w:r>
        <w:rPr>
          <w:rFonts w:ascii="Times New Roman" w:hAnsi="Times New Roman" w:eastAsia="Times New Roman"/>
          <w:sz w:val="21"/>
        </w:rPr>
        <w:tab/>
      </w:r>
      <w:r>
        <w:rPr>
          <w:spacing w:val="-5"/>
          <w:sz w:val="21"/>
        </w:rPr>
        <w:t>2.4</w:t>
      </w:r>
    </w:p>
    <w:p>
      <w:pPr>
        <w:pStyle w:val="9"/>
        <w:numPr>
          <w:ilvl w:val="0"/>
          <w:numId w:val="1"/>
        </w:numPr>
        <w:tabs>
          <w:tab w:val="left" w:pos="1105"/>
          <w:tab w:val="left" w:pos="1106"/>
          <w:tab w:val="right" w:leader="dot" w:pos="9612"/>
        </w:tabs>
        <w:spacing w:before="43" w:after="0" w:line="240" w:lineRule="auto"/>
        <w:ind w:left="1105" w:right="0" w:hanging="421"/>
        <w:jc w:val="left"/>
        <w:rPr>
          <w:sz w:val="21"/>
        </w:rPr>
      </w:pPr>
      <w:r>
        <w:rPr>
          <w:w w:val="95"/>
          <w:sz w:val="21"/>
        </w:rPr>
        <w:t>及时向本公司通知保险事故的责</w:t>
      </w:r>
      <w:r>
        <w:rPr>
          <w:spacing w:val="-10"/>
          <w:w w:val="95"/>
          <w:sz w:val="21"/>
        </w:rPr>
        <w:t>任</w:t>
      </w:r>
      <w:r>
        <w:rPr>
          <w:rFonts w:ascii="Times New Roman" w:hAnsi="Times New Roman" w:eastAsia="Times New Roman"/>
          <w:sz w:val="21"/>
        </w:rPr>
        <w:tab/>
      </w:r>
      <w:r>
        <w:rPr>
          <w:spacing w:val="-5"/>
          <w:sz w:val="21"/>
        </w:rPr>
        <w:t>3.2</w:t>
      </w:r>
    </w:p>
    <w:p>
      <w:pPr>
        <w:pStyle w:val="9"/>
        <w:numPr>
          <w:ilvl w:val="0"/>
          <w:numId w:val="1"/>
        </w:numPr>
        <w:tabs>
          <w:tab w:val="left" w:pos="1105"/>
          <w:tab w:val="left" w:pos="1106"/>
          <w:tab w:val="right" w:leader="dot" w:pos="9612"/>
        </w:tabs>
        <w:spacing w:before="43" w:after="0" w:line="240" w:lineRule="auto"/>
        <w:ind w:left="1105" w:right="0" w:hanging="421"/>
        <w:jc w:val="left"/>
        <w:rPr>
          <w:sz w:val="21"/>
        </w:rPr>
      </w:pPr>
      <w:r>
        <w:rPr>
          <w:w w:val="95"/>
          <w:sz w:val="21"/>
        </w:rPr>
        <w:t>应当按时交纳保险</w:t>
      </w:r>
      <w:r>
        <w:rPr>
          <w:spacing w:val="-10"/>
          <w:w w:val="95"/>
          <w:sz w:val="21"/>
        </w:rPr>
        <w:t>费</w:t>
      </w:r>
      <w:r>
        <w:rPr>
          <w:rFonts w:ascii="Times New Roman" w:hAnsi="Times New Roman" w:eastAsia="Times New Roman"/>
          <w:sz w:val="21"/>
        </w:rPr>
        <w:tab/>
      </w:r>
      <w:r>
        <w:rPr>
          <w:spacing w:val="-5"/>
          <w:sz w:val="21"/>
        </w:rPr>
        <w:t>4.1</w:t>
      </w:r>
    </w:p>
    <w:p>
      <w:pPr>
        <w:pStyle w:val="9"/>
        <w:numPr>
          <w:ilvl w:val="0"/>
          <w:numId w:val="1"/>
        </w:numPr>
        <w:tabs>
          <w:tab w:val="left" w:pos="1105"/>
          <w:tab w:val="left" w:pos="1106"/>
          <w:tab w:val="right" w:leader="dot" w:pos="9610"/>
        </w:tabs>
        <w:spacing w:before="43" w:after="0" w:line="240" w:lineRule="auto"/>
        <w:ind w:left="1105" w:right="0" w:hanging="421"/>
        <w:jc w:val="left"/>
        <w:rPr>
          <w:sz w:val="21"/>
        </w:rPr>
      </w:pPr>
      <w:r>
        <w:rPr>
          <w:w w:val="95"/>
          <w:sz w:val="21"/>
        </w:rPr>
        <w:t>退保会给投保人造成一定的损失，请决</w:t>
      </w:r>
      <w:r>
        <w:rPr>
          <w:spacing w:val="-10"/>
          <w:w w:val="95"/>
          <w:sz w:val="21"/>
        </w:rPr>
        <w:t>策</w:t>
      </w:r>
      <w:r>
        <w:rPr>
          <w:rFonts w:ascii="Times New Roman" w:hAnsi="Times New Roman" w:eastAsia="Times New Roman"/>
          <w:sz w:val="21"/>
        </w:rPr>
        <w:tab/>
      </w:r>
      <w:r>
        <w:rPr>
          <w:spacing w:val="-5"/>
          <w:sz w:val="21"/>
        </w:rPr>
        <w:t>7.1</w:t>
      </w:r>
    </w:p>
    <w:p>
      <w:pPr>
        <w:pStyle w:val="9"/>
        <w:numPr>
          <w:ilvl w:val="0"/>
          <w:numId w:val="1"/>
        </w:numPr>
        <w:tabs>
          <w:tab w:val="left" w:pos="1105"/>
          <w:tab w:val="left" w:pos="1106"/>
          <w:tab w:val="right" w:leader="dot" w:pos="9610"/>
        </w:tabs>
        <w:spacing w:before="43" w:after="0" w:line="240" w:lineRule="auto"/>
        <w:ind w:left="1105" w:right="0" w:hanging="421"/>
        <w:jc w:val="left"/>
        <w:rPr>
          <w:sz w:val="21"/>
        </w:rPr>
      </w:pPr>
      <w:r>
        <w:rPr>
          <w:w w:val="95"/>
          <w:sz w:val="21"/>
        </w:rPr>
        <w:t>投保人有如实告知的义</w:t>
      </w:r>
      <w:r>
        <w:rPr>
          <w:spacing w:val="-10"/>
          <w:w w:val="95"/>
          <w:sz w:val="21"/>
        </w:rPr>
        <w:t>务</w:t>
      </w:r>
      <w:r>
        <w:rPr>
          <w:rFonts w:ascii="Times New Roman" w:hAnsi="Times New Roman" w:eastAsia="Times New Roman"/>
          <w:sz w:val="21"/>
        </w:rPr>
        <w:tab/>
      </w:r>
      <w:r>
        <w:rPr>
          <w:spacing w:val="-5"/>
          <w:sz w:val="21"/>
        </w:rPr>
        <w:t>8.1</w:t>
      </w:r>
    </w:p>
    <w:p>
      <w:pPr>
        <w:pStyle w:val="9"/>
        <w:numPr>
          <w:ilvl w:val="0"/>
          <w:numId w:val="1"/>
        </w:numPr>
        <w:tabs>
          <w:tab w:val="left" w:pos="1105"/>
          <w:tab w:val="left" w:pos="1106"/>
        </w:tabs>
        <w:spacing w:before="43" w:after="0" w:line="278" w:lineRule="auto"/>
        <w:ind w:left="1105" w:right="669" w:hanging="420"/>
        <w:jc w:val="left"/>
        <w:rPr>
          <w:sz w:val="21"/>
        </w:rPr>
      </w:pPr>
      <w:r>
        <w:rPr>
          <w:spacing w:val="-1"/>
          <w:w w:val="99"/>
          <w:sz w:val="21"/>
        </w:rPr>
        <w:t>本公司对可能影响本合同保障的重要内容进行显著标识，请仔细阅读正文中粗体的内容和背景突出显示的内容</w:t>
      </w:r>
    </w:p>
    <w:p>
      <w:pPr>
        <w:spacing w:before="0" w:line="453" w:lineRule="exact"/>
        <w:ind w:left="580" w:right="0" w:firstLine="0"/>
        <w:jc w:val="left"/>
        <w:rPr>
          <w:b/>
          <w:sz w:val="21"/>
        </w:rPr>
      </w:pPr>
      <w:r>
        <w:rPr>
          <w:rFonts w:ascii="Wingdings 2" w:hAnsi="Wingdings 2" w:eastAsia="Wingdings 2"/>
          <w:b/>
          <w:w w:val="95"/>
          <w:position w:val="-11"/>
          <w:sz w:val="52"/>
        </w:rPr>
        <w:t></w:t>
      </w:r>
      <w:r>
        <w:rPr>
          <w:b/>
          <w:w w:val="95"/>
          <w:sz w:val="21"/>
        </w:rPr>
        <w:t>条款是保险合同的重要内容，为充分保障您的权益，请仔细阅读</w:t>
      </w:r>
      <w:r>
        <w:rPr>
          <w:b/>
          <w:spacing w:val="-4"/>
          <w:w w:val="95"/>
          <w:sz w:val="21"/>
        </w:rPr>
        <w:t>本条款</w:t>
      </w:r>
    </w:p>
    <w:p>
      <w:pPr>
        <w:spacing w:before="0" w:line="364" w:lineRule="exact"/>
        <w:ind w:left="580" w:right="0" w:firstLine="0"/>
        <w:jc w:val="left"/>
        <w:rPr>
          <w:b/>
          <w:sz w:val="21"/>
        </w:rPr>
      </w:pPr>
      <w:r>
        <w:drawing>
          <wp:anchor distT="0" distB="0" distL="0" distR="0" simplePos="0" relativeHeight="251667456" behindDoc="1" locked="0" layoutInCell="1" allowOverlap="1">
            <wp:simplePos x="0" y="0"/>
            <wp:positionH relativeFrom="page">
              <wp:posOffset>1871345</wp:posOffset>
            </wp:positionH>
            <wp:positionV relativeFrom="paragraph">
              <wp:posOffset>205740</wp:posOffset>
            </wp:positionV>
            <wp:extent cx="4177665" cy="420624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4177665" cy="4205986"/>
                    </a:xfrm>
                    <a:prstGeom prst="rect">
                      <a:avLst/>
                    </a:prstGeom>
                  </pic:spPr>
                </pic:pic>
              </a:graphicData>
            </a:graphic>
          </wp:anchor>
        </w:drawing>
      </w:r>
      <w:r>
        <w:rPr>
          <w:rFonts w:ascii="Wingdings 2" w:hAnsi="Wingdings 2" w:eastAsia="Wingdings 2"/>
          <w:b/>
          <w:w w:val="95"/>
          <w:position w:val="-11"/>
          <w:sz w:val="52"/>
        </w:rPr>
        <w:t></w:t>
      </w:r>
      <w:r>
        <w:rPr>
          <w:b/>
          <w:w w:val="95"/>
          <w:sz w:val="21"/>
        </w:rPr>
        <w:t>条款目</w:t>
      </w:r>
      <w:r>
        <w:rPr>
          <w:b/>
          <w:spacing w:val="-10"/>
          <w:w w:val="95"/>
          <w:sz w:val="21"/>
        </w:rPr>
        <w:t>录</w:t>
      </w:r>
    </w:p>
    <w:p>
      <w:pPr>
        <w:spacing w:after="0" w:line="364" w:lineRule="exact"/>
        <w:jc w:val="left"/>
        <w:rPr>
          <w:sz w:val="21"/>
        </w:rPr>
        <w:sectPr>
          <w:type w:val="continuous"/>
          <w:pgSz w:w="11910" w:h="16840"/>
          <w:pgMar w:top="480" w:right="660" w:bottom="280" w:left="860" w:header="720" w:footer="720" w:gutter="0"/>
          <w:cols w:space="720" w:num="1"/>
        </w:sectPr>
      </w:pPr>
    </w:p>
    <w:p>
      <w:pPr>
        <w:pStyle w:val="9"/>
        <w:numPr>
          <w:ilvl w:val="1"/>
          <w:numId w:val="1"/>
        </w:numPr>
        <w:tabs>
          <w:tab w:val="left" w:pos="2407"/>
        </w:tabs>
        <w:spacing w:before="0" w:after="0" w:line="239" w:lineRule="exact"/>
        <w:ind w:left="2406" w:right="0" w:hanging="212"/>
        <w:jc w:val="left"/>
        <w:rPr>
          <w:b/>
          <w:sz w:val="21"/>
        </w:rPr>
      </w:pPr>
      <w:r>
        <w:rPr>
          <w:b/>
          <w:spacing w:val="-3"/>
          <w:w w:val="95"/>
          <w:sz w:val="21"/>
        </w:rPr>
        <w:t>合同订立</w:t>
      </w:r>
    </w:p>
    <w:p>
      <w:pPr>
        <w:pStyle w:val="9"/>
        <w:numPr>
          <w:ilvl w:val="2"/>
          <w:numId w:val="1"/>
        </w:numPr>
        <w:tabs>
          <w:tab w:val="left" w:pos="2800"/>
        </w:tabs>
        <w:spacing w:before="0" w:after="0" w:line="240" w:lineRule="auto"/>
        <w:ind w:left="2800" w:right="0" w:hanging="401"/>
        <w:jc w:val="left"/>
        <w:rPr>
          <w:sz w:val="20"/>
        </w:rPr>
      </w:pPr>
      <w:r>
        <w:rPr>
          <w:w w:val="95"/>
          <w:sz w:val="20"/>
        </w:rPr>
        <w:t>合同构</w:t>
      </w:r>
      <w:r>
        <w:rPr>
          <w:spacing w:val="-10"/>
          <w:w w:val="95"/>
          <w:sz w:val="20"/>
        </w:rPr>
        <w:t>成</w:t>
      </w:r>
    </w:p>
    <w:p>
      <w:pPr>
        <w:pStyle w:val="9"/>
        <w:numPr>
          <w:ilvl w:val="2"/>
          <w:numId w:val="1"/>
        </w:numPr>
        <w:tabs>
          <w:tab w:val="left" w:pos="2800"/>
        </w:tabs>
        <w:spacing w:before="5" w:after="0" w:line="240" w:lineRule="auto"/>
        <w:ind w:left="2800" w:right="0" w:hanging="401"/>
        <w:jc w:val="left"/>
        <w:rPr>
          <w:sz w:val="20"/>
        </w:rPr>
      </w:pPr>
      <w:r>
        <w:rPr>
          <w:w w:val="95"/>
          <w:sz w:val="20"/>
        </w:rPr>
        <w:t>合同成立与生</w:t>
      </w:r>
      <w:r>
        <w:rPr>
          <w:spacing w:val="-10"/>
          <w:w w:val="95"/>
          <w:sz w:val="20"/>
        </w:rPr>
        <w:t>效</w:t>
      </w:r>
    </w:p>
    <w:p>
      <w:pPr>
        <w:pStyle w:val="9"/>
        <w:numPr>
          <w:ilvl w:val="2"/>
          <w:numId w:val="1"/>
        </w:numPr>
        <w:tabs>
          <w:tab w:val="left" w:pos="2800"/>
        </w:tabs>
        <w:spacing w:before="3" w:after="0" w:line="240" w:lineRule="auto"/>
        <w:ind w:left="2800" w:right="0" w:hanging="401"/>
        <w:jc w:val="left"/>
        <w:rPr>
          <w:sz w:val="20"/>
        </w:rPr>
      </w:pPr>
      <w:r>
        <w:rPr>
          <w:w w:val="95"/>
          <w:sz w:val="20"/>
        </w:rPr>
        <w:t>投保范</w:t>
      </w:r>
      <w:r>
        <w:rPr>
          <w:spacing w:val="-10"/>
          <w:w w:val="95"/>
          <w:sz w:val="20"/>
        </w:rPr>
        <w:t>围</w:t>
      </w:r>
    </w:p>
    <w:p>
      <w:pPr>
        <w:pStyle w:val="9"/>
        <w:numPr>
          <w:ilvl w:val="2"/>
          <w:numId w:val="1"/>
        </w:numPr>
        <w:tabs>
          <w:tab w:val="left" w:pos="2800"/>
        </w:tabs>
        <w:spacing w:before="3" w:after="0" w:line="240" w:lineRule="auto"/>
        <w:ind w:left="2800" w:right="0" w:hanging="401"/>
        <w:jc w:val="left"/>
        <w:rPr>
          <w:sz w:val="20"/>
        </w:rPr>
      </w:pPr>
      <w:r>
        <w:rPr>
          <w:spacing w:val="-4"/>
          <w:w w:val="95"/>
          <w:sz w:val="20"/>
        </w:rPr>
        <w:t>犹豫期</w:t>
      </w:r>
    </w:p>
    <w:p>
      <w:pPr>
        <w:pStyle w:val="3"/>
        <w:numPr>
          <w:ilvl w:val="1"/>
          <w:numId w:val="1"/>
        </w:numPr>
        <w:tabs>
          <w:tab w:val="left" w:pos="2407"/>
        </w:tabs>
        <w:spacing w:before="149" w:after="0" w:line="240" w:lineRule="auto"/>
        <w:ind w:left="2406" w:right="0" w:hanging="212"/>
        <w:jc w:val="left"/>
      </w:pPr>
      <w:r>
        <w:rPr>
          <w:spacing w:val="-2"/>
          <w:w w:val="95"/>
        </w:rPr>
        <w:t>提供的保障</w:t>
      </w:r>
    </w:p>
    <w:p>
      <w:pPr>
        <w:pStyle w:val="9"/>
        <w:numPr>
          <w:ilvl w:val="2"/>
          <w:numId w:val="1"/>
        </w:numPr>
        <w:tabs>
          <w:tab w:val="left" w:pos="2800"/>
        </w:tabs>
        <w:spacing w:before="3" w:after="0" w:line="242" w:lineRule="auto"/>
        <w:ind w:left="2824" w:right="0" w:hanging="425"/>
        <w:jc w:val="left"/>
        <w:rPr>
          <w:sz w:val="20"/>
        </w:rPr>
      </w:pPr>
      <w:r>
        <w:rPr>
          <w:spacing w:val="-2"/>
          <w:sz w:val="20"/>
        </w:rPr>
        <w:t>基本保险金额与保险金</w:t>
      </w:r>
      <w:r>
        <w:rPr>
          <w:spacing w:val="-4"/>
          <w:sz w:val="20"/>
        </w:rPr>
        <w:t>给付限额</w:t>
      </w:r>
    </w:p>
    <w:p>
      <w:pPr>
        <w:pStyle w:val="9"/>
        <w:numPr>
          <w:ilvl w:val="2"/>
          <w:numId w:val="1"/>
        </w:numPr>
        <w:tabs>
          <w:tab w:val="left" w:pos="2805"/>
        </w:tabs>
        <w:spacing w:before="3" w:after="0" w:line="240" w:lineRule="auto"/>
        <w:ind w:left="2804" w:right="0" w:hanging="402"/>
        <w:jc w:val="left"/>
        <w:rPr>
          <w:sz w:val="20"/>
        </w:rPr>
      </w:pPr>
      <w:r>
        <w:rPr>
          <w:w w:val="95"/>
          <w:sz w:val="20"/>
        </w:rPr>
        <w:t>保险期</w:t>
      </w:r>
      <w:r>
        <w:rPr>
          <w:spacing w:val="-10"/>
          <w:w w:val="95"/>
          <w:sz w:val="20"/>
        </w:rPr>
        <w:t>间</w:t>
      </w:r>
    </w:p>
    <w:p>
      <w:pPr>
        <w:pStyle w:val="9"/>
        <w:numPr>
          <w:ilvl w:val="2"/>
          <w:numId w:val="1"/>
        </w:numPr>
        <w:tabs>
          <w:tab w:val="left" w:pos="2805"/>
        </w:tabs>
        <w:spacing w:before="3" w:after="0" w:line="240" w:lineRule="auto"/>
        <w:ind w:left="2804" w:right="0" w:hanging="402"/>
        <w:jc w:val="left"/>
        <w:rPr>
          <w:sz w:val="20"/>
        </w:rPr>
      </w:pPr>
      <w:r>
        <w:rPr>
          <w:w w:val="95"/>
          <w:sz w:val="20"/>
        </w:rPr>
        <w:t>保险责</w:t>
      </w:r>
      <w:r>
        <w:rPr>
          <w:spacing w:val="-10"/>
          <w:w w:val="95"/>
          <w:sz w:val="20"/>
        </w:rPr>
        <w:t>任</w:t>
      </w:r>
    </w:p>
    <w:p>
      <w:pPr>
        <w:pStyle w:val="9"/>
        <w:numPr>
          <w:ilvl w:val="2"/>
          <w:numId w:val="1"/>
        </w:numPr>
        <w:tabs>
          <w:tab w:val="left" w:pos="2805"/>
        </w:tabs>
        <w:spacing w:before="3" w:after="0" w:line="240" w:lineRule="auto"/>
        <w:ind w:left="2804" w:right="0" w:hanging="402"/>
        <w:jc w:val="left"/>
        <w:rPr>
          <w:sz w:val="20"/>
        </w:rPr>
      </w:pPr>
      <w:r>
        <w:rPr>
          <w:w w:val="95"/>
          <w:sz w:val="20"/>
        </w:rPr>
        <w:t>责任免</w:t>
      </w:r>
      <w:r>
        <w:rPr>
          <w:spacing w:val="-10"/>
          <w:w w:val="95"/>
          <w:sz w:val="20"/>
        </w:rPr>
        <w:t>除</w:t>
      </w:r>
    </w:p>
    <w:p>
      <w:pPr>
        <w:pStyle w:val="9"/>
        <w:numPr>
          <w:ilvl w:val="2"/>
          <w:numId w:val="1"/>
        </w:numPr>
        <w:tabs>
          <w:tab w:val="left" w:pos="2805"/>
        </w:tabs>
        <w:spacing w:before="5" w:after="0" w:line="240" w:lineRule="auto"/>
        <w:ind w:left="2804" w:right="0" w:hanging="402"/>
        <w:jc w:val="left"/>
        <w:rPr>
          <w:sz w:val="20"/>
        </w:rPr>
      </w:pPr>
      <w:r>
        <w:rPr>
          <w:w w:val="95"/>
          <w:sz w:val="20"/>
        </w:rPr>
        <w:t>未成年人</w:t>
      </w:r>
      <w:r>
        <w:rPr>
          <w:spacing w:val="-5"/>
          <w:w w:val="95"/>
          <w:sz w:val="20"/>
        </w:rPr>
        <w:t>限制</w:t>
      </w:r>
    </w:p>
    <w:p>
      <w:pPr>
        <w:pStyle w:val="3"/>
        <w:numPr>
          <w:ilvl w:val="1"/>
          <w:numId w:val="1"/>
        </w:numPr>
        <w:tabs>
          <w:tab w:val="left" w:pos="2407"/>
        </w:tabs>
        <w:spacing w:before="149" w:after="0" w:line="240" w:lineRule="auto"/>
        <w:ind w:left="2406" w:right="0" w:hanging="212"/>
        <w:jc w:val="left"/>
      </w:pPr>
      <w:r>
        <w:rPr>
          <w:spacing w:val="-2"/>
          <w:w w:val="95"/>
        </w:rPr>
        <w:t>保险金申领</w:t>
      </w:r>
    </w:p>
    <w:p>
      <w:pPr>
        <w:pStyle w:val="9"/>
        <w:numPr>
          <w:ilvl w:val="2"/>
          <w:numId w:val="1"/>
        </w:numPr>
        <w:tabs>
          <w:tab w:val="left" w:pos="2796"/>
        </w:tabs>
        <w:spacing w:before="0" w:after="0" w:line="240" w:lineRule="auto"/>
        <w:ind w:left="2795" w:right="0" w:hanging="402"/>
        <w:jc w:val="left"/>
        <w:rPr>
          <w:sz w:val="20"/>
        </w:rPr>
      </w:pPr>
      <w:r>
        <w:rPr>
          <w:spacing w:val="-4"/>
          <w:w w:val="95"/>
          <w:sz w:val="20"/>
        </w:rPr>
        <w:t>受益人</w:t>
      </w:r>
    </w:p>
    <w:p>
      <w:pPr>
        <w:pStyle w:val="9"/>
        <w:numPr>
          <w:ilvl w:val="2"/>
          <w:numId w:val="1"/>
        </w:numPr>
        <w:tabs>
          <w:tab w:val="left" w:pos="2800"/>
        </w:tabs>
        <w:spacing w:before="5" w:after="0" w:line="240" w:lineRule="auto"/>
        <w:ind w:left="2800" w:right="0" w:hanging="401"/>
        <w:jc w:val="left"/>
        <w:rPr>
          <w:sz w:val="20"/>
        </w:rPr>
      </w:pPr>
      <w:r>
        <w:rPr>
          <w:w w:val="95"/>
          <w:sz w:val="20"/>
        </w:rPr>
        <w:t>保险事故</w:t>
      </w:r>
      <w:r>
        <w:rPr>
          <w:spacing w:val="-5"/>
          <w:w w:val="95"/>
          <w:sz w:val="20"/>
        </w:rPr>
        <w:t>通知</w:t>
      </w:r>
    </w:p>
    <w:p>
      <w:pPr>
        <w:pStyle w:val="9"/>
        <w:numPr>
          <w:ilvl w:val="2"/>
          <w:numId w:val="1"/>
        </w:numPr>
        <w:tabs>
          <w:tab w:val="left" w:pos="2800"/>
        </w:tabs>
        <w:spacing w:before="3" w:after="0" w:line="240" w:lineRule="auto"/>
        <w:ind w:left="2800" w:right="0" w:hanging="401"/>
        <w:jc w:val="left"/>
        <w:rPr>
          <w:sz w:val="20"/>
        </w:rPr>
      </w:pPr>
      <w:r>
        <w:rPr>
          <w:w w:val="95"/>
          <w:sz w:val="20"/>
        </w:rPr>
        <w:t>保险金申</w:t>
      </w:r>
      <w:r>
        <w:rPr>
          <w:spacing w:val="-10"/>
          <w:w w:val="95"/>
          <w:sz w:val="20"/>
        </w:rPr>
        <w:t>请</w:t>
      </w:r>
    </w:p>
    <w:p>
      <w:pPr>
        <w:pStyle w:val="9"/>
        <w:numPr>
          <w:ilvl w:val="2"/>
          <w:numId w:val="1"/>
        </w:numPr>
        <w:tabs>
          <w:tab w:val="left" w:pos="2800"/>
        </w:tabs>
        <w:spacing w:before="3" w:after="0" w:line="240" w:lineRule="auto"/>
        <w:ind w:left="2800" w:right="0" w:hanging="401"/>
        <w:jc w:val="left"/>
        <w:rPr>
          <w:sz w:val="20"/>
        </w:rPr>
      </w:pPr>
      <w:r>
        <w:rPr>
          <w:w w:val="95"/>
          <w:sz w:val="20"/>
        </w:rPr>
        <w:t>代理申请及其</w:t>
      </w:r>
      <w:r>
        <w:rPr>
          <w:spacing w:val="-10"/>
          <w:w w:val="95"/>
          <w:sz w:val="20"/>
        </w:rPr>
        <w:t>他</w:t>
      </w:r>
    </w:p>
    <w:p>
      <w:pPr>
        <w:pStyle w:val="9"/>
        <w:numPr>
          <w:ilvl w:val="2"/>
          <w:numId w:val="1"/>
        </w:numPr>
        <w:tabs>
          <w:tab w:val="left" w:pos="2800"/>
        </w:tabs>
        <w:spacing w:before="6" w:after="0" w:line="240" w:lineRule="auto"/>
        <w:ind w:left="2800" w:right="0" w:hanging="401"/>
        <w:jc w:val="left"/>
        <w:rPr>
          <w:sz w:val="20"/>
        </w:rPr>
      </w:pPr>
      <w:r>
        <w:rPr>
          <w:w w:val="95"/>
          <w:sz w:val="20"/>
        </w:rPr>
        <w:t>配合调</w:t>
      </w:r>
      <w:r>
        <w:rPr>
          <w:spacing w:val="-10"/>
          <w:w w:val="95"/>
          <w:sz w:val="20"/>
        </w:rPr>
        <w:t>查</w:t>
      </w:r>
    </w:p>
    <w:p>
      <w:pPr>
        <w:pStyle w:val="9"/>
        <w:numPr>
          <w:ilvl w:val="2"/>
          <w:numId w:val="1"/>
        </w:numPr>
        <w:tabs>
          <w:tab w:val="left" w:pos="2800"/>
        </w:tabs>
        <w:spacing w:before="3" w:after="0" w:line="240" w:lineRule="auto"/>
        <w:ind w:left="2800" w:right="0" w:hanging="401"/>
        <w:jc w:val="left"/>
        <w:rPr>
          <w:sz w:val="20"/>
        </w:rPr>
      </w:pPr>
      <w:r>
        <w:rPr>
          <w:w w:val="95"/>
          <w:sz w:val="20"/>
        </w:rPr>
        <w:t>保险金的</w:t>
      </w:r>
      <w:r>
        <w:rPr>
          <w:spacing w:val="-5"/>
          <w:w w:val="95"/>
          <w:sz w:val="20"/>
        </w:rPr>
        <w:t>给付</w:t>
      </w:r>
    </w:p>
    <w:p>
      <w:pPr>
        <w:pStyle w:val="9"/>
        <w:numPr>
          <w:ilvl w:val="2"/>
          <w:numId w:val="1"/>
        </w:numPr>
        <w:tabs>
          <w:tab w:val="left" w:pos="2800"/>
        </w:tabs>
        <w:spacing w:before="3" w:after="0" w:line="240" w:lineRule="auto"/>
        <w:ind w:left="2800" w:right="0" w:hanging="401"/>
        <w:jc w:val="left"/>
        <w:rPr>
          <w:sz w:val="20"/>
        </w:rPr>
      </w:pPr>
      <w:r>
        <w:rPr>
          <w:w w:val="95"/>
          <w:sz w:val="20"/>
        </w:rPr>
        <w:t>诉讼时</w:t>
      </w:r>
      <w:r>
        <w:rPr>
          <w:spacing w:val="-10"/>
          <w:w w:val="95"/>
          <w:sz w:val="20"/>
        </w:rPr>
        <w:t>效</w:t>
      </w:r>
    </w:p>
    <w:p>
      <w:pPr>
        <w:pStyle w:val="3"/>
        <w:numPr>
          <w:ilvl w:val="1"/>
          <w:numId w:val="1"/>
        </w:numPr>
        <w:tabs>
          <w:tab w:val="left" w:pos="2409"/>
        </w:tabs>
        <w:spacing w:before="149" w:after="0" w:line="240" w:lineRule="auto"/>
        <w:ind w:left="2408" w:right="0" w:hanging="214"/>
        <w:jc w:val="left"/>
      </w:pPr>
      <w:r>
        <w:rPr>
          <w:spacing w:val="-2"/>
          <w:w w:val="95"/>
        </w:rPr>
        <w:t>保险费交纳</w:t>
      </w:r>
    </w:p>
    <w:p>
      <w:pPr>
        <w:pStyle w:val="9"/>
        <w:numPr>
          <w:ilvl w:val="2"/>
          <w:numId w:val="1"/>
        </w:numPr>
        <w:tabs>
          <w:tab w:val="left" w:pos="2800"/>
        </w:tabs>
        <w:spacing w:before="2" w:after="0" w:line="240" w:lineRule="auto"/>
        <w:ind w:left="2800" w:right="0" w:hanging="401"/>
        <w:jc w:val="left"/>
        <w:rPr>
          <w:sz w:val="20"/>
        </w:rPr>
      </w:pPr>
      <w:r>
        <w:rPr>
          <w:w w:val="95"/>
          <w:sz w:val="20"/>
        </w:rPr>
        <w:t>保险费的</w:t>
      </w:r>
      <w:r>
        <w:rPr>
          <w:spacing w:val="-5"/>
          <w:w w:val="95"/>
          <w:sz w:val="20"/>
        </w:rPr>
        <w:t>交纳</w:t>
      </w:r>
    </w:p>
    <w:p>
      <w:pPr>
        <w:pStyle w:val="9"/>
        <w:numPr>
          <w:ilvl w:val="2"/>
          <w:numId w:val="1"/>
        </w:numPr>
        <w:tabs>
          <w:tab w:val="left" w:pos="2800"/>
        </w:tabs>
        <w:spacing w:before="3" w:after="0" w:line="240" w:lineRule="auto"/>
        <w:ind w:left="2800" w:right="0" w:hanging="401"/>
        <w:jc w:val="left"/>
        <w:rPr>
          <w:sz w:val="20"/>
        </w:rPr>
      </w:pPr>
      <w:r>
        <w:rPr>
          <w:spacing w:val="-4"/>
          <w:w w:val="95"/>
          <w:sz w:val="20"/>
        </w:rPr>
        <w:t>宽限期</w:t>
      </w:r>
    </w:p>
    <w:p>
      <w:pPr>
        <w:pStyle w:val="3"/>
        <w:numPr>
          <w:ilvl w:val="1"/>
          <w:numId w:val="1"/>
        </w:numPr>
        <w:tabs>
          <w:tab w:val="left" w:pos="887"/>
        </w:tabs>
        <w:spacing w:before="0" w:after="0" w:line="239" w:lineRule="exact"/>
        <w:ind w:left="886" w:right="0" w:hanging="212"/>
        <w:jc w:val="left"/>
      </w:pPr>
      <w:r>
        <w:rPr>
          <w:spacing w:val="2"/>
          <w:w w:val="99"/>
        </w:rPr>
        <w:br w:type="column"/>
      </w:r>
      <w:r>
        <w:rPr>
          <w:spacing w:val="-2"/>
          <w:w w:val="95"/>
        </w:rPr>
        <w:t>现金价值权益</w:t>
      </w:r>
    </w:p>
    <w:p>
      <w:pPr>
        <w:pStyle w:val="9"/>
        <w:numPr>
          <w:ilvl w:val="2"/>
          <w:numId w:val="1"/>
        </w:numPr>
        <w:tabs>
          <w:tab w:val="left" w:pos="1286"/>
        </w:tabs>
        <w:spacing w:before="0" w:after="0" w:line="240" w:lineRule="auto"/>
        <w:ind w:left="1285" w:right="0" w:hanging="402"/>
        <w:jc w:val="left"/>
        <w:rPr>
          <w:sz w:val="20"/>
        </w:rPr>
      </w:pPr>
      <w:r>
        <w:rPr>
          <w:w w:val="95"/>
          <w:sz w:val="20"/>
        </w:rPr>
        <w:t>现金价</w:t>
      </w:r>
      <w:r>
        <w:rPr>
          <w:spacing w:val="-10"/>
          <w:w w:val="95"/>
          <w:sz w:val="20"/>
        </w:rPr>
        <w:t>值</w:t>
      </w:r>
    </w:p>
    <w:p>
      <w:pPr>
        <w:pStyle w:val="9"/>
        <w:numPr>
          <w:ilvl w:val="2"/>
          <w:numId w:val="1"/>
        </w:numPr>
        <w:tabs>
          <w:tab w:val="left" w:pos="1286"/>
        </w:tabs>
        <w:spacing w:before="5" w:after="0" w:line="240" w:lineRule="auto"/>
        <w:ind w:left="1285" w:right="0" w:hanging="402"/>
        <w:jc w:val="left"/>
        <w:rPr>
          <w:sz w:val="20"/>
        </w:rPr>
      </w:pPr>
      <w:r>
        <w:rPr>
          <w:w w:val="95"/>
          <w:sz w:val="20"/>
        </w:rPr>
        <w:t>保单贷</w:t>
      </w:r>
      <w:r>
        <w:rPr>
          <w:spacing w:val="-10"/>
          <w:w w:val="95"/>
          <w:sz w:val="20"/>
        </w:rPr>
        <w:t>款</w:t>
      </w:r>
    </w:p>
    <w:p>
      <w:pPr>
        <w:pStyle w:val="9"/>
        <w:numPr>
          <w:ilvl w:val="2"/>
          <w:numId w:val="1"/>
        </w:numPr>
        <w:tabs>
          <w:tab w:val="left" w:pos="1286"/>
        </w:tabs>
        <w:spacing w:before="3" w:after="0" w:line="240" w:lineRule="auto"/>
        <w:ind w:left="1285" w:right="0" w:hanging="402"/>
        <w:jc w:val="left"/>
        <w:rPr>
          <w:sz w:val="20"/>
        </w:rPr>
      </w:pPr>
      <w:r>
        <w:rPr>
          <w:w w:val="95"/>
          <w:sz w:val="20"/>
        </w:rPr>
        <w:t>保险费自动垫</w:t>
      </w:r>
      <w:r>
        <w:rPr>
          <w:spacing w:val="-10"/>
          <w:w w:val="95"/>
          <w:sz w:val="20"/>
        </w:rPr>
        <w:t>交</w:t>
      </w:r>
    </w:p>
    <w:p>
      <w:pPr>
        <w:pStyle w:val="3"/>
        <w:numPr>
          <w:ilvl w:val="1"/>
          <w:numId w:val="1"/>
        </w:numPr>
        <w:tabs>
          <w:tab w:val="left" w:pos="887"/>
        </w:tabs>
        <w:spacing w:before="149" w:after="0" w:line="240" w:lineRule="auto"/>
        <w:ind w:left="886" w:right="0" w:hanging="212"/>
        <w:jc w:val="left"/>
      </w:pPr>
      <w:r>
        <w:rPr>
          <w:spacing w:val="-2"/>
          <w:w w:val="95"/>
        </w:rPr>
        <w:t>合同中止和复效</w:t>
      </w:r>
    </w:p>
    <w:p>
      <w:pPr>
        <w:pStyle w:val="9"/>
        <w:numPr>
          <w:ilvl w:val="2"/>
          <w:numId w:val="1"/>
        </w:numPr>
        <w:tabs>
          <w:tab w:val="left" w:pos="1286"/>
        </w:tabs>
        <w:spacing w:before="3" w:after="0" w:line="240" w:lineRule="auto"/>
        <w:ind w:left="1285" w:right="0" w:hanging="402"/>
        <w:jc w:val="left"/>
        <w:rPr>
          <w:sz w:val="20"/>
        </w:rPr>
      </w:pPr>
      <w:r>
        <w:rPr>
          <w:w w:val="95"/>
          <w:sz w:val="20"/>
        </w:rPr>
        <w:t>合同中</w:t>
      </w:r>
      <w:r>
        <w:rPr>
          <w:spacing w:val="-10"/>
          <w:w w:val="95"/>
          <w:sz w:val="20"/>
        </w:rPr>
        <w:t>止</w:t>
      </w:r>
    </w:p>
    <w:p>
      <w:pPr>
        <w:pStyle w:val="9"/>
        <w:numPr>
          <w:ilvl w:val="2"/>
          <w:numId w:val="1"/>
        </w:numPr>
        <w:tabs>
          <w:tab w:val="left" w:pos="1286"/>
        </w:tabs>
        <w:spacing w:before="3" w:after="0" w:line="240" w:lineRule="auto"/>
        <w:ind w:left="1285" w:right="0" w:hanging="402"/>
        <w:jc w:val="left"/>
        <w:rPr>
          <w:sz w:val="20"/>
        </w:rPr>
      </w:pPr>
      <w:r>
        <w:rPr>
          <w:w w:val="95"/>
          <w:sz w:val="20"/>
        </w:rPr>
        <w:t>合同复</w:t>
      </w:r>
      <w:r>
        <w:rPr>
          <w:spacing w:val="-10"/>
          <w:w w:val="95"/>
          <w:sz w:val="20"/>
        </w:rPr>
        <w:t>效</w:t>
      </w:r>
    </w:p>
    <w:p>
      <w:pPr>
        <w:pStyle w:val="3"/>
        <w:numPr>
          <w:ilvl w:val="1"/>
          <w:numId w:val="1"/>
        </w:numPr>
        <w:tabs>
          <w:tab w:val="left" w:pos="887"/>
        </w:tabs>
        <w:spacing w:before="149" w:after="0" w:line="240" w:lineRule="auto"/>
        <w:ind w:left="886" w:right="0" w:hanging="212"/>
        <w:jc w:val="left"/>
      </w:pPr>
      <w:r>
        <w:rPr>
          <w:spacing w:val="-3"/>
          <w:w w:val="95"/>
        </w:rPr>
        <w:t>合同解除</w:t>
      </w:r>
    </w:p>
    <w:p>
      <w:pPr>
        <w:pStyle w:val="9"/>
        <w:numPr>
          <w:ilvl w:val="2"/>
          <w:numId w:val="1"/>
        </w:numPr>
        <w:tabs>
          <w:tab w:val="left" w:pos="1286"/>
        </w:tabs>
        <w:spacing w:before="2" w:after="0" w:line="240" w:lineRule="auto"/>
        <w:ind w:left="1285" w:right="0" w:hanging="402"/>
        <w:jc w:val="left"/>
        <w:rPr>
          <w:sz w:val="20"/>
        </w:rPr>
      </w:pPr>
      <w:r>
        <w:rPr>
          <w:w w:val="95"/>
          <w:sz w:val="20"/>
        </w:rPr>
        <w:t>解除合同的手续及风</w:t>
      </w:r>
      <w:r>
        <w:rPr>
          <w:spacing w:val="-10"/>
          <w:w w:val="95"/>
          <w:sz w:val="20"/>
        </w:rPr>
        <w:t>险</w:t>
      </w:r>
    </w:p>
    <w:p>
      <w:pPr>
        <w:pStyle w:val="3"/>
        <w:numPr>
          <w:ilvl w:val="1"/>
          <w:numId w:val="1"/>
        </w:numPr>
        <w:tabs>
          <w:tab w:val="left" w:pos="887"/>
        </w:tabs>
        <w:spacing w:before="149" w:after="0" w:line="240" w:lineRule="auto"/>
        <w:ind w:left="886" w:right="0" w:hanging="212"/>
        <w:jc w:val="left"/>
      </w:pPr>
      <w:r>
        <w:rPr>
          <w:spacing w:val="-3"/>
          <w:w w:val="95"/>
        </w:rPr>
        <w:t>其他事项</w:t>
      </w:r>
    </w:p>
    <w:p>
      <w:pPr>
        <w:pStyle w:val="9"/>
        <w:numPr>
          <w:ilvl w:val="2"/>
          <w:numId w:val="1"/>
        </w:numPr>
        <w:tabs>
          <w:tab w:val="left" w:pos="1276"/>
        </w:tabs>
        <w:spacing w:before="0" w:after="0" w:line="240" w:lineRule="auto"/>
        <w:ind w:left="1275" w:right="0" w:hanging="402"/>
        <w:jc w:val="left"/>
        <w:rPr>
          <w:sz w:val="20"/>
        </w:rPr>
      </w:pPr>
      <w:r>
        <w:rPr>
          <w:w w:val="95"/>
          <w:sz w:val="20"/>
        </w:rPr>
        <w:t>明确说明与如实</w:t>
      </w:r>
      <w:r>
        <w:rPr>
          <w:spacing w:val="-5"/>
          <w:w w:val="95"/>
          <w:sz w:val="20"/>
        </w:rPr>
        <w:t>告知</w:t>
      </w:r>
    </w:p>
    <w:p>
      <w:pPr>
        <w:pStyle w:val="9"/>
        <w:numPr>
          <w:ilvl w:val="2"/>
          <w:numId w:val="1"/>
        </w:numPr>
        <w:tabs>
          <w:tab w:val="left" w:pos="1281"/>
        </w:tabs>
        <w:spacing w:before="6" w:after="0" w:line="240" w:lineRule="auto"/>
        <w:ind w:left="1280" w:right="0" w:hanging="402"/>
        <w:jc w:val="left"/>
        <w:rPr>
          <w:sz w:val="20"/>
        </w:rPr>
      </w:pPr>
      <w:r>
        <w:rPr>
          <w:w w:val="95"/>
          <w:sz w:val="20"/>
        </w:rPr>
        <w:t>本公司合同解除权的限</w:t>
      </w:r>
      <w:r>
        <w:rPr>
          <w:spacing w:val="-10"/>
          <w:w w:val="95"/>
          <w:sz w:val="20"/>
        </w:rPr>
        <w:t>制</w:t>
      </w:r>
    </w:p>
    <w:p>
      <w:pPr>
        <w:pStyle w:val="9"/>
        <w:numPr>
          <w:ilvl w:val="2"/>
          <w:numId w:val="1"/>
        </w:numPr>
        <w:tabs>
          <w:tab w:val="left" w:pos="1281"/>
        </w:tabs>
        <w:spacing w:before="2" w:after="0" w:line="240" w:lineRule="auto"/>
        <w:ind w:left="1280" w:right="0" w:hanging="402"/>
        <w:jc w:val="left"/>
        <w:rPr>
          <w:sz w:val="20"/>
        </w:rPr>
      </w:pPr>
      <w:r>
        <w:rPr>
          <w:w w:val="95"/>
          <w:sz w:val="20"/>
        </w:rPr>
        <w:t>年龄性别错</w:t>
      </w:r>
      <w:r>
        <w:rPr>
          <w:spacing w:val="-10"/>
          <w:w w:val="95"/>
          <w:sz w:val="20"/>
        </w:rPr>
        <w:t>误</w:t>
      </w:r>
    </w:p>
    <w:p>
      <w:pPr>
        <w:pStyle w:val="9"/>
        <w:numPr>
          <w:ilvl w:val="2"/>
          <w:numId w:val="1"/>
        </w:numPr>
        <w:tabs>
          <w:tab w:val="left" w:pos="1281"/>
        </w:tabs>
        <w:spacing w:before="3" w:after="0" w:line="240" w:lineRule="auto"/>
        <w:ind w:left="1280" w:right="0" w:hanging="402"/>
        <w:jc w:val="left"/>
        <w:rPr>
          <w:sz w:val="20"/>
        </w:rPr>
      </w:pPr>
      <w:r>
        <w:rPr>
          <w:w w:val="95"/>
          <w:sz w:val="20"/>
        </w:rPr>
        <w:t>未还款</w:t>
      </w:r>
      <w:r>
        <w:rPr>
          <w:spacing w:val="-10"/>
          <w:w w:val="95"/>
          <w:sz w:val="20"/>
        </w:rPr>
        <w:t>项</w:t>
      </w:r>
    </w:p>
    <w:p>
      <w:pPr>
        <w:pStyle w:val="9"/>
        <w:numPr>
          <w:ilvl w:val="2"/>
          <w:numId w:val="1"/>
        </w:numPr>
        <w:tabs>
          <w:tab w:val="left" w:pos="1286"/>
        </w:tabs>
        <w:spacing w:before="6" w:after="0" w:line="240" w:lineRule="auto"/>
        <w:ind w:left="1285" w:right="0" w:hanging="402"/>
        <w:jc w:val="left"/>
        <w:rPr>
          <w:sz w:val="20"/>
        </w:rPr>
      </w:pPr>
      <w:r>
        <w:rPr>
          <w:w w:val="95"/>
          <w:sz w:val="20"/>
        </w:rPr>
        <w:t>合同内容</w:t>
      </w:r>
      <w:r>
        <w:rPr>
          <w:spacing w:val="-5"/>
          <w:w w:val="95"/>
          <w:sz w:val="20"/>
        </w:rPr>
        <w:t>变更</w:t>
      </w:r>
    </w:p>
    <w:p>
      <w:pPr>
        <w:pStyle w:val="9"/>
        <w:numPr>
          <w:ilvl w:val="2"/>
          <w:numId w:val="1"/>
        </w:numPr>
        <w:tabs>
          <w:tab w:val="left" w:pos="1286"/>
        </w:tabs>
        <w:spacing w:before="3" w:after="0" w:line="240" w:lineRule="auto"/>
        <w:ind w:left="1285" w:right="0" w:hanging="402"/>
        <w:jc w:val="left"/>
        <w:rPr>
          <w:sz w:val="20"/>
        </w:rPr>
      </w:pPr>
      <w:r>
        <w:rPr>
          <w:w w:val="95"/>
          <w:sz w:val="20"/>
        </w:rPr>
        <w:t>联系方式</w:t>
      </w:r>
      <w:r>
        <w:rPr>
          <w:spacing w:val="-5"/>
          <w:w w:val="95"/>
          <w:sz w:val="20"/>
        </w:rPr>
        <w:t>变更</w:t>
      </w:r>
    </w:p>
    <w:p>
      <w:pPr>
        <w:pStyle w:val="9"/>
        <w:numPr>
          <w:ilvl w:val="2"/>
          <w:numId w:val="1"/>
        </w:numPr>
        <w:tabs>
          <w:tab w:val="left" w:pos="1276"/>
        </w:tabs>
        <w:spacing w:before="3" w:after="0" w:line="240" w:lineRule="auto"/>
        <w:ind w:left="1275" w:right="0" w:hanging="402"/>
        <w:jc w:val="left"/>
        <w:rPr>
          <w:sz w:val="20"/>
        </w:rPr>
      </w:pPr>
      <w:r>
        <w:rPr>
          <w:w w:val="95"/>
          <w:sz w:val="20"/>
        </w:rPr>
        <w:t>争议处</w:t>
      </w:r>
      <w:r>
        <w:rPr>
          <w:spacing w:val="-10"/>
          <w:w w:val="95"/>
          <w:sz w:val="20"/>
        </w:rPr>
        <w:t>理</w:t>
      </w:r>
    </w:p>
    <w:p>
      <w:pPr>
        <w:pStyle w:val="3"/>
        <w:spacing w:before="149"/>
        <w:ind w:left="675" w:firstLine="0"/>
      </w:pPr>
      <w:r>
        <w:rPr>
          <w:w w:val="95"/>
        </w:rPr>
        <w:t>附</w:t>
      </w:r>
      <w:r>
        <w:rPr>
          <w:spacing w:val="-10"/>
        </w:rPr>
        <w:t>表</w:t>
      </w:r>
    </w:p>
    <w:p>
      <w:pPr>
        <w:spacing w:before="2" w:line="244" w:lineRule="auto"/>
        <w:ind w:left="874" w:right="3170" w:firstLine="0"/>
        <w:jc w:val="both"/>
        <w:rPr>
          <w:sz w:val="20"/>
        </w:rPr>
      </w:pPr>
      <w:r>
        <w:rPr>
          <w:spacing w:val="-5"/>
          <w:sz w:val="20"/>
        </w:rPr>
        <w:t>附表一 重大疾病附表二 中度疾病</w:t>
      </w:r>
      <w:r>
        <w:rPr>
          <w:spacing w:val="-4"/>
          <w:sz w:val="20"/>
        </w:rPr>
        <w:t>附表三 轻度疾病</w:t>
      </w:r>
    </w:p>
    <w:p>
      <w:pPr>
        <w:spacing w:before="0" w:line="242" w:lineRule="auto"/>
        <w:ind w:left="1585" w:right="1961" w:hanging="701"/>
        <w:jc w:val="both"/>
        <w:rPr>
          <w:sz w:val="20"/>
        </w:rPr>
      </w:pPr>
      <w:r>
        <w:rPr>
          <w:spacing w:val="-5"/>
          <w:sz w:val="20"/>
        </w:rPr>
        <w:t>附表四 少儿</w:t>
      </w:r>
      <w:r>
        <w:rPr>
          <w:sz w:val="20"/>
        </w:rPr>
        <w:t>特定疾病和少儿罕</w:t>
      </w:r>
      <w:r>
        <w:rPr>
          <w:spacing w:val="-4"/>
          <w:sz w:val="20"/>
        </w:rPr>
        <w:t>见疾病</w:t>
      </w:r>
    </w:p>
    <w:p>
      <w:pPr>
        <w:spacing w:after="0" w:line="242" w:lineRule="auto"/>
        <w:jc w:val="both"/>
        <w:rPr>
          <w:sz w:val="20"/>
        </w:rPr>
        <w:sectPr>
          <w:type w:val="continuous"/>
          <w:pgSz w:w="11910" w:h="16840"/>
          <w:pgMar w:top="480" w:right="660" w:bottom="280" w:left="860" w:header="720" w:footer="720" w:gutter="0"/>
          <w:cols w:equalWidth="0" w:num="2">
            <w:col w:w="4799" w:space="40"/>
            <w:col w:w="5551"/>
          </w:cols>
        </w:sectPr>
      </w:pPr>
    </w:p>
    <w:p>
      <w:pPr>
        <w:pStyle w:val="4"/>
        <w:spacing w:before="1"/>
        <w:rPr>
          <w:sz w:val="18"/>
        </w:rPr>
      </w:pPr>
    </w:p>
    <w:p>
      <w:pPr>
        <w:spacing w:before="92"/>
        <w:ind w:left="0" w:right="196" w:firstLine="0"/>
        <w:jc w:val="center"/>
        <w:rPr>
          <w:rFonts w:ascii="Times New Roman"/>
          <w:sz w:val="18"/>
        </w:rPr>
      </w:pPr>
      <w:r>
        <w:rPr>
          <w:rFonts w:ascii="Times New Roman"/>
          <w:sz w:val="18"/>
        </w:rPr>
        <w:t>1</w:t>
      </w:r>
    </w:p>
    <w:p>
      <w:pPr>
        <w:spacing w:after="0"/>
        <w:jc w:val="center"/>
        <w:rPr>
          <w:rFonts w:ascii="Times New Roman"/>
          <w:sz w:val="18"/>
        </w:rPr>
        <w:sectPr>
          <w:type w:val="continuous"/>
          <w:pgSz w:w="11910" w:h="16840"/>
          <w:pgMar w:top="480" w:right="660" w:bottom="280" w:left="860" w:header="720" w:footer="720" w:gutter="0"/>
          <w:cols w:space="720" w:num="1"/>
        </w:sectPr>
      </w:pPr>
    </w:p>
    <w:p>
      <w:pPr>
        <w:pStyle w:val="5"/>
        <w:ind w:right="1767"/>
      </w:pPr>
      <w:r>
        <w:rPr>
          <w:w w:val="95"/>
        </w:rPr>
        <w:t>复星联合妈咪保贝（新生版）少儿重大疾病保险条</w:t>
      </w:r>
      <w:r>
        <w:rPr>
          <w:spacing w:val="-10"/>
          <w:w w:val="95"/>
        </w:rPr>
        <w:t>款</w:t>
      </w:r>
    </w:p>
    <w:p>
      <w:pPr>
        <w:spacing w:before="117" w:line="266" w:lineRule="auto"/>
        <w:ind w:left="150" w:right="304" w:firstLine="420"/>
        <w:jc w:val="left"/>
        <w:rPr>
          <w:i/>
          <w:sz w:val="22"/>
        </w:rPr>
      </w:pPr>
      <w:r>
        <w:rPr>
          <w:rFonts w:ascii="宋体" w:hAnsi="宋体" w:eastAsia="宋体" w:cs="宋体"/>
          <w:b w:val="0"/>
          <w:bCs w:val="0"/>
          <w:i w:val="0"/>
          <w:iCs w:val="0"/>
          <w:color w:val="000000"/>
          <w:sz w:val="22"/>
          <w:szCs w:val="22"/>
        </w:rPr>
        <w:t>（本公司在每页底部对一些专业名词做了释义， 这些释义为本条款的重要组成部分。 同一专业名词在条款中出现多次的， 本公司仅在该专业名词第一次出现的地方做了释义， 该释义适用于全文。）</w:t>
      </w:r>
      <w:r>
        <w:rPr>
          <w:rFonts w:ascii="宋体" w:hAnsi="宋体" w:eastAsia="宋体" w:cs="宋体"/>
          <w:sz w:val="24"/>
          <w:szCs w:val="24"/>
        </w:rPr>
        <w:t xml:space="preserve"> </w:t>
      </w:r>
    </w:p>
    <w:p>
      <w:pPr>
        <w:pStyle w:val="2"/>
        <w:numPr>
          <w:ilvl w:val="0"/>
          <w:numId w:val="2"/>
        </w:numPr>
        <w:tabs>
          <w:tab w:val="left" w:pos="1321"/>
          <w:tab w:val="left" w:pos="1322"/>
        </w:tabs>
        <w:spacing w:before="147" w:after="4" w:line="240" w:lineRule="auto"/>
        <w:ind w:left="1321" w:right="0" w:hanging="1102"/>
        <w:jc w:val="left"/>
      </w:pPr>
      <w:r>
        <w:rPr>
          <w:spacing w:val="-3"/>
          <w:w w:val="95"/>
        </w:rPr>
        <w:t>合同订立</w:t>
      </w:r>
    </w:p>
    <w:p>
      <w:pPr>
        <w:pStyle w:val="4"/>
        <w:spacing w:line="20" w:lineRule="exact"/>
        <w:ind w:left="112"/>
        <w:rPr>
          <w:sz w:val="2"/>
        </w:rPr>
      </w:pPr>
      <w:r>
        <w:rPr>
          <w:sz w:val="2"/>
        </w:rPr>
        <w:drawing>
          <wp:inline distT="0" distB="0" distL="0" distR="0">
            <wp:extent cx="6459220" cy="571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459854" cy="6096"/>
                    </a:xfrm>
                    <a:prstGeom prst="rect">
                      <a:avLst/>
                    </a:prstGeom>
                  </pic:spPr>
                </pic:pic>
              </a:graphicData>
            </a:graphic>
          </wp:inline>
        </w:drawing>
      </w:r>
    </w:p>
    <w:p>
      <w:pPr>
        <w:pStyle w:val="9"/>
        <w:numPr>
          <w:ilvl w:val="1"/>
          <w:numId w:val="2"/>
        </w:numPr>
        <w:tabs>
          <w:tab w:val="left" w:pos="1322"/>
        </w:tabs>
        <w:spacing w:before="166" w:after="0" w:line="266" w:lineRule="auto"/>
        <w:ind w:left="3020" w:right="223" w:hanging="2801"/>
        <w:jc w:val="both"/>
        <w:rPr>
          <w:sz w:val="21"/>
        </w:rPr>
      </w:pPr>
      <w:r>
        <w:rPr>
          <w:b/>
          <w:spacing w:val="1"/>
          <w:w w:val="99"/>
          <w:position w:val="1"/>
          <w:sz w:val="21"/>
        </w:rPr>
        <w:t>合同构成</w:t>
      </w:r>
      <w:r>
        <w:rPr>
          <w:b/>
          <w:spacing w:val="1"/>
          <w:position w:val="1"/>
          <w:sz w:val="21"/>
        </w:rPr>
        <w:t xml:space="preserve">        </w:t>
      </w:r>
      <w:r>
        <w:rPr>
          <w:spacing w:val="-1"/>
          <w:w w:val="99"/>
          <w:sz w:val="21"/>
        </w:rPr>
        <w:t>本保险条款、投保单或其他投保文件、保险利益表、保险单或其他保险凭证、附贴批单和其他约定书，均为投保人与本公司订立的《复星联合妈咪保贝（</w:t>
      </w:r>
      <w:r>
        <w:rPr>
          <w:w w:val="99"/>
          <w:sz w:val="21"/>
        </w:rPr>
        <w:t>新生版</w:t>
      </w:r>
      <w:r>
        <w:rPr>
          <w:spacing w:val="-1"/>
          <w:w w:val="99"/>
          <w:sz w:val="21"/>
        </w:rPr>
        <w:t>）</w:t>
      </w:r>
      <w:r>
        <w:rPr>
          <w:spacing w:val="-11"/>
          <w:w w:val="99"/>
          <w:sz w:val="21"/>
        </w:rPr>
        <w:t>少儿重大疾病保险合同》</w:t>
      </w:r>
      <w:r>
        <w:rPr>
          <w:spacing w:val="-1"/>
          <w:w w:val="99"/>
          <w:sz w:val="21"/>
        </w:rPr>
        <w:t>（</w:t>
      </w:r>
      <w:r>
        <w:rPr>
          <w:spacing w:val="-13"/>
          <w:w w:val="99"/>
          <w:sz w:val="21"/>
        </w:rPr>
        <w:t>以下简称“本合同”</w:t>
      </w:r>
      <w:r>
        <w:rPr>
          <w:spacing w:val="-1"/>
          <w:w w:val="99"/>
          <w:sz w:val="21"/>
        </w:rPr>
        <w:t>）的构成部分。凡涉及本合同的约定，均应当采用书面形式。</w:t>
      </w:r>
    </w:p>
    <w:p>
      <w:pPr>
        <w:spacing w:after="0" w:line="266" w:lineRule="auto"/>
        <w:jc w:val="both"/>
        <w:rPr>
          <w:sz w:val="21"/>
        </w:rPr>
        <w:sectPr>
          <w:pgSz w:w="11910" w:h="16840"/>
          <w:pgMar w:top="1560" w:right="660" w:bottom="280" w:left="860" w:header="720" w:footer="720" w:gutter="0"/>
          <w:cols w:space="720" w:num="1"/>
        </w:sectPr>
      </w:pPr>
    </w:p>
    <w:p>
      <w:pPr>
        <w:pStyle w:val="3"/>
        <w:numPr>
          <w:ilvl w:val="1"/>
          <w:numId w:val="2"/>
        </w:numPr>
        <w:tabs>
          <w:tab w:val="left" w:pos="1321"/>
          <w:tab w:val="left" w:pos="1322"/>
        </w:tabs>
        <w:spacing w:before="152" w:after="0" w:line="278" w:lineRule="auto"/>
        <w:ind w:left="1321" w:right="38" w:hanging="1102"/>
        <w:jc w:val="left"/>
      </w:pPr>
      <w:r>
        <w:rPr>
          <w:spacing w:val="-2"/>
        </w:rPr>
        <w:t>合同成立与生</w:t>
      </w:r>
      <w:r>
        <w:rPr>
          <w:spacing w:val="-10"/>
        </w:rPr>
        <w:t>效</w:t>
      </w:r>
    </w:p>
    <w:p>
      <w:pPr>
        <w:pStyle w:val="4"/>
        <w:spacing w:before="162"/>
        <w:ind w:left="220"/>
      </w:pPr>
      <w:r>
        <w:br w:type="column"/>
      </w:r>
      <w:r>
        <w:rPr>
          <w:spacing w:val="-1"/>
          <w:w w:val="95"/>
        </w:rPr>
        <w:t>投保人提出投保申请、本公司同意承保，本合同成立。</w:t>
      </w:r>
    </w:p>
    <w:p>
      <w:pPr>
        <w:pStyle w:val="4"/>
        <w:spacing w:before="7"/>
        <w:rPr>
          <w:sz w:val="14"/>
        </w:rPr>
      </w:pPr>
    </w:p>
    <w:p>
      <w:pPr>
        <w:spacing w:before="0" w:line="266" w:lineRule="auto"/>
        <w:ind w:left="220" w:right="199" w:firstLine="0"/>
        <w:jc w:val="both"/>
        <w:rPr>
          <w:sz w:val="21"/>
        </w:rPr>
      </w:pPr>
      <w:r>
        <w:rPr>
          <w:spacing w:val="-1"/>
          <w:w w:val="99"/>
          <w:sz w:val="21"/>
        </w:rPr>
        <w:t>本合同自本公司收到首期保险费并同意承保后开始生效，本公司签发保险单作</w:t>
      </w:r>
      <w:r>
        <w:rPr>
          <w:spacing w:val="-5"/>
          <w:w w:val="99"/>
          <w:sz w:val="21"/>
        </w:rPr>
        <w:t>为保险凭证。合同生效日期在保险单中载明。</w:t>
      </w:r>
      <w:r>
        <w:rPr>
          <w:b/>
          <w:spacing w:val="1"/>
          <w:w w:val="99"/>
          <w:sz w:val="21"/>
        </w:rPr>
        <w:t>保单年度</w:t>
      </w:r>
      <w:r>
        <w:fldChar w:fldCharType="begin"/>
      </w:r>
      <w:r>
        <w:instrText xml:space="preserve"> HYPERLINK \l "_bookmark0" </w:instrText>
      </w:r>
      <w:r>
        <w:fldChar w:fldCharType="separate"/>
      </w:r>
      <w:r>
        <w:rPr>
          <w:b/>
          <w:spacing w:val="-1"/>
          <w:w w:val="105"/>
          <w:position w:val="11"/>
          <w:sz w:val="10"/>
        </w:rPr>
        <w:t>1</w:t>
      </w:r>
      <w:r>
        <w:rPr>
          <w:b/>
          <w:spacing w:val="-1"/>
          <w:w w:val="105"/>
          <w:position w:val="11"/>
          <w:sz w:val="10"/>
        </w:rPr>
        <w:fldChar w:fldCharType="end"/>
      </w:r>
      <w:r>
        <w:rPr>
          <w:spacing w:val="-25"/>
          <w:w w:val="99"/>
          <w:sz w:val="21"/>
        </w:rPr>
        <w:t>、</w:t>
      </w:r>
      <w:r>
        <w:rPr>
          <w:b/>
          <w:spacing w:val="2"/>
          <w:w w:val="99"/>
          <w:sz w:val="21"/>
        </w:rPr>
        <w:t>保单周年日</w:t>
      </w:r>
      <w:r>
        <w:fldChar w:fldCharType="begin"/>
      </w:r>
      <w:r>
        <w:instrText xml:space="preserve"> HYPERLINK \l "_bookmark1" </w:instrText>
      </w:r>
      <w:r>
        <w:fldChar w:fldCharType="separate"/>
      </w:r>
      <w:r>
        <w:rPr>
          <w:b/>
          <w:spacing w:val="-1"/>
          <w:w w:val="105"/>
          <w:position w:val="11"/>
          <w:sz w:val="10"/>
        </w:rPr>
        <w:t>2</w:t>
      </w:r>
      <w:r>
        <w:rPr>
          <w:b/>
          <w:spacing w:val="-1"/>
          <w:w w:val="105"/>
          <w:position w:val="11"/>
          <w:sz w:val="10"/>
        </w:rPr>
        <w:fldChar w:fldCharType="end"/>
      </w:r>
      <w:r>
        <w:rPr>
          <w:b/>
          <w:spacing w:val="-22"/>
          <w:w w:val="99"/>
          <w:sz w:val="21"/>
        </w:rPr>
        <w:t>、</w:t>
      </w:r>
      <w:r>
        <w:rPr>
          <w:w w:val="99"/>
          <w:sz w:val="21"/>
        </w:rPr>
        <w:t>保险费</w:t>
      </w:r>
      <w:r>
        <w:rPr>
          <w:spacing w:val="2"/>
          <w:w w:val="99"/>
          <w:sz w:val="21"/>
        </w:rPr>
        <w:t>的</w:t>
      </w:r>
      <w:r>
        <w:rPr>
          <w:b/>
          <w:spacing w:val="1"/>
          <w:w w:val="99"/>
          <w:sz w:val="21"/>
        </w:rPr>
        <w:t>约定交纳日</w:t>
      </w:r>
      <w:r>
        <w:fldChar w:fldCharType="begin"/>
      </w:r>
      <w:r>
        <w:instrText xml:space="preserve"> HYPERLINK \l "_bookmark2" </w:instrText>
      </w:r>
      <w:r>
        <w:fldChar w:fldCharType="separate"/>
      </w:r>
      <w:r>
        <w:rPr>
          <w:b/>
          <w:spacing w:val="-1"/>
          <w:w w:val="105"/>
          <w:position w:val="11"/>
          <w:sz w:val="10"/>
        </w:rPr>
        <w:t>3</w:t>
      </w:r>
      <w:r>
        <w:rPr>
          <w:b/>
          <w:spacing w:val="-1"/>
          <w:w w:val="105"/>
          <w:position w:val="11"/>
          <w:sz w:val="10"/>
        </w:rPr>
        <w:fldChar w:fldCharType="end"/>
      </w:r>
      <w:r>
        <w:rPr>
          <w:spacing w:val="-1"/>
          <w:w w:val="99"/>
          <w:sz w:val="21"/>
        </w:rPr>
        <w:t>均以该日期计算。</w:t>
      </w:r>
    </w:p>
    <w:p>
      <w:pPr>
        <w:spacing w:after="0" w:line="266" w:lineRule="auto"/>
        <w:jc w:val="both"/>
        <w:rPr>
          <w:sz w:val="21"/>
        </w:rPr>
        <w:sectPr>
          <w:type w:val="continuous"/>
          <w:pgSz w:w="11910" w:h="16840"/>
          <w:pgMar w:top="480" w:right="660" w:bottom="280" w:left="860" w:header="720" w:footer="720" w:gutter="0"/>
          <w:cols w:equalWidth="0" w:num="2">
            <w:col w:w="2625" w:space="176"/>
            <w:col w:w="7589"/>
          </w:cols>
        </w:sectPr>
      </w:pPr>
    </w:p>
    <w:p>
      <w:pPr>
        <w:pStyle w:val="9"/>
        <w:numPr>
          <w:ilvl w:val="1"/>
          <w:numId w:val="2"/>
        </w:numPr>
        <w:tabs>
          <w:tab w:val="left" w:pos="1321"/>
          <w:tab w:val="left" w:pos="1322"/>
          <w:tab w:val="left" w:pos="3020"/>
        </w:tabs>
        <w:spacing w:before="150" w:after="0" w:line="240" w:lineRule="auto"/>
        <w:ind w:left="1321" w:right="0" w:hanging="1102"/>
        <w:jc w:val="left"/>
        <w:rPr>
          <w:sz w:val="21"/>
        </w:rPr>
      </w:pPr>
      <w:r>
        <w:rPr>
          <w:b/>
          <w:w w:val="95"/>
          <w:position w:val="1"/>
          <w:sz w:val="21"/>
        </w:rPr>
        <w:t>投保范</w:t>
      </w:r>
      <w:r>
        <w:rPr>
          <w:b/>
          <w:spacing w:val="-10"/>
          <w:w w:val="95"/>
          <w:position w:val="1"/>
          <w:sz w:val="21"/>
        </w:rPr>
        <w:t>围</w:t>
      </w:r>
      <w:r>
        <w:rPr>
          <w:b/>
          <w:position w:val="1"/>
          <w:sz w:val="21"/>
        </w:rPr>
        <w:tab/>
      </w:r>
      <w:r>
        <w:rPr>
          <w:w w:val="95"/>
          <w:sz w:val="21"/>
        </w:rPr>
        <w:t>符合本公司承保条件者均可作为本合同的被保险人。投保年龄以</w:t>
      </w:r>
      <w:r>
        <w:rPr>
          <w:b/>
          <w:w w:val="95"/>
          <w:sz w:val="21"/>
        </w:rPr>
        <w:t>周岁</w:t>
      </w:r>
      <w:r>
        <w:fldChar w:fldCharType="begin"/>
      </w:r>
      <w:r>
        <w:instrText xml:space="preserve"> HYPERLINK \l "_bookmark3" </w:instrText>
      </w:r>
      <w:r>
        <w:fldChar w:fldCharType="separate"/>
      </w:r>
      <w:r>
        <w:rPr>
          <w:b/>
          <w:w w:val="95"/>
          <w:position w:val="11"/>
          <w:sz w:val="10"/>
        </w:rPr>
        <w:t>4</w:t>
      </w:r>
      <w:r>
        <w:rPr>
          <w:b/>
          <w:w w:val="95"/>
          <w:position w:val="11"/>
          <w:sz w:val="10"/>
        </w:rPr>
        <w:fldChar w:fldCharType="end"/>
      </w:r>
      <w:r>
        <w:rPr>
          <w:w w:val="95"/>
          <w:sz w:val="21"/>
        </w:rPr>
        <w:t>计算</w:t>
      </w:r>
      <w:r>
        <w:rPr>
          <w:spacing w:val="-10"/>
          <w:w w:val="95"/>
          <w:sz w:val="21"/>
        </w:rPr>
        <w:t>。</w:t>
      </w:r>
    </w:p>
    <w:p>
      <w:pPr>
        <w:pStyle w:val="9"/>
        <w:numPr>
          <w:ilvl w:val="1"/>
          <w:numId w:val="2"/>
        </w:numPr>
        <w:tabs>
          <w:tab w:val="left" w:pos="1322"/>
        </w:tabs>
        <w:spacing w:before="189" w:after="0" w:line="266" w:lineRule="auto"/>
        <w:ind w:left="3020" w:right="207" w:hanging="2801"/>
        <w:jc w:val="both"/>
        <w:rPr>
          <w:sz w:val="21"/>
        </w:rPr>
      </w:pPr>
      <w:r>
        <w:rPr>
          <w:b/>
          <w:spacing w:val="1"/>
          <w:w w:val="99"/>
          <w:position w:val="1"/>
          <w:sz w:val="21"/>
        </w:rPr>
        <w:t>犹豫期</w:t>
      </w:r>
      <w:r>
        <w:rPr>
          <w:b/>
          <w:position w:val="1"/>
          <w:sz w:val="21"/>
        </w:rPr>
        <w:t xml:space="preserve">          </w:t>
      </w:r>
      <w:r>
        <w:rPr>
          <w:spacing w:val="-1"/>
          <w:w w:val="99"/>
          <w:sz w:val="21"/>
        </w:rPr>
        <w:t>自投保人签收本合同或收到本合同电子保单之日起</w:t>
      </w:r>
      <w:r>
        <w:rPr>
          <w:spacing w:val="2"/>
          <w:w w:val="99"/>
          <w:sz w:val="21"/>
        </w:rPr>
        <w:t>（</w:t>
      </w:r>
      <w:r>
        <w:rPr>
          <w:spacing w:val="1"/>
          <w:w w:val="99"/>
          <w:sz w:val="21"/>
        </w:rPr>
        <w:t>二者较早之日</w:t>
      </w:r>
      <w:r>
        <w:rPr>
          <w:spacing w:val="-104"/>
          <w:w w:val="99"/>
          <w:sz w:val="21"/>
        </w:rPr>
        <w:t>）</w:t>
      </w:r>
      <w:r>
        <w:rPr>
          <w:spacing w:val="1"/>
          <w:w w:val="99"/>
          <w:sz w:val="21"/>
        </w:rPr>
        <w:t>，有</w:t>
      </w:r>
      <w:r>
        <w:rPr>
          <w:spacing w:val="-53"/>
          <w:sz w:val="21"/>
        </w:rPr>
        <w:t xml:space="preserve"> </w:t>
      </w:r>
      <w:r>
        <w:rPr>
          <w:spacing w:val="1"/>
          <w:w w:val="99"/>
          <w:sz w:val="21"/>
        </w:rPr>
        <w:t>1</w:t>
      </w:r>
      <w:r>
        <w:rPr>
          <w:w w:val="99"/>
          <w:sz w:val="21"/>
        </w:rPr>
        <w:t>5</w:t>
      </w:r>
      <w:r>
        <w:rPr>
          <w:spacing w:val="-54"/>
          <w:sz w:val="21"/>
        </w:rPr>
        <w:t xml:space="preserve"> </w:t>
      </w:r>
      <w:r>
        <w:rPr>
          <w:w w:val="99"/>
          <w:sz w:val="21"/>
        </w:rPr>
        <w:t>日</w:t>
      </w:r>
      <w:r>
        <w:rPr>
          <w:spacing w:val="-1"/>
          <w:w w:val="99"/>
          <w:sz w:val="21"/>
        </w:rPr>
        <w:t>的犹豫期。在此期间，请投保人认真审阅本合同，如果投保人认为本合同与投</w:t>
      </w:r>
      <w:r>
        <w:rPr>
          <w:spacing w:val="4"/>
          <w:w w:val="99"/>
          <w:sz w:val="21"/>
        </w:rPr>
        <w:t>保人的需求不相符，可以在此期间提出解除本合同，</w:t>
      </w:r>
      <w:r>
        <w:rPr>
          <w:color w:val="000000"/>
          <w:spacing w:val="4"/>
          <w:w w:val="99"/>
          <w:sz w:val="21"/>
          <w:shd w:val="clear" w:color="auto" w:fill="E4E4E4"/>
        </w:rPr>
        <w:t>本公司将扣除不超过</w:t>
      </w:r>
      <w:r>
        <w:rPr>
          <w:color w:val="000000"/>
          <w:spacing w:val="-48"/>
          <w:sz w:val="21"/>
          <w:shd w:val="clear" w:color="auto" w:fill="E4E4E4"/>
        </w:rPr>
        <w:t xml:space="preserve"> </w:t>
      </w:r>
      <w:r>
        <w:rPr>
          <w:color w:val="000000"/>
          <w:spacing w:val="-5"/>
          <w:w w:val="99"/>
          <w:sz w:val="21"/>
          <w:shd w:val="clear" w:color="auto" w:fill="E4E4E4"/>
        </w:rPr>
        <w:t>1</w:t>
      </w:r>
      <w:r>
        <w:rPr>
          <w:color w:val="000000"/>
          <w:spacing w:val="-6"/>
          <w:w w:val="99"/>
          <w:sz w:val="21"/>
          <w:shd w:val="clear" w:color="auto" w:fill="E4E4E4"/>
        </w:rPr>
        <w:t>0</w:t>
      </w:r>
      <w:r>
        <w:rPr>
          <w:color w:val="000000"/>
          <w:w w:val="99"/>
          <w:sz w:val="21"/>
          <w:shd w:val="clear" w:color="auto" w:fill="E4E4E4"/>
        </w:rPr>
        <w:t xml:space="preserve">                                                                                                                                      </w:t>
      </w:r>
      <w:r>
        <w:rPr>
          <w:color w:val="000000"/>
          <w:spacing w:val="-1"/>
          <w:w w:val="99"/>
          <w:sz w:val="21"/>
          <w:shd w:val="clear" w:color="auto" w:fill="E4E4E4"/>
        </w:rPr>
        <w:t>元工本费后向投保人无息退还保险费。</w:t>
      </w:r>
    </w:p>
    <w:p>
      <w:pPr>
        <w:spacing w:after="0" w:line="266" w:lineRule="auto"/>
        <w:jc w:val="both"/>
        <w:rPr>
          <w:sz w:val="21"/>
        </w:rPr>
        <w:sectPr>
          <w:type w:val="continuous"/>
          <w:pgSz w:w="11910" w:h="16840"/>
          <w:pgMar w:top="480" w:right="660" w:bottom="280" w:left="860" w:header="720" w:footer="720" w:gutter="0"/>
          <w:cols w:space="720" w:num="1"/>
        </w:sectPr>
      </w:pPr>
    </w:p>
    <w:p>
      <w:pPr>
        <w:pStyle w:val="4"/>
        <w:rPr>
          <w:sz w:val="48"/>
        </w:rPr>
      </w:pPr>
    </w:p>
    <w:p>
      <w:pPr>
        <w:pStyle w:val="4"/>
        <w:spacing w:before="11"/>
        <w:rPr>
          <w:sz w:val="44"/>
        </w:rPr>
      </w:pPr>
    </w:p>
    <w:p>
      <w:pPr>
        <w:pStyle w:val="2"/>
        <w:numPr>
          <w:ilvl w:val="0"/>
          <w:numId w:val="2"/>
        </w:numPr>
        <w:tabs>
          <w:tab w:val="left" w:pos="1321"/>
          <w:tab w:val="left" w:pos="1322"/>
        </w:tabs>
        <w:spacing w:before="1" w:after="0" w:line="240" w:lineRule="auto"/>
        <w:ind w:left="1321" w:right="0" w:hanging="1102"/>
        <w:jc w:val="left"/>
      </w:pPr>
      <w:r>
        <w:rPr>
          <w:w w:val="95"/>
        </w:rPr>
        <w:t>提供的保</w:t>
      </w:r>
      <w:r>
        <w:rPr>
          <w:spacing w:val="-10"/>
          <w:w w:val="95"/>
        </w:rPr>
        <w:t>障</w:t>
      </w:r>
    </w:p>
    <w:p>
      <w:pPr>
        <w:pStyle w:val="3"/>
        <w:numPr>
          <w:ilvl w:val="1"/>
          <w:numId w:val="2"/>
        </w:numPr>
        <w:tabs>
          <w:tab w:val="left" w:pos="1322"/>
        </w:tabs>
        <w:spacing w:before="192" w:after="0" w:line="278" w:lineRule="auto"/>
        <w:ind w:left="1321" w:right="139" w:hanging="1102"/>
        <w:jc w:val="both"/>
      </w:pPr>
      <w:r>
        <w:rPr>
          <w:spacing w:val="-2"/>
        </w:rPr>
        <w:t>基本保险金额与保险金给付</w:t>
      </w:r>
      <w:r>
        <w:rPr>
          <w:spacing w:val="-6"/>
        </w:rPr>
        <w:t>限额</w:t>
      </w:r>
    </w:p>
    <w:p>
      <w:pPr>
        <w:spacing w:before="162" w:line="266" w:lineRule="auto"/>
        <w:ind w:left="220" w:right="184" w:firstLine="0"/>
        <w:jc w:val="both"/>
        <w:rPr>
          <w:b/>
          <w:sz w:val="21"/>
        </w:rPr>
      </w:pPr>
      <w:r>
        <w:br w:type="column"/>
      </w:r>
      <w:r>
        <w:rPr>
          <w:spacing w:val="-2"/>
          <w:sz w:val="21"/>
        </w:rPr>
        <w:t>解除本合同时，投保人须填写解除合同申请书，并提供保险合同和</w:t>
      </w:r>
      <w:r>
        <w:rPr>
          <w:b/>
          <w:spacing w:val="-2"/>
          <w:sz w:val="21"/>
        </w:rPr>
        <w:t>有效身份证</w:t>
      </w:r>
      <w:r>
        <w:rPr>
          <w:b/>
          <w:spacing w:val="-2"/>
          <w:w w:val="95"/>
          <w:sz w:val="21"/>
        </w:rPr>
        <w:t>件</w:t>
      </w:r>
      <w:r>
        <w:fldChar w:fldCharType="begin"/>
      </w:r>
      <w:r>
        <w:instrText xml:space="preserve"> HYPERLINK \l "_bookmark4" </w:instrText>
      </w:r>
      <w:r>
        <w:fldChar w:fldCharType="separate"/>
      </w:r>
      <w:r>
        <w:rPr>
          <w:b/>
          <w:spacing w:val="-2"/>
          <w:w w:val="95"/>
          <w:position w:val="11"/>
          <w:sz w:val="10"/>
        </w:rPr>
        <w:t>5</w:t>
      </w:r>
      <w:r>
        <w:rPr>
          <w:b/>
          <w:spacing w:val="-2"/>
          <w:w w:val="95"/>
          <w:position w:val="11"/>
          <w:sz w:val="10"/>
        </w:rPr>
        <w:fldChar w:fldCharType="end"/>
      </w:r>
      <w:r>
        <w:rPr>
          <w:spacing w:val="-2"/>
          <w:w w:val="95"/>
          <w:sz w:val="21"/>
        </w:rPr>
        <w:t>，</w:t>
      </w:r>
      <w:r>
        <w:rPr>
          <w:b/>
          <w:color w:val="000000"/>
          <w:spacing w:val="-2"/>
          <w:w w:val="95"/>
          <w:sz w:val="21"/>
          <w:shd w:val="clear" w:color="auto" w:fill="E4E4E4"/>
        </w:rPr>
        <w:t>自本公司收到投保人的解除合同申请书之日起，本合同即被解除，对于合</w:t>
      </w:r>
      <w:r>
        <w:rPr>
          <w:b/>
          <w:color w:val="000000"/>
          <w:spacing w:val="80"/>
          <w:w w:val="150"/>
          <w:sz w:val="21"/>
          <w:shd w:val="clear" w:color="auto" w:fill="E4E4E4"/>
        </w:rPr>
        <w:t xml:space="preserve"> </w:t>
      </w:r>
      <w:r>
        <w:rPr>
          <w:b/>
          <w:color w:val="000000"/>
          <w:spacing w:val="-2"/>
          <w:sz w:val="21"/>
          <w:shd w:val="clear" w:color="auto" w:fill="E4E4E4"/>
        </w:rPr>
        <w:t>同解除前发生的保险事故，本公司不承担保险责任。</w:t>
      </w:r>
    </w:p>
    <w:p>
      <w:pPr>
        <w:pStyle w:val="4"/>
        <w:rPr>
          <w:b/>
          <w:sz w:val="20"/>
        </w:rPr>
      </w:pPr>
    </w:p>
    <w:p>
      <w:pPr>
        <w:pStyle w:val="4"/>
        <w:rPr>
          <w:b/>
          <w:sz w:val="20"/>
        </w:rPr>
      </w:pPr>
    </w:p>
    <w:p>
      <w:pPr>
        <w:pStyle w:val="4"/>
        <w:rPr>
          <w:b/>
          <w:sz w:val="20"/>
        </w:rPr>
      </w:pPr>
    </w:p>
    <w:p>
      <w:pPr>
        <w:pStyle w:val="4"/>
        <w:spacing w:before="1"/>
        <w:rPr>
          <w:b/>
          <w:sz w:val="14"/>
        </w:rPr>
      </w:pPr>
    </w:p>
    <w:p>
      <w:pPr>
        <w:pStyle w:val="4"/>
        <w:spacing w:line="266" w:lineRule="auto"/>
        <w:ind w:left="220" w:right="208"/>
      </w:pPr>
      <w:r>
        <w:drawing>
          <wp:anchor distT="0" distB="0" distL="0" distR="0" simplePos="0" relativeHeight="251659264" behindDoc="0" locked="0" layoutInCell="1" allowOverlap="1">
            <wp:simplePos x="0" y="0"/>
            <wp:positionH relativeFrom="page">
              <wp:posOffset>616585</wp:posOffset>
            </wp:positionH>
            <wp:positionV relativeFrom="paragraph">
              <wp:posOffset>-124460</wp:posOffset>
            </wp:positionV>
            <wp:extent cx="6459855" cy="63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459855" cy="6096"/>
                    </a:xfrm>
                    <a:prstGeom prst="rect">
                      <a:avLst/>
                    </a:prstGeom>
                  </pic:spPr>
                </pic:pic>
              </a:graphicData>
            </a:graphic>
          </wp:anchor>
        </w:drawing>
      </w:r>
      <w:r>
        <w:rPr>
          <w:spacing w:val="-1"/>
          <w:w w:val="99"/>
        </w:rPr>
        <w:t>本合同的基本保险金额与保险金给付限额，由投保人在投保时与本公司约定，并在本合同中载明。</w:t>
      </w:r>
    </w:p>
    <w:p>
      <w:pPr>
        <w:pStyle w:val="4"/>
        <w:spacing w:before="159"/>
        <w:ind w:left="220"/>
      </w:pPr>
      <w:r>
        <w:rPr>
          <w:spacing w:val="-1"/>
          <w:w w:val="95"/>
        </w:rPr>
        <w:t>保险金给付限额是指本公司对一项保险责任承担给付的最高限额。</w:t>
      </w:r>
    </w:p>
    <w:p>
      <w:pPr>
        <w:spacing w:after="0"/>
        <w:sectPr>
          <w:type w:val="continuous"/>
          <w:pgSz w:w="11910" w:h="16840"/>
          <w:pgMar w:top="480" w:right="660" w:bottom="280" w:left="860" w:header="720" w:footer="720" w:gutter="0"/>
          <w:cols w:equalWidth="0" w:num="2">
            <w:col w:w="2726" w:space="75"/>
            <w:col w:w="7589"/>
          </w:cols>
        </w:sectPr>
      </w:pPr>
    </w:p>
    <w:p>
      <w:pPr>
        <w:pStyle w:val="4"/>
        <w:spacing w:before="7"/>
        <w:rPr>
          <w:sz w:val="20"/>
        </w:rPr>
      </w:pPr>
    </w:p>
    <w:p>
      <w:pPr>
        <w:pStyle w:val="9"/>
        <w:numPr>
          <w:ilvl w:val="1"/>
          <w:numId w:val="2"/>
        </w:numPr>
        <w:tabs>
          <w:tab w:val="left" w:pos="1322"/>
        </w:tabs>
        <w:spacing w:before="69" w:after="0" w:line="266" w:lineRule="auto"/>
        <w:ind w:left="3020" w:right="208" w:hanging="2801"/>
        <w:jc w:val="both"/>
        <w:rPr>
          <w:sz w:val="21"/>
        </w:rPr>
      </w:pPr>
      <w:r>
        <w:rPr>
          <w:b/>
          <w:position w:val="1"/>
          <w:sz w:val="21"/>
        </w:rPr>
        <w:t>保险期间</w:t>
      </w:r>
      <w:r>
        <w:rPr>
          <w:b/>
          <w:spacing w:val="80"/>
          <w:w w:val="150"/>
          <w:position w:val="1"/>
          <w:sz w:val="21"/>
        </w:rPr>
        <w:t xml:space="preserve">   </w:t>
      </w:r>
      <w:r>
        <w:rPr>
          <w:sz w:val="21"/>
        </w:rPr>
        <w:t>本合同的保险期间由投保人与本公司约定并在本合同中载明，自本合同生效之</w:t>
      </w:r>
      <w:r>
        <w:rPr>
          <w:spacing w:val="-2"/>
          <w:sz w:val="21"/>
        </w:rPr>
        <w:t>日零时起至约定的终止日的二十四时止。</w:t>
      </w:r>
    </w:p>
    <w:p>
      <w:pPr>
        <w:pStyle w:val="9"/>
        <w:numPr>
          <w:ilvl w:val="1"/>
          <w:numId w:val="2"/>
        </w:numPr>
        <w:tabs>
          <w:tab w:val="left" w:pos="1322"/>
        </w:tabs>
        <w:spacing w:before="166" w:after="0" w:line="266" w:lineRule="auto"/>
        <w:ind w:left="3020" w:right="208" w:hanging="2801"/>
        <w:jc w:val="both"/>
        <w:rPr>
          <w:sz w:val="21"/>
        </w:rPr>
      </w:pPr>
      <w:r>
        <w:rPr>
          <w:b/>
          <w:spacing w:val="1"/>
          <w:w w:val="99"/>
          <w:position w:val="1"/>
          <w:sz w:val="21"/>
        </w:rPr>
        <w:t>保险责任</w:t>
      </w:r>
      <w:r>
        <w:rPr>
          <w:b/>
          <w:spacing w:val="1"/>
          <w:position w:val="1"/>
          <w:sz w:val="21"/>
        </w:rPr>
        <w:t xml:space="preserve">        </w:t>
      </w:r>
      <w:r>
        <w:rPr>
          <w:spacing w:val="-1"/>
          <w:w w:val="99"/>
          <w:sz w:val="21"/>
        </w:rPr>
        <w:t>在本合同保险期间内，必选责任含首次重大疾病保险金责任、中度疾病保险金责任、轻度疾病保险金责任、少儿特定疾病和少儿罕见疾病保险金责任、轻度疾病或中度疾病豁免保险费责任、身故保险金或全残保险金责任、疾病终末期</w:t>
      </w:r>
    </w:p>
    <w:p>
      <w:pPr>
        <w:pStyle w:val="4"/>
        <w:spacing w:before="12"/>
        <w:rPr>
          <w:sz w:val="16"/>
        </w:rPr>
      </w:pPr>
    </w:p>
    <w:p>
      <w:pPr>
        <w:spacing w:before="88"/>
        <w:ind w:left="220" w:right="0" w:firstLine="0"/>
        <w:jc w:val="left"/>
        <w:rPr>
          <w:rFonts w:ascii="楷体" w:eastAsia="楷体"/>
          <w:sz w:val="18"/>
        </w:rPr>
      </w:pPr>
      <w:r>
        <w:rPr>
          <w:b/>
          <w:w w:val="95"/>
          <w:position w:val="9"/>
          <w:sz w:val="9"/>
        </w:rPr>
        <w:t>1</w:t>
      </w:r>
      <w:bookmarkStart w:id="0" w:name="_bookmark0"/>
      <w:bookmarkEnd w:id="0"/>
      <w:r>
        <w:rPr>
          <w:rFonts w:hint="eastAsia" w:ascii="楷体" w:eastAsia="楷体"/>
          <w:b/>
          <w:w w:val="95"/>
          <w:sz w:val="18"/>
        </w:rPr>
        <w:t>保单年度</w:t>
      </w:r>
      <w:r>
        <w:rPr>
          <w:rFonts w:ascii="楷体" w:eastAsia="楷体"/>
          <w:w w:val="95"/>
          <w:sz w:val="18"/>
        </w:rPr>
        <w:t>：从保单生效日或保单生效对应日零时起至下一年度保单生效对应日零时止为一个保单年度</w:t>
      </w:r>
      <w:r>
        <w:rPr>
          <w:rFonts w:ascii="楷体" w:eastAsia="楷体"/>
          <w:spacing w:val="-10"/>
          <w:w w:val="95"/>
          <w:sz w:val="18"/>
        </w:rPr>
        <w:t>。</w:t>
      </w:r>
    </w:p>
    <w:p>
      <w:pPr>
        <w:spacing w:before="2"/>
        <w:ind w:left="220" w:right="0" w:firstLine="0"/>
        <w:jc w:val="left"/>
        <w:rPr>
          <w:rFonts w:ascii="楷体" w:eastAsia="楷体"/>
          <w:sz w:val="18"/>
        </w:rPr>
      </w:pPr>
      <w:r>
        <w:rPr>
          <w:b/>
          <w:w w:val="95"/>
          <w:position w:val="9"/>
          <w:sz w:val="9"/>
        </w:rPr>
        <w:t>2</w:t>
      </w:r>
      <w:bookmarkStart w:id="1" w:name="_bookmark1"/>
      <w:bookmarkEnd w:id="1"/>
      <w:r>
        <w:rPr>
          <w:rFonts w:hint="eastAsia" w:ascii="楷体" w:eastAsia="楷体"/>
          <w:b/>
          <w:w w:val="95"/>
          <w:sz w:val="18"/>
        </w:rPr>
        <w:t>保单周年日</w:t>
      </w:r>
      <w:r>
        <w:rPr>
          <w:rFonts w:ascii="楷体" w:eastAsia="楷体"/>
          <w:w w:val="95"/>
          <w:sz w:val="18"/>
        </w:rPr>
        <w:t>：指本合同生效日在合同生效后每年的对应日，不含本合同生效日当日。当月无对应的同一日，则以该月最后</w:t>
      </w:r>
      <w:r>
        <w:rPr>
          <w:rFonts w:ascii="楷体" w:eastAsia="楷体"/>
          <w:spacing w:val="-10"/>
          <w:w w:val="95"/>
          <w:sz w:val="18"/>
        </w:rPr>
        <w:t>一</w:t>
      </w:r>
    </w:p>
    <w:p>
      <w:pPr>
        <w:spacing w:before="2"/>
        <w:ind w:left="220" w:right="0" w:firstLine="0"/>
        <w:jc w:val="left"/>
        <w:rPr>
          <w:rFonts w:ascii="楷体" w:eastAsia="楷体"/>
          <w:sz w:val="18"/>
        </w:rPr>
      </w:pPr>
      <w:r>
        <w:rPr>
          <w:rFonts w:ascii="楷体" w:eastAsia="楷体"/>
          <w:spacing w:val="-2"/>
          <w:sz w:val="18"/>
        </w:rPr>
        <w:t>日为对应日。</w:t>
      </w:r>
    </w:p>
    <w:p>
      <w:pPr>
        <w:spacing w:before="5"/>
        <w:ind w:left="220" w:right="0" w:firstLine="0"/>
        <w:jc w:val="left"/>
        <w:rPr>
          <w:rFonts w:ascii="楷体" w:eastAsia="楷体"/>
          <w:sz w:val="18"/>
        </w:rPr>
      </w:pPr>
      <w:r>
        <w:rPr>
          <w:b/>
          <w:w w:val="95"/>
          <w:position w:val="9"/>
          <w:sz w:val="9"/>
        </w:rPr>
        <w:t>3</w:t>
      </w:r>
      <w:bookmarkStart w:id="2" w:name="_bookmark2"/>
      <w:bookmarkEnd w:id="2"/>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：指本合同生效日在每月、每季或每半年（根据交费方式确定）的对应日。当月无对应的同一日，则以该月最</w:t>
      </w:r>
      <w:r>
        <w:rPr>
          <w:rFonts w:ascii="楷体" w:eastAsia="楷体"/>
          <w:spacing w:val="-10"/>
          <w:w w:val="95"/>
          <w:sz w:val="18"/>
        </w:rPr>
        <w:t>后</w:t>
      </w:r>
    </w:p>
    <w:p>
      <w:pPr>
        <w:spacing w:before="2"/>
        <w:ind w:left="220" w:right="0" w:firstLine="0"/>
        <w:jc w:val="left"/>
        <w:rPr>
          <w:rFonts w:ascii="楷体" w:eastAsia="楷体"/>
          <w:sz w:val="18"/>
        </w:rPr>
      </w:pPr>
      <w:r>
        <w:rPr>
          <w:rFonts w:ascii="楷体" w:eastAsia="楷体"/>
          <w:spacing w:val="-2"/>
          <w:sz w:val="18"/>
        </w:rPr>
        <w:t>一日为对应日。</w:t>
      </w:r>
    </w:p>
    <w:p>
      <w:pPr>
        <w:spacing w:before="5"/>
        <w:ind w:left="220" w:right="0" w:firstLine="0"/>
        <w:jc w:val="left"/>
        <w:rPr>
          <w:rFonts w:ascii="楷体" w:eastAsia="楷体"/>
          <w:sz w:val="18"/>
        </w:rPr>
      </w:pPr>
      <w:r>
        <w:rPr>
          <w:b/>
          <w:w w:val="95"/>
          <w:position w:val="9"/>
          <w:sz w:val="9"/>
        </w:rPr>
        <w:t>4</w:t>
      </w:r>
      <w:bookmarkStart w:id="3" w:name="_bookmark3"/>
      <w:bookmarkEnd w:id="3"/>
      <w:r>
        <w:rPr>
          <w:rFonts w:hint="eastAsia" w:ascii="楷体" w:eastAsia="楷体"/>
          <w:b/>
          <w:w w:val="95"/>
          <w:sz w:val="18"/>
        </w:rPr>
        <w:t>周岁</w:t>
      </w:r>
      <w:r>
        <w:rPr>
          <w:rFonts w:ascii="楷体" w:eastAsia="楷体"/>
          <w:w w:val="95"/>
          <w:sz w:val="18"/>
        </w:rPr>
        <w:t>：指按法定有效身份证明文件中记载的出生日期计算的年龄，自出生之日起为零周岁，每经过一年增加一岁，不足一</w:t>
      </w:r>
      <w:r>
        <w:rPr>
          <w:rFonts w:ascii="楷体" w:eastAsia="楷体"/>
          <w:spacing w:val="-10"/>
          <w:w w:val="95"/>
          <w:sz w:val="18"/>
        </w:rPr>
        <w:t>年</w:t>
      </w:r>
    </w:p>
    <w:p>
      <w:pPr>
        <w:spacing w:before="2"/>
        <w:ind w:left="220" w:right="0" w:firstLine="0"/>
        <w:jc w:val="left"/>
        <w:rPr>
          <w:rFonts w:ascii="楷体" w:eastAsia="楷体"/>
          <w:sz w:val="18"/>
        </w:rPr>
      </w:pPr>
      <w:r>
        <w:rPr>
          <w:rFonts w:ascii="楷体" w:eastAsia="楷体"/>
          <w:spacing w:val="-3"/>
          <w:sz w:val="18"/>
        </w:rPr>
        <w:t>的不计。</w:t>
      </w:r>
    </w:p>
    <w:p>
      <w:pPr>
        <w:spacing w:before="2"/>
        <w:ind w:left="220" w:right="0" w:firstLine="0"/>
        <w:jc w:val="left"/>
        <w:rPr>
          <w:rFonts w:ascii="楷体" w:eastAsia="楷体"/>
          <w:sz w:val="18"/>
        </w:rPr>
      </w:pPr>
      <w:r>
        <w:rPr>
          <w:b/>
          <w:w w:val="95"/>
          <w:position w:val="9"/>
          <w:sz w:val="9"/>
        </w:rPr>
        <w:t>5</w:t>
      </w:r>
      <w:bookmarkStart w:id="4" w:name="_bookmark4"/>
      <w:bookmarkEnd w:id="4"/>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：指由政府主管部门规定的证明个人身份的证件，如：居民身份证、按规定可使用的有效护照、军官证、警</w:t>
      </w:r>
      <w:r>
        <w:rPr>
          <w:rFonts w:ascii="楷体" w:eastAsia="楷体"/>
          <w:spacing w:val="-10"/>
          <w:w w:val="95"/>
          <w:sz w:val="18"/>
        </w:rPr>
        <w:t>官</w:t>
      </w:r>
    </w:p>
    <w:p>
      <w:pPr>
        <w:spacing w:before="2"/>
        <w:ind w:left="220" w:right="0" w:firstLine="0"/>
        <w:jc w:val="left"/>
        <w:rPr>
          <w:rFonts w:ascii="楷体" w:eastAsia="楷体"/>
          <w:sz w:val="18"/>
        </w:rPr>
      </w:pPr>
      <w:r>
        <w:rPr>
          <w:rFonts w:ascii="楷体" w:eastAsia="楷体"/>
          <w:spacing w:val="-1"/>
          <w:sz w:val="18"/>
        </w:rPr>
        <w:t>证、士兵证、户口簿等证件。</w:t>
      </w:r>
    </w:p>
    <w:p>
      <w:pPr>
        <w:spacing w:before="26"/>
        <w:ind w:left="0" w:right="196" w:firstLine="0"/>
        <w:jc w:val="center"/>
        <w:rPr>
          <w:rFonts w:ascii="Times New Roman"/>
          <w:sz w:val="18"/>
        </w:rPr>
      </w:pPr>
      <w:r>
        <w:rPr>
          <w:rFonts w:ascii="Times New Roman"/>
          <w:sz w:val="18"/>
        </w:rPr>
        <w:t>2</w:t>
      </w:r>
    </w:p>
    <w:p>
      <w:pPr>
        <w:spacing w:after="0"/>
        <w:jc w:val="center"/>
        <w:rPr>
          <w:rFonts w:ascii="Times New Roman"/>
          <w:sz w:val="18"/>
        </w:rPr>
        <w:sectPr>
          <w:type w:val="continuous"/>
          <w:pgSz w:w="11910" w:h="16840"/>
          <w:pgMar w:top="480" w:right="660" w:bottom="280" w:left="860" w:header="720" w:footer="720" w:gutter="0"/>
          <w:cols w:space="720" w:num="1"/>
        </w:sectPr>
      </w:pPr>
    </w:p>
    <w:p>
      <w:pPr>
        <w:pStyle w:val="4"/>
        <w:spacing w:before="53" w:line="266" w:lineRule="auto"/>
        <w:ind w:left="3020" w:right="208"/>
        <w:jc w:val="both"/>
      </w:pPr>
      <w:r>
        <w:rPr>
          <w:spacing w:val="-9"/>
          <w:w w:val="99"/>
        </w:rPr>
        <w:t>保险金责任；可选责任含第二次重大疾病保险金责任、恶性肿瘤-重度第二次给</w:t>
      </w:r>
      <w:r>
        <w:rPr>
          <w:spacing w:val="-1"/>
          <w:w w:val="99"/>
        </w:rPr>
        <w:t>付保险金责任、重大疾病豁免保险费责任、少儿意外医疗保险金责任及少儿接种意外住院津贴保险金责任。</w:t>
      </w:r>
    </w:p>
    <w:p>
      <w:pPr>
        <w:pStyle w:val="4"/>
        <w:spacing w:before="6"/>
        <w:rPr>
          <w:sz w:val="18"/>
        </w:rPr>
      </w:pPr>
    </w:p>
    <w:p>
      <w:pPr>
        <w:pStyle w:val="9"/>
        <w:numPr>
          <w:ilvl w:val="2"/>
          <w:numId w:val="2"/>
        </w:numPr>
        <w:tabs>
          <w:tab w:val="left" w:pos="1321"/>
          <w:tab w:val="left" w:pos="1322"/>
        </w:tabs>
        <w:spacing w:before="69" w:after="0" w:line="240" w:lineRule="auto"/>
        <w:ind w:left="1321" w:right="0" w:hanging="1102"/>
        <w:jc w:val="left"/>
        <w:rPr>
          <w:b/>
          <w:sz w:val="21"/>
        </w:rPr>
      </w:pPr>
      <w:r>
        <w:rPr>
          <w:b/>
          <w:spacing w:val="-3"/>
          <w:w w:val="95"/>
          <w:sz w:val="21"/>
        </w:rPr>
        <w:t>必选责任</w:t>
      </w:r>
    </w:p>
    <w:p>
      <w:pPr>
        <w:pStyle w:val="4"/>
        <w:spacing w:before="7"/>
        <w:rPr>
          <w:b/>
        </w:rPr>
      </w:pPr>
    </w:p>
    <w:p>
      <w:pPr>
        <w:spacing w:after="0"/>
        <w:sectPr>
          <w:footerReference r:id="rId5" w:type="default"/>
          <w:pgSz w:w="11910" w:h="16840"/>
          <w:pgMar w:top="1400" w:right="660" w:bottom="860" w:left="860" w:header="0" w:footer="662" w:gutter="0"/>
          <w:pgNumType w:start="3"/>
          <w:cols w:space="720" w:num="1"/>
        </w:sectPr>
      </w:pPr>
    </w:p>
    <w:p>
      <w:pPr>
        <w:pStyle w:val="9"/>
        <w:numPr>
          <w:ilvl w:val="3"/>
          <w:numId w:val="2"/>
        </w:numPr>
        <w:tabs>
          <w:tab w:val="left" w:pos="1321"/>
          <w:tab w:val="left" w:pos="1322"/>
        </w:tabs>
        <w:spacing w:before="79" w:after="0" w:line="240" w:lineRule="auto"/>
        <w:ind w:left="1321" w:right="0" w:hanging="1102"/>
        <w:jc w:val="left"/>
        <w:rPr>
          <w:b/>
          <w:sz w:val="21"/>
        </w:rPr>
      </w:pPr>
      <w:r>
        <w:rPr>
          <w:b/>
          <w:spacing w:val="-2"/>
          <w:w w:val="95"/>
          <w:sz w:val="21"/>
        </w:rPr>
        <w:t>首次重大疾病</w:t>
      </w:r>
    </w:p>
    <w:p>
      <w:pPr>
        <w:spacing w:before="43"/>
        <w:ind w:left="1321" w:right="0" w:firstLine="0"/>
        <w:jc w:val="left"/>
        <w:rPr>
          <w:b/>
          <w:sz w:val="21"/>
        </w:rPr>
      </w:pPr>
      <w:r>
        <w:rPr>
          <w:b/>
          <w:w w:val="95"/>
          <w:sz w:val="21"/>
        </w:rPr>
        <w:t>保险</w:t>
      </w:r>
      <w:r>
        <w:rPr>
          <w:b/>
          <w:spacing w:val="-10"/>
          <w:w w:val="95"/>
          <w:sz w:val="21"/>
        </w:rPr>
        <w:t>金</w:t>
      </w:r>
    </w:p>
    <w:p>
      <w:pPr>
        <w:pStyle w:val="4"/>
        <w:spacing w:before="89"/>
        <w:ind w:left="220"/>
      </w:pPr>
      <w:r>
        <w:br w:type="column"/>
      </w:r>
      <w:r>
        <w:rPr>
          <w:w w:val="95"/>
        </w:rPr>
        <w:t>本合同提供保障的</w:t>
      </w:r>
      <w:r>
        <w:rPr>
          <w:b/>
          <w:w w:val="95"/>
        </w:rPr>
        <w:t>重大疾病</w:t>
      </w:r>
      <w:r>
        <w:fldChar w:fldCharType="begin"/>
      </w:r>
      <w:r>
        <w:instrText xml:space="preserve"> HYPERLINK \l "_bookmark5" </w:instrText>
      </w:r>
      <w:r>
        <w:fldChar w:fldCharType="separate"/>
      </w:r>
      <w:r>
        <w:rPr>
          <w:b/>
          <w:w w:val="95"/>
          <w:position w:val="11"/>
          <w:sz w:val="10"/>
        </w:rPr>
        <w:t>6</w:t>
      </w:r>
      <w:r>
        <w:rPr>
          <w:b/>
          <w:w w:val="95"/>
          <w:position w:val="11"/>
          <w:sz w:val="10"/>
        </w:rPr>
        <w:fldChar w:fldCharType="end"/>
      </w:r>
      <w:r>
        <w:rPr>
          <w:w w:val="95"/>
        </w:rPr>
        <w:t>，共有</w:t>
      </w:r>
      <w:r>
        <w:rPr>
          <w:spacing w:val="42"/>
          <w:w w:val="150"/>
        </w:rPr>
        <w:t xml:space="preserve"> </w:t>
      </w:r>
      <w:r>
        <w:rPr>
          <w:w w:val="95"/>
        </w:rPr>
        <w:t>110</w:t>
      </w:r>
      <w:r>
        <w:rPr>
          <w:spacing w:val="29"/>
          <w:w w:val="150"/>
        </w:rPr>
        <w:t xml:space="preserve"> </w:t>
      </w:r>
      <w:r>
        <w:rPr>
          <w:spacing w:val="-1"/>
          <w:w w:val="95"/>
        </w:rPr>
        <w:t>种，名单详见本保险条款附表一。</w:t>
      </w:r>
    </w:p>
    <w:p>
      <w:pPr>
        <w:spacing w:before="177" w:line="278" w:lineRule="auto"/>
        <w:ind w:left="220" w:right="189" w:firstLine="0"/>
        <w:jc w:val="left"/>
        <w:rPr>
          <w:b/>
          <w:sz w:val="21"/>
        </w:rPr>
      </w:pPr>
      <w:r>
        <w:rPr>
          <w:spacing w:val="-2"/>
          <w:sz w:val="21"/>
        </w:rPr>
        <w:t>被保险人在保险期间内因</w:t>
      </w:r>
      <w:r>
        <w:rPr>
          <w:b/>
          <w:spacing w:val="-2"/>
          <w:sz w:val="21"/>
        </w:rPr>
        <w:t>意外</w:t>
      </w:r>
      <w:r>
        <w:fldChar w:fldCharType="begin"/>
      </w:r>
      <w:r>
        <w:instrText xml:space="preserve"> HYPERLINK \l "_bookmark6" </w:instrText>
      </w:r>
      <w:r>
        <w:fldChar w:fldCharType="separate"/>
      </w:r>
      <w:r>
        <w:rPr>
          <w:b/>
          <w:spacing w:val="-2"/>
          <w:position w:val="11"/>
          <w:sz w:val="10"/>
        </w:rPr>
        <w:t>7</w:t>
      </w:r>
      <w:r>
        <w:rPr>
          <w:b/>
          <w:spacing w:val="-2"/>
          <w:position w:val="11"/>
          <w:sz w:val="10"/>
        </w:rPr>
        <w:fldChar w:fldCharType="end"/>
      </w:r>
      <w:r>
        <w:rPr>
          <w:spacing w:val="-2"/>
          <w:sz w:val="21"/>
        </w:rPr>
        <w:t>，或本合同生效（若曾复效，则自本合同最后复</w:t>
      </w:r>
      <w:r>
        <w:rPr>
          <w:w w:val="95"/>
          <w:sz w:val="21"/>
        </w:rPr>
        <w:t>效）之日起</w:t>
      </w:r>
      <w:r>
        <w:rPr>
          <w:spacing w:val="30"/>
          <w:sz w:val="21"/>
        </w:rPr>
        <w:t xml:space="preserve">  </w:t>
      </w:r>
      <w:r>
        <w:rPr>
          <w:w w:val="95"/>
          <w:sz w:val="21"/>
        </w:rPr>
        <w:t>180</w:t>
      </w:r>
      <w:r>
        <w:rPr>
          <w:spacing w:val="28"/>
          <w:sz w:val="21"/>
        </w:rPr>
        <w:t xml:space="preserve">  </w:t>
      </w:r>
      <w:r>
        <w:rPr>
          <w:w w:val="95"/>
          <w:sz w:val="21"/>
        </w:rPr>
        <w:t>天后在</w:t>
      </w:r>
      <w:r>
        <w:rPr>
          <w:b/>
          <w:w w:val="95"/>
          <w:sz w:val="21"/>
        </w:rPr>
        <w:t>本公司指定或认可的医疗机构</w:t>
      </w:r>
      <w:r>
        <w:fldChar w:fldCharType="begin"/>
      </w:r>
      <w:r>
        <w:instrText xml:space="preserve"> HYPERLINK \l "_bookmark7" </w:instrText>
      </w:r>
      <w:r>
        <w:fldChar w:fldCharType="separate"/>
      </w:r>
      <w:r>
        <w:rPr>
          <w:b/>
          <w:w w:val="95"/>
          <w:position w:val="11"/>
          <w:sz w:val="10"/>
        </w:rPr>
        <w:t>8</w:t>
      </w:r>
      <w:r>
        <w:rPr>
          <w:b/>
          <w:w w:val="95"/>
          <w:position w:val="11"/>
          <w:sz w:val="10"/>
        </w:rPr>
        <w:fldChar w:fldCharType="end"/>
      </w:r>
      <w:r>
        <w:rPr>
          <w:w w:val="95"/>
          <w:sz w:val="21"/>
        </w:rPr>
        <w:t>由</w:t>
      </w:r>
      <w:r>
        <w:rPr>
          <w:b/>
          <w:w w:val="95"/>
          <w:sz w:val="21"/>
        </w:rPr>
        <w:t>专科医生</w:t>
      </w:r>
      <w:r>
        <w:fldChar w:fldCharType="begin"/>
      </w:r>
      <w:r>
        <w:instrText xml:space="preserve"> HYPERLINK \l "_bookmark8" </w:instrText>
      </w:r>
      <w:r>
        <w:fldChar w:fldCharType="separate"/>
      </w:r>
      <w:r>
        <w:rPr>
          <w:b/>
          <w:w w:val="95"/>
          <w:position w:val="11"/>
          <w:sz w:val="10"/>
        </w:rPr>
        <w:t>9</w:t>
      </w:r>
      <w:r>
        <w:rPr>
          <w:b/>
          <w:w w:val="95"/>
          <w:position w:val="11"/>
          <w:sz w:val="10"/>
        </w:rPr>
        <w:fldChar w:fldCharType="end"/>
      </w:r>
      <w:r>
        <w:rPr>
          <w:b/>
          <w:spacing w:val="-2"/>
          <w:w w:val="95"/>
          <w:sz w:val="21"/>
        </w:rPr>
        <w:t>确诊初次发</w:t>
      </w:r>
    </w:p>
    <w:p>
      <w:pPr>
        <w:pStyle w:val="4"/>
        <w:spacing w:line="278" w:lineRule="auto"/>
        <w:ind w:left="220" w:right="207"/>
      </w:pPr>
      <w:r>
        <w:pict>
          <v:shape id="docshape2" o:spid="_x0000_s1026" o:spt="202" type="#_x0000_t202" style="position:absolute;left:0pt;margin-left:309.85pt;margin-top:15.45pt;height:13.6pt;width:242.15pt;mso-position-horizontal-relative:page;z-index:-251648000;mso-width-relative:page;mso-height-relative:page;"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w w:val="95"/>
                    </w:rPr>
                    <w:t>（若被保险人同时符合两种或两种以上重大疾</w:t>
                  </w:r>
                  <w:r>
                    <w:rPr>
                      <w:color w:val="000000"/>
                      <w:spacing w:val="-4"/>
                      <w:w w:val="95"/>
                    </w:rPr>
                    <w:t>病时，</w:t>
                  </w:r>
                </w:p>
              </w:txbxContent>
            </v:textbox>
          </v:shape>
        </w:pict>
      </w:r>
      <w:r>
        <w:rPr>
          <w:b/>
          <w:spacing w:val="4"/>
          <w:w w:val="99"/>
        </w:rPr>
        <w:t>生</w:t>
      </w:r>
      <w:r>
        <w:fldChar w:fldCharType="begin"/>
      </w:r>
      <w:r>
        <w:instrText xml:space="preserve"> HYPERLINK \l "_bookmark9" </w:instrText>
      </w:r>
      <w:r>
        <w:fldChar w:fldCharType="separate"/>
      </w:r>
      <w:r>
        <w:rPr>
          <w:b/>
          <w:spacing w:val="-1"/>
          <w:w w:val="105"/>
          <w:position w:val="11"/>
          <w:sz w:val="10"/>
        </w:rPr>
        <w:t>1</w:t>
      </w:r>
      <w:r>
        <w:rPr>
          <w:b/>
          <w:spacing w:val="2"/>
          <w:w w:val="105"/>
          <w:position w:val="11"/>
          <w:sz w:val="10"/>
        </w:rPr>
        <w:t>0</w:t>
      </w:r>
      <w:r>
        <w:rPr>
          <w:b/>
          <w:spacing w:val="2"/>
          <w:w w:val="105"/>
          <w:position w:val="11"/>
          <w:sz w:val="10"/>
        </w:rPr>
        <w:fldChar w:fldCharType="end"/>
      </w:r>
      <w:r>
        <w:rPr>
          <w:spacing w:val="1"/>
          <w:w w:val="99"/>
        </w:rPr>
        <w:t>本合同所列的一种或多种重大疾病，本公司按本合同基本保险金额的</w:t>
      </w:r>
      <w:r>
        <w:rPr>
          <w:spacing w:val="-48"/>
        </w:rPr>
        <w:t xml:space="preserve"> </w:t>
      </w:r>
      <w:r>
        <w:rPr>
          <w:spacing w:val="1"/>
          <w:w w:val="99"/>
        </w:rPr>
        <w:t>10</w:t>
      </w:r>
      <w:r>
        <w:rPr>
          <w:spacing w:val="-2"/>
          <w:w w:val="99"/>
        </w:rPr>
        <w:t>0</w:t>
      </w:r>
      <w:r>
        <w:rPr>
          <w:w w:val="99"/>
        </w:rPr>
        <w:t>%</w:t>
      </w:r>
      <w:r>
        <w:rPr>
          <w:spacing w:val="-1"/>
          <w:w w:val="99"/>
        </w:rPr>
        <w:t>给付首次重大疾病保险金</w:t>
      </w:r>
    </w:p>
    <w:p>
      <w:pPr>
        <w:spacing w:after="0" w:line="278" w:lineRule="auto"/>
        <w:sectPr>
          <w:type w:val="continuous"/>
          <w:pgSz w:w="11910" w:h="16840"/>
          <w:pgMar w:top="480" w:right="660" w:bottom="280" w:left="860" w:header="0" w:footer="662" w:gutter="0"/>
          <w:cols w:equalWidth="0" w:num="2">
            <w:col w:w="2625" w:space="176"/>
            <w:col w:w="7589"/>
          </w:cols>
        </w:sectPr>
      </w:pPr>
    </w:p>
    <w:p>
      <w:pPr>
        <w:pStyle w:val="4"/>
        <w:ind w:left="3022"/>
        <w:rPr>
          <w:sz w:val="20"/>
        </w:rPr>
      </w:pPr>
      <w:r>
        <w:rPr>
          <w:sz w:val="20"/>
        </w:rPr>
        <w:pict>
          <v:shape id="docshape3" o:spid="_x0000_s1027" o:spt="202" type="#_x0000_t202" style="height:13.6pt;width:357.9pt;" fillcolor="#E4E4E4" filled="t" stroked="f" coordsize="21600,21600">
            <v:path/>
            <v:fill on="t" focussize="0,0"/>
            <v:stroke on="f" joinstyle="miter"/>
            <v:imagedata o:title=""/>
            <o:lock v:ext="edit"/>
            <v:textbox inset="0mm,0mm,0mm,0mm">
              <w:txbxContent>
                <w:p>
                  <w:pPr>
                    <w:pStyle w:val="4"/>
                    <w:spacing w:before="2"/>
                    <w:ind w:left="-2" w:right="-15"/>
                    <w:rPr>
                      <w:b/>
                      <w:color w:val="000000"/>
                    </w:rPr>
                  </w:pPr>
                  <w:r>
                    <w:rPr>
                      <w:color w:val="000000"/>
                      <w:spacing w:val="-6"/>
                      <w:w w:val="95"/>
                    </w:rPr>
                    <w:t>该给付以一次为限），给付后首次重大疾病保险金责任终止，同时本合同</w:t>
                  </w:r>
                  <w:r>
                    <w:rPr>
                      <w:b/>
                      <w:color w:val="000000"/>
                      <w:spacing w:val="-8"/>
                      <w:w w:val="95"/>
                    </w:rPr>
                    <w:t>现金价</w:t>
                  </w:r>
                </w:p>
              </w:txbxContent>
            </v:textbox>
            <w10:wrap type="none"/>
            <w10:anchorlock/>
          </v:shape>
        </w:pict>
      </w:r>
    </w:p>
    <w:p>
      <w:pPr>
        <w:pStyle w:val="3"/>
        <w:spacing w:before="12" w:line="278" w:lineRule="auto"/>
        <w:ind w:left="3020" w:right="187" w:firstLine="0"/>
      </w:pPr>
      <w:r>
        <w:rPr>
          <w:color w:val="000000"/>
          <w:spacing w:val="-2"/>
          <w:w w:val="95"/>
          <w:shd w:val="clear" w:color="auto" w:fill="E4E4E4"/>
        </w:rPr>
        <w:t>值</w:t>
      </w:r>
      <w:r>
        <w:fldChar w:fldCharType="begin"/>
      </w:r>
      <w:r>
        <w:instrText xml:space="preserve"> HYPERLINK \l "_bookmark10" </w:instrText>
      </w:r>
      <w:r>
        <w:fldChar w:fldCharType="separate"/>
      </w:r>
      <w:r>
        <w:rPr>
          <w:color w:val="000000"/>
          <w:spacing w:val="-2"/>
          <w:w w:val="95"/>
          <w:position w:val="11"/>
          <w:sz w:val="10"/>
        </w:rPr>
        <w:t>11</w:t>
      </w:r>
      <w:r>
        <w:rPr>
          <w:color w:val="000000"/>
          <w:spacing w:val="-2"/>
          <w:w w:val="95"/>
          <w:position w:val="11"/>
          <w:sz w:val="10"/>
        </w:rPr>
        <w:fldChar w:fldCharType="end"/>
      </w:r>
      <w:r>
        <w:rPr>
          <w:b w:val="0"/>
          <w:color w:val="000000"/>
          <w:spacing w:val="-2"/>
          <w:w w:val="95"/>
          <w:shd w:val="clear" w:color="auto" w:fill="E4E4E4"/>
        </w:rPr>
        <w:t>降低为零，</w:t>
      </w:r>
      <w:r>
        <w:rPr>
          <w:color w:val="000000"/>
          <w:spacing w:val="-2"/>
          <w:w w:val="95"/>
          <w:shd w:val="clear" w:color="auto" w:fill="E4E4E4"/>
        </w:rPr>
        <w:t>并不再承担中度疾病保险金责任、轻度疾病保险金责任、身故</w:t>
      </w:r>
      <w:r>
        <w:rPr>
          <w:color w:val="000000"/>
          <w:spacing w:val="80"/>
          <w:w w:val="150"/>
          <w:shd w:val="clear" w:color="auto" w:fill="E4E4E4"/>
        </w:rPr>
        <w:t xml:space="preserve">                                       </w:t>
      </w:r>
      <w:r>
        <w:rPr>
          <w:color w:val="000000"/>
          <w:spacing w:val="-2"/>
          <w:shd w:val="clear" w:color="auto" w:fill="E4E4E4"/>
        </w:rPr>
        <w:t>保险金或全残保险金责任及疾病终末期保险金责任。</w:t>
      </w:r>
    </w:p>
    <w:p>
      <w:pPr>
        <w:pStyle w:val="4"/>
        <w:spacing w:before="1"/>
        <w:rPr>
          <w:b/>
          <w:sz w:val="10"/>
        </w:rPr>
      </w:pPr>
      <w:r>
        <w:pict>
          <v:shape id="docshape4" o:spid="_x0000_s1028" o:spt="202" type="#_x0000_t202" style="position:absolute;left:0pt;margin-left:194.1pt;margin-top:7.65pt;height:13.6pt;width:359.25pt;mso-position-horizontal-relative:page;mso-wrap-distance-bottom:0pt;mso-wrap-distance-top:0pt;z-index:-251639808;mso-width-relative:page;mso-height-relative:page;" fillcolor="#E4E4E4" filled="t" stroked="f" coordsize="21600,21600">
            <v:path/>
            <v:fill on="t" focussize="0,0"/>
            <v:stroke on="f" joinstyle="miter"/>
            <v:imagedata o:title=""/>
            <o:lock v:ext="edit"/>
            <v:textbox inset="0mm,0mm,0mm,0mm">
              <w:txbxContent>
                <w:p>
                  <w:pPr>
                    <w:spacing w:before="2"/>
                    <w:ind w:left="-2" w:right="0" w:firstLine="0"/>
                    <w:jc w:val="left"/>
                    <w:rPr>
                      <w:b/>
                      <w:color w:val="000000"/>
                      <w:sz w:val="21"/>
                    </w:rPr>
                  </w:pPr>
                  <w:r>
                    <w:rPr>
                      <w:b/>
                      <w:color w:val="000000"/>
                      <w:w w:val="95"/>
                      <w:sz w:val="21"/>
                    </w:rPr>
                    <w:t>若投保人未选择</w:t>
                  </w:r>
                  <w:r>
                    <w:rPr>
                      <w:b/>
                      <w:color w:val="000000"/>
                      <w:spacing w:val="57"/>
                      <w:sz w:val="21"/>
                    </w:rPr>
                    <w:t xml:space="preserve"> </w:t>
                  </w:r>
                  <w:r>
                    <w:rPr>
                      <w:b/>
                      <w:color w:val="000000"/>
                      <w:w w:val="95"/>
                      <w:sz w:val="21"/>
                    </w:rPr>
                    <w:t>2.3.2.1</w:t>
                  </w:r>
                  <w:r>
                    <w:rPr>
                      <w:b/>
                      <w:color w:val="000000"/>
                      <w:spacing w:val="47"/>
                      <w:sz w:val="21"/>
                    </w:rPr>
                    <w:t xml:space="preserve"> </w:t>
                  </w:r>
                  <w:r>
                    <w:rPr>
                      <w:b/>
                      <w:color w:val="000000"/>
                      <w:w w:val="95"/>
                      <w:sz w:val="21"/>
                    </w:rPr>
                    <w:t>第二次重大疾病保险金责任或</w:t>
                  </w:r>
                  <w:r>
                    <w:rPr>
                      <w:b/>
                      <w:color w:val="000000"/>
                      <w:spacing w:val="58"/>
                      <w:sz w:val="21"/>
                    </w:rPr>
                    <w:t xml:space="preserve"> </w:t>
                  </w:r>
                  <w:r>
                    <w:rPr>
                      <w:b/>
                      <w:color w:val="000000"/>
                      <w:w w:val="95"/>
                      <w:sz w:val="21"/>
                    </w:rPr>
                    <w:t>2.3.2.2</w:t>
                  </w:r>
                  <w:r>
                    <w:rPr>
                      <w:b/>
                      <w:color w:val="000000"/>
                      <w:spacing w:val="47"/>
                      <w:sz w:val="21"/>
                    </w:rPr>
                    <w:t xml:space="preserve"> </w:t>
                  </w:r>
                  <w:r>
                    <w:rPr>
                      <w:b/>
                      <w:color w:val="000000"/>
                      <w:spacing w:val="-2"/>
                      <w:w w:val="95"/>
                      <w:sz w:val="21"/>
                    </w:rPr>
                    <w:t>恶性肿瘤-重</w:t>
                  </w:r>
                </w:p>
              </w:txbxContent>
            </v:textbox>
            <w10:wrap type="topAndBottom"/>
          </v:shape>
        </w:pict>
      </w:r>
    </w:p>
    <w:p>
      <w:pPr>
        <w:pStyle w:val="4"/>
        <w:spacing w:before="1"/>
        <w:rPr>
          <w:b/>
          <w:sz w:val="3"/>
        </w:rPr>
      </w:pPr>
    </w:p>
    <w:p>
      <w:pPr>
        <w:pStyle w:val="4"/>
        <w:ind w:left="3022"/>
        <w:rPr>
          <w:sz w:val="20"/>
        </w:rPr>
      </w:pPr>
      <w:r>
        <w:rPr>
          <w:sz w:val="20"/>
        </w:rPr>
        <w:pict>
          <v:shape id="docshape5" o:spid="_x0000_s1029" o:spt="202" type="#_x0000_t202" style="height:13.6pt;width:359.25pt;" fillcolor="#E4E4E4" filled="t" stroked="f" coordsize="21600,21600">
            <v:path/>
            <v:fill on="t" focussize="0,0"/>
            <v:stroke on="f" joinstyle="miter"/>
            <v:imagedata o:title=""/>
            <o:lock v:ext="edit"/>
            <v:textbox inset="0mm,0mm,0mm,0mm">
              <w:txbxContent>
                <w:p>
                  <w:pPr>
                    <w:spacing w:before="2"/>
                    <w:ind w:left="-2" w:right="0" w:firstLine="0"/>
                    <w:jc w:val="left"/>
                    <w:rPr>
                      <w:b/>
                      <w:color w:val="000000"/>
                      <w:sz w:val="21"/>
                    </w:rPr>
                  </w:pPr>
                  <w:r>
                    <w:rPr>
                      <w:b/>
                      <w:color w:val="000000"/>
                      <w:w w:val="95"/>
                      <w:sz w:val="21"/>
                    </w:rPr>
                    <w:t>度第二次给付保险金责任，或投保人选择</w:t>
                  </w:r>
                  <w:r>
                    <w:rPr>
                      <w:b/>
                      <w:color w:val="000000"/>
                      <w:spacing w:val="30"/>
                      <w:sz w:val="21"/>
                    </w:rPr>
                    <w:t xml:space="preserve">  </w:t>
                  </w:r>
                  <w:r>
                    <w:rPr>
                      <w:b/>
                      <w:color w:val="000000"/>
                      <w:w w:val="95"/>
                      <w:sz w:val="21"/>
                    </w:rPr>
                    <w:t>2.3.2.2</w:t>
                  </w:r>
                  <w:r>
                    <w:rPr>
                      <w:b/>
                      <w:color w:val="000000"/>
                      <w:spacing w:val="20"/>
                      <w:sz w:val="21"/>
                    </w:rPr>
                    <w:t xml:space="preserve">  </w:t>
                  </w:r>
                  <w:r>
                    <w:rPr>
                      <w:b/>
                      <w:color w:val="000000"/>
                      <w:spacing w:val="-1"/>
                      <w:w w:val="95"/>
                      <w:sz w:val="21"/>
                    </w:rPr>
                    <w:t>恶性肿瘤-重度第二次给付</w:t>
                  </w:r>
                </w:p>
              </w:txbxContent>
            </v:textbox>
            <w10:wrap type="none"/>
            <w10:anchorlock/>
          </v:shape>
        </w:pict>
      </w:r>
    </w:p>
    <w:p>
      <w:pPr>
        <w:spacing w:before="15" w:line="278" w:lineRule="auto"/>
        <w:ind w:left="3020" w:right="182" w:firstLine="0"/>
        <w:jc w:val="both"/>
        <w:rPr>
          <w:b/>
          <w:sz w:val="21"/>
        </w:rPr>
      </w:pPr>
      <w:r>
        <w:rPr>
          <w:b/>
          <w:color w:val="000000"/>
          <w:w w:val="99"/>
          <w:sz w:val="21"/>
          <w:shd w:val="clear" w:color="auto" w:fill="E4E4E4"/>
        </w:rPr>
        <w:t xml:space="preserve">保险金责任且首次重大疾病保险金、第二次重大疾病保险金非因确诊本合同所                                                                                                                                      </w:t>
      </w:r>
      <w:r>
        <w:rPr>
          <w:b/>
          <w:color w:val="000000"/>
          <w:spacing w:val="4"/>
          <w:w w:val="99"/>
          <w:sz w:val="21"/>
          <w:shd w:val="clear" w:color="auto" w:fill="E4E4E4"/>
        </w:rPr>
        <w:t>指的重大疾病中的“恶性肿瘤</w:t>
      </w:r>
      <w:r>
        <w:rPr>
          <w:b/>
          <w:color w:val="000000"/>
          <w:spacing w:val="5"/>
          <w:w w:val="98"/>
          <w:sz w:val="21"/>
          <w:shd w:val="clear" w:color="auto" w:fill="E4E4E4"/>
        </w:rPr>
        <w:t>-</w:t>
      </w:r>
      <w:r>
        <w:rPr>
          <w:b/>
          <w:color w:val="000000"/>
          <w:spacing w:val="3"/>
          <w:w w:val="99"/>
          <w:sz w:val="21"/>
          <w:shd w:val="clear" w:color="auto" w:fill="E4E4E4"/>
        </w:rPr>
        <w:t>重度”而给付，给付首次重大疾病保险金后本</w:t>
      </w:r>
      <w:r>
        <w:rPr>
          <w:b/>
          <w:color w:val="000000"/>
          <w:w w:val="99"/>
          <w:sz w:val="21"/>
          <w:shd w:val="clear" w:color="auto" w:fill="E4E4E4"/>
        </w:rPr>
        <w:t>合同终止。</w:t>
      </w:r>
    </w:p>
    <w:p>
      <w:pPr>
        <w:pStyle w:val="4"/>
        <w:spacing w:before="165" w:line="266" w:lineRule="auto"/>
        <w:ind w:left="3020" w:right="208"/>
        <w:jc w:val="both"/>
      </w:pPr>
      <w:r>
        <w:rPr>
          <w:spacing w:val="-1"/>
          <w:w w:val="99"/>
        </w:rPr>
        <w:t>被保险人在本合同生效</w:t>
      </w:r>
      <w:r>
        <w:rPr>
          <w:spacing w:val="2"/>
          <w:w w:val="99"/>
        </w:rPr>
        <w:t>（</w:t>
      </w:r>
      <w:r>
        <w:rPr>
          <w:spacing w:val="-1"/>
          <w:w w:val="99"/>
        </w:rPr>
        <w:t>若曾复效，则自本合同最后复效）</w:t>
      </w:r>
      <w:r>
        <w:rPr>
          <w:spacing w:val="1"/>
          <w:w w:val="99"/>
        </w:rPr>
        <w:t>之日起</w:t>
      </w:r>
      <w:r>
        <w:rPr>
          <w:spacing w:val="-50"/>
        </w:rPr>
        <w:t xml:space="preserve"> </w:t>
      </w:r>
      <w:r>
        <w:rPr>
          <w:spacing w:val="1"/>
          <w:w w:val="99"/>
        </w:rPr>
        <w:t>18</w:t>
      </w:r>
      <w:r>
        <w:rPr>
          <w:w w:val="99"/>
        </w:rPr>
        <w:t>0</w:t>
      </w:r>
      <w:r>
        <w:rPr>
          <w:spacing w:val="-54"/>
        </w:rPr>
        <w:t xml:space="preserve"> </w:t>
      </w:r>
      <w:r>
        <w:rPr>
          <w:w w:val="99"/>
        </w:rPr>
        <w:t>天内因</w:t>
      </w:r>
      <w:r>
        <w:rPr>
          <w:spacing w:val="-1"/>
          <w:w w:val="99"/>
        </w:rPr>
        <w:t>非意外的原因在本公司指定或认可的医疗机构由专科医生确诊初次发生本合同所列的一种或多种重大疾病，本公司将按投保人已交纳的本合同累计保险费数额</w:t>
      </w:r>
      <w:r>
        <w:rPr>
          <w:spacing w:val="2"/>
          <w:w w:val="99"/>
        </w:rPr>
        <w:t>（</w:t>
      </w:r>
      <w:r>
        <w:rPr>
          <w:spacing w:val="-1"/>
          <w:w w:val="99"/>
        </w:rPr>
        <w:t>不计息</w:t>
      </w:r>
      <w:r>
        <w:rPr>
          <w:spacing w:val="2"/>
          <w:w w:val="99"/>
        </w:rPr>
        <w:t>）</w:t>
      </w:r>
      <w:r>
        <w:rPr>
          <w:spacing w:val="-1"/>
          <w:w w:val="99"/>
        </w:rPr>
        <w:t>给付首次重大疾病保险金，</w:t>
      </w:r>
      <w:r>
        <w:rPr>
          <w:color w:val="000000"/>
          <w:spacing w:val="-1"/>
          <w:w w:val="99"/>
          <w:shd w:val="clear" w:color="auto" w:fill="E4E4E4"/>
        </w:rPr>
        <w:t>同时本合同终止。</w:t>
      </w:r>
    </w:p>
    <w:p>
      <w:pPr>
        <w:pStyle w:val="4"/>
        <w:spacing w:before="161" w:line="266" w:lineRule="auto"/>
        <w:ind w:left="3020" w:right="208"/>
        <w:jc w:val="both"/>
      </w:pPr>
      <w:r>
        <w:rPr>
          <w:color w:val="000000"/>
          <w:spacing w:val="-1"/>
          <w:w w:val="99"/>
          <w:shd w:val="clear" w:color="auto" w:fill="E4E4E4"/>
        </w:rPr>
        <w:t>若被保险人因同一疾病原因、同次医疗行为或同次意外伤害事故导致其发生本                                                                                                                                      合同所定义的两种或两种以上重大疾病，本公司仅按一种重大疾病给付首次重大疾病保险金。</w:t>
      </w:r>
    </w:p>
    <w:p>
      <w:pPr>
        <w:pStyle w:val="4"/>
        <w:spacing w:before="9"/>
        <w:rPr>
          <w:sz w:val="17"/>
        </w:rPr>
      </w:pPr>
    </w:p>
    <w:p>
      <w:pPr>
        <w:spacing w:after="0"/>
        <w:rPr>
          <w:sz w:val="17"/>
        </w:rPr>
        <w:sectPr>
          <w:type w:val="continuous"/>
          <w:pgSz w:w="11910" w:h="16840"/>
          <w:pgMar w:top="480" w:right="660" w:bottom="280" w:left="860" w:header="0" w:footer="662" w:gutter="0"/>
          <w:cols w:space="720" w:num="1"/>
        </w:sectPr>
      </w:pPr>
    </w:p>
    <w:p>
      <w:pPr>
        <w:pStyle w:val="3"/>
        <w:numPr>
          <w:ilvl w:val="3"/>
          <w:numId w:val="2"/>
        </w:numPr>
        <w:tabs>
          <w:tab w:val="left" w:pos="1321"/>
          <w:tab w:val="left" w:pos="1322"/>
        </w:tabs>
        <w:spacing w:before="80" w:after="0" w:line="278" w:lineRule="auto"/>
        <w:ind w:left="1321" w:right="38" w:hanging="1102"/>
        <w:jc w:val="left"/>
      </w:pPr>
      <w:r>
        <w:rPr>
          <w:spacing w:val="-2"/>
        </w:rPr>
        <w:t>中度疾病保险</w:t>
      </w:r>
      <w:r>
        <w:rPr>
          <w:spacing w:val="-10"/>
        </w:rPr>
        <w:t>金</w:t>
      </w:r>
    </w:p>
    <w:p>
      <w:pPr>
        <w:pStyle w:val="4"/>
        <w:spacing w:before="89"/>
        <w:ind w:left="220"/>
      </w:pPr>
      <w:r>
        <w:br w:type="column"/>
      </w:r>
      <w:r>
        <w:rPr>
          <w:w w:val="95"/>
        </w:rPr>
        <w:t>本合同提供保障的</w:t>
      </w:r>
      <w:r>
        <w:rPr>
          <w:b/>
          <w:w w:val="95"/>
        </w:rPr>
        <w:t>中度疾病</w:t>
      </w:r>
      <w:r>
        <w:fldChar w:fldCharType="begin"/>
      </w:r>
      <w:r>
        <w:instrText xml:space="preserve"> HYPERLINK \l "_bookmark11" </w:instrText>
      </w:r>
      <w:r>
        <w:fldChar w:fldCharType="separate"/>
      </w:r>
      <w:r>
        <w:rPr>
          <w:b/>
          <w:w w:val="95"/>
          <w:position w:val="11"/>
          <w:sz w:val="10"/>
        </w:rPr>
        <w:t>12</w:t>
      </w:r>
      <w:r>
        <w:rPr>
          <w:b/>
          <w:w w:val="95"/>
          <w:position w:val="11"/>
          <w:sz w:val="10"/>
        </w:rPr>
        <w:fldChar w:fldCharType="end"/>
      </w:r>
      <w:r>
        <w:rPr>
          <w:w w:val="95"/>
        </w:rPr>
        <w:t>共有</w:t>
      </w:r>
      <w:r>
        <w:rPr>
          <w:spacing w:val="34"/>
          <w:w w:val="150"/>
        </w:rPr>
        <w:t xml:space="preserve"> </w:t>
      </w:r>
      <w:r>
        <w:rPr>
          <w:w w:val="95"/>
        </w:rPr>
        <w:t>25</w:t>
      </w:r>
      <w:r>
        <w:rPr>
          <w:spacing w:val="27"/>
          <w:w w:val="150"/>
        </w:rPr>
        <w:t xml:space="preserve"> </w:t>
      </w:r>
      <w:r>
        <w:rPr>
          <w:spacing w:val="-1"/>
          <w:w w:val="95"/>
        </w:rPr>
        <w:t>种，名单详见本保险条款附表二。</w:t>
      </w:r>
    </w:p>
    <w:p>
      <w:pPr>
        <w:pStyle w:val="4"/>
        <w:spacing w:before="187" w:line="266" w:lineRule="auto"/>
        <w:ind w:left="220" w:right="206"/>
      </w:pP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天后因非意外的原因在本公司指定的或认可的医疗机构由专</w:t>
      </w:r>
    </w:p>
    <w:p>
      <w:pPr>
        <w:spacing w:after="0" w:line="266" w:lineRule="auto"/>
        <w:sectPr>
          <w:type w:val="continuous"/>
          <w:pgSz w:w="11910" w:h="16840"/>
          <w:pgMar w:top="480" w:right="660" w:bottom="280" w:left="860" w:header="0" w:footer="662" w:gutter="0"/>
          <w:cols w:equalWidth="0" w:num="2">
            <w:col w:w="2625" w:space="176"/>
            <w:col w:w="7589"/>
          </w:cols>
        </w:sectPr>
      </w:pPr>
    </w:p>
    <w:p>
      <w:pPr>
        <w:pStyle w:val="4"/>
        <w:spacing w:before="11"/>
        <w:rPr>
          <w:sz w:val="28"/>
        </w:rPr>
      </w:pPr>
    </w:p>
    <w:p>
      <w:pPr>
        <w:spacing w:before="91"/>
        <w:ind w:left="220" w:right="0" w:firstLine="0"/>
        <w:jc w:val="left"/>
        <w:rPr>
          <w:rFonts w:ascii="楷体" w:eastAsia="楷体"/>
          <w:sz w:val="18"/>
        </w:rPr>
      </w:pPr>
      <w:r>
        <w:rPr>
          <w:b/>
          <w:w w:val="95"/>
          <w:position w:val="9"/>
          <w:sz w:val="9"/>
        </w:rPr>
        <w:t>6</w:t>
      </w:r>
      <w:bookmarkStart w:id="5" w:name="_bookmark5"/>
      <w:bookmarkEnd w:id="5"/>
      <w:r>
        <w:rPr>
          <w:rFonts w:hint="eastAsia" w:ascii="楷体" w:eastAsia="楷体"/>
          <w:b/>
          <w:w w:val="95"/>
          <w:sz w:val="18"/>
        </w:rPr>
        <w:t>重大疾病</w:t>
      </w:r>
      <w:r>
        <w:rPr>
          <w:rFonts w:ascii="楷体" w:eastAsia="楷体"/>
          <w:w w:val="95"/>
          <w:sz w:val="18"/>
        </w:rPr>
        <w:t>：指符合本合同附表一所列的任何一种疾病定义所述条件的疾病</w:t>
      </w:r>
      <w:r>
        <w:rPr>
          <w:rFonts w:ascii="楷体" w:eastAsia="楷体"/>
          <w:spacing w:val="-10"/>
          <w:w w:val="95"/>
          <w:sz w:val="18"/>
        </w:rPr>
        <w:t>。</w:t>
      </w:r>
    </w:p>
    <w:p>
      <w:pPr>
        <w:spacing w:before="2"/>
        <w:ind w:left="220" w:right="0" w:firstLine="0"/>
        <w:jc w:val="left"/>
        <w:rPr>
          <w:rFonts w:ascii="楷体" w:eastAsia="楷体"/>
          <w:sz w:val="18"/>
        </w:rPr>
      </w:pPr>
      <w:r>
        <w:rPr>
          <w:b/>
          <w:w w:val="95"/>
          <w:position w:val="9"/>
          <w:sz w:val="9"/>
        </w:rPr>
        <w:t>7</w:t>
      </w:r>
      <w:bookmarkStart w:id="6" w:name="_bookmark6"/>
      <w:bookmarkEnd w:id="6"/>
      <w:r>
        <w:rPr>
          <w:rFonts w:hint="eastAsia" w:ascii="楷体" w:eastAsia="楷体"/>
          <w:b/>
          <w:w w:val="95"/>
          <w:sz w:val="18"/>
        </w:rPr>
        <w:t>意外：</w:t>
      </w:r>
      <w:r>
        <w:rPr>
          <w:rFonts w:ascii="楷体" w:eastAsia="楷体"/>
          <w:w w:val="95"/>
          <w:sz w:val="18"/>
        </w:rPr>
        <w:t>指外来的、突发的、非本意的、非疾病的使身体受到伤害的客观事件</w:t>
      </w:r>
      <w:r>
        <w:rPr>
          <w:rFonts w:ascii="楷体" w:eastAsia="楷体"/>
          <w:spacing w:val="-10"/>
          <w:w w:val="95"/>
          <w:sz w:val="18"/>
        </w:rPr>
        <w:t>。</w:t>
      </w:r>
    </w:p>
    <w:p>
      <w:pPr>
        <w:spacing w:before="2"/>
        <w:ind w:left="220" w:right="0" w:firstLine="0"/>
        <w:jc w:val="left"/>
        <w:rPr>
          <w:rFonts w:ascii="楷体" w:eastAsia="楷体"/>
          <w:sz w:val="18"/>
        </w:rPr>
      </w:pPr>
      <w:r>
        <w:rPr>
          <w:b/>
          <w:w w:val="95"/>
          <w:position w:val="9"/>
          <w:sz w:val="9"/>
        </w:rPr>
        <w:t>8</w:t>
      </w:r>
      <w:bookmarkStart w:id="7" w:name="_bookmark7"/>
      <w:bookmarkEnd w:id="7"/>
      <w:r>
        <w:rPr>
          <w:rFonts w:hint="eastAsia" w:ascii="楷体" w:eastAsia="楷体"/>
          <w:b/>
          <w:w w:val="95"/>
          <w:sz w:val="18"/>
        </w:rPr>
        <w:t>本公司指定或认可的医疗机构：</w:t>
      </w:r>
      <w:r>
        <w:rPr>
          <w:rFonts w:ascii="楷体" w:eastAsia="楷体"/>
          <w:w w:val="95"/>
          <w:sz w:val="18"/>
        </w:rPr>
        <w:t>包括本公司指定医疗机构，以及符合下列所有条件的机构：（1）位于境内（不包括港、澳</w:t>
      </w:r>
      <w:r>
        <w:rPr>
          <w:rFonts w:ascii="楷体" w:eastAsia="楷体"/>
          <w:spacing w:val="-10"/>
          <w:w w:val="95"/>
          <w:sz w:val="18"/>
        </w:rPr>
        <w:t>、</w:t>
      </w:r>
    </w:p>
    <w:p>
      <w:pPr>
        <w:spacing w:before="2" w:line="242" w:lineRule="auto"/>
        <w:ind w:left="220" w:right="328" w:firstLine="0"/>
        <w:jc w:val="left"/>
        <w:rPr>
          <w:rFonts w:ascii="楷体" w:eastAsia="楷体"/>
          <w:sz w:val="18"/>
        </w:rPr>
      </w:pPr>
      <w:r>
        <w:rPr>
          <w:rFonts w:ascii="楷体" w:eastAsia="楷体"/>
          <w:spacing w:val="-2"/>
          <w:sz w:val="18"/>
        </w:rPr>
        <w:t>台地区</w:t>
      </w:r>
      <w:r>
        <w:rPr>
          <w:rFonts w:ascii="楷体" w:eastAsia="楷体"/>
          <w:spacing w:val="-52"/>
          <w:sz w:val="18"/>
        </w:rPr>
        <w:t>）</w:t>
      </w:r>
      <w:r>
        <w:rPr>
          <w:rFonts w:ascii="楷体" w:eastAsia="楷体"/>
          <w:spacing w:val="-10"/>
          <w:sz w:val="18"/>
        </w:rPr>
        <w:t>，拥有合法经营执照，当地基本医疗保险管理机构最新公布的二级以上</w:t>
      </w:r>
      <w:r>
        <w:rPr>
          <w:rFonts w:ascii="楷体" w:eastAsia="楷体"/>
          <w:spacing w:val="-2"/>
          <w:sz w:val="18"/>
        </w:rPr>
        <w:t>（含二级）的公立医院。</w:t>
      </w:r>
      <w:r>
        <w:rPr>
          <w:rFonts w:ascii="楷体" w:eastAsia="楷体"/>
          <w:color w:val="000000"/>
          <w:spacing w:val="-2"/>
          <w:sz w:val="18"/>
          <w:shd w:val="clear" w:color="auto" w:fill="E4E4E4"/>
        </w:rPr>
        <w:t>本合同仅限前述医院</w:t>
      </w:r>
      <w:r>
        <w:rPr>
          <w:rFonts w:ascii="楷体" w:eastAsia="楷体"/>
          <w:color w:val="000000"/>
          <w:spacing w:val="80"/>
          <w:w w:val="150"/>
          <w:sz w:val="18"/>
          <w:shd w:val="clear" w:color="auto" w:fill="E4E4E4"/>
        </w:rPr>
        <w:t xml:space="preserve">                                                           </w:t>
      </w:r>
      <w:r>
        <w:rPr>
          <w:rFonts w:ascii="楷体" w:eastAsia="楷体"/>
          <w:color w:val="000000"/>
          <w:sz w:val="18"/>
          <w:shd w:val="clear" w:color="auto" w:fill="E4E4E4"/>
        </w:rPr>
        <w:t>普通部，不包括公立医院的特需部、VIP</w:t>
      </w:r>
      <w:r>
        <w:rPr>
          <w:rFonts w:ascii="楷体" w:eastAsia="楷体"/>
          <w:color w:val="000000"/>
          <w:spacing w:val="-11"/>
          <w:sz w:val="18"/>
          <w:shd w:val="clear" w:color="auto" w:fill="E4E4E4"/>
        </w:rPr>
        <w:t xml:space="preserve"> 部及国际部、观察室、联合病房和康复病房。</w:t>
      </w:r>
      <w:r>
        <w:rPr>
          <w:rFonts w:ascii="楷体" w:eastAsia="楷体"/>
          <w:color w:val="000000"/>
          <w:sz w:val="18"/>
        </w:rPr>
        <w:t>（2）设立的主要目的为向受伤者和患</w:t>
      </w:r>
      <w:r>
        <w:rPr>
          <w:rFonts w:ascii="楷体" w:eastAsia="楷体"/>
          <w:color w:val="000000"/>
          <w:spacing w:val="-12"/>
          <w:sz w:val="18"/>
        </w:rPr>
        <w:t>病者提供留院治疗和护理服务；</w:t>
      </w:r>
      <w:r>
        <w:rPr>
          <w:rFonts w:ascii="楷体" w:eastAsia="楷体"/>
          <w:color w:val="000000"/>
          <w:spacing w:val="24"/>
          <w:sz w:val="18"/>
        </w:rPr>
        <w:t>（</w:t>
      </w:r>
      <w:r>
        <w:rPr>
          <w:rFonts w:ascii="楷体" w:eastAsia="楷体"/>
          <w:color w:val="000000"/>
          <w:spacing w:val="22"/>
          <w:sz w:val="18"/>
        </w:rPr>
        <w:t>3</w:t>
      </w:r>
      <w:r>
        <w:rPr>
          <w:rFonts w:ascii="楷体" w:eastAsia="楷体"/>
          <w:color w:val="000000"/>
          <w:spacing w:val="9"/>
          <w:sz w:val="18"/>
        </w:rPr>
        <w:t>）</w:t>
      </w:r>
      <w:r>
        <w:rPr>
          <w:rFonts w:ascii="楷体" w:eastAsia="楷体"/>
          <w:color w:val="000000"/>
          <w:spacing w:val="-9"/>
          <w:sz w:val="18"/>
        </w:rPr>
        <w:t>有合格的医生和护士提供全日二十四小时的医疗和护理服务；</w:t>
      </w:r>
      <w:r>
        <w:rPr>
          <w:rFonts w:ascii="楷体" w:eastAsia="楷体"/>
          <w:color w:val="000000"/>
          <w:spacing w:val="25"/>
          <w:sz w:val="18"/>
        </w:rPr>
        <w:t>（</w:t>
      </w:r>
      <w:r>
        <w:rPr>
          <w:rFonts w:ascii="楷体" w:eastAsia="楷体"/>
          <w:color w:val="000000"/>
          <w:spacing w:val="26"/>
          <w:sz w:val="18"/>
        </w:rPr>
        <w:t>4</w:t>
      </w:r>
      <w:r>
        <w:rPr>
          <w:rFonts w:ascii="楷体" w:eastAsia="楷体"/>
          <w:color w:val="000000"/>
          <w:spacing w:val="8"/>
          <w:sz w:val="18"/>
        </w:rPr>
        <w:t>）</w:t>
      </w:r>
      <w:r>
        <w:rPr>
          <w:rFonts w:ascii="楷体" w:eastAsia="楷体"/>
          <w:color w:val="000000"/>
          <w:spacing w:val="-6"/>
          <w:sz w:val="18"/>
        </w:rPr>
        <w:t>非主要作为康复医院、</w:t>
      </w:r>
      <w:r>
        <w:rPr>
          <w:rFonts w:ascii="楷体" w:eastAsia="楷体"/>
          <w:color w:val="000000"/>
          <w:spacing w:val="-2"/>
          <w:sz w:val="18"/>
        </w:rPr>
        <w:t>诊所、护理、疗养、戒酒、戒毒或类似的医疗机构。</w:t>
      </w:r>
    </w:p>
    <w:p>
      <w:pPr>
        <w:spacing w:before="2"/>
        <w:ind w:left="220" w:right="0" w:firstLine="0"/>
        <w:jc w:val="left"/>
        <w:rPr>
          <w:rFonts w:ascii="楷体" w:eastAsia="楷体"/>
          <w:sz w:val="18"/>
        </w:rPr>
      </w:pPr>
      <w:r>
        <w:rPr>
          <w:b/>
          <w:w w:val="95"/>
          <w:position w:val="9"/>
          <w:sz w:val="9"/>
        </w:rPr>
        <w:t>9</w:t>
      </w:r>
      <w:bookmarkStart w:id="8" w:name="_bookmark8"/>
      <w:bookmarkEnd w:id="8"/>
      <w:r>
        <w:rPr>
          <w:rFonts w:hint="eastAsia" w:ascii="楷体" w:eastAsia="楷体"/>
          <w:b/>
          <w:w w:val="95"/>
          <w:sz w:val="18"/>
        </w:rPr>
        <w:t>专科医生：</w:t>
      </w:r>
      <w:r>
        <w:rPr>
          <w:rFonts w:ascii="楷体" w:eastAsia="楷体"/>
          <w:w w:val="95"/>
          <w:sz w:val="18"/>
        </w:rPr>
        <w:t>专科医生应当同时满足以下四项资格条件：（1）具有有效的中华人民共和国《医师资格证书</w:t>
      </w:r>
      <w:r>
        <w:rPr>
          <w:rFonts w:ascii="楷体" w:eastAsia="楷体"/>
          <w:spacing w:val="-89"/>
          <w:w w:val="95"/>
          <w:sz w:val="18"/>
        </w:rPr>
        <w:t>》</w:t>
      </w:r>
      <w:r>
        <w:rPr>
          <w:rFonts w:ascii="楷体" w:eastAsia="楷体"/>
          <w:w w:val="95"/>
          <w:sz w:val="18"/>
        </w:rPr>
        <w:t>；（2）</w:t>
      </w:r>
      <w:r>
        <w:rPr>
          <w:rFonts w:ascii="楷体" w:eastAsia="楷体"/>
          <w:spacing w:val="-2"/>
          <w:w w:val="95"/>
          <w:sz w:val="18"/>
        </w:rPr>
        <w:t>具有有效的</w:t>
      </w:r>
    </w:p>
    <w:p>
      <w:pPr>
        <w:spacing w:before="2" w:line="242" w:lineRule="auto"/>
        <w:ind w:left="220" w:right="321" w:firstLine="0"/>
        <w:jc w:val="left"/>
        <w:rPr>
          <w:rFonts w:ascii="楷体" w:eastAsia="楷体"/>
          <w:sz w:val="18"/>
        </w:rPr>
      </w:pPr>
      <w:r>
        <w:rPr>
          <w:rFonts w:ascii="楷体" w:eastAsia="楷体"/>
          <w:spacing w:val="-11"/>
          <w:sz w:val="18"/>
        </w:rPr>
        <w:t>中华人民共和国《医师执业证书》，并按期到相关部门登记注册；</w:t>
      </w:r>
      <w:r>
        <w:rPr>
          <w:rFonts w:ascii="楷体" w:eastAsia="楷体"/>
          <w:spacing w:val="28"/>
          <w:sz w:val="18"/>
        </w:rPr>
        <w:t>（</w:t>
      </w:r>
      <w:r>
        <w:rPr>
          <w:rFonts w:ascii="楷体" w:eastAsia="楷体"/>
          <w:spacing w:val="26"/>
          <w:sz w:val="18"/>
        </w:rPr>
        <w:t>3</w:t>
      </w:r>
      <w:r>
        <w:rPr>
          <w:rFonts w:ascii="楷体" w:eastAsia="楷体"/>
          <w:spacing w:val="13"/>
          <w:sz w:val="18"/>
        </w:rPr>
        <w:t>）</w:t>
      </w:r>
      <w:r>
        <w:rPr>
          <w:rFonts w:ascii="楷体" w:eastAsia="楷体"/>
          <w:spacing w:val="-2"/>
          <w:sz w:val="18"/>
        </w:rPr>
        <w:t>具有有效的中华人民共和国主治医师或主治医师以上职</w:t>
      </w:r>
      <w:r>
        <w:rPr>
          <w:rFonts w:ascii="楷体" w:eastAsia="楷体"/>
          <w:spacing w:val="-22"/>
          <w:sz w:val="18"/>
        </w:rPr>
        <w:t>称的《医师职称证书》；</w:t>
      </w:r>
      <w:r>
        <w:rPr>
          <w:rFonts w:ascii="楷体" w:eastAsia="楷体"/>
          <w:spacing w:val="26"/>
          <w:sz w:val="18"/>
        </w:rPr>
        <w:t>（</w:t>
      </w:r>
      <w:r>
        <w:rPr>
          <w:rFonts w:ascii="楷体" w:eastAsia="楷体"/>
          <w:spacing w:val="27"/>
          <w:sz w:val="18"/>
        </w:rPr>
        <w:t>4</w:t>
      </w:r>
      <w:r>
        <w:rPr>
          <w:rFonts w:ascii="楷体" w:eastAsia="楷体"/>
          <w:spacing w:val="6"/>
          <w:sz w:val="18"/>
        </w:rPr>
        <w:t>）</w:t>
      </w:r>
      <w:r>
        <w:rPr>
          <w:rFonts w:ascii="楷体" w:eastAsia="楷体"/>
          <w:spacing w:val="-6"/>
          <w:sz w:val="18"/>
        </w:rPr>
        <w:t>在国家《医院分级管理标准》属于二级以上（含）</w:t>
      </w:r>
      <w:r>
        <w:rPr>
          <w:rFonts w:ascii="楷体" w:eastAsia="楷体"/>
          <w:spacing w:val="-11"/>
          <w:sz w:val="18"/>
        </w:rPr>
        <w:t>的医院的相应科室从事临床工作三年以上；</w:t>
      </w:r>
      <w:r>
        <w:rPr>
          <w:rFonts w:ascii="楷体" w:eastAsia="楷体"/>
          <w:spacing w:val="20"/>
          <w:sz w:val="18"/>
        </w:rPr>
        <w:t>（</w:t>
      </w:r>
      <w:r>
        <w:rPr>
          <w:rFonts w:ascii="楷体" w:eastAsia="楷体"/>
          <w:spacing w:val="21"/>
          <w:sz w:val="18"/>
        </w:rPr>
        <w:t>5</w:t>
      </w:r>
      <w:r>
        <w:rPr>
          <w:rFonts w:ascii="楷体" w:eastAsia="楷体"/>
          <w:spacing w:val="20"/>
          <w:sz w:val="18"/>
        </w:rPr>
        <w:t>）</w:t>
      </w:r>
      <w:r>
        <w:rPr>
          <w:rFonts w:ascii="楷体" w:eastAsia="楷体"/>
          <w:spacing w:val="-2"/>
          <w:sz w:val="18"/>
        </w:rPr>
        <w:t>非被保险人本人及其直系亲属。</w:t>
      </w:r>
    </w:p>
    <w:p>
      <w:pPr>
        <w:spacing w:before="2"/>
        <w:ind w:left="220" w:right="0" w:firstLine="0"/>
        <w:jc w:val="left"/>
        <w:rPr>
          <w:rFonts w:ascii="楷体" w:eastAsia="楷体"/>
          <w:sz w:val="18"/>
        </w:rPr>
      </w:pPr>
      <w:r>
        <w:rPr>
          <w:b/>
          <w:w w:val="95"/>
          <w:position w:val="9"/>
          <w:sz w:val="9"/>
        </w:rPr>
        <w:t>1</w:t>
      </w:r>
      <w:bookmarkStart w:id="9" w:name="_bookmark9"/>
      <w:bookmarkEnd w:id="9"/>
      <w:r>
        <w:rPr>
          <w:b/>
          <w:w w:val="95"/>
          <w:position w:val="9"/>
          <w:sz w:val="9"/>
        </w:rPr>
        <w:t>0</w:t>
      </w:r>
      <w:r>
        <w:rPr>
          <w:rFonts w:hint="eastAsia" w:ascii="楷体" w:eastAsia="楷体"/>
          <w:b/>
          <w:w w:val="95"/>
          <w:sz w:val="18"/>
        </w:rPr>
        <w:t>确诊初次发生：</w:t>
      </w:r>
      <w:r>
        <w:rPr>
          <w:rFonts w:ascii="楷体" w:eastAsia="楷体"/>
          <w:w w:val="95"/>
          <w:sz w:val="18"/>
        </w:rPr>
        <w:t>指被保险人自出生之日起第一次经医院确诊患有某种疾病，</w:t>
      </w:r>
      <w:r>
        <w:rPr>
          <w:rFonts w:ascii="楷体" w:eastAsia="楷体"/>
          <w:color w:val="000000"/>
          <w:w w:val="95"/>
          <w:sz w:val="18"/>
          <w:shd w:val="clear" w:color="auto" w:fill="E4E4E4"/>
        </w:rPr>
        <w:t>而不是指自本合同生效、复效之后第一次经医</w:t>
      </w:r>
      <w:r>
        <w:rPr>
          <w:rFonts w:ascii="楷体" w:eastAsia="楷体"/>
          <w:color w:val="000000"/>
          <w:spacing w:val="-10"/>
          <w:w w:val="95"/>
          <w:sz w:val="18"/>
          <w:shd w:val="clear" w:color="auto" w:fill="E4E4E4"/>
        </w:rPr>
        <w:t>院</w:t>
      </w:r>
    </w:p>
    <w:p>
      <w:pPr>
        <w:spacing w:before="5"/>
        <w:ind w:left="220" w:right="0" w:firstLine="0"/>
        <w:jc w:val="left"/>
        <w:rPr>
          <w:rFonts w:ascii="楷体" w:eastAsia="楷体"/>
          <w:sz w:val="18"/>
        </w:rPr>
      </w:pPr>
      <w:r>
        <w:rPr>
          <w:rFonts w:ascii="楷体" w:eastAsia="楷体"/>
          <w:color w:val="000000"/>
          <w:spacing w:val="-2"/>
          <w:sz w:val="18"/>
          <w:shd w:val="clear" w:color="auto" w:fill="E4E4E4"/>
        </w:rPr>
        <w:t>确诊患有某种疾病。</w:t>
      </w:r>
    </w:p>
    <w:p>
      <w:pPr>
        <w:spacing w:before="2"/>
        <w:ind w:left="220" w:right="0" w:firstLine="0"/>
        <w:jc w:val="left"/>
        <w:rPr>
          <w:rFonts w:ascii="楷体" w:eastAsia="楷体"/>
          <w:sz w:val="18"/>
        </w:rPr>
      </w:pPr>
      <w:r>
        <w:rPr>
          <w:rFonts w:ascii="楷体" w:eastAsia="楷体"/>
          <w:w w:val="95"/>
          <w:position w:val="9"/>
          <w:sz w:val="9"/>
        </w:rPr>
        <w:t>1</w:t>
      </w:r>
      <w:bookmarkStart w:id="10" w:name="_bookmark10"/>
      <w:bookmarkEnd w:id="10"/>
      <w:r>
        <w:rPr>
          <w:rFonts w:ascii="楷体" w:eastAsia="楷体"/>
          <w:w w:val="95"/>
          <w:position w:val="9"/>
          <w:sz w:val="9"/>
        </w:rPr>
        <w:t>1</w:t>
      </w:r>
      <w:r>
        <w:rPr>
          <w:rFonts w:hint="eastAsia" w:ascii="楷体" w:eastAsia="楷体"/>
          <w:b/>
          <w:w w:val="95"/>
          <w:sz w:val="18"/>
        </w:rPr>
        <w:t>现金价值：</w:t>
      </w:r>
      <w:r>
        <w:rPr>
          <w:rFonts w:ascii="楷体" w:eastAsia="楷体"/>
          <w:w w:val="95"/>
          <w:sz w:val="18"/>
        </w:rPr>
        <w:t>指保险合同所具有的价值，通常体现为解除合同时，根据精算原理计算的，由本公司退还的那部分金额</w:t>
      </w:r>
      <w:r>
        <w:rPr>
          <w:rFonts w:ascii="楷体" w:eastAsia="楷体"/>
          <w:spacing w:val="-10"/>
          <w:w w:val="95"/>
          <w:sz w:val="18"/>
        </w:rPr>
        <w:t>。</w:t>
      </w:r>
    </w:p>
    <w:p>
      <w:pPr>
        <w:spacing w:before="2"/>
        <w:ind w:left="220" w:right="0" w:firstLine="0"/>
        <w:jc w:val="left"/>
        <w:rPr>
          <w:rFonts w:ascii="楷体" w:eastAsia="楷体"/>
          <w:sz w:val="18"/>
        </w:rPr>
      </w:pPr>
      <w:r>
        <w:rPr>
          <w:b/>
          <w:w w:val="95"/>
          <w:position w:val="9"/>
          <w:sz w:val="9"/>
        </w:rPr>
        <w:t>1</w:t>
      </w:r>
      <w:bookmarkStart w:id="11" w:name="_bookmark11"/>
      <w:bookmarkEnd w:id="11"/>
      <w:r>
        <w:rPr>
          <w:b/>
          <w:w w:val="95"/>
          <w:position w:val="9"/>
          <w:sz w:val="9"/>
        </w:rPr>
        <w:t>2</w:t>
      </w:r>
      <w:r>
        <w:rPr>
          <w:rFonts w:hint="eastAsia" w:ascii="楷体" w:eastAsia="楷体"/>
          <w:b/>
          <w:w w:val="95"/>
          <w:sz w:val="18"/>
        </w:rPr>
        <w:t>中度疾病：</w:t>
      </w:r>
      <w:r>
        <w:rPr>
          <w:rFonts w:ascii="楷体" w:eastAsia="楷体"/>
          <w:w w:val="95"/>
          <w:sz w:val="18"/>
        </w:rPr>
        <w:t>指符合本合同附表二所列的任何一种疾病定义所述条件的疾病</w:t>
      </w:r>
      <w:r>
        <w:rPr>
          <w:rFonts w:ascii="楷体" w:eastAsia="楷体"/>
          <w:spacing w:val="-10"/>
          <w:w w:val="95"/>
          <w:sz w:val="18"/>
        </w:rPr>
        <w:t>。</w:t>
      </w:r>
    </w:p>
    <w:p>
      <w:pPr>
        <w:spacing w:after="0"/>
        <w:jc w:val="left"/>
        <w:rPr>
          <w:rFonts w:ascii="楷体" w:eastAsia="楷体"/>
          <w:sz w:val="18"/>
        </w:rPr>
        <w:sectPr>
          <w:type w:val="continuous"/>
          <w:pgSz w:w="11910" w:h="16840"/>
          <w:pgMar w:top="480" w:right="660" w:bottom="280" w:left="860" w:header="0" w:footer="662" w:gutter="0"/>
          <w:cols w:space="720" w:num="1"/>
        </w:sectPr>
      </w:pPr>
    </w:p>
    <w:p>
      <w:pPr>
        <w:pStyle w:val="4"/>
        <w:spacing w:before="53" w:line="266" w:lineRule="auto"/>
        <w:ind w:left="3020" w:right="208"/>
        <w:jc w:val="both"/>
      </w:pPr>
      <w:r>
        <w:rPr>
          <w:spacing w:val="-1"/>
          <w:w w:val="99"/>
        </w:rPr>
        <w:t>科医生确诊初次发生本合同所列的一种或多种中度疾病，本公司按本合同基本保险金额的</w:t>
      </w:r>
      <w:r>
        <w:rPr>
          <w:spacing w:val="-50"/>
        </w:rPr>
        <w:t xml:space="preserve"> </w:t>
      </w:r>
      <w:r>
        <w:rPr>
          <w:spacing w:val="1"/>
          <w:w w:val="99"/>
        </w:rPr>
        <w:t>50</w:t>
      </w:r>
      <w:r>
        <w:rPr>
          <w:spacing w:val="-1"/>
          <w:w w:val="99"/>
        </w:rPr>
        <w:t>%给付中度疾病保险金。</w:t>
      </w:r>
    </w:p>
    <w:p>
      <w:pPr>
        <w:pStyle w:val="4"/>
        <w:spacing w:before="158" w:line="266" w:lineRule="auto"/>
        <w:ind w:left="3020" w:right="208"/>
        <w:jc w:val="both"/>
        <w:rPr>
          <w:color w:val="000000"/>
          <w:spacing w:val="-1"/>
          <w:w w:val="99"/>
          <w:shd w:val="clear" w:color="auto" w:fill="E4E4E4"/>
        </w:rPr>
      </w:pPr>
      <w:r>
        <w:rPr>
          <w:spacing w:val="-1"/>
          <w:w w:val="99"/>
        </w:rPr>
        <w:t>被保险人在本合同生效</w:t>
      </w:r>
      <w:r>
        <w:rPr>
          <w:spacing w:val="2"/>
          <w:w w:val="99"/>
        </w:rPr>
        <w:t>（</w:t>
      </w:r>
      <w:r>
        <w:rPr>
          <w:spacing w:val="-1"/>
          <w:w w:val="99"/>
        </w:rPr>
        <w:t>若曾复效，则自本合同最后复效</w:t>
      </w:r>
      <w:r>
        <w:rPr>
          <w:spacing w:val="2"/>
          <w:w w:val="99"/>
        </w:rPr>
        <w:t>）</w:t>
      </w:r>
      <w:r>
        <w:rPr>
          <w:w w:val="99"/>
        </w:rPr>
        <w:t>之日起</w:t>
      </w:r>
      <w:r>
        <w:rPr>
          <w:spacing w:val="-50"/>
        </w:rPr>
        <w:t xml:space="preserve"> </w:t>
      </w:r>
      <w:r>
        <w:rPr>
          <w:spacing w:val="1"/>
          <w:w w:val="99"/>
        </w:rPr>
        <w:t>18</w:t>
      </w:r>
      <w:r>
        <w:rPr>
          <w:w w:val="99"/>
        </w:rPr>
        <w:t>0</w:t>
      </w:r>
      <w:r>
        <w:rPr>
          <w:spacing w:val="-54"/>
        </w:rPr>
        <w:t xml:space="preserve"> </w:t>
      </w:r>
      <w:r>
        <w:rPr>
          <w:w w:val="99"/>
        </w:rPr>
        <w:t>天内因</w:t>
      </w:r>
      <w:r>
        <w:rPr>
          <w:spacing w:val="-1"/>
          <w:w w:val="99"/>
        </w:rPr>
        <w:t>非意外的原因，在本公司指定或认可的医疗机构由专科医生确诊初次发生本合同所列的一种或多种中度疾病，</w:t>
      </w:r>
      <w:r>
        <w:rPr>
          <w:color w:val="000000"/>
          <w:spacing w:val="-1"/>
          <w:w w:val="99"/>
          <w:shd w:val="clear" w:color="auto" w:fill="E4E4E4"/>
        </w:rPr>
        <w:t>本公司不承担且不再承担此种中度疾病保险金                                                                                                                                      责任，本合同继续有效。</w:t>
      </w:r>
    </w:p>
    <w:p>
      <w:pPr>
        <w:pStyle w:val="4"/>
        <w:spacing w:before="3"/>
        <w:ind w:left="-2"/>
        <w:rPr>
          <w:color w:val="000000"/>
        </w:rPr>
      </w:pPr>
    </w:p>
    <w:p>
      <w:pPr>
        <w:pStyle w:val="4"/>
        <w:spacing w:before="158" w:line="266" w:lineRule="auto"/>
        <w:ind w:left="3020" w:right="208"/>
        <w:jc w:val="both"/>
        <w:rPr>
          <w:color w:val="000000"/>
          <w:spacing w:val="-1"/>
          <w:w w:val="99"/>
          <w:shd w:val="clear" w:color="auto" w:fill="E4E4E4"/>
        </w:rPr>
      </w:pPr>
      <w:r>
        <w:pict>
          <v:shape id="docshape7" o:spid="_x0000_s1031" o:spt="202" type="#_x0000_t202" style="position:absolute;left:0pt;margin-left:194.1pt;margin-top:84.65pt;height:118.15pt;width:369.4pt;mso-position-horizontal-relative:page;z-index:-251646976;mso-width-relative:page;mso-height-relative:page;" fillcolor="#E4E4E4" filled="t" stroked="f" coordsize="21600,21600">
            <v:path/>
            <v:fill on="t" color2="#FFFFFF" focussize="0,0"/>
            <v:stroke on="f"/>
            <v:imagedata o:title=""/>
            <o:lock v:ext="edit" aspectratio="f"/>
            <v:textbox inset="0mm,0mm,0mm,0mm">
              <w:txbxContent>
                <w:p>
                  <w:r>
                    <w:rPr>
                      <w:rFonts w:ascii="宋体" w:hAnsi="宋体" w:eastAsia="宋体" w:cs="宋体"/>
                      <w:color w:val="000000"/>
                      <w:spacing w:val="-1"/>
                      <w:w w:val="99"/>
                      <w:sz w:val="21"/>
                      <w:szCs w:val="21"/>
                      <w:shd w:val="clear" w:color="auto" w:fill="E4E4E4"/>
                      <w:lang w:val="en-US" w:eastAsia="zh-CN" w:bidi="ar-SA"/>
                    </w:rPr>
                    <w:t>若被保险人因同一疾病原因、 同次医疗行为或同次意外伤害事故导致其发生本合同所定义的两种或两种以上中度疾病， 本公司仅按一种中度疾病给付中度疾病保险金。</w:t>
                  </w:r>
                  <w:r>
                    <w:rPr>
                      <w:rFonts w:ascii="宋体" w:hAnsi="宋体" w:eastAsia="宋体" w:cs="宋体"/>
                      <w:sz w:val="24"/>
                      <w:szCs w:val="24"/>
                    </w:rPr>
                    <w:t xml:space="preserve"> </w:t>
                  </w:r>
                </w:p>
              </w:txbxContent>
            </v:textbox>
          </v:shape>
        </w:pict>
      </w:r>
      <w:r>
        <w:pict>
          <v:shape id="docshape8" o:spid="_x0000_s1032" o:spt="202" type="#_x0000_t202" style="position:absolute;left:0pt;margin-left:194.1pt;margin-top:6.3pt;height:62.35pt;width:367.1pt;mso-position-horizontal-relative:page;mso-wrap-distance-bottom:0pt;mso-wrap-distance-top:0pt;z-index:-251638784;mso-width-relative:page;mso-height-relative:page;" fillcolor="#E4E4E4" filled="t" stroked="f" coordsize="21600,21600">
            <v:path/>
            <v:fill on="t" color2="#FFFFFF" focussize="0,0"/>
            <v:stroke on="f"/>
            <v:imagedata o:title=""/>
            <o:lock v:ext="edit" aspectratio="f"/>
            <v:textbox inset="0mm,0mm,0mm,0mm">
              <w:txbxContent>
                <w:p>
                  <w:pPr>
                    <w:rPr>
                      <w:rFonts w:ascii="宋体" w:hAnsi="宋体" w:eastAsia="宋体" w:cs="宋体"/>
                      <w:color w:val="000000"/>
                      <w:spacing w:val="-1"/>
                      <w:w w:val="99"/>
                      <w:sz w:val="21"/>
                      <w:szCs w:val="21"/>
                      <w:shd w:val="clear" w:color="auto" w:fill="E4E4E4"/>
                      <w:lang w:val="en-US" w:eastAsia="zh-CN" w:bidi="ar-SA"/>
                    </w:rPr>
                  </w:pPr>
                  <w:r>
                    <w:rPr>
                      <w:rFonts w:ascii="宋体" w:hAnsi="宋体" w:eastAsia="宋体" w:cs="宋体"/>
                      <w:color w:val="000000"/>
                      <w:spacing w:val="-1"/>
                      <w:w w:val="99"/>
                      <w:sz w:val="21"/>
                      <w:szCs w:val="21"/>
                      <w:shd w:val="clear" w:color="auto" w:fill="E4E4E4"/>
                      <w:lang w:val="en-US" w:eastAsia="zh-CN" w:bidi="ar-SA"/>
                    </w:rPr>
                    <w:t>每</w:t>
                  </w:r>
                  <w:r>
                    <w:rPr>
                      <w:rFonts w:ascii="宋体" w:hAnsi="宋体" w:eastAsia="宋体" w:cs="宋体"/>
                      <w:color w:val="000000"/>
                      <w:spacing w:val="-1"/>
                      <w:w w:val="99"/>
                      <w:sz w:val="21"/>
                      <w:szCs w:val="21"/>
                      <w:shd w:val="clear" w:color="auto" w:fill="E4E4E4"/>
                      <w:lang w:val="en-US" w:eastAsia="zh-CN" w:bidi="ar-SA"/>
                    </w:rPr>
                    <w:t xml:space="preserve">种中度疾病限给付一次， 给付后该种中度疾病保险金责任终止。 不同中度疾病可以多次给付， 但本合同的中度疾病保险金累计给付以两次为限。 当累计给付的中度疾病保险金达到两次时， 中度疾病保险金责任终止， 本合同继续有效。 </w:t>
                  </w:r>
                </w:p>
                <w:p/>
              </w:txbxContent>
            </v:textbox>
            <w10:wrap type="topAndBottom"/>
          </v:shape>
        </w:pict>
      </w:r>
    </w:p>
    <w:p>
      <w:pPr>
        <w:pStyle w:val="4"/>
        <w:spacing w:before="6"/>
        <w:rPr>
          <w:sz w:val="10"/>
        </w:rPr>
      </w:pPr>
      <w:r>
        <w:drawing>
          <wp:anchor distT="0" distB="0" distL="0" distR="0" simplePos="0" relativeHeight="251668480" behindDoc="1" locked="0" layoutInCell="1" allowOverlap="1">
            <wp:simplePos x="0" y="0"/>
            <wp:positionH relativeFrom="page">
              <wp:posOffset>2465070</wp:posOffset>
            </wp:positionH>
            <wp:positionV relativeFrom="paragraph">
              <wp:posOffset>481965</wp:posOffset>
            </wp:positionV>
            <wp:extent cx="4543425" cy="17272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4543425" cy="172720"/>
                    </a:xfrm>
                    <a:prstGeom prst="rect">
                      <a:avLst/>
                    </a:prstGeom>
                  </pic:spPr>
                </pic:pic>
              </a:graphicData>
            </a:graphic>
          </wp:anchor>
        </w:drawing>
      </w:r>
      <w:r>
        <w:pict>
          <v:shape id="docshape6" o:spid="_x0000_s1030" o:spt="202" type="#_x0000_t202" style="position:absolute;left:0pt;margin-left:194pt;margin-top:37.95pt;height:13.6pt;width:363.05pt;mso-position-horizontal-relative:page;z-index:-251646976;mso-width-relative:page;mso-height-relative:page;" filled="f" stroked="f" coordsize="21600,21600">
            <v:path/>
            <v:fill on="f" focussize="0,0"/>
            <v:stroke on="f" joinstyle="miter"/>
            <v:imagedata o:title=""/>
            <o:lock v:ext="edit"/>
            <v:textbox inset="0mm,0mm,0mm,0mm">
              <w:txbxContent>
                <w:p>
                  <w:pPr>
                    <w:pStyle w:val="4"/>
                    <w:spacing w:before="3"/>
                  </w:pPr>
                  <w:r>
                    <w:rPr>
                      <w:w w:val="95"/>
                    </w:rPr>
                    <w:t>付的中度疾保险金达到两次时，中度疾病保险金责任终止，本合同继续有效</w:t>
                  </w:r>
                  <w:r>
                    <w:rPr>
                      <w:spacing w:val="-10"/>
                      <w:w w:val="95"/>
                    </w:rPr>
                    <w:t>。</w:t>
                  </w:r>
                </w:p>
              </w:txbxContent>
            </v:textbox>
          </v:shape>
        </w:pict>
      </w:r>
    </w:p>
    <w:p>
      <w:pPr>
        <w:pStyle w:val="4"/>
        <w:spacing w:before="2"/>
        <w:rPr>
          <w:sz w:val="9"/>
        </w:rPr>
      </w:pPr>
    </w:p>
    <w:p>
      <w:pPr>
        <w:pStyle w:val="4"/>
        <w:spacing w:before="69" w:line="266" w:lineRule="auto"/>
        <w:ind w:left="3020" w:right="208"/>
        <w:jc w:val="both"/>
      </w:pPr>
    </w:p>
    <w:p>
      <w:pPr>
        <w:spacing w:after="0" w:line="266" w:lineRule="auto"/>
        <w:jc w:val="both"/>
        <w:sectPr>
          <w:pgSz w:w="11910" w:h="16840"/>
          <w:pgMar w:top="1400" w:right="660" w:bottom="860" w:left="860" w:header="0" w:footer="662" w:gutter="0"/>
          <w:cols w:space="720" w:num="1"/>
        </w:sectPr>
      </w:pPr>
    </w:p>
    <w:p>
      <w:pPr>
        <w:pStyle w:val="4"/>
        <w:rPr>
          <w:sz w:val="20"/>
        </w:rPr>
      </w:pPr>
    </w:p>
    <w:p>
      <w:pPr>
        <w:pStyle w:val="4"/>
        <w:rPr>
          <w:sz w:val="20"/>
        </w:rPr>
      </w:pPr>
    </w:p>
    <w:p>
      <w:pPr>
        <w:pStyle w:val="4"/>
        <w:rPr>
          <w:sz w:val="20"/>
        </w:rPr>
      </w:pPr>
    </w:p>
    <w:p>
      <w:pPr>
        <w:pStyle w:val="4"/>
        <w:rPr>
          <w:sz w:val="20"/>
        </w:rPr>
      </w:pPr>
    </w:p>
    <w:p>
      <w:pPr>
        <w:pStyle w:val="4"/>
        <w:spacing w:before="2"/>
        <w:rPr>
          <w:sz w:val="14"/>
        </w:rPr>
      </w:pPr>
    </w:p>
    <w:p>
      <w:pPr>
        <w:pStyle w:val="3"/>
        <w:numPr>
          <w:ilvl w:val="3"/>
          <w:numId w:val="2"/>
        </w:numPr>
        <w:tabs>
          <w:tab w:val="left" w:pos="1321"/>
          <w:tab w:val="left" w:pos="1322"/>
        </w:tabs>
        <w:spacing w:before="0" w:after="0" w:line="278" w:lineRule="auto"/>
        <w:ind w:left="1321" w:right="38" w:hanging="1102"/>
        <w:jc w:val="left"/>
      </w:pPr>
      <w:r>
        <w:rPr>
          <w:spacing w:val="-2"/>
        </w:rPr>
        <w:t>轻度疾病保险</w:t>
      </w:r>
      <w:r>
        <w:rPr>
          <w:spacing w:val="-10"/>
        </w:rPr>
        <w:t>金</w:t>
      </w:r>
    </w:p>
    <w:p>
      <w:pPr>
        <w:pStyle w:val="4"/>
        <w:spacing w:before="160" w:line="266" w:lineRule="auto"/>
        <w:ind w:left="220" w:right="208"/>
        <w:jc w:val="both"/>
      </w:pPr>
      <w:r>
        <w:br w:type="column"/>
      </w:r>
      <w:r>
        <w:rPr>
          <w:color w:val="000000"/>
          <w:spacing w:val="-1"/>
          <w:w w:val="99"/>
          <w:shd w:val="clear" w:color="auto" w:fill="E4E4E4"/>
        </w:rPr>
        <w:t>若被保险人所患的中度疾病同时符合本合同所列的中度疾病定义和本合同所列                                                                                                                                      的重大疾病定义的，本公司仅承担给付首次重大疾病保险金、第二次重大疾病保险金或恶性肿瘤-重度第二次给付保险金的保险责任。</w:t>
      </w:r>
    </w:p>
    <w:p>
      <w:pPr>
        <w:pStyle w:val="4"/>
        <w:spacing w:before="160"/>
        <w:ind w:left="220"/>
        <w:jc w:val="both"/>
      </w:pPr>
      <w:r>
        <w:rPr>
          <w:w w:val="95"/>
        </w:rPr>
        <w:t>本合同提供保障的</w:t>
      </w:r>
      <w:r>
        <w:rPr>
          <w:b/>
          <w:w w:val="95"/>
        </w:rPr>
        <w:t>轻度疾病</w:t>
      </w:r>
      <w:r>
        <w:fldChar w:fldCharType="begin"/>
      </w:r>
      <w:r>
        <w:instrText xml:space="preserve"> HYPERLINK \l "_bookmark12" </w:instrText>
      </w:r>
      <w:r>
        <w:fldChar w:fldCharType="separate"/>
      </w:r>
      <w:r>
        <w:rPr>
          <w:b/>
          <w:w w:val="95"/>
          <w:position w:val="11"/>
          <w:sz w:val="10"/>
        </w:rPr>
        <w:t>13</w:t>
      </w:r>
      <w:r>
        <w:rPr>
          <w:b/>
          <w:w w:val="95"/>
          <w:position w:val="11"/>
          <w:sz w:val="10"/>
        </w:rPr>
        <w:fldChar w:fldCharType="end"/>
      </w:r>
      <w:r>
        <w:rPr>
          <w:w w:val="95"/>
        </w:rPr>
        <w:t>共有</w:t>
      </w:r>
      <w:r>
        <w:rPr>
          <w:spacing w:val="34"/>
          <w:w w:val="150"/>
        </w:rPr>
        <w:t xml:space="preserve"> </w:t>
      </w:r>
      <w:r>
        <w:rPr>
          <w:w w:val="95"/>
        </w:rPr>
        <w:t>51</w:t>
      </w:r>
      <w:r>
        <w:rPr>
          <w:spacing w:val="27"/>
          <w:w w:val="150"/>
        </w:rPr>
        <w:t xml:space="preserve"> </w:t>
      </w:r>
      <w:r>
        <w:rPr>
          <w:spacing w:val="-1"/>
          <w:w w:val="95"/>
        </w:rPr>
        <w:t>种，名单详见本保险条款附表三。</w:t>
      </w:r>
    </w:p>
    <w:p>
      <w:pPr>
        <w:pStyle w:val="4"/>
        <w:spacing w:before="187" w:line="266" w:lineRule="auto"/>
        <w:ind w:left="220" w:right="208"/>
        <w:jc w:val="both"/>
      </w:pP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天后因非意外的原因在本公司指定或认可的医疗机构由专科医生确诊初次发生本合同所列的一种或多种轻度疾病，本公司按本合同基本保</w:t>
      </w:r>
      <w:r>
        <w:rPr>
          <w:w w:val="99"/>
        </w:rPr>
        <w:t>险金额的</w:t>
      </w:r>
      <w:r>
        <w:rPr>
          <w:spacing w:val="-53"/>
        </w:rPr>
        <w:t xml:space="preserve"> </w:t>
      </w:r>
      <w:r>
        <w:rPr>
          <w:spacing w:val="1"/>
          <w:w w:val="99"/>
        </w:rPr>
        <w:t>30</w:t>
      </w:r>
      <w:r>
        <w:rPr>
          <w:spacing w:val="-1"/>
          <w:w w:val="99"/>
        </w:rPr>
        <w:t>%给付轻度疾病保险金。</w:t>
      </w:r>
    </w:p>
    <w:p>
      <w:pPr>
        <w:pStyle w:val="4"/>
        <w:spacing w:before="162" w:line="266" w:lineRule="auto"/>
        <w:ind w:left="220" w:right="206"/>
        <w:jc w:val="both"/>
      </w:pPr>
      <w:r>
        <w:rPr>
          <w:spacing w:val="-1"/>
          <w:w w:val="99"/>
        </w:rPr>
        <w:t>被保险人在本合同生效</w:t>
      </w:r>
      <w:r>
        <w:rPr>
          <w:spacing w:val="2"/>
          <w:w w:val="99"/>
        </w:rPr>
        <w:t>（</w:t>
      </w:r>
      <w:r>
        <w:rPr>
          <w:spacing w:val="-1"/>
          <w:w w:val="99"/>
        </w:rPr>
        <w:t>若曾复效，则自本合同最后复效</w:t>
      </w:r>
      <w:r>
        <w:rPr>
          <w:spacing w:val="2"/>
          <w:w w:val="99"/>
        </w:rPr>
        <w:t>）</w:t>
      </w:r>
      <w:r>
        <w:rPr>
          <w:w w:val="99"/>
        </w:rPr>
        <w:t>之日起</w:t>
      </w:r>
      <w:r>
        <w:rPr>
          <w:spacing w:val="-50"/>
        </w:rPr>
        <w:t xml:space="preserve"> </w:t>
      </w:r>
      <w:r>
        <w:rPr>
          <w:spacing w:val="1"/>
          <w:w w:val="99"/>
        </w:rPr>
        <w:t>18</w:t>
      </w:r>
      <w:r>
        <w:rPr>
          <w:w w:val="99"/>
        </w:rPr>
        <w:t>0</w:t>
      </w:r>
      <w:r>
        <w:rPr>
          <w:spacing w:val="-54"/>
        </w:rPr>
        <w:t xml:space="preserve"> </w:t>
      </w:r>
      <w:r>
        <w:rPr>
          <w:w w:val="99"/>
        </w:rPr>
        <w:t>天内因</w:t>
      </w:r>
      <w:r>
        <w:rPr>
          <w:spacing w:val="-1"/>
          <w:w w:val="99"/>
        </w:rPr>
        <w:t>非意外的原因，在本公司指定或认可的医疗机构由专科医生确诊初次发生本合同所列的轻度疾病，</w:t>
      </w:r>
      <w:r>
        <w:rPr>
          <w:color w:val="000000"/>
          <w:spacing w:val="-1"/>
          <w:w w:val="99"/>
          <w:shd w:val="clear" w:color="auto" w:fill="E4E4E4"/>
        </w:rPr>
        <w:t>本公司不承担且不再承担此种轻度疾病保险责任，本合同                                                                                                                                      继续有效。</w:t>
      </w:r>
    </w:p>
    <w:p>
      <w:pPr>
        <w:spacing w:after="0" w:line="266" w:lineRule="auto"/>
        <w:jc w:val="both"/>
        <w:sectPr>
          <w:type w:val="continuous"/>
          <w:pgSz w:w="11910" w:h="16840"/>
          <w:pgMar w:top="480" w:right="660" w:bottom="280" w:left="860" w:header="0" w:footer="662" w:gutter="0"/>
          <w:cols w:equalWidth="0" w:num="2">
            <w:col w:w="2625" w:space="176"/>
            <w:col w:w="7589"/>
          </w:cols>
        </w:sectPr>
      </w:pPr>
    </w:p>
    <w:p>
      <w:pPr>
        <w:pStyle w:val="4"/>
        <w:spacing w:before="4"/>
        <w:rPr>
          <w:sz w:val="12"/>
        </w:rPr>
      </w:pPr>
    </w:p>
    <w:p>
      <w:pPr>
        <w:pStyle w:val="4"/>
        <w:ind w:left="3022"/>
        <w:rPr>
          <w:sz w:val="20"/>
        </w:rPr>
      </w:pPr>
      <w:r>
        <w:rPr>
          <w:sz w:val="20"/>
        </w:rPr>
        <w:pict>
          <v:shape id="docshape9" o:spid="_x0000_s1033" o:spt="202" type="#_x0000_t202" style="height:13.6pt;width:357.7pt;"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3"/>
                      <w:w w:val="95"/>
                    </w:rPr>
                    <w:t>每种轻度疾病限给付一次，给付后该种轻度疾病保险责任终止。不同轻度疾病</w:t>
                  </w:r>
                </w:p>
              </w:txbxContent>
            </v:textbox>
            <w10:wrap type="none"/>
            <w10:anchorlock/>
          </v:shape>
        </w:pict>
      </w:r>
    </w:p>
    <w:p>
      <w:pPr>
        <w:pStyle w:val="4"/>
        <w:ind w:left="3022"/>
        <w:rPr>
          <w:sz w:val="20"/>
        </w:rPr>
      </w:pPr>
      <w:r>
        <w:rPr>
          <w:sz w:val="20"/>
        </w:rPr>
        <w:pict>
          <v:shape id="docshape10" o:spid="_x0000_s1034" o:spt="202" type="#_x0000_t202" style="height:13.6pt;width:357.7pt;" fillcolor="#E4E4E4" filled="t" stroked="f" coordsize="21600,21600">
            <v:path/>
            <v:fill on="t" focussize="0,0"/>
            <v:stroke on="f" joinstyle="miter"/>
            <v:imagedata o:title=""/>
            <o:lock v:ext="edit"/>
            <v:textbox inset="0mm,0mm,0mm,0mm">
              <w:txbxContent>
                <w:p>
                  <w:pPr>
                    <w:pStyle w:val="4"/>
                    <w:spacing w:before="3"/>
                    <w:ind w:left="-2" w:right="-15"/>
                    <w:rPr>
                      <w:color w:val="000000"/>
                    </w:rPr>
                  </w:pPr>
                  <w:r>
                    <w:rPr>
                      <w:color w:val="000000"/>
                      <w:spacing w:val="-1"/>
                      <w:w w:val="95"/>
                    </w:rPr>
                    <w:t>可以多次给付，但本合同的轻度疾病保险金累计给付以三次为限，当累计给付</w:t>
                  </w:r>
                </w:p>
              </w:txbxContent>
            </v:textbox>
            <w10:wrap type="none"/>
            <w10:anchorlock/>
          </v:shape>
        </w:pict>
      </w:r>
    </w:p>
    <w:p>
      <w:pPr>
        <w:pStyle w:val="4"/>
        <w:ind w:left="3022"/>
        <w:rPr>
          <w:sz w:val="20"/>
        </w:rPr>
      </w:pPr>
      <w:r>
        <w:rPr>
          <w:sz w:val="20"/>
        </w:rPr>
        <w:pict>
          <v:shape id="docshape11" o:spid="_x0000_s1035" o:spt="202" type="#_x0000_t202" style="height:13.6pt;width:357.7pt;"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3"/>
                      <w:w w:val="95"/>
                    </w:rPr>
                    <w:t>的轻度疾病保险金达到三次时，轻度疾病保险金责任终止，本合同继续有效。</w:t>
                  </w:r>
                </w:p>
              </w:txbxContent>
            </v:textbox>
            <w10:wrap type="none"/>
            <w10:anchorlock/>
          </v:shape>
        </w:pict>
      </w:r>
    </w:p>
    <w:p>
      <w:pPr>
        <w:pStyle w:val="4"/>
        <w:spacing w:before="12"/>
        <w:rPr>
          <w:sz w:val="6"/>
        </w:rPr>
      </w:pPr>
    </w:p>
    <w:p>
      <w:pPr>
        <w:pStyle w:val="4"/>
        <w:spacing w:before="70" w:line="266" w:lineRule="auto"/>
        <w:ind w:left="3020" w:right="208"/>
        <w:jc w:val="both"/>
      </w:pPr>
      <w:r>
        <w:rPr>
          <w:color w:val="000000"/>
          <w:spacing w:val="-1"/>
          <w:w w:val="99"/>
          <w:shd w:val="clear" w:color="auto" w:fill="E4E4E4"/>
        </w:rPr>
        <w:t>若被保险人因同一疾病原因、同次医疗行为或同次意外伤害事故导致其发生本                                                                                                                                      合同所定义的两种或两种以上轻度疾病，本公司仅按一种轻度疾病给付轻度疾病保险金。</w:t>
      </w:r>
    </w:p>
    <w:p>
      <w:pPr>
        <w:pStyle w:val="4"/>
        <w:spacing w:before="160" w:line="266" w:lineRule="auto"/>
        <w:ind w:left="3020" w:right="208"/>
      </w:pPr>
      <w:r>
        <w:rPr>
          <w:color w:val="000000"/>
          <w:spacing w:val="-2"/>
          <w:w w:val="95"/>
          <w:shd w:val="clear" w:color="auto" w:fill="E4E4E4"/>
        </w:rPr>
        <w:t>若被保险人所患的轻度疾病同时符合本合同所列的轻度疾病定义和本合同所列</w:t>
      </w:r>
      <w:r>
        <w:rPr>
          <w:color w:val="000000"/>
          <w:spacing w:val="80"/>
          <w:w w:val="150"/>
          <w:shd w:val="clear" w:color="auto" w:fill="E4E4E4"/>
        </w:rPr>
        <w:t xml:space="preserve">                                       </w:t>
      </w:r>
      <w:r>
        <w:rPr>
          <w:color w:val="000000"/>
          <w:spacing w:val="-2"/>
          <w:shd w:val="clear" w:color="auto" w:fill="E4E4E4"/>
        </w:rPr>
        <w:t>的中度疾病定义的，本公司仅承担给付中度疾病保险金的保险责任。</w:t>
      </w:r>
    </w:p>
    <w:p>
      <w:pPr>
        <w:spacing w:after="0" w:line="266" w:lineRule="auto"/>
        <w:sectPr>
          <w:type w:val="continuous"/>
          <w:pgSz w:w="11910" w:h="16840"/>
          <w:pgMar w:top="480" w:right="660" w:bottom="280" w:left="860" w:header="0" w:footer="662" w:gutter="0"/>
          <w:cols w:space="720" w:num="1"/>
        </w:sectPr>
      </w:pPr>
    </w:p>
    <w:p>
      <w:pPr>
        <w:pStyle w:val="4"/>
        <w:rPr>
          <w:sz w:val="22"/>
        </w:rPr>
      </w:pPr>
    </w:p>
    <w:p>
      <w:pPr>
        <w:pStyle w:val="4"/>
        <w:rPr>
          <w:sz w:val="22"/>
        </w:rPr>
      </w:pPr>
    </w:p>
    <w:p>
      <w:pPr>
        <w:pStyle w:val="4"/>
        <w:rPr>
          <w:sz w:val="22"/>
        </w:rPr>
      </w:pPr>
    </w:p>
    <w:p>
      <w:pPr>
        <w:pStyle w:val="4"/>
        <w:rPr>
          <w:sz w:val="28"/>
        </w:rPr>
      </w:pPr>
    </w:p>
    <w:p>
      <w:pPr>
        <w:pStyle w:val="3"/>
        <w:numPr>
          <w:ilvl w:val="3"/>
          <w:numId w:val="2"/>
        </w:numPr>
        <w:tabs>
          <w:tab w:val="left" w:pos="1101"/>
          <w:tab w:val="left" w:pos="1322"/>
        </w:tabs>
        <w:spacing w:before="0" w:after="0" w:line="240" w:lineRule="auto"/>
        <w:ind w:left="1321" w:right="38" w:hanging="1322"/>
        <w:jc w:val="right"/>
      </w:pPr>
      <w:r>
        <w:rPr>
          <w:spacing w:val="-2"/>
          <w:w w:val="95"/>
        </w:rPr>
        <w:t>少儿特定疾病</w:t>
      </w:r>
    </w:p>
    <w:p>
      <w:pPr>
        <w:spacing w:before="31"/>
        <w:ind w:left="0" w:right="38" w:firstLine="0"/>
        <w:jc w:val="right"/>
        <w:rPr>
          <w:b/>
          <w:sz w:val="21"/>
        </w:rPr>
      </w:pPr>
      <w:r>
        <w:rPr>
          <w:b/>
          <w:w w:val="95"/>
          <w:sz w:val="21"/>
        </w:rPr>
        <w:t>和少儿</w:t>
      </w:r>
      <w:r>
        <w:rPr>
          <w:b/>
          <w:spacing w:val="-4"/>
          <w:w w:val="95"/>
          <w:sz w:val="21"/>
        </w:rPr>
        <w:t>罕见疾</w:t>
      </w:r>
    </w:p>
    <w:p>
      <w:pPr>
        <w:pStyle w:val="4"/>
        <w:spacing w:before="159" w:line="266" w:lineRule="auto"/>
        <w:ind w:left="220" w:right="208"/>
        <w:jc w:val="both"/>
      </w:pPr>
      <w:r>
        <w:br w:type="column"/>
      </w:r>
      <w:r>
        <w:rPr>
          <w:color w:val="000000"/>
          <w:spacing w:val="-1"/>
          <w:w w:val="99"/>
          <w:shd w:val="clear" w:color="auto" w:fill="E4E4E4"/>
        </w:rPr>
        <w:t>若被保险人所患的轻度疾病同时符合本合同所列的轻度疾病定义和本合同所列                                                                                                                                      的重大疾病定义的，本公司仅承担给付首次重大疾病保险金、第二次重大疾病保险金或恶性肿瘤-重度第二次给付保险金的保险责任。</w:t>
      </w:r>
    </w:p>
    <w:p>
      <w:pPr>
        <w:spacing w:before="160"/>
        <w:ind w:left="220" w:right="0" w:firstLine="0"/>
        <w:jc w:val="both"/>
        <w:rPr>
          <w:sz w:val="21"/>
        </w:rPr>
      </w:pPr>
      <w:r>
        <w:rPr>
          <w:w w:val="95"/>
          <w:sz w:val="21"/>
        </w:rPr>
        <w:t>本合同提供保障的</w:t>
      </w:r>
      <w:r>
        <w:rPr>
          <w:b/>
          <w:w w:val="95"/>
          <w:sz w:val="21"/>
        </w:rPr>
        <w:t>少儿特定疾病和少儿罕见疾病</w:t>
      </w:r>
      <w:r>
        <w:rPr>
          <w:b/>
          <w:w w:val="95"/>
          <w:position w:val="11"/>
          <w:sz w:val="10"/>
        </w:rPr>
        <w:t>14</w:t>
      </w:r>
      <w:r>
        <w:rPr>
          <w:w w:val="95"/>
          <w:sz w:val="21"/>
        </w:rPr>
        <w:t>共包括</w:t>
      </w:r>
      <w:r>
        <w:rPr>
          <w:spacing w:val="62"/>
          <w:w w:val="150"/>
          <w:sz w:val="21"/>
        </w:rPr>
        <w:t xml:space="preserve"> </w:t>
      </w:r>
      <w:r>
        <w:rPr>
          <w:w w:val="95"/>
          <w:sz w:val="21"/>
        </w:rPr>
        <w:t>20</w:t>
      </w:r>
      <w:r>
        <w:rPr>
          <w:spacing w:val="54"/>
          <w:w w:val="150"/>
          <w:sz w:val="21"/>
        </w:rPr>
        <w:t xml:space="preserve"> </w:t>
      </w:r>
      <w:r>
        <w:rPr>
          <w:w w:val="95"/>
          <w:sz w:val="21"/>
        </w:rPr>
        <w:t>种少儿特定</w:t>
      </w:r>
      <w:r>
        <w:rPr>
          <w:spacing w:val="-4"/>
          <w:w w:val="95"/>
          <w:sz w:val="21"/>
        </w:rPr>
        <w:t>疾病以</w:t>
      </w:r>
    </w:p>
    <w:p>
      <w:pPr>
        <w:pStyle w:val="4"/>
        <w:spacing w:before="30"/>
        <w:ind w:left="220"/>
        <w:jc w:val="both"/>
        <w:sectPr>
          <w:type w:val="continuous"/>
          <w:pgSz w:w="11910" w:h="16840"/>
          <w:pgMar w:top="480" w:right="660" w:bottom="280" w:left="860" w:header="0" w:footer="662" w:gutter="0"/>
          <w:cols w:equalWidth="0" w:num="2">
            <w:col w:w="2625" w:space="176"/>
            <w:col w:w="7589"/>
          </w:cols>
        </w:sectPr>
      </w:pPr>
      <w:r>
        <w:rPr>
          <w:w w:val="95"/>
        </w:rPr>
        <w:t>及</w:t>
      </w:r>
      <w:r>
        <w:rPr>
          <w:spacing w:val="48"/>
        </w:rPr>
        <w:t xml:space="preserve"> </w:t>
      </w:r>
      <w:r>
        <w:rPr>
          <w:w w:val="95"/>
        </w:rPr>
        <w:t>5</w:t>
      </w:r>
      <w:r>
        <w:rPr>
          <w:spacing w:val="38"/>
        </w:rPr>
        <w:t xml:space="preserve"> </w:t>
      </w:r>
      <w:r>
        <w:rPr>
          <w:spacing w:val="-1"/>
          <w:w w:val="95"/>
        </w:rPr>
        <w:t>种少儿罕见疾病，名单详见本保险条款附表四。</w:t>
      </w:r>
    </w:p>
    <w:p>
      <w:pPr>
        <w:pStyle w:val="4"/>
        <w:spacing w:before="9"/>
        <w:rPr>
          <w:sz w:val="20"/>
        </w:rPr>
      </w:pPr>
    </w:p>
    <w:p>
      <w:pPr>
        <w:spacing w:before="0"/>
        <w:ind w:left="220" w:right="0" w:firstLine="0"/>
        <w:jc w:val="left"/>
        <w:rPr>
          <w:rFonts w:ascii="楷体" w:eastAsia="楷体"/>
          <w:sz w:val="18"/>
        </w:rPr>
      </w:pPr>
      <w:r>
        <w:rPr>
          <w:b/>
          <w:w w:val="95"/>
          <w:position w:val="9"/>
          <w:sz w:val="9"/>
        </w:rPr>
        <w:t>1</w:t>
      </w:r>
      <w:bookmarkStart w:id="12" w:name="_bookmark12"/>
      <w:bookmarkEnd w:id="12"/>
      <w:r>
        <w:rPr>
          <w:b/>
          <w:w w:val="95"/>
          <w:position w:val="9"/>
          <w:sz w:val="9"/>
        </w:rPr>
        <w:t>3</w:t>
      </w:r>
      <w:r>
        <w:rPr>
          <w:rFonts w:hint="eastAsia" w:ascii="楷体" w:eastAsia="楷体"/>
          <w:b/>
          <w:w w:val="95"/>
          <w:sz w:val="18"/>
        </w:rPr>
        <w:t>轻度疾病：</w:t>
      </w:r>
      <w:r>
        <w:rPr>
          <w:rFonts w:ascii="楷体" w:eastAsia="楷体"/>
          <w:w w:val="95"/>
          <w:sz w:val="18"/>
        </w:rPr>
        <w:t>指符合本合同附表三所列的任何一种疾病定义所述条件的疾病</w:t>
      </w:r>
      <w:r>
        <w:rPr>
          <w:rFonts w:ascii="楷体" w:eastAsia="楷体"/>
          <w:spacing w:val="-10"/>
          <w:w w:val="95"/>
          <w:sz w:val="18"/>
        </w:rPr>
        <w:t>。</w:t>
      </w:r>
    </w:p>
    <w:p>
      <w:pPr>
        <w:spacing w:before="3"/>
        <w:ind w:left="220" w:right="0" w:firstLine="0"/>
        <w:jc w:val="left"/>
        <w:rPr>
          <w:rFonts w:ascii="楷体" w:eastAsia="楷体"/>
          <w:sz w:val="18"/>
        </w:rPr>
      </w:pPr>
      <w:r>
        <w:rPr>
          <w:b/>
          <w:w w:val="95"/>
          <w:position w:val="9"/>
          <w:sz w:val="9"/>
        </w:rPr>
        <w:t>14</w:t>
      </w:r>
      <w:r>
        <w:rPr>
          <w:rFonts w:hint="eastAsia" w:ascii="楷体" w:eastAsia="楷体"/>
          <w:b/>
          <w:w w:val="95"/>
          <w:sz w:val="18"/>
        </w:rPr>
        <w:t>少儿特定疾病和少儿罕见疾病：</w:t>
      </w:r>
      <w:r>
        <w:rPr>
          <w:rFonts w:ascii="楷体" w:eastAsia="楷体"/>
          <w:w w:val="95"/>
          <w:sz w:val="18"/>
        </w:rPr>
        <w:t>指符合本合同附表四所列的任何一种疾病定义所述条件的疾病</w:t>
      </w:r>
      <w:r>
        <w:rPr>
          <w:rFonts w:ascii="楷体" w:eastAsia="楷体"/>
          <w:spacing w:val="-10"/>
          <w:w w:val="95"/>
          <w:sz w:val="18"/>
        </w:rPr>
        <w:t>。</w:t>
      </w:r>
    </w:p>
    <w:p>
      <w:pPr>
        <w:spacing w:after="0"/>
        <w:jc w:val="left"/>
        <w:rPr>
          <w:rFonts w:ascii="楷体" w:eastAsia="楷体"/>
          <w:sz w:val="18"/>
        </w:rPr>
        <w:sectPr>
          <w:type w:val="continuous"/>
          <w:pgSz w:w="11910" w:h="16840"/>
          <w:pgMar w:top="480" w:right="660" w:bottom="280" w:left="860" w:header="0" w:footer="662" w:gutter="0"/>
          <w:cols w:space="720" w:num="1"/>
        </w:sectPr>
      </w:pPr>
    </w:p>
    <w:p>
      <w:pPr>
        <w:pStyle w:val="3"/>
        <w:spacing w:before="53"/>
        <w:ind w:left="1321" w:firstLine="0"/>
      </w:pPr>
      <w:r>
        <w:rPr>
          <w:w w:val="95"/>
        </w:rPr>
        <w:t>病保险</w:t>
      </w:r>
      <w:r>
        <w:rPr>
          <w:spacing w:val="-10"/>
          <w:w w:val="95"/>
        </w:rPr>
        <w:t>金</w:t>
      </w:r>
    </w:p>
    <w:p>
      <w:pPr>
        <w:spacing w:before="4" w:line="240" w:lineRule="auto"/>
        <w:rPr>
          <w:b/>
          <w:sz w:val="16"/>
        </w:rPr>
      </w:pPr>
      <w:r>
        <w:br w:type="column"/>
      </w:r>
    </w:p>
    <w:p>
      <w:pPr>
        <w:pStyle w:val="4"/>
        <w:ind w:left="816"/>
      </w:pPr>
      <w:r>
        <w:rPr>
          <w:w w:val="95"/>
        </w:rPr>
        <w:t>（一）</w:t>
      </w:r>
      <w:r>
        <w:rPr>
          <w:spacing w:val="30"/>
          <w:w w:val="150"/>
        </w:rPr>
        <w:t xml:space="preserve"> </w:t>
      </w:r>
      <w:r>
        <w:rPr>
          <w:spacing w:val="-2"/>
          <w:w w:val="95"/>
        </w:rPr>
        <w:t>少儿特定疾病保险金</w:t>
      </w:r>
    </w:p>
    <w:p>
      <w:pPr>
        <w:pStyle w:val="4"/>
        <w:spacing w:before="7"/>
        <w:rPr>
          <w:sz w:val="14"/>
        </w:rPr>
      </w:pPr>
    </w:p>
    <w:p>
      <w:pPr>
        <w:pStyle w:val="4"/>
        <w:spacing w:line="266" w:lineRule="auto"/>
        <w:ind w:left="816" w:right="206"/>
        <w:jc w:val="both"/>
      </w:pP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天后因非意外的原因在本公司指定或认可的医疗机构由专科医生确诊初次发生本合同所列的一种或多种少儿特定疾病，本公司除给付首次</w:t>
      </w:r>
      <w:r>
        <w:rPr>
          <w:spacing w:val="2"/>
          <w:w w:val="99"/>
        </w:rPr>
        <w:t>重大疾病保险金、第二次重大疾病保险金或恶性肿瘤-重度第二次给付保险金</w:t>
      </w:r>
      <w:r>
        <w:rPr>
          <w:spacing w:val="-3"/>
          <w:w w:val="99"/>
        </w:rPr>
        <w:t>外，还将按本合同基本保险金额的</w:t>
      </w:r>
      <w:r>
        <w:rPr>
          <w:spacing w:val="-53"/>
        </w:rPr>
        <w:t xml:space="preserve"> </w:t>
      </w:r>
      <w:r>
        <w:rPr>
          <w:spacing w:val="1"/>
          <w:w w:val="99"/>
        </w:rPr>
        <w:t>100</w:t>
      </w:r>
      <w:r>
        <w:rPr>
          <w:spacing w:val="-3"/>
          <w:w w:val="99"/>
        </w:rPr>
        <w:t>%给付少儿特定疾病保险金，</w:t>
      </w:r>
      <w:r>
        <w:rPr>
          <w:color w:val="000000"/>
          <w:spacing w:val="-1"/>
          <w:w w:val="99"/>
          <w:shd w:val="clear" w:color="auto" w:fill="E4E4E4"/>
        </w:rPr>
        <w:t>给付后少儿                                                                                                                                      特定疾病保险金责任终止。</w:t>
      </w:r>
    </w:p>
    <w:p>
      <w:pPr>
        <w:pStyle w:val="4"/>
        <w:spacing w:before="164"/>
        <w:ind w:left="816"/>
      </w:pPr>
      <w:r>
        <w:rPr>
          <w:w w:val="95"/>
        </w:rPr>
        <w:t>（二）</w:t>
      </w:r>
      <w:r>
        <w:rPr>
          <w:spacing w:val="-2"/>
          <w:w w:val="95"/>
        </w:rPr>
        <w:t>少儿罕见疾病保险金</w:t>
      </w:r>
    </w:p>
    <w:p>
      <w:pPr>
        <w:pStyle w:val="4"/>
        <w:spacing w:before="8"/>
        <w:rPr>
          <w:sz w:val="14"/>
        </w:rPr>
      </w:pPr>
    </w:p>
    <w:p>
      <w:pPr>
        <w:pStyle w:val="4"/>
        <w:spacing w:line="266" w:lineRule="auto"/>
        <w:ind w:left="816" w:right="206"/>
        <w:jc w:val="both"/>
      </w:pP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天后因非意外的原因在本公司指定或认可的医疗机构由专科医生确诊初次发生本合同所列的一种或多种少儿罕见疾病，本公司除给付首次</w:t>
      </w:r>
      <w:r>
        <w:rPr>
          <w:spacing w:val="2"/>
          <w:w w:val="99"/>
        </w:rPr>
        <w:t>重大疾病保险金、第二次重大疾病保险金或恶性肿瘤-重度第二次给付保险金</w:t>
      </w:r>
      <w:r>
        <w:rPr>
          <w:spacing w:val="-3"/>
          <w:w w:val="99"/>
        </w:rPr>
        <w:t>外，还将按本合同基本保险金额的</w:t>
      </w:r>
      <w:r>
        <w:rPr>
          <w:spacing w:val="-53"/>
        </w:rPr>
        <w:t xml:space="preserve"> </w:t>
      </w:r>
      <w:r>
        <w:rPr>
          <w:spacing w:val="1"/>
          <w:w w:val="99"/>
        </w:rPr>
        <w:t>200</w:t>
      </w:r>
      <w:r>
        <w:rPr>
          <w:spacing w:val="-3"/>
          <w:w w:val="99"/>
        </w:rPr>
        <w:t>%给付少儿罕见疾病保险金，</w:t>
      </w:r>
      <w:r>
        <w:rPr>
          <w:color w:val="000000"/>
          <w:spacing w:val="-1"/>
          <w:w w:val="99"/>
          <w:shd w:val="clear" w:color="auto" w:fill="E4E4E4"/>
        </w:rPr>
        <w:t>给付后少儿                                                                                                                                      罕见疾病保险金责任终止。</w:t>
      </w:r>
    </w:p>
    <w:p>
      <w:pPr>
        <w:spacing w:after="0" w:line="266" w:lineRule="auto"/>
        <w:jc w:val="both"/>
        <w:sectPr>
          <w:pgSz w:w="11910" w:h="16840"/>
          <w:pgMar w:top="1400" w:right="660" w:bottom="860" w:left="860" w:header="0" w:footer="662" w:gutter="0"/>
          <w:cols w:equalWidth="0" w:num="2">
            <w:col w:w="2165" w:space="40"/>
            <w:col w:w="8185"/>
          </w:cols>
        </w:sectPr>
      </w:pPr>
    </w:p>
    <w:p>
      <w:pPr>
        <w:pStyle w:val="3"/>
        <w:numPr>
          <w:ilvl w:val="3"/>
          <w:numId w:val="2"/>
        </w:numPr>
        <w:tabs>
          <w:tab w:val="left" w:pos="1321"/>
          <w:tab w:val="left" w:pos="1322"/>
        </w:tabs>
        <w:spacing w:before="154" w:after="0" w:line="240" w:lineRule="auto"/>
        <w:ind w:left="1321" w:right="0" w:hanging="1102"/>
        <w:jc w:val="left"/>
      </w:pPr>
      <w:r>
        <w:rPr>
          <w:spacing w:val="-2"/>
          <w:w w:val="95"/>
        </w:rPr>
        <w:t>轻度疾病或中</w:t>
      </w:r>
    </w:p>
    <w:p>
      <w:pPr>
        <w:spacing w:before="43" w:line="278" w:lineRule="auto"/>
        <w:ind w:left="1321" w:right="38" w:firstLine="0"/>
        <w:jc w:val="left"/>
        <w:rPr>
          <w:b/>
          <w:sz w:val="21"/>
        </w:rPr>
      </w:pPr>
      <w:r>
        <w:rPr>
          <w:b/>
          <w:spacing w:val="-2"/>
          <w:sz w:val="21"/>
        </w:rPr>
        <w:t>度疾病豁免保</w:t>
      </w:r>
      <w:r>
        <w:rPr>
          <w:b/>
          <w:spacing w:val="-6"/>
          <w:sz w:val="21"/>
        </w:rPr>
        <w:t>险费</w:t>
      </w:r>
    </w:p>
    <w:p>
      <w:pPr>
        <w:pStyle w:val="4"/>
        <w:spacing w:before="164" w:line="266" w:lineRule="auto"/>
        <w:ind w:left="220" w:right="206"/>
        <w:jc w:val="both"/>
      </w:pPr>
      <w:r>
        <w:br w:type="column"/>
      </w: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或认可的医疗机构由专科医生确诊初次发生本合同所列的一种或多种轻度疾病或中度疾病，且本公司已按约定给付轻度疾病保险金或中度疾病保险金，则自确诊日后首个本合同保险费约定交纳日开始，直至本合同最后一次保险费约定交纳日止，本公司豁免前述期间内本合同应交纳的保险费。</w:t>
      </w:r>
      <w:r>
        <w:rPr>
          <w:color w:val="000000"/>
          <w:spacing w:val="-1"/>
          <w:w w:val="99"/>
          <w:shd w:val="clear" w:color="auto" w:fill="E4E4E4"/>
        </w:rPr>
        <w:t>本公司视豁免的保险费为已交纳的保险费，                                                                                                                                      本合同继续有效。</w:t>
      </w:r>
    </w:p>
    <w:p>
      <w:pPr>
        <w:pStyle w:val="4"/>
        <w:spacing w:before="165" w:line="266" w:lineRule="auto"/>
        <w:ind w:left="220" w:right="208"/>
        <w:jc w:val="both"/>
      </w:pPr>
      <w:r>
        <w:rPr>
          <w:spacing w:val="-1"/>
          <w:w w:val="99"/>
        </w:rPr>
        <w:t>被保险人在本合同生效</w:t>
      </w:r>
      <w:r>
        <w:rPr>
          <w:spacing w:val="2"/>
          <w:w w:val="99"/>
        </w:rPr>
        <w:t>（</w:t>
      </w:r>
      <w:r>
        <w:rPr>
          <w:spacing w:val="-1"/>
          <w:w w:val="99"/>
        </w:rPr>
        <w:t>若曾复效，则自本合同最后复效</w:t>
      </w:r>
      <w:r>
        <w:rPr>
          <w:spacing w:val="2"/>
          <w:w w:val="99"/>
        </w:rPr>
        <w:t>）</w:t>
      </w:r>
      <w:r>
        <w:rPr>
          <w:w w:val="99"/>
        </w:rPr>
        <w:t>之日起</w:t>
      </w:r>
      <w:r>
        <w:rPr>
          <w:spacing w:val="-50"/>
        </w:rPr>
        <w:t xml:space="preserve"> </w:t>
      </w:r>
      <w:r>
        <w:rPr>
          <w:spacing w:val="1"/>
          <w:w w:val="99"/>
        </w:rPr>
        <w:t>18</w:t>
      </w:r>
      <w:r>
        <w:rPr>
          <w:w w:val="99"/>
        </w:rPr>
        <w:t>0</w:t>
      </w:r>
      <w:r>
        <w:rPr>
          <w:spacing w:val="-54"/>
        </w:rPr>
        <w:t xml:space="preserve"> </w:t>
      </w:r>
      <w:r>
        <w:rPr>
          <w:w w:val="99"/>
        </w:rPr>
        <w:t>天内因</w:t>
      </w:r>
      <w:r>
        <w:rPr>
          <w:spacing w:val="-1"/>
          <w:w w:val="99"/>
        </w:rPr>
        <w:t>非意外的原因，在本公司指定或认可的医疗机构由专科医生确诊初次发生本合同所列的一种或多种轻度疾病或中度疾病，</w:t>
      </w:r>
      <w:r>
        <w:rPr>
          <w:color w:val="000000"/>
          <w:spacing w:val="-1"/>
          <w:w w:val="99"/>
          <w:shd w:val="clear" w:color="auto" w:fill="E4E4E4"/>
        </w:rPr>
        <w:t>本公司不承担且不再承担此种轻度                                                                                                                                      疾病或中度疾病的疾病豁免保险费责任，轻度疾病或中度疾病豁免保险费责任继续有效。</w:t>
      </w:r>
    </w:p>
    <w:p>
      <w:pPr>
        <w:spacing w:after="0" w:line="266" w:lineRule="auto"/>
        <w:jc w:val="both"/>
        <w:sectPr>
          <w:type w:val="continuous"/>
          <w:pgSz w:w="11910" w:h="16840"/>
          <w:pgMar w:top="480" w:right="660" w:bottom="280" w:left="860" w:header="0" w:footer="662" w:gutter="0"/>
          <w:cols w:equalWidth="0" w:num="2">
            <w:col w:w="2625" w:space="176"/>
            <w:col w:w="7589"/>
          </w:cols>
        </w:sectPr>
      </w:pPr>
    </w:p>
    <w:p>
      <w:pPr>
        <w:pStyle w:val="9"/>
        <w:numPr>
          <w:ilvl w:val="3"/>
          <w:numId w:val="2"/>
        </w:numPr>
        <w:tabs>
          <w:tab w:val="left" w:pos="1321"/>
          <w:tab w:val="left" w:pos="1322"/>
          <w:tab w:val="left" w:pos="3020"/>
        </w:tabs>
        <w:spacing w:before="153" w:after="0" w:line="266" w:lineRule="auto"/>
        <w:ind w:left="3020" w:right="203" w:hanging="2801"/>
        <w:jc w:val="left"/>
        <w:rPr>
          <w:b/>
          <w:sz w:val="21"/>
        </w:rPr>
      </w:pPr>
      <w:r>
        <w:rPr>
          <w:b/>
          <w:spacing w:val="2"/>
          <w:w w:val="99"/>
          <w:position w:val="1"/>
          <w:sz w:val="21"/>
        </w:rPr>
        <w:t>身故保</w:t>
      </w:r>
      <w:r>
        <w:rPr>
          <w:b/>
          <w:spacing w:val="-1"/>
          <w:w w:val="99"/>
          <w:position w:val="1"/>
          <w:sz w:val="21"/>
        </w:rPr>
        <w:t>险</w:t>
      </w:r>
      <w:r>
        <w:rPr>
          <w:b/>
          <w:spacing w:val="2"/>
          <w:w w:val="99"/>
          <w:position w:val="1"/>
          <w:sz w:val="21"/>
        </w:rPr>
        <w:t>金</w:t>
      </w:r>
      <w:r>
        <w:rPr>
          <w:b/>
          <w:w w:val="99"/>
          <w:position w:val="1"/>
          <w:sz w:val="21"/>
        </w:rPr>
        <w:t>或</w:t>
      </w:r>
      <w:r>
        <w:rPr>
          <w:b/>
          <w:position w:val="1"/>
          <w:sz w:val="21"/>
        </w:rPr>
        <w:tab/>
      </w:r>
      <w:r>
        <w:rPr>
          <w:spacing w:val="2"/>
          <w:w w:val="99"/>
          <w:sz w:val="21"/>
        </w:rPr>
        <w:t>被</w:t>
      </w:r>
      <w:r>
        <w:rPr>
          <w:spacing w:val="-1"/>
          <w:w w:val="99"/>
          <w:sz w:val="21"/>
        </w:rPr>
        <w:t>保</w:t>
      </w:r>
      <w:r>
        <w:rPr>
          <w:spacing w:val="2"/>
          <w:w w:val="99"/>
          <w:sz w:val="21"/>
        </w:rPr>
        <w:t>险人</w:t>
      </w:r>
      <w:r>
        <w:rPr>
          <w:spacing w:val="-1"/>
          <w:w w:val="99"/>
          <w:sz w:val="21"/>
        </w:rPr>
        <w:t>在</w:t>
      </w:r>
      <w:r>
        <w:rPr>
          <w:spacing w:val="2"/>
          <w:w w:val="99"/>
          <w:sz w:val="21"/>
        </w:rPr>
        <w:t>保险期</w:t>
      </w:r>
      <w:r>
        <w:rPr>
          <w:spacing w:val="-1"/>
          <w:w w:val="99"/>
          <w:sz w:val="21"/>
        </w:rPr>
        <w:t>间</w:t>
      </w:r>
      <w:r>
        <w:rPr>
          <w:spacing w:val="2"/>
          <w:w w:val="99"/>
          <w:sz w:val="21"/>
        </w:rPr>
        <w:t>内因</w:t>
      </w:r>
      <w:r>
        <w:rPr>
          <w:spacing w:val="-1"/>
          <w:w w:val="99"/>
          <w:sz w:val="21"/>
        </w:rPr>
        <w:t>意</w:t>
      </w:r>
      <w:r>
        <w:rPr>
          <w:spacing w:val="2"/>
          <w:w w:val="99"/>
          <w:sz w:val="21"/>
        </w:rPr>
        <w:t>外，</w:t>
      </w:r>
      <w:r>
        <w:rPr>
          <w:spacing w:val="-1"/>
          <w:w w:val="99"/>
          <w:sz w:val="21"/>
        </w:rPr>
        <w:t>或</w:t>
      </w:r>
      <w:r>
        <w:rPr>
          <w:spacing w:val="2"/>
          <w:w w:val="99"/>
          <w:sz w:val="21"/>
        </w:rPr>
        <w:t>在本</w:t>
      </w:r>
      <w:r>
        <w:rPr>
          <w:spacing w:val="-1"/>
          <w:w w:val="99"/>
          <w:sz w:val="21"/>
        </w:rPr>
        <w:t>合</w:t>
      </w:r>
      <w:r>
        <w:rPr>
          <w:spacing w:val="2"/>
          <w:w w:val="99"/>
          <w:sz w:val="21"/>
        </w:rPr>
        <w:t>同生</w:t>
      </w:r>
      <w:r>
        <w:rPr>
          <w:spacing w:val="-1"/>
          <w:w w:val="99"/>
          <w:sz w:val="21"/>
        </w:rPr>
        <w:t>效</w:t>
      </w:r>
      <w:r>
        <w:rPr>
          <w:spacing w:val="2"/>
          <w:w w:val="99"/>
          <w:sz w:val="21"/>
        </w:rPr>
        <w:t>（若曾</w:t>
      </w:r>
      <w:r>
        <w:rPr>
          <w:spacing w:val="-1"/>
          <w:w w:val="99"/>
          <w:sz w:val="21"/>
        </w:rPr>
        <w:t>复</w:t>
      </w:r>
      <w:r>
        <w:rPr>
          <w:spacing w:val="2"/>
          <w:w w:val="99"/>
          <w:sz w:val="21"/>
        </w:rPr>
        <w:t>效，</w:t>
      </w:r>
      <w:r>
        <w:rPr>
          <w:spacing w:val="-1"/>
          <w:w w:val="99"/>
          <w:sz w:val="21"/>
        </w:rPr>
        <w:t>则</w:t>
      </w:r>
      <w:r>
        <w:rPr>
          <w:spacing w:val="2"/>
          <w:w w:val="99"/>
          <w:sz w:val="21"/>
        </w:rPr>
        <w:t>自本</w:t>
      </w:r>
      <w:r>
        <w:rPr>
          <w:spacing w:val="-1"/>
          <w:w w:val="99"/>
          <w:sz w:val="21"/>
        </w:rPr>
        <w:t>合</w:t>
      </w:r>
      <w:r>
        <w:rPr>
          <w:spacing w:val="2"/>
          <w:w w:val="99"/>
          <w:sz w:val="21"/>
        </w:rPr>
        <w:t>同最</w:t>
      </w:r>
      <w:r>
        <w:rPr>
          <w:w w:val="99"/>
          <w:sz w:val="21"/>
        </w:rPr>
        <w:t>后</w:t>
      </w:r>
      <w:r>
        <w:rPr>
          <w:spacing w:val="2"/>
          <w:w w:val="99"/>
          <w:sz w:val="21"/>
        </w:rPr>
        <w:t>复</w:t>
      </w:r>
      <w:r>
        <w:rPr>
          <w:spacing w:val="-1"/>
          <w:w w:val="99"/>
          <w:sz w:val="21"/>
        </w:rPr>
        <w:t>效</w:t>
      </w:r>
      <w:r>
        <w:rPr>
          <w:spacing w:val="-46"/>
          <w:w w:val="99"/>
          <w:sz w:val="21"/>
        </w:rPr>
        <w:t>）</w:t>
      </w:r>
      <w:r>
        <w:rPr>
          <w:spacing w:val="2"/>
          <w:w w:val="99"/>
          <w:sz w:val="21"/>
        </w:rPr>
        <w:t>之</w:t>
      </w:r>
      <w:r>
        <w:rPr>
          <w:spacing w:val="-1"/>
          <w:w w:val="99"/>
          <w:sz w:val="21"/>
        </w:rPr>
        <w:t>日</w:t>
      </w:r>
      <w:r>
        <w:rPr>
          <w:w w:val="99"/>
          <w:sz w:val="21"/>
        </w:rPr>
        <w:t>起</w:t>
      </w:r>
      <w:r>
        <w:rPr>
          <w:spacing w:val="-50"/>
          <w:sz w:val="21"/>
        </w:rPr>
        <w:t xml:space="preserve"> </w:t>
      </w:r>
      <w:r>
        <w:rPr>
          <w:spacing w:val="1"/>
          <w:w w:val="99"/>
          <w:sz w:val="21"/>
        </w:rPr>
        <w:t>18</w:t>
      </w:r>
      <w:r>
        <w:rPr>
          <w:w w:val="99"/>
          <w:sz w:val="21"/>
        </w:rPr>
        <w:t>0</w:t>
      </w:r>
      <w:r>
        <w:rPr>
          <w:spacing w:val="-54"/>
          <w:sz w:val="21"/>
        </w:rPr>
        <w:t xml:space="preserve"> </w:t>
      </w:r>
      <w:r>
        <w:rPr>
          <w:spacing w:val="2"/>
          <w:w w:val="99"/>
          <w:sz w:val="21"/>
        </w:rPr>
        <w:t>天</w:t>
      </w:r>
      <w:r>
        <w:rPr>
          <w:spacing w:val="-1"/>
          <w:w w:val="99"/>
          <w:sz w:val="21"/>
        </w:rPr>
        <w:t>后</w:t>
      </w:r>
      <w:r>
        <w:rPr>
          <w:spacing w:val="2"/>
          <w:w w:val="99"/>
          <w:sz w:val="21"/>
        </w:rPr>
        <w:t>因</w:t>
      </w:r>
      <w:r>
        <w:rPr>
          <w:spacing w:val="-1"/>
          <w:w w:val="99"/>
          <w:sz w:val="21"/>
        </w:rPr>
        <w:t>非</w:t>
      </w:r>
      <w:r>
        <w:rPr>
          <w:spacing w:val="2"/>
          <w:w w:val="99"/>
          <w:sz w:val="21"/>
        </w:rPr>
        <w:t>意</w:t>
      </w:r>
      <w:r>
        <w:rPr>
          <w:spacing w:val="-1"/>
          <w:w w:val="99"/>
          <w:sz w:val="21"/>
        </w:rPr>
        <w:t>外</w:t>
      </w:r>
      <w:r>
        <w:rPr>
          <w:spacing w:val="2"/>
          <w:w w:val="99"/>
          <w:sz w:val="21"/>
        </w:rPr>
        <w:t>的原</w:t>
      </w:r>
      <w:r>
        <w:rPr>
          <w:spacing w:val="-1"/>
          <w:w w:val="99"/>
          <w:sz w:val="21"/>
        </w:rPr>
        <w:t>因</w:t>
      </w:r>
      <w:r>
        <w:rPr>
          <w:spacing w:val="2"/>
          <w:w w:val="99"/>
          <w:sz w:val="21"/>
        </w:rPr>
        <w:t>导</w:t>
      </w:r>
      <w:r>
        <w:rPr>
          <w:spacing w:val="-1"/>
          <w:w w:val="99"/>
          <w:sz w:val="21"/>
        </w:rPr>
        <w:t>致</w:t>
      </w:r>
      <w:r>
        <w:rPr>
          <w:spacing w:val="2"/>
          <w:w w:val="99"/>
          <w:sz w:val="21"/>
        </w:rPr>
        <w:t>身</w:t>
      </w:r>
      <w:r>
        <w:rPr>
          <w:spacing w:val="-1"/>
          <w:w w:val="99"/>
          <w:sz w:val="21"/>
        </w:rPr>
        <w:t>故</w:t>
      </w:r>
      <w:r>
        <w:rPr>
          <w:spacing w:val="2"/>
          <w:w w:val="99"/>
          <w:sz w:val="21"/>
        </w:rPr>
        <w:t>或</w:t>
      </w:r>
      <w:r>
        <w:rPr>
          <w:b/>
          <w:spacing w:val="2"/>
          <w:w w:val="99"/>
          <w:sz w:val="21"/>
        </w:rPr>
        <w:t>确定全残</w:t>
      </w:r>
      <w:r>
        <w:rPr>
          <w:b/>
          <w:spacing w:val="-1"/>
          <w:w w:val="105"/>
          <w:position w:val="11"/>
          <w:sz w:val="10"/>
        </w:rPr>
        <w:t>15</w:t>
      </w:r>
      <w:r>
        <w:rPr>
          <w:spacing w:val="-46"/>
          <w:w w:val="99"/>
          <w:sz w:val="21"/>
        </w:rPr>
        <w:t>，</w:t>
      </w:r>
      <w:r>
        <w:rPr>
          <w:spacing w:val="2"/>
          <w:w w:val="99"/>
          <w:sz w:val="21"/>
        </w:rPr>
        <w:t>本</w:t>
      </w:r>
      <w:r>
        <w:rPr>
          <w:spacing w:val="-1"/>
          <w:w w:val="99"/>
          <w:sz w:val="21"/>
        </w:rPr>
        <w:t>公</w:t>
      </w:r>
      <w:r>
        <w:rPr>
          <w:spacing w:val="2"/>
          <w:w w:val="99"/>
          <w:sz w:val="21"/>
        </w:rPr>
        <w:t>司</w:t>
      </w:r>
      <w:r>
        <w:rPr>
          <w:spacing w:val="-1"/>
          <w:w w:val="99"/>
          <w:sz w:val="21"/>
        </w:rPr>
        <w:t>给</w:t>
      </w:r>
      <w:r>
        <w:rPr>
          <w:spacing w:val="2"/>
          <w:w w:val="99"/>
          <w:sz w:val="21"/>
        </w:rPr>
        <w:t>付</w:t>
      </w:r>
      <w:r>
        <w:rPr>
          <w:spacing w:val="-1"/>
          <w:w w:val="99"/>
          <w:sz w:val="21"/>
        </w:rPr>
        <w:t>身</w:t>
      </w:r>
      <w:r>
        <w:rPr>
          <w:w w:val="99"/>
          <w:sz w:val="21"/>
        </w:rPr>
        <w:t>故</w:t>
      </w:r>
    </w:p>
    <w:p>
      <w:pPr>
        <w:pStyle w:val="4"/>
        <w:spacing w:before="8"/>
        <w:rPr>
          <w:sz w:val="11"/>
        </w:rPr>
      </w:pPr>
    </w:p>
    <w:p>
      <w:pPr>
        <w:spacing w:before="88"/>
        <w:ind w:left="220" w:right="0" w:firstLine="0"/>
        <w:jc w:val="left"/>
        <w:rPr>
          <w:rFonts w:ascii="楷体" w:eastAsia="楷体"/>
          <w:sz w:val="18"/>
        </w:rPr>
      </w:pPr>
      <w:r>
        <w:rPr>
          <w:b/>
          <w:w w:val="95"/>
          <w:position w:val="9"/>
          <w:sz w:val="9"/>
        </w:rPr>
        <w:t>15</w:t>
      </w:r>
      <w:r>
        <w:rPr>
          <w:rFonts w:hint="eastAsia" w:ascii="楷体" w:eastAsia="楷体"/>
          <w:b/>
          <w:w w:val="95"/>
          <w:sz w:val="18"/>
        </w:rPr>
        <w:t>确定全残：</w:t>
      </w:r>
      <w:r>
        <w:rPr>
          <w:rFonts w:ascii="楷体" w:eastAsia="楷体"/>
          <w:w w:val="95"/>
          <w:sz w:val="18"/>
        </w:rPr>
        <w:t>是指在治疗结束之后，由二级以上医院或者由双方认可的其他医疗机构（或鉴定机构）鉴定为全残。如果自被</w:t>
      </w:r>
      <w:r>
        <w:rPr>
          <w:rFonts w:ascii="楷体" w:eastAsia="楷体"/>
          <w:spacing w:val="-10"/>
          <w:w w:val="95"/>
          <w:sz w:val="18"/>
        </w:rPr>
        <w:t>保</w:t>
      </w:r>
    </w:p>
    <w:p>
      <w:pPr>
        <w:spacing w:before="2" w:line="244" w:lineRule="auto"/>
        <w:ind w:left="220" w:right="3505" w:firstLine="0"/>
        <w:jc w:val="left"/>
        <w:rPr>
          <w:rFonts w:ascii="楷体" w:eastAsia="楷体"/>
          <w:sz w:val="18"/>
        </w:rPr>
      </w:pPr>
      <w:r>
        <w:rPr>
          <w:rFonts w:ascii="楷体" w:eastAsia="楷体"/>
          <w:spacing w:val="-5"/>
          <w:sz w:val="18"/>
        </w:rPr>
        <w:t xml:space="preserve">险人遭受意外伤害之日起 </w:t>
      </w:r>
      <w:r>
        <w:rPr>
          <w:rFonts w:ascii="楷体" w:eastAsia="楷体"/>
          <w:spacing w:val="-2"/>
          <w:sz w:val="18"/>
        </w:rPr>
        <w:t>180</w:t>
      </w:r>
      <w:r>
        <w:rPr>
          <w:rFonts w:ascii="楷体" w:eastAsia="楷体"/>
          <w:spacing w:val="-10"/>
          <w:sz w:val="18"/>
        </w:rPr>
        <w:t xml:space="preserve"> 天后治疗仍未结束，按第 </w:t>
      </w:r>
      <w:r>
        <w:rPr>
          <w:rFonts w:ascii="楷体" w:eastAsia="楷体"/>
          <w:spacing w:val="-2"/>
          <w:sz w:val="18"/>
        </w:rPr>
        <w:t>180</w:t>
      </w:r>
      <w:r>
        <w:rPr>
          <w:rFonts w:ascii="楷体" w:eastAsia="楷体"/>
          <w:spacing w:val="-8"/>
          <w:sz w:val="18"/>
        </w:rPr>
        <w:t xml:space="preserve"> 天的身体情况进行鉴定。</w:t>
      </w:r>
      <w:r>
        <w:rPr>
          <w:rFonts w:ascii="楷体" w:eastAsia="楷体"/>
          <w:spacing w:val="-2"/>
          <w:sz w:val="18"/>
        </w:rPr>
        <w:t>全残指至少满足下列情形之一者：</w:t>
      </w:r>
    </w:p>
    <w:p>
      <w:pPr>
        <w:pStyle w:val="9"/>
        <w:numPr>
          <w:ilvl w:val="0"/>
          <w:numId w:val="3"/>
        </w:numPr>
        <w:tabs>
          <w:tab w:val="left" w:pos="670"/>
        </w:tabs>
        <w:spacing w:before="0" w:after="0" w:line="228" w:lineRule="exact"/>
        <w:ind w:left="669" w:right="0" w:hanging="450"/>
        <w:jc w:val="left"/>
        <w:rPr>
          <w:rFonts w:ascii="楷体" w:hAnsi="楷体" w:eastAsia="楷体"/>
          <w:sz w:val="18"/>
        </w:rPr>
      </w:pPr>
      <w:r>
        <w:rPr>
          <w:rFonts w:ascii="楷体" w:hAnsi="楷体" w:eastAsia="楷体"/>
          <w:sz w:val="18"/>
        </w:rPr>
        <w:t>双目永久完全失明的（</w:t>
      </w:r>
      <w:r>
        <w:rPr>
          <w:rFonts w:ascii="楷体" w:hAnsi="楷体" w:eastAsia="楷体"/>
          <w:spacing w:val="-3"/>
          <w:sz w:val="18"/>
        </w:rPr>
        <w:t>注①</w:t>
      </w:r>
      <w:r>
        <w:rPr>
          <w:rFonts w:ascii="楷体" w:hAnsi="楷体" w:eastAsia="楷体"/>
          <w:spacing w:val="-5"/>
          <w:sz w:val="18"/>
        </w:rPr>
        <w:t>）；</w:t>
      </w:r>
    </w:p>
    <w:p>
      <w:pPr>
        <w:pStyle w:val="9"/>
        <w:numPr>
          <w:ilvl w:val="0"/>
          <w:numId w:val="3"/>
        </w:numPr>
        <w:tabs>
          <w:tab w:val="left" w:pos="670"/>
        </w:tabs>
        <w:spacing w:before="2" w:after="0" w:line="240" w:lineRule="auto"/>
        <w:ind w:left="669" w:right="0" w:hanging="450"/>
        <w:jc w:val="left"/>
        <w:rPr>
          <w:rFonts w:ascii="楷体" w:eastAsia="楷体"/>
          <w:sz w:val="18"/>
        </w:rPr>
      </w:pPr>
      <w:r>
        <w:rPr>
          <w:rFonts w:ascii="楷体" w:eastAsia="楷体"/>
          <w:spacing w:val="-1"/>
          <w:sz w:val="18"/>
        </w:rPr>
        <w:t>两上肢腕关节以上或两下肢踝关节以上缺失的；</w:t>
      </w:r>
    </w:p>
    <w:p>
      <w:pPr>
        <w:pStyle w:val="9"/>
        <w:numPr>
          <w:ilvl w:val="0"/>
          <w:numId w:val="3"/>
        </w:numPr>
        <w:tabs>
          <w:tab w:val="left" w:pos="670"/>
        </w:tabs>
        <w:spacing w:before="5" w:after="0" w:line="240" w:lineRule="auto"/>
        <w:ind w:left="669" w:right="0" w:hanging="450"/>
        <w:jc w:val="left"/>
        <w:rPr>
          <w:rFonts w:ascii="楷体" w:eastAsia="楷体"/>
          <w:sz w:val="18"/>
        </w:rPr>
      </w:pPr>
      <w:r>
        <w:rPr>
          <w:rFonts w:ascii="楷体" w:eastAsia="楷体"/>
          <w:spacing w:val="-1"/>
          <w:sz w:val="18"/>
        </w:rPr>
        <w:t>一上肢腕关节以上及一下肢踝关节以上缺失的；</w:t>
      </w:r>
    </w:p>
    <w:p>
      <w:pPr>
        <w:pStyle w:val="9"/>
        <w:numPr>
          <w:ilvl w:val="0"/>
          <w:numId w:val="3"/>
        </w:numPr>
        <w:tabs>
          <w:tab w:val="left" w:pos="670"/>
        </w:tabs>
        <w:spacing w:before="2" w:after="0" w:line="240" w:lineRule="auto"/>
        <w:ind w:left="669" w:right="0" w:hanging="450"/>
        <w:jc w:val="left"/>
        <w:rPr>
          <w:rFonts w:ascii="楷体" w:eastAsia="楷体"/>
          <w:sz w:val="18"/>
        </w:rPr>
      </w:pPr>
      <w:r>
        <w:rPr>
          <w:rFonts w:ascii="楷体" w:eastAsia="楷体"/>
          <w:spacing w:val="-1"/>
          <w:sz w:val="18"/>
        </w:rPr>
        <w:t>一目永久完全失明及一上肢腕关节以上缺失的；</w:t>
      </w:r>
    </w:p>
    <w:p>
      <w:pPr>
        <w:pStyle w:val="9"/>
        <w:numPr>
          <w:ilvl w:val="0"/>
          <w:numId w:val="3"/>
        </w:numPr>
        <w:tabs>
          <w:tab w:val="left" w:pos="670"/>
        </w:tabs>
        <w:spacing w:before="2" w:after="0" w:line="240" w:lineRule="auto"/>
        <w:ind w:left="669" w:right="0" w:hanging="450"/>
        <w:jc w:val="left"/>
        <w:rPr>
          <w:rFonts w:ascii="楷体" w:eastAsia="楷体"/>
          <w:sz w:val="18"/>
        </w:rPr>
      </w:pPr>
      <w:r>
        <w:rPr>
          <w:rFonts w:ascii="楷体" w:eastAsia="楷体"/>
          <w:spacing w:val="-1"/>
          <w:sz w:val="18"/>
        </w:rPr>
        <w:t>一目永久完全失明及一下肢踝关节以上缺失的；</w:t>
      </w:r>
    </w:p>
    <w:p>
      <w:pPr>
        <w:pStyle w:val="9"/>
        <w:numPr>
          <w:ilvl w:val="0"/>
          <w:numId w:val="3"/>
        </w:numPr>
        <w:tabs>
          <w:tab w:val="left" w:pos="670"/>
        </w:tabs>
        <w:spacing w:before="2" w:after="0" w:line="240" w:lineRule="auto"/>
        <w:ind w:left="669" w:right="0" w:hanging="450"/>
        <w:jc w:val="left"/>
        <w:rPr>
          <w:rFonts w:ascii="楷体" w:hAnsi="楷体" w:eastAsia="楷体"/>
          <w:sz w:val="18"/>
        </w:rPr>
      </w:pPr>
      <w:r>
        <w:rPr>
          <w:rFonts w:ascii="楷体" w:hAnsi="楷体" w:eastAsia="楷体"/>
          <w:sz w:val="18"/>
        </w:rPr>
        <w:t>四肢关节机能永久完全丧失的（</w:t>
      </w:r>
      <w:r>
        <w:rPr>
          <w:rFonts w:ascii="楷体" w:hAnsi="楷体" w:eastAsia="楷体"/>
          <w:spacing w:val="-3"/>
          <w:sz w:val="18"/>
        </w:rPr>
        <w:t>注②</w:t>
      </w:r>
      <w:r>
        <w:rPr>
          <w:rFonts w:ascii="楷体" w:hAnsi="楷体" w:eastAsia="楷体"/>
          <w:spacing w:val="-5"/>
          <w:sz w:val="18"/>
        </w:rPr>
        <w:t>）；</w:t>
      </w:r>
    </w:p>
    <w:p>
      <w:pPr>
        <w:pStyle w:val="9"/>
        <w:numPr>
          <w:ilvl w:val="0"/>
          <w:numId w:val="3"/>
        </w:numPr>
        <w:tabs>
          <w:tab w:val="left" w:pos="670"/>
        </w:tabs>
        <w:spacing w:before="2" w:after="0" w:line="240" w:lineRule="auto"/>
        <w:ind w:left="669" w:right="0" w:hanging="450"/>
        <w:jc w:val="left"/>
        <w:rPr>
          <w:rFonts w:ascii="楷体" w:hAnsi="楷体" w:eastAsia="楷体"/>
          <w:sz w:val="18"/>
        </w:rPr>
      </w:pPr>
      <w:r>
        <w:rPr>
          <w:rFonts w:ascii="楷体" w:hAnsi="楷体" w:eastAsia="楷体"/>
          <w:sz w:val="18"/>
        </w:rPr>
        <w:t>咀嚼、吞咽机能永久完全丧失的（</w:t>
      </w:r>
      <w:r>
        <w:rPr>
          <w:rFonts w:ascii="楷体" w:hAnsi="楷体" w:eastAsia="楷体"/>
          <w:spacing w:val="-3"/>
          <w:sz w:val="18"/>
        </w:rPr>
        <w:t>注③</w:t>
      </w:r>
      <w:r>
        <w:rPr>
          <w:rFonts w:ascii="楷体" w:hAnsi="楷体" w:eastAsia="楷体"/>
          <w:spacing w:val="-5"/>
          <w:sz w:val="18"/>
        </w:rPr>
        <w:t>）；</w:t>
      </w:r>
    </w:p>
    <w:p>
      <w:pPr>
        <w:pStyle w:val="9"/>
        <w:numPr>
          <w:ilvl w:val="0"/>
          <w:numId w:val="3"/>
        </w:numPr>
        <w:tabs>
          <w:tab w:val="left" w:pos="670"/>
        </w:tabs>
        <w:spacing w:before="5" w:after="0" w:line="242" w:lineRule="auto"/>
        <w:ind w:left="220" w:right="417" w:firstLine="0"/>
        <w:jc w:val="left"/>
        <w:rPr>
          <w:rFonts w:ascii="楷体" w:hAnsi="楷体" w:eastAsia="楷体"/>
          <w:sz w:val="18"/>
        </w:rPr>
      </w:pPr>
      <w:r>
        <w:rPr>
          <w:rFonts w:ascii="楷体" w:hAnsi="楷体" w:eastAsia="楷体"/>
          <w:spacing w:val="-2"/>
          <w:sz w:val="18"/>
        </w:rPr>
        <w:t>中枢神经系统机能或胸、腹部脏器机能极度障碍，终身不能从事任何工作，为维持生命必要的日常生活活动，全需他人扶助的（注④）。</w:t>
      </w:r>
    </w:p>
    <w:p>
      <w:pPr>
        <w:spacing w:before="0" w:line="244" w:lineRule="auto"/>
        <w:ind w:left="220" w:right="417" w:firstLine="0"/>
        <w:jc w:val="left"/>
        <w:rPr>
          <w:rFonts w:ascii="楷体" w:eastAsia="楷体"/>
          <w:sz w:val="18"/>
        </w:rPr>
      </w:pPr>
      <w:r>
        <w:rPr>
          <w:rFonts w:ascii="楷体" w:eastAsia="楷体"/>
          <w:spacing w:val="-2"/>
          <w:sz w:val="18"/>
        </w:rPr>
        <w:t xml:space="preserve">全残的鉴定应在治疗结束之后，由二级以上医院或者由双方认可的其他医疗机构（或鉴定机构）进行。如果自被保险人遭受意外伤害之日起 </w:t>
      </w:r>
      <w:r>
        <w:rPr>
          <w:rFonts w:ascii="楷体" w:eastAsia="楷体"/>
          <w:sz w:val="18"/>
        </w:rPr>
        <w:t>180</w:t>
      </w:r>
      <w:r>
        <w:rPr>
          <w:rFonts w:ascii="楷体" w:eastAsia="楷体"/>
          <w:spacing w:val="-4"/>
          <w:sz w:val="18"/>
        </w:rPr>
        <w:t xml:space="preserve"> 天后治疗仍未结束，按第 </w:t>
      </w:r>
      <w:r>
        <w:rPr>
          <w:rFonts w:ascii="楷体" w:eastAsia="楷体"/>
          <w:sz w:val="18"/>
        </w:rPr>
        <w:t>180</w:t>
      </w:r>
      <w:r>
        <w:rPr>
          <w:rFonts w:ascii="楷体" w:eastAsia="楷体"/>
          <w:spacing w:val="-3"/>
          <w:sz w:val="18"/>
        </w:rPr>
        <w:t xml:space="preserve"> 天的身体情况进行鉴定。</w:t>
      </w:r>
    </w:p>
    <w:p>
      <w:pPr>
        <w:spacing w:before="0" w:line="228" w:lineRule="exact"/>
        <w:ind w:left="220" w:right="0" w:firstLine="0"/>
        <w:jc w:val="left"/>
        <w:rPr>
          <w:rFonts w:ascii="楷体" w:eastAsia="楷体"/>
          <w:sz w:val="18"/>
        </w:rPr>
      </w:pPr>
      <w:r>
        <w:rPr>
          <w:rFonts w:ascii="楷体" w:eastAsia="楷体"/>
          <w:spacing w:val="-5"/>
          <w:sz w:val="18"/>
        </w:rPr>
        <w:t>注：</w:t>
      </w:r>
    </w:p>
    <w:p>
      <w:pPr>
        <w:spacing w:before="2" w:line="244" w:lineRule="auto"/>
        <w:ind w:left="220" w:right="417" w:firstLine="0"/>
        <w:jc w:val="left"/>
        <w:rPr>
          <w:rFonts w:ascii="楷体" w:hAnsi="楷体" w:eastAsia="楷体"/>
          <w:sz w:val="18"/>
        </w:rPr>
      </w:pPr>
      <w:r>
        <w:rPr>
          <w:rFonts w:ascii="楷体" w:hAnsi="楷体" w:eastAsia="楷体"/>
          <w:spacing w:val="-3"/>
          <w:sz w:val="18"/>
        </w:rPr>
        <w:t xml:space="preserve">①失明包括眼球缺失或摘除、或不能辨别明暗、或仅能辨别眼前手动者，最佳矫正视力低于国际标准视力表 </w:t>
      </w:r>
      <w:r>
        <w:rPr>
          <w:rFonts w:ascii="楷体" w:hAnsi="楷体" w:eastAsia="楷体"/>
          <w:spacing w:val="-2"/>
          <w:sz w:val="18"/>
        </w:rPr>
        <w:t>0.02，或视野半</w:t>
      </w:r>
      <w:r>
        <w:rPr>
          <w:rFonts w:ascii="楷体" w:hAnsi="楷体" w:eastAsia="楷体"/>
          <w:sz w:val="18"/>
        </w:rPr>
        <w:t>径小于 5 度，并由有资格的眼科医生出具医疗诊断证明。</w:t>
      </w:r>
    </w:p>
    <w:p>
      <w:pPr>
        <w:spacing w:before="0" w:line="228" w:lineRule="exact"/>
        <w:ind w:left="220" w:right="0" w:firstLine="0"/>
        <w:jc w:val="left"/>
        <w:rPr>
          <w:rFonts w:ascii="楷体" w:hAnsi="楷体" w:eastAsia="楷体"/>
          <w:sz w:val="18"/>
        </w:rPr>
      </w:pPr>
      <w:r>
        <w:rPr>
          <w:rFonts w:ascii="楷体" w:hAnsi="楷体" w:eastAsia="楷体"/>
          <w:spacing w:val="-1"/>
          <w:sz w:val="18"/>
        </w:rPr>
        <w:t>②关节机能的丧失系指关节永久完全僵硬、或麻痹、或关节不能随意识活动。</w:t>
      </w:r>
    </w:p>
    <w:p>
      <w:pPr>
        <w:spacing w:after="0" w:line="228" w:lineRule="exact"/>
        <w:jc w:val="left"/>
        <w:rPr>
          <w:rFonts w:ascii="楷体" w:hAnsi="楷体" w:eastAsia="楷体"/>
          <w:sz w:val="18"/>
        </w:rPr>
        <w:sectPr>
          <w:type w:val="continuous"/>
          <w:pgSz w:w="11910" w:h="16840"/>
          <w:pgMar w:top="480" w:right="660" w:bottom="280" w:left="860" w:header="0" w:footer="662" w:gutter="0"/>
          <w:cols w:space="720" w:num="1"/>
        </w:sectPr>
      </w:pPr>
    </w:p>
    <w:p>
      <w:pPr>
        <w:tabs>
          <w:tab w:val="left" w:pos="3020"/>
        </w:tabs>
        <w:spacing w:before="43"/>
        <w:ind w:left="1321" w:right="0" w:firstLine="0"/>
        <w:jc w:val="left"/>
        <w:rPr>
          <w:sz w:val="21"/>
        </w:rPr>
      </w:pPr>
      <w:r>
        <w:rPr>
          <w:b/>
          <w:w w:val="95"/>
          <w:position w:val="1"/>
          <w:sz w:val="21"/>
        </w:rPr>
        <w:t>全残保险</w:t>
      </w:r>
      <w:r>
        <w:rPr>
          <w:b/>
          <w:spacing w:val="-10"/>
          <w:w w:val="95"/>
          <w:position w:val="1"/>
          <w:sz w:val="21"/>
        </w:rPr>
        <w:t>金</w:t>
      </w:r>
      <w:r>
        <w:rPr>
          <w:b/>
          <w:position w:val="1"/>
          <w:sz w:val="21"/>
        </w:rPr>
        <w:tab/>
      </w:r>
      <w:r>
        <w:rPr>
          <w:w w:val="95"/>
          <w:sz w:val="21"/>
        </w:rPr>
        <w:t>保险金或全残保险金，</w:t>
      </w:r>
      <w:r>
        <w:rPr>
          <w:color w:val="000000"/>
          <w:w w:val="95"/>
          <w:sz w:val="21"/>
          <w:shd w:val="clear" w:color="auto" w:fill="E4E4E4"/>
        </w:rPr>
        <w:t>同时本合同终止</w:t>
      </w:r>
      <w:r>
        <w:rPr>
          <w:color w:val="000000"/>
          <w:spacing w:val="-10"/>
          <w:w w:val="95"/>
          <w:sz w:val="21"/>
          <w:shd w:val="clear" w:color="auto" w:fill="E4E4E4"/>
        </w:rPr>
        <w:t>。</w:t>
      </w:r>
    </w:p>
    <w:p>
      <w:pPr>
        <w:pStyle w:val="4"/>
        <w:spacing w:before="2"/>
        <w:rPr>
          <w:sz w:val="9"/>
        </w:rPr>
      </w:pPr>
    </w:p>
    <w:p>
      <w:pPr>
        <w:pStyle w:val="4"/>
        <w:spacing w:before="69" w:line="266" w:lineRule="auto"/>
        <w:ind w:left="3020" w:right="208"/>
      </w:pPr>
      <w:r>
        <w:rPr>
          <w:color w:val="000000"/>
          <w:spacing w:val="-2"/>
          <w:w w:val="95"/>
          <w:shd w:val="clear" w:color="auto" w:fill="E4E4E4"/>
        </w:rPr>
        <w:t>身故保险金或全残保险金由投保人在投保时与本公司约定的方式进行给付，并</w:t>
      </w:r>
      <w:r>
        <w:rPr>
          <w:color w:val="000000"/>
          <w:spacing w:val="80"/>
          <w:w w:val="150"/>
          <w:shd w:val="clear" w:color="auto" w:fill="E4E4E4"/>
        </w:rPr>
        <w:t xml:space="preserve">                                       </w:t>
      </w:r>
      <w:r>
        <w:rPr>
          <w:color w:val="000000"/>
          <w:spacing w:val="-2"/>
          <w:shd w:val="clear" w:color="auto" w:fill="E4E4E4"/>
        </w:rPr>
        <w:t>在合同中载明：</w:t>
      </w:r>
    </w:p>
    <w:p>
      <w:pPr>
        <w:pStyle w:val="9"/>
        <w:numPr>
          <w:ilvl w:val="1"/>
          <w:numId w:val="3"/>
        </w:numPr>
        <w:tabs>
          <w:tab w:val="left" w:pos="3741"/>
        </w:tabs>
        <w:spacing w:before="159" w:after="0" w:line="266" w:lineRule="auto"/>
        <w:ind w:left="3740" w:right="203" w:hanging="720"/>
        <w:jc w:val="both"/>
        <w:rPr>
          <w:sz w:val="21"/>
        </w:rPr>
      </w:pPr>
      <w:r>
        <w:rPr>
          <w:b/>
          <w:spacing w:val="-9"/>
          <w:w w:val="99"/>
          <w:sz w:val="21"/>
        </w:rPr>
        <w:t>方式一：</w:t>
      </w:r>
      <w:r>
        <w:rPr>
          <w:spacing w:val="-5"/>
          <w:w w:val="99"/>
          <w:sz w:val="21"/>
        </w:rPr>
        <w:t>被保险人身故或确定全残，身故保险金或全残保险金等于投保</w:t>
      </w:r>
      <w:r>
        <w:rPr>
          <w:spacing w:val="-1"/>
          <w:w w:val="99"/>
          <w:sz w:val="21"/>
        </w:rPr>
        <w:t>人已交纳的本合同累计保险费数额</w:t>
      </w:r>
      <w:r>
        <w:rPr>
          <w:spacing w:val="2"/>
          <w:w w:val="99"/>
          <w:sz w:val="21"/>
        </w:rPr>
        <w:t>（</w:t>
      </w:r>
      <w:r>
        <w:rPr>
          <w:w w:val="99"/>
          <w:sz w:val="21"/>
        </w:rPr>
        <w:t>不计息</w:t>
      </w:r>
      <w:r>
        <w:rPr>
          <w:spacing w:val="-104"/>
          <w:w w:val="99"/>
          <w:sz w:val="21"/>
        </w:rPr>
        <w:t>）</w:t>
      </w:r>
      <w:r>
        <w:rPr>
          <w:spacing w:val="-1"/>
          <w:w w:val="99"/>
          <w:sz w:val="21"/>
        </w:rPr>
        <w:t>，</w:t>
      </w:r>
      <w:r>
        <w:rPr>
          <w:color w:val="000000"/>
          <w:spacing w:val="-1"/>
          <w:w w:val="99"/>
          <w:sz w:val="21"/>
          <w:shd w:val="clear" w:color="auto" w:fill="E4E4E4"/>
        </w:rPr>
        <w:t>同时本合同终止；</w:t>
      </w:r>
    </w:p>
    <w:p>
      <w:pPr>
        <w:pStyle w:val="9"/>
        <w:numPr>
          <w:ilvl w:val="1"/>
          <w:numId w:val="3"/>
        </w:numPr>
        <w:tabs>
          <w:tab w:val="left" w:pos="3741"/>
        </w:tabs>
        <w:spacing w:before="159" w:after="0" w:line="266" w:lineRule="auto"/>
        <w:ind w:left="3740" w:right="203" w:hanging="720"/>
        <w:jc w:val="both"/>
        <w:rPr>
          <w:sz w:val="21"/>
        </w:rPr>
      </w:pPr>
      <w:r>
        <w:rPr>
          <w:b/>
          <w:spacing w:val="-9"/>
          <w:w w:val="99"/>
          <w:sz w:val="21"/>
        </w:rPr>
        <w:t>方式二：</w:t>
      </w:r>
      <w:r>
        <w:rPr>
          <w:spacing w:val="-1"/>
          <w:w w:val="99"/>
          <w:sz w:val="21"/>
        </w:rPr>
        <w:t>如果被保险人身故或确定全残时未满</w:t>
      </w:r>
      <w:r>
        <w:rPr>
          <w:spacing w:val="-50"/>
          <w:sz w:val="21"/>
        </w:rPr>
        <w:t xml:space="preserve"> </w:t>
      </w:r>
      <w:r>
        <w:rPr>
          <w:spacing w:val="1"/>
          <w:w w:val="99"/>
          <w:sz w:val="21"/>
        </w:rPr>
        <w:t>1</w:t>
      </w:r>
      <w:r>
        <w:rPr>
          <w:w w:val="99"/>
          <w:sz w:val="21"/>
        </w:rPr>
        <w:t>8</w:t>
      </w:r>
      <w:r>
        <w:rPr>
          <w:spacing w:val="-54"/>
          <w:sz w:val="21"/>
        </w:rPr>
        <w:t xml:space="preserve"> </w:t>
      </w:r>
      <w:r>
        <w:rPr>
          <w:spacing w:val="-19"/>
          <w:w w:val="99"/>
          <w:sz w:val="21"/>
        </w:rPr>
        <w:t>周岁</w:t>
      </w:r>
      <w:r>
        <w:rPr>
          <w:spacing w:val="2"/>
          <w:w w:val="99"/>
          <w:sz w:val="21"/>
        </w:rPr>
        <w:t>（</w:t>
      </w:r>
      <w:r>
        <w:rPr>
          <w:spacing w:val="1"/>
          <w:w w:val="99"/>
          <w:sz w:val="21"/>
        </w:rPr>
        <w:t>不含</w:t>
      </w:r>
      <w:r>
        <w:rPr>
          <w:spacing w:val="-53"/>
          <w:sz w:val="21"/>
        </w:rPr>
        <w:t xml:space="preserve"> </w:t>
      </w:r>
      <w:r>
        <w:rPr>
          <w:spacing w:val="1"/>
          <w:w w:val="99"/>
          <w:sz w:val="21"/>
        </w:rPr>
        <w:t>1</w:t>
      </w:r>
      <w:r>
        <w:rPr>
          <w:w w:val="99"/>
          <w:sz w:val="21"/>
        </w:rPr>
        <w:t>8</w:t>
      </w:r>
      <w:r>
        <w:rPr>
          <w:spacing w:val="-54"/>
          <w:sz w:val="21"/>
        </w:rPr>
        <w:t xml:space="preserve"> </w:t>
      </w:r>
      <w:r>
        <w:rPr>
          <w:w w:val="99"/>
          <w:sz w:val="21"/>
        </w:rPr>
        <w:t>周岁生</w:t>
      </w:r>
      <w:r>
        <w:rPr>
          <w:spacing w:val="2"/>
          <w:w w:val="99"/>
          <w:sz w:val="21"/>
        </w:rPr>
        <w:t>日</w:t>
      </w:r>
      <w:r>
        <w:rPr>
          <w:spacing w:val="-101"/>
          <w:w w:val="99"/>
          <w:sz w:val="21"/>
        </w:rPr>
        <w:t>）</w:t>
      </w:r>
      <w:r>
        <w:rPr>
          <w:w w:val="99"/>
          <w:sz w:val="21"/>
        </w:rPr>
        <w:t>，身故保险金或全残保险金等于投保人已交纳的本合同累计保险费数额</w:t>
      </w:r>
      <w:r>
        <w:rPr>
          <w:spacing w:val="-1"/>
          <w:w w:val="99"/>
          <w:sz w:val="21"/>
        </w:rPr>
        <w:t>（</w:t>
      </w:r>
      <w:r>
        <w:rPr>
          <w:w w:val="99"/>
          <w:sz w:val="21"/>
        </w:rPr>
        <w:t>不计息</w:t>
      </w:r>
      <w:r>
        <w:rPr>
          <w:spacing w:val="-104"/>
          <w:w w:val="99"/>
          <w:sz w:val="21"/>
        </w:rPr>
        <w:t>）</w:t>
      </w:r>
      <w:r>
        <w:rPr>
          <w:spacing w:val="2"/>
          <w:w w:val="99"/>
          <w:sz w:val="21"/>
        </w:rPr>
        <w:t>，</w:t>
      </w:r>
      <w:r>
        <w:rPr>
          <w:color w:val="000000"/>
          <w:spacing w:val="-1"/>
          <w:w w:val="99"/>
          <w:sz w:val="21"/>
          <w:shd w:val="clear" w:color="auto" w:fill="E4E4E4"/>
        </w:rPr>
        <w:t>同时本合同终止；</w:t>
      </w:r>
    </w:p>
    <w:p>
      <w:pPr>
        <w:pStyle w:val="4"/>
        <w:spacing w:before="160" w:line="266" w:lineRule="auto"/>
        <w:ind w:left="3740" w:right="206"/>
        <w:jc w:val="both"/>
      </w:pPr>
      <w:r>
        <w:rPr>
          <w:w w:val="95"/>
        </w:rPr>
        <w:t>如果被保险人身故或确定全残时已满 18 周岁（含 18 周岁生日</w:t>
      </w:r>
      <w:r>
        <w:rPr>
          <w:spacing w:val="-104"/>
          <w:w w:val="95"/>
        </w:rPr>
        <w:t>）</w:t>
      </w:r>
      <w:r>
        <w:rPr>
          <w:spacing w:val="2"/>
          <w:w w:val="95"/>
        </w:rPr>
        <w:t>，</w:t>
      </w:r>
      <w:r>
        <w:rPr>
          <w:w w:val="95"/>
        </w:rPr>
        <w:t>身故保险金或全残保险金等于本合同基本保险金额的</w:t>
      </w:r>
      <w:r>
        <w:rPr>
          <w:spacing w:val="45"/>
        </w:rPr>
        <w:t xml:space="preserve"> </w:t>
      </w:r>
      <w:r>
        <w:rPr>
          <w:w w:val="95"/>
        </w:rPr>
        <w:t>100%，</w:t>
      </w:r>
      <w:r>
        <w:rPr>
          <w:color w:val="000000"/>
          <w:w w:val="95"/>
          <w:shd w:val="clear" w:color="auto" w:fill="E4E4E4"/>
        </w:rPr>
        <w:t>同时本合同终</w:t>
      </w:r>
      <w:r>
        <w:rPr>
          <w:color w:val="000000"/>
          <w:spacing w:val="80"/>
          <w:shd w:val="clear" w:color="auto" w:fill="E4E4E4"/>
        </w:rPr>
        <w:t xml:space="preserve"> </w:t>
      </w:r>
      <w:r>
        <w:rPr>
          <w:color w:val="000000"/>
          <w:spacing w:val="-6"/>
          <w:shd w:val="clear" w:color="auto" w:fill="E4E4E4"/>
        </w:rPr>
        <w:t>止。</w:t>
      </w:r>
    </w:p>
    <w:p>
      <w:pPr>
        <w:pStyle w:val="4"/>
        <w:spacing w:before="160" w:line="266" w:lineRule="auto"/>
        <w:ind w:left="3020" w:right="208"/>
        <w:jc w:val="both"/>
      </w:pPr>
      <w:r>
        <w:rPr>
          <w:spacing w:val="-1"/>
          <w:w w:val="99"/>
        </w:rPr>
        <w:t>在本合同生效</w:t>
      </w:r>
      <w:r>
        <w:rPr>
          <w:spacing w:val="2"/>
          <w:w w:val="99"/>
        </w:rPr>
        <w:t>（</w:t>
      </w:r>
      <w:r>
        <w:rPr>
          <w:spacing w:val="-1"/>
          <w:w w:val="99"/>
        </w:rPr>
        <w:t>若曾复效，则自本合同最后复效</w:t>
      </w:r>
      <w:r>
        <w:rPr>
          <w:spacing w:val="2"/>
          <w:w w:val="99"/>
        </w:rPr>
        <w:t>）</w:t>
      </w:r>
      <w:r>
        <w:rPr>
          <w:w w:val="99"/>
        </w:rPr>
        <w:t>之日起</w:t>
      </w:r>
      <w:r>
        <w:rPr>
          <w:spacing w:val="-50"/>
        </w:rPr>
        <w:t xml:space="preserve"> </w:t>
      </w:r>
      <w:r>
        <w:rPr>
          <w:spacing w:val="1"/>
          <w:w w:val="99"/>
        </w:rPr>
        <w:t>18</w:t>
      </w:r>
      <w:r>
        <w:rPr>
          <w:w w:val="99"/>
        </w:rPr>
        <w:t>0</w:t>
      </w:r>
      <w:r>
        <w:rPr>
          <w:spacing w:val="-54"/>
        </w:rPr>
        <w:t xml:space="preserve"> </w:t>
      </w:r>
      <w:r>
        <w:rPr>
          <w:spacing w:val="-1"/>
          <w:w w:val="99"/>
        </w:rPr>
        <w:t>天内，被保险人因非意外的原因导致身故或确定全残，本公司将按投保人已交纳的本合同累计保险费数额</w:t>
      </w:r>
      <w:r>
        <w:rPr>
          <w:spacing w:val="2"/>
          <w:w w:val="99"/>
        </w:rPr>
        <w:t>（</w:t>
      </w:r>
      <w:r>
        <w:rPr>
          <w:spacing w:val="-1"/>
          <w:w w:val="99"/>
        </w:rPr>
        <w:t>不计息</w:t>
      </w:r>
      <w:r>
        <w:rPr>
          <w:spacing w:val="2"/>
          <w:w w:val="99"/>
        </w:rPr>
        <w:t>）</w:t>
      </w:r>
      <w:r>
        <w:rPr>
          <w:spacing w:val="-1"/>
          <w:w w:val="99"/>
        </w:rPr>
        <w:t>给付身故保险金或全残保险金，</w:t>
      </w:r>
      <w:r>
        <w:rPr>
          <w:color w:val="000000"/>
          <w:spacing w:val="-1"/>
          <w:w w:val="99"/>
          <w:shd w:val="clear" w:color="auto" w:fill="E4E4E4"/>
        </w:rPr>
        <w:t>同时本合同终止。</w:t>
      </w:r>
    </w:p>
    <w:p>
      <w:pPr>
        <w:spacing w:after="0" w:line="266" w:lineRule="auto"/>
        <w:jc w:val="both"/>
        <w:sectPr>
          <w:pgSz w:w="11910" w:h="16840"/>
          <w:pgMar w:top="1400" w:right="660" w:bottom="860" w:left="860" w:header="0" w:footer="662" w:gutter="0"/>
          <w:cols w:space="720" w:num="1"/>
        </w:sectPr>
      </w:pPr>
    </w:p>
    <w:p>
      <w:pPr>
        <w:pStyle w:val="3"/>
        <w:numPr>
          <w:ilvl w:val="3"/>
          <w:numId w:val="2"/>
        </w:numPr>
        <w:tabs>
          <w:tab w:val="left" w:pos="1321"/>
          <w:tab w:val="left" w:pos="1322"/>
        </w:tabs>
        <w:spacing w:before="150" w:after="0" w:line="240" w:lineRule="auto"/>
        <w:ind w:left="1321" w:right="0" w:hanging="1102"/>
        <w:jc w:val="left"/>
      </w:pPr>
      <w:r>
        <w:rPr>
          <w:spacing w:val="-2"/>
          <w:w w:val="95"/>
        </w:rPr>
        <w:t>疾病终末期保</w:t>
      </w:r>
    </w:p>
    <w:p>
      <w:pPr>
        <w:spacing w:before="43"/>
        <w:ind w:left="1321" w:right="0" w:firstLine="0"/>
        <w:jc w:val="left"/>
        <w:rPr>
          <w:b/>
          <w:sz w:val="21"/>
        </w:rPr>
      </w:pPr>
      <w:r>
        <w:rPr>
          <w:b/>
          <w:w w:val="95"/>
          <w:sz w:val="21"/>
        </w:rPr>
        <w:t>险</w:t>
      </w:r>
      <w:r>
        <w:rPr>
          <w:b/>
          <w:spacing w:val="-10"/>
          <w:sz w:val="21"/>
        </w:rPr>
        <w:t>金</w:t>
      </w:r>
    </w:p>
    <w:p>
      <w:pPr>
        <w:pStyle w:val="4"/>
        <w:spacing w:before="160" w:line="266" w:lineRule="auto"/>
        <w:ind w:left="220" w:right="199"/>
        <w:jc w:val="both"/>
      </w:pPr>
      <w:r>
        <w:br w:type="column"/>
      </w: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天后因非意外的原因在本公司指定或认可的医疗机构的专科</w:t>
      </w:r>
      <w:r>
        <w:rPr>
          <w:w w:val="99"/>
        </w:rPr>
        <w:t>医生</w:t>
      </w:r>
      <w:r>
        <w:rPr>
          <w:b/>
          <w:spacing w:val="2"/>
          <w:w w:val="99"/>
        </w:rPr>
        <w:t>确诊初次达到</w:t>
      </w:r>
      <w:r>
        <w:fldChar w:fldCharType="begin"/>
      </w:r>
      <w:r>
        <w:instrText xml:space="preserve"> HYPERLINK \l "_bookmark13" </w:instrText>
      </w:r>
      <w:r>
        <w:fldChar w:fldCharType="separate"/>
      </w:r>
      <w:r>
        <w:rPr>
          <w:b/>
          <w:spacing w:val="-1"/>
          <w:w w:val="105"/>
          <w:position w:val="11"/>
          <w:sz w:val="10"/>
        </w:rPr>
        <w:t>16</w:t>
      </w:r>
      <w:r>
        <w:rPr>
          <w:b/>
          <w:spacing w:val="-1"/>
          <w:w w:val="105"/>
          <w:position w:val="11"/>
          <w:sz w:val="10"/>
        </w:rPr>
        <w:fldChar w:fldCharType="end"/>
      </w:r>
      <w:r>
        <w:rPr>
          <w:b/>
          <w:spacing w:val="2"/>
          <w:w w:val="99"/>
        </w:rPr>
        <w:t>疾病终末期阶段</w:t>
      </w:r>
      <w:r>
        <w:fldChar w:fldCharType="begin"/>
      </w:r>
      <w:r>
        <w:instrText xml:space="preserve"> HYPERLINK \l "_bookmark14" </w:instrText>
      </w:r>
      <w:r>
        <w:fldChar w:fldCharType="separate"/>
      </w:r>
      <w:r>
        <w:rPr>
          <w:b/>
          <w:spacing w:val="-1"/>
          <w:w w:val="105"/>
          <w:position w:val="11"/>
          <w:sz w:val="10"/>
        </w:rPr>
        <w:t>17</w:t>
      </w:r>
      <w:r>
        <w:rPr>
          <w:b/>
          <w:spacing w:val="-1"/>
          <w:w w:val="105"/>
          <w:position w:val="11"/>
          <w:sz w:val="10"/>
        </w:rPr>
        <w:fldChar w:fldCharType="end"/>
      </w:r>
      <w:r>
        <w:rPr>
          <w:spacing w:val="-1"/>
          <w:w w:val="99"/>
        </w:rPr>
        <w:t>，本公司给付疾病终末期保险金，</w:t>
      </w:r>
      <w:r>
        <w:rPr>
          <w:color w:val="000000"/>
          <w:w w:val="99"/>
          <w:shd w:val="clear" w:color="auto" w:fill="E4E4E4"/>
        </w:rPr>
        <w:t xml:space="preserve">同时本                                                                                                                                      </w:t>
      </w:r>
      <w:r>
        <w:rPr>
          <w:color w:val="000000"/>
          <w:spacing w:val="-1"/>
          <w:w w:val="99"/>
          <w:shd w:val="clear" w:color="auto" w:fill="E4E4E4"/>
        </w:rPr>
        <w:t>合同终止。</w:t>
      </w:r>
    </w:p>
    <w:p>
      <w:pPr>
        <w:spacing w:after="0" w:line="266" w:lineRule="auto"/>
        <w:jc w:val="both"/>
        <w:sectPr>
          <w:type w:val="continuous"/>
          <w:pgSz w:w="11910" w:h="16840"/>
          <w:pgMar w:top="480" w:right="660" w:bottom="280" w:left="860" w:header="0" w:footer="662" w:gutter="0"/>
          <w:cols w:equalWidth="0" w:num="2">
            <w:col w:w="2625" w:space="176"/>
            <w:col w:w="7589"/>
          </w:cols>
        </w:sectPr>
      </w:pPr>
    </w:p>
    <w:p>
      <w:pPr>
        <w:pStyle w:val="4"/>
        <w:spacing w:before="161" w:line="266" w:lineRule="auto"/>
        <w:ind w:left="3020" w:right="208"/>
      </w:pPr>
      <w:r>
        <w:rPr>
          <w:color w:val="000000"/>
          <w:spacing w:val="-1"/>
          <w:w w:val="99"/>
          <w:shd w:val="clear" w:color="auto" w:fill="E4E4E4"/>
        </w:rPr>
        <w:t>疾病终末期保险金由投保人在投保时与本公司约定的方式进行给付，并在合同中载明：</w:t>
      </w:r>
    </w:p>
    <w:p>
      <w:pPr>
        <w:pStyle w:val="9"/>
        <w:numPr>
          <w:ilvl w:val="4"/>
          <w:numId w:val="2"/>
        </w:numPr>
        <w:tabs>
          <w:tab w:val="left" w:pos="3741"/>
        </w:tabs>
        <w:spacing w:before="159" w:after="0" w:line="266" w:lineRule="auto"/>
        <w:ind w:left="3740" w:right="203" w:hanging="720"/>
        <w:jc w:val="both"/>
        <w:rPr>
          <w:sz w:val="21"/>
        </w:rPr>
      </w:pPr>
      <w:r>
        <w:rPr>
          <w:b/>
          <w:spacing w:val="-9"/>
          <w:w w:val="99"/>
          <w:sz w:val="21"/>
        </w:rPr>
        <w:t>方式一：</w:t>
      </w:r>
      <w:r>
        <w:rPr>
          <w:spacing w:val="-4"/>
          <w:w w:val="99"/>
          <w:sz w:val="21"/>
        </w:rPr>
        <w:t>被保险人确诊初次达到疾病终末期，疾病终末期保险金等于投</w:t>
      </w:r>
      <w:r>
        <w:rPr>
          <w:spacing w:val="-1"/>
          <w:w w:val="99"/>
          <w:sz w:val="21"/>
        </w:rPr>
        <w:t>保人已交纳的本合同累计保险费数额（</w:t>
      </w:r>
      <w:r>
        <w:rPr>
          <w:w w:val="99"/>
          <w:sz w:val="21"/>
        </w:rPr>
        <w:t>不计息</w:t>
      </w:r>
      <w:r>
        <w:rPr>
          <w:spacing w:val="-104"/>
          <w:w w:val="99"/>
          <w:sz w:val="21"/>
        </w:rPr>
        <w:t>）</w:t>
      </w:r>
      <w:r>
        <w:rPr>
          <w:spacing w:val="2"/>
          <w:w w:val="99"/>
          <w:sz w:val="21"/>
        </w:rPr>
        <w:t>，</w:t>
      </w:r>
      <w:r>
        <w:rPr>
          <w:color w:val="000000"/>
          <w:spacing w:val="-1"/>
          <w:w w:val="99"/>
          <w:sz w:val="21"/>
          <w:shd w:val="clear" w:color="auto" w:fill="E4E4E4"/>
        </w:rPr>
        <w:t>同时本合同终止；</w:t>
      </w:r>
    </w:p>
    <w:p>
      <w:pPr>
        <w:pStyle w:val="9"/>
        <w:numPr>
          <w:ilvl w:val="4"/>
          <w:numId w:val="2"/>
        </w:numPr>
        <w:tabs>
          <w:tab w:val="left" w:pos="3741"/>
        </w:tabs>
        <w:spacing w:before="158" w:after="0" w:line="266" w:lineRule="auto"/>
        <w:ind w:left="3740" w:right="206" w:hanging="720"/>
        <w:jc w:val="both"/>
        <w:rPr>
          <w:sz w:val="21"/>
        </w:rPr>
      </w:pPr>
      <w:r>
        <w:rPr>
          <w:b/>
          <w:spacing w:val="2"/>
          <w:w w:val="99"/>
          <w:sz w:val="21"/>
        </w:rPr>
        <w:t>方式二：</w:t>
      </w:r>
      <w:r>
        <w:rPr>
          <w:spacing w:val="-1"/>
          <w:w w:val="99"/>
          <w:sz w:val="21"/>
        </w:rPr>
        <w:t>如果被保险人确诊初次达到疾病终末期时未满</w:t>
      </w:r>
      <w:r>
        <w:rPr>
          <w:spacing w:val="-53"/>
          <w:sz w:val="21"/>
        </w:rPr>
        <w:t xml:space="preserve"> </w:t>
      </w:r>
      <w:r>
        <w:rPr>
          <w:spacing w:val="1"/>
          <w:w w:val="99"/>
          <w:sz w:val="21"/>
        </w:rPr>
        <w:t>1</w:t>
      </w:r>
      <w:r>
        <w:rPr>
          <w:w w:val="99"/>
          <w:sz w:val="21"/>
        </w:rPr>
        <w:t>8</w:t>
      </w:r>
      <w:r>
        <w:rPr>
          <w:spacing w:val="-52"/>
          <w:sz w:val="21"/>
        </w:rPr>
        <w:t xml:space="preserve"> </w:t>
      </w:r>
      <w:r>
        <w:rPr>
          <w:w w:val="99"/>
          <w:sz w:val="21"/>
        </w:rPr>
        <w:t>周岁</w:t>
      </w:r>
      <w:r>
        <w:rPr>
          <w:spacing w:val="2"/>
          <w:w w:val="99"/>
          <w:sz w:val="21"/>
        </w:rPr>
        <w:t>（</w:t>
      </w:r>
      <w:r>
        <w:rPr>
          <w:spacing w:val="-1"/>
          <w:w w:val="99"/>
          <w:sz w:val="21"/>
        </w:rPr>
        <w:t xml:space="preserve">不含 </w:t>
      </w:r>
      <w:r>
        <w:rPr>
          <w:spacing w:val="1"/>
          <w:w w:val="99"/>
          <w:sz w:val="21"/>
        </w:rPr>
        <w:t>1</w:t>
      </w:r>
      <w:r>
        <w:rPr>
          <w:w w:val="99"/>
          <w:sz w:val="21"/>
        </w:rPr>
        <w:t>8</w:t>
      </w:r>
      <w:r>
        <w:rPr>
          <w:spacing w:val="-52"/>
          <w:sz w:val="21"/>
        </w:rPr>
        <w:t xml:space="preserve"> </w:t>
      </w:r>
      <w:r>
        <w:rPr>
          <w:spacing w:val="-1"/>
          <w:w w:val="99"/>
          <w:sz w:val="21"/>
        </w:rPr>
        <w:t>周岁生日</w:t>
      </w:r>
      <w:r>
        <w:rPr>
          <w:spacing w:val="-106"/>
          <w:w w:val="99"/>
          <w:sz w:val="21"/>
        </w:rPr>
        <w:t>）</w:t>
      </w:r>
      <w:r>
        <w:rPr>
          <w:spacing w:val="-4"/>
          <w:w w:val="99"/>
          <w:sz w:val="21"/>
        </w:rPr>
        <w:t>，疾病终末期保险金等于投保人已交纳的本合同累计保险</w:t>
      </w:r>
      <w:r>
        <w:rPr>
          <w:spacing w:val="-1"/>
          <w:w w:val="99"/>
          <w:sz w:val="21"/>
        </w:rPr>
        <w:t>费数额</w:t>
      </w:r>
      <w:r>
        <w:rPr>
          <w:spacing w:val="2"/>
          <w:w w:val="99"/>
          <w:sz w:val="21"/>
        </w:rPr>
        <w:t>（</w:t>
      </w:r>
      <w:r>
        <w:rPr>
          <w:w w:val="99"/>
          <w:sz w:val="21"/>
        </w:rPr>
        <w:t>不计息</w:t>
      </w:r>
      <w:r>
        <w:rPr>
          <w:spacing w:val="-104"/>
          <w:w w:val="99"/>
          <w:sz w:val="21"/>
        </w:rPr>
        <w:t>）</w:t>
      </w:r>
      <w:r>
        <w:rPr>
          <w:spacing w:val="-1"/>
          <w:w w:val="99"/>
          <w:sz w:val="21"/>
        </w:rPr>
        <w:t>，</w:t>
      </w:r>
      <w:r>
        <w:rPr>
          <w:color w:val="000000"/>
          <w:spacing w:val="-1"/>
          <w:w w:val="99"/>
          <w:sz w:val="21"/>
          <w:shd w:val="clear" w:color="auto" w:fill="E4E4E4"/>
        </w:rPr>
        <w:t>同时本合同终止；</w:t>
      </w:r>
    </w:p>
    <w:p>
      <w:pPr>
        <w:pStyle w:val="4"/>
        <w:spacing w:before="160" w:line="266" w:lineRule="auto"/>
        <w:ind w:left="3740" w:right="206"/>
        <w:jc w:val="both"/>
      </w:pPr>
      <w:r>
        <w:rPr>
          <w:w w:val="95"/>
        </w:rPr>
        <w:t>如果被保险人确诊初次达到疾病终末期时已满</w:t>
      </w:r>
      <w:r>
        <w:rPr>
          <w:spacing w:val="40"/>
        </w:rPr>
        <w:t xml:space="preserve"> </w:t>
      </w:r>
      <w:r>
        <w:rPr>
          <w:w w:val="95"/>
        </w:rPr>
        <w:t>18</w:t>
      </w:r>
      <w:r>
        <w:rPr>
          <w:spacing w:val="38"/>
        </w:rPr>
        <w:t xml:space="preserve"> </w:t>
      </w:r>
      <w:r>
        <w:rPr>
          <w:w w:val="95"/>
        </w:rPr>
        <w:t>周岁（含</w:t>
      </w:r>
      <w:r>
        <w:rPr>
          <w:spacing w:val="40"/>
        </w:rPr>
        <w:t xml:space="preserve"> </w:t>
      </w:r>
      <w:r>
        <w:rPr>
          <w:w w:val="95"/>
        </w:rPr>
        <w:t>18</w:t>
      </w:r>
      <w:r>
        <w:rPr>
          <w:spacing w:val="40"/>
        </w:rPr>
        <w:t xml:space="preserve"> </w:t>
      </w:r>
      <w:r>
        <w:rPr>
          <w:w w:val="95"/>
        </w:rPr>
        <w:t>周岁生日</w:t>
      </w:r>
      <w:r>
        <w:rPr>
          <w:spacing w:val="-59"/>
          <w:w w:val="95"/>
        </w:rPr>
        <w:t>）</w:t>
      </w:r>
      <w:r>
        <w:rPr>
          <w:spacing w:val="-8"/>
          <w:w w:val="95"/>
        </w:rPr>
        <w:t>，疾病终末期保险金等于本合</w:t>
      </w:r>
      <w:r>
        <w:rPr>
          <w:w w:val="95"/>
        </w:rPr>
        <w:t>同基本保险金额的 100%，</w:t>
      </w:r>
      <w:r>
        <w:rPr>
          <w:color w:val="000000"/>
          <w:w w:val="95"/>
          <w:shd w:val="clear" w:color="auto" w:fill="E4E4E4"/>
        </w:rPr>
        <w:t>同时本合同</w:t>
      </w:r>
      <w:r>
        <w:rPr>
          <w:color w:val="000000"/>
          <w:spacing w:val="40"/>
          <w:shd w:val="clear" w:color="auto" w:fill="E4E4E4"/>
        </w:rPr>
        <w:t xml:space="preserve"> </w:t>
      </w:r>
      <w:r>
        <w:rPr>
          <w:color w:val="000000"/>
          <w:spacing w:val="-4"/>
          <w:shd w:val="clear" w:color="auto" w:fill="E4E4E4"/>
        </w:rPr>
        <w:t>终止。</w:t>
      </w:r>
    </w:p>
    <w:p>
      <w:pPr>
        <w:pStyle w:val="4"/>
        <w:spacing w:before="161" w:line="266" w:lineRule="auto"/>
        <w:ind w:left="3020" w:right="208"/>
        <w:jc w:val="both"/>
      </w:pPr>
      <w:r>
        <w:rPr>
          <w:spacing w:val="-1"/>
          <w:w w:val="99"/>
        </w:rPr>
        <w:t>在本合同生效</w:t>
      </w:r>
      <w:r>
        <w:rPr>
          <w:spacing w:val="2"/>
          <w:w w:val="99"/>
        </w:rPr>
        <w:t>（</w:t>
      </w:r>
      <w:r>
        <w:rPr>
          <w:spacing w:val="-1"/>
          <w:w w:val="99"/>
        </w:rPr>
        <w:t>若曾复效，则自本合同最后复效</w:t>
      </w:r>
      <w:r>
        <w:rPr>
          <w:spacing w:val="2"/>
          <w:w w:val="99"/>
        </w:rPr>
        <w:t>）</w:t>
      </w:r>
      <w:r>
        <w:rPr>
          <w:w w:val="99"/>
        </w:rPr>
        <w:t>之日起</w:t>
      </w:r>
      <w:r>
        <w:rPr>
          <w:spacing w:val="-50"/>
        </w:rPr>
        <w:t xml:space="preserve"> </w:t>
      </w:r>
      <w:r>
        <w:rPr>
          <w:spacing w:val="1"/>
          <w:w w:val="99"/>
        </w:rPr>
        <w:t>18</w:t>
      </w:r>
      <w:r>
        <w:rPr>
          <w:w w:val="99"/>
        </w:rPr>
        <w:t>0</w:t>
      </w:r>
      <w:r>
        <w:rPr>
          <w:spacing w:val="-54"/>
        </w:rPr>
        <w:t xml:space="preserve"> </w:t>
      </w:r>
      <w:r>
        <w:rPr>
          <w:spacing w:val="-1"/>
          <w:w w:val="99"/>
        </w:rPr>
        <w:t>天内，被保险人因非意外的原因导致确诊初次达到疾病终末期，本公司将按投保人已交纳的本合同累计保险费数额</w:t>
      </w:r>
      <w:r>
        <w:rPr>
          <w:spacing w:val="2"/>
          <w:w w:val="99"/>
        </w:rPr>
        <w:t>（</w:t>
      </w:r>
      <w:r>
        <w:rPr>
          <w:spacing w:val="-1"/>
          <w:w w:val="99"/>
        </w:rPr>
        <w:t>不计息</w:t>
      </w:r>
      <w:r>
        <w:rPr>
          <w:spacing w:val="2"/>
          <w:w w:val="99"/>
        </w:rPr>
        <w:t>）</w:t>
      </w:r>
      <w:r>
        <w:rPr>
          <w:spacing w:val="-1"/>
          <w:w w:val="99"/>
        </w:rPr>
        <w:t>给付疾病终末期保险金，</w:t>
      </w:r>
      <w:r>
        <w:rPr>
          <w:color w:val="000000"/>
          <w:spacing w:val="-1"/>
          <w:w w:val="99"/>
          <w:shd w:val="clear" w:color="auto" w:fill="E4E4E4"/>
        </w:rPr>
        <w:t>同时本合同终止。</w:t>
      </w:r>
    </w:p>
    <w:p>
      <w:pPr>
        <w:pStyle w:val="9"/>
        <w:numPr>
          <w:ilvl w:val="2"/>
          <w:numId w:val="2"/>
        </w:numPr>
        <w:tabs>
          <w:tab w:val="left" w:pos="1321"/>
          <w:tab w:val="left" w:pos="1322"/>
          <w:tab w:val="left" w:pos="3020"/>
        </w:tabs>
        <w:spacing w:before="150" w:after="0" w:line="240" w:lineRule="auto"/>
        <w:ind w:left="1321" w:right="0" w:hanging="1102"/>
        <w:jc w:val="left"/>
        <w:rPr>
          <w:sz w:val="21"/>
        </w:rPr>
      </w:pPr>
      <w:r>
        <w:rPr>
          <w:b/>
          <w:w w:val="95"/>
          <w:position w:val="1"/>
          <w:sz w:val="21"/>
        </w:rPr>
        <w:t>可选责</w:t>
      </w:r>
      <w:r>
        <w:rPr>
          <w:b/>
          <w:spacing w:val="-10"/>
          <w:w w:val="95"/>
          <w:position w:val="1"/>
          <w:sz w:val="21"/>
        </w:rPr>
        <w:t>任</w:t>
      </w:r>
      <w:r>
        <w:rPr>
          <w:b/>
          <w:position w:val="1"/>
          <w:sz w:val="21"/>
        </w:rPr>
        <w:tab/>
      </w:r>
      <w:r>
        <w:rPr>
          <w:w w:val="95"/>
          <w:sz w:val="21"/>
        </w:rPr>
        <w:t>下述可选责任，由投保人在投保时与本公司约定，并在本合同中载明</w:t>
      </w:r>
      <w:r>
        <w:rPr>
          <w:spacing w:val="-10"/>
          <w:w w:val="95"/>
          <w:sz w:val="21"/>
        </w:rPr>
        <w:t>。</w:t>
      </w:r>
    </w:p>
    <w:p>
      <w:pPr>
        <w:pStyle w:val="4"/>
        <w:rPr>
          <w:sz w:val="20"/>
        </w:rPr>
      </w:pPr>
    </w:p>
    <w:p>
      <w:pPr>
        <w:pStyle w:val="4"/>
        <w:spacing w:before="7"/>
        <w:rPr>
          <w:sz w:val="22"/>
        </w:rPr>
      </w:pPr>
    </w:p>
    <w:p>
      <w:pPr>
        <w:spacing w:before="75" w:line="242" w:lineRule="auto"/>
        <w:ind w:left="220" w:right="417" w:firstLine="0"/>
        <w:jc w:val="left"/>
        <w:rPr>
          <w:rFonts w:ascii="楷体" w:hAnsi="楷体" w:eastAsia="楷体"/>
          <w:sz w:val="18"/>
        </w:rPr>
      </w:pPr>
      <w:r>
        <w:rPr>
          <w:rFonts w:ascii="楷体" w:hAnsi="楷体" w:eastAsia="楷体"/>
          <w:spacing w:val="-2"/>
          <w:sz w:val="18"/>
        </w:rPr>
        <w:t>③咀嚼、吞咽机能的丧失系指由于牙齿以外的原因引起器质障碍或机能障碍，以致不能作咀嚼、吞咽活动，除流质食物外不能摄取或吞咽的状态。</w:t>
      </w:r>
    </w:p>
    <w:p>
      <w:pPr>
        <w:spacing w:before="0" w:line="244" w:lineRule="auto"/>
        <w:ind w:left="220" w:right="417" w:firstLine="0"/>
        <w:jc w:val="left"/>
        <w:rPr>
          <w:rFonts w:ascii="楷体" w:hAnsi="楷体" w:eastAsia="楷体"/>
          <w:sz w:val="18"/>
        </w:rPr>
      </w:pPr>
      <w:r>
        <w:rPr>
          <w:rFonts w:ascii="楷体" w:hAnsi="楷体" w:eastAsia="楷体"/>
          <w:spacing w:val="-2"/>
          <w:sz w:val="18"/>
        </w:rPr>
        <w:t>④为维持生命必要之日常生活活动，全需他人扶助系指食物摄取、大小便始末、穿脱衣服、起居、步行、入浴等，皆不能自己为之，需要他人帮助。</w:t>
      </w:r>
    </w:p>
    <w:p>
      <w:pPr>
        <w:spacing w:before="0" w:line="228" w:lineRule="exact"/>
        <w:ind w:left="220" w:right="0" w:firstLine="0"/>
        <w:jc w:val="left"/>
        <w:rPr>
          <w:rFonts w:ascii="楷体" w:eastAsia="楷体"/>
          <w:sz w:val="18"/>
        </w:rPr>
      </w:pPr>
      <w:r>
        <w:rPr>
          <w:b/>
          <w:w w:val="95"/>
          <w:position w:val="9"/>
          <w:sz w:val="9"/>
        </w:rPr>
        <w:t>1</w:t>
      </w:r>
      <w:bookmarkStart w:id="13" w:name="_bookmark13"/>
      <w:bookmarkEnd w:id="13"/>
      <w:r>
        <w:rPr>
          <w:b/>
          <w:w w:val="95"/>
          <w:position w:val="9"/>
          <w:sz w:val="9"/>
        </w:rPr>
        <w:t>6</w:t>
      </w:r>
      <w:r>
        <w:rPr>
          <w:rFonts w:hint="eastAsia" w:ascii="楷体" w:eastAsia="楷体"/>
          <w:b/>
          <w:w w:val="95"/>
          <w:sz w:val="18"/>
        </w:rPr>
        <w:t>确诊初次达到：</w:t>
      </w:r>
      <w:r>
        <w:rPr>
          <w:rFonts w:ascii="楷体" w:eastAsia="楷体"/>
          <w:w w:val="95"/>
          <w:sz w:val="18"/>
        </w:rPr>
        <w:t>指被保险人自出生之日起第一次经医院确诊达到疾病终末期阶段，</w:t>
      </w:r>
      <w:r>
        <w:rPr>
          <w:rFonts w:ascii="楷体" w:eastAsia="楷体"/>
          <w:color w:val="000000"/>
          <w:w w:val="95"/>
          <w:sz w:val="18"/>
          <w:shd w:val="clear" w:color="auto" w:fill="E4E4E4"/>
        </w:rPr>
        <w:t>而不是指自本合同生效、复效之后第一</w:t>
      </w:r>
      <w:r>
        <w:rPr>
          <w:rFonts w:ascii="楷体" w:eastAsia="楷体"/>
          <w:color w:val="000000"/>
          <w:spacing w:val="-10"/>
          <w:w w:val="95"/>
          <w:sz w:val="18"/>
          <w:shd w:val="clear" w:color="auto" w:fill="E4E4E4"/>
        </w:rPr>
        <w:t>次</w:t>
      </w:r>
    </w:p>
    <w:p>
      <w:pPr>
        <w:spacing w:before="1"/>
        <w:ind w:left="220" w:right="0" w:firstLine="0"/>
        <w:jc w:val="left"/>
        <w:rPr>
          <w:rFonts w:ascii="楷体" w:eastAsia="楷体"/>
          <w:sz w:val="18"/>
        </w:rPr>
      </w:pPr>
      <w:r>
        <w:rPr>
          <w:rFonts w:ascii="楷体" w:eastAsia="楷体"/>
          <w:color w:val="000000"/>
          <w:sz w:val="18"/>
          <w:shd w:val="clear" w:color="auto" w:fill="E4E4E4"/>
        </w:rPr>
        <w:t>经医院确诊达到疾病终末期阶段</w:t>
      </w:r>
      <w:r>
        <w:rPr>
          <w:rFonts w:ascii="楷体" w:eastAsia="楷体"/>
          <w:color w:val="000000"/>
          <w:spacing w:val="-10"/>
          <w:sz w:val="18"/>
        </w:rPr>
        <w:t>。</w:t>
      </w:r>
    </w:p>
    <w:p>
      <w:pPr>
        <w:spacing w:before="5"/>
        <w:ind w:left="220" w:right="0" w:firstLine="0"/>
        <w:jc w:val="left"/>
        <w:rPr>
          <w:rFonts w:ascii="楷体" w:eastAsia="楷体"/>
          <w:sz w:val="18"/>
        </w:rPr>
      </w:pPr>
      <w:r>
        <w:rPr>
          <w:b/>
          <w:w w:val="95"/>
          <w:position w:val="9"/>
          <w:sz w:val="9"/>
        </w:rPr>
        <w:t>1</w:t>
      </w:r>
      <w:bookmarkStart w:id="14" w:name="_bookmark14"/>
      <w:bookmarkEnd w:id="14"/>
      <w:r>
        <w:rPr>
          <w:b/>
          <w:w w:val="95"/>
          <w:position w:val="9"/>
          <w:sz w:val="9"/>
        </w:rPr>
        <w:t>7</w:t>
      </w:r>
      <w:r>
        <w:rPr>
          <w:rFonts w:hint="eastAsia" w:ascii="楷体" w:eastAsia="楷体"/>
          <w:b/>
          <w:w w:val="95"/>
          <w:sz w:val="18"/>
        </w:rPr>
        <w:t>疾病终末期阶段：</w:t>
      </w:r>
      <w:r>
        <w:rPr>
          <w:rFonts w:ascii="楷体" w:eastAsia="楷体"/>
          <w:w w:val="95"/>
          <w:sz w:val="18"/>
        </w:rPr>
        <w:t>疾病终末期阶段需由专科医生出具诊断证明和提交临床检查证据，证明被保险人所患疾病同时满足以下</w:t>
      </w:r>
      <w:r>
        <w:rPr>
          <w:rFonts w:ascii="楷体" w:eastAsia="楷体"/>
          <w:spacing w:val="-10"/>
          <w:w w:val="95"/>
          <w:sz w:val="18"/>
        </w:rPr>
        <w:t>两</w:t>
      </w:r>
    </w:p>
    <w:p>
      <w:pPr>
        <w:spacing w:before="2"/>
        <w:ind w:left="220" w:right="0" w:firstLine="0"/>
        <w:jc w:val="left"/>
        <w:rPr>
          <w:rFonts w:ascii="楷体" w:eastAsia="楷体"/>
          <w:sz w:val="18"/>
        </w:rPr>
      </w:pPr>
      <w:r>
        <w:rPr>
          <w:rFonts w:ascii="楷体" w:eastAsia="楷体"/>
          <w:spacing w:val="-2"/>
          <w:sz w:val="18"/>
        </w:rPr>
        <w:t>个条件：1.依现有医疗技术无法缓解；2</w:t>
      </w:r>
      <w:r>
        <w:rPr>
          <w:rFonts w:ascii="楷体" w:eastAsia="楷体"/>
          <w:spacing w:val="-3"/>
          <w:sz w:val="18"/>
        </w:rPr>
        <w:t>.根据临床医学经验判断被保险人存活期低于六个月。</w:t>
      </w:r>
    </w:p>
    <w:p>
      <w:pPr>
        <w:spacing w:after="0"/>
        <w:jc w:val="left"/>
        <w:rPr>
          <w:rFonts w:ascii="楷体" w:eastAsia="楷体"/>
          <w:sz w:val="18"/>
        </w:rPr>
        <w:sectPr>
          <w:type w:val="continuous"/>
          <w:pgSz w:w="11910" w:h="16840"/>
          <w:pgMar w:top="480" w:right="660" w:bottom="280" w:left="860" w:header="0" w:footer="662" w:gutter="0"/>
          <w:cols w:space="720" w:num="1"/>
        </w:sectPr>
      </w:pPr>
    </w:p>
    <w:p>
      <w:pPr>
        <w:pStyle w:val="3"/>
        <w:numPr>
          <w:ilvl w:val="3"/>
          <w:numId w:val="2"/>
        </w:numPr>
        <w:tabs>
          <w:tab w:val="left" w:pos="1321"/>
          <w:tab w:val="left" w:pos="1322"/>
        </w:tabs>
        <w:spacing w:before="43" w:after="0" w:line="240" w:lineRule="auto"/>
        <w:ind w:left="1321" w:right="0" w:hanging="1102"/>
        <w:jc w:val="left"/>
      </w:pPr>
      <w:r>
        <w:rPr>
          <w:spacing w:val="-2"/>
          <w:w w:val="95"/>
        </w:rPr>
        <w:t>第二次重大疾</w:t>
      </w:r>
    </w:p>
    <w:p>
      <w:pPr>
        <w:spacing w:before="43"/>
        <w:ind w:left="1321" w:right="0" w:firstLine="0"/>
        <w:jc w:val="left"/>
        <w:rPr>
          <w:b/>
          <w:sz w:val="21"/>
        </w:rPr>
      </w:pPr>
      <w:r>
        <w:rPr>
          <w:b/>
          <w:w w:val="95"/>
          <w:sz w:val="21"/>
        </w:rPr>
        <w:t>病保险</w:t>
      </w:r>
      <w:r>
        <w:rPr>
          <w:b/>
          <w:spacing w:val="-10"/>
          <w:w w:val="95"/>
          <w:sz w:val="21"/>
        </w:rPr>
        <w:t>金</w:t>
      </w:r>
    </w:p>
    <w:p>
      <w:pPr>
        <w:pStyle w:val="4"/>
        <w:spacing w:before="53" w:line="266" w:lineRule="auto"/>
        <w:ind w:left="220" w:right="206"/>
        <w:jc w:val="both"/>
      </w:pPr>
      <w:r>
        <w:br w:type="column"/>
      </w:r>
      <w:r>
        <w:rPr>
          <w:spacing w:val="-1"/>
          <w:w w:val="99"/>
        </w:rPr>
        <w:t>如被保险人在保险期间内确诊初次发生本合同所指的重大疾病的一种或多种，且本公司已按约定给付首次重大疾病保险金，自该种重大疾病确诊之日</w:t>
      </w:r>
      <w:r>
        <w:rPr>
          <w:spacing w:val="-50"/>
        </w:rPr>
        <w:t xml:space="preserve"> </w:t>
      </w:r>
      <w:r>
        <w:rPr>
          <w:spacing w:val="1"/>
          <w:w w:val="99"/>
        </w:rPr>
        <w:t>36</w:t>
      </w:r>
      <w:r>
        <w:rPr>
          <w:w w:val="99"/>
        </w:rPr>
        <w:t>5</w:t>
      </w:r>
      <w:r>
        <w:rPr>
          <w:spacing w:val="-52"/>
        </w:rPr>
        <w:t xml:space="preserve"> </w:t>
      </w:r>
      <w:r>
        <w:rPr>
          <w:w w:val="99"/>
        </w:rPr>
        <w:t>天</w:t>
      </w:r>
      <w:r>
        <w:rPr>
          <w:spacing w:val="-1"/>
          <w:w w:val="99"/>
        </w:rPr>
        <w:t>后，在本公司指定或认可的医疗机构由专科医生确诊初次发生该种重大疾病以</w:t>
      </w:r>
      <w:r>
        <w:rPr>
          <w:spacing w:val="-4"/>
          <w:w w:val="99"/>
        </w:rPr>
        <w:t>外的一种或多种重大疾病，则本公司将按本合同基本保险金额的</w:t>
      </w:r>
      <w:r>
        <w:rPr>
          <w:spacing w:val="-53"/>
        </w:rPr>
        <w:t xml:space="preserve"> </w:t>
      </w:r>
      <w:r>
        <w:rPr>
          <w:spacing w:val="1"/>
          <w:w w:val="99"/>
        </w:rPr>
        <w:t>10</w:t>
      </w:r>
      <w:r>
        <w:rPr>
          <w:spacing w:val="-2"/>
          <w:w w:val="99"/>
        </w:rPr>
        <w:t>0</w:t>
      </w:r>
      <w:r>
        <w:rPr>
          <w:w w:val="99"/>
        </w:rPr>
        <w:t>%给付第二</w:t>
      </w:r>
      <w:r>
        <w:rPr>
          <w:spacing w:val="-1"/>
          <w:w w:val="99"/>
        </w:rPr>
        <w:t>次重大疾病保险金，给付后第二次重大疾病保险金责任终止。</w:t>
      </w:r>
    </w:p>
    <w:p>
      <w:pPr>
        <w:pStyle w:val="4"/>
        <w:spacing w:before="162"/>
        <w:ind w:left="220"/>
      </w:pPr>
      <w:r>
        <w:rPr>
          <w:spacing w:val="12"/>
          <w:w w:val="95"/>
        </w:rPr>
        <w:t>如投</w:t>
      </w:r>
      <w:r>
        <w:rPr>
          <w:spacing w:val="11"/>
          <w:w w:val="95"/>
        </w:rPr>
        <w:t>保人未</w:t>
      </w:r>
      <w:r>
        <w:rPr>
          <w:spacing w:val="7"/>
          <w:w w:val="95"/>
        </w:rPr>
        <w:t>选择</w:t>
      </w:r>
      <w:r>
        <w:rPr>
          <w:spacing w:val="39"/>
          <w:w w:val="150"/>
        </w:rPr>
        <w:t xml:space="preserve"> </w:t>
      </w:r>
      <w:r>
        <w:rPr>
          <w:w w:val="95"/>
        </w:rPr>
        <w:t>2.3.2.2</w:t>
      </w:r>
      <w:r>
        <w:rPr>
          <w:spacing w:val="36"/>
          <w:w w:val="150"/>
        </w:rPr>
        <w:t xml:space="preserve"> </w:t>
      </w:r>
      <w:r>
        <w:rPr>
          <w:spacing w:val="12"/>
          <w:w w:val="95"/>
        </w:rPr>
        <w:t>恶性</w:t>
      </w:r>
      <w:r>
        <w:rPr>
          <w:spacing w:val="11"/>
          <w:w w:val="95"/>
        </w:rPr>
        <w:t>肿瘤-重度第二次</w:t>
      </w:r>
      <w:r>
        <w:rPr>
          <w:spacing w:val="14"/>
          <w:w w:val="95"/>
        </w:rPr>
        <w:t>给</w:t>
      </w:r>
      <w:r>
        <w:rPr>
          <w:spacing w:val="11"/>
          <w:w w:val="95"/>
        </w:rPr>
        <w:t>付保险</w:t>
      </w:r>
      <w:r>
        <w:rPr>
          <w:spacing w:val="12"/>
          <w:w w:val="95"/>
        </w:rPr>
        <w:t>金，</w:t>
      </w:r>
      <w:r>
        <w:rPr>
          <w:spacing w:val="11"/>
          <w:w w:val="95"/>
        </w:rPr>
        <w:t>或投</w:t>
      </w:r>
      <w:r>
        <w:rPr>
          <w:spacing w:val="14"/>
          <w:w w:val="95"/>
        </w:rPr>
        <w:t>保</w:t>
      </w:r>
      <w:r>
        <w:rPr>
          <w:spacing w:val="11"/>
          <w:w w:val="95"/>
        </w:rPr>
        <w:t>人选</w:t>
      </w:r>
      <w:r>
        <w:rPr>
          <w:spacing w:val="-10"/>
          <w:w w:val="95"/>
        </w:rPr>
        <w:t>择</w:t>
      </w:r>
    </w:p>
    <w:p>
      <w:pPr>
        <w:pStyle w:val="9"/>
        <w:numPr>
          <w:ilvl w:val="3"/>
          <w:numId w:val="2"/>
        </w:numPr>
        <w:tabs>
          <w:tab w:val="left" w:pos="1008"/>
        </w:tabs>
        <w:spacing w:before="31" w:after="0" w:line="266" w:lineRule="auto"/>
        <w:ind w:left="220" w:right="117" w:firstLine="0"/>
        <w:jc w:val="left"/>
        <w:rPr>
          <w:sz w:val="21"/>
        </w:rPr>
      </w:pPr>
      <w:r>
        <w:rPr>
          <w:spacing w:val="-3"/>
          <w:w w:val="99"/>
          <w:sz w:val="21"/>
        </w:rPr>
        <w:t>恶性肿瘤-重度第二次给付保险金且本公司已按约定给付，或投保人选择</w:t>
      </w:r>
      <w:r>
        <w:rPr>
          <w:spacing w:val="-50"/>
          <w:sz w:val="21"/>
        </w:rPr>
        <w:t xml:space="preserve"> </w:t>
      </w:r>
      <w:r>
        <w:rPr>
          <w:spacing w:val="1"/>
          <w:w w:val="99"/>
          <w:sz w:val="21"/>
        </w:rPr>
        <w:t>2.</w:t>
      </w:r>
      <w:r>
        <w:rPr>
          <w:spacing w:val="-2"/>
          <w:w w:val="99"/>
          <w:sz w:val="21"/>
        </w:rPr>
        <w:t>3</w:t>
      </w:r>
      <w:r>
        <w:rPr>
          <w:spacing w:val="1"/>
          <w:w w:val="99"/>
          <w:sz w:val="21"/>
        </w:rPr>
        <w:t>.2.</w:t>
      </w:r>
      <w:r>
        <w:rPr>
          <w:w w:val="99"/>
          <w:sz w:val="21"/>
        </w:rPr>
        <w:t>2</w:t>
      </w:r>
      <w:r>
        <w:rPr>
          <w:spacing w:val="-54"/>
          <w:sz w:val="21"/>
        </w:rPr>
        <w:t xml:space="preserve"> </w:t>
      </w:r>
      <w:r>
        <w:rPr>
          <w:spacing w:val="-5"/>
          <w:w w:val="99"/>
          <w:sz w:val="21"/>
        </w:rPr>
        <w:t>恶性肿瘤-重度第二次给付保险金且首次重大疾病保险金、第二次重</w:t>
      </w:r>
      <w:r>
        <w:rPr>
          <w:spacing w:val="-1"/>
          <w:w w:val="99"/>
          <w:sz w:val="21"/>
        </w:rPr>
        <w:t>大疾病保险金非因确诊本合同所指的重大疾病中的“恶性肿瘤-重度”而给付，本合同终止。</w:t>
      </w:r>
    </w:p>
    <w:p>
      <w:pPr>
        <w:spacing w:after="0" w:line="266" w:lineRule="auto"/>
        <w:jc w:val="left"/>
        <w:rPr>
          <w:sz w:val="21"/>
        </w:rPr>
        <w:sectPr>
          <w:pgSz w:w="11910" w:h="16840"/>
          <w:pgMar w:top="1400" w:right="660" w:bottom="860" w:left="860" w:header="0" w:footer="662" w:gutter="0"/>
          <w:cols w:equalWidth="0" w:num="2">
            <w:col w:w="2625" w:space="176"/>
            <w:col w:w="7589"/>
          </w:cols>
        </w:sectPr>
      </w:pPr>
    </w:p>
    <w:p>
      <w:pPr>
        <w:pStyle w:val="3"/>
        <w:numPr>
          <w:ilvl w:val="3"/>
          <w:numId w:val="4"/>
        </w:numPr>
        <w:tabs>
          <w:tab w:val="left" w:pos="1321"/>
          <w:tab w:val="left" w:pos="1322"/>
        </w:tabs>
        <w:spacing w:before="152" w:after="0" w:line="240" w:lineRule="auto"/>
        <w:ind w:left="1321" w:right="0" w:hanging="1102"/>
        <w:jc w:val="left"/>
      </w:pPr>
      <w:r>
        <w:rPr>
          <w:spacing w:val="-2"/>
          <w:w w:val="95"/>
        </w:rPr>
        <w:t>恶性肿瘤-重度</w:t>
      </w:r>
    </w:p>
    <w:p>
      <w:pPr>
        <w:spacing w:before="43" w:line="278" w:lineRule="auto"/>
        <w:ind w:left="1321" w:right="143" w:firstLine="0"/>
        <w:jc w:val="left"/>
        <w:rPr>
          <w:b/>
          <w:sz w:val="21"/>
        </w:rPr>
      </w:pPr>
      <w:r>
        <w:rPr>
          <w:b/>
          <w:spacing w:val="-2"/>
          <w:sz w:val="21"/>
        </w:rPr>
        <w:t>第二次给付保</w:t>
      </w:r>
      <w:r>
        <w:rPr>
          <w:b/>
          <w:spacing w:val="-6"/>
          <w:sz w:val="21"/>
        </w:rPr>
        <w:t>险金</w:t>
      </w:r>
    </w:p>
    <w:p>
      <w:pPr>
        <w:pStyle w:val="4"/>
        <w:spacing w:before="162" w:line="266" w:lineRule="auto"/>
        <w:ind w:left="220" w:right="117"/>
      </w:pPr>
      <w:r>
        <w:br w:type="column"/>
      </w:r>
      <w:r>
        <w:rPr>
          <w:spacing w:val="-5"/>
          <w:w w:val="99"/>
        </w:rPr>
        <w:t>如被保险人在保险期间内确诊初次发生本合同所指的重大疾病中的“恶性肿瘤-</w:t>
      </w:r>
      <w:r>
        <w:rPr>
          <w:spacing w:val="-10"/>
          <w:w w:val="99"/>
        </w:rPr>
        <w:t>重度”，且本公司已按约定给付首次重大疾病保险金或第二次重大疾病保险金，</w:t>
      </w:r>
      <w:r>
        <w:rPr>
          <w:spacing w:val="-1"/>
          <w:w w:val="99"/>
        </w:rPr>
        <w:t>在确诊之日后生存满三</w:t>
      </w:r>
      <w:r>
        <w:rPr>
          <w:b/>
          <w:spacing w:val="2"/>
          <w:w w:val="99"/>
        </w:rPr>
        <w:t>年</w:t>
      </w:r>
      <w:r>
        <w:fldChar w:fldCharType="begin"/>
      </w:r>
      <w:r>
        <w:instrText xml:space="preserve"> HYPERLINK \l "_bookmark15" </w:instrText>
      </w:r>
      <w:r>
        <w:fldChar w:fldCharType="separate"/>
      </w:r>
      <w:r>
        <w:rPr>
          <w:b/>
          <w:spacing w:val="2"/>
          <w:w w:val="105"/>
          <w:position w:val="11"/>
          <w:sz w:val="10"/>
        </w:rPr>
        <w:t>1</w:t>
      </w:r>
      <w:r>
        <w:rPr>
          <w:b/>
          <w:spacing w:val="-3"/>
          <w:w w:val="105"/>
          <w:position w:val="11"/>
          <w:sz w:val="10"/>
        </w:rPr>
        <w:t>8</w:t>
      </w:r>
      <w:r>
        <w:rPr>
          <w:b/>
          <w:spacing w:val="-3"/>
          <w:w w:val="105"/>
          <w:position w:val="11"/>
          <w:sz w:val="10"/>
        </w:rPr>
        <w:fldChar w:fldCharType="end"/>
      </w:r>
      <w:r>
        <w:rPr>
          <w:spacing w:val="-10"/>
          <w:w w:val="99"/>
        </w:rPr>
        <w:t>或三年以上的情况下，若被保险人在本公司指定或认</w:t>
      </w:r>
      <w:r>
        <w:rPr>
          <w:spacing w:val="-1"/>
          <w:w w:val="99"/>
        </w:rPr>
        <w:t>可的医疗机构由专科医生确诊仍处于</w:t>
      </w:r>
      <w:r>
        <w:rPr>
          <w:b/>
          <w:spacing w:val="2"/>
          <w:w w:val="99"/>
        </w:rPr>
        <w:t>恶性肿瘤状态</w:t>
      </w:r>
      <w:r>
        <w:fldChar w:fldCharType="begin"/>
      </w:r>
      <w:r>
        <w:instrText xml:space="preserve"> HYPERLINK \l "_bookmark16" </w:instrText>
      </w:r>
      <w:r>
        <w:fldChar w:fldCharType="separate"/>
      </w:r>
      <w:r>
        <w:rPr>
          <w:b/>
          <w:spacing w:val="-1"/>
          <w:w w:val="105"/>
          <w:position w:val="11"/>
          <w:sz w:val="10"/>
        </w:rPr>
        <w:t>19</w:t>
      </w:r>
      <w:r>
        <w:rPr>
          <w:b/>
          <w:spacing w:val="-1"/>
          <w:w w:val="105"/>
          <w:position w:val="11"/>
          <w:sz w:val="10"/>
        </w:rPr>
        <w:fldChar w:fldCharType="end"/>
      </w:r>
      <w:r>
        <w:rPr>
          <w:spacing w:val="-11"/>
          <w:w w:val="99"/>
        </w:rPr>
        <w:t>，则本公司将按照本合同基</w:t>
      </w:r>
      <w:r>
        <w:rPr>
          <w:spacing w:val="-1"/>
          <w:w w:val="99"/>
        </w:rPr>
        <w:t>本保险金额的</w:t>
      </w:r>
      <w:r>
        <w:rPr>
          <w:spacing w:val="-53"/>
        </w:rPr>
        <w:t xml:space="preserve"> </w:t>
      </w:r>
      <w:r>
        <w:rPr>
          <w:spacing w:val="1"/>
          <w:w w:val="99"/>
        </w:rPr>
        <w:t>100</w:t>
      </w:r>
      <w:r>
        <w:rPr>
          <w:spacing w:val="-3"/>
          <w:w w:val="99"/>
        </w:rPr>
        <w:t>%给付恶性肿瘤-重度第二次给付保险金，给付后恶性肿瘤-重</w:t>
      </w:r>
      <w:r>
        <w:rPr>
          <w:spacing w:val="-1"/>
          <w:w w:val="99"/>
        </w:rPr>
        <w:t>度第二次给付保险金责任终止。</w:t>
      </w:r>
    </w:p>
    <w:p>
      <w:pPr>
        <w:pStyle w:val="4"/>
        <w:spacing w:before="164" w:line="266" w:lineRule="auto"/>
        <w:ind w:left="220" w:right="206"/>
      </w:pPr>
      <w:r>
        <w:rPr>
          <w:w w:val="95"/>
        </w:rPr>
        <w:t>如投保人未选</w:t>
      </w:r>
      <w:r>
        <w:rPr>
          <w:spacing w:val="-3"/>
          <w:w w:val="95"/>
        </w:rPr>
        <w:t xml:space="preserve">择 </w:t>
      </w:r>
      <w:r>
        <w:rPr>
          <w:w w:val="95"/>
        </w:rPr>
        <w:t>2.3.2.1</w:t>
      </w:r>
      <w:r>
        <w:rPr>
          <w:spacing w:val="-4"/>
          <w:w w:val="95"/>
        </w:rPr>
        <w:t xml:space="preserve"> </w:t>
      </w:r>
      <w:r>
        <w:rPr>
          <w:w w:val="95"/>
        </w:rPr>
        <w:t>第二次重大疾病保险金，或投保</w:t>
      </w:r>
      <w:r>
        <w:rPr>
          <w:spacing w:val="-1"/>
          <w:w w:val="95"/>
        </w:rPr>
        <w:t xml:space="preserve">人选择 </w:t>
      </w:r>
      <w:r>
        <w:rPr>
          <w:w w:val="95"/>
        </w:rPr>
        <w:t>2.3.2.1</w:t>
      </w:r>
      <w:r>
        <w:rPr>
          <w:spacing w:val="-3"/>
          <w:w w:val="95"/>
        </w:rPr>
        <w:t xml:space="preserve"> 第二</w:t>
      </w:r>
      <w:r>
        <w:rPr>
          <w:spacing w:val="-2"/>
        </w:rPr>
        <w:t>次重大疾病保险金且本公司已按约定给付，本合同终止。</w:t>
      </w:r>
    </w:p>
    <w:p>
      <w:pPr>
        <w:spacing w:after="0" w:line="266" w:lineRule="auto"/>
        <w:sectPr>
          <w:type w:val="continuous"/>
          <w:pgSz w:w="11910" w:h="16840"/>
          <w:pgMar w:top="480" w:right="660" w:bottom="280" w:left="860" w:header="0" w:footer="662" w:gutter="0"/>
          <w:cols w:equalWidth="0" w:num="2">
            <w:col w:w="2730" w:space="71"/>
            <w:col w:w="7589"/>
          </w:cols>
        </w:sectPr>
      </w:pPr>
    </w:p>
    <w:p>
      <w:pPr>
        <w:pStyle w:val="3"/>
        <w:numPr>
          <w:ilvl w:val="3"/>
          <w:numId w:val="4"/>
        </w:numPr>
        <w:tabs>
          <w:tab w:val="left" w:pos="1321"/>
          <w:tab w:val="left" w:pos="1322"/>
        </w:tabs>
        <w:spacing w:before="149" w:after="0" w:line="240" w:lineRule="auto"/>
        <w:ind w:left="1321" w:right="0" w:hanging="1102"/>
        <w:jc w:val="left"/>
      </w:pPr>
      <w:r>
        <w:rPr>
          <w:spacing w:val="-2"/>
          <w:w w:val="95"/>
        </w:rPr>
        <w:t>重大疾病豁免</w:t>
      </w:r>
    </w:p>
    <w:p>
      <w:pPr>
        <w:spacing w:before="43"/>
        <w:ind w:left="1321" w:right="0" w:firstLine="0"/>
        <w:jc w:val="left"/>
        <w:rPr>
          <w:b/>
          <w:sz w:val="21"/>
        </w:rPr>
      </w:pPr>
      <w:r>
        <w:rPr>
          <w:b/>
          <w:w w:val="95"/>
          <w:sz w:val="21"/>
        </w:rPr>
        <w:t>保险</w:t>
      </w:r>
      <w:r>
        <w:rPr>
          <w:b/>
          <w:spacing w:val="-10"/>
          <w:w w:val="95"/>
          <w:sz w:val="21"/>
        </w:rPr>
        <w:t>费</w:t>
      </w:r>
    </w:p>
    <w:p>
      <w:pPr>
        <w:pStyle w:val="4"/>
        <w:spacing w:before="149" w:line="278" w:lineRule="auto"/>
        <w:ind w:left="220" w:right="206"/>
        <w:jc w:val="both"/>
      </w:pPr>
      <w:r>
        <w:br w:type="column"/>
      </w:r>
      <w:r>
        <w:rPr>
          <w:spacing w:val="-1"/>
          <w:w w:val="99"/>
        </w:rPr>
        <w:t>被保险人在保险期间内因意外，或在本合同生效</w:t>
      </w:r>
      <w:r>
        <w:rPr>
          <w:spacing w:val="2"/>
          <w:w w:val="99"/>
        </w:rPr>
        <w:t>（</w:t>
      </w:r>
      <w:r>
        <w:rPr>
          <w:spacing w:val="-1"/>
          <w:w w:val="99"/>
        </w:rPr>
        <w:t>若曾复效，则自本合同最后</w:t>
      </w:r>
      <w:r>
        <w:rPr>
          <w:w w:val="99"/>
        </w:rPr>
        <w:t>复效</w:t>
      </w:r>
      <w:r>
        <w:rPr>
          <w:spacing w:val="2"/>
          <w:w w:val="99"/>
        </w:rPr>
        <w:t>）</w:t>
      </w:r>
      <w:r>
        <w:rPr>
          <w:spacing w:val="1"/>
          <w:w w:val="99"/>
        </w:rPr>
        <w:t>之日起</w:t>
      </w:r>
      <w:r>
        <w:rPr>
          <w:spacing w:val="-53"/>
        </w:rPr>
        <w:t xml:space="preserve"> </w:t>
      </w:r>
      <w:r>
        <w:rPr>
          <w:spacing w:val="1"/>
          <w:w w:val="99"/>
        </w:rPr>
        <w:t>18</w:t>
      </w:r>
      <w:r>
        <w:rPr>
          <w:w w:val="99"/>
        </w:rPr>
        <w:t>0</w:t>
      </w:r>
      <w:r>
        <w:rPr>
          <w:spacing w:val="-52"/>
        </w:rPr>
        <w:t xml:space="preserve"> </w:t>
      </w:r>
      <w:r>
        <w:rPr>
          <w:spacing w:val="-1"/>
          <w:w w:val="99"/>
        </w:rPr>
        <w:t>天后因非意外的原因在本公司指定或认可的医疗机构由专科医生确诊初次发生本合同所列的一种或多种重大疾病，且本公司已按约定给付首次重大疾病保险金，如本合同继续有效，则自确诊日后首个本合同保险费约定交纳日开始，直至本合同最后一次保险费约定交纳日止，本公司豁免前述期间内本合同应交纳的保险费。</w:t>
      </w:r>
      <w:r>
        <w:rPr>
          <w:color w:val="000000"/>
          <w:spacing w:val="-1"/>
          <w:w w:val="99"/>
          <w:shd w:val="clear" w:color="auto" w:fill="E4E4E4"/>
        </w:rPr>
        <w:t>本公司视豁免的保险费为已交纳的保险费，本合                                                                                                                                      同继续有效。</w:t>
      </w:r>
    </w:p>
    <w:p>
      <w:pPr>
        <w:pStyle w:val="4"/>
        <w:spacing w:before="155" w:line="278" w:lineRule="auto"/>
        <w:ind w:left="220" w:right="208"/>
        <w:jc w:val="both"/>
      </w:pPr>
      <w:r>
        <w:rPr>
          <w:spacing w:val="-1"/>
          <w:w w:val="99"/>
        </w:rPr>
        <w:t>被保险人在本合同生效</w:t>
      </w:r>
      <w:r>
        <w:rPr>
          <w:spacing w:val="2"/>
          <w:w w:val="99"/>
        </w:rPr>
        <w:t>（</w:t>
      </w:r>
      <w:r>
        <w:rPr>
          <w:spacing w:val="-1"/>
          <w:w w:val="99"/>
        </w:rPr>
        <w:t>若曾复效，则自本合同最后复效）</w:t>
      </w:r>
      <w:r>
        <w:rPr>
          <w:spacing w:val="1"/>
          <w:w w:val="99"/>
        </w:rPr>
        <w:t>之日起</w:t>
      </w:r>
      <w:r>
        <w:rPr>
          <w:spacing w:val="-50"/>
        </w:rPr>
        <w:t xml:space="preserve"> </w:t>
      </w:r>
      <w:r>
        <w:rPr>
          <w:spacing w:val="1"/>
          <w:w w:val="99"/>
        </w:rPr>
        <w:t>18</w:t>
      </w:r>
      <w:r>
        <w:rPr>
          <w:w w:val="99"/>
        </w:rPr>
        <w:t>0</w:t>
      </w:r>
      <w:r>
        <w:rPr>
          <w:spacing w:val="-54"/>
        </w:rPr>
        <w:t xml:space="preserve"> </w:t>
      </w:r>
      <w:r>
        <w:rPr>
          <w:w w:val="99"/>
        </w:rPr>
        <w:t>天内因</w:t>
      </w:r>
      <w:r>
        <w:rPr>
          <w:spacing w:val="-1"/>
          <w:w w:val="99"/>
        </w:rPr>
        <w:t>非意外的原因，在本公司指定或认可的医疗机构由专科医生确诊初次发生本合同所列的一种或多种重大疾病，本公司不承担重大疾病豁免保险费责任，</w:t>
      </w:r>
      <w:r>
        <w:rPr>
          <w:color w:val="000000"/>
          <w:spacing w:val="1"/>
          <w:w w:val="99"/>
          <w:shd w:val="clear" w:color="auto" w:fill="E4E4E4"/>
        </w:rPr>
        <w:t xml:space="preserve">同时                                                                                                                                      </w:t>
      </w:r>
      <w:r>
        <w:rPr>
          <w:color w:val="000000"/>
          <w:spacing w:val="-1"/>
          <w:w w:val="99"/>
          <w:shd w:val="clear" w:color="auto" w:fill="E4E4E4"/>
        </w:rPr>
        <w:t>本合同终止。</w:t>
      </w:r>
    </w:p>
    <w:p>
      <w:pPr>
        <w:spacing w:after="0" w:line="278" w:lineRule="auto"/>
        <w:jc w:val="both"/>
        <w:sectPr>
          <w:type w:val="continuous"/>
          <w:pgSz w:w="11910" w:h="16840"/>
          <w:pgMar w:top="480" w:right="660" w:bottom="280" w:left="860" w:header="0" w:footer="662" w:gutter="0"/>
          <w:cols w:equalWidth="0" w:num="2">
            <w:col w:w="2625" w:space="176"/>
            <w:col w:w="7589"/>
          </w:cols>
        </w:sectPr>
      </w:pPr>
    </w:p>
    <w:p>
      <w:pPr>
        <w:pStyle w:val="3"/>
        <w:numPr>
          <w:ilvl w:val="3"/>
          <w:numId w:val="4"/>
        </w:numPr>
        <w:tabs>
          <w:tab w:val="left" w:pos="1321"/>
          <w:tab w:val="left" w:pos="1322"/>
        </w:tabs>
        <w:spacing w:before="156" w:after="0" w:line="240" w:lineRule="auto"/>
        <w:ind w:left="1321" w:right="0" w:hanging="1102"/>
        <w:jc w:val="left"/>
      </w:pPr>
      <w:r>
        <w:rPr>
          <w:spacing w:val="-2"/>
          <w:w w:val="95"/>
        </w:rPr>
        <w:t>少儿意外医疗</w:t>
      </w:r>
    </w:p>
    <w:p>
      <w:pPr>
        <w:spacing w:before="43"/>
        <w:ind w:left="1321" w:right="0" w:firstLine="0"/>
        <w:jc w:val="left"/>
        <w:rPr>
          <w:b/>
          <w:sz w:val="21"/>
        </w:rPr>
      </w:pPr>
      <w:r>
        <w:rPr>
          <w:b/>
          <w:w w:val="95"/>
          <w:sz w:val="21"/>
        </w:rPr>
        <w:t>保险</w:t>
      </w:r>
      <w:r>
        <w:rPr>
          <w:b/>
          <w:spacing w:val="-10"/>
          <w:w w:val="95"/>
          <w:sz w:val="21"/>
        </w:rPr>
        <w:t>金</w:t>
      </w:r>
    </w:p>
    <w:p>
      <w:pPr>
        <w:pStyle w:val="4"/>
        <w:spacing w:before="165"/>
        <w:ind w:left="220"/>
        <w:jc w:val="both"/>
      </w:pPr>
      <w:r>
        <w:br w:type="column"/>
      </w:r>
      <w:r>
        <w:rPr>
          <w:w w:val="95"/>
        </w:rPr>
        <w:t>被保险人满</w:t>
      </w:r>
      <w:r>
        <w:rPr>
          <w:spacing w:val="70"/>
        </w:rPr>
        <w:t xml:space="preserve"> </w:t>
      </w:r>
      <w:r>
        <w:rPr>
          <w:w w:val="95"/>
        </w:rPr>
        <w:t>25</w:t>
      </w:r>
      <w:r>
        <w:rPr>
          <w:spacing w:val="65"/>
        </w:rPr>
        <w:t xml:space="preserve"> </w:t>
      </w:r>
      <w:r>
        <w:rPr>
          <w:w w:val="95"/>
        </w:rPr>
        <w:t>周岁（不</w:t>
      </w:r>
      <w:r>
        <w:rPr>
          <w:spacing w:val="-7"/>
          <w:w w:val="95"/>
        </w:rPr>
        <w:t xml:space="preserve">含 </w:t>
      </w:r>
      <w:r>
        <w:rPr>
          <w:w w:val="95"/>
        </w:rPr>
        <w:t>25</w:t>
      </w:r>
      <w:r>
        <w:rPr>
          <w:spacing w:val="-4"/>
          <w:w w:val="95"/>
        </w:rPr>
        <w:t xml:space="preserve"> 周岁生日</w:t>
      </w:r>
      <w:r>
        <w:rPr>
          <w:w w:val="95"/>
        </w:rPr>
        <w:t>）</w:t>
      </w:r>
      <w:r>
        <w:rPr>
          <w:spacing w:val="-1"/>
          <w:w w:val="95"/>
        </w:rPr>
        <w:t>前，如在保险期间内遭受意外伤害事</w:t>
      </w:r>
    </w:p>
    <w:p>
      <w:pPr>
        <w:pStyle w:val="4"/>
        <w:spacing w:before="31" w:line="266" w:lineRule="auto"/>
        <w:ind w:left="220" w:right="201"/>
        <w:jc w:val="both"/>
      </w:pPr>
      <w:r>
        <w:rPr>
          <w:spacing w:val="-1"/>
          <w:w w:val="99"/>
        </w:rPr>
        <w:t>故，并自该意外伤害事故发生之日起</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天内在本公司指定或认可的医疗机构</w:t>
      </w:r>
      <w:r>
        <w:rPr>
          <w:spacing w:val="-7"/>
          <w:w w:val="99"/>
        </w:rPr>
        <w:t>进行门急诊、住院等治疗，对该治疗过程中实际发生的</w:t>
      </w:r>
      <w:r>
        <w:rPr>
          <w:b/>
          <w:spacing w:val="2"/>
          <w:w w:val="99"/>
        </w:rPr>
        <w:t>医学必需</w:t>
      </w:r>
      <w:r>
        <w:fldChar w:fldCharType="begin"/>
      </w:r>
      <w:r>
        <w:instrText xml:space="preserve"> HYPERLINK \l "_bookmark17" </w:instrText>
      </w:r>
      <w:r>
        <w:fldChar w:fldCharType="separate"/>
      </w:r>
      <w:r>
        <w:rPr>
          <w:b/>
          <w:spacing w:val="2"/>
          <w:w w:val="105"/>
          <w:position w:val="11"/>
          <w:sz w:val="10"/>
        </w:rPr>
        <w:t>2</w:t>
      </w:r>
      <w:r>
        <w:rPr>
          <w:b/>
          <w:spacing w:val="-3"/>
          <w:w w:val="105"/>
          <w:position w:val="11"/>
          <w:sz w:val="10"/>
        </w:rPr>
        <w:t>0</w:t>
      </w:r>
      <w:r>
        <w:rPr>
          <w:b/>
          <w:spacing w:val="-3"/>
          <w:w w:val="105"/>
          <w:position w:val="11"/>
          <w:sz w:val="10"/>
        </w:rPr>
        <w:fldChar w:fldCharType="end"/>
      </w:r>
      <w:r>
        <w:rPr>
          <w:spacing w:val="-5"/>
          <w:w w:val="99"/>
        </w:rPr>
        <w:t>的、符合就医</w:t>
      </w:r>
      <w:r>
        <w:rPr>
          <w:spacing w:val="-1"/>
          <w:w w:val="99"/>
        </w:rPr>
        <w:t>地基本医疗保险支付范围的并需要由被保险人个人支付的医疗费用，本公司将按约定承担保险责任：</w:t>
      </w:r>
    </w:p>
    <w:p>
      <w:pPr>
        <w:pStyle w:val="9"/>
        <w:numPr>
          <w:ilvl w:val="0"/>
          <w:numId w:val="5"/>
        </w:numPr>
        <w:tabs>
          <w:tab w:val="left" w:pos="940"/>
        </w:tabs>
        <w:spacing w:before="161" w:after="0" w:line="266" w:lineRule="auto"/>
        <w:ind w:left="940" w:right="98" w:hanging="720"/>
        <w:jc w:val="left"/>
        <w:rPr>
          <w:sz w:val="21"/>
        </w:rPr>
      </w:pPr>
      <w:r>
        <w:rPr>
          <w:spacing w:val="-4"/>
          <w:w w:val="99"/>
          <w:sz w:val="21"/>
        </w:rPr>
        <w:t>若被保险人已从其他途径</w:t>
      </w:r>
      <w:r>
        <w:rPr>
          <w:spacing w:val="-1"/>
          <w:w w:val="99"/>
          <w:sz w:val="21"/>
        </w:rPr>
        <w:t>（</w:t>
      </w:r>
      <w:r>
        <w:rPr>
          <w:w w:val="99"/>
          <w:sz w:val="21"/>
        </w:rPr>
        <w:t>包括</w:t>
      </w:r>
      <w:r>
        <w:rPr>
          <w:b/>
          <w:spacing w:val="2"/>
          <w:w w:val="99"/>
          <w:sz w:val="21"/>
        </w:rPr>
        <w:t>基本医疗保险</w:t>
      </w:r>
      <w:r>
        <w:fldChar w:fldCharType="begin"/>
      </w:r>
      <w:r>
        <w:instrText xml:space="preserve"> HYPERLINK \l "_bookmark18" </w:instrText>
      </w:r>
      <w:r>
        <w:fldChar w:fldCharType="separate"/>
      </w:r>
      <w:r>
        <w:rPr>
          <w:b/>
          <w:spacing w:val="2"/>
          <w:w w:val="105"/>
          <w:position w:val="11"/>
          <w:sz w:val="10"/>
        </w:rPr>
        <w:t>2</w:t>
      </w:r>
      <w:r>
        <w:rPr>
          <w:b/>
          <w:spacing w:val="-3"/>
          <w:w w:val="105"/>
          <w:position w:val="11"/>
          <w:sz w:val="10"/>
        </w:rPr>
        <w:t>1</w:t>
      </w:r>
      <w:r>
        <w:rPr>
          <w:b/>
          <w:spacing w:val="-3"/>
          <w:w w:val="105"/>
          <w:position w:val="11"/>
          <w:sz w:val="10"/>
        </w:rPr>
        <w:fldChar w:fldCharType="end"/>
      </w:r>
      <w:r>
        <w:rPr>
          <w:spacing w:val="-7"/>
          <w:w w:val="99"/>
          <w:sz w:val="21"/>
        </w:rPr>
        <w:t>、公费医疗、工作单位、</w:t>
      </w:r>
      <w:r>
        <w:rPr>
          <w:spacing w:val="-1"/>
          <w:w w:val="99"/>
          <w:sz w:val="21"/>
        </w:rPr>
        <w:t>保险人在内的任何商业保险机构等</w:t>
      </w:r>
      <w:r>
        <w:rPr>
          <w:spacing w:val="-37"/>
          <w:w w:val="99"/>
          <w:sz w:val="21"/>
        </w:rPr>
        <w:t>）</w:t>
      </w:r>
      <w:r>
        <w:rPr>
          <w:spacing w:val="-6"/>
          <w:w w:val="99"/>
          <w:sz w:val="21"/>
        </w:rPr>
        <w:t>获得费用补偿，则本公司仅对被保</w:t>
      </w:r>
    </w:p>
    <w:p>
      <w:pPr>
        <w:spacing w:after="0" w:line="266" w:lineRule="auto"/>
        <w:jc w:val="left"/>
        <w:rPr>
          <w:sz w:val="21"/>
        </w:rPr>
        <w:sectPr>
          <w:type w:val="continuous"/>
          <w:pgSz w:w="11910" w:h="16840"/>
          <w:pgMar w:top="480" w:right="660" w:bottom="280" w:left="860" w:header="0" w:footer="662" w:gutter="0"/>
          <w:cols w:equalWidth="0" w:num="2">
            <w:col w:w="2625" w:space="176"/>
            <w:col w:w="7589"/>
          </w:cols>
        </w:sectPr>
      </w:pPr>
    </w:p>
    <w:p>
      <w:pPr>
        <w:pStyle w:val="4"/>
        <w:spacing w:before="6"/>
        <w:rPr>
          <w:sz w:val="14"/>
        </w:rPr>
      </w:pPr>
    </w:p>
    <w:p>
      <w:pPr>
        <w:spacing w:before="90"/>
        <w:ind w:left="220" w:right="0" w:firstLine="0"/>
        <w:jc w:val="left"/>
        <w:rPr>
          <w:rFonts w:ascii="楷体" w:eastAsia="楷体"/>
          <w:sz w:val="18"/>
        </w:rPr>
      </w:pPr>
      <w:r>
        <w:rPr>
          <w:b/>
          <w:w w:val="95"/>
          <w:position w:val="9"/>
          <w:sz w:val="9"/>
        </w:rPr>
        <w:t>1</w:t>
      </w:r>
      <w:bookmarkStart w:id="15" w:name="_bookmark15"/>
      <w:bookmarkEnd w:id="15"/>
      <w:r>
        <w:rPr>
          <w:b/>
          <w:w w:val="95"/>
          <w:position w:val="9"/>
          <w:sz w:val="9"/>
        </w:rPr>
        <w:t>8</w:t>
      </w:r>
      <w:r>
        <w:rPr>
          <w:rFonts w:hint="eastAsia" w:ascii="楷体" w:eastAsia="楷体"/>
          <w:b/>
          <w:w w:val="95"/>
          <w:sz w:val="18"/>
        </w:rPr>
        <w:t>年：</w:t>
      </w:r>
      <w:r>
        <w:rPr>
          <w:rFonts w:ascii="楷体" w:eastAsia="楷体"/>
          <w:w w:val="95"/>
          <w:sz w:val="18"/>
        </w:rPr>
        <w:t>一年指三百六十五天，若遇闰年则增加一日</w:t>
      </w:r>
      <w:r>
        <w:rPr>
          <w:rFonts w:ascii="楷体" w:eastAsia="楷体"/>
          <w:spacing w:val="-10"/>
          <w:w w:val="95"/>
          <w:sz w:val="18"/>
        </w:rPr>
        <w:t>。</w:t>
      </w:r>
    </w:p>
    <w:p>
      <w:pPr>
        <w:spacing w:before="2"/>
        <w:ind w:left="220" w:right="0" w:firstLine="0"/>
        <w:jc w:val="left"/>
        <w:rPr>
          <w:rFonts w:ascii="楷体" w:hAnsi="楷体" w:eastAsia="楷体"/>
          <w:sz w:val="18"/>
        </w:rPr>
      </w:pPr>
      <w:r>
        <w:rPr>
          <w:b/>
          <w:w w:val="95"/>
          <w:position w:val="9"/>
          <w:sz w:val="9"/>
        </w:rPr>
        <w:t>1</w:t>
      </w:r>
      <w:bookmarkStart w:id="16" w:name="_bookmark16"/>
      <w:bookmarkEnd w:id="16"/>
      <w:r>
        <w:rPr>
          <w:b/>
          <w:w w:val="95"/>
          <w:position w:val="9"/>
          <w:sz w:val="9"/>
        </w:rPr>
        <w:t>9</w:t>
      </w:r>
      <w:r>
        <w:rPr>
          <w:rFonts w:hint="eastAsia" w:ascii="楷体" w:hAnsi="楷体" w:eastAsia="楷体"/>
          <w:b/>
          <w:w w:val="95"/>
          <w:sz w:val="18"/>
        </w:rPr>
        <w:t>恶性肿瘤状态：</w:t>
      </w:r>
      <w:r>
        <w:rPr>
          <w:rFonts w:ascii="楷体" w:hAnsi="楷体" w:eastAsia="楷体"/>
          <w:w w:val="95"/>
          <w:sz w:val="18"/>
        </w:rPr>
        <w:t>恶性肿瘤需符合本合同的“恶性肿瘤-重度”定义，恶性肿瘤状态包括以下情况：与前一次恶性肿瘤无关</w:t>
      </w:r>
      <w:r>
        <w:rPr>
          <w:rFonts w:ascii="楷体" w:hAnsi="楷体" w:eastAsia="楷体"/>
          <w:spacing w:val="-10"/>
          <w:w w:val="95"/>
          <w:sz w:val="18"/>
        </w:rPr>
        <w:t>的</w:t>
      </w:r>
    </w:p>
    <w:p>
      <w:pPr>
        <w:spacing w:before="3"/>
        <w:ind w:left="220" w:right="0" w:firstLine="0"/>
        <w:jc w:val="left"/>
        <w:rPr>
          <w:rFonts w:ascii="楷体" w:eastAsia="楷体"/>
          <w:sz w:val="18"/>
        </w:rPr>
      </w:pPr>
      <w:r>
        <w:rPr>
          <w:rFonts w:ascii="楷体" w:eastAsia="楷体"/>
          <w:spacing w:val="-1"/>
          <w:sz w:val="18"/>
        </w:rPr>
        <w:t>新发恶性肿瘤；前一次恶性肿瘤复发、转移；前一次恶性肿瘤仍持续存在。</w:t>
      </w:r>
    </w:p>
    <w:p>
      <w:pPr>
        <w:spacing w:before="2"/>
        <w:ind w:left="220" w:right="0" w:firstLine="0"/>
        <w:jc w:val="left"/>
        <w:rPr>
          <w:rFonts w:ascii="楷体" w:eastAsia="楷体"/>
          <w:sz w:val="18"/>
        </w:rPr>
      </w:pPr>
      <w:r>
        <w:rPr>
          <w:rFonts w:ascii="楷体" w:eastAsia="楷体"/>
          <w:w w:val="95"/>
          <w:position w:val="9"/>
          <w:sz w:val="9"/>
        </w:rPr>
        <w:t>2</w:t>
      </w:r>
      <w:bookmarkStart w:id="17" w:name="_bookmark17"/>
      <w:bookmarkEnd w:id="17"/>
      <w:r>
        <w:rPr>
          <w:rFonts w:ascii="楷体" w:eastAsia="楷体"/>
          <w:w w:val="95"/>
          <w:position w:val="9"/>
          <w:sz w:val="9"/>
        </w:rPr>
        <w:t>0</w:t>
      </w:r>
      <w:r>
        <w:rPr>
          <w:rFonts w:hint="eastAsia" w:ascii="楷体" w:eastAsia="楷体"/>
          <w:b/>
          <w:w w:val="95"/>
          <w:sz w:val="18"/>
        </w:rPr>
        <w:t>医学必需：</w:t>
      </w:r>
      <w:r>
        <w:rPr>
          <w:rFonts w:ascii="楷体" w:eastAsia="楷体"/>
          <w:w w:val="95"/>
          <w:sz w:val="18"/>
        </w:rPr>
        <w:t>指医疗费用符合下列所有条件</w:t>
      </w:r>
      <w:r>
        <w:rPr>
          <w:rFonts w:ascii="楷体" w:eastAsia="楷体"/>
          <w:spacing w:val="-73"/>
          <w:w w:val="95"/>
          <w:sz w:val="18"/>
        </w:rPr>
        <w:t>：</w:t>
      </w:r>
      <w:r>
        <w:rPr>
          <w:rFonts w:ascii="楷体" w:eastAsia="楷体"/>
          <w:spacing w:val="28"/>
          <w:w w:val="95"/>
          <w:sz w:val="18"/>
        </w:rPr>
        <w:t>（</w:t>
      </w:r>
      <w:r>
        <w:rPr>
          <w:rFonts w:ascii="楷体" w:eastAsia="楷体"/>
          <w:spacing w:val="26"/>
          <w:w w:val="95"/>
          <w:sz w:val="18"/>
        </w:rPr>
        <w:t>1</w:t>
      </w:r>
      <w:r>
        <w:rPr>
          <w:rFonts w:ascii="楷体" w:eastAsia="楷体"/>
          <w:spacing w:val="18"/>
          <w:w w:val="95"/>
          <w:sz w:val="18"/>
        </w:rPr>
        <w:t>）</w:t>
      </w:r>
      <w:r>
        <w:rPr>
          <w:rFonts w:ascii="楷体" w:eastAsia="楷体"/>
          <w:w w:val="95"/>
          <w:sz w:val="18"/>
        </w:rPr>
        <w:t>治疗意外伤害或者疾病所必需的项目</w:t>
      </w:r>
      <w:r>
        <w:rPr>
          <w:rFonts w:ascii="楷体" w:eastAsia="楷体"/>
          <w:spacing w:val="-73"/>
          <w:w w:val="95"/>
          <w:sz w:val="18"/>
        </w:rPr>
        <w:t>；</w:t>
      </w:r>
      <w:r>
        <w:rPr>
          <w:rFonts w:ascii="楷体" w:eastAsia="楷体"/>
          <w:spacing w:val="28"/>
          <w:w w:val="95"/>
          <w:sz w:val="18"/>
        </w:rPr>
        <w:t>（</w:t>
      </w:r>
      <w:r>
        <w:rPr>
          <w:rFonts w:ascii="楷体" w:eastAsia="楷体"/>
          <w:spacing w:val="26"/>
          <w:w w:val="95"/>
          <w:sz w:val="18"/>
        </w:rPr>
        <w:t>2</w:t>
      </w:r>
      <w:r>
        <w:rPr>
          <w:rFonts w:ascii="楷体" w:eastAsia="楷体"/>
          <w:spacing w:val="16"/>
          <w:w w:val="95"/>
          <w:sz w:val="18"/>
        </w:rPr>
        <w:t>）</w:t>
      </w:r>
      <w:r>
        <w:rPr>
          <w:rFonts w:ascii="楷体" w:eastAsia="楷体"/>
          <w:w w:val="95"/>
          <w:sz w:val="18"/>
        </w:rPr>
        <w:t>不超过安全、足量治疗原则的</w:t>
      </w:r>
      <w:r>
        <w:rPr>
          <w:rFonts w:ascii="楷体" w:eastAsia="楷体"/>
          <w:spacing w:val="-10"/>
          <w:w w:val="95"/>
          <w:sz w:val="18"/>
        </w:rPr>
        <w:t>项</w:t>
      </w:r>
    </w:p>
    <w:p>
      <w:pPr>
        <w:spacing w:before="4" w:line="242" w:lineRule="auto"/>
        <w:ind w:left="220" w:right="420" w:firstLine="0"/>
        <w:jc w:val="left"/>
        <w:rPr>
          <w:rFonts w:ascii="楷体" w:eastAsia="楷体"/>
          <w:sz w:val="18"/>
        </w:rPr>
      </w:pPr>
      <w:r>
        <w:rPr>
          <w:rFonts w:ascii="楷体" w:eastAsia="楷体"/>
          <w:spacing w:val="-6"/>
          <w:sz w:val="18"/>
        </w:rPr>
        <w:t>目；（3）由医生开具的处方药；（4）非试验性的、非研究性的项目；（5）与接受治疗当地普遍接受的医疗专业实践标准一致</w:t>
      </w:r>
      <w:r>
        <w:rPr>
          <w:rFonts w:ascii="楷体" w:eastAsia="楷体"/>
          <w:spacing w:val="-4"/>
          <w:sz w:val="18"/>
        </w:rPr>
        <w:t>的项目。</w:t>
      </w:r>
    </w:p>
    <w:p>
      <w:pPr>
        <w:spacing w:before="0" w:line="230" w:lineRule="exact"/>
        <w:ind w:left="220" w:right="0" w:firstLine="0"/>
        <w:jc w:val="left"/>
        <w:rPr>
          <w:rFonts w:ascii="楷体" w:eastAsia="楷体"/>
          <w:sz w:val="18"/>
        </w:rPr>
      </w:pPr>
      <w:r>
        <w:rPr>
          <w:w w:val="95"/>
          <w:position w:val="9"/>
          <w:sz w:val="9"/>
        </w:rPr>
        <w:t>2</w:t>
      </w:r>
      <w:bookmarkStart w:id="18" w:name="_bookmark18"/>
      <w:bookmarkEnd w:id="18"/>
      <w:r>
        <w:rPr>
          <w:w w:val="95"/>
          <w:position w:val="9"/>
          <w:sz w:val="9"/>
        </w:rPr>
        <w:t>1</w:t>
      </w:r>
      <w:r>
        <w:rPr>
          <w:rFonts w:hint="eastAsia" w:ascii="楷体" w:eastAsia="楷体"/>
          <w:b/>
          <w:w w:val="95"/>
          <w:sz w:val="18"/>
        </w:rPr>
        <w:t>基本医疗保险：</w:t>
      </w:r>
      <w:r>
        <w:rPr>
          <w:rFonts w:ascii="楷体" w:eastAsia="楷体"/>
          <w:w w:val="95"/>
          <w:sz w:val="18"/>
        </w:rPr>
        <w:t>基本医疗保险包括城镇职工基本医疗保险、城镇居民基本医疗保险、新型农村合作医疗</w:t>
      </w:r>
      <w:r>
        <w:rPr>
          <w:rFonts w:ascii="楷体" w:eastAsia="楷体"/>
          <w:spacing w:val="-10"/>
          <w:w w:val="95"/>
          <w:sz w:val="18"/>
        </w:rPr>
        <w:t>。</w:t>
      </w:r>
    </w:p>
    <w:p>
      <w:pPr>
        <w:spacing w:after="0" w:line="230" w:lineRule="exact"/>
        <w:jc w:val="left"/>
        <w:rPr>
          <w:rFonts w:ascii="楷体" w:eastAsia="楷体"/>
          <w:sz w:val="18"/>
        </w:rPr>
        <w:sectPr>
          <w:type w:val="continuous"/>
          <w:pgSz w:w="11910" w:h="16840"/>
          <w:pgMar w:top="480" w:right="660" w:bottom="280" w:left="860" w:header="0" w:footer="662" w:gutter="0"/>
          <w:cols w:space="720" w:num="1"/>
        </w:sectPr>
      </w:pPr>
    </w:p>
    <w:p>
      <w:pPr>
        <w:pStyle w:val="4"/>
        <w:spacing w:before="53" w:line="266" w:lineRule="auto"/>
        <w:ind w:left="3740" w:right="208"/>
        <w:jc w:val="both"/>
      </w:pPr>
      <w:r>
        <w:rPr>
          <w:spacing w:val="3"/>
          <w:w w:val="99"/>
        </w:rPr>
        <w:t>险人实际发生的费用扣除其所获费用补偿后的余额按照本合同的约定</w:t>
      </w:r>
      <w:r>
        <w:rPr>
          <w:spacing w:val="-8"/>
          <w:w w:val="99"/>
        </w:rPr>
        <w:t>进行给付。基本医疗保险个人账户支出部分视为个人支付，不属于已获</w:t>
      </w:r>
      <w:r>
        <w:rPr>
          <w:spacing w:val="-1"/>
          <w:w w:val="99"/>
        </w:rPr>
        <w:t>得的费用补偿；</w:t>
      </w:r>
    </w:p>
    <w:p>
      <w:pPr>
        <w:pStyle w:val="9"/>
        <w:numPr>
          <w:ilvl w:val="1"/>
          <w:numId w:val="5"/>
        </w:numPr>
        <w:tabs>
          <w:tab w:val="left" w:pos="3741"/>
        </w:tabs>
        <w:spacing w:before="160" w:after="0" w:line="266" w:lineRule="auto"/>
        <w:ind w:left="3740" w:right="208" w:hanging="720"/>
        <w:jc w:val="left"/>
        <w:rPr>
          <w:sz w:val="21"/>
        </w:rPr>
      </w:pPr>
      <w:r>
        <w:rPr>
          <w:spacing w:val="-5"/>
          <w:w w:val="99"/>
          <w:sz w:val="21"/>
        </w:rPr>
        <w:t>若被保险人以参加基本医疗保险身份结算的，本公司对于符合保险责任</w:t>
      </w:r>
      <w:r>
        <w:rPr>
          <w:spacing w:val="-1"/>
          <w:w w:val="99"/>
          <w:sz w:val="21"/>
        </w:rPr>
        <w:t>的医疗费用按</w:t>
      </w:r>
      <w:r>
        <w:rPr>
          <w:spacing w:val="-50"/>
          <w:sz w:val="21"/>
        </w:rPr>
        <w:t xml:space="preserve"> </w:t>
      </w:r>
      <w:r>
        <w:rPr>
          <w:spacing w:val="1"/>
          <w:w w:val="99"/>
          <w:sz w:val="21"/>
        </w:rPr>
        <w:t>100</w:t>
      </w:r>
      <w:r>
        <w:rPr>
          <w:spacing w:val="-1"/>
          <w:w w:val="99"/>
          <w:sz w:val="21"/>
        </w:rPr>
        <w:t>%进行给付；</w:t>
      </w:r>
    </w:p>
    <w:p>
      <w:pPr>
        <w:pStyle w:val="9"/>
        <w:numPr>
          <w:ilvl w:val="1"/>
          <w:numId w:val="5"/>
        </w:numPr>
        <w:tabs>
          <w:tab w:val="left" w:pos="3741"/>
        </w:tabs>
        <w:spacing w:before="158" w:after="0" w:line="266" w:lineRule="auto"/>
        <w:ind w:left="3740" w:right="208" w:hanging="720"/>
        <w:jc w:val="left"/>
        <w:rPr>
          <w:sz w:val="21"/>
        </w:rPr>
      </w:pPr>
      <w:r>
        <w:rPr>
          <w:spacing w:val="-5"/>
          <w:w w:val="99"/>
          <w:sz w:val="21"/>
        </w:rPr>
        <w:t>若被保险人未以参加基本医疗保险身份结算的，则本公司对于符合保险</w:t>
      </w:r>
      <w:r>
        <w:rPr>
          <w:spacing w:val="-1"/>
          <w:w w:val="99"/>
          <w:sz w:val="21"/>
        </w:rPr>
        <w:t>责任的医疗费用按</w:t>
      </w:r>
      <w:r>
        <w:rPr>
          <w:spacing w:val="-50"/>
          <w:sz w:val="21"/>
        </w:rPr>
        <w:t xml:space="preserve"> </w:t>
      </w:r>
      <w:r>
        <w:rPr>
          <w:spacing w:val="1"/>
          <w:w w:val="99"/>
          <w:sz w:val="21"/>
        </w:rPr>
        <w:t>60</w:t>
      </w:r>
      <w:r>
        <w:rPr>
          <w:spacing w:val="-1"/>
          <w:w w:val="99"/>
          <w:sz w:val="21"/>
        </w:rPr>
        <w:t>%进行给付。</w:t>
      </w:r>
    </w:p>
    <w:p>
      <w:pPr>
        <w:pStyle w:val="4"/>
        <w:spacing w:before="159" w:line="266" w:lineRule="auto"/>
        <w:ind w:left="3020" w:right="208"/>
      </w:pPr>
      <w:r>
        <w:rPr>
          <w:spacing w:val="-1"/>
          <w:w w:val="99"/>
        </w:rPr>
        <w:t>在每个保单年度内，少儿意外医疗保险金的年累计赔偿金额之和以年少儿意外医疗保险金给付限额为限。</w:t>
      </w:r>
    </w:p>
    <w:p>
      <w:pPr>
        <w:pStyle w:val="4"/>
        <w:spacing w:before="7"/>
        <w:rPr>
          <w:sz w:val="9"/>
        </w:rPr>
      </w:pPr>
      <w:r>
        <w:pict>
          <v:shape id="docshape12" o:spid="_x0000_s1036" o:spt="202" type="#_x0000_t202" style="position:absolute;left:0pt;margin-left:194.1pt;margin-top:7.35pt;height:13.6pt;width:357.75pt;mso-position-horizontal-relative:page;mso-wrap-distance-bottom:0pt;mso-wrap-distance-top:0pt;z-index:-251637760;mso-width-relative:page;mso-height-relative:page;"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w w:val="95"/>
                    </w:rPr>
                    <w:t>被保险人满</w:t>
                  </w:r>
                  <w:r>
                    <w:rPr>
                      <w:color w:val="000000"/>
                      <w:spacing w:val="67"/>
                    </w:rPr>
                    <w:t xml:space="preserve"> </w:t>
                  </w:r>
                  <w:r>
                    <w:rPr>
                      <w:color w:val="000000"/>
                      <w:w w:val="95"/>
                    </w:rPr>
                    <w:t>25</w:t>
                  </w:r>
                  <w:r>
                    <w:rPr>
                      <w:color w:val="000000"/>
                      <w:spacing w:val="64"/>
                    </w:rPr>
                    <w:t xml:space="preserve"> </w:t>
                  </w:r>
                  <w:r>
                    <w:rPr>
                      <w:color w:val="000000"/>
                      <w:w w:val="95"/>
                    </w:rPr>
                    <w:t>周岁（</w:t>
                  </w:r>
                  <w:r>
                    <w:rPr>
                      <w:color w:val="000000"/>
                      <w:spacing w:val="-8"/>
                      <w:w w:val="95"/>
                    </w:rPr>
                    <w:t xml:space="preserve">含 </w:t>
                  </w:r>
                  <w:r>
                    <w:rPr>
                      <w:color w:val="000000"/>
                      <w:w w:val="95"/>
                    </w:rPr>
                    <w:t>25</w:t>
                  </w:r>
                  <w:r>
                    <w:rPr>
                      <w:color w:val="000000"/>
                      <w:spacing w:val="-4"/>
                      <w:w w:val="95"/>
                    </w:rPr>
                    <w:t xml:space="preserve"> 周岁生日</w:t>
                  </w:r>
                  <w:r>
                    <w:rPr>
                      <w:color w:val="000000"/>
                      <w:w w:val="95"/>
                    </w:rPr>
                    <w:t>）</w:t>
                  </w:r>
                  <w:r>
                    <w:rPr>
                      <w:color w:val="000000"/>
                      <w:spacing w:val="-1"/>
                      <w:w w:val="95"/>
                    </w:rPr>
                    <w:t>后，本公司不承担少儿意外医疗保险金</w:t>
                  </w:r>
                </w:p>
              </w:txbxContent>
            </v:textbox>
            <w10:wrap type="topAndBottom"/>
          </v:shape>
        </w:pict>
      </w:r>
    </w:p>
    <w:p>
      <w:pPr>
        <w:pStyle w:val="4"/>
        <w:spacing w:before="1"/>
        <w:rPr>
          <w:sz w:val="3"/>
        </w:rPr>
      </w:pPr>
    </w:p>
    <w:p>
      <w:pPr>
        <w:pStyle w:val="4"/>
        <w:ind w:left="3022"/>
        <w:rPr>
          <w:sz w:val="20"/>
        </w:rPr>
      </w:pPr>
      <w:r>
        <w:rPr>
          <w:sz w:val="20"/>
        </w:rPr>
        <w:pict>
          <v:shape id="docshape13" o:spid="_x0000_s1037" o:spt="202" type="#_x0000_t202" style="height:13.6pt;width:31.5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7"/>
                      <w:w w:val="95"/>
                    </w:rPr>
                    <w:t>责任。</w:t>
                  </w:r>
                </w:p>
              </w:txbxContent>
            </v:textbox>
            <w10:wrap type="none"/>
            <w10:anchorlock/>
          </v:shape>
        </w:pict>
      </w:r>
    </w:p>
    <w:p>
      <w:pPr>
        <w:pStyle w:val="4"/>
        <w:spacing w:before="11"/>
        <w:rPr>
          <w:sz w:val="7"/>
        </w:rPr>
      </w:pPr>
    </w:p>
    <w:p>
      <w:pPr>
        <w:spacing w:after="0"/>
        <w:rPr>
          <w:sz w:val="7"/>
        </w:rPr>
        <w:sectPr>
          <w:pgSz w:w="11910" w:h="16840"/>
          <w:pgMar w:top="1400" w:right="660" w:bottom="860" w:left="860" w:header="0" w:footer="662" w:gutter="0"/>
          <w:cols w:space="720" w:num="1"/>
        </w:sectPr>
      </w:pPr>
    </w:p>
    <w:p>
      <w:pPr>
        <w:pStyle w:val="3"/>
        <w:numPr>
          <w:ilvl w:val="3"/>
          <w:numId w:val="4"/>
        </w:numPr>
        <w:tabs>
          <w:tab w:val="left" w:pos="1321"/>
          <w:tab w:val="left" w:pos="1322"/>
        </w:tabs>
        <w:spacing w:before="70" w:after="0" w:line="240" w:lineRule="auto"/>
        <w:ind w:left="1321" w:right="0" w:hanging="1102"/>
        <w:jc w:val="left"/>
      </w:pPr>
      <w:r>
        <w:rPr>
          <w:spacing w:val="-2"/>
          <w:w w:val="95"/>
        </w:rPr>
        <w:t>少儿接种意外</w:t>
      </w:r>
    </w:p>
    <w:p>
      <w:pPr>
        <w:spacing w:before="43" w:line="278" w:lineRule="auto"/>
        <w:ind w:left="1321" w:right="38" w:firstLine="0"/>
        <w:jc w:val="left"/>
        <w:rPr>
          <w:b/>
          <w:sz w:val="21"/>
        </w:rPr>
      </w:pPr>
      <w:r>
        <w:rPr>
          <w:b/>
          <w:spacing w:val="-2"/>
          <w:sz w:val="21"/>
        </w:rPr>
        <w:t>住院津贴保险</w:t>
      </w:r>
      <w:r>
        <w:rPr>
          <w:b/>
          <w:spacing w:val="-10"/>
          <w:sz w:val="21"/>
        </w:rPr>
        <w:t>金</w:t>
      </w:r>
    </w:p>
    <w:p>
      <w:pPr>
        <w:pStyle w:val="4"/>
        <w:spacing w:before="70"/>
        <w:ind w:left="220"/>
        <w:jc w:val="both"/>
      </w:pPr>
      <w:r>
        <w:br w:type="column"/>
      </w:r>
      <w:r>
        <w:rPr>
          <w:w w:val="95"/>
        </w:rPr>
        <w:t>被保险人满</w:t>
      </w:r>
      <w:r>
        <w:rPr>
          <w:spacing w:val="69"/>
        </w:rPr>
        <w:t xml:space="preserve"> </w:t>
      </w:r>
      <w:r>
        <w:rPr>
          <w:w w:val="95"/>
        </w:rPr>
        <w:t>25</w:t>
      </w:r>
      <w:r>
        <w:rPr>
          <w:spacing w:val="64"/>
        </w:rPr>
        <w:t xml:space="preserve"> </w:t>
      </w:r>
      <w:r>
        <w:rPr>
          <w:w w:val="95"/>
        </w:rPr>
        <w:t>周岁（不</w:t>
      </w:r>
      <w:r>
        <w:rPr>
          <w:spacing w:val="-8"/>
          <w:w w:val="95"/>
        </w:rPr>
        <w:t xml:space="preserve">含 </w:t>
      </w:r>
      <w:r>
        <w:rPr>
          <w:w w:val="95"/>
        </w:rPr>
        <w:t>25</w:t>
      </w:r>
      <w:r>
        <w:rPr>
          <w:spacing w:val="-4"/>
          <w:w w:val="95"/>
        </w:rPr>
        <w:t xml:space="preserve"> 周岁生日</w:t>
      </w:r>
      <w:r>
        <w:rPr>
          <w:w w:val="95"/>
        </w:rPr>
        <w:t>）</w:t>
      </w:r>
      <w:r>
        <w:rPr>
          <w:spacing w:val="-1"/>
          <w:w w:val="95"/>
        </w:rPr>
        <w:t>前，如在保险期间内经人民政府卫生</w:t>
      </w:r>
    </w:p>
    <w:p>
      <w:pPr>
        <w:pStyle w:val="4"/>
        <w:spacing w:before="43" w:line="278" w:lineRule="auto"/>
        <w:ind w:left="220" w:right="194"/>
        <w:jc w:val="both"/>
      </w:pPr>
      <w:r>
        <w:rPr>
          <w:spacing w:val="-1"/>
          <w:w w:val="99"/>
        </w:rPr>
        <w:t>主管部门指定的医疗卫生机构接种</w:t>
      </w:r>
      <w:r>
        <w:rPr>
          <w:b/>
          <w:spacing w:val="2"/>
          <w:w w:val="99"/>
        </w:rPr>
        <w:t>疫苗</w:t>
      </w:r>
      <w:r>
        <w:fldChar w:fldCharType="begin"/>
      </w:r>
      <w:r>
        <w:instrText xml:space="preserve"> HYPERLINK \l "_bookmark19" </w:instrText>
      </w:r>
      <w:r>
        <w:fldChar w:fldCharType="separate"/>
      </w:r>
      <w:r>
        <w:rPr>
          <w:b/>
          <w:spacing w:val="2"/>
          <w:w w:val="105"/>
          <w:position w:val="11"/>
          <w:sz w:val="10"/>
        </w:rPr>
        <w:t>2</w:t>
      </w:r>
      <w:r>
        <w:rPr>
          <w:b/>
          <w:spacing w:val="-3"/>
          <w:w w:val="105"/>
          <w:position w:val="11"/>
          <w:sz w:val="10"/>
        </w:rPr>
        <w:t>2</w:t>
      </w:r>
      <w:r>
        <w:rPr>
          <w:b/>
          <w:spacing w:val="-3"/>
          <w:w w:val="105"/>
          <w:position w:val="11"/>
          <w:sz w:val="10"/>
        </w:rPr>
        <w:fldChar w:fldCharType="end"/>
      </w:r>
      <w:r>
        <w:rPr>
          <w:spacing w:val="-7"/>
          <w:w w:val="99"/>
        </w:rPr>
        <w:t>，自接种疫苗时起</w:t>
      </w:r>
      <w:r>
        <w:rPr>
          <w:spacing w:val="-50"/>
        </w:rPr>
        <w:t xml:space="preserve"> </w:t>
      </w:r>
      <w:r>
        <w:rPr>
          <w:spacing w:val="1"/>
          <w:w w:val="99"/>
        </w:rPr>
        <w:t>18</w:t>
      </w:r>
      <w:r>
        <w:rPr>
          <w:w w:val="99"/>
        </w:rPr>
        <w:t>0</w:t>
      </w:r>
      <w:r>
        <w:rPr>
          <w:spacing w:val="-54"/>
        </w:rPr>
        <w:t xml:space="preserve"> </w:t>
      </w:r>
      <w:r>
        <w:rPr>
          <w:spacing w:val="-7"/>
          <w:w w:val="99"/>
        </w:rPr>
        <w:t>天内，因接种该</w:t>
      </w:r>
      <w:r>
        <w:rPr>
          <w:spacing w:val="4"/>
          <w:w w:val="99"/>
        </w:rPr>
        <w:t>疫苗发生</w:t>
      </w:r>
      <w:r>
        <w:rPr>
          <w:b/>
          <w:spacing w:val="4"/>
          <w:w w:val="99"/>
        </w:rPr>
        <w:t>预防接种一般反应</w:t>
      </w:r>
      <w:r>
        <w:fldChar w:fldCharType="begin"/>
      </w:r>
      <w:r>
        <w:instrText xml:space="preserve"> HYPERLINK \l "_bookmark20" </w:instrText>
      </w:r>
      <w:r>
        <w:fldChar w:fldCharType="separate"/>
      </w:r>
      <w:r>
        <w:rPr>
          <w:b/>
          <w:spacing w:val="2"/>
          <w:w w:val="105"/>
          <w:position w:val="11"/>
          <w:sz w:val="10"/>
        </w:rPr>
        <w:t>23</w:t>
      </w:r>
      <w:r>
        <w:rPr>
          <w:b/>
          <w:spacing w:val="2"/>
          <w:w w:val="105"/>
          <w:position w:val="11"/>
          <w:sz w:val="10"/>
        </w:rPr>
        <w:fldChar w:fldCharType="end"/>
      </w:r>
      <w:r>
        <w:rPr>
          <w:spacing w:val="4"/>
          <w:w w:val="99"/>
        </w:rPr>
        <w:t>、</w:t>
      </w:r>
      <w:r>
        <w:rPr>
          <w:b/>
          <w:spacing w:val="4"/>
          <w:w w:val="99"/>
        </w:rPr>
        <w:t>预防接种异常反应</w:t>
      </w:r>
      <w:r>
        <w:fldChar w:fldCharType="begin"/>
      </w:r>
      <w:r>
        <w:instrText xml:space="preserve"> HYPERLINK \l "_bookmark21" </w:instrText>
      </w:r>
      <w:r>
        <w:fldChar w:fldCharType="separate"/>
      </w:r>
      <w:r>
        <w:rPr>
          <w:b/>
          <w:spacing w:val="2"/>
          <w:w w:val="105"/>
          <w:position w:val="11"/>
          <w:sz w:val="10"/>
        </w:rPr>
        <w:t>24</w:t>
      </w:r>
      <w:r>
        <w:rPr>
          <w:b/>
          <w:spacing w:val="2"/>
          <w:w w:val="105"/>
          <w:position w:val="11"/>
          <w:sz w:val="10"/>
        </w:rPr>
        <w:fldChar w:fldCharType="end"/>
      </w:r>
      <w:r>
        <w:rPr>
          <w:spacing w:val="2"/>
          <w:w w:val="99"/>
        </w:rPr>
        <w:t>或</w:t>
      </w:r>
      <w:r>
        <w:rPr>
          <w:b/>
          <w:spacing w:val="4"/>
          <w:w w:val="99"/>
        </w:rPr>
        <w:t>偶合症</w:t>
      </w:r>
      <w:r>
        <w:fldChar w:fldCharType="begin"/>
      </w:r>
      <w:r>
        <w:instrText xml:space="preserve"> HYPERLINK \l "_bookmark22" </w:instrText>
      </w:r>
      <w:r>
        <w:fldChar w:fldCharType="separate"/>
      </w:r>
      <w:r>
        <w:rPr>
          <w:b/>
          <w:spacing w:val="2"/>
          <w:w w:val="105"/>
          <w:position w:val="11"/>
          <w:sz w:val="10"/>
        </w:rPr>
        <w:t>25</w:t>
      </w:r>
      <w:r>
        <w:rPr>
          <w:b/>
          <w:spacing w:val="2"/>
          <w:w w:val="105"/>
          <w:position w:val="11"/>
          <w:sz w:val="10"/>
        </w:rPr>
        <w:fldChar w:fldCharType="end"/>
      </w:r>
      <w:r>
        <w:rPr>
          <w:spacing w:val="2"/>
          <w:w w:val="99"/>
        </w:rPr>
        <w:t>，并经本公司指</w:t>
      </w:r>
      <w:r>
        <w:rPr>
          <w:spacing w:val="-1"/>
          <w:w w:val="99"/>
        </w:rPr>
        <w:t>定或认可的医疗机构或接种疫苗的医疗卫生机构诊断而必须住院的，本公司将依据该被保险人的合理住院天数和本合同项下的少儿接种意外住院日津贴额，按照约定方式，向该被保险人给付少儿接种意外住院津贴保险金。</w:t>
      </w:r>
    </w:p>
    <w:p>
      <w:pPr>
        <w:pStyle w:val="4"/>
        <w:spacing w:before="155" w:line="278" w:lineRule="auto"/>
        <w:ind w:left="220" w:right="206"/>
        <w:jc w:val="both"/>
      </w:pPr>
      <w:r>
        <w:rPr>
          <w:spacing w:val="-1"/>
          <w:w w:val="99"/>
        </w:rPr>
        <w:t>少儿接种意外住院津贴保险金</w:t>
      </w:r>
      <w:r>
        <w:rPr>
          <w:rFonts w:ascii="Times New Roman" w:hAnsi="Times New Roman" w:eastAsia="Times New Roman"/>
          <w:spacing w:val="-1"/>
          <w:w w:val="99"/>
        </w:rPr>
        <w:t>=</w:t>
      </w:r>
      <w:r>
        <w:rPr>
          <w:spacing w:val="-7"/>
          <w:w w:val="99"/>
        </w:rPr>
        <w:t>住院天数╳少儿接种意外住院日津贴额，其中在</w:t>
      </w:r>
      <w:r>
        <w:rPr>
          <w:spacing w:val="-9"/>
          <w:w w:val="99"/>
        </w:rPr>
        <w:t>每个保单年度内，少儿接种意外住院津贴保险金的累计给付天数最高以</w:t>
      </w:r>
      <w:r>
        <w:rPr>
          <w:spacing w:val="-50"/>
        </w:rPr>
        <w:t xml:space="preserve"> </w:t>
      </w:r>
      <w:r>
        <w:rPr>
          <w:rFonts w:ascii="Times New Roman" w:hAnsi="Times New Roman" w:eastAsia="Times New Roman"/>
          <w:spacing w:val="1"/>
          <w:w w:val="99"/>
        </w:rPr>
        <w:t>9</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日为</w:t>
      </w:r>
      <w:r>
        <w:rPr>
          <w:spacing w:val="-1"/>
          <w:w w:val="99"/>
        </w:rPr>
        <w:t>限。</w:t>
      </w:r>
    </w:p>
    <w:p>
      <w:pPr>
        <w:spacing w:after="0" w:line="278" w:lineRule="auto"/>
        <w:jc w:val="both"/>
        <w:sectPr>
          <w:type w:val="continuous"/>
          <w:pgSz w:w="11910" w:h="16840"/>
          <w:pgMar w:top="480" w:right="660" w:bottom="280" w:left="860" w:header="0" w:footer="662" w:gutter="0"/>
          <w:cols w:equalWidth="0" w:num="2">
            <w:col w:w="2625" w:space="176"/>
            <w:col w:w="7589"/>
          </w:cols>
        </w:sectPr>
      </w:pPr>
    </w:p>
    <w:p>
      <w:pPr>
        <w:pStyle w:val="4"/>
        <w:spacing w:before="9"/>
        <w:rPr>
          <w:sz w:val="12"/>
        </w:rPr>
      </w:pPr>
    </w:p>
    <w:p>
      <w:pPr>
        <w:pStyle w:val="4"/>
        <w:ind w:left="3022"/>
        <w:rPr>
          <w:sz w:val="20"/>
        </w:rPr>
      </w:pPr>
      <w:r>
        <w:rPr>
          <w:sz w:val="20"/>
        </w:rPr>
        <w:pict>
          <v:shape id="docshape14" o:spid="_x0000_s1038" o:spt="202" type="#_x0000_t202" style="height:13.6pt;width:357.75pt;"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w w:val="95"/>
                    </w:rPr>
                    <w:t>被保险人满</w:t>
                  </w:r>
                  <w:r>
                    <w:rPr>
                      <w:color w:val="000000"/>
                      <w:spacing w:val="53"/>
                    </w:rPr>
                    <w:t xml:space="preserve"> </w:t>
                  </w:r>
                  <w:r>
                    <w:rPr>
                      <w:color w:val="000000"/>
                      <w:w w:val="95"/>
                    </w:rPr>
                    <w:t>25</w:t>
                  </w:r>
                  <w:r>
                    <w:rPr>
                      <w:color w:val="000000"/>
                      <w:spacing w:val="57"/>
                      <w:w w:val="95"/>
                    </w:rPr>
                    <w:t xml:space="preserve"> </w:t>
                  </w:r>
                  <w:r>
                    <w:rPr>
                      <w:color w:val="000000"/>
                      <w:w w:val="95"/>
                    </w:rPr>
                    <w:t>周岁（</w:t>
                  </w:r>
                  <w:r>
                    <w:rPr>
                      <w:color w:val="000000"/>
                      <w:spacing w:val="-8"/>
                      <w:w w:val="95"/>
                    </w:rPr>
                    <w:t xml:space="preserve">含 </w:t>
                  </w:r>
                  <w:r>
                    <w:rPr>
                      <w:color w:val="000000"/>
                      <w:w w:val="95"/>
                    </w:rPr>
                    <w:t>25</w:t>
                  </w:r>
                  <w:r>
                    <w:rPr>
                      <w:color w:val="000000"/>
                      <w:spacing w:val="-3"/>
                      <w:w w:val="95"/>
                    </w:rPr>
                    <w:t xml:space="preserve"> 周岁生日</w:t>
                  </w:r>
                  <w:r>
                    <w:rPr>
                      <w:color w:val="000000"/>
                      <w:w w:val="95"/>
                    </w:rPr>
                    <w:t>）</w:t>
                  </w:r>
                  <w:r>
                    <w:rPr>
                      <w:color w:val="000000"/>
                      <w:spacing w:val="-1"/>
                      <w:w w:val="95"/>
                    </w:rPr>
                    <w:t>后，本公司不承担少儿接种意外住院津</w:t>
                  </w:r>
                </w:p>
              </w:txbxContent>
            </v:textbox>
            <w10:wrap type="none"/>
            <w10:anchorlock/>
          </v:shape>
        </w:pict>
      </w:r>
    </w:p>
    <w:p>
      <w:pPr>
        <w:pStyle w:val="4"/>
        <w:ind w:left="3022"/>
        <w:rPr>
          <w:sz w:val="20"/>
        </w:rPr>
      </w:pPr>
      <w:r>
        <w:rPr>
          <w:sz w:val="20"/>
        </w:rPr>
        <w:pict>
          <v:shape id="docshape15" o:spid="_x0000_s1039" o:spt="202" type="#_x0000_t202" style="height:13.6pt;width:73.5pt;"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4"/>
                      <w:w w:val="95"/>
                    </w:rPr>
                    <w:t>贴保险金责任。</w:t>
                  </w:r>
                </w:p>
              </w:txbxContent>
            </v:textbox>
            <w10:wrap type="none"/>
            <w10:anchorlock/>
          </v:shape>
        </w:pict>
      </w:r>
    </w:p>
    <w:p>
      <w:pPr>
        <w:pStyle w:val="4"/>
        <w:spacing w:before="2"/>
        <w:rPr>
          <w:sz w:val="6"/>
        </w:rPr>
      </w:pPr>
    </w:p>
    <w:p>
      <w:pPr>
        <w:pStyle w:val="9"/>
        <w:numPr>
          <w:ilvl w:val="2"/>
          <w:numId w:val="2"/>
        </w:numPr>
        <w:tabs>
          <w:tab w:val="left" w:pos="1321"/>
          <w:tab w:val="left" w:pos="1322"/>
          <w:tab w:val="left" w:pos="3020"/>
        </w:tabs>
        <w:spacing w:before="70" w:after="0" w:line="240" w:lineRule="auto"/>
        <w:ind w:left="1321" w:right="0" w:hanging="1102"/>
        <w:jc w:val="left"/>
        <w:rPr>
          <w:sz w:val="21"/>
        </w:rPr>
      </w:pPr>
      <w:r>
        <w:pict>
          <v:shape id="docshape16" o:spid="_x0000_s1040" o:spt="202" type="#_x0000_t202" style="position:absolute;left:0pt;margin-left:230.1pt;margin-top:3.85pt;height:73.6pt;width:321.75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20"/>
                    <w:gridCol w:w="18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435" w:type="dxa"/>
                        <w:gridSpan w:val="2"/>
                        <w:tcBorders>
                          <w:bottom w:val="single" w:color="FFFFFF" w:sz="12" w:space="0"/>
                        </w:tcBorders>
                        <w:shd w:val="clear" w:color="auto" w:fill="E4E4E4"/>
                      </w:tcPr>
                      <w:p>
                        <w:pPr>
                          <w:pStyle w:val="10"/>
                          <w:spacing w:before="3" w:line="248" w:lineRule="exact"/>
                          <w:ind w:left="-2" w:right="-15"/>
                          <w:rPr>
                            <w:sz w:val="21"/>
                          </w:rPr>
                        </w:pPr>
                        <w:r>
                          <w:rPr>
                            <w:spacing w:val="-1"/>
                            <w:w w:val="95"/>
                            <w:sz w:val="21"/>
                          </w:rPr>
                          <w:t>被保险人由于同一疾病原因、同次医疗行为或同次意外伤害事故，确诊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435" w:type="dxa"/>
                        <w:gridSpan w:val="2"/>
                        <w:tcBorders>
                          <w:top w:val="single" w:color="FFFFFF" w:sz="12" w:space="0"/>
                          <w:bottom w:val="single" w:color="FFFFFF" w:sz="12" w:space="0"/>
                        </w:tcBorders>
                        <w:shd w:val="clear" w:color="auto" w:fill="E4E4E4"/>
                      </w:tcPr>
                      <w:p>
                        <w:pPr>
                          <w:pStyle w:val="10"/>
                          <w:spacing w:before="2" w:line="248" w:lineRule="exact"/>
                          <w:ind w:left="-2"/>
                          <w:rPr>
                            <w:sz w:val="21"/>
                          </w:rPr>
                        </w:pPr>
                        <w:r>
                          <w:rPr>
                            <w:w w:val="95"/>
                            <w:sz w:val="21"/>
                          </w:rPr>
                          <w:t>初次发生一项或多项本合同所指的重大疾病</w:t>
                        </w:r>
                        <w:r>
                          <w:rPr>
                            <w:spacing w:val="-1"/>
                            <w:w w:val="95"/>
                            <w:sz w:val="21"/>
                          </w:rPr>
                          <w:t>、中度疾病、轻度疾病，本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435" w:type="dxa"/>
                        <w:gridSpan w:val="2"/>
                        <w:tcBorders>
                          <w:top w:val="single" w:color="FFFFFF" w:sz="12" w:space="0"/>
                          <w:bottom w:val="single" w:color="FFFFFF" w:sz="12" w:space="0"/>
                        </w:tcBorders>
                        <w:shd w:val="clear" w:color="auto" w:fill="E4E4E4"/>
                      </w:tcPr>
                      <w:p>
                        <w:pPr>
                          <w:pStyle w:val="10"/>
                          <w:spacing w:before="2" w:line="248" w:lineRule="exact"/>
                          <w:ind w:left="-2" w:right="-15"/>
                          <w:rPr>
                            <w:sz w:val="21"/>
                          </w:rPr>
                        </w:pPr>
                        <w:r>
                          <w:rPr>
                            <w:spacing w:val="-1"/>
                            <w:w w:val="95"/>
                            <w:sz w:val="21"/>
                          </w:rPr>
                          <w:t>公司按重大疾病保险金、中度疾病保险金或轻度疾病保险金规定，仅给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435" w:type="dxa"/>
                        <w:gridSpan w:val="2"/>
                        <w:tcBorders>
                          <w:top w:val="single" w:color="FFFFFF" w:sz="12" w:space="0"/>
                          <w:bottom w:val="single" w:color="FFFFFF" w:sz="12" w:space="0"/>
                        </w:tcBorders>
                        <w:shd w:val="clear" w:color="auto" w:fill="E4E4E4"/>
                      </w:tcPr>
                      <w:p>
                        <w:pPr>
                          <w:pStyle w:val="10"/>
                          <w:spacing w:before="2" w:line="248" w:lineRule="exact"/>
                          <w:ind w:left="-2"/>
                          <w:rPr>
                            <w:sz w:val="21"/>
                          </w:rPr>
                        </w:pPr>
                        <w:r>
                          <w:rPr>
                            <w:w w:val="95"/>
                            <w:sz w:val="21"/>
                          </w:rPr>
                          <w:t>付其中金额最高的一项保险金</w:t>
                        </w:r>
                        <w:r>
                          <w:rPr>
                            <w:spacing w:val="-10"/>
                            <w:w w:val="95"/>
                            <w:sz w:val="21"/>
                          </w:rPr>
                          <w:t>。被保险人所患疾病诊断时已经达到重大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4620" w:type="dxa"/>
                        <w:tcBorders>
                          <w:top w:val="single" w:color="FFFFFF" w:sz="12" w:space="0"/>
                        </w:tcBorders>
                        <w:shd w:val="clear" w:color="auto" w:fill="E4E4E4"/>
                      </w:tcPr>
                      <w:p>
                        <w:pPr>
                          <w:pStyle w:val="10"/>
                          <w:spacing w:before="2" w:line="249" w:lineRule="exact"/>
                          <w:ind w:left="-2"/>
                          <w:rPr>
                            <w:sz w:val="21"/>
                          </w:rPr>
                        </w:pPr>
                        <w:r>
                          <w:rPr>
                            <w:spacing w:val="-1"/>
                            <w:w w:val="95"/>
                            <w:sz w:val="21"/>
                          </w:rPr>
                          <w:t>疾病标准的，不能追溯中度疾病与轻度疾病给付；</w:t>
                        </w:r>
                      </w:p>
                    </w:tc>
                    <w:tc>
                      <w:tcPr>
                        <w:tcW w:w="1815" w:type="dxa"/>
                        <w:tcBorders>
                          <w:top w:val="single" w:color="FFFFFF" w:sz="12" w:space="0"/>
                        </w:tcBorders>
                      </w:tcPr>
                      <w:p>
                        <w:pPr>
                          <w:pStyle w:val="10"/>
                          <w:ind w:left="0"/>
                          <w:rPr>
                            <w:rFonts w:ascii="Times New Roman"/>
                            <w:sz w:val="18"/>
                          </w:rPr>
                        </w:pPr>
                      </w:p>
                    </w:tc>
                  </w:tr>
                </w:tbl>
                <w:p>
                  <w:pPr>
                    <w:pStyle w:val="4"/>
                  </w:pPr>
                </w:p>
              </w:txbxContent>
            </v:textbox>
          </v:shape>
        </w:pict>
      </w:r>
      <w:r>
        <w:rPr>
          <w:b/>
          <w:w w:val="95"/>
          <w:position w:val="1"/>
          <w:sz w:val="21"/>
        </w:rPr>
        <w:t>特别注意事</w:t>
      </w:r>
      <w:r>
        <w:rPr>
          <w:b/>
          <w:spacing w:val="-10"/>
          <w:w w:val="95"/>
          <w:position w:val="1"/>
          <w:sz w:val="21"/>
        </w:rPr>
        <w:t>项</w:t>
      </w:r>
      <w:r>
        <w:rPr>
          <w:b/>
          <w:position w:val="1"/>
          <w:sz w:val="21"/>
        </w:rPr>
        <w:tab/>
      </w:r>
      <w:r>
        <w:rPr>
          <w:spacing w:val="-5"/>
          <w:sz w:val="21"/>
        </w:rPr>
        <w:t>（1）</w:t>
      </w:r>
    </w:p>
    <w:p>
      <w:pPr>
        <w:pStyle w:val="4"/>
        <w:rPr>
          <w:sz w:val="22"/>
        </w:rPr>
      </w:pPr>
    </w:p>
    <w:p>
      <w:pPr>
        <w:pStyle w:val="4"/>
        <w:rPr>
          <w:sz w:val="22"/>
        </w:rPr>
      </w:pPr>
    </w:p>
    <w:p>
      <w:pPr>
        <w:pStyle w:val="4"/>
        <w:rPr>
          <w:sz w:val="22"/>
        </w:rPr>
      </w:pPr>
    </w:p>
    <w:p>
      <w:pPr>
        <w:pStyle w:val="4"/>
        <w:rPr>
          <w:sz w:val="22"/>
        </w:rPr>
      </w:pPr>
    </w:p>
    <w:p>
      <w:pPr>
        <w:pStyle w:val="4"/>
        <w:spacing w:before="3"/>
        <w:rPr>
          <w:sz w:val="20"/>
        </w:rPr>
      </w:pPr>
    </w:p>
    <w:p>
      <w:pPr>
        <w:pStyle w:val="4"/>
        <w:ind w:left="3020"/>
      </w:pPr>
      <w:r>
        <w:pict>
          <v:shape id="docshape17" o:spid="_x0000_s1041" o:spt="202" type="#_x0000_t202" style="position:absolute;left:0pt;margin-left:230.1pt;margin-top:14.8pt;height:13.6pt;width:321.75pt;mso-position-horizontal-relative:page;mso-wrap-distance-bottom:0pt;mso-wrap-distance-top:0pt;z-index:-251636736;mso-width-relative:page;mso-height-relative:page;"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1"/>
                      <w:w w:val="95"/>
                    </w:rPr>
                    <w:t>末期保险金其中一项，其中身故保险金或全残保险金、疾病终末期保险</w:t>
                  </w:r>
                </w:p>
              </w:txbxContent>
            </v:textbox>
            <w10:wrap type="topAndBottom"/>
          </v:shape>
        </w:pict>
      </w:r>
      <w:r>
        <w:pict>
          <v:shape id="docshape18" o:spid="_x0000_s1042" o:spt="202" type="#_x0000_t202" style="position:absolute;left:0pt;margin-left:230.1pt;margin-top:-0.15pt;height:13.6pt;width:321.75pt;mso-position-horizontal-relative:page;z-index:251661312;mso-width-relative:page;mso-height-relative:page;"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1"/>
                      <w:w w:val="95"/>
                    </w:rPr>
                    <w:t>本公司仅给付首次重大疾病保险金、身故保险金或全残保险金、疾病终</w:t>
                  </w:r>
                </w:p>
              </w:txbxContent>
            </v:textbox>
          </v:shape>
        </w:pict>
      </w:r>
      <w:r>
        <w:rPr>
          <w:spacing w:val="-5"/>
        </w:rPr>
        <w:t>（2）</w:t>
      </w:r>
    </w:p>
    <w:p>
      <w:pPr>
        <w:pStyle w:val="4"/>
        <w:spacing w:before="2"/>
        <w:rPr>
          <w:sz w:val="2"/>
        </w:rPr>
      </w:pPr>
    </w:p>
    <w:p>
      <w:pPr>
        <w:pStyle w:val="4"/>
        <w:ind w:left="3742"/>
        <w:rPr>
          <w:sz w:val="20"/>
        </w:rPr>
      </w:pPr>
      <w:r>
        <w:rPr>
          <w:sz w:val="20"/>
        </w:rPr>
        <w:pict>
          <v:shape id="docshape19" o:spid="_x0000_s1043" o:spt="202" type="#_x0000_t202" style="height:13.6pt;width:136.5pt;"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3"/>
                      <w:w w:val="95"/>
                    </w:rPr>
                    <w:t>金的约定给付方式必须一致；</w:t>
                  </w:r>
                </w:p>
              </w:txbxContent>
            </v:textbox>
            <w10:wrap type="none"/>
            <w10:anchorlock/>
          </v:shape>
        </w:pict>
      </w:r>
    </w:p>
    <w:p>
      <w:pPr>
        <w:pStyle w:val="4"/>
        <w:rPr>
          <w:sz w:val="7"/>
        </w:rPr>
      </w:pPr>
    </w:p>
    <w:p>
      <w:pPr>
        <w:pStyle w:val="4"/>
        <w:spacing w:before="69"/>
        <w:ind w:left="3020"/>
      </w:pPr>
      <w:r>
        <w:pict>
          <v:shape id="docshape20" o:spid="_x0000_s1044" o:spt="202" type="#_x0000_t202" style="position:absolute;left:0pt;margin-left:230.1pt;margin-top:18.25pt;height:13.6pt;width:115.5pt;mso-position-horizontal-relative:page;mso-wrap-distance-bottom:0pt;mso-wrap-distance-top:0pt;z-index:-251635712;mso-width-relative:page;mso-height-relative:page;"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1"/>
                      <w:w w:val="95"/>
                    </w:rPr>
                    <w:t>费交费方式的变更申请。</w:t>
                  </w:r>
                </w:p>
              </w:txbxContent>
            </v:textbox>
            <w10:wrap type="topAndBottom"/>
          </v:shape>
        </w:pict>
      </w:r>
      <w:r>
        <w:pict>
          <v:shape id="docshape21" o:spid="_x0000_s1045" o:spt="202" type="#_x0000_t202" style="position:absolute;left:0pt;margin-left:230.1pt;margin-top:3.3pt;height:13.6pt;width:321.75pt;mso-position-horizontal-relative:page;z-index:251660288;mso-width-relative:page;mso-height-relative:page;"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10"/>
                      <w:w w:val="95"/>
                    </w:rPr>
                    <w:t>豁免保险费开始后，本公司将不再接受关于本合同基本保险金额及保险</w:t>
                  </w:r>
                </w:p>
              </w:txbxContent>
            </v:textbox>
          </v:shape>
        </w:pict>
      </w:r>
      <w:r>
        <w:rPr>
          <w:spacing w:val="-5"/>
        </w:rPr>
        <w:t>（3）</w:t>
      </w:r>
    </w:p>
    <w:p>
      <w:pPr>
        <w:pStyle w:val="4"/>
        <w:rPr>
          <w:sz w:val="20"/>
        </w:rPr>
      </w:pPr>
    </w:p>
    <w:p>
      <w:pPr>
        <w:pStyle w:val="4"/>
        <w:rPr>
          <w:sz w:val="20"/>
        </w:rPr>
      </w:pPr>
    </w:p>
    <w:p>
      <w:pPr>
        <w:pStyle w:val="4"/>
        <w:spacing w:before="7"/>
        <w:rPr>
          <w:sz w:val="15"/>
        </w:rPr>
      </w:pPr>
    </w:p>
    <w:p>
      <w:pPr>
        <w:spacing w:before="88"/>
        <w:ind w:left="220" w:right="0" w:firstLine="0"/>
        <w:jc w:val="left"/>
        <w:rPr>
          <w:rFonts w:ascii="楷体" w:eastAsia="楷体"/>
          <w:sz w:val="18"/>
        </w:rPr>
      </w:pPr>
      <w:r>
        <w:rPr>
          <w:w w:val="95"/>
          <w:position w:val="9"/>
          <w:sz w:val="9"/>
        </w:rPr>
        <w:t>2</w:t>
      </w:r>
      <w:bookmarkStart w:id="19" w:name="_bookmark19"/>
      <w:bookmarkEnd w:id="19"/>
      <w:r>
        <w:rPr>
          <w:w w:val="95"/>
          <w:position w:val="9"/>
          <w:sz w:val="9"/>
        </w:rPr>
        <w:t>2</w:t>
      </w:r>
      <w:r>
        <w:rPr>
          <w:rFonts w:hint="eastAsia" w:ascii="楷体" w:eastAsia="楷体"/>
          <w:b/>
          <w:w w:val="95"/>
          <w:sz w:val="18"/>
        </w:rPr>
        <w:t>疫苗：</w:t>
      </w:r>
      <w:r>
        <w:rPr>
          <w:rFonts w:ascii="楷体" w:eastAsia="楷体"/>
          <w:w w:val="95"/>
          <w:sz w:val="18"/>
        </w:rPr>
        <w:t>指为了预防、控制传染病的发生、流行，用于人体预防接种的疫苗类预防性生物制品，包括一类疫苗和二类疫苗</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2</w:t>
      </w:r>
      <w:bookmarkStart w:id="20" w:name="_bookmark20"/>
      <w:bookmarkEnd w:id="20"/>
      <w:r>
        <w:rPr>
          <w:rFonts w:ascii="楷体" w:eastAsia="楷体"/>
          <w:w w:val="95"/>
          <w:position w:val="9"/>
          <w:sz w:val="9"/>
        </w:rPr>
        <w:t>3</w:t>
      </w:r>
      <w:r>
        <w:rPr>
          <w:rFonts w:hint="eastAsia" w:ascii="楷体" w:eastAsia="楷体"/>
          <w:b/>
          <w:w w:val="95"/>
          <w:sz w:val="18"/>
        </w:rPr>
        <w:t>预防接种一般反应</w:t>
      </w:r>
      <w:r>
        <w:rPr>
          <w:rFonts w:ascii="楷体" w:eastAsia="楷体"/>
          <w:w w:val="95"/>
          <w:sz w:val="18"/>
        </w:rPr>
        <w:t>：包括预防接种后发生的，由合格的疫苗本身所固有的特性引起的，对机体只会造成一过性生理功能障</w:t>
      </w:r>
      <w:r>
        <w:rPr>
          <w:rFonts w:ascii="楷体" w:eastAsia="楷体"/>
          <w:spacing w:val="-10"/>
          <w:w w:val="95"/>
          <w:sz w:val="18"/>
        </w:rPr>
        <w:t>碍</w:t>
      </w:r>
    </w:p>
    <w:p>
      <w:pPr>
        <w:spacing w:before="3"/>
        <w:ind w:left="220" w:right="0" w:firstLine="0"/>
        <w:jc w:val="left"/>
        <w:rPr>
          <w:rFonts w:ascii="楷体" w:eastAsia="楷体"/>
          <w:sz w:val="18"/>
        </w:rPr>
      </w:pPr>
      <w:r>
        <w:rPr>
          <w:rFonts w:ascii="楷体" w:eastAsia="楷体"/>
          <w:spacing w:val="-1"/>
          <w:sz w:val="18"/>
        </w:rPr>
        <w:t>的反应。主要有发热和局部红肿，同时可能伴有全身不适、倦怠、食欲不振、乏力等综合症状。</w:t>
      </w:r>
    </w:p>
    <w:p>
      <w:pPr>
        <w:spacing w:before="4"/>
        <w:ind w:left="220" w:right="0" w:firstLine="0"/>
        <w:jc w:val="left"/>
        <w:rPr>
          <w:rFonts w:ascii="楷体" w:eastAsia="楷体"/>
          <w:sz w:val="18"/>
        </w:rPr>
      </w:pPr>
      <w:r>
        <w:rPr>
          <w:rFonts w:ascii="楷体" w:eastAsia="楷体"/>
          <w:w w:val="95"/>
          <w:position w:val="9"/>
          <w:sz w:val="9"/>
        </w:rPr>
        <w:t>2</w:t>
      </w:r>
      <w:bookmarkStart w:id="21" w:name="_bookmark21"/>
      <w:bookmarkEnd w:id="21"/>
      <w:r>
        <w:rPr>
          <w:rFonts w:ascii="楷体" w:eastAsia="楷体"/>
          <w:w w:val="95"/>
          <w:position w:val="9"/>
          <w:sz w:val="9"/>
        </w:rPr>
        <w:t>4</w:t>
      </w:r>
      <w:r>
        <w:rPr>
          <w:rFonts w:hint="eastAsia" w:ascii="楷体" w:eastAsia="楷体"/>
          <w:b/>
          <w:w w:val="95"/>
          <w:sz w:val="18"/>
        </w:rPr>
        <w:t>预防接种异常反应：</w:t>
      </w:r>
      <w:r>
        <w:rPr>
          <w:rFonts w:ascii="楷体" w:eastAsia="楷体"/>
          <w:w w:val="95"/>
          <w:sz w:val="18"/>
        </w:rPr>
        <w:t>指合格的疫苗在实施规范接种过程中或者实施规范接种后造成的受种者机体组织器官、功能损害，相</w:t>
      </w:r>
      <w:r>
        <w:rPr>
          <w:rFonts w:ascii="楷体" w:eastAsia="楷体"/>
          <w:spacing w:val="-10"/>
          <w:w w:val="95"/>
          <w:sz w:val="18"/>
        </w:rPr>
        <w:t>关</w:t>
      </w:r>
    </w:p>
    <w:p>
      <w:pPr>
        <w:spacing w:before="2" w:line="242" w:lineRule="auto"/>
        <w:ind w:left="220" w:right="417" w:firstLine="0"/>
        <w:jc w:val="both"/>
        <w:rPr>
          <w:rFonts w:ascii="楷体" w:eastAsia="楷体"/>
          <w:sz w:val="18"/>
        </w:rPr>
      </w:pPr>
      <w:r>
        <w:rPr>
          <w:rFonts w:ascii="楷体" w:eastAsia="楷体"/>
          <w:spacing w:val="-2"/>
          <w:sz w:val="18"/>
        </w:rPr>
        <w:t>各方均无过错的药品不良反应。常见的预防接种异常反应包括无菌性脓肿、热性惊厥、过敏性休克、过敏性皮疹、过敏性紫癜、血小板减少性紫癜、局部过敏反应、血管性水肿、多发性神经炎、臂丛神经炎、癫痫、脑病、脑炎和脑膜炎、脊灰疫苗相关病例以及接种卡介苗后的淋巴结炎、骨髓炎、全身散播性卡介苗感染等。</w:t>
      </w:r>
    </w:p>
    <w:p>
      <w:pPr>
        <w:spacing w:before="2"/>
        <w:ind w:left="220" w:right="0" w:firstLine="0"/>
        <w:jc w:val="left"/>
        <w:rPr>
          <w:rFonts w:ascii="楷体" w:eastAsia="楷体"/>
          <w:sz w:val="18"/>
        </w:rPr>
      </w:pPr>
      <w:r>
        <w:rPr>
          <w:rFonts w:ascii="楷体" w:eastAsia="楷体"/>
          <w:w w:val="95"/>
          <w:position w:val="9"/>
          <w:sz w:val="9"/>
        </w:rPr>
        <w:t>2</w:t>
      </w:r>
      <w:bookmarkStart w:id="22" w:name="_bookmark22"/>
      <w:bookmarkEnd w:id="22"/>
      <w:r>
        <w:rPr>
          <w:rFonts w:ascii="楷体" w:eastAsia="楷体"/>
          <w:w w:val="95"/>
          <w:position w:val="9"/>
          <w:sz w:val="9"/>
        </w:rPr>
        <w:t>5</w:t>
      </w:r>
      <w:r>
        <w:rPr>
          <w:rFonts w:hint="eastAsia" w:ascii="楷体" w:eastAsia="楷体"/>
          <w:b/>
          <w:w w:val="95"/>
          <w:sz w:val="18"/>
        </w:rPr>
        <w:t>偶合症：</w:t>
      </w:r>
      <w:r>
        <w:rPr>
          <w:rFonts w:ascii="楷体" w:eastAsia="楷体"/>
          <w:w w:val="95"/>
          <w:sz w:val="18"/>
        </w:rPr>
        <w:t>指受种者在接种时正处于某种疾病的潜伏期或前驱期，接种后偶合发病</w:t>
      </w:r>
      <w:r>
        <w:rPr>
          <w:rFonts w:ascii="楷体" w:eastAsia="楷体"/>
          <w:spacing w:val="-10"/>
          <w:w w:val="95"/>
          <w:sz w:val="18"/>
        </w:rPr>
        <w:t>。</w:t>
      </w:r>
    </w:p>
    <w:p>
      <w:pPr>
        <w:spacing w:after="0"/>
        <w:jc w:val="left"/>
        <w:rPr>
          <w:rFonts w:ascii="楷体" w:eastAsia="楷体"/>
          <w:sz w:val="18"/>
        </w:rPr>
        <w:sectPr>
          <w:type w:val="continuous"/>
          <w:pgSz w:w="11910" w:h="16840"/>
          <w:pgMar w:top="480" w:right="660" w:bottom="280" w:left="860" w:header="0" w:footer="662" w:gutter="0"/>
          <w:cols w:space="720" w:num="1"/>
        </w:sectPr>
      </w:pPr>
    </w:p>
    <w:p>
      <w:pPr>
        <w:pStyle w:val="3"/>
        <w:numPr>
          <w:ilvl w:val="1"/>
          <w:numId w:val="2"/>
        </w:numPr>
        <w:tabs>
          <w:tab w:val="left" w:pos="1321"/>
          <w:tab w:val="left" w:pos="1322"/>
        </w:tabs>
        <w:spacing w:before="43" w:after="0" w:line="240" w:lineRule="auto"/>
        <w:ind w:left="1321" w:right="0" w:hanging="1102"/>
        <w:jc w:val="left"/>
      </w:pPr>
      <w:r>
        <w:rPr>
          <w:spacing w:val="-3"/>
          <w:w w:val="95"/>
        </w:rPr>
        <w:t>责任免除</w:t>
      </w:r>
    </w:p>
    <w:p>
      <w:pPr>
        <w:pStyle w:val="4"/>
        <w:spacing w:before="7"/>
        <w:rPr>
          <w:b/>
          <w:sz w:val="15"/>
        </w:rPr>
      </w:pPr>
    </w:p>
    <w:p>
      <w:pPr>
        <w:pStyle w:val="9"/>
        <w:numPr>
          <w:ilvl w:val="2"/>
          <w:numId w:val="2"/>
        </w:numPr>
        <w:tabs>
          <w:tab w:val="left" w:pos="1321"/>
          <w:tab w:val="left" w:pos="1322"/>
        </w:tabs>
        <w:spacing w:before="0" w:after="0" w:line="278" w:lineRule="auto"/>
        <w:ind w:left="1321" w:right="7799" w:hanging="1102"/>
        <w:jc w:val="left"/>
        <w:rPr>
          <w:b/>
          <w:sz w:val="21"/>
        </w:rPr>
      </w:pPr>
      <w:r>
        <w:pict>
          <v:shape id="docshape22" o:spid="_x0000_s1046" o:spt="202" type="#_x0000_t202" style="position:absolute;left:0pt;margin-left:194.1pt;margin-top:15.3pt;height:13.6pt;width:52.5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spacing w:val="-2"/>
                      <w:w w:val="95"/>
                    </w:rPr>
                    <w:t>金的责任：</w:t>
                  </w:r>
                </w:p>
              </w:txbxContent>
            </v:textbox>
          </v:shape>
        </w:pict>
      </w:r>
      <w:r>
        <w:pict>
          <v:shape id="docshape23" o:spid="_x0000_s1047" o:spt="202" type="#_x0000_t202" style="position:absolute;left:0pt;margin-left:194.1pt;margin-top:0.3pt;height:13.6pt;width:357.75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4"/>
                    <w:spacing w:before="3"/>
                    <w:ind w:left="-2"/>
                    <w:rPr>
                      <w:color w:val="000000"/>
                    </w:rPr>
                  </w:pPr>
                  <w:r>
                    <w:rPr>
                      <w:color w:val="000000"/>
                      <w:w w:val="95"/>
                    </w:rPr>
                    <w:t>因下列任何情形直接或间接导致被保险人身故的，本公司不承担给付身故保</w:t>
                  </w:r>
                  <w:r>
                    <w:rPr>
                      <w:color w:val="000000"/>
                      <w:spacing w:val="-10"/>
                      <w:w w:val="95"/>
                    </w:rPr>
                    <w:t>险</w:t>
                  </w:r>
                </w:p>
              </w:txbxContent>
            </v:textbox>
          </v:shape>
        </w:pict>
      </w:r>
      <w:r>
        <w:rPr>
          <w:b/>
          <w:spacing w:val="-2"/>
          <w:sz w:val="21"/>
        </w:rPr>
        <w:t>身故保险金责</w:t>
      </w:r>
      <w:r>
        <w:rPr>
          <w:b/>
          <w:spacing w:val="-4"/>
          <w:sz w:val="21"/>
        </w:rPr>
        <w:t>任免除</w:t>
      </w:r>
    </w:p>
    <w:p>
      <w:pPr>
        <w:pStyle w:val="9"/>
        <w:numPr>
          <w:ilvl w:val="0"/>
          <w:numId w:val="6"/>
        </w:numPr>
        <w:tabs>
          <w:tab w:val="left" w:pos="3741"/>
        </w:tabs>
        <w:spacing w:before="141" w:after="0" w:line="240" w:lineRule="auto"/>
        <w:ind w:left="3740" w:right="0" w:hanging="721"/>
        <w:jc w:val="left"/>
        <w:rPr>
          <w:sz w:val="21"/>
        </w:rPr>
      </w:pPr>
      <w:r>
        <w:rPr>
          <w:color w:val="000000"/>
          <w:spacing w:val="-1"/>
          <w:w w:val="95"/>
          <w:sz w:val="21"/>
          <w:shd w:val="clear" w:color="auto" w:fill="E4E4E4"/>
        </w:rPr>
        <w:t>投保人对被保险人故意杀害或故意伤害；</w:t>
      </w:r>
    </w:p>
    <w:p>
      <w:pPr>
        <w:pStyle w:val="4"/>
        <w:spacing w:before="8"/>
        <w:rPr>
          <w:sz w:val="14"/>
        </w:rPr>
      </w:pPr>
    </w:p>
    <w:p>
      <w:pPr>
        <w:pStyle w:val="9"/>
        <w:numPr>
          <w:ilvl w:val="0"/>
          <w:numId w:val="6"/>
        </w:numPr>
        <w:tabs>
          <w:tab w:val="left" w:pos="3741"/>
        </w:tabs>
        <w:spacing w:before="0" w:after="0" w:line="240" w:lineRule="auto"/>
        <w:ind w:left="3740" w:right="0" w:hanging="721"/>
        <w:jc w:val="left"/>
        <w:rPr>
          <w:sz w:val="21"/>
        </w:rPr>
      </w:pPr>
      <w:r>
        <w:rPr>
          <w:color w:val="000000"/>
          <w:spacing w:val="-1"/>
          <w:w w:val="95"/>
          <w:sz w:val="21"/>
          <w:shd w:val="clear" w:color="auto" w:fill="E4E4E4"/>
        </w:rPr>
        <w:t>被保险人故意犯罪以及抗拒依法采取的刑事强制措施；</w:t>
      </w:r>
    </w:p>
    <w:p>
      <w:pPr>
        <w:pStyle w:val="4"/>
        <w:spacing w:before="7"/>
        <w:rPr>
          <w:sz w:val="14"/>
        </w:rPr>
      </w:pPr>
    </w:p>
    <w:p>
      <w:pPr>
        <w:pStyle w:val="9"/>
        <w:numPr>
          <w:ilvl w:val="0"/>
          <w:numId w:val="6"/>
        </w:numPr>
        <w:tabs>
          <w:tab w:val="left" w:pos="3741"/>
        </w:tabs>
        <w:spacing w:before="0" w:after="0" w:line="266" w:lineRule="auto"/>
        <w:ind w:left="3740" w:right="208" w:hanging="720"/>
        <w:jc w:val="left"/>
        <w:rPr>
          <w:sz w:val="21"/>
        </w:rPr>
      </w:pPr>
      <w:r>
        <w:rPr>
          <w:color w:val="000000"/>
          <w:spacing w:val="-5"/>
          <w:w w:val="95"/>
          <w:sz w:val="21"/>
          <w:shd w:val="clear" w:color="auto" w:fill="E4E4E4"/>
        </w:rPr>
        <w:t>被保险人自本合同成立或合同效力恢复之日起二年内自杀，但自杀时无</w:t>
      </w:r>
      <w:r>
        <w:rPr>
          <w:color w:val="000000"/>
          <w:spacing w:val="80"/>
          <w:w w:val="150"/>
          <w:sz w:val="21"/>
          <w:shd w:val="clear" w:color="auto" w:fill="E4E4E4"/>
        </w:rPr>
        <w:t xml:space="preserve">                                   </w:t>
      </w:r>
      <w:r>
        <w:rPr>
          <w:color w:val="000000"/>
          <w:spacing w:val="-2"/>
          <w:sz w:val="21"/>
          <w:shd w:val="clear" w:color="auto" w:fill="E4E4E4"/>
        </w:rPr>
        <w:t>民事行为能力人的除外；</w:t>
      </w:r>
    </w:p>
    <w:p>
      <w:pPr>
        <w:pStyle w:val="9"/>
        <w:numPr>
          <w:ilvl w:val="0"/>
          <w:numId w:val="6"/>
        </w:numPr>
        <w:tabs>
          <w:tab w:val="left" w:pos="3741"/>
        </w:tabs>
        <w:spacing w:before="159" w:after="0" w:line="240" w:lineRule="auto"/>
        <w:ind w:left="3740" w:right="0" w:hanging="721"/>
        <w:jc w:val="left"/>
        <w:rPr>
          <w:sz w:val="21"/>
        </w:rPr>
      </w:pPr>
      <w:r>
        <w:rPr>
          <w:color w:val="000000"/>
          <w:w w:val="95"/>
          <w:sz w:val="21"/>
          <w:shd w:val="clear" w:color="auto" w:fill="E4E4E4"/>
        </w:rPr>
        <w:t>被保险人服用、吸食或注射</w:t>
      </w:r>
      <w:r>
        <w:rPr>
          <w:b/>
          <w:color w:val="000000"/>
          <w:w w:val="95"/>
          <w:sz w:val="21"/>
          <w:shd w:val="clear" w:color="auto" w:fill="E4E4E4"/>
        </w:rPr>
        <w:t>毒品</w:t>
      </w:r>
      <w:r>
        <w:fldChar w:fldCharType="begin"/>
      </w:r>
      <w:r>
        <w:instrText xml:space="preserve"> HYPERLINK \l "_bookmark23" </w:instrText>
      </w:r>
      <w:r>
        <w:fldChar w:fldCharType="separate"/>
      </w:r>
      <w:r>
        <w:rPr>
          <w:b/>
          <w:color w:val="000000"/>
          <w:spacing w:val="-5"/>
          <w:w w:val="95"/>
          <w:position w:val="11"/>
          <w:sz w:val="10"/>
        </w:rPr>
        <w:t>26</w:t>
      </w:r>
      <w:r>
        <w:rPr>
          <w:b/>
          <w:color w:val="000000"/>
          <w:spacing w:val="-5"/>
          <w:w w:val="95"/>
          <w:position w:val="11"/>
          <w:sz w:val="10"/>
        </w:rPr>
        <w:fldChar w:fldCharType="end"/>
      </w:r>
      <w:r>
        <w:rPr>
          <w:color w:val="000000"/>
          <w:spacing w:val="-5"/>
          <w:w w:val="95"/>
          <w:sz w:val="21"/>
          <w:shd w:val="clear" w:color="auto" w:fill="E4E4E4"/>
        </w:rPr>
        <w:t>；</w:t>
      </w:r>
    </w:p>
    <w:p>
      <w:pPr>
        <w:pStyle w:val="9"/>
        <w:numPr>
          <w:ilvl w:val="0"/>
          <w:numId w:val="6"/>
        </w:numPr>
        <w:tabs>
          <w:tab w:val="left" w:pos="3741"/>
        </w:tabs>
        <w:spacing w:before="187" w:after="0" w:line="266" w:lineRule="auto"/>
        <w:ind w:left="3740" w:right="191" w:hanging="720"/>
        <w:jc w:val="left"/>
        <w:rPr>
          <w:sz w:val="21"/>
        </w:rPr>
      </w:pPr>
      <w:r>
        <w:rPr>
          <w:color w:val="000000"/>
          <w:spacing w:val="-2"/>
          <w:w w:val="95"/>
          <w:sz w:val="21"/>
          <w:shd w:val="clear" w:color="auto" w:fill="E4E4E4"/>
        </w:rPr>
        <w:t>被保险人</w:t>
      </w:r>
      <w:r>
        <w:rPr>
          <w:b/>
          <w:color w:val="000000"/>
          <w:spacing w:val="-2"/>
          <w:w w:val="95"/>
          <w:sz w:val="21"/>
          <w:shd w:val="clear" w:color="auto" w:fill="E4E4E4"/>
        </w:rPr>
        <w:t>酒后驾驶</w:t>
      </w:r>
      <w:r>
        <w:fldChar w:fldCharType="begin"/>
      </w:r>
      <w:r>
        <w:instrText xml:space="preserve"> HYPERLINK \l "_bookmark24" </w:instrText>
      </w:r>
      <w:r>
        <w:fldChar w:fldCharType="separate"/>
      </w:r>
      <w:r>
        <w:rPr>
          <w:b/>
          <w:color w:val="000000"/>
          <w:spacing w:val="-2"/>
          <w:w w:val="95"/>
          <w:position w:val="11"/>
          <w:sz w:val="10"/>
        </w:rPr>
        <w:t>27</w:t>
      </w:r>
      <w:r>
        <w:rPr>
          <w:b/>
          <w:color w:val="000000"/>
          <w:spacing w:val="-2"/>
          <w:w w:val="95"/>
          <w:position w:val="11"/>
          <w:sz w:val="10"/>
        </w:rPr>
        <w:fldChar w:fldCharType="end"/>
      </w:r>
      <w:r>
        <w:rPr>
          <w:b/>
          <w:color w:val="000000"/>
          <w:spacing w:val="-2"/>
          <w:w w:val="95"/>
          <w:position w:val="11"/>
          <w:sz w:val="10"/>
        </w:rPr>
        <w:t>、</w:t>
      </w:r>
      <w:r>
        <w:rPr>
          <w:b/>
          <w:color w:val="000000"/>
          <w:spacing w:val="-2"/>
          <w:w w:val="95"/>
          <w:sz w:val="21"/>
          <w:shd w:val="clear" w:color="auto" w:fill="E4E4E4"/>
        </w:rPr>
        <w:t>无合法有效驾驶证驾驶</w:t>
      </w:r>
      <w:r>
        <w:fldChar w:fldCharType="begin"/>
      </w:r>
      <w:r>
        <w:instrText xml:space="preserve"> HYPERLINK \l "_bookmark25" </w:instrText>
      </w:r>
      <w:r>
        <w:fldChar w:fldCharType="separate"/>
      </w:r>
      <w:r>
        <w:rPr>
          <w:b/>
          <w:color w:val="000000"/>
          <w:spacing w:val="-2"/>
          <w:w w:val="95"/>
          <w:position w:val="11"/>
          <w:sz w:val="10"/>
        </w:rPr>
        <w:t>28</w:t>
      </w:r>
      <w:r>
        <w:rPr>
          <w:b/>
          <w:color w:val="000000"/>
          <w:spacing w:val="-2"/>
          <w:w w:val="95"/>
          <w:position w:val="11"/>
          <w:sz w:val="10"/>
        </w:rPr>
        <w:fldChar w:fldCharType="end"/>
      </w:r>
      <w:r>
        <w:rPr>
          <w:color w:val="000000"/>
          <w:spacing w:val="-2"/>
          <w:w w:val="95"/>
          <w:sz w:val="21"/>
          <w:shd w:val="clear" w:color="auto" w:fill="E4E4E4"/>
        </w:rPr>
        <w:t>，或驾驶</w:t>
      </w:r>
      <w:r>
        <w:rPr>
          <w:b/>
          <w:color w:val="000000"/>
          <w:spacing w:val="-2"/>
          <w:w w:val="95"/>
          <w:sz w:val="21"/>
          <w:shd w:val="clear" w:color="auto" w:fill="E4E4E4"/>
        </w:rPr>
        <w:t>无合法有效行驶</w:t>
      </w:r>
      <w:r>
        <w:rPr>
          <w:b/>
          <w:color w:val="000000"/>
          <w:spacing w:val="80"/>
          <w:w w:val="150"/>
          <w:sz w:val="21"/>
          <w:shd w:val="clear" w:color="auto" w:fill="E4E4E4"/>
        </w:rPr>
        <w:t xml:space="preserve">                                   </w:t>
      </w:r>
      <w:r>
        <w:rPr>
          <w:b/>
          <w:color w:val="000000"/>
          <w:spacing w:val="-2"/>
          <w:sz w:val="21"/>
          <w:shd w:val="clear" w:color="auto" w:fill="E4E4E4"/>
        </w:rPr>
        <w:t>证</w:t>
      </w:r>
      <w:r>
        <w:fldChar w:fldCharType="begin"/>
      </w:r>
      <w:r>
        <w:instrText xml:space="preserve"> HYPERLINK \l "_bookmark26" </w:instrText>
      </w:r>
      <w:r>
        <w:fldChar w:fldCharType="separate"/>
      </w:r>
      <w:r>
        <w:rPr>
          <w:b/>
          <w:color w:val="000000"/>
          <w:spacing w:val="-2"/>
          <w:position w:val="11"/>
          <w:sz w:val="10"/>
        </w:rPr>
        <w:t>29</w:t>
      </w:r>
      <w:r>
        <w:rPr>
          <w:b/>
          <w:color w:val="000000"/>
          <w:spacing w:val="-2"/>
          <w:position w:val="11"/>
          <w:sz w:val="10"/>
        </w:rPr>
        <w:fldChar w:fldCharType="end"/>
      </w:r>
      <w:r>
        <w:rPr>
          <w:color w:val="000000"/>
          <w:spacing w:val="-2"/>
          <w:sz w:val="21"/>
          <w:shd w:val="clear" w:color="auto" w:fill="E4E4E4"/>
        </w:rPr>
        <w:t>的</w:t>
      </w:r>
      <w:r>
        <w:rPr>
          <w:b/>
          <w:color w:val="000000"/>
          <w:spacing w:val="-2"/>
          <w:sz w:val="21"/>
          <w:shd w:val="clear" w:color="auto" w:fill="E4E4E4"/>
        </w:rPr>
        <w:t>机动车</w:t>
      </w:r>
      <w:r>
        <w:fldChar w:fldCharType="begin"/>
      </w:r>
      <w:r>
        <w:instrText xml:space="preserve"> HYPERLINK \l "_bookmark27" </w:instrText>
      </w:r>
      <w:r>
        <w:fldChar w:fldCharType="separate"/>
      </w:r>
      <w:r>
        <w:rPr>
          <w:b/>
          <w:color w:val="000000"/>
          <w:spacing w:val="-2"/>
          <w:position w:val="11"/>
          <w:sz w:val="10"/>
        </w:rPr>
        <w:t>30</w:t>
      </w:r>
      <w:r>
        <w:rPr>
          <w:b/>
          <w:color w:val="000000"/>
          <w:spacing w:val="-2"/>
          <w:position w:val="11"/>
          <w:sz w:val="10"/>
        </w:rPr>
        <w:fldChar w:fldCharType="end"/>
      </w:r>
      <w:r>
        <w:rPr>
          <w:color w:val="000000"/>
          <w:spacing w:val="-2"/>
          <w:sz w:val="21"/>
          <w:shd w:val="clear" w:color="auto" w:fill="E4E4E4"/>
        </w:rPr>
        <w:t>；</w:t>
      </w:r>
    </w:p>
    <w:p>
      <w:pPr>
        <w:pStyle w:val="9"/>
        <w:numPr>
          <w:ilvl w:val="0"/>
          <w:numId w:val="6"/>
        </w:numPr>
        <w:tabs>
          <w:tab w:val="left" w:pos="3741"/>
        </w:tabs>
        <w:spacing w:before="159" w:after="0" w:line="240" w:lineRule="auto"/>
        <w:ind w:left="3740" w:right="0" w:hanging="721"/>
        <w:jc w:val="left"/>
        <w:rPr>
          <w:sz w:val="21"/>
        </w:rPr>
      </w:pPr>
      <w:r>
        <w:rPr>
          <w:color w:val="000000"/>
          <w:spacing w:val="-1"/>
          <w:w w:val="95"/>
          <w:sz w:val="21"/>
          <w:shd w:val="clear" w:color="auto" w:fill="E4E4E4"/>
        </w:rPr>
        <w:t>核爆炸、核辐射或核污染；</w:t>
      </w:r>
    </w:p>
    <w:p>
      <w:pPr>
        <w:pStyle w:val="4"/>
        <w:spacing w:before="7"/>
        <w:rPr>
          <w:sz w:val="14"/>
        </w:rPr>
      </w:pPr>
    </w:p>
    <w:p>
      <w:pPr>
        <w:pStyle w:val="9"/>
        <w:numPr>
          <w:ilvl w:val="0"/>
          <w:numId w:val="6"/>
        </w:numPr>
        <w:tabs>
          <w:tab w:val="left" w:pos="3741"/>
        </w:tabs>
        <w:spacing w:before="0" w:after="0" w:line="240" w:lineRule="auto"/>
        <w:ind w:left="3740" w:right="0" w:hanging="721"/>
        <w:jc w:val="left"/>
        <w:rPr>
          <w:sz w:val="21"/>
        </w:rPr>
      </w:pPr>
      <w:r>
        <w:rPr>
          <w:b/>
          <w:color w:val="000000"/>
          <w:w w:val="95"/>
          <w:sz w:val="21"/>
          <w:shd w:val="clear" w:color="auto" w:fill="E4E4E4"/>
        </w:rPr>
        <w:t>战争</w:t>
      </w:r>
      <w:r>
        <w:fldChar w:fldCharType="begin"/>
      </w:r>
      <w:r>
        <w:instrText xml:space="preserve"> HYPERLINK \l "_bookmark28" </w:instrText>
      </w:r>
      <w:r>
        <w:fldChar w:fldCharType="separate"/>
      </w:r>
      <w:r>
        <w:rPr>
          <w:b/>
          <w:color w:val="000000"/>
          <w:w w:val="95"/>
          <w:position w:val="11"/>
          <w:sz w:val="10"/>
        </w:rPr>
        <w:t>31</w:t>
      </w:r>
      <w:r>
        <w:rPr>
          <w:b/>
          <w:color w:val="000000"/>
          <w:w w:val="95"/>
          <w:position w:val="11"/>
          <w:sz w:val="10"/>
        </w:rPr>
        <w:fldChar w:fldCharType="end"/>
      </w:r>
      <w:r>
        <w:rPr>
          <w:color w:val="000000"/>
          <w:w w:val="95"/>
          <w:sz w:val="21"/>
          <w:shd w:val="clear" w:color="auto" w:fill="E4E4E4"/>
        </w:rPr>
        <w:t>、</w:t>
      </w:r>
      <w:r>
        <w:rPr>
          <w:b/>
          <w:color w:val="000000"/>
          <w:w w:val="95"/>
          <w:sz w:val="21"/>
          <w:shd w:val="clear" w:color="auto" w:fill="E4E4E4"/>
        </w:rPr>
        <w:t>军事冲突</w:t>
      </w:r>
      <w:r>
        <w:fldChar w:fldCharType="begin"/>
      </w:r>
      <w:r>
        <w:instrText xml:space="preserve"> HYPERLINK \l "_bookmark29" </w:instrText>
      </w:r>
      <w:r>
        <w:fldChar w:fldCharType="separate"/>
      </w:r>
      <w:r>
        <w:rPr>
          <w:b/>
          <w:color w:val="000000"/>
          <w:w w:val="95"/>
          <w:position w:val="11"/>
          <w:sz w:val="10"/>
        </w:rPr>
        <w:t>32</w:t>
      </w:r>
      <w:r>
        <w:rPr>
          <w:b/>
          <w:color w:val="000000"/>
          <w:w w:val="95"/>
          <w:position w:val="11"/>
          <w:sz w:val="10"/>
        </w:rPr>
        <w:fldChar w:fldCharType="end"/>
      </w:r>
      <w:r>
        <w:rPr>
          <w:color w:val="000000"/>
          <w:w w:val="95"/>
          <w:sz w:val="21"/>
          <w:shd w:val="clear" w:color="auto" w:fill="E4E4E4"/>
        </w:rPr>
        <w:t>、</w:t>
      </w:r>
      <w:r>
        <w:rPr>
          <w:b/>
          <w:color w:val="000000"/>
          <w:w w:val="95"/>
          <w:sz w:val="21"/>
          <w:shd w:val="clear" w:color="auto" w:fill="E4E4E4"/>
        </w:rPr>
        <w:t>恐怖主义活动</w:t>
      </w:r>
      <w:r>
        <w:fldChar w:fldCharType="begin"/>
      </w:r>
      <w:r>
        <w:instrText xml:space="preserve"> HYPERLINK \l "_bookmark30" </w:instrText>
      </w:r>
      <w:r>
        <w:fldChar w:fldCharType="separate"/>
      </w:r>
      <w:r>
        <w:rPr>
          <w:b/>
          <w:color w:val="000000"/>
          <w:w w:val="95"/>
          <w:position w:val="11"/>
          <w:sz w:val="10"/>
        </w:rPr>
        <w:t>33</w:t>
      </w:r>
      <w:r>
        <w:rPr>
          <w:b/>
          <w:color w:val="000000"/>
          <w:w w:val="95"/>
          <w:position w:val="11"/>
          <w:sz w:val="10"/>
        </w:rPr>
        <w:fldChar w:fldCharType="end"/>
      </w:r>
      <w:r>
        <w:rPr>
          <w:color w:val="000000"/>
          <w:w w:val="95"/>
          <w:sz w:val="21"/>
          <w:shd w:val="clear" w:color="auto" w:fill="E4E4E4"/>
        </w:rPr>
        <w:t>、</w:t>
      </w:r>
      <w:r>
        <w:rPr>
          <w:b/>
          <w:color w:val="000000"/>
          <w:w w:val="95"/>
          <w:sz w:val="21"/>
          <w:shd w:val="clear" w:color="auto" w:fill="E4E4E4"/>
        </w:rPr>
        <w:t>暴乱</w:t>
      </w:r>
      <w:r>
        <w:fldChar w:fldCharType="begin"/>
      </w:r>
      <w:r>
        <w:instrText xml:space="preserve"> HYPERLINK \l "_bookmark31" </w:instrText>
      </w:r>
      <w:r>
        <w:fldChar w:fldCharType="separate"/>
      </w:r>
      <w:r>
        <w:rPr>
          <w:b/>
          <w:color w:val="000000"/>
          <w:w w:val="95"/>
          <w:position w:val="11"/>
          <w:sz w:val="10"/>
        </w:rPr>
        <w:t>34</w:t>
      </w:r>
      <w:r>
        <w:rPr>
          <w:b/>
          <w:color w:val="000000"/>
          <w:w w:val="95"/>
          <w:position w:val="11"/>
          <w:sz w:val="10"/>
        </w:rPr>
        <w:fldChar w:fldCharType="end"/>
      </w:r>
      <w:r>
        <w:rPr>
          <w:color w:val="000000"/>
          <w:spacing w:val="-2"/>
          <w:w w:val="95"/>
          <w:sz w:val="21"/>
          <w:shd w:val="clear" w:color="auto" w:fill="E4E4E4"/>
        </w:rPr>
        <w:t>或武装叛乱；</w:t>
      </w:r>
    </w:p>
    <w:p>
      <w:pPr>
        <w:pStyle w:val="9"/>
        <w:numPr>
          <w:ilvl w:val="0"/>
          <w:numId w:val="6"/>
        </w:numPr>
        <w:tabs>
          <w:tab w:val="left" w:pos="3741"/>
        </w:tabs>
        <w:spacing w:before="187" w:after="0" w:line="266" w:lineRule="auto"/>
        <w:ind w:left="3740" w:right="134" w:hanging="720"/>
        <w:jc w:val="left"/>
        <w:rPr>
          <w:sz w:val="21"/>
        </w:rPr>
      </w:pPr>
      <w:r>
        <w:rPr>
          <w:color w:val="000000"/>
          <w:spacing w:val="2"/>
          <w:w w:val="99"/>
          <w:sz w:val="21"/>
          <w:shd w:val="clear" w:color="auto" w:fill="E4E4E4"/>
        </w:rPr>
        <w:t>被保险人</w:t>
      </w:r>
      <w:r>
        <w:rPr>
          <w:b/>
          <w:color w:val="000000"/>
          <w:spacing w:val="2"/>
          <w:w w:val="99"/>
          <w:sz w:val="21"/>
          <w:shd w:val="clear" w:color="auto" w:fill="E4E4E4"/>
        </w:rPr>
        <w:t>感染病毒或患艾滋病</w:t>
      </w:r>
      <w:r>
        <w:fldChar w:fldCharType="begin"/>
      </w:r>
      <w:r>
        <w:instrText xml:space="preserve"> HYPERLINK \l "_bookmark32" </w:instrText>
      </w:r>
      <w:r>
        <w:fldChar w:fldCharType="separate"/>
      </w:r>
      <w:r>
        <w:rPr>
          <w:b/>
          <w:color w:val="000000"/>
          <w:spacing w:val="2"/>
          <w:w w:val="105"/>
          <w:position w:val="11"/>
          <w:sz w:val="10"/>
        </w:rPr>
        <w:t>3</w:t>
      </w:r>
      <w:r>
        <w:rPr>
          <w:b/>
          <w:color w:val="000000"/>
          <w:spacing w:val="-3"/>
          <w:w w:val="105"/>
          <w:position w:val="11"/>
          <w:sz w:val="10"/>
        </w:rPr>
        <w:t>5</w:t>
      </w:r>
      <w:r>
        <w:rPr>
          <w:b/>
          <w:color w:val="000000"/>
          <w:spacing w:val="-3"/>
          <w:w w:val="105"/>
          <w:position w:val="11"/>
          <w:sz w:val="10"/>
        </w:rPr>
        <w:fldChar w:fldCharType="end"/>
      </w:r>
      <w:r>
        <w:rPr>
          <w:color w:val="000000"/>
          <w:spacing w:val="2"/>
          <w:w w:val="99"/>
          <w:sz w:val="21"/>
          <w:shd w:val="clear" w:color="auto" w:fill="E4E4E4"/>
        </w:rPr>
        <w:t>（</w:t>
      </w:r>
      <w:r>
        <w:rPr>
          <w:color w:val="000000"/>
          <w:w w:val="99"/>
          <w:sz w:val="21"/>
          <w:shd w:val="clear" w:color="auto" w:fill="E4E4E4"/>
        </w:rPr>
        <w:t xml:space="preserve">但符合本合同“器官移植导致的人类                                                                                                                          </w:t>
      </w:r>
      <w:r>
        <w:rPr>
          <w:color w:val="000000"/>
          <w:spacing w:val="-1"/>
          <w:w w:val="99"/>
          <w:sz w:val="21"/>
          <w:shd w:val="clear" w:color="auto" w:fill="E4E4E4"/>
        </w:rPr>
        <w:t>免疫缺陷病毒</w:t>
      </w:r>
      <w:r>
        <w:rPr>
          <w:color w:val="000000"/>
          <w:spacing w:val="2"/>
          <w:w w:val="99"/>
          <w:sz w:val="21"/>
          <w:shd w:val="clear" w:color="auto" w:fill="E4E4E4"/>
        </w:rPr>
        <w:t>（</w:t>
      </w:r>
      <w:r>
        <w:rPr>
          <w:color w:val="000000"/>
          <w:spacing w:val="1"/>
          <w:w w:val="99"/>
          <w:sz w:val="21"/>
          <w:shd w:val="clear" w:color="auto" w:fill="E4E4E4"/>
        </w:rPr>
        <w:t>HI</w:t>
      </w:r>
      <w:r>
        <w:rPr>
          <w:color w:val="000000"/>
          <w:spacing w:val="-2"/>
          <w:w w:val="99"/>
          <w:sz w:val="21"/>
          <w:shd w:val="clear" w:color="auto" w:fill="E4E4E4"/>
        </w:rPr>
        <w:t>V</w:t>
      </w:r>
      <w:r>
        <w:rPr>
          <w:color w:val="000000"/>
          <w:spacing w:val="-1"/>
          <w:w w:val="99"/>
          <w:sz w:val="21"/>
          <w:shd w:val="clear" w:color="auto" w:fill="E4E4E4"/>
        </w:rPr>
        <w:t>）</w:t>
      </w:r>
      <w:r>
        <w:rPr>
          <w:color w:val="000000"/>
          <w:spacing w:val="-15"/>
          <w:w w:val="99"/>
          <w:sz w:val="21"/>
          <w:shd w:val="clear" w:color="auto" w:fill="E4E4E4"/>
        </w:rPr>
        <w:t>感染”、“经输血导致的人类免疫缺陷病毒</w:t>
      </w:r>
      <w:r>
        <w:rPr>
          <w:color w:val="000000"/>
          <w:spacing w:val="-1"/>
          <w:w w:val="99"/>
          <w:sz w:val="21"/>
          <w:shd w:val="clear" w:color="auto" w:fill="E4E4E4"/>
        </w:rPr>
        <w:t>（</w:t>
      </w:r>
      <w:r>
        <w:rPr>
          <w:color w:val="000000"/>
          <w:spacing w:val="1"/>
          <w:w w:val="99"/>
          <w:sz w:val="21"/>
          <w:shd w:val="clear" w:color="auto" w:fill="E4E4E4"/>
        </w:rPr>
        <w:t>HI</w:t>
      </w:r>
      <w:r>
        <w:rPr>
          <w:color w:val="000000"/>
          <w:spacing w:val="-2"/>
          <w:w w:val="99"/>
          <w:sz w:val="21"/>
          <w:shd w:val="clear" w:color="auto" w:fill="E4E4E4"/>
        </w:rPr>
        <w:t>V</w:t>
      </w:r>
      <w:r>
        <w:rPr>
          <w:color w:val="000000"/>
          <w:w w:val="99"/>
          <w:sz w:val="21"/>
          <w:shd w:val="clear" w:color="auto" w:fill="E4E4E4"/>
        </w:rPr>
        <w:t>）</w:t>
      </w:r>
      <w:r>
        <w:rPr>
          <w:color w:val="000000"/>
          <w:spacing w:val="1"/>
          <w:w w:val="99"/>
          <w:sz w:val="21"/>
          <w:shd w:val="clear" w:color="auto" w:fill="E4E4E4"/>
        </w:rPr>
        <w:t>感染”及“特定职业导致的人类免疫缺陷病毒</w:t>
      </w:r>
      <w:r>
        <w:rPr>
          <w:color w:val="000000"/>
          <w:spacing w:val="2"/>
          <w:w w:val="99"/>
          <w:sz w:val="21"/>
          <w:shd w:val="clear" w:color="auto" w:fill="E4E4E4"/>
        </w:rPr>
        <w:t>（</w:t>
      </w:r>
      <w:r>
        <w:rPr>
          <w:color w:val="000000"/>
          <w:spacing w:val="1"/>
          <w:w w:val="99"/>
          <w:sz w:val="21"/>
          <w:shd w:val="clear" w:color="auto" w:fill="E4E4E4"/>
        </w:rPr>
        <w:t>HI</w:t>
      </w:r>
      <w:r>
        <w:rPr>
          <w:color w:val="000000"/>
          <w:spacing w:val="-2"/>
          <w:w w:val="99"/>
          <w:sz w:val="21"/>
          <w:shd w:val="clear" w:color="auto" w:fill="E4E4E4"/>
        </w:rPr>
        <w:t>V</w:t>
      </w:r>
      <w:r>
        <w:rPr>
          <w:color w:val="000000"/>
          <w:spacing w:val="2"/>
          <w:w w:val="99"/>
          <w:sz w:val="21"/>
          <w:shd w:val="clear" w:color="auto" w:fill="E4E4E4"/>
        </w:rPr>
        <w:t>）</w:t>
      </w:r>
      <w:r>
        <w:rPr>
          <w:color w:val="000000"/>
          <w:spacing w:val="1"/>
          <w:w w:val="99"/>
          <w:sz w:val="21"/>
          <w:shd w:val="clear" w:color="auto" w:fill="E4E4E4"/>
        </w:rPr>
        <w:t>感染”定义的不</w:t>
      </w:r>
      <w:r>
        <w:rPr>
          <w:color w:val="000000"/>
          <w:w w:val="99"/>
          <w:sz w:val="21"/>
          <w:shd w:val="clear" w:color="auto" w:fill="E4E4E4"/>
        </w:rPr>
        <w:t>在此限</w:t>
      </w:r>
      <w:r>
        <w:rPr>
          <w:color w:val="000000"/>
          <w:spacing w:val="-104"/>
          <w:w w:val="99"/>
          <w:sz w:val="21"/>
          <w:shd w:val="clear" w:color="auto" w:fill="E4E4E4"/>
        </w:rPr>
        <w:t>）</w:t>
      </w:r>
      <w:r>
        <w:rPr>
          <w:color w:val="000000"/>
          <w:w w:val="99"/>
          <w:sz w:val="21"/>
          <w:shd w:val="clear" w:color="auto" w:fill="E4E4E4"/>
        </w:rPr>
        <w:t>。</w:t>
      </w:r>
    </w:p>
    <w:p>
      <w:pPr>
        <w:pStyle w:val="4"/>
        <w:spacing w:before="162" w:line="266" w:lineRule="auto"/>
        <w:ind w:left="3020" w:right="203"/>
        <w:jc w:val="both"/>
      </w:pPr>
      <w:r>
        <w:rPr>
          <w:color w:val="000000"/>
          <w:spacing w:val="-5"/>
          <w:w w:val="99"/>
          <w:shd w:val="clear" w:color="auto" w:fill="E4E4E4"/>
        </w:rPr>
        <w:t>发生上述第</w:t>
      </w:r>
      <w:r>
        <w:rPr>
          <w:color w:val="000000"/>
          <w:spacing w:val="-1"/>
          <w:w w:val="99"/>
          <w:shd w:val="clear" w:color="auto" w:fill="E4E4E4"/>
        </w:rPr>
        <w:t>（</w:t>
      </w:r>
      <w:r>
        <w:rPr>
          <w:color w:val="000000"/>
          <w:spacing w:val="1"/>
          <w:w w:val="99"/>
          <w:shd w:val="clear" w:color="auto" w:fill="E4E4E4"/>
        </w:rPr>
        <w:t>1</w:t>
      </w:r>
      <w:r>
        <w:rPr>
          <w:color w:val="000000"/>
          <w:spacing w:val="-22"/>
          <w:w w:val="99"/>
          <w:shd w:val="clear" w:color="auto" w:fill="E4E4E4"/>
        </w:rPr>
        <w:t>）</w:t>
      </w:r>
      <w:r>
        <w:rPr>
          <w:color w:val="000000"/>
          <w:spacing w:val="-4"/>
          <w:w w:val="99"/>
          <w:shd w:val="clear" w:color="auto" w:fill="E4E4E4"/>
        </w:rPr>
        <w:t>项情形导致被保险人身故的，本合同终止，已交足</w:t>
      </w:r>
      <w:r>
        <w:rPr>
          <w:color w:val="000000"/>
          <w:spacing w:val="-53"/>
          <w:shd w:val="clear" w:color="auto" w:fill="E4E4E4"/>
        </w:rPr>
        <w:t xml:space="preserve"> </w:t>
      </w:r>
      <w:r>
        <w:rPr>
          <w:color w:val="000000"/>
          <w:w w:val="99"/>
          <w:shd w:val="clear" w:color="auto" w:fill="E4E4E4"/>
        </w:rPr>
        <w:t>2</w:t>
      </w:r>
      <w:r>
        <w:rPr>
          <w:color w:val="000000"/>
          <w:spacing w:val="-52"/>
          <w:shd w:val="clear" w:color="auto" w:fill="E4E4E4"/>
        </w:rPr>
        <w:t xml:space="preserve"> </w:t>
      </w:r>
      <w:r>
        <w:rPr>
          <w:color w:val="000000"/>
          <w:w w:val="99"/>
          <w:shd w:val="clear" w:color="auto" w:fill="E4E4E4"/>
        </w:rPr>
        <w:t xml:space="preserve">年以上保                                                                                                                                      </w:t>
      </w:r>
      <w:r>
        <w:rPr>
          <w:color w:val="000000"/>
          <w:spacing w:val="-1"/>
          <w:w w:val="99"/>
          <w:shd w:val="clear" w:color="auto" w:fill="E4E4E4"/>
        </w:rPr>
        <w:t>费的，本公司向被保险人的相关权利人退还与该被保险人对应的现金价值；发生上述其他情形导致被保险人身故的，本合同终止，本公司向投保人退还与该被保险人对应的现金价值。</w:t>
      </w:r>
    </w:p>
    <w:p>
      <w:pPr>
        <w:pStyle w:val="4"/>
        <w:spacing w:before="7"/>
        <w:rPr>
          <w:sz w:val="18"/>
        </w:rPr>
      </w:pPr>
    </w:p>
    <w:p>
      <w:pPr>
        <w:spacing w:after="0"/>
        <w:rPr>
          <w:sz w:val="18"/>
        </w:rPr>
        <w:sectPr>
          <w:pgSz w:w="11910" w:h="16840"/>
          <w:pgMar w:top="1400" w:right="660" w:bottom="860" w:left="860" w:header="0" w:footer="662" w:gutter="0"/>
          <w:cols w:space="720" w:num="1"/>
        </w:sectPr>
      </w:pPr>
    </w:p>
    <w:p>
      <w:pPr>
        <w:pStyle w:val="3"/>
        <w:numPr>
          <w:ilvl w:val="2"/>
          <w:numId w:val="2"/>
        </w:numPr>
        <w:tabs>
          <w:tab w:val="left" w:pos="1322"/>
        </w:tabs>
        <w:spacing w:before="70" w:after="0" w:line="278" w:lineRule="auto"/>
        <w:ind w:left="1321" w:right="38" w:hanging="1102"/>
        <w:jc w:val="both"/>
      </w:pPr>
      <w:r>
        <w:rPr>
          <w:spacing w:val="-2"/>
        </w:rPr>
        <w:t>除身故保险金外其他保险金</w:t>
      </w:r>
      <w:r>
        <w:rPr>
          <w:spacing w:val="-4"/>
        </w:rPr>
        <w:t>责任免除</w:t>
      </w:r>
    </w:p>
    <w:p>
      <w:pPr>
        <w:pStyle w:val="4"/>
        <w:spacing w:before="79" w:line="266" w:lineRule="auto"/>
        <w:ind w:left="220" w:right="208"/>
      </w:pPr>
      <w:r>
        <w:br w:type="column"/>
      </w:r>
      <w:r>
        <w:rPr>
          <w:color w:val="000000"/>
          <w:spacing w:val="-2"/>
          <w:w w:val="95"/>
          <w:shd w:val="clear" w:color="auto" w:fill="E4E4E4"/>
        </w:rPr>
        <w:t>因下列任何情形直接或间接导致被保险人发生除身故以外其他保险事故的，本</w:t>
      </w:r>
      <w:r>
        <w:rPr>
          <w:color w:val="000000"/>
          <w:spacing w:val="80"/>
          <w:w w:val="150"/>
          <w:shd w:val="clear" w:color="auto" w:fill="E4E4E4"/>
        </w:rPr>
        <w:t xml:space="preserve">                                       </w:t>
      </w:r>
      <w:r>
        <w:rPr>
          <w:color w:val="000000"/>
          <w:spacing w:val="-2"/>
          <w:shd w:val="clear" w:color="auto" w:fill="E4E4E4"/>
        </w:rPr>
        <w:t>公司不承担给付保险金或豁免保险费的责任：</w:t>
      </w:r>
    </w:p>
    <w:p>
      <w:pPr>
        <w:pStyle w:val="9"/>
        <w:numPr>
          <w:ilvl w:val="0"/>
          <w:numId w:val="7"/>
        </w:numPr>
        <w:tabs>
          <w:tab w:val="left" w:pos="940"/>
        </w:tabs>
        <w:spacing w:before="159" w:after="0" w:line="240" w:lineRule="auto"/>
        <w:ind w:left="940" w:right="0" w:hanging="720"/>
        <w:jc w:val="left"/>
        <w:rPr>
          <w:sz w:val="21"/>
        </w:rPr>
      </w:pPr>
      <w:r>
        <w:rPr>
          <w:color w:val="000000"/>
          <w:spacing w:val="-1"/>
          <w:w w:val="95"/>
          <w:sz w:val="21"/>
          <w:shd w:val="clear" w:color="auto" w:fill="E4E4E4"/>
        </w:rPr>
        <w:t>投保人对被保险人故意杀害或故意伤害；</w:t>
      </w:r>
    </w:p>
    <w:p>
      <w:pPr>
        <w:spacing w:after="0" w:line="240" w:lineRule="auto"/>
        <w:jc w:val="left"/>
        <w:rPr>
          <w:sz w:val="21"/>
        </w:rPr>
        <w:sectPr>
          <w:type w:val="continuous"/>
          <w:pgSz w:w="11910" w:h="16840"/>
          <w:pgMar w:top="480" w:right="660" w:bottom="280" w:left="860" w:header="0" w:footer="662" w:gutter="0"/>
          <w:cols w:equalWidth="0" w:num="2">
            <w:col w:w="2625" w:space="176"/>
            <w:col w:w="7589"/>
          </w:cols>
        </w:sectPr>
      </w:pPr>
    </w:p>
    <w:p>
      <w:pPr>
        <w:pStyle w:val="4"/>
        <w:rPr>
          <w:sz w:val="20"/>
        </w:rPr>
      </w:pPr>
    </w:p>
    <w:p>
      <w:pPr>
        <w:pStyle w:val="4"/>
        <w:spacing w:before="9"/>
        <w:rPr>
          <w:sz w:val="18"/>
        </w:rPr>
      </w:pPr>
    </w:p>
    <w:p>
      <w:pPr>
        <w:spacing w:before="91"/>
        <w:ind w:left="220" w:right="0" w:firstLine="0"/>
        <w:jc w:val="left"/>
        <w:rPr>
          <w:rFonts w:ascii="楷体" w:eastAsia="楷体"/>
          <w:sz w:val="18"/>
        </w:rPr>
      </w:pPr>
      <w:r>
        <w:rPr>
          <w:b/>
          <w:w w:val="95"/>
          <w:position w:val="9"/>
          <w:sz w:val="9"/>
        </w:rPr>
        <w:t>2</w:t>
      </w:r>
      <w:bookmarkStart w:id="23" w:name="_bookmark23"/>
      <w:bookmarkEnd w:id="23"/>
      <w:r>
        <w:rPr>
          <w:b/>
          <w:w w:val="95"/>
          <w:position w:val="9"/>
          <w:sz w:val="9"/>
        </w:rPr>
        <w:t>6</w:t>
      </w:r>
      <w:r>
        <w:rPr>
          <w:rFonts w:hint="eastAsia" w:ascii="楷体" w:eastAsia="楷体"/>
          <w:b/>
          <w:w w:val="95"/>
          <w:sz w:val="18"/>
        </w:rPr>
        <w:t>毒品</w:t>
      </w:r>
      <w:r>
        <w:rPr>
          <w:rFonts w:ascii="楷体" w:eastAsia="楷体"/>
          <w:w w:val="95"/>
          <w:sz w:val="18"/>
        </w:rPr>
        <w:t>：指中华人民共和国刑法规定的鸦片、海洛因、甲基苯丙胺（冰毒</w:t>
      </w:r>
      <w:r>
        <w:rPr>
          <w:rFonts w:ascii="楷体" w:eastAsia="楷体"/>
          <w:spacing w:val="-89"/>
          <w:w w:val="95"/>
          <w:sz w:val="18"/>
        </w:rPr>
        <w:t>）</w:t>
      </w:r>
      <w:r>
        <w:rPr>
          <w:rFonts w:ascii="楷体" w:eastAsia="楷体"/>
          <w:w w:val="95"/>
          <w:sz w:val="18"/>
        </w:rPr>
        <w:t>、吗啡、大麻、可卡因以及国家规定管制的其他</w:t>
      </w:r>
      <w:r>
        <w:rPr>
          <w:rFonts w:ascii="楷体" w:eastAsia="楷体"/>
          <w:spacing w:val="-10"/>
          <w:w w:val="95"/>
          <w:sz w:val="18"/>
        </w:rPr>
        <w:t>能</w:t>
      </w:r>
    </w:p>
    <w:p>
      <w:pPr>
        <w:spacing w:before="2"/>
        <w:ind w:left="22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2"/>
        <w:ind w:left="220" w:right="0" w:firstLine="0"/>
        <w:jc w:val="left"/>
        <w:rPr>
          <w:rFonts w:ascii="楷体" w:eastAsia="楷体"/>
          <w:sz w:val="18"/>
        </w:rPr>
      </w:pPr>
      <w:r>
        <w:rPr>
          <w:b/>
          <w:w w:val="95"/>
          <w:position w:val="9"/>
          <w:sz w:val="9"/>
        </w:rPr>
        <w:t>2</w:t>
      </w:r>
      <w:bookmarkStart w:id="24" w:name="_bookmark24"/>
      <w:bookmarkEnd w:id="24"/>
      <w:r>
        <w:rPr>
          <w:b/>
          <w:w w:val="95"/>
          <w:position w:val="9"/>
          <w:sz w:val="9"/>
        </w:rPr>
        <w:t>7</w:t>
      </w:r>
      <w:r>
        <w:rPr>
          <w:rFonts w:hint="eastAsia" w:ascii="楷体" w:eastAsia="楷体"/>
          <w:b/>
          <w:w w:val="95"/>
          <w:sz w:val="18"/>
        </w:rPr>
        <w:t>酒后驾驶</w:t>
      </w:r>
      <w:r>
        <w:rPr>
          <w:rFonts w:ascii="楷体" w:eastAsia="楷体"/>
          <w:w w:val="95"/>
          <w:sz w:val="18"/>
        </w:rPr>
        <w:t>：指经检测或鉴定，发生事故时车辆驾驶人员每百毫升血液中的酒精含量达到或超过一定的标准，公安机关交通</w:t>
      </w:r>
      <w:r>
        <w:rPr>
          <w:rFonts w:ascii="楷体" w:eastAsia="楷体"/>
          <w:spacing w:val="-10"/>
          <w:w w:val="95"/>
          <w:sz w:val="18"/>
        </w:rPr>
        <w:t>管</w:t>
      </w:r>
    </w:p>
    <w:p>
      <w:pPr>
        <w:spacing w:before="2"/>
        <w:ind w:left="22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5"/>
        <w:ind w:left="220" w:right="0" w:firstLine="0"/>
        <w:jc w:val="left"/>
        <w:rPr>
          <w:rFonts w:ascii="楷体" w:eastAsia="楷体"/>
          <w:sz w:val="18"/>
        </w:rPr>
      </w:pPr>
      <w:r>
        <w:rPr>
          <w:b/>
          <w:w w:val="95"/>
          <w:position w:val="9"/>
          <w:sz w:val="9"/>
        </w:rPr>
        <w:t>2</w:t>
      </w:r>
      <w:bookmarkStart w:id="25" w:name="_bookmark25"/>
      <w:bookmarkEnd w:id="25"/>
      <w:r>
        <w:rPr>
          <w:b/>
          <w:w w:val="95"/>
          <w:position w:val="9"/>
          <w:sz w:val="9"/>
        </w:rPr>
        <w:t>8</w:t>
      </w:r>
      <w:r>
        <w:rPr>
          <w:rFonts w:hint="eastAsia" w:ascii="楷体" w:eastAsia="楷体"/>
          <w:b/>
          <w:w w:val="95"/>
          <w:sz w:val="18"/>
        </w:rPr>
        <w:t>无合法有效驾驶证驾驶</w:t>
      </w:r>
      <w:r>
        <w:rPr>
          <w:rFonts w:ascii="楷体" w:eastAsia="楷体"/>
          <w:w w:val="95"/>
          <w:sz w:val="18"/>
        </w:rPr>
        <w:t>：指下列任何驾驶情形：（1）没有取得驾驶资格；（2）驾驶与驾驶证准驾车型不相符合的车</w:t>
      </w:r>
      <w:r>
        <w:rPr>
          <w:rFonts w:ascii="楷体" w:eastAsia="楷体"/>
          <w:spacing w:val="-2"/>
          <w:w w:val="95"/>
          <w:sz w:val="18"/>
        </w:rPr>
        <w:t>辆；</w:t>
      </w:r>
      <w:r>
        <w:rPr>
          <w:rFonts w:ascii="楷体" w:eastAsia="楷体"/>
          <w:spacing w:val="-4"/>
          <w:w w:val="95"/>
          <w:sz w:val="18"/>
        </w:rPr>
        <w:t>（3）</w:t>
      </w:r>
    </w:p>
    <w:p>
      <w:pPr>
        <w:spacing w:before="2"/>
        <w:ind w:left="220" w:right="0" w:firstLine="0"/>
        <w:jc w:val="left"/>
        <w:rPr>
          <w:rFonts w:ascii="楷体" w:eastAsia="楷体"/>
          <w:sz w:val="18"/>
        </w:rPr>
      </w:pPr>
      <w:r>
        <w:rPr>
          <w:rFonts w:ascii="楷体" w:eastAsia="楷体"/>
          <w:spacing w:val="-2"/>
          <w:sz w:val="18"/>
        </w:rPr>
        <w:t>持审验不合格的驾驶证驾驶；（4）</w:t>
      </w:r>
      <w:r>
        <w:rPr>
          <w:rFonts w:ascii="楷体" w:eastAsia="楷体"/>
          <w:spacing w:val="-3"/>
          <w:sz w:val="18"/>
        </w:rPr>
        <w:t>持学习驾驶证学习驾车时，无教练员随车指导，或不按指定时间、路线学习驾车。</w:t>
      </w:r>
    </w:p>
    <w:p>
      <w:pPr>
        <w:spacing w:before="2"/>
        <w:ind w:left="217" w:right="0" w:firstLine="0"/>
        <w:jc w:val="left"/>
        <w:rPr>
          <w:rFonts w:ascii="楷体" w:eastAsia="楷体"/>
          <w:sz w:val="18"/>
        </w:rPr>
      </w:pPr>
      <w:r>
        <w:rPr>
          <w:b/>
          <w:w w:val="95"/>
          <w:position w:val="9"/>
          <w:sz w:val="9"/>
        </w:rPr>
        <w:t>29</w:t>
      </w:r>
      <w:bookmarkStart w:id="26" w:name="_bookmark26"/>
      <w:bookmarkEnd w:id="26"/>
      <w:r>
        <w:rPr>
          <w:rFonts w:hint="eastAsia" w:ascii="楷体" w:eastAsia="楷体"/>
          <w:b/>
          <w:w w:val="95"/>
          <w:sz w:val="18"/>
        </w:rPr>
        <w:t>无合法有效行驶证</w:t>
      </w:r>
      <w:r>
        <w:rPr>
          <w:rFonts w:ascii="楷体" w:eastAsia="楷体"/>
          <w:w w:val="95"/>
          <w:sz w:val="18"/>
        </w:rPr>
        <w:t>：指下列任何情</w:t>
      </w:r>
      <w:r>
        <w:rPr>
          <w:rFonts w:ascii="楷体" w:eastAsia="楷体"/>
          <w:spacing w:val="-36"/>
          <w:w w:val="95"/>
          <w:sz w:val="18"/>
        </w:rPr>
        <w:t>形：</w:t>
      </w:r>
      <w:r>
        <w:rPr>
          <w:rFonts w:ascii="楷体" w:eastAsia="楷体"/>
          <w:spacing w:val="24"/>
          <w:w w:val="95"/>
          <w:sz w:val="18"/>
        </w:rPr>
        <w:t>（</w:t>
      </w:r>
      <w:r>
        <w:rPr>
          <w:rFonts w:ascii="楷体" w:eastAsia="楷体"/>
          <w:spacing w:val="28"/>
          <w:w w:val="95"/>
          <w:sz w:val="18"/>
        </w:rPr>
        <w:t>1</w:t>
      </w:r>
      <w:r>
        <w:rPr>
          <w:rFonts w:ascii="楷体" w:eastAsia="楷体"/>
          <w:spacing w:val="17"/>
          <w:w w:val="95"/>
          <w:sz w:val="18"/>
        </w:rPr>
        <w:t>）</w:t>
      </w:r>
      <w:r>
        <w:rPr>
          <w:rFonts w:ascii="楷体" w:eastAsia="楷体"/>
          <w:w w:val="95"/>
          <w:sz w:val="18"/>
        </w:rPr>
        <w:t>未取得行驶证</w:t>
      </w:r>
      <w:r>
        <w:rPr>
          <w:rFonts w:ascii="楷体" w:eastAsia="楷体"/>
          <w:spacing w:val="-72"/>
          <w:w w:val="95"/>
          <w:sz w:val="18"/>
        </w:rPr>
        <w:t>；</w:t>
      </w:r>
      <w:r>
        <w:rPr>
          <w:rFonts w:ascii="楷体" w:eastAsia="楷体"/>
          <w:spacing w:val="27"/>
          <w:w w:val="95"/>
          <w:sz w:val="18"/>
        </w:rPr>
        <w:t>（</w:t>
      </w:r>
      <w:r>
        <w:rPr>
          <w:rFonts w:ascii="楷体" w:eastAsia="楷体"/>
          <w:spacing w:val="28"/>
          <w:w w:val="95"/>
          <w:sz w:val="18"/>
        </w:rPr>
        <w:t>2</w:t>
      </w:r>
      <w:r>
        <w:rPr>
          <w:rFonts w:ascii="楷体" w:eastAsia="楷体"/>
          <w:spacing w:val="15"/>
          <w:w w:val="95"/>
          <w:sz w:val="18"/>
        </w:rPr>
        <w:t>）</w:t>
      </w:r>
      <w:r>
        <w:rPr>
          <w:rFonts w:ascii="楷体" w:eastAsia="楷体"/>
          <w:w w:val="95"/>
          <w:sz w:val="18"/>
        </w:rPr>
        <w:t>机动车被依法注销登记的；（3）未依法按时进行或通过机</w:t>
      </w:r>
      <w:r>
        <w:rPr>
          <w:rFonts w:ascii="楷体" w:eastAsia="楷体"/>
          <w:spacing w:val="-10"/>
          <w:w w:val="95"/>
          <w:sz w:val="18"/>
        </w:rPr>
        <w:t>动</w:t>
      </w:r>
    </w:p>
    <w:p>
      <w:pPr>
        <w:spacing w:before="5"/>
        <w:ind w:left="220" w:right="0" w:firstLine="0"/>
        <w:jc w:val="left"/>
        <w:rPr>
          <w:rFonts w:ascii="楷体" w:eastAsia="楷体"/>
          <w:sz w:val="18"/>
        </w:rPr>
      </w:pPr>
      <w:r>
        <w:rPr>
          <w:rFonts w:ascii="楷体" w:eastAsia="楷体"/>
          <w:spacing w:val="-2"/>
          <w:sz w:val="18"/>
        </w:rPr>
        <w:t>车安全技术检验。</w:t>
      </w:r>
    </w:p>
    <w:p>
      <w:pPr>
        <w:spacing w:before="2"/>
        <w:ind w:left="220" w:right="0" w:firstLine="0"/>
        <w:jc w:val="left"/>
        <w:rPr>
          <w:rFonts w:ascii="楷体" w:eastAsia="楷体"/>
          <w:sz w:val="18"/>
        </w:rPr>
      </w:pPr>
      <w:r>
        <w:rPr>
          <w:b/>
          <w:w w:val="95"/>
          <w:position w:val="9"/>
          <w:sz w:val="9"/>
        </w:rPr>
        <w:t>3</w:t>
      </w:r>
      <w:bookmarkStart w:id="27" w:name="_bookmark27"/>
      <w:bookmarkEnd w:id="27"/>
      <w:r>
        <w:rPr>
          <w:b/>
          <w:w w:val="95"/>
          <w:position w:val="9"/>
          <w:sz w:val="9"/>
        </w:rPr>
        <w:t>0</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before="2"/>
        <w:ind w:left="220" w:right="0" w:firstLine="0"/>
        <w:jc w:val="left"/>
        <w:rPr>
          <w:rFonts w:ascii="楷体" w:eastAsia="楷体"/>
          <w:sz w:val="18"/>
        </w:rPr>
      </w:pPr>
      <w:r>
        <w:rPr>
          <w:b/>
          <w:w w:val="95"/>
          <w:position w:val="9"/>
          <w:sz w:val="9"/>
        </w:rPr>
        <w:t>3</w:t>
      </w:r>
      <w:bookmarkStart w:id="28" w:name="_bookmark28"/>
      <w:bookmarkEnd w:id="28"/>
      <w:r>
        <w:rPr>
          <w:b/>
          <w:w w:val="95"/>
          <w:position w:val="9"/>
          <w:sz w:val="9"/>
        </w:rPr>
        <w:t>1</w:t>
      </w:r>
      <w:r>
        <w:rPr>
          <w:rFonts w:hint="eastAsia" w:ascii="楷体" w:eastAsia="楷体"/>
          <w:b/>
          <w:w w:val="95"/>
          <w:sz w:val="18"/>
        </w:rPr>
        <w:t>战争</w:t>
      </w:r>
      <w:r>
        <w:rPr>
          <w:rFonts w:ascii="楷体" w:eastAsia="楷体"/>
          <w:w w:val="95"/>
          <w:sz w:val="18"/>
        </w:rPr>
        <w:t>：指国家与国家、民族与民族、政治集团与政治集团之间为了一定的政治、经济目的而进行的武装斗争，以政府宣布</w:t>
      </w:r>
      <w:r>
        <w:rPr>
          <w:rFonts w:ascii="楷体" w:eastAsia="楷体"/>
          <w:spacing w:val="-10"/>
          <w:w w:val="95"/>
          <w:sz w:val="18"/>
        </w:rPr>
        <w:t>为</w:t>
      </w:r>
    </w:p>
    <w:p>
      <w:pPr>
        <w:spacing w:before="2"/>
        <w:ind w:left="220" w:right="0" w:firstLine="0"/>
        <w:jc w:val="left"/>
        <w:rPr>
          <w:rFonts w:ascii="楷体" w:eastAsia="楷体"/>
          <w:sz w:val="18"/>
        </w:rPr>
      </w:pPr>
      <w:r>
        <w:rPr>
          <w:rFonts w:ascii="楷体" w:eastAsia="楷体"/>
          <w:spacing w:val="-5"/>
          <w:sz w:val="18"/>
        </w:rPr>
        <w:t>准。</w:t>
      </w:r>
    </w:p>
    <w:p>
      <w:pPr>
        <w:spacing w:before="5"/>
        <w:ind w:left="220" w:right="0" w:firstLine="0"/>
        <w:jc w:val="left"/>
        <w:rPr>
          <w:rFonts w:ascii="楷体" w:eastAsia="楷体"/>
          <w:sz w:val="18"/>
        </w:rPr>
      </w:pPr>
      <w:r>
        <w:rPr>
          <w:b/>
          <w:w w:val="95"/>
          <w:position w:val="9"/>
          <w:sz w:val="9"/>
        </w:rPr>
        <w:t>3</w:t>
      </w:r>
      <w:bookmarkStart w:id="29" w:name="_bookmark29"/>
      <w:bookmarkEnd w:id="29"/>
      <w:r>
        <w:rPr>
          <w:b/>
          <w:w w:val="95"/>
          <w:position w:val="9"/>
          <w:sz w:val="9"/>
        </w:rPr>
        <w:t>2</w:t>
      </w:r>
      <w:r>
        <w:rPr>
          <w:rFonts w:hint="eastAsia" w:ascii="楷体" w:eastAsia="楷体"/>
          <w:b/>
          <w:w w:val="95"/>
          <w:sz w:val="18"/>
        </w:rPr>
        <w:t>军事冲突</w:t>
      </w:r>
      <w:r>
        <w:rPr>
          <w:rFonts w:ascii="楷体" w:eastAsia="楷体"/>
          <w:w w:val="95"/>
          <w:sz w:val="18"/>
        </w:rPr>
        <w:t>：指国家或民族之间在一定范围内的武装对抗，以政府宣布为准</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3</w:t>
      </w:r>
      <w:bookmarkStart w:id="30" w:name="_bookmark30"/>
      <w:bookmarkEnd w:id="30"/>
      <w:r>
        <w:rPr>
          <w:rFonts w:ascii="楷体" w:eastAsia="楷体"/>
          <w:w w:val="95"/>
          <w:position w:val="9"/>
          <w:sz w:val="9"/>
        </w:rPr>
        <w:t>3</w:t>
      </w:r>
      <w:r>
        <w:rPr>
          <w:rFonts w:ascii="楷体" w:eastAsia="楷体"/>
          <w:w w:val="95"/>
          <w:sz w:val="18"/>
        </w:rPr>
        <w:t>恐怖主义活动：指以制造社会恐慌、危害公共安全或胁迫国家机关、国际组织为目的，采取暴力、破坏、恐吓等手段，造</w:t>
      </w:r>
      <w:r>
        <w:rPr>
          <w:rFonts w:ascii="楷体" w:eastAsia="楷体"/>
          <w:spacing w:val="-10"/>
          <w:w w:val="95"/>
          <w:sz w:val="18"/>
        </w:rPr>
        <w:t>成</w:t>
      </w:r>
    </w:p>
    <w:p>
      <w:pPr>
        <w:spacing w:before="2" w:line="242" w:lineRule="auto"/>
        <w:ind w:left="220" w:right="417" w:firstLine="0"/>
        <w:jc w:val="left"/>
        <w:rPr>
          <w:rFonts w:ascii="楷体" w:eastAsia="楷体"/>
          <w:sz w:val="18"/>
        </w:rPr>
      </w:pPr>
      <w:r>
        <w:rPr>
          <w:rFonts w:ascii="楷体" w:eastAsia="楷体"/>
          <w:spacing w:val="-2"/>
          <w:sz w:val="18"/>
        </w:rPr>
        <w:t>或意图造成人员伤亡、重大财产损失、公共设施损坏、社会秩序混乱等严重社会危害的行为，以及煽动、资助或以其他方式协助实施上述活动的行为。</w:t>
      </w:r>
    </w:p>
    <w:p>
      <w:pPr>
        <w:spacing w:before="0" w:line="230" w:lineRule="exact"/>
        <w:ind w:left="220" w:right="0" w:firstLine="0"/>
        <w:jc w:val="left"/>
        <w:rPr>
          <w:rFonts w:ascii="楷体" w:eastAsia="楷体"/>
          <w:sz w:val="18"/>
        </w:rPr>
      </w:pPr>
      <w:r>
        <w:rPr>
          <w:b/>
          <w:w w:val="95"/>
          <w:position w:val="9"/>
          <w:sz w:val="9"/>
        </w:rPr>
        <w:t>3</w:t>
      </w:r>
      <w:bookmarkStart w:id="31" w:name="_bookmark31"/>
      <w:bookmarkEnd w:id="31"/>
      <w:r>
        <w:rPr>
          <w:b/>
          <w:w w:val="95"/>
          <w:position w:val="9"/>
          <w:sz w:val="9"/>
        </w:rPr>
        <w:t>4</w:t>
      </w:r>
      <w:r>
        <w:rPr>
          <w:rFonts w:hint="eastAsia" w:ascii="楷体" w:eastAsia="楷体"/>
          <w:b/>
          <w:w w:val="95"/>
          <w:sz w:val="18"/>
        </w:rPr>
        <w:t>暴乱</w:t>
      </w:r>
      <w:r>
        <w:rPr>
          <w:rFonts w:ascii="楷体" w:eastAsia="楷体"/>
          <w:w w:val="95"/>
          <w:sz w:val="18"/>
        </w:rPr>
        <w:t>：指破坏社会秩序的武装骚动，以政府宣布为准</w:t>
      </w:r>
      <w:r>
        <w:rPr>
          <w:rFonts w:ascii="楷体" w:eastAsia="楷体"/>
          <w:spacing w:val="-10"/>
          <w:w w:val="95"/>
          <w:sz w:val="18"/>
        </w:rPr>
        <w:t>。</w:t>
      </w:r>
    </w:p>
    <w:p>
      <w:pPr>
        <w:spacing w:before="5" w:line="242" w:lineRule="auto"/>
        <w:ind w:left="220" w:right="410" w:firstLine="0"/>
        <w:jc w:val="both"/>
        <w:rPr>
          <w:rFonts w:ascii="楷体" w:eastAsia="楷体"/>
          <w:sz w:val="18"/>
        </w:rPr>
      </w:pPr>
      <w:r>
        <w:rPr>
          <w:b/>
          <w:spacing w:val="1"/>
          <w:w w:val="98"/>
          <w:position w:val="9"/>
          <w:sz w:val="9"/>
        </w:rPr>
        <w:t>3</w:t>
      </w:r>
      <w:bookmarkStart w:id="32" w:name="_bookmark32"/>
      <w:bookmarkEnd w:id="32"/>
      <w:r>
        <w:rPr>
          <w:b/>
          <w:spacing w:val="-2"/>
          <w:w w:val="98"/>
          <w:position w:val="9"/>
          <w:sz w:val="9"/>
        </w:rPr>
        <w:t>5</w:t>
      </w:r>
      <w:r>
        <w:rPr>
          <w:rFonts w:hint="eastAsia" w:ascii="楷体" w:eastAsia="楷体"/>
          <w:b/>
          <w:spacing w:val="-1"/>
          <w:w w:val="99"/>
          <w:sz w:val="18"/>
        </w:rPr>
        <w:t>感染艾滋病病毒或患艾滋病：</w:t>
      </w:r>
      <w:r>
        <w:rPr>
          <w:rFonts w:ascii="楷体" w:eastAsia="楷体"/>
          <w:spacing w:val="-4"/>
          <w:sz w:val="18"/>
        </w:rPr>
        <w:t xml:space="preserve">艾滋病毒指人类免疫缺陷病毒，英文缩写为 </w:t>
      </w:r>
      <w:r>
        <w:rPr>
          <w:rFonts w:ascii="楷体" w:eastAsia="楷体"/>
          <w:spacing w:val="1"/>
          <w:sz w:val="18"/>
        </w:rPr>
        <w:t>H</w:t>
      </w:r>
      <w:r>
        <w:rPr>
          <w:rFonts w:ascii="楷体" w:eastAsia="楷体"/>
          <w:spacing w:val="-2"/>
          <w:sz w:val="18"/>
        </w:rPr>
        <w:t>IV</w:t>
      </w:r>
      <w:r>
        <w:rPr>
          <w:rFonts w:ascii="楷体" w:eastAsia="楷体"/>
          <w:spacing w:val="-4"/>
          <w:sz w:val="18"/>
        </w:rPr>
        <w:t xml:space="preserve">。艾滋病指人类免疫缺陷病毒引起的获得性人类免疫缺陷综合征，英文缩写为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w:t>
      </w:r>
      <w:r>
        <w:rPr>
          <w:rFonts w:ascii="楷体" w:eastAsia="楷体"/>
          <w:spacing w:val="-2"/>
          <w:sz w:val="18"/>
        </w:rPr>
        <w:t>S</w:t>
      </w:r>
      <w:r>
        <w:rPr>
          <w:rFonts w:ascii="楷体" w:eastAsia="楷体"/>
          <w:spacing w:val="-4"/>
          <w:sz w:val="18"/>
        </w:rPr>
        <w:t>。在人体血液或其他样本中检测到艾滋病毒或其抗体呈阳性，没有出现临床症状或体征的，为感染艾滋病病毒； 如果同时出现了明显临床症状或体征的，为患艾滋病。</w:t>
      </w:r>
    </w:p>
    <w:p>
      <w:pPr>
        <w:spacing w:after="0" w:line="242" w:lineRule="auto"/>
        <w:jc w:val="both"/>
        <w:rPr>
          <w:rFonts w:ascii="楷体" w:eastAsia="楷体"/>
          <w:sz w:val="18"/>
        </w:rPr>
        <w:sectPr>
          <w:type w:val="continuous"/>
          <w:pgSz w:w="11910" w:h="16840"/>
          <w:pgMar w:top="480" w:right="660" w:bottom="280" w:left="860" w:header="0" w:footer="662" w:gutter="0"/>
          <w:cols w:space="720" w:num="1"/>
        </w:sectPr>
      </w:pPr>
    </w:p>
    <w:p>
      <w:pPr>
        <w:pStyle w:val="9"/>
        <w:numPr>
          <w:ilvl w:val="1"/>
          <w:numId w:val="7"/>
        </w:numPr>
        <w:tabs>
          <w:tab w:val="left" w:pos="3741"/>
        </w:tabs>
        <w:spacing w:before="53" w:after="0" w:line="240" w:lineRule="auto"/>
        <w:ind w:left="3740" w:right="0" w:hanging="721"/>
        <w:jc w:val="left"/>
        <w:rPr>
          <w:sz w:val="21"/>
        </w:rPr>
      </w:pPr>
      <w:r>
        <w:rPr>
          <w:color w:val="000000"/>
          <w:spacing w:val="-1"/>
          <w:w w:val="95"/>
          <w:sz w:val="21"/>
          <w:shd w:val="clear" w:color="auto" w:fill="E4E4E4"/>
        </w:rPr>
        <w:t>被保险人故意犯罪或抗拒依法采取的刑事强制措施；</w:t>
      </w:r>
    </w:p>
    <w:p>
      <w:pPr>
        <w:pStyle w:val="4"/>
        <w:spacing w:before="7"/>
        <w:rPr>
          <w:sz w:val="14"/>
        </w:rPr>
      </w:pPr>
    </w:p>
    <w:p>
      <w:pPr>
        <w:pStyle w:val="9"/>
        <w:numPr>
          <w:ilvl w:val="1"/>
          <w:numId w:val="7"/>
        </w:numPr>
        <w:tabs>
          <w:tab w:val="left" w:pos="3741"/>
        </w:tabs>
        <w:spacing w:before="0" w:after="0" w:line="266" w:lineRule="auto"/>
        <w:ind w:left="3740" w:right="208" w:hanging="720"/>
        <w:jc w:val="left"/>
        <w:rPr>
          <w:sz w:val="21"/>
        </w:rPr>
      </w:pPr>
      <w:r>
        <w:rPr>
          <w:color w:val="000000"/>
          <w:spacing w:val="-10"/>
          <w:w w:val="95"/>
          <w:sz w:val="21"/>
          <w:shd w:val="clear" w:color="auto" w:fill="E4E4E4"/>
        </w:rPr>
        <w:t>被保险人故意自伤、或自本合同成立或者本合同效力恢复之日起二年内</w:t>
      </w:r>
      <w:r>
        <w:rPr>
          <w:color w:val="000000"/>
          <w:spacing w:val="80"/>
          <w:w w:val="150"/>
          <w:sz w:val="21"/>
          <w:shd w:val="clear" w:color="auto" w:fill="E4E4E4"/>
        </w:rPr>
        <w:t xml:space="preserve">                                   </w:t>
      </w:r>
      <w:r>
        <w:rPr>
          <w:color w:val="000000"/>
          <w:spacing w:val="-2"/>
          <w:sz w:val="21"/>
          <w:shd w:val="clear" w:color="auto" w:fill="E4E4E4"/>
        </w:rPr>
        <w:t>自杀，但被保险人自杀时为无民事行为能力人的除外；</w:t>
      </w:r>
    </w:p>
    <w:p>
      <w:pPr>
        <w:pStyle w:val="9"/>
        <w:numPr>
          <w:ilvl w:val="1"/>
          <w:numId w:val="7"/>
        </w:numPr>
        <w:tabs>
          <w:tab w:val="left" w:pos="3741"/>
        </w:tabs>
        <w:spacing w:before="159" w:after="0" w:line="240" w:lineRule="auto"/>
        <w:ind w:left="3740" w:right="0" w:hanging="721"/>
        <w:jc w:val="left"/>
        <w:rPr>
          <w:sz w:val="21"/>
        </w:rPr>
      </w:pPr>
      <w:r>
        <w:rPr>
          <w:color w:val="000000"/>
          <w:spacing w:val="-1"/>
          <w:w w:val="95"/>
          <w:sz w:val="21"/>
          <w:shd w:val="clear" w:color="auto" w:fill="E4E4E4"/>
        </w:rPr>
        <w:t>被保险人服用、吸食或注射毒品；</w:t>
      </w:r>
    </w:p>
    <w:p>
      <w:pPr>
        <w:pStyle w:val="4"/>
        <w:spacing w:before="7"/>
        <w:rPr>
          <w:sz w:val="14"/>
        </w:rPr>
      </w:pPr>
    </w:p>
    <w:p>
      <w:pPr>
        <w:pStyle w:val="9"/>
        <w:numPr>
          <w:ilvl w:val="1"/>
          <w:numId w:val="7"/>
        </w:numPr>
        <w:tabs>
          <w:tab w:val="left" w:pos="3741"/>
        </w:tabs>
        <w:spacing w:before="1" w:after="0" w:line="266" w:lineRule="auto"/>
        <w:ind w:left="3740" w:right="208" w:hanging="720"/>
        <w:jc w:val="left"/>
        <w:rPr>
          <w:sz w:val="21"/>
        </w:rPr>
      </w:pPr>
      <w:r>
        <w:rPr>
          <w:color w:val="000000"/>
          <w:spacing w:val="-2"/>
          <w:w w:val="95"/>
          <w:sz w:val="21"/>
          <w:shd w:val="clear" w:color="auto" w:fill="E4E4E4"/>
        </w:rPr>
        <w:t>被保险人酒后驾驶、无合法有效驾驶证驾驶，或驾驶无合法有效行驶证</w:t>
      </w:r>
      <w:r>
        <w:rPr>
          <w:color w:val="000000"/>
          <w:spacing w:val="80"/>
          <w:w w:val="150"/>
          <w:sz w:val="21"/>
          <w:shd w:val="clear" w:color="auto" w:fill="E4E4E4"/>
        </w:rPr>
        <w:t xml:space="preserve">                                   </w:t>
      </w:r>
      <w:r>
        <w:rPr>
          <w:color w:val="000000"/>
          <w:spacing w:val="-2"/>
          <w:sz w:val="21"/>
          <w:shd w:val="clear" w:color="auto" w:fill="E4E4E4"/>
        </w:rPr>
        <w:t>的机动车；</w:t>
      </w:r>
    </w:p>
    <w:p>
      <w:pPr>
        <w:pStyle w:val="9"/>
        <w:numPr>
          <w:ilvl w:val="1"/>
          <w:numId w:val="7"/>
        </w:numPr>
        <w:tabs>
          <w:tab w:val="left" w:pos="3741"/>
        </w:tabs>
        <w:spacing w:before="158" w:after="0" w:line="240" w:lineRule="auto"/>
        <w:ind w:left="3740" w:right="0" w:hanging="721"/>
        <w:jc w:val="left"/>
        <w:rPr>
          <w:sz w:val="21"/>
        </w:rPr>
      </w:pPr>
      <w:r>
        <w:rPr>
          <w:color w:val="000000"/>
          <w:spacing w:val="-1"/>
          <w:w w:val="95"/>
          <w:sz w:val="21"/>
          <w:shd w:val="clear" w:color="auto" w:fill="E4E4E4"/>
        </w:rPr>
        <w:t>核爆炸、核辐射或核污染；</w:t>
      </w:r>
    </w:p>
    <w:p>
      <w:pPr>
        <w:pStyle w:val="4"/>
        <w:spacing w:before="8"/>
        <w:rPr>
          <w:sz w:val="14"/>
        </w:rPr>
      </w:pPr>
    </w:p>
    <w:p>
      <w:pPr>
        <w:pStyle w:val="9"/>
        <w:numPr>
          <w:ilvl w:val="1"/>
          <w:numId w:val="7"/>
        </w:numPr>
        <w:tabs>
          <w:tab w:val="left" w:pos="3741"/>
        </w:tabs>
        <w:spacing w:before="0" w:after="0" w:line="240" w:lineRule="auto"/>
        <w:ind w:left="3740" w:right="0" w:hanging="721"/>
        <w:jc w:val="left"/>
        <w:rPr>
          <w:sz w:val="21"/>
        </w:rPr>
      </w:pPr>
      <w:r>
        <w:rPr>
          <w:color w:val="000000"/>
          <w:w w:val="95"/>
          <w:sz w:val="21"/>
          <w:shd w:val="clear" w:color="auto" w:fill="E4E4E4"/>
        </w:rPr>
        <w:t>被保险人</w:t>
      </w:r>
      <w:r>
        <w:rPr>
          <w:b/>
          <w:color w:val="000000"/>
          <w:w w:val="95"/>
          <w:sz w:val="21"/>
          <w:shd w:val="clear" w:color="auto" w:fill="E4E4E4"/>
        </w:rPr>
        <w:t>遗传性疾病</w:t>
      </w:r>
      <w:r>
        <w:fldChar w:fldCharType="begin"/>
      </w:r>
      <w:r>
        <w:instrText xml:space="preserve"> HYPERLINK \l "_bookmark33" </w:instrText>
      </w:r>
      <w:r>
        <w:fldChar w:fldCharType="separate"/>
      </w:r>
      <w:r>
        <w:rPr>
          <w:b/>
          <w:color w:val="000000"/>
          <w:w w:val="95"/>
          <w:position w:val="11"/>
          <w:sz w:val="10"/>
        </w:rPr>
        <w:t>36</w:t>
      </w:r>
      <w:r>
        <w:rPr>
          <w:b/>
          <w:color w:val="000000"/>
          <w:w w:val="95"/>
          <w:position w:val="11"/>
          <w:sz w:val="10"/>
        </w:rPr>
        <w:fldChar w:fldCharType="end"/>
      </w:r>
      <w:r>
        <w:rPr>
          <w:color w:val="000000"/>
          <w:w w:val="95"/>
          <w:sz w:val="21"/>
          <w:shd w:val="clear" w:color="auto" w:fill="E4E4E4"/>
        </w:rPr>
        <w:t>，</w:t>
      </w:r>
      <w:r>
        <w:rPr>
          <w:b/>
          <w:color w:val="000000"/>
          <w:w w:val="95"/>
          <w:sz w:val="21"/>
          <w:shd w:val="clear" w:color="auto" w:fill="E4E4E4"/>
        </w:rPr>
        <w:t>先天性畸形、变形或染色体异常</w:t>
      </w:r>
      <w:r>
        <w:fldChar w:fldCharType="begin"/>
      </w:r>
      <w:r>
        <w:instrText xml:space="preserve"> HYPERLINK \l "_bookmark34" </w:instrText>
      </w:r>
      <w:r>
        <w:fldChar w:fldCharType="separate"/>
      </w:r>
      <w:r>
        <w:rPr>
          <w:b/>
          <w:color w:val="000000"/>
          <w:spacing w:val="-5"/>
          <w:w w:val="95"/>
          <w:position w:val="11"/>
          <w:sz w:val="10"/>
        </w:rPr>
        <w:t>37</w:t>
      </w:r>
      <w:r>
        <w:rPr>
          <w:b/>
          <w:color w:val="000000"/>
          <w:spacing w:val="-5"/>
          <w:w w:val="95"/>
          <w:position w:val="11"/>
          <w:sz w:val="10"/>
        </w:rPr>
        <w:fldChar w:fldCharType="end"/>
      </w:r>
      <w:r>
        <w:rPr>
          <w:color w:val="000000"/>
          <w:spacing w:val="-5"/>
          <w:w w:val="95"/>
          <w:sz w:val="21"/>
          <w:shd w:val="clear" w:color="auto" w:fill="E4E4E4"/>
        </w:rPr>
        <w:t>；</w:t>
      </w:r>
    </w:p>
    <w:p>
      <w:pPr>
        <w:pStyle w:val="9"/>
        <w:numPr>
          <w:ilvl w:val="1"/>
          <w:numId w:val="7"/>
        </w:numPr>
        <w:tabs>
          <w:tab w:val="left" w:pos="3741"/>
        </w:tabs>
        <w:spacing w:before="187" w:after="0" w:line="266" w:lineRule="auto"/>
        <w:ind w:left="3740" w:right="100" w:hanging="720"/>
        <w:jc w:val="left"/>
        <w:rPr>
          <w:sz w:val="21"/>
        </w:rPr>
      </w:pPr>
      <w:r>
        <w:rPr>
          <w:color w:val="000000"/>
          <w:spacing w:val="-4"/>
          <w:w w:val="99"/>
          <w:sz w:val="21"/>
          <w:shd w:val="clear" w:color="auto" w:fill="E4E4E4"/>
        </w:rPr>
        <w:t>被保险人感染艾滋病病毒或患艾滋病</w:t>
      </w:r>
      <w:r>
        <w:rPr>
          <w:color w:val="000000"/>
          <w:spacing w:val="2"/>
          <w:w w:val="99"/>
          <w:sz w:val="21"/>
          <w:shd w:val="clear" w:color="auto" w:fill="E4E4E4"/>
        </w:rPr>
        <w:t>（</w:t>
      </w:r>
      <w:r>
        <w:rPr>
          <w:color w:val="000000"/>
          <w:spacing w:val="-6"/>
          <w:w w:val="99"/>
          <w:sz w:val="21"/>
          <w:shd w:val="clear" w:color="auto" w:fill="E4E4E4"/>
        </w:rPr>
        <w:t>但符合本合同“器官移植导致的</w:t>
      </w:r>
      <w:r>
        <w:rPr>
          <w:color w:val="000000"/>
          <w:w w:val="99"/>
          <w:sz w:val="21"/>
          <w:shd w:val="clear" w:color="auto" w:fill="E4E4E4"/>
        </w:rPr>
        <w:t xml:space="preserve">                                                                                                                          </w:t>
      </w:r>
      <w:r>
        <w:rPr>
          <w:color w:val="000000"/>
          <w:spacing w:val="-13"/>
          <w:w w:val="99"/>
          <w:sz w:val="21"/>
          <w:shd w:val="clear" w:color="auto" w:fill="E4E4E4"/>
        </w:rPr>
        <w:t>人类免疫缺陷病毒</w:t>
      </w:r>
      <w:r>
        <w:rPr>
          <w:color w:val="000000"/>
          <w:spacing w:val="2"/>
          <w:w w:val="99"/>
          <w:sz w:val="21"/>
          <w:shd w:val="clear" w:color="auto" w:fill="E4E4E4"/>
        </w:rPr>
        <w:t>（</w:t>
      </w:r>
      <w:r>
        <w:rPr>
          <w:color w:val="000000"/>
          <w:spacing w:val="1"/>
          <w:w w:val="99"/>
          <w:sz w:val="21"/>
          <w:shd w:val="clear" w:color="auto" w:fill="E4E4E4"/>
        </w:rPr>
        <w:t>HI</w:t>
      </w:r>
      <w:r>
        <w:rPr>
          <w:color w:val="000000"/>
          <w:spacing w:val="-2"/>
          <w:w w:val="99"/>
          <w:sz w:val="21"/>
          <w:shd w:val="clear" w:color="auto" w:fill="E4E4E4"/>
        </w:rPr>
        <w:t>V</w:t>
      </w:r>
      <w:r>
        <w:rPr>
          <w:color w:val="000000"/>
          <w:spacing w:val="-99"/>
          <w:w w:val="99"/>
          <w:sz w:val="21"/>
          <w:shd w:val="clear" w:color="auto" w:fill="E4E4E4"/>
        </w:rPr>
        <w:t>）</w:t>
      </w:r>
      <w:r>
        <w:rPr>
          <w:color w:val="000000"/>
          <w:spacing w:val="-35"/>
          <w:w w:val="99"/>
          <w:sz w:val="21"/>
          <w:shd w:val="clear" w:color="auto" w:fill="E4E4E4"/>
        </w:rPr>
        <w:t>感染”</w:t>
      </w:r>
      <w:r>
        <w:rPr>
          <w:color w:val="000000"/>
          <w:spacing w:val="-22"/>
          <w:w w:val="99"/>
          <w:sz w:val="21"/>
          <w:shd w:val="clear" w:color="auto" w:fill="E4E4E4"/>
        </w:rPr>
        <w:t>、“经输血导致的人类免疫缺陷病毒</w:t>
      </w:r>
      <w:r>
        <w:rPr>
          <w:color w:val="000000"/>
          <w:spacing w:val="-1"/>
          <w:w w:val="99"/>
          <w:sz w:val="21"/>
          <w:shd w:val="clear" w:color="auto" w:fill="E4E4E4"/>
        </w:rPr>
        <w:t>（</w:t>
      </w:r>
      <w:r>
        <w:rPr>
          <w:color w:val="000000"/>
          <w:spacing w:val="1"/>
          <w:w w:val="99"/>
          <w:sz w:val="21"/>
          <w:shd w:val="clear" w:color="auto" w:fill="E4E4E4"/>
        </w:rPr>
        <w:t>HIV</w:t>
      </w:r>
      <w:r>
        <w:rPr>
          <w:color w:val="000000"/>
          <w:w w:val="99"/>
          <w:sz w:val="21"/>
          <w:shd w:val="clear" w:color="auto" w:fill="E4E4E4"/>
        </w:rPr>
        <w:t>）</w:t>
      </w:r>
      <w:r>
        <w:rPr>
          <w:color w:val="000000"/>
          <w:spacing w:val="1"/>
          <w:w w:val="99"/>
          <w:sz w:val="21"/>
          <w:shd w:val="clear" w:color="auto" w:fill="E4E4E4"/>
        </w:rPr>
        <w:t>感染”及“特定职业导致的人类免疫缺陷病毒</w:t>
      </w:r>
      <w:r>
        <w:rPr>
          <w:color w:val="000000"/>
          <w:spacing w:val="2"/>
          <w:w w:val="99"/>
          <w:sz w:val="21"/>
          <w:shd w:val="clear" w:color="auto" w:fill="E4E4E4"/>
        </w:rPr>
        <w:t>（</w:t>
      </w:r>
      <w:r>
        <w:rPr>
          <w:color w:val="000000"/>
          <w:spacing w:val="1"/>
          <w:w w:val="99"/>
          <w:sz w:val="21"/>
          <w:shd w:val="clear" w:color="auto" w:fill="E4E4E4"/>
        </w:rPr>
        <w:t>HI</w:t>
      </w:r>
      <w:r>
        <w:rPr>
          <w:color w:val="000000"/>
          <w:spacing w:val="-2"/>
          <w:w w:val="99"/>
          <w:sz w:val="21"/>
          <w:shd w:val="clear" w:color="auto" w:fill="E4E4E4"/>
        </w:rPr>
        <w:t>V</w:t>
      </w:r>
      <w:r>
        <w:rPr>
          <w:color w:val="000000"/>
          <w:spacing w:val="2"/>
          <w:w w:val="99"/>
          <w:sz w:val="21"/>
          <w:shd w:val="clear" w:color="auto" w:fill="E4E4E4"/>
        </w:rPr>
        <w:t>）</w:t>
      </w:r>
      <w:r>
        <w:rPr>
          <w:color w:val="000000"/>
          <w:spacing w:val="1"/>
          <w:w w:val="99"/>
          <w:sz w:val="21"/>
          <w:shd w:val="clear" w:color="auto" w:fill="E4E4E4"/>
        </w:rPr>
        <w:t>感染”定义的不</w:t>
      </w:r>
      <w:r>
        <w:rPr>
          <w:color w:val="000000"/>
          <w:w w:val="99"/>
          <w:sz w:val="21"/>
          <w:shd w:val="clear" w:color="auto" w:fill="E4E4E4"/>
        </w:rPr>
        <w:t>在此限</w:t>
      </w:r>
      <w:r>
        <w:rPr>
          <w:color w:val="000000"/>
          <w:spacing w:val="-104"/>
          <w:w w:val="99"/>
          <w:sz w:val="21"/>
          <w:shd w:val="clear" w:color="auto" w:fill="E4E4E4"/>
        </w:rPr>
        <w:t>）</w:t>
      </w:r>
      <w:r>
        <w:rPr>
          <w:color w:val="000000"/>
          <w:w w:val="99"/>
          <w:sz w:val="21"/>
          <w:shd w:val="clear" w:color="auto" w:fill="E4E4E4"/>
        </w:rPr>
        <w:t>；</w:t>
      </w:r>
    </w:p>
    <w:p>
      <w:pPr>
        <w:pStyle w:val="9"/>
        <w:numPr>
          <w:ilvl w:val="1"/>
          <w:numId w:val="7"/>
        </w:numPr>
        <w:tabs>
          <w:tab w:val="left" w:pos="3741"/>
        </w:tabs>
        <w:spacing w:before="161" w:after="0" w:line="240" w:lineRule="auto"/>
        <w:ind w:left="3740" w:right="0" w:hanging="721"/>
        <w:jc w:val="left"/>
        <w:rPr>
          <w:sz w:val="21"/>
        </w:rPr>
      </w:pPr>
      <w:r>
        <w:rPr>
          <w:color w:val="000000"/>
          <w:spacing w:val="-1"/>
          <w:w w:val="95"/>
          <w:sz w:val="21"/>
          <w:shd w:val="clear" w:color="auto" w:fill="E4E4E4"/>
        </w:rPr>
        <w:t>战争、军事冲突、恐怖主义活动、暴乱或武装叛乱。</w:t>
      </w:r>
    </w:p>
    <w:p>
      <w:pPr>
        <w:pStyle w:val="4"/>
        <w:spacing w:before="4" w:after="1"/>
        <w:rPr>
          <w:sz w:val="14"/>
        </w:rPr>
      </w:pPr>
    </w:p>
    <w:tbl>
      <w:tblPr>
        <w:tblStyle w:val="6"/>
        <w:tblW w:w="0" w:type="auto"/>
        <w:tblInd w:w="302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80"/>
        <w:gridCol w:w="12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56" w:type="dxa"/>
            <w:gridSpan w:val="2"/>
            <w:tcBorders>
              <w:bottom w:val="single" w:color="FFFFFF" w:sz="12" w:space="0"/>
            </w:tcBorders>
            <w:shd w:val="clear" w:color="auto" w:fill="E4E4E4"/>
          </w:tcPr>
          <w:p>
            <w:pPr>
              <w:pStyle w:val="10"/>
              <w:spacing w:before="3" w:line="248" w:lineRule="exact"/>
              <w:ind w:left="-2"/>
              <w:rPr>
                <w:sz w:val="21"/>
              </w:rPr>
            </w:pPr>
            <w:r>
              <w:rPr>
                <w:w w:val="95"/>
                <w:sz w:val="21"/>
              </w:rPr>
              <w:t>发生上述第（1）项情形导致被保险人发</w:t>
            </w:r>
            <w:r>
              <w:rPr>
                <w:spacing w:val="-1"/>
                <w:w w:val="95"/>
                <w:sz w:val="21"/>
              </w:rPr>
              <w:t>生除身故以外其他保险事故的，本合同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156" w:type="dxa"/>
            <w:gridSpan w:val="2"/>
            <w:tcBorders>
              <w:top w:val="single" w:color="FFFFFF" w:sz="12" w:space="0"/>
              <w:bottom w:val="single" w:color="FFFFFF" w:sz="12" w:space="0"/>
            </w:tcBorders>
            <w:shd w:val="clear" w:color="auto" w:fill="E4E4E4"/>
          </w:tcPr>
          <w:p>
            <w:pPr>
              <w:pStyle w:val="10"/>
              <w:spacing w:before="2" w:line="248" w:lineRule="exact"/>
              <w:ind w:left="-2"/>
              <w:rPr>
                <w:sz w:val="21"/>
              </w:rPr>
            </w:pPr>
            <w:r>
              <w:rPr>
                <w:w w:val="95"/>
                <w:sz w:val="21"/>
              </w:rPr>
              <w:t>终止，已交足</w:t>
            </w:r>
            <w:r>
              <w:rPr>
                <w:spacing w:val="47"/>
                <w:w w:val="150"/>
                <w:sz w:val="21"/>
              </w:rPr>
              <w:t xml:space="preserve"> </w:t>
            </w:r>
            <w:r>
              <w:rPr>
                <w:w w:val="95"/>
                <w:sz w:val="21"/>
              </w:rPr>
              <w:t>2</w:t>
            </w:r>
            <w:r>
              <w:rPr>
                <w:spacing w:val="51"/>
                <w:w w:val="150"/>
                <w:sz w:val="21"/>
              </w:rPr>
              <w:t xml:space="preserve"> </w:t>
            </w:r>
            <w:r>
              <w:rPr>
                <w:w w:val="95"/>
                <w:sz w:val="21"/>
              </w:rPr>
              <w:t>年以上保费的，本公司向被保险人退还与该被保险人对应</w:t>
            </w:r>
            <w:r>
              <w:rPr>
                <w:spacing w:val="-5"/>
                <w:w w:val="95"/>
                <w:sz w:val="21"/>
              </w:rPr>
              <w:t>的现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156" w:type="dxa"/>
            <w:gridSpan w:val="2"/>
            <w:tcBorders>
              <w:top w:val="single" w:color="FFFFFF" w:sz="12" w:space="0"/>
              <w:bottom w:val="single" w:color="FFFFFF" w:sz="12" w:space="0"/>
            </w:tcBorders>
            <w:shd w:val="clear" w:color="auto" w:fill="E4E4E4"/>
          </w:tcPr>
          <w:p>
            <w:pPr>
              <w:pStyle w:val="10"/>
              <w:spacing w:before="2" w:line="248" w:lineRule="exact"/>
              <w:ind w:left="-2"/>
              <w:rPr>
                <w:sz w:val="21"/>
              </w:rPr>
            </w:pPr>
            <w:r>
              <w:rPr>
                <w:w w:val="95"/>
                <w:sz w:val="21"/>
              </w:rPr>
              <w:t>金价值；发生上述其他情形导致被保险人发生除身故以外其他保险事故的</w:t>
            </w:r>
            <w:r>
              <w:rPr>
                <w:spacing w:val="-5"/>
                <w:w w:val="95"/>
                <w:sz w:val="21"/>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5880" w:type="dxa"/>
            <w:tcBorders>
              <w:top w:val="single" w:color="FFFFFF" w:sz="12" w:space="0"/>
            </w:tcBorders>
            <w:shd w:val="clear" w:color="auto" w:fill="E4E4E4"/>
          </w:tcPr>
          <w:p>
            <w:pPr>
              <w:pStyle w:val="10"/>
              <w:spacing w:before="2" w:line="249" w:lineRule="exact"/>
              <w:ind w:left="-2"/>
              <w:rPr>
                <w:sz w:val="21"/>
              </w:rPr>
            </w:pPr>
            <w:r>
              <w:rPr>
                <w:spacing w:val="-1"/>
                <w:w w:val="95"/>
                <w:sz w:val="21"/>
              </w:rPr>
              <w:t>合同终止，本公司向投保人退还与该被保险人对应的现金价值。</w:t>
            </w:r>
          </w:p>
        </w:tc>
        <w:tc>
          <w:tcPr>
            <w:tcW w:w="1276" w:type="dxa"/>
            <w:tcBorders>
              <w:top w:val="single" w:color="FFFFFF" w:sz="12" w:space="0"/>
            </w:tcBorders>
          </w:tcPr>
          <w:p>
            <w:pPr>
              <w:pStyle w:val="10"/>
              <w:ind w:left="0"/>
              <w:rPr>
                <w:rFonts w:ascii="Times New Roman"/>
                <w:sz w:val="20"/>
              </w:rPr>
            </w:pPr>
          </w:p>
        </w:tc>
      </w:tr>
    </w:tbl>
    <w:p>
      <w:pPr>
        <w:pStyle w:val="9"/>
        <w:numPr>
          <w:ilvl w:val="2"/>
          <w:numId w:val="2"/>
        </w:numPr>
        <w:tabs>
          <w:tab w:val="left" w:pos="1321"/>
          <w:tab w:val="left" w:pos="1322"/>
          <w:tab w:val="left" w:pos="3020"/>
        </w:tabs>
        <w:spacing w:before="177" w:after="0" w:line="266" w:lineRule="auto"/>
        <w:ind w:left="3020" w:right="100" w:hanging="2801"/>
        <w:jc w:val="left"/>
        <w:rPr>
          <w:sz w:val="21"/>
        </w:rPr>
      </w:pPr>
      <w:r>
        <w:rPr>
          <w:b/>
          <w:spacing w:val="-2"/>
          <w:position w:val="1"/>
          <w:sz w:val="21"/>
        </w:rPr>
        <w:t>其他免责条款</w:t>
      </w:r>
      <w:r>
        <w:rPr>
          <w:b/>
          <w:position w:val="1"/>
          <w:sz w:val="21"/>
        </w:rPr>
        <w:tab/>
      </w:r>
      <w:r>
        <w:rPr>
          <w:color w:val="000000"/>
          <w:spacing w:val="-94"/>
          <w:w w:val="95"/>
          <w:sz w:val="21"/>
          <w:shd w:val="clear" w:color="auto" w:fill="E4E4E4"/>
        </w:rPr>
        <w:t>除</w:t>
      </w:r>
      <w:r>
        <w:rPr>
          <w:color w:val="000000"/>
          <w:w w:val="95"/>
          <w:sz w:val="21"/>
          <w:shd w:val="clear" w:color="auto" w:fill="E4E4E4"/>
        </w:rPr>
        <w:t>“2.4.1</w:t>
      </w:r>
      <w:r>
        <w:rPr>
          <w:color w:val="000000"/>
          <w:spacing w:val="-17"/>
          <w:w w:val="95"/>
          <w:sz w:val="21"/>
          <w:shd w:val="clear" w:color="auto" w:fill="E4E4E4"/>
        </w:rPr>
        <w:t xml:space="preserve"> </w:t>
      </w:r>
      <w:r>
        <w:rPr>
          <w:color w:val="000000"/>
          <w:w w:val="95"/>
          <w:sz w:val="21"/>
          <w:shd w:val="clear" w:color="auto" w:fill="E4E4E4"/>
        </w:rPr>
        <w:t>身故保险金责任免除</w:t>
      </w:r>
      <w:r>
        <w:rPr>
          <w:color w:val="000000"/>
          <w:spacing w:val="-104"/>
          <w:w w:val="95"/>
          <w:sz w:val="21"/>
          <w:shd w:val="clear" w:color="auto" w:fill="E4E4E4"/>
        </w:rPr>
        <w:t>”</w:t>
      </w:r>
      <w:r>
        <w:rPr>
          <w:color w:val="000000"/>
          <w:spacing w:val="-202"/>
          <w:w w:val="95"/>
          <w:sz w:val="21"/>
          <w:shd w:val="clear" w:color="auto" w:fill="E4E4E4"/>
        </w:rPr>
        <w:t>、</w:t>
      </w:r>
      <w:r>
        <w:rPr>
          <w:color w:val="000000"/>
          <w:w w:val="95"/>
          <w:sz w:val="21"/>
          <w:shd w:val="clear" w:color="auto" w:fill="E4E4E4"/>
        </w:rPr>
        <w:t>“2.4.2</w:t>
      </w:r>
      <w:r>
        <w:rPr>
          <w:color w:val="000000"/>
          <w:spacing w:val="-14"/>
          <w:w w:val="95"/>
          <w:sz w:val="21"/>
          <w:shd w:val="clear" w:color="auto" w:fill="E4E4E4"/>
        </w:rPr>
        <w:t xml:space="preserve"> </w:t>
      </w:r>
      <w:r>
        <w:rPr>
          <w:color w:val="000000"/>
          <w:w w:val="95"/>
          <w:sz w:val="21"/>
          <w:shd w:val="clear" w:color="auto" w:fill="E4E4E4"/>
        </w:rPr>
        <w:t>除身故保险金外其他保险金责任免除”</w:t>
      </w:r>
      <w:r>
        <w:rPr>
          <w:color w:val="000000"/>
          <w:spacing w:val="80"/>
          <w:w w:val="150"/>
          <w:sz w:val="21"/>
          <w:shd w:val="clear" w:color="auto" w:fill="E4E4E4"/>
        </w:rPr>
        <w:t xml:space="preserve">                                       </w:t>
      </w:r>
      <w:r>
        <w:rPr>
          <w:color w:val="000000"/>
          <w:sz w:val="21"/>
          <w:shd w:val="clear" w:color="auto" w:fill="E4E4E4"/>
        </w:rPr>
        <w:t>外，本合同还有一些免除本公司责任的条款，详见“1.4</w:t>
      </w:r>
      <w:r>
        <w:rPr>
          <w:color w:val="000000"/>
          <w:spacing w:val="-50"/>
          <w:sz w:val="21"/>
          <w:shd w:val="clear" w:color="auto" w:fill="E4E4E4"/>
        </w:rPr>
        <w:t xml:space="preserve"> </w:t>
      </w:r>
      <w:r>
        <w:rPr>
          <w:color w:val="000000"/>
          <w:sz w:val="21"/>
          <w:shd w:val="clear" w:color="auto" w:fill="E4E4E4"/>
        </w:rPr>
        <w:t>犹豫期</w:t>
      </w:r>
      <w:r>
        <w:rPr>
          <w:color w:val="000000"/>
          <w:spacing w:val="-104"/>
          <w:sz w:val="21"/>
          <w:shd w:val="clear" w:color="auto" w:fill="E4E4E4"/>
        </w:rPr>
        <w:t>”</w:t>
      </w:r>
      <w:r>
        <w:rPr>
          <w:color w:val="000000"/>
          <w:spacing w:val="-125"/>
          <w:sz w:val="21"/>
          <w:shd w:val="clear" w:color="auto" w:fill="E4E4E4"/>
        </w:rPr>
        <w:t>、</w:t>
      </w:r>
      <w:r>
        <w:rPr>
          <w:color w:val="000000"/>
          <w:sz w:val="21"/>
          <w:shd w:val="clear" w:color="auto" w:fill="E4E4E4"/>
        </w:rPr>
        <w:t>“2.3</w:t>
      </w:r>
      <w:r>
        <w:rPr>
          <w:color w:val="000000"/>
          <w:spacing w:val="-52"/>
          <w:sz w:val="21"/>
          <w:shd w:val="clear" w:color="auto" w:fill="E4E4E4"/>
        </w:rPr>
        <w:t xml:space="preserve"> </w:t>
      </w:r>
      <w:r>
        <w:rPr>
          <w:color w:val="000000"/>
          <w:sz w:val="21"/>
          <w:shd w:val="clear" w:color="auto" w:fill="E4E4E4"/>
        </w:rPr>
        <w:t>保险责任</w:t>
      </w:r>
      <w:r>
        <w:rPr>
          <w:color w:val="000000"/>
          <w:spacing w:val="-104"/>
          <w:sz w:val="21"/>
          <w:shd w:val="clear" w:color="auto" w:fill="E4E4E4"/>
        </w:rPr>
        <w:t>”、</w:t>
      </w:r>
      <w:r>
        <w:rPr>
          <w:color w:val="000000"/>
          <w:sz w:val="21"/>
          <w:shd w:val="clear" w:color="auto" w:fill="E4E4E4"/>
        </w:rPr>
        <w:t>“3.2</w:t>
      </w:r>
      <w:r>
        <w:rPr>
          <w:color w:val="000000"/>
          <w:spacing w:val="-34"/>
          <w:sz w:val="21"/>
          <w:shd w:val="clear" w:color="auto" w:fill="E4E4E4"/>
        </w:rPr>
        <w:t xml:space="preserve"> </w:t>
      </w:r>
      <w:r>
        <w:rPr>
          <w:color w:val="000000"/>
          <w:sz w:val="21"/>
          <w:shd w:val="clear" w:color="auto" w:fill="E4E4E4"/>
        </w:rPr>
        <w:t>保险事故通知</w:t>
      </w:r>
      <w:r>
        <w:rPr>
          <w:color w:val="000000"/>
          <w:spacing w:val="-104"/>
          <w:sz w:val="21"/>
          <w:shd w:val="clear" w:color="auto" w:fill="E4E4E4"/>
        </w:rPr>
        <w:t>”、</w:t>
      </w:r>
      <w:r>
        <w:rPr>
          <w:color w:val="000000"/>
          <w:sz w:val="21"/>
          <w:shd w:val="clear" w:color="auto" w:fill="E4E4E4"/>
        </w:rPr>
        <w:t>“3.3</w:t>
      </w:r>
      <w:r>
        <w:rPr>
          <w:color w:val="000000"/>
          <w:spacing w:val="-34"/>
          <w:sz w:val="21"/>
          <w:shd w:val="clear" w:color="auto" w:fill="E4E4E4"/>
        </w:rPr>
        <w:t xml:space="preserve"> </w:t>
      </w:r>
      <w:r>
        <w:rPr>
          <w:color w:val="000000"/>
          <w:sz w:val="21"/>
          <w:shd w:val="clear" w:color="auto" w:fill="E4E4E4"/>
        </w:rPr>
        <w:t>保险金申请</w:t>
      </w:r>
      <w:r>
        <w:rPr>
          <w:color w:val="000000"/>
          <w:spacing w:val="-104"/>
          <w:sz w:val="21"/>
          <w:shd w:val="clear" w:color="auto" w:fill="E4E4E4"/>
        </w:rPr>
        <w:t>”、</w:t>
      </w:r>
      <w:r>
        <w:rPr>
          <w:color w:val="000000"/>
          <w:sz w:val="21"/>
          <w:shd w:val="clear" w:color="auto" w:fill="E4E4E4"/>
        </w:rPr>
        <w:t>“6.1</w:t>
      </w:r>
      <w:r>
        <w:rPr>
          <w:color w:val="000000"/>
          <w:spacing w:val="-31"/>
          <w:sz w:val="21"/>
          <w:shd w:val="clear" w:color="auto" w:fill="E4E4E4"/>
        </w:rPr>
        <w:t xml:space="preserve"> </w:t>
      </w:r>
      <w:r>
        <w:rPr>
          <w:color w:val="000000"/>
          <w:sz w:val="21"/>
          <w:shd w:val="clear" w:color="auto" w:fill="E4E4E4"/>
        </w:rPr>
        <w:t>合同中止</w:t>
      </w:r>
      <w:r>
        <w:rPr>
          <w:color w:val="000000"/>
          <w:spacing w:val="-101"/>
          <w:sz w:val="21"/>
          <w:shd w:val="clear" w:color="auto" w:fill="E4E4E4"/>
        </w:rPr>
        <w:t>”</w:t>
      </w:r>
      <w:r>
        <w:rPr>
          <w:color w:val="000000"/>
          <w:spacing w:val="-106"/>
          <w:sz w:val="21"/>
          <w:shd w:val="clear" w:color="auto" w:fill="E4E4E4"/>
        </w:rPr>
        <w:t>、</w:t>
      </w:r>
      <w:r>
        <w:rPr>
          <w:color w:val="000000"/>
          <w:sz w:val="21"/>
          <w:shd w:val="clear" w:color="auto" w:fill="E4E4E4"/>
        </w:rPr>
        <w:t>“8.1</w:t>
      </w:r>
      <w:r>
        <w:rPr>
          <w:color w:val="000000"/>
          <w:spacing w:val="-31"/>
          <w:sz w:val="21"/>
          <w:shd w:val="clear" w:color="auto" w:fill="E4E4E4"/>
        </w:rPr>
        <w:t xml:space="preserve"> </w:t>
      </w:r>
      <w:r>
        <w:rPr>
          <w:color w:val="000000"/>
          <w:sz w:val="21"/>
          <w:shd w:val="clear" w:color="auto" w:fill="E4E4E4"/>
        </w:rPr>
        <w:t>明确说明与如实告知</w:t>
      </w:r>
      <w:r>
        <w:rPr>
          <w:color w:val="000000"/>
          <w:spacing w:val="-104"/>
          <w:sz w:val="21"/>
          <w:shd w:val="clear" w:color="auto" w:fill="E4E4E4"/>
        </w:rPr>
        <w:t>”</w:t>
      </w:r>
      <w:r>
        <w:rPr>
          <w:color w:val="000000"/>
          <w:spacing w:val="-101"/>
          <w:sz w:val="21"/>
          <w:shd w:val="clear" w:color="auto" w:fill="E4E4E4"/>
        </w:rPr>
        <w:t>、</w:t>
      </w:r>
      <w:r>
        <w:rPr>
          <w:color w:val="000000"/>
          <w:sz w:val="21"/>
          <w:shd w:val="clear" w:color="auto" w:fill="E4E4E4"/>
        </w:rPr>
        <w:t>“8.3</w:t>
      </w:r>
      <w:r>
        <w:rPr>
          <w:color w:val="000000"/>
          <w:spacing w:val="-40"/>
          <w:sz w:val="21"/>
          <w:shd w:val="clear" w:color="auto" w:fill="E4E4E4"/>
        </w:rPr>
        <w:t xml:space="preserve"> </w:t>
      </w:r>
      <w:r>
        <w:rPr>
          <w:color w:val="000000"/>
          <w:sz w:val="21"/>
          <w:shd w:val="clear" w:color="auto" w:fill="E4E4E4"/>
        </w:rPr>
        <w:t>年龄性别错误</w:t>
      </w:r>
      <w:r>
        <w:rPr>
          <w:color w:val="000000"/>
          <w:spacing w:val="-101"/>
          <w:sz w:val="21"/>
          <w:shd w:val="clear" w:color="auto" w:fill="E4E4E4"/>
        </w:rPr>
        <w:t>”、</w:t>
      </w:r>
      <w:r>
        <w:rPr>
          <w:color w:val="000000"/>
          <w:sz w:val="21"/>
          <w:shd w:val="clear" w:color="auto" w:fill="E4E4E4"/>
        </w:rPr>
        <w:t>“附表一</w:t>
      </w:r>
      <w:r>
        <w:rPr>
          <w:color w:val="000000"/>
          <w:spacing w:val="-104"/>
          <w:sz w:val="21"/>
          <w:shd w:val="clear" w:color="auto" w:fill="E4E4E4"/>
        </w:rPr>
        <w:t>”</w:t>
      </w:r>
      <w:r>
        <w:rPr>
          <w:color w:val="000000"/>
          <w:spacing w:val="-101"/>
          <w:sz w:val="21"/>
          <w:shd w:val="clear" w:color="auto" w:fill="E4E4E4"/>
        </w:rPr>
        <w:t>、</w:t>
      </w:r>
      <w:r>
        <w:rPr>
          <w:color w:val="000000"/>
          <w:sz w:val="21"/>
          <w:shd w:val="clear" w:color="auto" w:fill="E4E4E4"/>
        </w:rPr>
        <w:t>“附表二</w:t>
      </w:r>
      <w:r>
        <w:rPr>
          <w:color w:val="000000"/>
          <w:spacing w:val="-104"/>
          <w:sz w:val="21"/>
          <w:shd w:val="clear" w:color="auto" w:fill="E4E4E4"/>
        </w:rPr>
        <w:t>”</w:t>
      </w:r>
      <w:r>
        <w:rPr>
          <w:color w:val="000000"/>
          <w:spacing w:val="-101"/>
          <w:sz w:val="21"/>
          <w:shd w:val="clear" w:color="auto" w:fill="E4E4E4"/>
        </w:rPr>
        <w:t>、</w:t>
      </w:r>
      <w:r>
        <w:rPr>
          <w:color w:val="000000"/>
          <w:sz w:val="21"/>
          <w:shd w:val="clear" w:color="auto" w:fill="E4E4E4"/>
        </w:rPr>
        <w:t>“附表三</w:t>
      </w:r>
      <w:r>
        <w:rPr>
          <w:color w:val="000000"/>
          <w:spacing w:val="-104"/>
          <w:sz w:val="21"/>
          <w:shd w:val="clear" w:color="auto" w:fill="E4E4E4"/>
        </w:rPr>
        <w:t>”</w:t>
      </w:r>
      <w:r>
        <w:rPr>
          <w:color w:val="000000"/>
          <w:spacing w:val="-101"/>
          <w:sz w:val="21"/>
          <w:shd w:val="clear" w:color="auto" w:fill="E4E4E4"/>
        </w:rPr>
        <w:t>、</w:t>
      </w:r>
      <w:r>
        <w:rPr>
          <w:color w:val="000000"/>
          <w:sz w:val="21"/>
          <w:shd w:val="clear" w:color="auto" w:fill="E4E4E4"/>
        </w:rPr>
        <w:t>“附表四”中背景突出显示的内容以及“2.3</w:t>
      </w:r>
      <w:r>
        <w:rPr>
          <w:color w:val="000000"/>
          <w:spacing w:val="-44"/>
          <w:sz w:val="21"/>
          <w:shd w:val="clear" w:color="auto" w:fill="E4E4E4"/>
        </w:rPr>
        <w:t xml:space="preserve"> </w:t>
      </w:r>
      <w:r>
        <w:rPr>
          <w:color w:val="000000"/>
          <w:sz w:val="21"/>
          <w:shd w:val="clear" w:color="auto" w:fill="E4E4E4"/>
        </w:rPr>
        <w:t>保险责任”中脚注背景突出显示的内</w:t>
      </w:r>
      <w:r>
        <w:rPr>
          <w:color w:val="000000"/>
          <w:spacing w:val="-4"/>
          <w:sz w:val="21"/>
          <w:shd w:val="clear" w:color="auto" w:fill="E4E4E4"/>
        </w:rPr>
        <w:t>容等。</w:t>
      </w:r>
    </w:p>
    <w:p>
      <w:pPr>
        <w:pStyle w:val="9"/>
        <w:numPr>
          <w:ilvl w:val="1"/>
          <w:numId w:val="2"/>
        </w:numPr>
        <w:tabs>
          <w:tab w:val="left" w:pos="1321"/>
          <w:tab w:val="left" w:pos="1322"/>
          <w:tab w:val="left" w:pos="3020"/>
        </w:tabs>
        <w:spacing w:before="154" w:after="0" w:line="266" w:lineRule="auto"/>
        <w:ind w:left="3020" w:right="208" w:hanging="2801"/>
        <w:jc w:val="left"/>
        <w:rPr>
          <w:sz w:val="21"/>
        </w:rPr>
      </w:pPr>
      <w:r>
        <w:rPr>
          <w:b/>
          <w:spacing w:val="-2"/>
          <w:position w:val="1"/>
          <w:sz w:val="21"/>
        </w:rPr>
        <w:t>未成年人限制</w:t>
      </w:r>
      <w:r>
        <w:rPr>
          <w:b/>
          <w:position w:val="1"/>
          <w:sz w:val="21"/>
        </w:rPr>
        <w:tab/>
      </w:r>
      <w:r>
        <w:rPr>
          <w:color w:val="000000"/>
          <w:spacing w:val="-2"/>
          <w:w w:val="95"/>
          <w:sz w:val="21"/>
          <w:shd w:val="clear" w:color="auto" w:fill="E4E4E4"/>
        </w:rPr>
        <w:t>对未成年子女投保的人身保险，因被保险人身故给付的保险金总和不得超过国</w:t>
      </w:r>
      <w:r>
        <w:rPr>
          <w:color w:val="000000"/>
          <w:spacing w:val="80"/>
          <w:w w:val="150"/>
          <w:sz w:val="21"/>
          <w:shd w:val="clear" w:color="auto" w:fill="E4E4E4"/>
        </w:rPr>
        <w:t xml:space="preserve">                                       </w:t>
      </w:r>
      <w:r>
        <w:rPr>
          <w:color w:val="000000"/>
          <w:spacing w:val="-2"/>
          <w:sz w:val="21"/>
          <w:shd w:val="clear" w:color="auto" w:fill="E4E4E4"/>
        </w:rPr>
        <w:t>务院保险监督管理机构规定的限额。</w:t>
      </w:r>
    </w:p>
    <w:p>
      <w:pPr>
        <w:pStyle w:val="2"/>
        <w:numPr>
          <w:ilvl w:val="0"/>
          <w:numId w:val="2"/>
        </w:numPr>
        <w:tabs>
          <w:tab w:val="left" w:pos="1321"/>
          <w:tab w:val="left" w:pos="1322"/>
        </w:tabs>
        <w:spacing w:before="131" w:after="4" w:line="240" w:lineRule="auto"/>
        <w:ind w:left="1321" w:right="0" w:hanging="1102"/>
        <w:jc w:val="left"/>
      </w:pPr>
      <w:r>
        <w:rPr>
          <w:spacing w:val="-2"/>
          <w:w w:val="95"/>
        </w:rPr>
        <w:t>保险金申领</w:t>
      </w:r>
    </w:p>
    <w:p>
      <w:pPr>
        <w:pStyle w:val="4"/>
        <w:spacing w:line="20" w:lineRule="exact"/>
        <w:ind w:left="112"/>
        <w:rPr>
          <w:sz w:val="2"/>
        </w:rPr>
      </w:pPr>
      <w:r>
        <w:rPr>
          <w:sz w:val="2"/>
        </w:rPr>
        <w:drawing>
          <wp:inline distT="0" distB="0" distL="0" distR="0">
            <wp:extent cx="6459220" cy="5715"/>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0" cstate="print"/>
                    <a:stretch>
                      <a:fillRect/>
                    </a:stretch>
                  </pic:blipFill>
                  <pic:spPr>
                    <a:xfrm>
                      <a:off x="0" y="0"/>
                      <a:ext cx="6459854" cy="6096"/>
                    </a:xfrm>
                    <a:prstGeom prst="rect">
                      <a:avLst/>
                    </a:prstGeom>
                  </pic:spPr>
                </pic:pic>
              </a:graphicData>
            </a:graphic>
          </wp:inline>
        </w:drawing>
      </w:r>
    </w:p>
    <w:p>
      <w:pPr>
        <w:pStyle w:val="9"/>
        <w:numPr>
          <w:ilvl w:val="1"/>
          <w:numId w:val="2"/>
        </w:numPr>
        <w:tabs>
          <w:tab w:val="left" w:pos="1321"/>
          <w:tab w:val="left" w:pos="1322"/>
          <w:tab w:val="left" w:pos="3020"/>
        </w:tabs>
        <w:spacing w:before="166" w:after="0" w:line="240" w:lineRule="auto"/>
        <w:ind w:left="1321" w:right="0" w:hanging="1102"/>
        <w:jc w:val="left"/>
        <w:rPr>
          <w:sz w:val="21"/>
        </w:rPr>
      </w:pPr>
      <w:r>
        <w:rPr>
          <w:b/>
          <w:w w:val="95"/>
          <w:position w:val="1"/>
          <w:sz w:val="21"/>
        </w:rPr>
        <w:t>受益</w:t>
      </w:r>
      <w:r>
        <w:rPr>
          <w:b/>
          <w:spacing w:val="-10"/>
          <w:w w:val="95"/>
          <w:position w:val="1"/>
          <w:sz w:val="21"/>
        </w:rPr>
        <w:t>人</w:t>
      </w:r>
      <w:r>
        <w:rPr>
          <w:b/>
          <w:position w:val="1"/>
          <w:sz w:val="21"/>
        </w:rPr>
        <w:tab/>
      </w:r>
      <w:r>
        <w:rPr>
          <w:w w:val="95"/>
          <w:sz w:val="21"/>
        </w:rPr>
        <w:t>投保人或者被保险人可以指定一人或多人为身故保险金受益人</w:t>
      </w:r>
      <w:r>
        <w:rPr>
          <w:spacing w:val="-10"/>
          <w:w w:val="95"/>
          <w:sz w:val="21"/>
        </w:rPr>
        <w:t>。</w:t>
      </w:r>
    </w:p>
    <w:p>
      <w:pPr>
        <w:pStyle w:val="4"/>
        <w:spacing w:before="187" w:line="266" w:lineRule="auto"/>
        <w:ind w:left="3020" w:right="208"/>
      </w:pPr>
      <w:r>
        <w:rPr>
          <w:spacing w:val="-1"/>
          <w:w w:val="99"/>
        </w:rPr>
        <w:t>身故保险金受益人为多人时，可以确定受益顺序和受益份额；如果没有确定份额，各受益人按照相等份额享有受益权。</w:t>
      </w:r>
    </w:p>
    <w:p>
      <w:pPr>
        <w:pStyle w:val="4"/>
        <w:spacing w:before="159" w:line="266" w:lineRule="auto"/>
        <w:ind w:left="3020" w:right="208"/>
      </w:pPr>
      <w:r>
        <w:rPr>
          <w:spacing w:val="-1"/>
          <w:w w:val="99"/>
        </w:rPr>
        <w:t>被保险人为无民事行为能力人或限制民事行为能力人的，可以由其监护人指定受益人。</w:t>
      </w:r>
    </w:p>
    <w:p>
      <w:pPr>
        <w:pStyle w:val="4"/>
        <w:spacing w:before="159" w:line="266" w:lineRule="auto"/>
        <w:ind w:left="3020" w:right="208"/>
      </w:pPr>
      <w:r>
        <w:rPr>
          <w:spacing w:val="-1"/>
          <w:w w:val="99"/>
        </w:rPr>
        <w:t>投保人或者被保险人可以变更身故保险金受益人并书面通知本公司。本公司收到变更受益人的通知后，在保险单或其他保险凭证上批注或附贴批单。</w:t>
      </w:r>
    </w:p>
    <w:p>
      <w:pPr>
        <w:pStyle w:val="4"/>
        <w:rPr>
          <w:sz w:val="26"/>
        </w:rPr>
      </w:pPr>
    </w:p>
    <w:p>
      <w:pPr>
        <w:spacing w:before="90"/>
        <w:ind w:left="220" w:right="0" w:firstLine="0"/>
        <w:jc w:val="left"/>
        <w:rPr>
          <w:rFonts w:ascii="楷体" w:eastAsia="楷体"/>
          <w:sz w:val="18"/>
        </w:rPr>
      </w:pPr>
      <w:r>
        <w:rPr>
          <w:b/>
          <w:w w:val="95"/>
          <w:position w:val="9"/>
          <w:sz w:val="9"/>
        </w:rPr>
        <w:t>3</w:t>
      </w:r>
      <w:bookmarkStart w:id="33" w:name="_bookmark33"/>
      <w:bookmarkEnd w:id="33"/>
      <w:r>
        <w:rPr>
          <w:b/>
          <w:w w:val="95"/>
          <w:position w:val="9"/>
          <w:sz w:val="9"/>
        </w:rPr>
        <w:t>6</w:t>
      </w:r>
      <w:r>
        <w:rPr>
          <w:rFonts w:hint="eastAsia" w:ascii="楷体" w:eastAsia="楷体"/>
          <w:b/>
          <w:w w:val="95"/>
          <w:sz w:val="18"/>
        </w:rPr>
        <w:t>遗传性疾病：</w:t>
      </w:r>
      <w:r>
        <w:rPr>
          <w:rFonts w:ascii="楷体" w:eastAsia="楷体"/>
          <w:w w:val="95"/>
          <w:sz w:val="18"/>
        </w:rPr>
        <w:t>指生殖细胞或受精卵的遗传物质（染色体和基因）发生突变或畸变所引起的疾病，通常具有由亲代传至后代</w:t>
      </w:r>
      <w:r>
        <w:rPr>
          <w:rFonts w:ascii="楷体" w:eastAsia="楷体"/>
          <w:spacing w:val="-10"/>
          <w:w w:val="95"/>
          <w:sz w:val="18"/>
        </w:rPr>
        <w:t>的</w:t>
      </w:r>
    </w:p>
    <w:p>
      <w:pPr>
        <w:spacing w:before="3"/>
        <w:ind w:left="220" w:right="0" w:firstLine="0"/>
        <w:jc w:val="left"/>
        <w:rPr>
          <w:rFonts w:ascii="楷体" w:eastAsia="楷体"/>
          <w:sz w:val="18"/>
        </w:rPr>
      </w:pPr>
      <w:r>
        <w:rPr>
          <w:rFonts w:ascii="楷体" w:eastAsia="楷体"/>
          <w:spacing w:val="-2"/>
          <w:sz w:val="18"/>
        </w:rPr>
        <w:t>垂直传递的特征。</w:t>
      </w:r>
    </w:p>
    <w:p>
      <w:pPr>
        <w:spacing w:before="4"/>
        <w:ind w:left="220" w:right="0" w:firstLine="0"/>
        <w:jc w:val="left"/>
        <w:rPr>
          <w:rFonts w:ascii="楷体" w:eastAsia="楷体"/>
          <w:sz w:val="18"/>
        </w:rPr>
      </w:pPr>
      <w:r>
        <w:rPr>
          <w:b/>
          <w:w w:val="95"/>
          <w:position w:val="9"/>
          <w:sz w:val="9"/>
        </w:rPr>
        <w:t>3</w:t>
      </w:r>
      <w:bookmarkStart w:id="34" w:name="_bookmark34"/>
      <w:bookmarkEnd w:id="34"/>
      <w:r>
        <w:rPr>
          <w:b/>
          <w:w w:val="95"/>
          <w:position w:val="9"/>
          <w:sz w:val="9"/>
        </w:rPr>
        <w:t>7</w:t>
      </w:r>
      <w:r>
        <w:rPr>
          <w:rFonts w:hint="eastAsia" w:ascii="楷体" w:eastAsia="楷体"/>
          <w:b/>
          <w:w w:val="95"/>
          <w:sz w:val="18"/>
        </w:rPr>
        <w:t>先天性畸形、变形或染色体异常：</w:t>
      </w:r>
      <w:r>
        <w:rPr>
          <w:rFonts w:ascii="楷体" w:eastAsia="楷体"/>
          <w:w w:val="95"/>
          <w:sz w:val="18"/>
        </w:rPr>
        <w:t>指被保险人出生时就具有的畸形、变形或染色体异常。先天性畸形、变形和染色体异常</w:t>
      </w:r>
      <w:r>
        <w:rPr>
          <w:rFonts w:ascii="楷体" w:eastAsia="楷体"/>
          <w:spacing w:val="-10"/>
          <w:w w:val="95"/>
          <w:sz w:val="18"/>
        </w:rPr>
        <w:t>依</w:t>
      </w:r>
    </w:p>
    <w:p>
      <w:pPr>
        <w:spacing w:before="2"/>
        <w:ind w:left="220" w:right="0" w:firstLine="0"/>
        <w:jc w:val="left"/>
        <w:rPr>
          <w:rFonts w:ascii="楷体" w:eastAsia="楷体"/>
          <w:sz w:val="18"/>
        </w:rPr>
      </w:pPr>
      <w:r>
        <w:rPr>
          <w:rFonts w:ascii="楷体" w:eastAsia="楷体"/>
          <w:spacing w:val="-2"/>
          <w:sz w:val="18"/>
        </w:rPr>
        <w:t>照世界卫生组织《疾病和有关健康问题的国际统计分类》第十次修订版（ICD-10）</w:t>
      </w:r>
      <w:r>
        <w:rPr>
          <w:rFonts w:ascii="楷体" w:eastAsia="楷体"/>
          <w:spacing w:val="-5"/>
          <w:sz w:val="18"/>
        </w:rPr>
        <w:t>确定。</w:t>
      </w:r>
    </w:p>
    <w:p>
      <w:pPr>
        <w:spacing w:after="0"/>
        <w:jc w:val="left"/>
        <w:rPr>
          <w:rFonts w:ascii="楷体" w:eastAsia="楷体"/>
          <w:sz w:val="18"/>
        </w:rPr>
        <w:sectPr>
          <w:pgSz w:w="11910" w:h="16840"/>
          <w:pgMar w:top="1400" w:right="660" w:bottom="860" w:left="860" w:header="0" w:footer="662" w:gutter="0"/>
          <w:cols w:space="720" w:num="1"/>
        </w:sectPr>
      </w:pPr>
    </w:p>
    <w:p>
      <w:pPr>
        <w:pStyle w:val="4"/>
        <w:spacing w:before="42"/>
        <w:ind w:left="3020"/>
      </w:pPr>
      <w:r>
        <w:rPr>
          <w:spacing w:val="-1"/>
          <w:w w:val="95"/>
        </w:rPr>
        <w:t>投保人在指定和变更身故保险金受益人时，必须经过被保险人同意。</w:t>
      </w:r>
    </w:p>
    <w:p>
      <w:pPr>
        <w:pStyle w:val="4"/>
        <w:spacing w:before="8"/>
        <w:rPr>
          <w:sz w:val="14"/>
        </w:rPr>
      </w:pPr>
    </w:p>
    <w:p>
      <w:pPr>
        <w:pStyle w:val="4"/>
        <w:spacing w:line="266" w:lineRule="auto"/>
        <w:ind w:left="3020" w:right="208"/>
      </w:pPr>
      <w:r>
        <w:rPr>
          <w:spacing w:val="-1"/>
          <w:w w:val="99"/>
        </w:rPr>
        <w:t>被保险人身故后，有下列情形之一的，保险金作为被保险人的遗产，由本公司依照《中华人民共和国继承法》的规定履行给付保险金的义务：</w:t>
      </w:r>
    </w:p>
    <w:p>
      <w:pPr>
        <w:pStyle w:val="9"/>
        <w:numPr>
          <w:ilvl w:val="0"/>
          <w:numId w:val="8"/>
        </w:numPr>
        <w:tabs>
          <w:tab w:val="left" w:pos="3741"/>
        </w:tabs>
        <w:spacing w:before="159" w:after="0" w:line="240" w:lineRule="auto"/>
        <w:ind w:left="3740" w:right="0" w:hanging="721"/>
        <w:jc w:val="left"/>
        <w:rPr>
          <w:sz w:val="21"/>
        </w:rPr>
      </w:pPr>
      <w:r>
        <w:rPr>
          <w:spacing w:val="-1"/>
          <w:w w:val="95"/>
          <w:sz w:val="21"/>
        </w:rPr>
        <w:t>没有指定受益人，或者受益人指定不明无法确定的；</w:t>
      </w:r>
    </w:p>
    <w:p>
      <w:pPr>
        <w:pStyle w:val="4"/>
        <w:spacing w:before="7"/>
        <w:rPr>
          <w:sz w:val="14"/>
        </w:rPr>
      </w:pPr>
    </w:p>
    <w:p>
      <w:pPr>
        <w:pStyle w:val="9"/>
        <w:numPr>
          <w:ilvl w:val="0"/>
          <w:numId w:val="8"/>
        </w:numPr>
        <w:tabs>
          <w:tab w:val="left" w:pos="3741"/>
        </w:tabs>
        <w:spacing w:before="0" w:after="0" w:line="240" w:lineRule="auto"/>
        <w:ind w:left="3740" w:right="0" w:hanging="721"/>
        <w:jc w:val="left"/>
        <w:rPr>
          <w:sz w:val="21"/>
        </w:rPr>
      </w:pPr>
      <w:r>
        <w:rPr>
          <w:spacing w:val="-1"/>
          <w:w w:val="95"/>
          <w:sz w:val="21"/>
        </w:rPr>
        <w:t>受益人先于被保险人身故，没有其他受益人的；</w:t>
      </w:r>
    </w:p>
    <w:p>
      <w:pPr>
        <w:pStyle w:val="4"/>
        <w:spacing w:before="7"/>
        <w:rPr>
          <w:sz w:val="14"/>
        </w:rPr>
      </w:pPr>
    </w:p>
    <w:p>
      <w:pPr>
        <w:pStyle w:val="9"/>
        <w:numPr>
          <w:ilvl w:val="0"/>
          <w:numId w:val="8"/>
        </w:numPr>
        <w:tabs>
          <w:tab w:val="left" w:pos="3741"/>
        </w:tabs>
        <w:spacing w:before="1" w:after="0" w:line="240" w:lineRule="auto"/>
        <w:ind w:left="3740" w:right="0" w:hanging="721"/>
        <w:jc w:val="left"/>
        <w:rPr>
          <w:sz w:val="21"/>
        </w:rPr>
      </w:pPr>
      <w:r>
        <w:rPr>
          <w:spacing w:val="-1"/>
          <w:w w:val="95"/>
          <w:sz w:val="21"/>
        </w:rPr>
        <w:t>受益人依法丧失受益权或者放弃受益权，没有其他受益人的。</w:t>
      </w:r>
    </w:p>
    <w:p>
      <w:pPr>
        <w:pStyle w:val="4"/>
        <w:spacing w:before="6"/>
        <w:rPr>
          <w:sz w:val="12"/>
        </w:rPr>
      </w:pPr>
      <w:r>
        <w:pict>
          <v:shape id="docshape24" o:spid="_x0000_s1048" o:spt="202" type="#_x0000_t202" style="position:absolute;left:0pt;margin-left:194.1pt;margin-top:9.2pt;height:13.6pt;width:357.75pt;mso-position-horizontal-relative:page;mso-wrap-distance-bottom:0pt;mso-wrap-distance-top:0pt;z-index:-251634688;mso-width-relative:page;mso-height-relative:page;"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w w:val="95"/>
                    </w:rPr>
                    <w:t>受益人与被保险人在同一事件中身故，且不能确定身故先后顺序的，推定受</w:t>
                  </w:r>
                  <w:r>
                    <w:rPr>
                      <w:color w:val="000000"/>
                      <w:spacing w:val="-10"/>
                      <w:w w:val="95"/>
                    </w:rPr>
                    <w:t>益</w:t>
                  </w:r>
                </w:p>
              </w:txbxContent>
            </v:textbox>
            <w10:wrap type="topAndBottom"/>
          </v:shape>
        </w:pict>
      </w:r>
    </w:p>
    <w:p>
      <w:pPr>
        <w:pStyle w:val="4"/>
        <w:spacing w:before="2"/>
        <w:rPr>
          <w:sz w:val="2"/>
        </w:rPr>
      </w:pPr>
    </w:p>
    <w:p>
      <w:pPr>
        <w:pStyle w:val="4"/>
        <w:ind w:left="3022"/>
        <w:rPr>
          <w:sz w:val="20"/>
        </w:rPr>
      </w:pPr>
      <w:r>
        <w:rPr>
          <w:sz w:val="20"/>
        </w:rPr>
        <w:pict>
          <v:shape id="docshape25" o:spid="_x0000_s1049" o:spt="202" type="#_x0000_t202" style="height:13.6pt;width:68.25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4"/>
                      <w:w w:val="95"/>
                    </w:rPr>
                    <w:t>人身故在先。</w:t>
                  </w:r>
                </w:p>
              </w:txbxContent>
            </v:textbox>
            <w10:wrap type="none"/>
            <w10:anchorlock/>
          </v:shape>
        </w:pict>
      </w:r>
    </w:p>
    <w:p>
      <w:pPr>
        <w:pStyle w:val="4"/>
        <w:spacing w:before="4"/>
        <w:rPr>
          <w:sz w:val="10"/>
        </w:rPr>
      </w:pPr>
      <w:r>
        <w:drawing>
          <wp:anchor distT="0" distB="0" distL="0" distR="0" simplePos="0" relativeHeight="251670528" behindDoc="1" locked="0" layoutInCell="1" allowOverlap="1">
            <wp:simplePos x="0" y="0"/>
            <wp:positionH relativeFrom="page">
              <wp:posOffset>2465070</wp:posOffset>
            </wp:positionH>
            <wp:positionV relativeFrom="paragraph">
              <wp:posOffset>99060</wp:posOffset>
            </wp:positionV>
            <wp:extent cx="4543425" cy="17272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a:picLocks noChangeAspect="1"/>
                    </pic:cNvPicPr>
                  </pic:nvPicPr>
                  <pic:blipFill>
                    <a:blip r:embed="rId12" cstate="print"/>
                    <a:stretch>
                      <a:fillRect/>
                    </a:stretch>
                  </pic:blipFill>
                  <pic:spPr>
                    <a:xfrm>
                      <a:off x="0" y="0"/>
                      <a:ext cx="4543425" cy="172720"/>
                    </a:xfrm>
                    <a:prstGeom prst="rect">
                      <a:avLst/>
                    </a:prstGeom>
                  </pic:spPr>
                </pic:pic>
              </a:graphicData>
            </a:graphic>
          </wp:anchor>
        </w:drawing>
      </w:r>
      <w:r>
        <w:pict>
          <v:shape id="docshape26" o:spid="_x0000_s1050" o:spt="202" type="#_x0000_t202" style="position:absolute;left:0pt;margin-left:194pt;margin-top:7.8pt;height:13.6pt;width:363.05pt;mso-position-horizontal-relative:page;z-index:-251645952;mso-width-relative:page;mso-height-relative:page;" filled="f" stroked="f" coordsize="21600,21600">
            <v:path/>
            <v:fill on="f" focussize="0,0"/>
            <v:stroke on="f" joinstyle="miter"/>
            <v:imagedata o:title=""/>
            <o:lock v:ext="edit"/>
            <v:textbox inset="0mm,0mm,0mm,0mm">
              <w:txbxContent>
                <w:p>
                  <w:pPr>
                    <w:pStyle w:val="4"/>
                    <w:spacing w:before="2"/>
                  </w:pPr>
                  <w:r>
                    <w:rPr>
                      <w:w w:val="95"/>
                    </w:rPr>
                    <w:t>受益人故意造成被保险人身故、伤残、疾病的，或者故意杀害被保险人未遂的</w:t>
                  </w:r>
                  <w:r>
                    <w:rPr>
                      <w:spacing w:val="-10"/>
                      <w:w w:val="95"/>
                    </w:rPr>
                    <w:t>，</w:t>
                  </w:r>
                </w:p>
              </w:txbxContent>
            </v:textbox>
          </v:shape>
        </w:pict>
      </w:r>
      <w:r>
        <w:pict>
          <v:shape id="docshape27" o:spid="_x0000_s1051" o:spt="202" type="#_x0000_t202" style="position:absolute;left:0pt;margin-left:194.1pt;margin-top:22.8pt;height:13.6pt;width:105pt;mso-position-horizontal-relative:page;mso-wrap-distance-bottom:0pt;mso-wrap-distance-top:0pt;z-index:-251633664;mso-width-relative:page;mso-height-relative:page;"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1"/>
                      <w:w w:val="95"/>
                    </w:rPr>
                    <w:t>该受益人丧失受益权。</w:t>
                  </w:r>
                </w:p>
              </w:txbxContent>
            </v:textbox>
            <w10:wrap type="topAndBottom"/>
          </v:shape>
        </w:pict>
      </w:r>
    </w:p>
    <w:p>
      <w:pPr>
        <w:pStyle w:val="4"/>
        <w:spacing w:before="1"/>
        <w:rPr>
          <w:sz w:val="9"/>
        </w:rPr>
      </w:pPr>
    </w:p>
    <w:p>
      <w:pPr>
        <w:pStyle w:val="4"/>
        <w:spacing w:before="70" w:line="266" w:lineRule="auto"/>
        <w:ind w:left="3020" w:right="104"/>
      </w:pPr>
      <w:r>
        <w:rPr>
          <w:spacing w:val="-1"/>
          <w:w w:val="99"/>
        </w:rPr>
        <w:t>首次重大疾病保险金、中度疾病保险金、轻度疾病保险金、少儿特定疾病和少</w:t>
      </w:r>
      <w:r>
        <w:rPr>
          <w:spacing w:val="-8"/>
          <w:w w:val="99"/>
        </w:rPr>
        <w:t>儿罕见疾病保险金、全残保险金、疾病终末期保险金、第二次重大疾病保险金、</w:t>
      </w:r>
      <w:r>
        <w:rPr>
          <w:spacing w:val="-7"/>
          <w:w w:val="99"/>
        </w:rPr>
        <w:t>恶性肿瘤-重度第二次给付保险金、少儿意外医疗保险金及少儿接种意外住院津</w:t>
      </w:r>
      <w:r>
        <w:rPr>
          <w:spacing w:val="-1"/>
          <w:w w:val="99"/>
        </w:rPr>
        <w:t>贴保险金的受益人为被保险人本人。</w:t>
      </w:r>
    </w:p>
    <w:p>
      <w:pPr>
        <w:pStyle w:val="9"/>
        <w:numPr>
          <w:ilvl w:val="1"/>
          <w:numId w:val="2"/>
        </w:numPr>
        <w:tabs>
          <w:tab w:val="left" w:pos="1321"/>
          <w:tab w:val="left" w:pos="1322"/>
          <w:tab w:val="left" w:pos="3020"/>
        </w:tabs>
        <w:spacing w:before="151" w:after="0" w:line="240" w:lineRule="auto"/>
        <w:ind w:left="1321" w:right="0" w:hanging="1102"/>
        <w:jc w:val="left"/>
        <w:rPr>
          <w:sz w:val="21"/>
        </w:rPr>
      </w:pPr>
      <w:r>
        <w:rPr>
          <w:b/>
          <w:w w:val="95"/>
          <w:position w:val="1"/>
          <w:sz w:val="21"/>
        </w:rPr>
        <w:t>保险事故通</w:t>
      </w:r>
      <w:r>
        <w:rPr>
          <w:b/>
          <w:spacing w:val="-10"/>
          <w:w w:val="95"/>
          <w:position w:val="1"/>
          <w:sz w:val="21"/>
        </w:rPr>
        <w:t>知</w:t>
      </w:r>
      <w:r>
        <w:rPr>
          <w:b/>
          <w:position w:val="1"/>
          <w:sz w:val="21"/>
        </w:rPr>
        <w:tab/>
      </w:r>
      <w:r>
        <w:rPr>
          <w:w w:val="95"/>
          <w:sz w:val="21"/>
        </w:rPr>
        <w:t>投保人、被保险人或受益人应当在知道保险事故发生后</w:t>
      </w:r>
      <w:r>
        <w:rPr>
          <w:spacing w:val="41"/>
          <w:w w:val="150"/>
          <w:sz w:val="21"/>
        </w:rPr>
        <w:t xml:space="preserve"> </w:t>
      </w:r>
      <w:r>
        <w:rPr>
          <w:w w:val="95"/>
          <w:sz w:val="21"/>
        </w:rPr>
        <w:t>10</w:t>
      </w:r>
      <w:r>
        <w:rPr>
          <w:spacing w:val="33"/>
          <w:w w:val="150"/>
          <w:sz w:val="21"/>
        </w:rPr>
        <w:t xml:space="preserve"> </w:t>
      </w:r>
      <w:r>
        <w:rPr>
          <w:w w:val="95"/>
          <w:sz w:val="21"/>
        </w:rPr>
        <w:t>日内通知本公司</w:t>
      </w:r>
      <w:r>
        <w:rPr>
          <w:spacing w:val="-10"/>
          <w:w w:val="95"/>
          <w:sz w:val="21"/>
        </w:rPr>
        <w:t>。</w:t>
      </w:r>
    </w:p>
    <w:p>
      <w:pPr>
        <w:pStyle w:val="4"/>
        <w:rPr>
          <w:sz w:val="20"/>
        </w:rPr>
      </w:pPr>
    </w:p>
    <w:p>
      <w:pPr>
        <w:pStyle w:val="4"/>
        <w:rPr>
          <w:sz w:val="20"/>
        </w:rPr>
      </w:pPr>
    </w:p>
    <w:p>
      <w:pPr>
        <w:pStyle w:val="4"/>
        <w:rPr>
          <w:sz w:val="16"/>
        </w:rPr>
      </w:pPr>
    </w:p>
    <w:p>
      <w:pPr>
        <w:pStyle w:val="4"/>
        <w:spacing w:before="70" w:line="266" w:lineRule="auto"/>
        <w:ind w:left="3020" w:right="208" w:firstLine="1473"/>
        <w:jc w:val="both"/>
      </w:pPr>
      <w:r>
        <w:pict>
          <v:shape id="docshape28" o:spid="_x0000_s1052" o:spt="202" type="#_x0000_t202" style="position:absolute;left:0pt;margin-left:194.1pt;margin-top:1.95pt;height:15pt;width:73.65pt;mso-position-horizontal-relative:page;z-index:-251644928;mso-width-relative:page;mso-height-relative:page;" fillcolor="#C0C0C0" filled="t" stroked="f" coordsize="21600,21600">
            <v:path/>
            <v:fill on="t" focussize="0,0"/>
            <v:stroke on="f" joinstyle="miter"/>
            <v:imagedata o:title=""/>
            <o:lock v:ext="edit"/>
            <v:textbox inset="0mm,0mm,0mm,0mm">
              <w:txbxContent>
                <w:p>
                  <w:pPr>
                    <w:pStyle w:val="4"/>
                    <w:spacing w:before="30"/>
                    <w:ind w:left="-2"/>
                    <w:rPr>
                      <w:color w:val="000000"/>
                    </w:rPr>
                  </w:pPr>
                  <w:r>
                    <w:rPr>
                      <w:color w:val="000000"/>
                      <w:w w:val="95"/>
                    </w:rPr>
                    <w:t>保险金的</w:t>
                  </w:r>
                  <w:r>
                    <w:rPr>
                      <w:color w:val="000000"/>
                      <w:spacing w:val="-4"/>
                      <w:w w:val="95"/>
                    </w:rPr>
                    <w:t>责任，</w:t>
                  </w:r>
                </w:p>
              </w:txbxContent>
            </v:textbox>
          </v:shape>
        </w:pict>
      </w:r>
      <w:r>
        <w:pict>
          <v:shape id="docshape29" o:spid="_x0000_s1053" o:spt="202" type="#_x0000_t202" style="position:absolute;left:0pt;margin-left:194.1pt;margin-top:-28pt;height:30pt;width:357.75pt;mso-position-horizontal-relative:page;z-index:251663360;mso-width-relative:page;mso-height-relative:page;" fillcolor="#C0C0C0" filled="t" stroked="f" coordsize="21600,21600">
            <v:path/>
            <v:fill on="t" focussize="0,0"/>
            <v:stroke on="f" joinstyle="miter"/>
            <v:imagedata o:title=""/>
            <o:lock v:ext="edit"/>
            <v:textbox inset="0mm,0mm,0mm,0mm">
              <w:txbxContent>
                <w:p>
                  <w:pPr>
                    <w:pStyle w:val="4"/>
                    <w:spacing w:before="26" w:line="266" w:lineRule="auto"/>
                    <w:ind w:left="-2" w:right="1"/>
                    <w:rPr>
                      <w:color w:val="000000"/>
                    </w:rPr>
                  </w:pPr>
                  <w:r>
                    <w:rPr>
                      <w:color w:val="000000"/>
                      <w:spacing w:val="-1"/>
                      <w:w w:val="99"/>
                    </w:rPr>
                    <w:t>若投保人、被保险人或受益人故意或因重大过失未及时通知，致使保险事故的性质、原因、损失程度等难以确定的，本公司对无法确定的部分，不承担给付</w:t>
                  </w:r>
                </w:p>
              </w:txbxContent>
            </v:textbox>
          </v:shape>
        </w:pict>
      </w:r>
      <w:r>
        <w:rPr>
          <w:spacing w:val="-1"/>
          <w:w w:val="99"/>
        </w:rPr>
        <w:t>但本公司通过其他途径已经及时知道或应当及时知道保险事故发生或虽未及时通知但不影响本公司确定保险事故的性质、原因、损失程度的</w:t>
      </w:r>
      <w:r>
        <w:rPr>
          <w:w w:val="99"/>
        </w:rPr>
        <w:t>除外。</w:t>
      </w:r>
    </w:p>
    <w:p>
      <w:pPr>
        <w:pStyle w:val="9"/>
        <w:numPr>
          <w:ilvl w:val="1"/>
          <w:numId w:val="2"/>
        </w:numPr>
        <w:tabs>
          <w:tab w:val="left" w:pos="1322"/>
        </w:tabs>
        <w:spacing w:before="150" w:after="0" w:line="266" w:lineRule="auto"/>
        <w:ind w:left="3020" w:right="208" w:hanging="2801"/>
        <w:jc w:val="both"/>
        <w:rPr>
          <w:sz w:val="21"/>
        </w:rPr>
      </w:pPr>
      <w:r>
        <w:pict>
          <v:shape id="docshape30" o:spid="_x0000_s1054" o:spt="202" type="#_x0000_t202" style="position:absolute;left:0pt;margin-left:520.25pt;margin-top:37.85pt;height:13.6pt;width:31.55pt;mso-position-horizontal-relative:page;z-index:-251643904;mso-width-relative:page;mso-height-relative:page;" fillcolor="#E4E4E4" filled="t" stroked="f" coordsize="21600,21600">
            <v:path/>
            <v:fill on="t" focussize="0,0"/>
            <v:stroke on="f" joinstyle="miter"/>
            <v:imagedata o:title=""/>
            <o:lock v:ext="edit"/>
            <v:textbox inset="0mm,0mm,0mm,0mm">
              <w:txbxContent>
                <w:p>
                  <w:pPr>
                    <w:pStyle w:val="4"/>
                    <w:spacing w:before="2"/>
                    <w:rPr>
                      <w:color w:val="000000"/>
                    </w:rPr>
                  </w:pPr>
                  <w:r>
                    <w:rPr>
                      <w:color w:val="000000"/>
                      <w:spacing w:val="-4"/>
                      <w:w w:val="95"/>
                    </w:rPr>
                    <w:t>受益人</w:t>
                  </w:r>
                </w:p>
              </w:txbxContent>
            </v:textbox>
          </v:shape>
        </w:pict>
      </w:r>
      <w:r>
        <w:rPr>
          <w:b/>
          <w:w w:val="99"/>
          <w:position w:val="1"/>
          <w:sz w:val="21"/>
        </w:rPr>
        <w:t>保险金申请</w:t>
      </w:r>
      <w:r>
        <w:rPr>
          <w:b/>
          <w:spacing w:val="2"/>
          <w:position w:val="1"/>
          <w:sz w:val="21"/>
        </w:rPr>
        <w:t xml:space="preserve">      </w:t>
      </w:r>
      <w:r>
        <w:rPr>
          <w:spacing w:val="-1"/>
          <w:w w:val="99"/>
          <w:sz w:val="21"/>
        </w:rPr>
        <w:t>受益人向本公司申请给付保险金时，应当填写保险金给付申请书，并以书面形式或投保人与本公司约定的其他形式提交下列证明和资料。受益人因特殊原因不能提供下列证明和资料的，应当提供其他合法、有效的证明和资料。</w:t>
      </w:r>
    </w:p>
    <w:p>
      <w:pPr>
        <w:pStyle w:val="4"/>
        <w:ind w:left="3022"/>
        <w:rPr>
          <w:sz w:val="20"/>
        </w:rPr>
      </w:pPr>
      <w:r>
        <w:rPr>
          <w:sz w:val="20"/>
        </w:rPr>
        <w:pict>
          <v:shape id="docshape31" o:spid="_x0000_s1055" o:spt="202" type="#_x0000_t202" style="height:13.6pt;width:357.75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1"/>
                      <w:w w:val="95"/>
                    </w:rPr>
                    <w:t>未能提供有关证明和资料，导致本公司无法核实事故的性质、原因、损失程度</w:t>
                  </w:r>
                </w:p>
              </w:txbxContent>
            </v:textbox>
            <w10:wrap type="none"/>
            <w10:anchorlock/>
          </v:shape>
        </w:pict>
      </w:r>
    </w:p>
    <w:p>
      <w:pPr>
        <w:pStyle w:val="4"/>
        <w:ind w:left="3022"/>
        <w:rPr>
          <w:sz w:val="20"/>
        </w:rPr>
      </w:pPr>
      <w:r>
        <w:rPr>
          <w:sz w:val="20"/>
        </w:rPr>
        <w:pict>
          <v:shape id="docshape32" o:spid="_x0000_s1056" o:spt="202" type="#_x0000_t202" style="height:13.6pt;width:252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3"/>
                      <w:w w:val="95"/>
                    </w:rPr>
                    <w:t>的，本公司对无法核实部分不承担给付保险金的责任。</w:t>
                  </w:r>
                </w:p>
              </w:txbxContent>
            </v:textbox>
            <w10:wrap type="none"/>
            <w10:anchorlock/>
          </v:shape>
        </w:pict>
      </w:r>
    </w:p>
    <w:p>
      <w:pPr>
        <w:pStyle w:val="4"/>
        <w:spacing w:before="11"/>
        <w:rPr>
          <w:sz w:val="7"/>
        </w:rPr>
      </w:pPr>
    </w:p>
    <w:p>
      <w:pPr>
        <w:spacing w:after="0"/>
        <w:rPr>
          <w:sz w:val="7"/>
        </w:rPr>
        <w:sectPr>
          <w:pgSz w:w="11910" w:h="16840"/>
          <w:pgMar w:top="1420" w:right="660" w:bottom="860" w:left="860" w:header="0" w:footer="662" w:gutter="0"/>
          <w:cols w:space="720" w:num="1"/>
        </w:sectPr>
      </w:pPr>
    </w:p>
    <w:p>
      <w:pPr>
        <w:pStyle w:val="3"/>
        <w:numPr>
          <w:ilvl w:val="2"/>
          <w:numId w:val="2"/>
        </w:numPr>
        <w:tabs>
          <w:tab w:val="left" w:pos="1322"/>
        </w:tabs>
        <w:spacing w:before="70" w:after="0" w:line="278" w:lineRule="auto"/>
        <w:ind w:left="1321" w:right="38" w:hanging="1102"/>
        <w:jc w:val="both"/>
      </w:pPr>
      <w:r>
        <w:rPr>
          <w:spacing w:val="-2"/>
        </w:rPr>
        <w:t>除身故保险金或全残保险金外其他保险金</w:t>
      </w:r>
      <w:r>
        <w:rPr>
          <w:spacing w:val="-6"/>
        </w:rPr>
        <w:t>申请</w:t>
      </w:r>
    </w:p>
    <w:p>
      <w:pPr>
        <w:pStyle w:val="4"/>
        <w:spacing w:before="79" w:line="266" w:lineRule="auto"/>
        <w:ind w:left="220" w:right="208"/>
      </w:pPr>
      <w:r>
        <w:br w:type="column"/>
      </w:r>
      <w:r>
        <w:rPr>
          <w:spacing w:val="-1"/>
          <w:w w:val="99"/>
        </w:rPr>
        <w:t>受益人需作为申请人填写保险金给付申请书，并向本公司提供下列证明文件、资料原件：</w:t>
      </w:r>
    </w:p>
    <w:p>
      <w:pPr>
        <w:pStyle w:val="9"/>
        <w:numPr>
          <w:ilvl w:val="0"/>
          <w:numId w:val="9"/>
        </w:numPr>
        <w:tabs>
          <w:tab w:val="left" w:pos="940"/>
        </w:tabs>
        <w:spacing w:before="159" w:after="0" w:line="240" w:lineRule="auto"/>
        <w:ind w:left="940" w:right="0" w:hanging="720"/>
        <w:jc w:val="left"/>
        <w:rPr>
          <w:sz w:val="21"/>
        </w:rPr>
      </w:pPr>
      <w:r>
        <w:rPr>
          <w:spacing w:val="-1"/>
          <w:w w:val="95"/>
          <w:sz w:val="21"/>
        </w:rPr>
        <w:t>受益人有效身份证件；</w:t>
      </w:r>
    </w:p>
    <w:p>
      <w:pPr>
        <w:pStyle w:val="4"/>
        <w:spacing w:before="7"/>
        <w:rPr>
          <w:sz w:val="14"/>
        </w:rPr>
      </w:pPr>
    </w:p>
    <w:p>
      <w:pPr>
        <w:pStyle w:val="9"/>
        <w:numPr>
          <w:ilvl w:val="0"/>
          <w:numId w:val="9"/>
        </w:numPr>
        <w:tabs>
          <w:tab w:val="left" w:pos="940"/>
        </w:tabs>
        <w:spacing w:before="0" w:after="0" w:line="266" w:lineRule="auto"/>
        <w:ind w:left="940" w:right="206" w:hanging="720"/>
        <w:jc w:val="both"/>
        <w:rPr>
          <w:sz w:val="21"/>
        </w:rPr>
      </w:pPr>
      <w:r>
        <w:rPr>
          <w:spacing w:val="-5"/>
          <w:w w:val="99"/>
          <w:sz w:val="21"/>
        </w:rPr>
        <w:t>本公司指定或认可的医疗机构出具的附有病历、病理显微镜检查、血液</w:t>
      </w:r>
      <w:r>
        <w:rPr>
          <w:spacing w:val="-1"/>
          <w:w w:val="99"/>
          <w:sz w:val="21"/>
        </w:rPr>
        <w:t>检验及其他科学方法检验报告的疾病诊断证明书；</w:t>
      </w:r>
    </w:p>
    <w:p>
      <w:pPr>
        <w:pStyle w:val="9"/>
        <w:numPr>
          <w:ilvl w:val="0"/>
          <w:numId w:val="9"/>
        </w:numPr>
        <w:tabs>
          <w:tab w:val="left" w:pos="940"/>
        </w:tabs>
        <w:spacing w:before="159" w:after="0" w:line="266" w:lineRule="auto"/>
        <w:ind w:left="940" w:right="208" w:hanging="720"/>
        <w:jc w:val="both"/>
        <w:rPr>
          <w:sz w:val="21"/>
        </w:rPr>
      </w:pPr>
      <w:r>
        <w:rPr>
          <w:spacing w:val="-4"/>
          <w:w w:val="99"/>
          <w:sz w:val="21"/>
        </w:rPr>
        <w:t>接种疫苗的医疗机构出具的医疗证明和医疗费用原始凭证；若被保险人</w:t>
      </w:r>
      <w:r>
        <w:rPr>
          <w:spacing w:val="-8"/>
          <w:w w:val="99"/>
          <w:sz w:val="21"/>
        </w:rPr>
        <w:t>发生预防接种异常反应的，需提供县级或以上预防接种异常反应调查诊</w:t>
      </w:r>
      <w:r>
        <w:rPr>
          <w:spacing w:val="-4"/>
          <w:w w:val="99"/>
          <w:sz w:val="21"/>
        </w:rPr>
        <w:t>断专家组出具的预防接种异常反应调查诊断或鉴定结论；若被保险人发</w:t>
      </w:r>
      <w:r>
        <w:rPr>
          <w:spacing w:val="-1"/>
          <w:w w:val="99"/>
          <w:sz w:val="21"/>
        </w:rPr>
        <w:t>生偶合症的，需提供接种疫苗的医疗机构出具的事故证明；</w:t>
      </w:r>
    </w:p>
    <w:p>
      <w:pPr>
        <w:pStyle w:val="9"/>
        <w:numPr>
          <w:ilvl w:val="0"/>
          <w:numId w:val="9"/>
        </w:numPr>
        <w:tabs>
          <w:tab w:val="left" w:pos="940"/>
        </w:tabs>
        <w:spacing w:before="161" w:after="0" w:line="266" w:lineRule="auto"/>
        <w:ind w:left="940" w:right="206" w:hanging="720"/>
        <w:jc w:val="both"/>
        <w:rPr>
          <w:sz w:val="21"/>
        </w:rPr>
      </w:pPr>
      <w:r>
        <w:rPr>
          <w:spacing w:val="-6"/>
          <w:w w:val="99"/>
          <w:sz w:val="21"/>
        </w:rPr>
        <w:t>所能提供的与确认保险事故的性质、原因、伤害程度等有关的其他证明</w:t>
      </w:r>
      <w:r>
        <w:rPr>
          <w:spacing w:val="-1"/>
          <w:w w:val="99"/>
          <w:sz w:val="21"/>
        </w:rPr>
        <w:t>和资料。</w:t>
      </w:r>
    </w:p>
    <w:p>
      <w:pPr>
        <w:spacing w:after="0" w:line="266" w:lineRule="auto"/>
        <w:jc w:val="both"/>
        <w:rPr>
          <w:sz w:val="21"/>
        </w:rPr>
        <w:sectPr>
          <w:type w:val="continuous"/>
          <w:pgSz w:w="11910" w:h="16840"/>
          <w:pgMar w:top="480" w:right="660" w:bottom="280" w:left="860" w:header="0" w:footer="662" w:gutter="0"/>
          <w:cols w:equalWidth="0" w:num="2">
            <w:col w:w="2625" w:space="176"/>
            <w:col w:w="7589"/>
          </w:cols>
        </w:sectPr>
      </w:pPr>
    </w:p>
    <w:p>
      <w:pPr>
        <w:pStyle w:val="3"/>
        <w:numPr>
          <w:ilvl w:val="2"/>
          <w:numId w:val="2"/>
        </w:numPr>
        <w:tabs>
          <w:tab w:val="left" w:pos="1322"/>
        </w:tabs>
        <w:spacing w:before="43" w:after="0" w:line="278" w:lineRule="auto"/>
        <w:ind w:left="1321" w:right="38" w:hanging="1102"/>
        <w:jc w:val="both"/>
      </w:pPr>
      <w:r>
        <w:rPr>
          <w:spacing w:val="-2"/>
        </w:rPr>
        <w:t>身故保险金或全残保险金申</w:t>
      </w:r>
      <w:r>
        <w:rPr>
          <w:spacing w:val="-10"/>
        </w:rPr>
        <w:t>请</w:t>
      </w:r>
    </w:p>
    <w:p>
      <w:pPr>
        <w:pStyle w:val="4"/>
        <w:spacing w:before="53" w:line="266" w:lineRule="auto"/>
        <w:ind w:left="220" w:right="208"/>
      </w:pPr>
      <w:r>
        <w:br w:type="column"/>
      </w:r>
      <w:r>
        <w:rPr>
          <w:spacing w:val="-1"/>
          <w:w w:val="99"/>
        </w:rPr>
        <w:t>受益人需作为申请人填写保险金给付申请书，并向本公司提供下列证明文件、资料原件：</w:t>
      </w:r>
    </w:p>
    <w:p>
      <w:pPr>
        <w:pStyle w:val="9"/>
        <w:numPr>
          <w:ilvl w:val="0"/>
          <w:numId w:val="10"/>
        </w:numPr>
        <w:tabs>
          <w:tab w:val="left" w:pos="940"/>
        </w:tabs>
        <w:spacing w:before="158" w:after="0" w:line="240" w:lineRule="auto"/>
        <w:ind w:left="940" w:right="0" w:hanging="720"/>
        <w:jc w:val="left"/>
        <w:rPr>
          <w:sz w:val="21"/>
        </w:rPr>
      </w:pPr>
      <w:r>
        <w:rPr>
          <w:spacing w:val="-1"/>
          <w:w w:val="95"/>
          <w:sz w:val="21"/>
        </w:rPr>
        <w:t>受益人有效身份证件；</w:t>
      </w:r>
    </w:p>
    <w:p>
      <w:pPr>
        <w:pStyle w:val="4"/>
        <w:spacing w:before="8"/>
        <w:rPr>
          <w:sz w:val="14"/>
        </w:rPr>
      </w:pPr>
    </w:p>
    <w:p>
      <w:pPr>
        <w:pStyle w:val="9"/>
        <w:numPr>
          <w:ilvl w:val="0"/>
          <w:numId w:val="10"/>
        </w:numPr>
        <w:tabs>
          <w:tab w:val="left" w:pos="940"/>
        </w:tabs>
        <w:spacing w:before="0" w:after="0" w:line="266" w:lineRule="auto"/>
        <w:ind w:left="940" w:right="208" w:hanging="720"/>
        <w:jc w:val="both"/>
        <w:rPr>
          <w:sz w:val="21"/>
        </w:rPr>
      </w:pPr>
      <w:r>
        <w:rPr>
          <w:spacing w:val="-7"/>
          <w:w w:val="99"/>
          <w:sz w:val="21"/>
        </w:rPr>
        <w:t>本公司指定或认可的医疗机构、公安部门或者其他有权机构出具的被保</w:t>
      </w:r>
      <w:r>
        <w:rPr>
          <w:spacing w:val="-6"/>
          <w:w w:val="99"/>
          <w:sz w:val="21"/>
        </w:rPr>
        <w:t>险人的死亡证明或医院、司法鉴定机构根据《评定标准》出具的伤残程</w:t>
      </w:r>
      <w:r>
        <w:rPr>
          <w:spacing w:val="-1"/>
          <w:w w:val="99"/>
          <w:sz w:val="21"/>
        </w:rPr>
        <w:t>度资料或伤残程度鉴定书；</w:t>
      </w:r>
    </w:p>
    <w:p>
      <w:pPr>
        <w:pStyle w:val="9"/>
        <w:numPr>
          <w:ilvl w:val="0"/>
          <w:numId w:val="10"/>
        </w:numPr>
        <w:tabs>
          <w:tab w:val="left" w:pos="940"/>
        </w:tabs>
        <w:spacing w:before="160" w:after="0" w:line="240" w:lineRule="auto"/>
        <w:ind w:left="940" w:right="0" w:hanging="720"/>
        <w:jc w:val="left"/>
        <w:rPr>
          <w:sz w:val="21"/>
        </w:rPr>
      </w:pPr>
      <w:r>
        <w:rPr>
          <w:spacing w:val="-1"/>
          <w:w w:val="95"/>
          <w:sz w:val="21"/>
        </w:rPr>
        <w:t>因意外引起的保险事故，由公安等有权部门出具的相关意外证明；</w:t>
      </w:r>
    </w:p>
    <w:p>
      <w:pPr>
        <w:pStyle w:val="4"/>
        <w:spacing w:before="7"/>
        <w:rPr>
          <w:sz w:val="14"/>
        </w:rPr>
      </w:pPr>
    </w:p>
    <w:p>
      <w:pPr>
        <w:pStyle w:val="9"/>
        <w:numPr>
          <w:ilvl w:val="0"/>
          <w:numId w:val="10"/>
        </w:numPr>
        <w:tabs>
          <w:tab w:val="left" w:pos="940"/>
        </w:tabs>
        <w:spacing w:before="1" w:after="0" w:line="266" w:lineRule="auto"/>
        <w:ind w:left="940" w:right="206" w:hanging="720"/>
        <w:jc w:val="both"/>
        <w:rPr>
          <w:sz w:val="21"/>
        </w:rPr>
      </w:pPr>
      <w:r>
        <w:rPr>
          <w:spacing w:val="-6"/>
          <w:w w:val="99"/>
          <w:sz w:val="21"/>
        </w:rPr>
        <w:t>所能提供的与确认保险事故的性质、原因、伤害程度等有关的其他证明</w:t>
      </w:r>
      <w:r>
        <w:rPr>
          <w:spacing w:val="-1"/>
          <w:w w:val="99"/>
          <w:sz w:val="21"/>
        </w:rPr>
        <w:t>和资料。</w:t>
      </w:r>
    </w:p>
    <w:p>
      <w:pPr>
        <w:spacing w:after="0" w:line="266" w:lineRule="auto"/>
        <w:jc w:val="both"/>
        <w:rPr>
          <w:sz w:val="21"/>
        </w:rPr>
        <w:sectPr>
          <w:pgSz w:w="11910" w:h="16840"/>
          <w:pgMar w:top="1400" w:right="660" w:bottom="860" w:left="860" w:header="0" w:footer="662" w:gutter="0"/>
          <w:cols w:equalWidth="0" w:num="2">
            <w:col w:w="2625" w:space="176"/>
            <w:col w:w="7589"/>
          </w:cols>
        </w:sectPr>
      </w:pPr>
    </w:p>
    <w:p>
      <w:pPr>
        <w:pStyle w:val="3"/>
        <w:numPr>
          <w:ilvl w:val="1"/>
          <w:numId w:val="2"/>
        </w:numPr>
        <w:tabs>
          <w:tab w:val="left" w:pos="1321"/>
          <w:tab w:val="left" w:pos="1322"/>
        </w:tabs>
        <w:spacing w:before="149" w:after="0" w:line="278" w:lineRule="auto"/>
        <w:ind w:left="1321" w:right="38" w:hanging="1102"/>
        <w:jc w:val="left"/>
      </w:pPr>
      <w:r>
        <w:rPr>
          <w:spacing w:val="-2"/>
        </w:rPr>
        <w:t>代理申请及其</w:t>
      </w:r>
      <w:r>
        <w:rPr>
          <w:spacing w:val="-10"/>
        </w:rPr>
        <w:t>他</w:t>
      </w:r>
    </w:p>
    <w:p>
      <w:pPr>
        <w:pStyle w:val="4"/>
        <w:spacing w:before="158" w:line="266" w:lineRule="auto"/>
        <w:ind w:left="220" w:right="104"/>
      </w:pPr>
      <w:r>
        <w:br w:type="column"/>
      </w:r>
      <w:r>
        <w:rPr>
          <w:spacing w:val="-6"/>
          <w:w w:val="99"/>
        </w:rPr>
        <w:t>受益人委托他人申请给付保险金的，还应当提供受托人身份证明、授权委托书。</w:t>
      </w:r>
      <w:r>
        <w:rPr>
          <w:spacing w:val="-1"/>
          <w:w w:val="99"/>
        </w:rPr>
        <w:t>保险金作为遗产时，还应当提供可证明合法继承权的相关权利文件。受益人或继承人为未成年人或无民事行为能力人时，由其合法监护人代其申请领取保险金，并提供未成年人或无民事行为能力证明和合法监护权证明。</w:t>
      </w:r>
    </w:p>
    <w:p>
      <w:pPr>
        <w:spacing w:after="0" w:line="266" w:lineRule="auto"/>
        <w:sectPr>
          <w:type w:val="continuous"/>
          <w:pgSz w:w="11910" w:h="16840"/>
          <w:pgMar w:top="480" w:right="660" w:bottom="280" w:left="860" w:header="0" w:footer="662" w:gutter="0"/>
          <w:cols w:equalWidth="0" w:num="2">
            <w:col w:w="2625" w:space="176"/>
            <w:col w:w="7589"/>
          </w:cols>
        </w:sectPr>
      </w:pPr>
    </w:p>
    <w:p>
      <w:pPr>
        <w:pStyle w:val="9"/>
        <w:numPr>
          <w:ilvl w:val="1"/>
          <w:numId w:val="2"/>
        </w:numPr>
        <w:tabs>
          <w:tab w:val="left" w:pos="1321"/>
          <w:tab w:val="left" w:pos="1322"/>
          <w:tab w:val="left" w:pos="3020"/>
        </w:tabs>
        <w:spacing w:before="152" w:after="0" w:line="266" w:lineRule="auto"/>
        <w:ind w:left="3020" w:right="104" w:hanging="2801"/>
        <w:jc w:val="left"/>
        <w:rPr>
          <w:sz w:val="21"/>
        </w:rPr>
      </w:pPr>
      <w:r>
        <w:rPr>
          <w:b/>
          <w:spacing w:val="2"/>
          <w:w w:val="99"/>
          <w:position w:val="1"/>
          <w:sz w:val="21"/>
        </w:rPr>
        <w:t>配合调</w:t>
      </w:r>
      <w:r>
        <w:rPr>
          <w:b/>
          <w:w w:val="99"/>
          <w:position w:val="1"/>
          <w:sz w:val="21"/>
        </w:rPr>
        <w:t>查</w:t>
      </w:r>
      <w:r>
        <w:rPr>
          <w:b/>
          <w:position w:val="1"/>
          <w:sz w:val="21"/>
        </w:rPr>
        <w:tab/>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遭</w:t>
      </w:r>
      <w:r>
        <w:rPr>
          <w:spacing w:val="2"/>
          <w:w w:val="99"/>
          <w:sz w:val="21"/>
        </w:rPr>
        <w:t>受</w:t>
      </w:r>
      <w:r>
        <w:rPr>
          <w:spacing w:val="-1"/>
          <w:w w:val="99"/>
          <w:sz w:val="21"/>
        </w:rPr>
        <w:t>事</w:t>
      </w:r>
      <w:r>
        <w:rPr>
          <w:spacing w:val="2"/>
          <w:w w:val="99"/>
          <w:sz w:val="21"/>
        </w:rPr>
        <w:t>故的</w:t>
      </w:r>
      <w:r>
        <w:rPr>
          <w:spacing w:val="-29"/>
          <w:w w:val="99"/>
          <w:sz w:val="21"/>
        </w:rPr>
        <w:t>，</w:t>
      </w:r>
      <w:r>
        <w:rPr>
          <w:spacing w:val="-1"/>
          <w:w w:val="99"/>
          <w:sz w:val="21"/>
        </w:rPr>
        <w:t>除</w:t>
      </w:r>
      <w:r>
        <w:rPr>
          <w:spacing w:val="2"/>
          <w:w w:val="99"/>
          <w:sz w:val="21"/>
        </w:rPr>
        <w:t>法</w:t>
      </w:r>
      <w:r>
        <w:rPr>
          <w:spacing w:val="-1"/>
          <w:w w:val="99"/>
          <w:sz w:val="21"/>
        </w:rPr>
        <w:t>律</w:t>
      </w:r>
      <w:r>
        <w:rPr>
          <w:spacing w:val="2"/>
          <w:w w:val="99"/>
          <w:sz w:val="21"/>
        </w:rPr>
        <w:t>禁</w:t>
      </w:r>
      <w:r>
        <w:rPr>
          <w:spacing w:val="-1"/>
          <w:w w:val="99"/>
          <w:sz w:val="21"/>
        </w:rPr>
        <w:t>止</w:t>
      </w:r>
      <w:r>
        <w:rPr>
          <w:spacing w:val="2"/>
          <w:w w:val="99"/>
          <w:sz w:val="21"/>
        </w:rPr>
        <w:t>的</w:t>
      </w:r>
      <w:r>
        <w:rPr>
          <w:spacing w:val="-1"/>
          <w:w w:val="99"/>
          <w:sz w:val="21"/>
        </w:rPr>
        <w:t>情</w:t>
      </w:r>
      <w:r>
        <w:rPr>
          <w:spacing w:val="2"/>
          <w:w w:val="99"/>
          <w:sz w:val="21"/>
        </w:rPr>
        <w:t>况</w:t>
      </w:r>
      <w:r>
        <w:rPr>
          <w:spacing w:val="-1"/>
          <w:w w:val="99"/>
          <w:sz w:val="21"/>
        </w:rPr>
        <w:t>外</w:t>
      </w:r>
      <w:r>
        <w:rPr>
          <w:spacing w:val="-29"/>
          <w:w w:val="99"/>
          <w:sz w:val="21"/>
        </w:rPr>
        <w:t>，</w:t>
      </w:r>
      <w:r>
        <w:rPr>
          <w:spacing w:val="-1"/>
          <w:w w:val="99"/>
          <w:sz w:val="21"/>
        </w:rPr>
        <w:t>本</w:t>
      </w:r>
      <w:r>
        <w:rPr>
          <w:spacing w:val="2"/>
          <w:w w:val="99"/>
          <w:sz w:val="21"/>
        </w:rPr>
        <w:t>公</w:t>
      </w:r>
      <w:r>
        <w:rPr>
          <w:spacing w:val="-1"/>
          <w:w w:val="99"/>
          <w:sz w:val="21"/>
        </w:rPr>
        <w:t>司</w:t>
      </w:r>
      <w:r>
        <w:rPr>
          <w:spacing w:val="2"/>
          <w:w w:val="99"/>
          <w:sz w:val="21"/>
        </w:rPr>
        <w:t>有</w:t>
      </w:r>
      <w:r>
        <w:rPr>
          <w:spacing w:val="-1"/>
          <w:w w:val="99"/>
          <w:sz w:val="21"/>
        </w:rPr>
        <w:t>权</w:t>
      </w:r>
      <w:r>
        <w:rPr>
          <w:spacing w:val="2"/>
          <w:w w:val="99"/>
          <w:sz w:val="21"/>
        </w:rPr>
        <w:t>对</w:t>
      </w:r>
      <w:r>
        <w:rPr>
          <w:spacing w:val="-1"/>
          <w:w w:val="99"/>
          <w:sz w:val="21"/>
        </w:rPr>
        <w:t>投</w:t>
      </w:r>
      <w:r>
        <w:rPr>
          <w:spacing w:val="2"/>
          <w:w w:val="99"/>
          <w:sz w:val="21"/>
        </w:rPr>
        <w:t>保人</w:t>
      </w:r>
      <w:r>
        <w:rPr>
          <w:spacing w:val="-29"/>
          <w:w w:val="99"/>
          <w:sz w:val="21"/>
        </w:rPr>
        <w:t>、</w:t>
      </w:r>
      <w:r>
        <w:rPr>
          <w:spacing w:val="-1"/>
          <w:w w:val="99"/>
          <w:sz w:val="21"/>
        </w:rPr>
        <w:t>被</w:t>
      </w:r>
      <w:r>
        <w:rPr>
          <w:spacing w:val="2"/>
          <w:w w:val="99"/>
          <w:sz w:val="21"/>
        </w:rPr>
        <w:t>保</w:t>
      </w:r>
      <w:r>
        <w:rPr>
          <w:spacing w:val="-1"/>
          <w:w w:val="99"/>
          <w:sz w:val="21"/>
        </w:rPr>
        <w:t>险</w:t>
      </w:r>
      <w:r>
        <w:rPr>
          <w:spacing w:val="2"/>
          <w:w w:val="99"/>
          <w:sz w:val="21"/>
        </w:rPr>
        <w:t>人</w:t>
      </w:r>
      <w:r>
        <w:rPr>
          <w:w w:val="99"/>
          <w:sz w:val="21"/>
        </w:rPr>
        <w:t>、</w:t>
      </w:r>
      <w:r>
        <w:rPr>
          <w:spacing w:val="2"/>
          <w:w w:val="99"/>
          <w:sz w:val="21"/>
        </w:rPr>
        <w:t>受</w:t>
      </w:r>
      <w:r>
        <w:rPr>
          <w:spacing w:val="-1"/>
          <w:w w:val="99"/>
          <w:sz w:val="21"/>
        </w:rPr>
        <w:t>益</w:t>
      </w:r>
      <w:r>
        <w:rPr>
          <w:spacing w:val="2"/>
          <w:w w:val="99"/>
          <w:sz w:val="21"/>
        </w:rPr>
        <w:t>人等</w:t>
      </w:r>
      <w:r>
        <w:rPr>
          <w:spacing w:val="-1"/>
          <w:w w:val="99"/>
          <w:sz w:val="21"/>
        </w:rPr>
        <w:t>，</w:t>
      </w:r>
      <w:r>
        <w:rPr>
          <w:spacing w:val="2"/>
          <w:w w:val="99"/>
          <w:sz w:val="21"/>
        </w:rPr>
        <w:t>就事故</w:t>
      </w:r>
      <w:r>
        <w:rPr>
          <w:spacing w:val="-1"/>
          <w:w w:val="99"/>
          <w:sz w:val="21"/>
        </w:rPr>
        <w:t>的</w:t>
      </w:r>
      <w:r>
        <w:rPr>
          <w:spacing w:val="2"/>
          <w:w w:val="99"/>
          <w:sz w:val="21"/>
        </w:rPr>
        <w:t>性质</w:t>
      </w:r>
      <w:r>
        <w:rPr>
          <w:spacing w:val="-1"/>
          <w:w w:val="99"/>
          <w:sz w:val="21"/>
        </w:rPr>
        <w:t>、</w:t>
      </w:r>
      <w:r>
        <w:rPr>
          <w:spacing w:val="2"/>
          <w:w w:val="99"/>
          <w:sz w:val="21"/>
        </w:rPr>
        <w:t>原因</w:t>
      </w:r>
      <w:r>
        <w:rPr>
          <w:spacing w:val="-1"/>
          <w:w w:val="99"/>
          <w:sz w:val="21"/>
        </w:rPr>
        <w:t>、</w:t>
      </w:r>
      <w:r>
        <w:rPr>
          <w:spacing w:val="2"/>
          <w:w w:val="99"/>
          <w:sz w:val="21"/>
        </w:rPr>
        <w:t>结果</w:t>
      </w:r>
      <w:r>
        <w:rPr>
          <w:spacing w:val="-1"/>
          <w:w w:val="99"/>
          <w:sz w:val="21"/>
        </w:rPr>
        <w:t>及</w:t>
      </w:r>
      <w:r>
        <w:rPr>
          <w:spacing w:val="2"/>
          <w:w w:val="99"/>
          <w:sz w:val="21"/>
        </w:rPr>
        <w:t>被保</w:t>
      </w:r>
      <w:r>
        <w:rPr>
          <w:spacing w:val="-1"/>
          <w:w w:val="99"/>
          <w:sz w:val="21"/>
        </w:rPr>
        <w:t>险</w:t>
      </w:r>
      <w:r>
        <w:rPr>
          <w:spacing w:val="2"/>
          <w:w w:val="99"/>
          <w:sz w:val="21"/>
        </w:rPr>
        <w:t>人的损</w:t>
      </w:r>
      <w:r>
        <w:rPr>
          <w:spacing w:val="-1"/>
          <w:w w:val="99"/>
          <w:sz w:val="21"/>
        </w:rPr>
        <w:t>伤</w:t>
      </w:r>
      <w:r>
        <w:rPr>
          <w:spacing w:val="2"/>
          <w:w w:val="99"/>
          <w:sz w:val="21"/>
        </w:rPr>
        <w:t>程度</w:t>
      </w:r>
      <w:r>
        <w:rPr>
          <w:spacing w:val="-1"/>
          <w:w w:val="99"/>
          <w:sz w:val="21"/>
        </w:rPr>
        <w:t>和</w:t>
      </w:r>
      <w:r>
        <w:rPr>
          <w:spacing w:val="2"/>
          <w:w w:val="99"/>
          <w:sz w:val="21"/>
        </w:rPr>
        <w:t>身体</w:t>
      </w:r>
      <w:r>
        <w:rPr>
          <w:spacing w:val="-1"/>
          <w:w w:val="99"/>
          <w:sz w:val="21"/>
        </w:rPr>
        <w:t>情</w:t>
      </w:r>
      <w:r>
        <w:rPr>
          <w:spacing w:val="2"/>
          <w:w w:val="99"/>
          <w:sz w:val="21"/>
        </w:rPr>
        <w:t>况等</w:t>
      </w:r>
      <w:r>
        <w:rPr>
          <w:w w:val="99"/>
          <w:sz w:val="21"/>
        </w:rPr>
        <w:t>，</w:t>
      </w:r>
      <w:r>
        <w:rPr>
          <w:spacing w:val="2"/>
          <w:w w:val="99"/>
          <w:sz w:val="21"/>
        </w:rPr>
        <w:t>进</w:t>
      </w:r>
      <w:r>
        <w:rPr>
          <w:spacing w:val="-1"/>
          <w:w w:val="99"/>
          <w:sz w:val="21"/>
        </w:rPr>
        <w:t>行</w:t>
      </w:r>
      <w:r>
        <w:rPr>
          <w:spacing w:val="2"/>
          <w:w w:val="99"/>
          <w:sz w:val="21"/>
        </w:rPr>
        <w:t>调</w:t>
      </w:r>
      <w:r>
        <w:rPr>
          <w:spacing w:val="-1"/>
          <w:w w:val="99"/>
          <w:sz w:val="21"/>
        </w:rPr>
        <w:t>查</w:t>
      </w:r>
      <w:r>
        <w:rPr>
          <w:spacing w:val="2"/>
          <w:w w:val="99"/>
          <w:sz w:val="21"/>
        </w:rPr>
        <w:t>、</w:t>
      </w:r>
      <w:r>
        <w:rPr>
          <w:spacing w:val="-1"/>
          <w:w w:val="99"/>
          <w:sz w:val="21"/>
        </w:rPr>
        <w:t>检查</w:t>
      </w:r>
      <w:r>
        <w:rPr>
          <w:spacing w:val="2"/>
          <w:w w:val="99"/>
          <w:sz w:val="21"/>
        </w:rPr>
        <w:t>、</w:t>
      </w:r>
      <w:r>
        <w:rPr>
          <w:spacing w:val="-1"/>
          <w:w w:val="99"/>
          <w:sz w:val="21"/>
        </w:rPr>
        <w:t>评</w:t>
      </w:r>
      <w:r>
        <w:rPr>
          <w:spacing w:val="2"/>
          <w:w w:val="99"/>
          <w:sz w:val="21"/>
        </w:rPr>
        <w:t>估</w:t>
      </w:r>
      <w:r>
        <w:rPr>
          <w:spacing w:val="-1"/>
          <w:w w:val="99"/>
          <w:sz w:val="21"/>
        </w:rPr>
        <w:t>和</w:t>
      </w:r>
      <w:r>
        <w:rPr>
          <w:spacing w:val="2"/>
          <w:w w:val="99"/>
          <w:sz w:val="21"/>
        </w:rPr>
        <w:t>鉴</w:t>
      </w:r>
      <w:r>
        <w:rPr>
          <w:spacing w:val="-1"/>
          <w:w w:val="99"/>
          <w:sz w:val="21"/>
        </w:rPr>
        <w:t>定</w:t>
      </w:r>
      <w:r>
        <w:rPr>
          <w:spacing w:val="2"/>
          <w:w w:val="99"/>
          <w:sz w:val="21"/>
        </w:rPr>
        <w:t>（</w:t>
      </w:r>
      <w:r>
        <w:rPr>
          <w:spacing w:val="-1"/>
          <w:w w:val="99"/>
          <w:sz w:val="21"/>
        </w:rPr>
        <w:t>包</w:t>
      </w:r>
      <w:r>
        <w:rPr>
          <w:spacing w:val="2"/>
          <w:w w:val="99"/>
          <w:sz w:val="21"/>
        </w:rPr>
        <w:t>括</w:t>
      </w:r>
      <w:r>
        <w:rPr>
          <w:spacing w:val="-1"/>
          <w:w w:val="99"/>
          <w:sz w:val="21"/>
        </w:rPr>
        <w:t>但</w:t>
      </w:r>
      <w:r>
        <w:rPr>
          <w:spacing w:val="2"/>
          <w:w w:val="99"/>
          <w:sz w:val="21"/>
        </w:rPr>
        <w:t>不</w:t>
      </w:r>
      <w:r>
        <w:rPr>
          <w:spacing w:val="-1"/>
          <w:w w:val="99"/>
          <w:sz w:val="21"/>
        </w:rPr>
        <w:t>限</w:t>
      </w:r>
      <w:r>
        <w:rPr>
          <w:spacing w:val="2"/>
          <w:w w:val="99"/>
          <w:sz w:val="21"/>
        </w:rPr>
        <w:t>于提</w:t>
      </w:r>
      <w:r>
        <w:rPr>
          <w:spacing w:val="-1"/>
          <w:w w:val="99"/>
          <w:sz w:val="21"/>
        </w:rPr>
        <w:t>请作</w:t>
      </w:r>
      <w:r>
        <w:rPr>
          <w:spacing w:val="2"/>
          <w:w w:val="99"/>
          <w:sz w:val="21"/>
        </w:rPr>
        <w:t>必</w:t>
      </w:r>
      <w:r>
        <w:rPr>
          <w:spacing w:val="-1"/>
          <w:w w:val="99"/>
          <w:sz w:val="21"/>
        </w:rPr>
        <w:t>要</w:t>
      </w:r>
      <w:r>
        <w:rPr>
          <w:spacing w:val="2"/>
          <w:w w:val="99"/>
          <w:sz w:val="21"/>
        </w:rPr>
        <w:t>、</w:t>
      </w:r>
      <w:r>
        <w:rPr>
          <w:spacing w:val="-1"/>
          <w:w w:val="99"/>
          <w:sz w:val="21"/>
        </w:rPr>
        <w:t>合</w:t>
      </w:r>
      <w:r>
        <w:rPr>
          <w:spacing w:val="2"/>
          <w:w w:val="99"/>
          <w:sz w:val="21"/>
        </w:rPr>
        <w:t>理</w:t>
      </w:r>
      <w:r>
        <w:rPr>
          <w:spacing w:val="-1"/>
          <w:w w:val="99"/>
          <w:sz w:val="21"/>
        </w:rPr>
        <w:t>的</w:t>
      </w:r>
      <w:r>
        <w:rPr>
          <w:spacing w:val="2"/>
          <w:w w:val="99"/>
          <w:sz w:val="21"/>
        </w:rPr>
        <w:t>解剖</w:t>
      </w:r>
      <w:r>
        <w:rPr>
          <w:spacing w:val="-1"/>
          <w:w w:val="99"/>
          <w:sz w:val="21"/>
        </w:rPr>
        <w:t>检</w:t>
      </w:r>
      <w:r>
        <w:rPr>
          <w:spacing w:val="2"/>
          <w:w w:val="99"/>
          <w:sz w:val="21"/>
        </w:rPr>
        <w:t>验</w:t>
      </w:r>
      <w:r>
        <w:rPr>
          <w:spacing w:val="-104"/>
          <w:w w:val="99"/>
          <w:sz w:val="21"/>
        </w:rPr>
        <w:t>）</w:t>
      </w:r>
      <w:r>
        <w:rPr>
          <w:w w:val="99"/>
          <w:sz w:val="21"/>
        </w:rPr>
        <w:t>，</w:t>
      </w:r>
      <w:r>
        <w:rPr>
          <w:spacing w:val="-1"/>
          <w:w w:val="99"/>
          <w:sz w:val="21"/>
        </w:rPr>
        <w:t>投</w:t>
      </w:r>
      <w:r>
        <w:rPr>
          <w:spacing w:val="2"/>
          <w:w w:val="99"/>
          <w:sz w:val="21"/>
        </w:rPr>
        <w:t>保</w:t>
      </w:r>
      <w:r>
        <w:rPr>
          <w:spacing w:val="-1"/>
          <w:w w:val="99"/>
          <w:sz w:val="21"/>
        </w:rPr>
        <w:t>人</w:t>
      </w:r>
      <w:r>
        <w:rPr>
          <w:spacing w:val="2"/>
          <w:w w:val="99"/>
          <w:sz w:val="21"/>
        </w:rPr>
        <w:t>、</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w:t>
      </w:r>
      <w:r>
        <w:rPr>
          <w:spacing w:val="2"/>
          <w:w w:val="99"/>
          <w:sz w:val="21"/>
        </w:rPr>
        <w:t>受</w:t>
      </w:r>
      <w:r>
        <w:rPr>
          <w:spacing w:val="-1"/>
          <w:w w:val="99"/>
          <w:sz w:val="21"/>
        </w:rPr>
        <w:t>益</w:t>
      </w:r>
      <w:r>
        <w:rPr>
          <w:spacing w:val="2"/>
          <w:w w:val="99"/>
          <w:sz w:val="21"/>
        </w:rPr>
        <w:t>人</w:t>
      </w:r>
      <w:r>
        <w:rPr>
          <w:spacing w:val="-1"/>
          <w:w w:val="99"/>
          <w:sz w:val="21"/>
        </w:rPr>
        <w:t>等</w:t>
      </w:r>
      <w:r>
        <w:rPr>
          <w:spacing w:val="2"/>
          <w:w w:val="99"/>
          <w:sz w:val="21"/>
        </w:rPr>
        <w:t>应当</w:t>
      </w:r>
      <w:r>
        <w:rPr>
          <w:spacing w:val="-1"/>
          <w:w w:val="99"/>
          <w:sz w:val="21"/>
        </w:rPr>
        <w:t>予</w:t>
      </w:r>
      <w:r>
        <w:rPr>
          <w:spacing w:val="2"/>
          <w:w w:val="99"/>
          <w:sz w:val="21"/>
        </w:rPr>
        <w:t>以</w:t>
      </w:r>
      <w:r>
        <w:rPr>
          <w:spacing w:val="-1"/>
          <w:w w:val="99"/>
          <w:sz w:val="21"/>
        </w:rPr>
        <w:t>充</w:t>
      </w:r>
      <w:r>
        <w:rPr>
          <w:spacing w:val="2"/>
          <w:w w:val="99"/>
          <w:sz w:val="21"/>
        </w:rPr>
        <w:t>分</w:t>
      </w:r>
      <w:r>
        <w:rPr>
          <w:spacing w:val="-1"/>
          <w:w w:val="99"/>
          <w:sz w:val="21"/>
        </w:rPr>
        <w:t>配</w:t>
      </w:r>
      <w:r>
        <w:rPr>
          <w:spacing w:val="2"/>
          <w:w w:val="99"/>
          <w:sz w:val="21"/>
        </w:rPr>
        <w:t>合</w:t>
      </w:r>
      <w:r>
        <w:rPr>
          <w:w w:val="99"/>
          <w:sz w:val="21"/>
        </w:rPr>
        <w:t>。</w:t>
      </w:r>
    </w:p>
    <w:p>
      <w:pPr>
        <w:pStyle w:val="9"/>
        <w:numPr>
          <w:ilvl w:val="1"/>
          <w:numId w:val="2"/>
        </w:numPr>
        <w:tabs>
          <w:tab w:val="left" w:pos="1321"/>
          <w:tab w:val="left" w:pos="1322"/>
          <w:tab w:val="left" w:pos="3020"/>
        </w:tabs>
        <w:spacing w:before="151" w:after="0" w:line="266" w:lineRule="auto"/>
        <w:ind w:left="3020" w:right="206" w:hanging="2801"/>
        <w:jc w:val="left"/>
        <w:rPr>
          <w:sz w:val="21"/>
        </w:rPr>
      </w:pPr>
      <w:r>
        <w:rPr>
          <w:b/>
          <w:spacing w:val="2"/>
          <w:w w:val="99"/>
          <w:position w:val="1"/>
          <w:sz w:val="21"/>
        </w:rPr>
        <w:t>保险金</w:t>
      </w:r>
      <w:r>
        <w:rPr>
          <w:b/>
          <w:spacing w:val="-1"/>
          <w:w w:val="99"/>
          <w:position w:val="1"/>
          <w:sz w:val="21"/>
        </w:rPr>
        <w:t>的</w:t>
      </w:r>
      <w:r>
        <w:rPr>
          <w:b/>
          <w:spacing w:val="2"/>
          <w:w w:val="99"/>
          <w:position w:val="1"/>
          <w:sz w:val="21"/>
        </w:rPr>
        <w:t>给</w:t>
      </w:r>
      <w:r>
        <w:rPr>
          <w:b/>
          <w:w w:val="99"/>
          <w:position w:val="1"/>
          <w:sz w:val="21"/>
        </w:rPr>
        <w:t>付</w:t>
      </w:r>
      <w:r>
        <w:rPr>
          <w:b/>
          <w:position w:val="1"/>
          <w:sz w:val="21"/>
        </w:rPr>
        <w:tab/>
      </w:r>
      <w:r>
        <w:rPr>
          <w:spacing w:val="2"/>
          <w:w w:val="99"/>
          <w:sz w:val="21"/>
        </w:rPr>
        <w:t>收</w:t>
      </w:r>
      <w:r>
        <w:rPr>
          <w:spacing w:val="-1"/>
          <w:w w:val="99"/>
          <w:sz w:val="21"/>
        </w:rPr>
        <w:t>到</w:t>
      </w:r>
      <w:r>
        <w:rPr>
          <w:spacing w:val="2"/>
          <w:w w:val="99"/>
          <w:sz w:val="21"/>
        </w:rPr>
        <w:t>保</w:t>
      </w:r>
      <w:r>
        <w:rPr>
          <w:spacing w:val="-1"/>
          <w:w w:val="99"/>
          <w:sz w:val="21"/>
        </w:rPr>
        <w:t>险</w:t>
      </w:r>
      <w:r>
        <w:rPr>
          <w:spacing w:val="2"/>
          <w:w w:val="99"/>
          <w:sz w:val="21"/>
        </w:rPr>
        <w:t>金</w:t>
      </w:r>
      <w:r>
        <w:rPr>
          <w:spacing w:val="-1"/>
          <w:w w:val="99"/>
          <w:sz w:val="21"/>
        </w:rPr>
        <w:t>给</w:t>
      </w:r>
      <w:r>
        <w:rPr>
          <w:spacing w:val="2"/>
          <w:w w:val="99"/>
          <w:sz w:val="21"/>
        </w:rPr>
        <w:t>付</w:t>
      </w:r>
      <w:r>
        <w:rPr>
          <w:spacing w:val="-1"/>
          <w:w w:val="99"/>
          <w:sz w:val="21"/>
        </w:rPr>
        <w:t>申</w:t>
      </w:r>
      <w:r>
        <w:rPr>
          <w:spacing w:val="2"/>
          <w:w w:val="99"/>
          <w:sz w:val="21"/>
        </w:rPr>
        <w:t>请</w:t>
      </w:r>
      <w:r>
        <w:rPr>
          <w:spacing w:val="-1"/>
          <w:w w:val="99"/>
          <w:sz w:val="21"/>
        </w:rPr>
        <w:t>书</w:t>
      </w:r>
      <w:r>
        <w:rPr>
          <w:spacing w:val="2"/>
          <w:w w:val="99"/>
          <w:sz w:val="21"/>
        </w:rPr>
        <w:t>及</w:t>
      </w:r>
      <w:r>
        <w:rPr>
          <w:spacing w:val="-1"/>
          <w:w w:val="99"/>
          <w:sz w:val="21"/>
        </w:rPr>
        <w:t>有</w:t>
      </w:r>
      <w:r>
        <w:rPr>
          <w:spacing w:val="2"/>
          <w:w w:val="99"/>
          <w:sz w:val="21"/>
        </w:rPr>
        <w:t>关</w:t>
      </w:r>
      <w:r>
        <w:rPr>
          <w:spacing w:val="-1"/>
          <w:w w:val="99"/>
          <w:sz w:val="21"/>
        </w:rPr>
        <w:t>证</w:t>
      </w:r>
      <w:r>
        <w:rPr>
          <w:spacing w:val="2"/>
          <w:w w:val="99"/>
          <w:sz w:val="21"/>
        </w:rPr>
        <w:t>明</w:t>
      </w:r>
      <w:r>
        <w:rPr>
          <w:spacing w:val="-1"/>
          <w:w w:val="99"/>
          <w:sz w:val="21"/>
        </w:rPr>
        <w:t>和</w:t>
      </w:r>
      <w:r>
        <w:rPr>
          <w:spacing w:val="2"/>
          <w:w w:val="99"/>
          <w:sz w:val="21"/>
        </w:rPr>
        <w:t>资</w:t>
      </w:r>
      <w:r>
        <w:rPr>
          <w:spacing w:val="-1"/>
          <w:w w:val="99"/>
          <w:sz w:val="21"/>
        </w:rPr>
        <w:t>料</w:t>
      </w:r>
      <w:r>
        <w:rPr>
          <w:spacing w:val="2"/>
          <w:w w:val="99"/>
          <w:sz w:val="21"/>
        </w:rPr>
        <w:t>后</w:t>
      </w:r>
      <w:r>
        <w:rPr>
          <w:spacing w:val="-89"/>
          <w:w w:val="99"/>
          <w:sz w:val="21"/>
        </w:rPr>
        <w:t>，</w:t>
      </w:r>
      <w:r>
        <w:rPr>
          <w:spacing w:val="2"/>
          <w:w w:val="99"/>
          <w:sz w:val="21"/>
        </w:rPr>
        <w:t>本</w:t>
      </w:r>
      <w:r>
        <w:rPr>
          <w:spacing w:val="-1"/>
          <w:w w:val="99"/>
          <w:sz w:val="21"/>
        </w:rPr>
        <w:t>公</w:t>
      </w:r>
      <w:r>
        <w:rPr>
          <w:spacing w:val="2"/>
          <w:w w:val="99"/>
          <w:sz w:val="21"/>
        </w:rPr>
        <w:t>司</w:t>
      </w:r>
      <w:r>
        <w:rPr>
          <w:spacing w:val="-1"/>
          <w:w w:val="99"/>
          <w:sz w:val="21"/>
        </w:rPr>
        <w:t>将</w:t>
      </w:r>
      <w:r>
        <w:rPr>
          <w:w w:val="99"/>
          <w:sz w:val="21"/>
        </w:rPr>
        <w:t>在</w:t>
      </w:r>
      <w:r>
        <w:rPr>
          <w:spacing w:val="-50"/>
          <w:sz w:val="21"/>
        </w:rPr>
        <w:t xml:space="preserve"> </w:t>
      </w:r>
      <w:r>
        <w:rPr>
          <w:spacing w:val="1"/>
          <w:w w:val="99"/>
          <w:sz w:val="21"/>
        </w:rPr>
        <w:t>1</w:t>
      </w:r>
      <w:r>
        <w:rPr>
          <w:w w:val="99"/>
          <w:sz w:val="21"/>
        </w:rPr>
        <w:t>0</w:t>
      </w:r>
      <w:r>
        <w:rPr>
          <w:spacing w:val="-54"/>
          <w:sz w:val="21"/>
        </w:rPr>
        <w:t xml:space="preserve"> </w:t>
      </w:r>
      <w:r>
        <w:rPr>
          <w:spacing w:val="2"/>
          <w:w w:val="99"/>
          <w:sz w:val="21"/>
        </w:rPr>
        <w:t>个</w:t>
      </w:r>
      <w:r>
        <w:rPr>
          <w:spacing w:val="-1"/>
          <w:w w:val="99"/>
          <w:sz w:val="21"/>
        </w:rPr>
        <w:t>工</w:t>
      </w:r>
      <w:r>
        <w:rPr>
          <w:spacing w:val="2"/>
          <w:w w:val="99"/>
          <w:sz w:val="21"/>
        </w:rPr>
        <w:t>作</w:t>
      </w:r>
      <w:r>
        <w:rPr>
          <w:spacing w:val="-1"/>
          <w:w w:val="99"/>
          <w:sz w:val="21"/>
        </w:rPr>
        <w:t>日</w:t>
      </w:r>
      <w:r>
        <w:rPr>
          <w:spacing w:val="2"/>
          <w:w w:val="99"/>
          <w:sz w:val="21"/>
        </w:rPr>
        <w:t>内</w:t>
      </w:r>
      <w:r>
        <w:rPr>
          <w:spacing w:val="-1"/>
          <w:w w:val="99"/>
          <w:sz w:val="21"/>
        </w:rPr>
        <w:t>作</w:t>
      </w:r>
      <w:r>
        <w:rPr>
          <w:spacing w:val="2"/>
          <w:w w:val="99"/>
          <w:sz w:val="21"/>
        </w:rPr>
        <w:t>出</w:t>
      </w:r>
      <w:r>
        <w:rPr>
          <w:w w:val="99"/>
          <w:sz w:val="21"/>
        </w:rPr>
        <w:t>核</w:t>
      </w:r>
      <w:r>
        <w:rPr>
          <w:spacing w:val="-1"/>
          <w:w w:val="99"/>
          <w:sz w:val="21"/>
        </w:rPr>
        <w:t>定</w:t>
      </w:r>
      <w:r>
        <w:rPr>
          <w:spacing w:val="2"/>
          <w:w w:val="99"/>
          <w:sz w:val="21"/>
        </w:rPr>
        <w:t>；</w:t>
      </w:r>
      <w:r>
        <w:rPr>
          <w:spacing w:val="-1"/>
          <w:w w:val="99"/>
          <w:sz w:val="21"/>
        </w:rPr>
        <w:t>情</w:t>
      </w:r>
      <w:r>
        <w:rPr>
          <w:spacing w:val="2"/>
          <w:w w:val="99"/>
          <w:sz w:val="21"/>
        </w:rPr>
        <w:t>形</w:t>
      </w:r>
      <w:r>
        <w:rPr>
          <w:spacing w:val="-1"/>
          <w:w w:val="99"/>
          <w:sz w:val="21"/>
        </w:rPr>
        <w:t>复</w:t>
      </w:r>
      <w:r>
        <w:rPr>
          <w:spacing w:val="2"/>
          <w:w w:val="99"/>
          <w:sz w:val="21"/>
        </w:rPr>
        <w:t>杂</w:t>
      </w:r>
      <w:r>
        <w:rPr>
          <w:spacing w:val="-1"/>
          <w:w w:val="99"/>
          <w:sz w:val="21"/>
        </w:rPr>
        <w:t>的</w:t>
      </w:r>
      <w:r>
        <w:rPr>
          <w:spacing w:val="2"/>
          <w:w w:val="99"/>
          <w:sz w:val="21"/>
        </w:rPr>
        <w:t>，</w:t>
      </w:r>
      <w:r>
        <w:rPr>
          <w:w w:val="99"/>
          <w:sz w:val="21"/>
        </w:rPr>
        <w:t>在</w:t>
      </w:r>
      <w:r>
        <w:rPr>
          <w:spacing w:val="-50"/>
          <w:sz w:val="21"/>
        </w:rPr>
        <w:t xml:space="preserve"> </w:t>
      </w:r>
      <w:r>
        <w:rPr>
          <w:spacing w:val="1"/>
          <w:w w:val="99"/>
          <w:sz w:val="21"/>
        </w:rPr>
        <w:t>3</w:t>
      </w:r>
      <w:r>
        <w:rPr>
          <w:w w:val="99"/>
          <w:sz w:val="21"/>
        </w:rPr>
        <w:t>0</w:t>
      </w:r>
      <w:r>
        <w:rPr>
          <w:spacing w:val="-54"/>
          <w:sz w:val="21"/>
        </w:rPr>
        <w:t xml:space="preserve"> </w:t>
      </w:r>
      <w:r>
        <w:rPr>
          <w:spacing w:val="-1"/>
          <w:w w:val="99"/>
          <w:sz w:val="21"/>
        </w:rPr>
        <w:t>日</w:t>
      </w:r>
      <w:r>
        <w:rPr>
          <w:spacing w:val="2"/>
          <w:w w:val="99"/>
          <w:sz w:val="21"/>
        </w:rPr>
        <w:t>内</w:t>
      </w:r>
      <w:r>
        <w:rPr>
          <w:spacing w:val="-1"/>
          <w:w w:val="99"/>
          <w:sz w:val="21"/>
        </w:rPr>
        <w:t>作</w:t>
      </w:r>
      <w:r>
        <w:rPr>
          <w:spacing w:val="2"/>
          <w:w w:val="99"/>
          <w:sz w:val="21"/>
        </w:rPr>
        <w:t>出</w:t>
      </w:r>
      <w:r>
        <w:rPr>
          <w:spacing w:val="-1"/>
          <w:w w:val="99"/>
          <w:sz w:val="21"/>
        </w:rPr>
        <w:t>核</w:t>
      </w:r>
      <w:r>
        <w:rPr>
          <w:spacing w:val="2"/>
          <w:w w:val="99"/>
          <w:sz w:val="21"/>
        </w:rPr>
        <w:t>定</w:t>
      </w:r>
      <w:r>
        <w:rPr>
          <w:w w:val="99"/>
          <w:sz w:val="21"/>
        </w:rPr>
        <w:t>。</w:t>
      </w:r>
    </w:p>
    <w:p>
      <w:pPr>
        <w:pStyle w:val="4"/>
        <w:spacing w:before="159" w:line="266" w:lineRule="auto"/>
        <w:ind w:left="3020" w:right="206"/>
        <w:jc w:val="both"/>
      </w:pPr>
      <w:r>
        <w:rPr>
          <w:spacing w:val="-1"/>
          <w:w w:val="99"/>
        </w:rPr>
        <w:t>本公司应当将核定结果通知受益人。对属于保险责任的，在与受益人达成给付保险金的协议后</w:t>
      </w:r>
      <w:r>
        <w:rPr>
          <w:spacing w:val="-50"/>
        </w:rPr>
        <w:t xml:space="preserve"> </w:t>
      </w:r>
      <w:r>
        <w:rPr>
          <w:spacing w:val="1"/>
          <w:w w:val="99"/>
        </w:rPr>
        <w:t>1</w:t>
      </w:r>
      <w:r>
        <w:rPr>
          <w:w w:val="99"/>
        </w:rPr>
        <w:t>0</w:t>
      </w:r>
      <w:r>
        <w:rPr>
          <w:spacing w:val="-54"/>
        </w:rPr>
        <w:t xml:space="preserve"> </w:t>
      </w:r>
      <w:r>
        <w:rPr>
          <w:spacing w:val="-7"/>
          <w:w w:val="99"/>
        </w:rPr>
        <w:t>日内履行给付保险金义务；对不属于保险责任的，本公司自</w:t>
      </w:r>
    </w:p>
    <w:p>
      <w:pPr>
        <w:pStyle w:val="4"/>
        <w:spacing w:before="2"/>
        <w:ind w:left="3020"/>
        <w:jc w:val="both"/>
      </w:pPr>
      <w:r>
        <w:rPr>
          <w:w w:val="95"/>
        </w:rPr>
        <w:t>作出核定之日起</w:t>
      </w:r>
      <w:r>
        <w:rPr>
          <w:spacing w:val="42"/>
          <w:w w:val="150"/>
        </w:rPr>
        <w:t xml:space="preserve"> </w:t>
      </w:r>
      <w:r>
        <w:rPr>
          <w:w w:val="95"/>
        </w:rPr>
        <w:t>3</w:t>
      </w:r>
      <w:r>
        <w:rPr>
          <w:spacing w:val="28"/>
          <w:w w:val="150"/>
        </w:rPr>
        <w:t xml:space="preserve"> </w:t>
      </w:r>
      <w:r>
        <w:rPr>
          <w:spacing w:val="-1"/>
          <w:w w:val="95"/>
        </w:rPr>
        <w:t>日内向受益人发出拒绝给付保险金通知书，并说明理由。</w:t>
      </w:r>
    </w:p>
    <w:p>
      <w:pPr>
        <w:pStyle w:val="4"/>
        <w:spacing w:before="8"/>
        <w:rPr>
          <w:sz w:val="14"/>
        </w:rPr>
      </w:pPr>
    </w:p>
    <w:p>
      <w:pPr>
        <w:pStyle w:val="4"/>
        <w:spacing w:line="266" w:lineRule="auto"/>
        <w:ind w:left="3020" w:right="206"/>
        <w:jc w:val="both"/>
      </w:pPr>
      <w:r>
        <w:rPr>
          <w:spacing w:val="-1"/>
          <w:w w:val="99"/>
        </w:rPr>
        <w:t>自收到保险金给付申请书及有关证明和资料之日起</w:t>
      </w:r>
      <w:r>
        <w:rPr>
          <w:spacing w:val="-50"/>
        </w:rPr>
        <w:t xml:space="preserve"> </w:t>
      </w:r>
      <w:r>
        <w:rPr>
          <w:spacing w:val="1"/>
          <w:w w:val="99"/>
        </w:rPr>
        <w:t>6</w:t>
      </w:r>
      <w:r>
        <w:rPr>
          <w:w w:val="99"/>
        </w:rPr>
        <w:t>0</w:t>
      </w:r>
      <w:r>
        <w:rPr>
          <w:spacing w:val="-54"/>
        </w:rPr>
        <w:t xml:space="preserve"> </w:t>
      </w:r>
      <w:r>
        <w:rPr>
          <w:spacing w:val="-10"/>
          <w:w w:val="99"/>
        </w:rPr>
        <w:t>日内，本公司对给付保险</w:t>
      </w:r>
      <w:r>
        <w:rPr>
          <w:spacing w:val="-1"/>
          <w:w w:val="99"/>
        </w:rPr>
        <w:t>金的数额不能确定的，本公司应当根据已有证明和资料可以确定的数额先予支付；最终确定给付保险金的数额后，本公司支付相应的差额。</w:t>
      </w:r>
    </w:p>
    <w:p>
      <w:pPr>
        <w:pStyle w:val="9"/>
        <w:numPr>
          <w:ilvl w:val="1"/>
          <w:numId w:val="2"/>
        </w:numPr>
        <w:tabs>
          <w:tab w:val="left" w:pos="1322"/>
        </w:tabs>
        <w:spacing w:before="150" w:after="0" w:line="266" w:lineRule="auto"/>
        <w:ind w:left="3020" w:right="206" w:hanging="2801"/>
        <w:jc w:val="both"/>
        <w:rPr>
          <w:sz w:val="21"/>
        </w:rPr>
      </w:pPr>
      <w:r>
        <w:rPr>
          <w:b/>
          <w:position w:val="1"/>
          <w:sz w:val="21"/>
        </w:rPr>
        <w:t>诉讼时效</w:t>
      </w:r>
      <w:r>
        <w:rPr>
          <w:b/>
          <w:spacing w:val="80"/>
          <w:w w:val="150"/>
          <w:position w:val="1"/>
          <w:sz w:val="21"/>
        </w:rPr>
        <w:t xml:space="preserve">   </w:t>
      </w:r>
      <w:r>
        <w:rPr>
          <w:spacing w:val="-2"/>
          <w:sz w:val="21"/>
        </w:rPr>
        <w:t xml:space="preserve">受益人向本公司请求给付保险金的诉讼时效期间为 </w:t>
      </w:r>
      <w:r>
        <w:rPr>
          <w:sz w:val="21"/>
        </w:rPr>
        <w:t>2</w:t>
      </w:r>
      <w:r>
        <w:rPr>
          <w:spacing w:val="-5"/>
          <w:sz w:val="21"/>
        </w:rPr>
        <w:t xml:space="preserve"> 年，自其知道或应当知道</w:t>
      </w:r>
      <w:r>
        <w:rPr>
          <w:spacing w:val="-2"/>
          <w:sz w:val="21"/>
        </w:rPr>
        <w:t>保险事故发生之日起计算。</w:t>
      </w:r>
    </w:p>
    <w:p>
      <w:pPr>
        <w:pStyle w:val="4"/>
        <w:rPr>
          <w:sz w:val="20"/>
        </w:rPr>
      </w:pPr>
    </w:p>
    <w:p>
      <w:pPr>
        <w:pStyle w:val="2"/>
        <w:numPr>
          <w:ilvl w:val="0"/>
          <w:numId w:val="2"/>
        </w:numPr>
        <w:tabs>
          <w:tab w:val="left" w:pos="1321"/>
          <w:tab w:val="left" w:pos="1322"/>
        </w:tabs>
        <w:spacing w:before="31" w:after="7" w:line="240" w:lineRule="auto"/>
        <w:ind w:left="1321" w:right="0" w:hanging="1102"/>
        <w:jc w:val="left"/>
      </w:pPr>
      <w:r>
        <w:rPr>
          <w:spacing w:val="-2"/>
          <w:w w:val="95"/>
        </w:rPr>
        <w:t>保险费交纳</w:t>
      </w:r>
    </w:p>
    <w:p>
      <w:pPr>
        <w:pStyle w:val="4"/>
        <w:spacing w:line="20" w:lineRule="exact"/>
        <w:ind w:left="112"/>
        <w:rPr>
          <w:sz w:val="2"/>
        </w:rPr>
      </w:pPr>
      <w:r>
        <w:rPr>
          <w:sz w:val="2"/>
        </w:rPr>
        <w:drawing>
          <wp:inline distT="0" distB="0" distL="0" distR="0">
            <wp:extent cx="6459220" cy="5715"/>
            <wp:effectExtent l="0" t="0" r="0" b="0"/>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10" cstate="print"/>
                    <a:stretch>
                      <a:fillRect/>
                    </a:stretch>
                  </pic:blipFill>
                  <pic:spPr>
                    <a:xfrm>
                      <a:off x="0" y="0"/>
                      <a:ext cx="6459854" cy="6095"/>
                    </a:xfrm>
                    <a:prstGeom prst="rect">
                      <a:avLst/>
                    </a:prstGeom>
                  </pic:spPr>
                </pic:pic>
              </a:graphicData>
            </a:graphic>
          </wp:inline>
        </w:drawing>
      </w:r>
    </w:p>
    <w:p>
      <w:pPr>
        <w:pStyle w:val="9"/>
        <w:numPr>
          <w:ilvl w:val="1"/>
          <w:numId w:val="2"/>
        </w:numPr>
        <w:tabs>
          <w:tab w:val="left" w:pos="1322"/>
        </w:tabs>
        <w:spacing w:before="165" w:after="0" w:line="266" w:lineRule="auto"/>
        <w:ind w:left="3020" w:right="208" w:hanging="2801"/>
        <w:jc w:val="both"/>
        <w:rPr>
          <w:sz w:val="21"/>
        </w:rPr>
      </w:pPr>
      <w:r>
        <w:rPr>
          <w:b/>
          <w:w w:val="99"/>
          <w:position w:val="1"/>
          <w:sz w:val="21"/>
        </w:rPr>
        <w:t>保险费的交纳</w:t>
      </w:r>
      <w:r>
        <w:rPr>
          <w:b/>
          <w:spacing w:val="3"/>
          <w:position w:val="1"/>
          <w:sz w:val="21"/>
        </w:rPr>
        <w:t xml:space="preserve">    </w:t>
      </w:r>
      <w:r>
        <w:rPr>
          <w:spacing w:val="-1"/>
          <w:w w:val="99"/>
          <w:sz w:val="21"/>
        </w:rPr>
        <w:t>本合同的交费方式和交费期间由投保人和本公司约定，并在保单上载明。分期支付保险费的，在交纳首期保险费后，投保人应当在每个保险费的约定交纳日交纳其余各期保险费。</w:t>
      </w:r>
    </w:p>
    <w:p>
      <w:pPr>
        <w:pStyle w:val="9"/>
        <w:numPr>
          <w:ilvl w:val="1"/>
          <w:numId w:val="2"/>
        </w:numPr>
        <w:tabs>
          <w:tab w:val="left" w:pos="1322"/>
        </w:tabs>
        <w:spacing w:before="150" w:after="0" w:line="266" w:lineRule="auto"/>
        <w:ind w:left="3020" w:right="206" w:hanging="2801"/>
        <w:jc w:val="both"/>
        <w:rPr>
          <w:sz w:val="21"/>
        </w:rPr>
      </w:pPr>
      <w:r>
        <w:rPr>
          <w:b/>
          <w:spacing w:val="1"/>
          <w:w w:val="99"/>
          <w:position w:val="1"/>
          <w:sz w:val="21"/>
        </w:rPr>
        <w:t>宽限期</w:t>
      </w:r>
      <w:r>
        <w:rPr>
          <w:b/>
          <w:position w:val="1"/>
          <w:sz w:val="21"/>
        </w:rPr>
        <w:t xml:space="preserve">          </w:t>
      </w:r>
      <w:r>
        <w:rPr>
          <w:spacing w:val="-1"/>
          <w:w w:val="99"/>
          <w:sz w:val="21"/>
        </w:rPr>
        <w:t>分期支付保险费的，投保人在支付首期保费后，除本合同另有约定外，若到期</w:t>
      </w:r>
      <w:r>
        <w:rPr>
          <w:spacing w:val="-7"/>
          <w:w w:val="99"/>
          <w:sz w:val="21"/>
        </w:rPr>
        <w:t>未支付保险费，自保险费的约定交纳日的次日零时起</w:t>
      </w:r>
      <w:r>
        <w:rPr>
          <w:spacing w:val="-53"/>
          <w:sz w:val="21"/>
        </w:rPr>
        <w:t xml:space="preserve"> </w:t>
      </w:r>
      <w:r>
        <w:rPr>
          <w:spacing w:val="1"/>
          <w:w w:val="99"/>
          <w:sz w:val="21"/>
        </w:rPr>
        <w:t>6</w:t>
      </w:r>
      <w:r>
        <w:rPr>
          <w:w w:val="99"/>
          <w:sz w:val="21"/>
        </w:rPr>
        <w:t>0</w:t>
      </w:r>
      <w:r>
        <w:rPr>
          <w:spacing w:val="-54"/>
          <w:sz w:val="21"/>
        </w:rPr>
        <w:t xml:space="preserve"> </w:t>
      </w:r>
      <w:r>
        <w:rPr>
          <w:spacing w:val="-7"/>
          <w:w w:val="99"/>
          <w:sz w:val="21"/>
        </w:rPr>
        <w:t>日为宽限期。宽限期内</w:t>
      </w:r>
      <w:r>
        <w:rPr>
          <w:spacing w:val="-1"/>
          <w:w w:val="99"/>
          <w:sz w:val="21"/>
        </w:rPr>
        <w:t>发生保险事故的，本公司仍会承担保险责任，但在给付保险金时会扣减欠交保</w:t>
      </w:r>
      <w:r>
        <w:rPr>
          <w:w w:val="99"/>
          <w:sz w:val="21"/>
        </w:rPr>
        <w:t>险费。</w:t>
      </w:r>
    </w:p>
    <w:p>
      <w:pPr>
        <w:pStyle w:val="4"/>
        <w:spacing w:before="162" w:line="266" w:lineRule="auto"/>
        <w:ind w:left="3020" w:right="208"/>
      </w:pPr>
      <w:r>
        <w:rPr>
          <w:color w:val="000000"/>
          <w:spacing w:val="-2"/>
          <w:w w:val="95"/>
          <w:shd w:val="clear" w:color="auto" w:fill="E4E4E4"/>
        </w:rPr>
        <w:t>若投保人在宽限期结束后仍未支付保险费，则本合同自宽限期满次日零时起中</w:t>
      </w:r>
      <w:r>
        <w:rPr>
          <w:color w:val="000000"/>
          <w:spacing w:val="80"/>
          <w:w w:val="150"/>
          <w:shd w:val="clear" w:color="auto" w:fill="E4E4E4"/>
        </w:rPr>
        <w:t xml:space="preserve">                                       </w:t>
      </w:r>
      <w:r>
        <w:rPr>
          <w:color w:val="000000"/>
          <w:spacing w:val="-6"/>
          <w:shd w:val="clear" w:color="auto" w:fill="E4E4E4"/>
        </w:rPr>
        <w:t>止。</w:t>
      </w:r>
    </w:p>
    <w:p>
      <w:pPr>
        <w:spacing w:after="0" w:line="266" w:lineRule="auto"/>
        <w:sectPr>
          <w:type w:val="continuous"/>
          <w:pgSz w:w="11910" w:h="16840"/>
          <w:pgMar w:top="480" w:right="660" w:bottom="280" w:left="860" w:header="0" w:footer="662" w:gutter="0"/>
          <w:cols w:space="720" w:num="1"/>
        </w:sectPr>
      </w:pPr>
    </w:p>
    <w:p>
      <w:pPr>
        <w:pStyle w:val="2"/>
        <w:numPr>
          <w:ilvl w:val="0"/>
          <w:numId w:val="2"/>
        </w:numPr>
        <w:tabs>
          <w:tab w:val="left" w:pos="1321"/>
          <w:tab w:val="left" w:pos="1322"/>
        </w:tabs>
        <w:spacing w:before="19" w:after="8" w:line="240" w:lineRule="auto"/>
        <w:ind w:left="1321" w:right="0" w:hanging="1102"/>
        <w:jc w:val="left"/>
      </w:pPr>
      <w:r>
        <w:rPr>
          <w:spacing w:val="-2"/>
          <w:w w:val="95"/>
        </w:rPr>
        <w:t>现金价值权益</w:t>
      </w:r>
    </w:p>
    <w:p>
      <w:pPr>
        <w:pStyle w:val="4"/>
        <w:spacing w:line="20" w:lineRule="exact"/>
        <w:ind w:left="112"/>
        <w:rPr>
          <w:sz w:val="2"/>
        </w:rPr>
      </w:pPr>
      <w:r>
        <w:rPr>
          <w:sz w:val="2"/>
        </w:rPr>
        <w:drawing>
          <wp:inline distT="0" distB="0" distL="0" distR="0">
            <wp:extent cx="6459220" cy="5715"/>
            <wp:effectExtent l="0" t="0" r="0" b="0"/>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10" cstate="print"/>
                    <a:stretch>
                      <a:fillRect/>
                    </a:stretch>
                  </pic:blipFill>
                  <pic:spPr>
                    <a:xfrm>
                      <a:off x="0" y="0"/>
                      <a:ext cx="6459854" cy="6096"/>
                    </a:xfrm>
                    <a:prstGeom prst="rect">
                      <a:avLst/>
                    </a:prstGeom>
                  </pic:spPr>
                </pic:pic>
              </a:graphicData>
            </a:graphic>
          </wp:inline>
        </w:drawing>
      </w:r>
    </w:p>
    <w:p>
      <w:pPr>
        <w:pStyle w:val="9"/>
        <w:numPr>
          <w:ilvl w:val="1"/>
          <w:numId w:val="2"/>
        </w:numPr>
        <w:tabs>
          <w:tab w:val="left" w:pos="1321"/>
          <w:tab w:val="left" w:pos="1322"/>
          <w:tab w:val="left" w:pos="3020"/>
        </w:tabs>
        <w:spacing w:before="166" w:after="0" w:line="266" w:lineRule="auto"/>
        <w:ind w:left="3020" w:right="208" w:hanging="2801"/>
        <w:jc w:val="left"/>
        <w:rPr>
          <w:sz w:val="21"/>
        </w:rPr>
      </w:pPr>
      <w:r>
        <w:pict>
          <v:shape id="docshape33" o:spid="_x0000_s1057" o:spt="202" type="#_x0000_t202" style="position:absolute;left:0pt;margin-left:278.25pt;margin-top:23.65pt;height:13.6pt;width:273.6pt;mso-position-horizontal-relative:page;z-index:-251642880;mso-width-relative:page;mso-height-relative:page;" fillcolor="#E4E4E4" filled="t" stroked="f" coordsize="21600,21600">
            <v:path/>
            <v:fill on="t" focussize="0,0"/>
            <v:stroke on="f" joinstyle="miter"/>
            <v:imagedata o:title=""/>
            <o:lock v:ext="edit"/>
            <v:textbox inset="0mm,0mm,0mm,0mm">
              <w:txbxContent>
                <w:p>
                  <w:pPr>
                    <w:pStyle w:val="4"/>
                    <w:spacing w:before="2"/>
                    <w:rPr>
                      <w:color w:val="000000"/>
                    </w:rPr>
                  </w:pPr>
                  <w:r>
                    <w:rPr>
                      <w:color w:val="000000"/>
                      <w:w w:val="95"/>
                    </w:rPr>
                    <w:t>若本公司已按本合同的约定给付过保险金，本合同保险</w:t>
                  </w:r>
                  <w:r>
                    <w:rPr>
                      <w:color w:val="000000"/>
                      <w:spacing w:val="-5"/>
                      <w:w w:val="95"/>
                    </w:rPr>
                    <w:t>单的</w:t>
                  </w:r>
                </w:p>
              </w:txbxContent>
            </v:textbox>
          </v:shape>
        </w:pict>
      </w:r>
      <w:r>
        <w:rPr>
          <w:b/>
          <w:spacing w:val="2"/>
          <w:w w:val="99"/>
          <w:position w:val="1"/>
          <w:sz w:val="21"/>
        </w:rPr>
        <w:t>现金价</w:t>
      </w:r>
      <w:r>
        <w:rPr>
          <w:b/>
          <w:w w:val="99"/>
          <w:position w:val="1"/>
          <w:sz w:val="21"/>
        </w:rPr>
        <w:t>值</w:t>
      </w:r>
      <w:r>
        <w:rPr>
          <w:b/>
          <w:position w:val="1"/>
          <w:sz w:val="21"/>
        </w:rPr>
        <w:tab/>
      </w:r>
      <w:r>
        <w:rPr>
          <w:spacing w:val="2"/>
          <w:w w:val="99"/>
          <w:sz w:val="21"/>
        </w:rPr>
        <w:t>本</w:t>
      </w:r>
      <w:r>
        <w:rPr>
          <w:spacing w:val="-1"/>
          <w:w w:val="99"/>
          <w:sz w:val="21"/>
        </w:rPr>
        <w:t>合</w:t>
      </w:r>
      <w:r>
        <w:rPr>
          <w:spacing w:val="2"/>
          <w:w w:val="99"/>
          <w:sz w:val="21"/>
        </w:rPr>
        <w:t>同保</w:t>
      </w:r>
      <w:r>
        <w:rPr>
          <w:spacing w:val="-1"/>
          <w:w w:val="99"/>
          <w:sz w:val="21"/>
        </w:rPr>
        <w:t>单</w:t>
      </w:r>
      <w:r>
        <w:rPr>
          <w:spacing w:val="2"/>
          <w:w w:val="99"/>
          <w:sz w:val="21"/>
        </w:rPr>
        <w:t>年度末</w:t>
      </w:r>
      <w:r>
        <w:rPr>
          <w:spacing w:val="-1"/>
          <w:w w:val="99"/>
          <w:sz w:val="21"/>
        </w:rPr>
        <w:t>的</w:t>
      </w:r>
      <w:r>
        <w:rPr>
          <w:spacing w:val="2"/>
          <w:w w:val="99"/>
          <w:sz w:val="21"/>
        </w:rPr>
        <w:t>现金</w:t>
      </w:r>
      <w:r>
        <w:rPr>
          <w:spacing w:val="-1"/>
          <w:w w:val="99"/>
          <w:sz w:val="21"/>
        </w:rPr>
        <w:t>价</w:t>
      </w:r>
      <w:r>
        <w:rPr>
          <w:spacing w:val="2"/>
          <w:w w:val="99"/>
          <w:sz w:val="21"/>
        </w:rPr>
        <w:t>值会</w:t>
      </w:r>
      <w:r>
        <w:rPr>
          <w:spacing w:val="-1"/>
          <w:w w:val="99"/>
          <w:sz w:val="21"/>
        </w:rPr>
        <w:t>在</w:t>
      </w:r>
      <w:r>
        <w:rPr>
          <w:spacing w:val="2"/>
          <w:w w:val="99"/>
          <w:sz w:val="21"/>
        </w:rPr>
        <w:t>保险</w:t>
      </w:r>
      <w:r>
        <w:rPr>
          <w:spacing w:val="-1"/>
          <w:w w:val="99"/>
          <w:sz w:val="21"/>
        </w:rPr>
        <w:t>合</w:t>
      </w:r>
      <w:r>
        <w:rPr>
          <w:spacing w:val="2"/>
          <w:w w:val="99"/>
          <w:sz w:val="21"/>
        </w:rPr>
        <w:t>同中</w:t>
      </w:r>
      <w:r>
        <w:rPr>
          <w:spacing w:val="-1"/>
          <w:w w:val="99"/>
          <w:sz w:val="21"/>
        </w:rPr>
        <w:t>载</w:t>
      </w:r>
      <w:r>
        <w:rPr>
          <w:spacing w:val="2"/>
          <w:w w:val="99"/>
          <w:sz w:val="21"/>
        </w:rPr>
        <w:t>明，保</w:t>
      </w:r>
      <w:r>
        <w:rPr>
          <w:spacing w:val="-1"/>
          <w:w w:val="99"/>
          <w:sz w:val="21"/>
        </w:rPr>
        <w:t>单</w:t>
      </w:r>
      <w:r>
        <w:rPr>
          <w:spacing w:val="2"/>
          <w:w w:val="99"/>
          <w:sz w:val="21"/>
        </w:rPr>
        <w:t>年度</w:t>
      </w:r>
      <w:r>
        <w:rPr>
          <w:spacing w:val="-1"/>
          <w:w w:val="99"/>
          <w:sz w:val="21"/>
        </w:rPr>
        <w:t>之</w:t>
      </w:r>
      <w:r>
        <w:rPr>
          <w:spacing w:val="2"/>
          <w:w w:val="99"/>
          <w:sz w:val="21"/>
        </w:rPr>
        <w:t>内的</w:t>
      </w:r>
      <w:r>
        <w:rPr>
          <w:spacing w:val="-1"/>
          <w:w w:val="99"/>
          <w:sz w:val="21"/>
        </w:rPr>
        <w:t>现</w:t>
      </w:r>
      <w:r>
        <w:rPr>
          <w:spacing w:val="2"/>
          <w:w w:val="99"/>
          <w:sz w:val="21"/>
        </w:rPr>
        <w:t>金价</w:t>
      </w:r>
      <w:r>
        <w:rPr>
          <w:w w:val="99"/>
          <w:sz w:val="21"/>
        </w:rPr>
        <w:t>值</w:t>
      </w:r>
      <w:r>
        <w:rPr>
          <w:spacing w:val="2"/>
          <w:w w:val="99"/>
          <w:sz w:val="21"/>
        </w:rPr>
        <w:t>可</w:t>
      </w:r>
      <w:r>
        <w:rPr>
          <w:spacing w:val="-1"/>
          <w:w w:val="99"/>
          <w:sz w:val="21"/>
        </w:rPr>
        <w:t>向</w:t>
      </w:r>
      <w:r>
        <w:rPr>
          <w:spacing w:val="2"/>
          <w:w w:val="99"/>
          <w:sz w:val="21"/>
        </w:rPr>
        <w:t>本公</w:t>
      </w:r>
      <w:r>
        <w:rPr>
          <w:spacing w:val="-1"/>
          <w:w w:val="99"/>
          <w:sz w:val="21"/>
        </w:rPr>
        <w:t>司</w:t>
      </w:r>
      <w:r>
        <w:rPr>
          <w:spacing w:val="2"/>
          <w:w w:val="99"/>
          <w:sz w:val="21"/>
        </w:rPr>
        <w:t>查询</w:t>
      </w:r>
      <w:r>
        <w:rPr>
          <w:w w:val="99"/>
          <w:sz w:val="21"/>
        </w:rPr>
        <w:t>。</w:t>
      </w:r>
    </w:p>
    <w:p>
      <w:pPr>
        <w:pStyle w:val="4"/>
        <w:ind w:left="3022"/>
        <w:rPr>
          <w:sz w:val="20"/>
        </w:rPr>
      </w:pPr>
      <w:r>
        <w:rPr>
          <w:sz w:val="20"/>
        </w:rPr>
        <w:pict>
          <v:shape id="docshape34" o:spid="_x0000_s1058" o:spt="202" type="#_x0000_t202" style="height:13.6pt;width:210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3"/>
                      <w:w w:val="95"/>
                    </w:rPr>
                    <w:t>现金价值将根据保险金已给付情况相应减少。</w:t>
                  </w:r>
                </w:p>
              </w:txbxContent>
            </v:textbox>
            <w10:wrap type="none"/>
            <w10:anchorlock/>
          </v:shape>
        </w:pict>
      </w:r>
    </w:p>
    <w:p>
      <w:pPr>
        <w:pStyle w:val="4"/>
        <w:spacing w:before="2"/>
        <w:rPr>
          <w:sz w:val="6"/>
        </w:rPr>
      </w:pPr>
    </w:p>
    <w:p>
      <w:pPr>
        <w:pStyle w:val="9"/>
        <w:numPr>
          <w:ilvl w:val="1"/>
          <w:numId w:val="2"/>
        </w:numPr>
        <w:tabs>
          <w:tab w:val="left" w:pos="1322"/>
        </w:tabs>
        <w:spacing w:before="69" w:after="0" w:line="266" w:lineRule="auto"/>
        <w:ind w:left="3020" w:right="203" w:hanging="2801"/>
        <w:jc w:val="both"/>
        <w:rPr>
          <w:sz w:val="21"/>
        </w:rPr>
      </w:pPr>
      <w:r>
        <w:rPr>
          <w:b/>
          <w:spacing w:val="1"/>
          <w:w w:val="99"/>
          <w:position w:val="1"/>
          <w:sz w:val="21"/>
        </w:rPr>
        <w:t>保单贷款</w:t>
      </w:r>
      <w:r>
        <w:rPr>
          <w:b/>
          <w:spacing w:val="1"/>
          <w:position w:val="1"/>
          <w:sz w:val="21"/>
        </w:rPr>
        <w:t xml:space="preserve">        </w:t>
      </w:r>
      <w:r>
        <w:rPr>
          <w:spacing w:val="-1"/>
          <w:w w:val="99"/>
          <w:sz w:val="21"/>
        </w:rPr>
        <w:t>在本合同有效期内，投保人可以申请并经本公司审核同意后办理保单贷款。贷款金额不得超过本合同保险单的现金价值扣除各项欠款后余额的</w:t>
      </w:r>
      <w:r>
        <w:rPr>
          <w:spacing w:val="-50"/>
          <w:sz w:val="21"/>
        </w:rPr>
        <w:t xml:space="preserve"> </w:t>
      </w:r>
      <w:r>
        <w:rPr>
          <w:spacing w:val="1"/>
          <w:w w:val="99"/>
          <w:sz w:val="21"/>
        </w:rPr>
        <w:t>8</w:t>
      </w:r>
      <w:r>
        <w:rPr>
          <w:spacing w:val="-2"/>
          <w:w w:val="99"/>
          <w:sz w:val="21"/>
        </w:rPr>
        <w:t>0</w:t>
      </w:r>
      <w:r>
        <w:rPr>
          <w:spacing w:val="-8"/>
          <w:w w:val="99"/>
          <w:sz w:val="21"/>
        </w:rPr>
        <w:t>％，每次贷</w:t>
      </w:r>
      <w:r>
        <w:rPr>
          <w:spacing w:val="-5"/>
          <w:w w:val="99"/>
          <w:sz w:val="21"/>
        </w:rPr>
        <w:t>款期限最长不超过六个月，贷款利息按</w:t>
      </w:r>
      <w:r>
        <w:rPr>
          <w:b/>
          <w:spacing w:val="2"/>
          <w:w w:val="99"/>
          <w:sz w:val="21"/>
        </w:rPr>
        <w:t>本合同约定利率</w:t>
      </w:r>
      <w:r>
        <w:fldChar w:fldCharType="begin"/>
      </w:r>
      <w:r>
        <w:instrText xml:space="preserve"> HYPERLINK \l "_bookmark35" </w:instrText>
      </w:r>
      <w:r>
        <w:fldChar w:fldCharType="separate"/>
      </w:r>
      <w:r>
        <w:rPr>
          <w:spacing w:val="-1"/>
          <w:w w:val="106"/>
          <w:position w:val="11"/>
          <w:sz w:val="10"/>
        </w:rPr>
        <w:t>3</w:t>
      </w:r>
      <w:r>
        <w:rPr>
          <w:spacing w:val="-3"/>
          <w:w w:val="106"/>
          <w:position w:val="11"/>
          <w:sz w:val="10"/>
        </w:rPr>
        <w:t>8</w:t>
      </w:r>
      <w:r>
        <w:rPr>
          <w:spacing w:val="-3"/>
          <w:w w:val="106"/>
          <w:position w:val="11"/>
          <w:sz w:val="10"/>
        </w:rPr>
        <w:fldChar w:fldCharType="end"/>
      </w:r>
      <w:r>
        <w:rPr>
          <w:spacing w:val="-6"/>
          <w:w w:val="99"/>
          <w:sz w:val="21"/>
        </w:rPr>
        <w:t>计算。贷款本息在贷款</w:t>
      </w:r>
      <w:r>
        <w:rPr>
          <w:spacing w:val="-1"/>
          <w:w w:val="99"/>
          <w:sz w:val="21"/>
        </w:rPr>
        <w:t>到期时一并归还。若投保人到期未能足额偿还贷款本息，则投保人所欠的贷款本金及利息将作为新的贷款本金计息。</w:t>
      </w:r>
    </w:p>
    <w:p>
      <w:pPr>
        <w:pStyle w:val="4"/>
        <w:spacing w:before="7"/>
        <w:rPr>
          <w:sz w:val="12"/>
        </w:rPr>
      </w:pPr>
    </w:p>
    <w:tbl>
      <w:tblPr>
        <w:tblStyle w:val="6"/>
        <w:tblW w:w="0" w:type="auto"/>
        <w:tblInd w:w="302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10"/>
        <w:gridCol w:w="4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147" w:type="dxa"/>
            <w:gridSpan w:val="2"/>
            <w:tcBorders>
              <w:bottom w:val="single" w:color="FFFFFF" w:sz="12" w:space="0"/>
            </w:tcBorders>
            <w:shd w:val="clear" w:color="auto" w:fill="E4E4E4"/>
          </w:tcPr>
          <w:p>
            <w:pPr>
              <w:pStyle w:val="10"/>
              <w:spacing w:before="2" w:line="248" w:lineRule="exact"/>
              <w:ind w:left="-2" w:right="-15"/>
              <w:rPr>
                <w:sz w:val="21"/>
              </w:rPr>
            </w:pPr>
            <w:r>
              <w:rPr>
                <w:w w:val="95"/>
                <w:sz w:val="21"/>
              </w:rPr>
              <w:t>自贷款本金及利息加上其他各项欠款达到本合同保险单的现金价值的当日</w:t>
            </w:r>
            <w:r>
              <w:rPr>
                <w:spacing w:val="68"/>
                <w:sz w:val="21"/>
              </w:rPr>
              <w:t xml:space="preserve">   </w:t>
            </w:r>
            <w:r>
              <w:rPr>
                <w:spacing w:val="-5"/>
                <w:w w:val="95"/>
                <w:sz w:val="21"/>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2310" w:type="dxa"/>
            <w:tcBorders>
              <w:top w:val="single" w:color="FFFFFF" w:sz="12" w:space="0"/>
              <w:bottom w:val="single" w:color="FFFFFF" w:sz="12" w:space="0"/>
            </w:tcBorders>
            <w:shd w:val="clear" w:color="auto" w:fill="E4E4E4"/>
          </w:tcPr>
          <w:p>
            <w:pPr>
              <w:pStyle w:val="10"/>
              <w:spacing w:before="1" w:line="248" w:lineRule="exact"/>
              <w:ind w:left="42" w:right="44"/>
              <w:jc w:val="center"/>
              <w:rPr>
                <w:sz w:val="21"/>
              </w:rPr>
            </w:pPr>
            <w:r>
              <w:rPr>
                <w:spacing w:val="-1"/>
                <w:w w:val="95"/>
                <w:sz w:val="21"/>
              </w:rPr>
              <w:t>时起，本合同效力中止。</w:t>
            </w:r>
          </w:p>
        </w:tc>
        <w:tc>
          <w:tcPr>
            <w:tcW w:w="4837" w:type="dxa"/>
            <w:tcBorders>
              <w:top w:val="single" w:color="FFFFFF" w:sz="12" w:space="0"/>
              <w:bottom w:val="single" w:color="FFFFFF" w:sz="12" w:space="0"/>
            </w:tcBorders>
          </w:tcPr>
          <w:p>
            <w:pPr>
              <w:pStyle w:val="10"/>
              <w:ind w:left="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147" w:type="dxa"/>
            <w:gridSpan w:val="2"/>
            <w:tcBorders>
              <w:top w:val="single" w:color="FFFFFF" w:sz="12" w:space="0"/>
              <w:bottom w:val="single" w:color="FFFFFF" w:sz="12" w:space="0"/>
            </w:tcBorders>
            <w:shd w:val="clear" w:color="auto" w:fill="E4E4E4"/>
          </w:tcPr>
          <w:p>
            <w:pPr>
              <w:pStyle w:val="10"/>
              <w:spacing w:before="1" w:line="248" w:lineRule="exact"/>
              <w:ind w:left="-2"/>
              <w:rPr>
                <w:sz w:val="21"/>
              </w:rPr>
            </w:pPr>
            <w:r>
              <w:rPr>
                <w:spacing w:val="-1"/>
                <w:w w:val="95"/>
                <w:sz w:val="21"/>
              </w:rPr>
              <w:t>本公司给付各项保险金、退还现金价值或退还保险费时，应先扣除保单借款及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2310" w:type="dxa"/>
            <w:tcBorders>
              <w:top w:val="single" w:color="FFFFFF" w:sz="12" w:space="0"/>
            </w:tcBorders>
            <w:shd w:val="clear" w:color="auto" w:fill="E4E4E4"/>
          </w:tcPr>
          <w:p>
            <w:pPr>
              <w:pStyle w:val="10"/>
              <w:spacing w:before="1" w:line="249" w:lineRule="exact"/>
              <w:ind w:left="42" w:right="44"/>
              <w:jc w:val="center"/>
              <w:rPr>
                <w:sz w:val="21"/>
              </w:rPr>
            </w:pPr>
            <w:r>
              <w:rPr>
                <w:spacing w:val="-1"/>
                <w:w w:val="95"/>
                <w:sz w:val="21"/>
              </w:rPr>
              <w:t>借款利息、欠交保险费。</w:t>
            </w:r>
          </w:p>
        </w:tc>
        <w:tc>
          <w:tcPr>
            <w:tcW w:w="4837" w:type="dxa"/>
            <w:tcBorders>
              <w:top w:val="single" w:color="FFFFFF" w:sz="12" w:space="0"/>
            </w:tcBorders>
          </w:tcPr>
          <w:p>
            <w:pPr>
              <w:pStyle w:val="10"/>
              <w:ind w:left="0"/>
              <w:rPr>
                <w:rFonts w:ascii="Times New Roman"/>
                <w:sz w:val="20"/>
              </w:rPr>
            </w:pPr>
          </w:p>
        </w:tc>
      </w:tr>
    </w:tbl>
    <w:p>
      <w:pPr>
        <w:pStyle w:val="4"/>
        <w:spacing w:before="6"/>
        <w:rPr>
          <w:sz w:val="8"/>
        </w:rPr>
      </w:pPr>
    </w:p>
    <w:p>
      <w:pPr>
        <w:spacing w:after="0"/>
        <w:rPr>
          <w:sz w:val="8"/>
        </w:rPr>
        <w:sectPr>
          <w:pgSz w:w="11910" w:h="16840"/>
          <w:pgMar w:top="1560" w:right="660" w:bottom="860" w:left="860" w:header="0" w:footer="662" w:gutter="0"/>
          <w:cols w:space="720" w:num="1"/>
        </w:sectPr>
      </w:pPr>
    </w:p>
    <w:p>
      <w:pPr>
        <w:pStyle w:val="3"/>
        <w:numPr>
          <w:ilvl w:val="1"/>
          <w:numId w:val="2"/>
        </w:numPr>
        <w:tabs>
          <w:tab w:val="left" w:pos="1321"/>
          <w:tab w:val="left" w:pos="1322"/>
        </w:tabs>
        <w:spacing w:before="70" w:after="0" w:line="278" w:lineRule="auto"/>
        <w:ind w:left="1321" w:right="38" w:hanging="1102"/>
        <w:jc w:val="left"/>
      </w:pPr>
      <w:r>
        <w:pict>
          <v:shape id="docshape35" o:spid="_x0000_s1059" o:spt="202" type="#_x0000_t202" style="position:absolute;left:0pt;margin-left:520.25pt;margin-top:48.8pt;height:13.6pt;width:31.55pt;mso-position-horizontal-relative:page;z-index:-251642880;mso-width-relative:page;mso-height-relative:page;" fillcolor="#E4E4E4" filled="t" stroked="f" coordsize="21600,21600">
            <v:path/>
            <v:fill on="t" focussize="0,0"/>
            <v:stroke on="f" joinstyle="miter"/>
            <v:imagedata o:title=""/>
            <o:lock v:ext="edit"/>
            <v:textbox inset="0mm,0mm,0mm,0mm">
              <w:txbxContent>
                <w:p>
                  <w:pPr>
                    <w:pStyle w:val="4"/>
                    <w:spacing w:before="2"/>
                    <w:rPr>
                      <w:color w:val="000000"/>
                    </w:rPr>
                  </w:pPr>
                  <w:r>
                    <w:rPr>
                      <w:color w:val="000000"/>
                      <w:spacing w:val="-4"/>
                      <w:w w:val="95"/>
                    </w:rPr>
                    <w:t>若保险</w:t>
                  </w:r>
                </w:p>
              </w:txbxContent>
            </v:textbox>
          </v:shape>
        </w:pict>
      </w:r>
      <w:r>
        <w:rPr>
          <w:spacing w:val="-2"/>
        </w:rPr>
        <w:t>保险费自动垫</w:t>
      </w:r>
      <w:r>
        <w:rPr>
          <w:spacing w:val="-10"/>
        </w:rPr>
        <w:t>交</w:t>
      </w:r>
    </w:p>
    <w:p>
      <w:pPr>
        <w:pStyle w:val="4"/>
        <w:spacing w:before="80" w:line="266" w:lineRule="auto"/>
        <w:ind w:left="220" w:right="208"/>
        <w:jc w:val="both"/>
      </w:pPr>
      <w:r>
        <w:br w:type="column"/>
      </w:r>
      <w:r>
        <w:rPr>
          <w:spacing w:val="-1"/>
          <w:w w:val="99"/>
        </w:rPr>
        <w:t>投保人在投保时选择保险费自动垫交方式的，若分期交付的保险费超过宽限期仍未交付，且此时保险合同现金价值扣除未还款项及其利息后的余额足以垫交当期保险费，本公司将以本合同现金价值扣除未还款项及其利息后的余额自动垫交应交付的保险费，本合同继续有效。垫交的保险费视作保单借款。</w:t>
      </w:r>
    </w:p>
    <w:p>
      <w:pPr>
        <w:spacing w:after="0" w:line="266" w:lineRule="auto"/>
        <w:jc w:val="both"/>
        <w:sectPr>
          <w:type w:val="continuous"/>
          <w:pgSz w:w="11910" w:h="16840"/>
          <w:pgMar w:top="480" w:right="660" w:bottom="280" w:left="860" w:header="0" w:footer="662" w:gutter="0"/>
          <w:cols w:equalWidth="0" w:num="2">
            <w:col w:w="2625" w:space="176"/>
            <w:col w:w="7589"/>
          </w:cols>
        </w:sectPr>
      </w:pPr>
    </w:p>
    <w:p>
      <w:pPr>
        <w:pStyle w:val="4"/>
        <w:ind w:left="3022"/>
        <w:rPr>
          <w:sz w:val="20"/>
        </w:rPr>
      </w:pPr>
      <w:r>
        <w:rPr>
          <w:sz w:val="20"/>
        </w:rPr>
        <w:pict>
          <v:shape id="docshape36" o:spid="_x0000_s1060" o:spt="202" type="#_x0000_t202" style="height:13.6pt;width:357.75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1"/>
                      <w:w w:val="95"/>
                    </w:rPr>
                    <w:t>合同现金价值扣除未还款项及其利息后的余额不足以垫交当期保险费，本合同</w:t>
                  </w:r>
                </w:p>
              </w:txbxContent>
            </v:textbox>
            <w10:wrap type="none"/>
            <w10:anchorlock/>
          </v:shape>
        </w:pict>
      </w:r>
    </w:p>
    <w:p>
      <w:pPr>
        <w:pStyle w:val="4"/>
        <w:ind w:left="3022"/>
        <w:rPr>
          <w:sz w:val="20"/>
        </w:rPr>
      </w:pPr>
      <w:r>
        <w:rPr>
          <w:sz w:val="20"/>
        </w:rPr>
        <w:pict>
          <v:shape id="docshape37" o:spid="_x0000_s1061" o:spt="202" type="#_x0000_t202" style="height:13.6pt;width:147pt;" fillcolor="#E4E4E4" filled="t" stroked="f" coordsize="21600,21600">
            <v:path/>
            <v:fill on="t" focussize="0,0"/>
            <v:stroke on="f" joinstyle="miter"/>
            <v:imagedata o:title=""/>
            <o:lock v:ext="edit"/>
            <v:textbox inset="0mm,0mm,0mm,0mm">
              <w:txbxContent>
                <w:p>
                  <w:pPr>
                    <w:pStyle w:val="4"/>
                    <w:spacing w:before="2"/>
                    <w:ind w:left="-2"/>
                    <w:rPr>
                      <w:color w:val="000000"/>
                    </w:rPr>
                  </w:pPr>
                  <w:r>
                    <w:rPr>
                      <w:color w:val="000000"/>
                      <w:spacing w:val="-3"/>
                      <w:w w:val="95"/>
                    </w:rPr>
                    <w:t>自宽限期满的次日零时起中止。</w:t>
                  </w:r>
                </w:p>
              </w:txbxContent>
            </v:textbox>
            <w10:wrap type="none"/>
            <w10:anchorlock/>
          </v:shape>
        </w:pict>
      </w:r>
    </w:p>
    <w:p>
      <w:pPr>
        <w:pStyle w:val="4"/>
        <w:spacing w:before="11"/>
        <w:rPr>
          <w:sz w:val="7"/>
        </w:rPr>
      </w:pPr>
    </w:p>
    <w:p>
      <w:pPr>
        <w:pStyle w:val="2"/>
        <w:numPr>
          <w:ilvl w:val="0"/>
          <w:numId w:val="2"/>
        </w:numPr>
        <w:tabs>
          <w:tab w:val="left" w:pos="1321"/>
          <w:tab w:val="left" w:pos="1322"/>
        </w:tabs>
        <w:spacing w:before="34" w:after="4" w:line="240" w:lineRule="auto"/>
        <w:ind w:left="1321" w:right="0" w:hanging="1102"/>
        <w:jc w:val="left"/>
      </w:pPr>
      <w:r>
        <w:rPr>
          <w:spacing w:val="-2"/>
          <w:w w:val="95"/>
        </w:rPr>
        <w:t>合同效力中止和恢复</w:t>
      </w:r>
    </w:p>
    <w:p>
      <w:pPr>
        <w:pStyle w:val="4"/>
        <w:spacing w:line="20" w:lineRule="exact"/>
        <w:ind w:left="112"/>
        <w:rPr>
          <w:sz w:val="2"/>
        </w:rPr>
      </w:pPr>
      <w:r>
        <w:rPr>
          <w:sz w:val="2"/>
        </w:rPr>
        <w:drawing>
          <wp:inline distT="0" distB="0" distL="0" distR="0">
            <wp:extent cx="6459220" cy="5715"/>
            <wp:effectExtent l="0" t="0" r="0" b="0"/>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a:picLocks noChangeAspect="1"/>
                    </pic:cNvPicPr>
                  </pic:nvPicPr>
                  <pic:blipFill>
                    <a:blip r:embed="rId9" cstate="print"/>
                    <a:stretch>
                      <a:fillRect/>
                    </a:stretch>
                  </pic:blipFill>
                  <pic:spPr>
                    <a:xfrm>
                      <a:off x="0" y="0"/>
                      <a:ext cx="6459854" cy="6096"/>
                    </a:xfrm>
                    <a:prstGeom prst="rect">
                      <a:avLst/>
                    </a:prstGeom>
                  </pic:spPr>
                </pic:pic>
              </a:graphicData>
            </a:graphic>
          </wp:inline>
        </w:drawing>
      </w:r>
    </w:p>
    <w:p>
      <w:pPr>
        <w:pStyle w:val="9"/>
        <w:numPr>
          <w:ilvl w:val="1"/>
          <w:numId w:val="2"/>
        </w:numPr>
        <w:tabs>
          <w:tab w:val="left" w:pos="1321"/>
          <w:tab w:val="left" w:pos="1322"/>
          <w:tab w:val="left" w:pos="3020"/>
        </w:tabs>
        <w:spacing w:before="171" w:after="0" w:line="240" w:lineRule="auto"/>
        <w:ind w:left="1321" w:right="0" w:hanging="1102"/>
        <w:jc w:val="left"/>
        <w:rPr>
          <w:sz w:val="21"/>
        </w:rPr>
      </w:pPr>
      <w:r>
        <w:rPr>
          <w:b/>
          <w:w w:val="95"/>
          <w:position w:val="1"/>
          <w:sz w:val="21"/>
        </w:rPr>
        <w:t>合同效力中</w:t>
      </w:r>
      <w:r>
        <w:rPr>
          <w:b/>
          <w:spacing w:val="-10"/>
          <w:w w:val="95"/>
          <w:position w:val="1"/>
          <w:sz w:val="21"/>
        </w:rPr>
        <w:t>止</w:t>
      </w:r>
      <w:r>
        <w:rPr>
          <w:b/>
          <w:position w:val="1"/>
          <w:sz w:val="21"/>
        </w:rPr>
        <w:tab/>
      </w:r>
      <w:r>
        <w:rPr>
          <w:color w:val="000000"/>
          <w:w w:val="95"/>
          <w:sz w:val="21"/>
          <w:shd w:val="clear" w:color="auto" w:fill="E4E4E4"/>
        </w:rPr>
        <w:t>本合同效力中止期间本公司不承担保险责任</w:t>
      </w:r>
      <w:r>
        <w:rPr>
          <w:color w:val="000000"/>
          <w:spacing w:val="-10"/>
          <w:w w:val="95"/>
          <w:sz w:val="21"/>
          <w:shd w:val="clear" w:color="auto" w:fill="E4E4E4"/>
        </w:rPr>
        <w:t>。</w:t>
      </w:r>
    </w:p>
    <w:p>
      <w:pPr>
        <w:pStyle w:val="4"/>
        <w:spacing w:before="7"/>
        <w:rPr>
          <w:sz w:val="26"/>
        </w:rPr>
      </w:pPr>
    </w:p>
    <w:p>
      <w:pPr>
        <w:pStyle w:val="9"/>
        <w:numPr>
          <w:ilvl w:val="1"/>
          <w:numId w:val="2"/>
        </w:numPr>
        <w:tabs>
          <w:tab w:val="left" w:pos="1322"/>
        </w:tabs>
        <w:spacing w:before="0" w:after="0" w:line="266" w:lineRule="auto"/>
        <w:ind w:left="3020" w:right="206" w:hanging="2801"/>
        <w:jc w:val="both"/>
        <w:rPr>
          <w:sz w:val="21"/>
        </w:rPr>
      </w:pPr>
      <w:r>
        <w:rPr>
          <w:b/>
          <w:w w:val="99"/>
          <w:position w:val="1"/>
          <w:sz w:val="21"/>
        </w:rPr>
        <w:t>合同效力恢复</w:t>
      </w:r>
      <w:r>
        <w:rPr>
          <w:b/>
          <w:spacing w:val="3"/>
          <w:position w:val="1"/>
          <w:sz w:val="21"/>
        </w:rPr>
        <w:t xml:space="preserve">    </w:t>
      </w:r>
      <w:r>
        <w:rPr>
          <w:spacing w:val="-1"/>
          <w:w w:val="99"/>
          <w:sz w:val="21"/>
        </w:rPr>
        <w:t>本合同效力中止后</w:t>
      </w:r>
      <w:r>
        <w:rPr>
          <w:spacing w:val="-53"/>
          <w:sz w:val="21"/>
        </w:rPr>
        <w:t xml:space="preserve"> </w:t>
      </w:r>
      <w:r>
        <w:rPr>
          <w:w w:val="99"/>
          <w:sz w:val="21"/>
        </w:rPr>
        <w:t>2</w:t>
      </w:r>
      <w:r>
        <w:rPr>
          <w:spacing w:val="-52"/>
          <w:sz w:val="21"/>
        </w:rPr>
        <w:t xml:space="preserve"> </w:t>
      </w:r>
      <w:r>
        <w:rPr>
          <w:spacing w:val="-7"/>
          <w:w w:val="99"/>
          <w:sz w:val="21"/>
        </w:rPr>
        <w:t>年内，投保人可以申请恢复合同效力</w:t>
      </w:r>
      <w:r>
        <w:rPr>
          <w:spacing w:val="-1"/>
          <w:w w:val="99"/>
          <w:sz w:val="21"/>
        </w:rPr>
        <w:t>（</w:t>
      </w:r>
      <w:r>
        <w:rPr>
          <w:w w:val="99"/>
          <w:sz w:val="21"/>
        </w:rPr>
        <w:t>即复效</w:t>
      </w:r>
      <w:r>
        <w:rPr>
          <w:spacing w:val="-104"/>
          <w:w w:val="99"/>
          <w:sz w:val="21"/>
        </w:rPr>
        <w:t>）</w:t>
      </w:r>
      <w:r>
        <w:rPr>
          <w:spacing w:val="-6"/>
          <w:w w:val="99"/>
          <w:sz w:val="21"/>
        </w:rPr>
        <w:t>。经与本公</w:t>
      </w:r>
      <w:r>
        <w:rPr>
          <w:spacing w:val="-1"/>
          <w:w w:val="99"/>
          <w:sz w:val="21"/>
        </w:rPr>
        <w:t>司协商并达成协议，自投保人补交复效时应交纳的全部保险费及其利息、借款本息和其他未还款项及其利息的次日零时起，本合同效力恢复。</w:t>
      </w:r>
    </w:p>
    <w:p>
      <w:pPr>
        <w:spacing w:after="0" w:line="266" w:lineRule="auto"/>
        <w:jc w:val="both"/>
        <w:rPr>
          <w:sz w:val="21"/>
        </w:rPr>
        <w:sectPr>
          <w:type w:val="continuous"/>
          <w:pgSz w:w="11910" w:h="16840"/>
          <w:pgMar w:top="480" w:right="660" w:bottom="280" w:left="860" w:header="0" w:footer="662" w:gutter="0"/>
          <w:cols w:space="720" w:num="1"/>
        </w:sectPr>
      </w:pPr>
    </w:p>
    <w:p>
      <w:pPr>
        <w:pStyle w:val="4"/>
        <w:rPr>
          <w:sz w:val="48"/>
        </w:rPr>
      </w:pPr>
    </w:p>
    <w:p>
      <w:pPr>
        <w:pStyle w:val="2"/>
        <w:numPr>
          <w:ilvl w:val="0"/>
          <w:numId w:val="2"/>
        </w:numPr>
        <w:tabs>
          <w:tab w:val="left" w:pos="1321"/>
          <w:tab w:val="left" w:pos="1322"/>
        </w:tabs>
        <w:spacing w:before="401" w:after="0" w:line="240" w:lineRule="auto"/>
        <w:ind w:left="1321" w:right="0" w:hanging="1102"/>
        <w:jc w:val="left"/>
      </w:pPr>
      <w:r>
        <w:rPr>
          <w:spacing w:val="-3"/>
          <w:w w:val="95"/>
        </w:rPr>
        <w:t>合同解除</w:t>
      </w:r>
    </w:p>
    <w:p>
      <w:pPr>
        <w:pStyle w:val="3"/>
        <w:numPr>
          <w:ilvl w:val="1"/>
          <w:numId w:val="2"/>
        </w:numPr>
        <w:tabs>
          <w:tab w:val="left" w:pos="1321"/>
          <w:tab w:val="left" w:pos="1322"/>
        </w:tabs>
        <w:spacing w:before="194" w:after="0" w:line="278" w:lineRule="auto"/>
        <w:ind w:left="1321" w:right="38" w:hanging="1102"/>
        <w:jc w:val="left"/>
      </w:pPr>
      <w:r>
        <w:rPr>
          <w:spacing w:val="-2"/>
        </w:rPr>
        <w:t>解除合同的手</w:t>
      </w:r>
      <w:r>
        <w:rPr>
          <w:spacing w:val="-4"/>
        </w:rPr>
        <w:t>续及风险</w:t>
      </w:r>
    </w:p>
    <w:p>
      <w:pPr>
        <w:pStyle w:val="4"/>
        <w:spacing w:before="160" w:line="266" w:lineRule="auto"/>
        <w:ind w:left="220" w:right="208"/>
      </w:pPr>
      <w:r>
        <w:br w:type="column"/>
      </w:r>
      <w:r>
        <w:rPr>
          <w:spacing w:val="-1"/>
          <w:w w:val="99"/>
        </w:rPr>
        <w:t>自本合同中止之日起满</w:t>
      </w:r>
      <w:r>
        <w:rPr>
          <w:spacing w:val="-50"/>
        </w:rPr>
        <w:t xml:space="preserve"> </w:t>
      </w:r>
      <w:r>
        <w:rPr>
          <w:w w:val="99"/>
        </w:rPr>
        <w:t>2</w:t>
      </w:r>
      <w:r>
        <w:rPr>
          <w:spacing w:val="-52"/>
        </w:rPr>
        <w:t xml:space="preserve"> </w:t>
      </w:r>
      <w:r>
        <w:rPr>
          <w:spacing w:val="-1"/>
          <w:w w:val="99"/>
        </w:rPr>
        <w:t>年投保人与本公司未达成协议的，本公司有权解除合同。若解除合同，向投保人退还合同中止时的现金价值。</w:t>
      </w:r>
    </w:p>
    <w:p>
      <w:pPr>
        <w:pStyle w:val="4"/>
        <w:rPr>
          <w:sz w:val="20"/>
        </w:rPr>
      </w:pPr>
    </w:p>
    <w:p>
      <w:pPr>
        <w:pStyle w:val="4"/>
        <w:rPr>
          <w:sz w:val="20"/>
        </w:rPr>
      </w:pPr>
    </w:p>
    <w:p>
      <w:pPr>
        <w:pStyle w:val="4"/>
        <w:rPr>
          <w:sz w:val="20"/>
        </w:rPr>
      </w:pPr>
    </w:p>
    <w:p>
      <w:pPr>
        <w:pStyle w:val="4"/>
        <w:spacing w:before="12"/>
        <w:rPr>
          <w:sz w:val="23"/>
        </w:rPr>
      </w:pPr>
    </w:p>
    <w:p>
      <w:pPr>
        <w:pStyle w:val="4"/>
        <w:ind w:left="220"/>
      </w:pPr>
      <w:r>
        <w:drawing>
          <wp:anchor distT="0" distB="0" distL="0" distR="0" simplePos="0" relativeHeight="251664384" behindDoc="0" locked="0" layoutInCell="1" allowOverlap="1">
            <wp:simplePos x="0" y="0"/>
            <wp:positionH relativeFrom="page">
              <wp:posOffset>616585</wp:posOffset>
            </wp:positionH>
            <wp:positionV relativeFrom="paragraph">
              <wp:posOffset>-123825</wp:posOffset>
            </wp:positionV>
            <wp:extent cx="6459855" cy="6350"/>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a:picLocks noChangeAspect="1"/>
                    </pic:cNvPicPr>
                  </pic:nvPicPr>
                  <pic:blipFill>
                    <a:blip r:embed="rId10" cstate="print"/>
                    <a:stretch>
                      <a:fillRect/>
                    </a:stretch>
                  </pic:blipFill>
                  <pic:spPr>
                    <a:xfrm>
                      <a:off x="0" y="0"/>
                      <a:ext cx="6459855" cy="6096"/>
                    </a:xfrm>
                    <a:prstGeom prst="rect">
                      <a:avLst/>
                    </a:prstGeom>
                  </pic:spPr>
                </pic:pic>
              </a:graphicData>
            </a:graphic>
          </wp:anchor>
        </w:drawing>
      </w:r>
      <w:r>
        <w:rPr>
          <w:spacing w:val="-1"/>
          <w:w w:val="95"/>
        </w:rPr>
        <w:t>本合同成立后，投保人可申请解除合同。</w:t>
      </w:r>
    </w:p>
    <w:p>
      <w:pPr>
        <w:pStyle w:val="4"/>
        <w:spacing w:before="7"/>
        <w:rPr>
          <w:sz w:val="14"/>
        </w:rPr>
      </w:pPr>
    </w:p>
    <w:p>
      <w:pPr>
        <w:pStyle w:val="4"/>
        <w:ind w:left="220"/>
      </w:pPr>
      <w:r>
        <w:rPr>
          <w:spacing w:val="-1"/>
          <w:w w:val="95"/>
        </w:rPr>
        <w:t>投保人申请解除本合同时，应当向本公司送达：</w:t>
      </w:r>
    </w:p>
    <w:p>
      <w:pPr>
        <w:pStyle w:val="4"/>
        <w:spacing w:before="1"/>
        <w:rPr>
          <w:sz w:val="14"/>
        </w:rPr>
      </w:pPr>
    </w:p>
    <w:p>
      <w:pPr>
        <w:pStyle w:val="9"/>
        <w:numPr>
          <w:ilvl w:val="0"/>
          <w:numId w:val="11"/>
        </w:numPr>
        <w:tabs>
          <w:tab w:val="left" w:pos="747"/>
        </w:tabs>
        <w:spacing w:before="0" w:after="0" w:line="240" w:lineRule="auto"/>
        <w:ind w:left="746" w:right="0" w:hanging="527"/>
        <w:jc w:val="left"/>
        <w:rPr>
          <w:sz w:val="21"/>
        </w:rPr>
      </w:pPr>
      <w:r>
        <w:rPr>
          <w:spacing w:val="-2"/>
          <w:w w:val="95"/>
          <w:sz w:val="21"/>
        </w:rPr>
        <w:t>解除合同申请书；</w:t>
      </w:r>
    </w:p>
    <w:p>
      <w:pPr>
        <w:pStyle w:val="4"/>
        <w:spacing w:before="6"/>
        <w:rPr>
          <w:sz w:val="15"/>
        </w:rPr>
      </w:pPr>
    </w:p>
    <w:p>
      <w:pPr>
        <w:pStyle w:val="9"/>
        <w:numPr>
          <w:ilvl w:val="0"/>
          <w:numId w:val="11"/>
        </w:numPr>
        <w:tabs>
          <w:tab w:val="left" w:pos="747"/>
        </w:tabs>
        <w:spacing w:before="0" w:after="0" w:line="240" w:lineRule="auto"/>
        <w:ind w:left="746" w:right="0" w:hanging="527"/>
        <w:jc w:val="left"/>
        <w:rPr>
          <w:sz w:val="21"/>
        </w:rPr>
      </w:pPr>
      <w:r>
        <w:rPr>
          <w:spacing w:val="-3"/>
          <w:w w:val="95"/>
          <w:sz w:val="21"/>
        </w:rPr>
        <w:t>本合同；</w:t>
      </w:r>
    </w:p>
    <w:p>
      <w:pPr>
        <w:spacing w:after="0" w:line="240" w:lineRule="auto"/>
        <w:jc w:val="left"/>
        <w:rPr>
          <w:sz w:val="21"/>
        </w:rPr>
        <w:sectPr>
          <w:type w:val="continuous"/>
          <w:pgSz w:w="11910" w:h="16840"/>
          <w:pgMar w:top="480" w:right="660" w:bottom="280" w:left="860" w:header="0" w:footer="662" w:gutter="0"/>
          <w:cols w:equalWidth="0" w:num="2">
            <w:col w:w="2625" w:space="176"/>
            <w:col w:w="7589"/>
          </w:cols>
        </w:sectPr>
      </w:pPr>
    </w:p>
    <w:p>
      <w:pPr>
        <w:pStyle w:val="4"/>
        <w:rPr>
          <w:sz w:val="20"/>
        </w:rPr>
      </w:pPr>
    </w:p>
    <w:p>
      <w:pPr>
        <w:pStyle w:val="4"/>
        <w:spacing w:before="4"/>
        <w:rPr>
          <w:sz w:val="28"/>
        </w:rPr>
      </w:pPr>
    </w:p>
    <w:p>
      <w:pPr>
        <w:spacing w:before="90" w:line="242" w:lineRule="auto"/>
        <w:ind w:left="220" w:right="415" w:firstLine="0"/>
        <w:jc w:val="left"/>
        <w:rPr>
          <w:rFonts w:ascii="楷体" w:eastAsia="楷体"/>
          <w:sz w:val="18"/>
        </w:rPr>
      </w:pPr>
      <w:r>
        <w:rPr>
          <w:position w:val="9"/>
          <w:sz w:val="9"/>
        </w:rPr>
        <w:t>3</w:t>
      </w:r>
      <w:bookmarkStart w:id="35" w:name="_bookmark35"/>
      <w:bookmarkEnd w:id="35"/>
      <w:r>
        <w:rPr>
          <w:position w:val="9"/>
          <w:sz w:val="9"/>
        </w:rPr>
        <w:t>8</w:t>
      </w:r>
      <w:r>
        <w:rPr>
          <w:rFonts w:hint="eastAsia" w:ascii="楷体" w:eastAsia="楷体"/>
          <w:b/>
          <w:sz w:val="18"/>
        </w:rPr>
        <w:t>本合同约定利率</w:t>
      </w:r>
      <w:r>
        <w:rPr>
          <w:rFonts w:ascii="楷体" w:eastAsia="楷体"/>
          <w:spacing w:val="-5"/>
          <w:sz w:val="18"/>
        </w:rPr>
        <w:t xml:space="preserve">： 由本公司每年宣布两次，宣布时间为每年的 </w:t>
      </w:r>
      <w:r>
        <w:rPr>
          <w:rFonts w:ascii="楷体" w:eastAsia="楷体"/>
          <w:sz w:val="18"/>
        </w:rPr>
        <w:t>1</w:t>
      </w:r>
      <w:r>
        <w:rPr>
          <w:rFonts w:ascii="楷体" w:eastAsia="楷体"/>
          <w:spacing w:val="-23"/>
          <w:sz w:val="18"/>
        </w:rPr>
        <w:t xml:space="preserve"> 月和 </w:t>
      </w:r>
      <w:r>
        <w:rPr>
          <w:rFonts w:ascii="楷体" w:eastAsia="楷体"/>
          <w:sz w:val="18"/>
        </w:rPr>
        <w:t>7</w:t>
      </w:r>
      <w:r>
        <w:rPr>
          <w:rFonts w:ascii="楷体" w:eastAsia="楷体"/>
          <w:spacing w:val="-7"/>
          <w:sz w:val="18"/>
        </w:rPr>
        <w:t xml:space="preserve"> 月，该利率将根据公司自身情况并参照中国人民银</w:t>
      </w:r>
      <w:r>
        <w:rPr>
          <w:rFonts w:ascii="楷体" w:eastAsia="楷体"/>
          <w:spacing w:val="-2"/>
          <w:sz w:val="18"/>
        </w:rPr>
        <w:t>行公布的同期人民币贷款基准利率来确定。在利率环境发生变化的情况下，本公司保留修改该利率计算方法的权力。</w:t>
      </w:r>
    </w:p>
    <w:p>
      <w:pPr>
        <w:spacing w:after="0" w:line="242" w:lineRule="auto"/>
        <w:jc w:val="left"/>
        <w:rPr>
          <w:rFonts w:ascii="楷体" w:eastAsia="楷体"/>
          <w:sz w:val="18"/>
        </w:rPr>
        <w:sectPr>
          <w:type w:val="continuous"/>
          <w:pgSz w:w="11910" w:h="16840"/>
          <w:pgMar w:top="480" w:right="660" w:bottom="280" w:left="860" w:header="0" w:footer="662" w:gutter="0"/>
          <w:cols w:space="720" w:num="1"/>
        </w:sectPr>
      </w:pPr>
    </w:p>
    <w:p>
      <w:pPr>
        <w:pStyle w:val="9"/>
        <w:numPr>
          <w:ilvl w:val="0"/>
          <w:numId w:val="11"/>
        </w:numPr>
        <w:tabs>
          <w:tab w:val="left" w:pos="3548"/>
        </w:tabs>
        <w:spacing w:before="53" w:after="0" w:line="240" w:lineRule="auto"/>
        <w:ind w:left="3547" w:right="0" w:hanging="528"/>
        <w:jc w:val="left"/>
        <w:rPr>
          <w:sz w:val="21"/>
        </w:rPr>
      </w:pPr>
      <w:r>
        <w:rPr>
          <w:spacing w:val="-1"/>
          <w:w w:val="95"/>
          <w:sz w:val="21"/>
        </w:rPr>
        <w:t>投保人有效身份证件；</w:t>
      </w:r>
    </w:p>
    <w:p>
      <w:pPr>
        <w:pStyle w:val="4"/>
        <w:spacing w:before="6"/>
        <w:rPr>
          <w:sz w:val="15"/>
        </w:rPr>
      </w:pPr>
    </w:p>
    <w:p>
      <w:pPr>
        <w:pStyle w:val="9"/>
        <w:numPr>
          <w:ilvl w:val="0"/>
          <w:numId w:val="11"/>
        </w:numPr>
        <w:tabs>
          <w:tab w:val="left" w:pos="3548"/>
        </w:tabs>
        <w:spacing w:before="0" w:after="0" w:line="240" w:lineRule="auto"/>
        <w:ind w:left="3547" w:right="0" w:hanging="528"/>
        <w:jc w:val="left"/>
        <w:rPr>
          <w:sz w:val="21"/>
        </w:rPr>
      </w:pPr>
      <w:r>
        <w:rPr>
          <w:spacing w:val="-1"/>
          <w:w w:val="95"/>
          <w:sz w:val="21"/>
        </w:rPr>
        <w:t>本公司要求的其他有关证明和资料。</w:t>
      </w:r>
    </w:p>
    <w:p>
      <w:pPr>
        <w:pStyle w:val="4"/>
        <w:spacing w:before="4"/>
        <w:rPr>
          <w:sz w:val="16"/>
        </w:rPr>
      </w:pPr>
    </w:p>
    <w:p>
      <w:pPr>
        <w:pStyle w:val="4"/>
        <w:spacing w:line="266" w:lineRule="auto"/>
        <w:ind w:left="3020" w:right="208"/>
        <w:jc w:val="both"/>
      </w:pPr>
      <w:r>
        <w:rPr>
          <w:spacing w:val="-1"/>
          <w:w w:val="99"/>
        </w:rPr>
        <w:t>本合同的效力至本公司接到解除合同申请书之日的次日零时或解除合同申请书上载明的合同终止时间</w:t>
      </w:r>
      <w:r>
        <w:rPr>
          <w:spacing w:val="2"/>
          <w:w w:val="99"/>
        </w:rPr>
        <w:t>（</w:t>
      </w:r>
      <w:r>
        <w:rPr>
          <w:spacing w:val="-1"/>
          <w:w w:val="99"/>
        </w:rPr>
        <w:t>二者中以较晚者为准）终止。本公司自收到完整的证明和资料之日起</w:t>
      </w:r>
      <w:r>
        <w:rPr>
          <w:spacing w:val="-50"/>
        </w:rPr>
        <w:t xml:space="preserve"> </w:t>
      </w:r>
      <w:r>
        <w:rPr>
          <w:spacing w:val="1"/>
          <w:w w:val="99"/>
        </w:rPr>
        <w:t>3</w:t>
      </w:r>
      <w:r>
        <w:rPr>
          <w:w w:val="99"/>
        </w:rPr>
        <w:t>0</w:t>
      </w:r>
      <w:r>
        <w:rPr>
          <w:spacing w:val="-54"/>
        </w:rPr>
        <w:t xml:space="preserve"> </w:t>
      </w:r>
      <w:r>
        <w:rPr>
          <w:spacing w:val="-1"/>
          <w:w w:val="99"/>
        </w:rPr>
        <w:t>日内向投保人退还本合同的现金价值。</w:t>
      </w:r>
    </w:p>
    <w:p>
      <w:pPr>
        <w:spacing w:after="0" w:line="266" w:lineRule="auto"/>
        <w:jc w:val="both"/>
        <w:sectPr>
          <w:pgSz w:w="11910" w:h="16840"/>
          <w:pgMar w:top="1400" w:right="660" w:bottom="860" w:left="860" w:header="0" w:footer="662" w:gutter="0"/>
          <w:cols w:space="720" w:num="1"/>
        </w:sectPr>
      </w:pPr>
    </w:p>
    <w:p>
      <w:pPr>
        <w:pStyle w:val="4"/>
        <w:spacing w:before="12"/>
        <w:rPr>
          <w:sz w:val="45"/>
        </w:rPr>
      </w:pPr>
    </w:p>
    <w:p>
      <w:pPr>
        <w:pStyle w:val="2"/>
        <w:numPr>
          <w:ilvl w:val="0"/>
          <w:numId w:val="2"/>
        </w:numPr>
        <w:tabs>
          <w:tab w:val="left" w:pos="1321"/>
          <w:tab w:val="left" w:pos="1322"/>
        </w:tabs>
        <w:spacing w:before="0" w:after="0" w:line="240" w:lineRule="auto"/>
        <w:ind w:left="1321" w:right="0" w:hanging="1102"/>
        <w:jc w:val="left"/>
      </w:pPr>
      <w:r>
        <w:rPr>
          <w:spacing w:val="-3"/>
          <w:w w:val="95"/>
        </w:rPr>
        <w:t>其他事项</w:t>
      </w:r>
    </w:p>
    <w:p>
      <w:pPr>
        <w:pStyle w:val="3"/>
        <w:numPr>
          <w:ilvl w:val="1"/>
          <w:numId w:val="2"/>
        </w:numPr>
        <w:tabs>
          <w:tab w:val="left" w:pos="1321"/>
          <w:tab w:val="left" w:pos="1322"/>
        </w:tabs>
        <w:spacing w:before="192" w:after="0" w:line="278" w:lineRule="auto"/>
        <w:ind w:left="1321" w:right="38" w:hanging="1102"/>
        <w:jc w:val="left"/>
      </w:pPr>
      <w:r>
        <w:rPr>
          <w:spacing w:val="-2"/>
        </w:rPr>
        <w:t>明确说明与如</w:t>
      </w:r>
      <w:r>
        <w:rPr>
          <w:spacing w:val="-4"/>
        </w:rPr>
        <w:t>实告知</w:t>
      </w:r>
    </w:p>
    <w:p>
      <w:pPr>
        <w:pStyle w:val="4"/>
        <w:spacing w:before="160"/>
        <w:ind w:left="220"/>
      </w:pPr>
      <w:r>
        <w:br w:type="column"/>
      </w:r>
      <w:r>
        <w:rPr>
          <w:color w:val="000000"/>
          <w:spacing w:val="-1"/>
          <w:w w:val="95"/>
          <w:shd w:val="clear" w:color="auto" w:fill="E4E4E4"/>
        </w:rPr>
        <w:t>投保人在犹豫期后解除合同会遭受一定损失。</w:t>
      </w:r>
    </w:p>
    <w:p>
      <w:pPr>
        <w:pStyle w:val="4"/>
        <w:rPr>
          <w:sz w:val="20"/>
        </w:rPr>
      </w:pPr>
    </w:p>
    <w:p>
      <w:pPr>
        <w:pStyle w:val="4"/>
        <w:rPr>
          <w:sz w:val="20"/>
        </w:rPr>
      </w:pPr>
    </w:p>
    <w:p>
      <w:pPr>
        <w:pStyle w:val="4"/>
        <w:rPr>
          <w:sz w:val="20"/>
        </w:rPr>
      </w:pPr>
    </w:p>
    <w:p>
      <w:pPr>
        <w:pStyle w:val="4"/>
        <w:spacing w:before="3"/>
        <w:rPr>
          <w:sz w:val="16"/>
        </w:rPr>
      </w:pPr>
    </w:p>
    <w:p>
      <w:pPr>
        <w:pStyle w:val="4"/>
        <w:spacing w:line="266" w:lineRule="auto"/>
        <w:ind w:left="220" w:right="208"/>
        <w:jc w:val="both"/>
      </w:pPr>
      <w:r>
        <w:drawing>
          <wp:anchor distT="0" distB="0" distL="0" distR="0" simplePos="0" relativeHeight="251665408" behindDoc="0" locked="0" layoutInCell="1" allowOverlap="1">
            <wp:simplePos x="0" y="0"/>
            <wp:positionH relativeFrom="page">
              <wp:posOffset>616585</wp:posOffset>
            </wp:positionH>
            <wp:positionV relativeFrom="paragraph">
              <wp:posOffset>-124460</wp:posOffset>
            </wp:positionV>
            <wp:extent cx="6459855" cy="6350"/>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a:picLocks noChangeAspect="1"/>
                    </pic:cNvPicPr>
                  </pic:nvPicPr>
                  <pic:blipFill>
                    <a:blip r:embed="rId10" cstate="print"/>
                    <a:stretch>
                      <a:fillRect/>
                    </a:stretch>
                  </pic:blipFill>
                  <pic:spPr>
                    <a:xfrm>
                      <a:off x="0" y="0"/>
                      <a:ext cx="6459855" cy="6096"/>
                    </a:xfrm>
                    <a:prstGeom prst="rect">
                      <a:avLst/>
                    </a:prstGeom>
                  </pic:spPr>
                </pic:pic>
              </a:graphicData>
            </a:graphic>
          </wp:anchor>
        </w:drawing>
      </w:r>
      <w:r>
        <w:rPr>
          <w:spacing w:val="-1"/>
          <w:w w:val="99"/>
        </w:rPr>
        <w:t>订立本合同时，本公司会向投保人明确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力。</w:t>
      </w:r>
    </w:p>
    <w:p>
      <w:pPr>
        <w:pStyle w:val="4"/>
        <w:spacing w:before="161"/>
        <w:ind w:left="220"/>
      </w:pPr>
      <w:r>
        <w:rPr>
          <w:spacing w:val="-1"/>
          <w:w w:val="95"/>
        </w:rPr>
        <w:t>本公司就投保人、被保险人的有关情况提出询问，投保人应当如实告知。</w:t>
      </w:r>
    </w:p>
    <w:p>
      <w:pPr>
        <w:spacing w:after="0"/>
        <w:sectPr>
          <w:type w:val="continuous"/>
          <w:pgSz w:w="11910" w:h="16840"/>
          <w:pgMar w:top="480" w:right="660" w:bottom="280" w:left="860" w:header="0" w:footer="662" w:gutter="0"/>
          <w:cols w:equalWidth="0" w:num="2">
            <w:col w:w="2625" w:space="176"/>
            <w:col w:w="7589"/>
          </w:cols>
        </w:sectPr>
      </w:pPr>
    </w:p>
    <w:p>
      <w:pPr>
        <w:pStyle w:val="4"/>
        <w:spacing w:before="2"/>
        <w:rPr>
          <w:sz w:val="9"/>
        </w:rPr>
      </w:pPr>
    </w:p>
    <w:p>
      <w:pPr>
        <w:pStyle w:val="4"/>
        <w:spacing w:before="70" w:line="266" w:lineRule="auto"/>
        <w:ind w:left="3020" w:right="208"/>
      </w:pPr>
      <w:r>
        <w:rPr>
          <w:color w:val="000000"/>
          <w:spacing w:val="-2"/>
          <w:w w:val="95"/>
          <w:shd w:val="clear" w:color="auto" w:fill="E4E4E4"/>
        </w:rPr>
        <w:t>投保人故意或因重大过失未履行前款规定的如实告知义务，足以影响本公司决</w:t>
      </w:r>
      <w:r>
        <w:rPr>
          <w:color w:val="000000"/>
          <w:spacing w:val="80"/>
          <w:w w:val="150"/>
          <w:shd w:val="clear" w:color="auto" w:fill="E4E4E4"/>
        </w:rPr>
        <w:t xml:space="preserve">                                       </w:t>
      </w:r>
      <w:r>
        <w:rPr>
          <w:color w:val="000000"/>
          <w:spacing w:val="-2"/>
          <w:shd w:val="clear" w:color="auto" w:fill="E4E4E4"/>
        </w:rPr>
        <w:t>定是否同意承保或提高保险费率的，本公司有权解除本合同。</w:t>
      </w:r>
    </w:p>
    <w:p>
      <w:pPr>
        <w:pStyle w:val="4"/>
        <w:spacing w:before="158" w:line="266" w:lineRule="auto"/>
        <w:ind w:left="3020" w:right="104"/>
      </w:pPr>
      <w:r>
        <w:rPr>
          <w:color w:val="000000"/>
          <w:spacing w:val="-2"/>
          <w:w w:val="95"/>
          <w:shd w:val="clear" w:color="auto" w:fill="E4E4E4"/>
        </w:rPr>
        <w:t>投保人故意不履行如实告知义务的</w:t>
      </w:r>
      <w:r>
        <w:rPr>
          <w:color w:val="000000"/>
          <w:spacing w:val="-12"/>
          <w:w w:val="95"/>
          <w:shd w:val="clear" w:color="auto" w:fill="E4E4E4"/>
        </w:rPr>
        <w:t>，本公司对于本合同解除前发生的保险事故，</w:t>
      </w:r>
      <w:r>
        <w:rPr>
          <w:color w:val="000000"/>
          <w:spacing w:val="80"/>
          <w:w w:val="150"/>
          <w:shd w:val="clear" w:color="auto" w:fill="E4E4E4"/>
        </w:rPr>
        <w:t xml:space="preserve">                                       </w:t>
      </w:r>
      <w:r>
        <w:rPr>
          <w:color w:val="000000"/>
          <w:spacing w:val="-2"/>
          <w:shd w:val="clear" w:color="auto" w:fill="E4E4E4"/>
        </w:rPr>
        <w:t>不承担给付保险金的责任，并不退还保险费。</w:t>
      </w:r>
    </w:p>
    <w:p>
      <w:pPr>
        <w:pStyle w:val="4"/>
        <w:spacing w:before="159" w:line="266" w:lineRule="auto"/>
        <w:ind w:left="3020" w:right="208"/>
        <w:jc w:val="both"/>
      </w:pPr>
      <w:r>
        <w:rPr>
          <w:color w:val="000000"/>
          <w:spacing w:val="-1"/>
          <w:w w:val="99"/>
          <w:shd w:val="clear" w:color="auto" w:fill="E4E4E4"/>
        </w:rPr>
        <w:t>投保人因重大过失未履行如实告知义务，对保险事故的发生有严重影响的，本                                                                                                                                      公司对于本合同解除前发生的保险事故，不承担给付保险金的责任，但会退还保险费。</w:t>
      </w:r>
    </w:p>
    <w:p>
      <w:pPr>
        <w:pStyle w:val="4"/>
        <w:spacing w:before="160" w:line="266" w:lineRule="auto"/>
        <w:ind w:left="3020" w:right="208"/>
      </w:pPr>
      <w:r>
        <w:rPr>
          <w:spacing w:val="-1"/>
          <w:w w:val="99"/>
        </w:rPr>
        <w:t>本公司在本合同订立时已经知道投保人未如实告知的情况的，本公司不得解除合同；发生保险事故的，本公司承担给付保险金的责任。</w:t>
      </w:r>
    </w:p>
    <w:p>
      <w:pPr>
        <w:spacing w:after="0" w:line="266" w:lineRule="auto"/>
        <w:sectPr>
          <w:type w:val="continuous"/>
          <w:pgSz w:w="11910" w:h="16840"/>
          <w:pgMar w:top="480" w:right="660" w:bottom="280" w:left="860" w:header="0" w:footer="662" w:gutter="0"/>
          <w:cols w:space="720" w:num="1"/>
        </w:sectPr>
      </w:pPr>
    </w:p>
    <w:p>
      <w:pPr>
        <w:pStyle w:val="3"/>
        <w:numPr>
          <w:ilvl w:val="1"/>
          <w:numId w:val="2"/>
        </w:numPr>
        <w:tabs>
          <w:tab w:val="left" w:pos="1321"/>
          <w:tab w:val="left" w:pos="1322"/>
        </w:tabs>
        <w:spacing w:before="149" w:after="0" w:line="278" w:lineRule="auto"/>
        <w:ind w:left="1321" w:right="38" w:hanging="1102"/>
        <w:jc w:val="left"/>
      </w:pPr>
      <w:r>
        <w:rPr>
          <w:spacing w:val="-2"/>
        </w:rPr>
        <w:t>本公司合同解除权的限制</w:t>
      </w:r>
    </w:p>
    <w:p>
      <w:pPr>
        <w:pStyle w:val="4"/>
        <w:spacing w:before="159" w:line="266" w:lineRule="auto"/>
        <w:ind w:left="220" w:right="206"/>
        <w:jc w:val="both"/>
      </w:pPr>
      <w:r>
        <w:br w:type="column"/>
      </w:r>
      <w:r>
        <w:rPr>
          <w:w w:val="95"/>
        </w:rPr>
        <w:t>8.1 款规定的合同解除权，自本公司知道有解除事由之日起，超过 30 日不行使而消灭。自本合同成立之日起超过</w:t>
      </w:r>
      <w:r>
        <w:rPr>
          <w:spacing w:val="37"/>
        </w:rPr>
        <w:t xml:space="preserve"> </w:t>
      </w:r>
      <w:r>
        <w:rPr>
          <w:w w:val="95"/>
        </w:rPr>
        <w:t>2</w:t>
      </w:r>
      <w:r>
        <w:rPr>
          <w:spacing w:val="27"/>
        </w:rPr>
        <w:t xml:space="preserve"> </w:t>
      </w:r>
      <w:r>
        <w:rPr>
          <w:w w:val="95"/>
        </w:rPr>
        <w:t>年的，本公司不得解除合同；发生保险事</w:t>
      </w:r>
      <w:r>
        <w:rPr>
          <w:spacing w:val="-2"/>
        </w:rPr>
        <w:t>故时，本公司承担给付保险金的责任。</w:t>
      </w:r>
    </w:p>
    <w:p>
      <w:pPr>
        <w:spacing w:after="0" w:line="266" w:lineRule="auto"/>
        <w:jc w:val="both"/>
        <w:sectPr>
          <w:type w:val="continuous"/>
          <w:pgSz w:w="11910" w:h="16840"/>
          <w:pgMar w:top="480" w:right="660" w:bottom="280" w:left="860" w:header="0" w:footer="662" w:gutter="0"/>
          <w:cols w:equalWidth="0" w:num="2">
            <w:col w:w="2625" w:space="176"/>
            <w:col w:w="7589"/>
          </w:cols>
        </w:sectPr>
      </w:pPr>
    </w:p>
    <w:p>
      <w:pPr>
        <w:pStyle w:val="9"/>
        <w:numPr>
          <w:ilvl w:val="1"/>
          <w:numId w:val="12"/>
        </w:numPr>
        <w:tabs>
          <w:tab w:val="left" w:pos="1322"/>
        </w:tabs>
        <w:spacing w:before="147" w:after="0" w:line="266" w:lineRule="auto"/>
        <w:ind w:left="3020" w:right="208" w:hanging="2801"/>
        <w:jc w:val="both"/>
        <w:rPr>
          <w:sz w:val="21"/>
        </w:rPr>
      </w:pPr>
      <w:r>
        <w:rPr>
          <w:b/>
          <w:spacing w:val="10"/>
          <w:position w:val="1"/>
          <w:sz w:val="21"/>
        </w:rPr>
        <w:t xml:space="preserve">年龄性别错误  </w:t>
      </w:r>
      <w:r>
        <w:rPr>
          <w:sz w:val="21"/>
        </w:rPr>
        <w:t>投保人在申请投保时，应将与有效身份证件相符的被保险人的出生日期或周岁</w:t>
      </w:r>
      <w:r>
        <w:rPr>
          <w:spacing w:val="-2"/>
          <w:sz w:val="21"/>
        </w:rPr>
        <w:t>年龄和性别在投保单或其他投保文件上填明，若发生错误按照下列方式办理：</w:t>
      </w:r>
    </w:p>
    <w:p>
      <w:pPr>
        <w:pStyle w:val="9"/>
        <w:numPr>
          <w:ilvl w:val="2"/>
          <w:numId w:val="12"/>
        </w:numPr>
        <w:tabs>
          <w:tab w:val="left" w:pos="3741"/>
        </w:tabs>
        <w:spacing w:before="3" w:after="0" w:line="266" w:lineRule="auto"/>
        <w:ind w:left="3740" w:right="208" w:hanging="720"/>
        <w:jc w:val="both"/>
        <w:rPr>
          <w:sz w:val="21"/>
        </w:rPr>
      </w:pPr>
      <w:r>
        <w:rPr>
          <w:spacing w:val="-5"/>
          <w:w w:val="99"/>
          <w:sz w:val="21"/>
        </w:rPr>
        <w:t>投保人申报的被保险人年龄和性别不真实，并且其真实年龄和性别不符</w:t>
      </w:r>
      <w:r>
        <w:rPr>
          <w:spacing w:val="-6"/>
          <w:w w:val="99"/>
          <w:sz w:val="21"/>
        </w:rPr>
        <w:t>合本合同约定投保年龄或性别限制的，本公司有权取消该被保险人的被</w:t>
      </w:r>
      <w:r>
        <w:rPr>
          <w:spacing w:val="-8"/>
          <w:w w:val="99"/>
          <w:sz w:val="21"/>
        </w:rPr>
        <w:t>保资格，并向投保人退还相应现金价值。本公司行使被保险人的被保资</w:t>
      </w:r>
      <w:r>
        <w:rPr>
          <w:spacing w:val="-1"/>
          <w:w w:val="99"/>
          <w:sz w:val="21"/>
        </w:rPr>
        <w:t>格取消权适用“</w:t>
      </w:r>
      <w:r>
        <w:rPr>
          <w:spacing w:val="1"/>
          <w:w w:val="99"/>
          <w:sz w:val="21"/>
        </w:rPr>
        <w:t>8.</w:t>
      </w:r>
      <w:r>
        <w:rPr>
          <w:w w:val="99"/>
          <w:sz w:val="21"/>
        </w:rPr>
        <w:t>2</w:t>
      </w:r>
      <w:r>
        <w:rPr>
          <w:spacing w:val="-54"/>
          <w:sz w:val="21"/>
        </w:rPr>
        <w:t xml:space="preserve"> </w:t>
      </w:r>
      <w:r>
        <w:rPr>
          <w:spacing w:val="-1"/>
          <w:w w:val="99"/>
          <w:sz w:val="21"/>
        </w:rPr>
        <w:t>本公司合同解除权的限制”的规定；</w:t>
      </w:r>
    </w:p>
    <w:p>
      <w:pPr>
        <w:pStyle w:val="9"/>
        <w:numPr>
          <w:ilvl w:val="2"/>
          <w:numId w:val="12"/>
        </w:numPr>
        <w:tabs>
          <w:tab w:val="left" w:pos="3741"/>
        </w:tabs>
        <w:spacing w:before="6" w:after="0" w:line="266" w:lineRule="auto"/>
        <w:ind w:left="3740" w:right="208" w:hanging="720"/>
        <w:jc w:val="both"/>
        <w:rPr>
          <w:sz w:val="21"/>
        </w:rPr>
      </w:pPr>
      <w:r>
        <w:rPr>
          <w:spacing w:val="-5"/>
          <w:w w:val="99"/>
          <w:sz w:val="21"/>
        </w:rPr>
        <w:t>投保人申报的被保险人年龄和性别不真实，致使投保人实交保险费少于</w:t>
      </w:r>
      <w:r>
        <w:rPr>
          <w:spacing w:val="-8"/>
          <w:w w:val="99"/>
          <w:sz w:val="21"/>
        </w:rPr>
        <w:t>应交保险费的，本公司有权更正并要求投保人补交保险费，</w:t>
      </w:r>
      <w:r>
        <w:rPr>
          <w:color w:val="000000"/>
          <w:spacing w:val="-1"/>
          <w:w w:val="99"/>
          <w:sz w:val="21"/>
          <w:shd w:val="clear" w:color="auto" w:fill="E4E4E4"/>
        </w:rPr>
        <w:t>但若已经发</w:t>
      </w:r>
      <w:r>
        <w:rPr>
          <w:color w:val="000000"/>
          <w:w w:val="99"/>
          <w:sz w:val="21"/>
          <w:shd w:val="clear" w:color="auto" w:fill="E4E4E4"/>
        </w:rPr>
        <w:t xml:space="preserve">                                                                                                                        </w:t>
      </w:r>
      <w:r>
        <w:rPr>
          <w:color w:val="000000"/>
          <w:spacing w:val="-9"/>
          <w:w w:val="99"/>
          <w:sz w:val="21"/>
          <w:shd w:val="clear" w:color="auto" w:fill="E4E4E4"/>
        </w:rPr>
        <w:t>生保险事故，本公司有权按实收保险费占应交保险费的比例给付第</w:t>
      </w:r>
      <w:r>
        <w:rPr>
          <w:color w:val="000000"/>
          <w:spacing w:val="-50"/>
          <w:sz w:val="21"/>
          <w:shd w:val="clear" w:color="auto" w:fill="E4E4E4"/>
        </w:rPr>
        <w:t xml:space="preserve"> </w:t>
      </w:r>
      <w:r>
        <w:rPr>
          <w:color w:val="000000"/>
          <w:w w:val="99"/>
          <w:sz w:val="21"/>
          <w:shd w:val="clear" w:color="auto" w:fill="E4E4E4"/>
        </w:rPr>
        <w:t>2</w:t>
      </w:r>
      <w:r>
        <w:rPr>
          <w:color w:val="000000"/>
          <w:spacing w:val="-54"/>
          <w:sz w:val="21"/>
          <w:shd w:val="clear" w:color="auto" w:fill="E4E4E4"/>
        </w:rPr>
        <w:t xml:space="preserve"> </w:t>
      </w:r>
      <w:r>
        <w:rPr>
          <w:color w:val="000000"/>
          <w:w w:val="99"/>
          <w:sz w:val="21"/>
          <w:shd w:val="clear" w:color="auto" w:fill="E4E4E4"/>
        </w:rPr>
        <w:t>部</w:t>
      </w:r>
      <w:r>
        <w:rPr>
          <w:color w:val="000000"/>
          <w:spacing w:val="-1"/>
          <w:w w:val="99"/>
          <w:sz w:val="21"/>
          <w:shd w:val="clear" w:color="auto" w:fill="E4E4E4"/>
        </w:rPr>
        <w:t>分“提供的保障”约定的保险金；</w:t>
      </w:r>
    </w:p>
    <w:p>
      <w:pPr>
        <w:pStyle w:val="9"/>
        <w:numPr>
          <w:ilvl w:val="2"/>
          <w:numId w:val="12"/>
        </w:numPr>
        <w:tabs>
          <w:tab w:val="left" w:pos="3741"/>
        </w:tabs>
        <w:spacing w:before="5" w:after="0" w:line="266" w:lineRule="auto"/>
        <w:ind w:left="3740" w:right="208" w:hanging="720"/>
        <w:jc w:val="both"/>
        <w:rPr>
          <w:sz w:val="21"/>
        </w:rPr>
      </w:pPr>
      <w:r>
        <w:rPr>
          <w:spacing w:val="-5"/>
          <w:w w:val="99"/>
          <w:sz w:val="21"/>
        </w:rPr>
        <w:t>投保人申报的被保险人年龄和性别不真实，致使投保人实交保险费多于</w:t>
      </w:r>
      <w:r>
        <w:rPr>
          <w:spacing w:val="-1"/>
          <w:w w:val="99"/>
          <w:sz w:val="21"/>
        </w:rPr>
        <w:t>应交保险费的，本公司会将多收的保险费无息退还给投保人。</w:t>
      </w:r>
    </w:p>
    <w:p>
      <w:pPr>
        <w:pStyle w:val="9"/>
        <w:numPr>
          <w:ilvl w:val="1"/>
          <w:numId w:val="12"/>
        </w:numPr>
        <w:tabs>
          <w:tab w:val="left" w:pos="1322"/>
        </w:tabs>
        <w:spacing w:before="149" w:after="0" w:line="266" w:lineRule="auto"/>
        <w:ind w:left="3020" w:right="208" w:hanging="2801"/>
        <w:jc w:val="both"/>
        <w:rPr>
          <w:sz w:val="21"/>
        </w:rPr>
      </w:pPr>
      <w:r>
        <w:rPr>
          <w:b/>
          <w:position w:val="1"/>
          <w:sz w:val="21"/>
        </w:rPr>
        <w:t>未还款项</w:t>
      </w:r>
      <w:r>
        <w:rPr>
          <w:b/>
          <w:spacing w:val="80"/>
          <w:w w:val="150"/>
          <w:position w:val="1"/>
          <w:sz w:val="21"/>
        </w:rPr>
        <w:t xml:space="preserve">   </w:t>
      </w:r>
      <w:r>
        <w:rPr>
          <w:sz w:val="21"/>
        </w:rPr>
        <w:t>本公司在给付各项保险金、退还现金价值或保险费等款项时，若投保人有欠交</w:t>
      </w:r>
      <w:r>
        <w:rPr>
          <w:spacing w:val="-2"/>
          <w:sz w:val="21"/>
        </w:rPr>
        <w:t>或未还清款项，本公司会在扣除相应款项后给付。</w:t>
      </w:r>
    </w:p>
    <w:p>
      <w:pPr>
        <w:spacing w:after="0" w:line="266" w:lineRule="auto"/>
        <w:jc w:val="both"/>
        <w:rPr>
          <w:sz w:val="21"/>
        </w:rPr>
        <w:sectPr>
          <w:type w:val="continuous"/>
          <w:pgSz w:w="11910" w:h="16840"/>
          <w:pgMar w:top="480" w:right="660" w:bottom="280" w:left="860" w:header="0" w:footer="662" w:gutter="0"/>
          <w:cols w:space="720" w:num="1"/>
        </w:sectPr>
      </w:pPr>
    </w:p>
    <w:p>
      <w:pPr>
        <w:pStyle w:val="9"/>
        <w:numPr>
          <w:ilvl w:val="1"/>
          <w:numId w:val="12"/>
        </w:numPr>
        <w:tabs>
          <w:tab w:val="left" w:pos="1321"/>
          <w:tab w:val="left" w:pos="1322"/>
          <w:tab w:val="left" w:pos="3020"/>
        </w:tabs>
        <w:spacing w:before="43" w:after="0" w:line="266" w:lineRule="auto"/>
        <w:ind w:left="3020" w:right="104" w:hanging="2801"/>
        <w:jc w:val="left"/>
        <w:rPr>
          <w:sz w:val="21"/>
        </w:rPr>
      </w:pPr>
      <w:r>
        <w:rPr>
          <w:b/>
          <w:spacing w:val="2"/>
          <w:w w:val="99"/>
          <w:position w:val="1"/>
          <w:sz w:val="21"/>
        </w:rPr>
        <w:t>合同内</w:t>
      </w:r>
      <w:r>
        <w:rPr>
          <w:b/>
          <w:spacing w:val="-1"/>
          <w:w w:val="99"/>
          <w:position w:val="1"/>
          <w:sz w:val="21"/>
        </w:rPr>
        <w:t>容</w:t>
      </w:r>
      <w:r>
        <w:rPr>
          <w:b/>
          <w:spacing w:val="2"/>
          <w:w w:val="99"/>
          <w:position w:val="1"/>
          <w:sz w:val="21"/>
        </w:rPr>
        <w:t>变</w:t>
      </w:r>
      <w:r>
        <w:rPr>
          <w:b/>
          <w:w w:val="99"/>
          <w:position w:val="1"/>
          <w:sz w:val="21"/>
        </w:rPr>
        <w:t>更</w:t>
      </w:r>
      <w:r>
        <w:rPr>
          <w:b/>
          <w:position w:val="1"/>
          <w:sz w:val="21"/>
        </w:rPr>
        <w:tab/>
      </w:r>
      <w:r>
        <w:rPr>
          <w:spacing w:val="-1"/>
          <w:w w:val="99"/>
          <w:sz w:val="21"/>
        </w:rPr>
        <w:t>在</w:t>
      </w:r>
      <w:r>
        <w:rPr>
          <w:spacing w:val="2"/>
          <w:w w:val="99"/>
          <w:sz w:val="21"/>
        </w:rPr>
        <w:t>本</w:t>
      </w:r>
      <w:r>
        <w:rPr>
          <w:spacing w:val="-1"/>
          <w:w w:val="99"/>
          <w:sz w:val="21"/>
        </w:rPr>
        <w:t>合</w:t>
      </w:r>
      <w:r>
        <w:rPr>
          <w:spacing w:val="2"/>
          <w:w w:val="99"/>
          <w:sz w:val="21"/>
        </w:rPr>
        <w:t>同</w:t>
      </w:r>
      <w:r>
        <w:rPr>
          <w:spacing w:val="-1"/>
          <w:w w:val="99"/>
          <w:sz w:val="21"/>
        </w:rPr>
        <w:t>有</w:t>
      </w:r>
      <w:r>
        <w:rPr>
          <w:spacing w:val="2"/>
          <w:w w:val="99"/>
          <w:sz w:val="21"/>
        </w:rPr>
        <w:t>效</w:t>
      </w:r>
      <w:r>
        <w:rPr>
          <w:spacing w:val="-1"/>
          <w:w w:val="99"/>
          <w:sz w:val="21"/>
        </w:rPr>
        <w:t>期</w:t>
      </w:r>
      <w:r>
        <w:rPr>
          <w:spacing w:val="2"/>
          <w:w w:val="99"/>
          <w:sz w:val="21"/>
        </w:rPr>
        <w:t>内</w:t>
      </w:r>
      <w:r>
        <w:rPr>
          <w:spacing w:val="-44"/>
          <w:w w:val="99"/>
          <w:sz w:val="21"/>
        </w:rPr>
        <w:t>，</w:t>
      </w:r>
      <w:r>
        <w:rPr>
          <w:spacing w:val="-1"/>
          <w:w w:val="99"/>
          <w:sz w:val="21"/>
        </w:rPr>
        <w:t>经</w:t>
      </w:r>
      <w:r>
        <w:rPr>
          <w:spacing w:val="2"/>
          <w:w w:val="99"/>
          <w:sz w:val="21"/>
        </w:rPr>
        <w:t>投</w:t>
      </w:r>
      <w:r>
        <w:rPr>
          <w:spacing w:val="-1"/>
          <w:w w:val="99"/>
          <w:sz w:val="21"/>
        </w:rPr>
        <w:t>保</w:t>
      </w:r>
      <w:r>
        <w:rPr>
          <w:spacing w:val="2"/>
          <w:w w:val="99"/>
          <w:sz w:val="21"/>
        </w:rPr>
        <w:t>人</w:t>
      </w:r>
      <w:r>
        <w:rPr>
          <w:spacing w:val="-1"/>
          <w:w w:val="99"/>
          <w:sz w:val="21"/>
        </w:rPr>
        <w:t>与</w:t>
      </w:r>
      <w:r>
        <w:rPr>
          <w:spacing w:val="2"/>
          <w:w w:val="99"/>
          <w:sz w:val="21"/>
        </w:rPr>
        <w:t>本</w:t>
      </w:r>
      <w:r>
        <w:rPr>
          <w:spacing w:val="-1"/>
          <w:w w:val="99"/>
          <w:sz w:val="21"/>
        </w:rPr>
        <w:t>公</w:t>
      </w:r>
      <w:r>
        <w:rPr>
          <w:spacing w:val="2"/>
          <w:w w:val="99"/>
          <w:sz w:val="21"/>
        </w:rPr>
        <w:t>司</w:t>
      </w:r>
      <w:r>
        <w:rPr>
          <w:spacing w:val="-1"/>
          <w:w w:val="99"/>
          <w:sz w:val="21"/>
        </w:rPr>
        <w:t>协</w:t>
      </w:r>
      <w:r>
        <w:rPr>
          <w:spacing w:val="2"/>
          <w:w w:val="99"/>
          <w:sz w:val="21"/>
        </w:rPr>
        <w:t>商</w:t>
      </w:r>
      <w:r>
        <w:rPr>
          <w:spacing w:val="-1"/>
          <w:w w:val="99"/>
          <w:sz w:val="21"/>
        </w:rPr>
        <w:t>一</w:t>
      </w:r>
      <w:r>
        <w:rPr>
          <w:spacing w:val="2"/>
          <w:w w:val="99"/>
          <w:sz w:val="21"/>
        </w:rPr>
        <w:t>致</w:t>
      </w:r>
      <w:r>
        <w:rPr>
          <w:spacing w:val="-44"/>
          <w:w w:val="99"/>
          <w:sz w:val="21"/>
        </w:rPr>
        <w:t>，</w:t>
      </w:r>
      <w:r>
        <w:rPr>
          <w:spacing w:val="-1"/>
          <w:w w:val="99"/>
          <w:sz w:val="21"/>
        </w:rPr>
        <w:t>可</w:t>
      </w:r>
      <w:r>
        <w:rPr>
          <w:spacing w:val="2"/>
          <w:w w:val="99"/>
          <w:sz w:val="21"/>
        </w:rPr>
        <w:t>以</w:t>
      </w:r>
      <w:r>
        <w:rPr>
          <w:spacing w:val="-1"/>
          <w:w w:val="99"/>
          <w:sz w:val="21"/>
        </w:rPr>
        <w:t>变</w:t>
      </w:r>
      <w:r>
        <w:rPr>
          <w:spacing w:val="2"/>
          <w:w w:val="99"/>
          <w:sz w:val="21"/>
        </w:rPr>
        <w:t>更</w:t>
      </w:r>
      <w:r>
        <w:rPr>
          <w:spacing w:val="-1"/>
          <w:w w:val="99"/>
          <w:sz w:val="21"/>
        </w:rPr>
        <w:t>本</w:t>
      </w:r>
      <w:r>
        <w:rPr>
          <w:spacing w:val="2"/>
          <w:w w:val="99"/>
          <w:sz w:val="21"/>
        </w:rPr>
        <w:t>合</w:t>
      </w:r>
      <w:r>
        <w:rPr>
          <w:spacing w:val="-1"/>
          <w:w w:val="99"/>
          <w:sz w:val="21"/>
        </w:rPr>
        <w:t>同</w:t>
      </w:r>
      <w:r>
        <w:rPr>
          <w:spacing w:val="2"/>
          <w:w w:val="99"/>
          <w:sz w:val="21"/>
        </w:rPr>
        <w:t>的</w:t>
      </w:r>
      <w:r>
        <w:rPr>
          <w:spacing w:val="-1"/>
          <w:w w:val="99"/>
          <w:sz w:val="21"/>
        </w:rPr>
        <w:t>有</w:t>
      </w:r>
      <w:r>
        <w:rPr>
          <w:spacing w:val="2"/>
          <w:w w:val="99"/>
          <w:sz w:val="21"/>
        </w:rPr>
        <w:t>关</w:t>
      </w:r>
      <w:r>
        <w:rPr>
          <w:spacing w:val="-1"/>
          <w:w w:val="99"/>
          <w:sz w:val="21"/>
        </w:rPr>
        <w:t>内</w:t>
      </w:r>
      <w:r>
        <w:rPr>
          <w:spacing w:val="2"/>
          <w:w w:val="99"/>
          <w:sz w:val="21"/>
        </w:rPr>
        <w:t>容</w:t>
      </w:r>
      <w:r>
        <w:rPr>
          <w:w w:val="99"/>
          <w:sz w:val="21"/>
        </w:rPr>
        <w:t>，</w:t>
      </w:r>
      <w:r>
        <w:rPr>
          <w:spacing w:val="2"/>
          <w:w w:val="99"/>
          <w:sz w:val="21"/>
        </w:rPr>
        <w:t>并</w:t>
      </w:r>
      <w:r>
        <w:rPr>
          <w:spacing w:val="-1"/>
          <w:w w:val="99"/>
          <w:sz w:val="21"/>
        </w:rPr>
        <w:t>由</w:t>
      </w:r>
      <w:r>
        <w:rPr>
          <w:spacing w:val="2"/>
          <w:w w:val="99"/>
          <w:sz w:val="21"/>
        </w:rPr>
        <w:t>本公</w:t>
      </w:r>
      <w:r>
        <w:rPr>
          <w:spacing w:val="-1"/>
          <w:w w:val="99"/>
          <w:sz w:val="21"/>
        </w:rPr>
        <w:t>司</w:t>
      </w:r>
      <w:r>
        <w:rPr>
          <w:spacing w:val="2"/>
          <w:w w:val="99"/>
          <w:sz w:val="21"/>
        </w:rPr>
        <w:t>在保险</w:t>
      </w:r>
      <w:r>
        <w:rPr>
          <w:spacing w:val="-1"/>
          <w:w w:val="99"/>
          <w:sz w:val="21"/>
        </w:rPr>
        <w:t>单</w:t>
      </w:r>
      <w:r>
        <w:rPr>
          <w:spacing w:val="2"/>
          <w:w w:val="99"/>
          <w:sz w:val="21"/>
        </w:rPr>
        <w:t>或其</w:t>
      </w:r>
      <w:r>
        <w:rPr>
          <w:spacing w:val="-1"/>
          <w:w w:val="99"/>
          <w:sz w:val="21"/>
        </w:rPr>
        <w:t>他</w:t>
      </w:r>
      <w:r>
        <w:rPr>
          <w:spacing w:val="2"/>
          <w:w w:val="99"/>
          <w:sz w:val="21"/>
        </w:rPr>
        <w:t>保险</w:t>
      </w:r>
      <w:r>
        <w:rPr>
          <w:spacing w:val="-1"/>
          <w:w w:val="99"/>
          <w:sz w:val="21"/>
        </w:rPr>
        <w:t>凭</w:t>
      </w:r>
      <w:r>
        <w:rPr>
          <w:spacing w:val="2"/>
          <w:w w:val="99"/>
          <w:sz w:val="21"/>
        </w:rPr>
        <w:t>证上</w:t>
      </w:r>
      <w:r>
        <w:rPr>
          <w:spacing w:val="-1"/>
          <w:w w:val="99"/>
          <w:sz w:val="21"/>
        </w:rPr>
        <w:t>批</w:t>
      </w:r>
      <w:r>
        <w:rPr>
          <w:spacing w:val="2"/>
          <w:w w:val="99"/>
          <w:sz w:val="21"/>
        </w:rPr>
        <w:t>注或</w:t>
      </w:r>
      <w:r>
        <w:rPr>
          <w:spacing w:val="-1"/>
          <w:w w:val="99"/>
          <w:sz w:val="21"/>
        </w:rPr>
        <w:t>附</w:t>
      </w:r>
      <w:r>
        <w:rPr>
          <w:spacing w:val="2"/>
          <w:w w:val="99"/>
          <w:sz w:val="21"/>
        </w:rPr>
        <w:t>贴批单</w:t>
      </w:r>
      <w:r>
        <w:rPr>
          <w:spacing w:val="-1"/>
          <w:w w:val="99"/>
          <w:sz w:val="21"/>
        </w:rPr>
        <w:t>，</w:t>
      </w:r>
      <w:r>
        <w:rPr>
          <w:spacing w:val="2"/>
          <w:w w:val="99"/>
          <w:sz w:val="21"/>
        </w:rPr>
        <w:t>或由</w:t>
      </w:r>
      <w:r>
        <w:rPr>
          <w:spacing w:val="-1"/>
          <w:w w:val="99"/>
          <w:sz w:val="21"/>
        </w:rPr>
        <w:t>投</w:t>
      </w:r>
      <w:r>
        <w:rPr>
          <w:spacing w:val="2"/>
          <w:w w:val="99"/>
          <w:sz w:val="21"/>
        </w:rPr>
        <w:t>保人</w:t>
      </w:r>
      <w:r>
        <w:rPr>
          <w:spacing w:val="-1"/>
          <w:w w:val="99"/>
          <w:sz w:val="21"/>
        </w:rPr>
        <w:t>与</w:t>
      </w:r>
      <w:r>
        <w:rPr>
          <w:spacing w:val="2"/>
          <w:w w:val="99"/>
          <w:sz w:val="21"/>
        </w:rPr>
        <w:t>本公</w:t>
      </w:r>
      <w:r>
        <w:rPr>
          <w:w w:val="99"/>
          <w:sz w:val="21"/>
        </w:rPr>
        <w:t>司</w:t>
      </w:r>
      <w:r>
        <w:rPr>
          <w:spacing w:val="-1"/>
          <w:w w:val="99"/>
          <w:sz w:val="21"/>
        </w:rPr>
        <w:t>订</w:t>
      </w:r>
      <w:r>
        <w:rPr>
          <w:spacing w:val="2"/>
          <w:w w:val="99"/>
          <w:sz w:val="21"/>
        </w:rPr>
        <w:t>立</w:t>
      </w:r>
      <w:r>
        <w:rPr>
          <w:spacing w:val="-1"/>
          <w:w w:val="99"/>
          <w:sz w:val="21"/>
        </w:rPr>
        <w:t>书</w:t>
      </w:r>
      <w:r>
        <w:rPr>
          <w:spacing w:val="2"/>
          <w:w w:val="99"/>
          <w:sz w:val="21"/>
        </w:rPr>
        <w:t>面</w:t>
      </w:r>
      <w:r>
        <w:rPr>
          <w:spacing w:val="-1"/>
          <w:w w:val="99"/>
          <w:sz w:val="21"/>
        </w:rPr>
        <w:t>的</w:t>
      </w:r>
      <w:r>
        <w:rPr>
          <w:spacing w:val="2"/>
          <w:w w:val="99"/>
          <w:sz w:val="21"/>
        </w:rPr>
        <w:t>变</w:t>
      </w:r>
      <w:r>
        <w:rPr>
          <w:spacing w:val="-1"/>
          <w:w w:val="99"/>
          <w:sz w:val="21"/>
        </w:rPr>
        <w:t>更</w:t>
      </w:r>
      <w:r>
        <w:rPr>
          <w:spacing w:val="2"/>
          <w:w w:val="99"/>
          <w:sz w:val="21"/>
        </w:rPr>
        <w:t>协</w:t>
      </w:r>
      <w:r>
        <w:rPr>
          <w:spacing w:val="-1"/>
          <w:w w:val="99"/>
          <w:sz w:val="21"/>
        </w:rPr>
        <w:t>议</w:t>
      </w:r>
      <w:r>
        <w:rPr>
          <w:w w:val="99"/>
          <w:sz w:val="21"/>
        </w:rPr>
        <w:t>。</w:t>
      </w:r>
    </w:p>
    <w:p>
      <w:pPr>
        <w:pStyle w:val="9"/>
        <w:numPr>
          <w:ilvl w:val="1"/>
          <w:numId w:val="12"/>
        </w:numPr>
        <w:tabs>
          <w:tab w:val="left" w:pos="1321"/>
          <w:tab w:val="left" w:pos="1322"/>
          <w:tab w:val="left" w:pos="3020"/>
        </w:tabs>
        <w:spacing w:before="150" w:after="0" w:line="266" w:lineRule="auto"/>
        <w:ind w:left="3020" w:right="104" w:hanging="2801"/>
        <w:jc w:val="left"/>
        <w:rPr>
          <w:sz w:val="21"/>
        </w:rPr>
      </w:pPr>
      <w:r>
        <w:rPr>
          <w:b/>
          <w:spacing w:val="2"/>
          <w:w w:val="99"/>
          <w:position w:val="1"/>
          <w:sz w:val="21"/>
        </w:rPr>
        <w:t>联系方</w:t>
      </w:r>
      <w:r>
        <w:rPr>
          <w:b/>
          <w:spacing w:val="-1"/>
          <w:w w:val="99"/>
          <w:position w:val="1"/>
          <w:sz w:val="21"/>
        </w:rPr>
        <w:t>式</w:t>
      </w:r>
      <w:r>
        <w:rPr>
          <w:b/>
          <w:spacing w:val="2"/>
          <w:w w:val="99"/>
          <w:position w:val="1"/>
          <w:sz w:val="21"/>
        </w:rPr>
        <w:t>变</w:t>
      </w:r>
      <w:r>
        <w:rPr>
          <w:b/>
          <w:w w:val="99"/>
          <w:position w:val="1"/>
          <w:sz w:val="21"/>
        </w:rPr>
        <w:t>更</w:t>
      </w:r>
      <w:r>
        <w:rPr>
          <w:b/>
          <w:position w:val="1"/>
          <w:sz w:val="21"/>
        </w:rPr>
        <w:tab/>
      </w:r>
      <w:r>
        <w:rPr>
          <w:spacing w:val="-1"/>
          <w:w w:val="99"/>
          <w:sz w:val="21"/>
        </w:rPr>
        <w:t>为</w:t>
      </w:r>
      <w:r>
        <w:rPr>
          <w:spacing w:val="2"/>
          <w:w w:val="99"/>
          <w:sz w:val="21"/>
        </w:rPr>
        <w:t>保</w:t>
      </w:r>
      <w:r>
        <w:rPr>
          <w:spacing w:val="-1"/>
          <w:w w:val="99"/>
          <w:sz w:val="21"/>
        </w:rPr>
        <w:t>障</w:t>
      </w:r>
      <w:r>
        <w:rPr>
          <w:spacing w:val="2"/>
          <w:w w:val="99"/>
          <w:sz w:val="21"/>
        </w:rPr>
        <w:t>投</w:t>
      </w:r>
      <w:r>
        <w:rPr>
          <w:spacing w:val="-1"/>
          <w:w w:val="99"/>
          <w:sz w:val="21"/>
        </w:rPr>
        <w:t>保</w:t>
      </w:r>
      <w:r>
        <w:rPr>
          <w:spacing w:val="2"/>
          <w:w w:val="99"/>
          <w:sz w:val="21"/>
        </w:rPr>
        <w:t>人</w:t>
      </w:r>
      <w:r>
        <w:rPr>
          <w:spacing w:val="-1"/>
          <w:w w:val="99"/>
          <w:sz w:val="21"/>
        </w:rPr>
        <w:t>的</w:t>
      </w:r>
      <w:r>
        <w:rPr>
          <w:spacing w:val="2"/>
          <w:w w:val="99"/>
          <w:sz w:val="21"/>
        </w:rPr>
        <w:t>合</w:t>
      </w:r>
      <w:r>
        <w:rPr>
          <w:spacing w:val="-1"/>
          <w:w w:val="99"/>
          <w:sz w:val="21"/>
        </w:rPr>
        <w:t>法</w:t>
      </w:r>
      <w:r>
        <w:rPr>
          <w:spacing w:val="2"/>
          <w:w w:val="99"/>
          <w:sz w:val="21"/>
        </w:rPr>
        <w:t>权益</w:t>
      </w:r>
      <w:r>
        <w:rPr>
          <w:spacing w:val="-44"/>
          <w:w w:val="99"/>
          <w:sz w:val="21"/>
        </w:rPr>
        <w:t>，</w:t>
      </w:r>
      <w:r>
        <w:rPr>
          <w:spacing w:val="-1"/>
          <w:w w:val="99"/>
          <w:sz w:val="21"/>
        </w:rPr>
        <w:t>投</w:t>
      </w:r>
      <w:r>
        <w:rPr>
          <w:spacing w:val="2"/>
          <w:w w:val="99"/>
          <w:sz w:val="21"/>
        </w:rPr>
        <w:t>保</w:t>
      </w:r>
      <w:r>
        <w:rPr>
          <w:spacing w:val="-1"/>
          <w:w w:val="99"/>
          <w:sz w:val="21"/>
        </w:rPr>
        <w:t>人</w:t>
      </w:r>
      <w:r>
        <w:rPr>
          <w:spacing w:val="2"/>
          <w:w w:val="99"/>
          <w:sz w:val="21"/>
        </w:rPr>
        <w:t>的</w:t>
      </w:r>
      <w:r>
        <w:rPr>
          <w:spacing w:val="-1"/>
          <w:w w:val="99"/>
          <w:sz w:val="21"/>
        </w:rPr>
        <w:t>住</w:t>
      </w:r>
      <w:r>
        <w:rPr>
          <w:spacing w:val="2"/>
          <w:w w:val="99"/>
          <w:sz w:val="21"/>
        </w:rPr>
        <w:t>所</w:t>
      </w:r>
      <w:r>
        <w:rPr>
          <w:spacing w:val="-46"/>
          <w:w w:val="99"/>
          <w:sz w:val="21"/>
        </w:rPr>
        <w:t>、</w:t>
      </w:r>
      <w:r>
        <w:rPr>
          <w:spacing w:val="-1"/>
          <w:w w:val="99"/>
          <w:sz w:val="21"/>
        </w:rPr>
        <w:t>通</w:t>
      </w:r>
      <w:r>
        <w:rPr>
          <w:spacing w:val="2"/>
          <w:w w:val="99"/>
          <w:sz w:val="21"/>
        </w:rPr>
        <w:t>讯</w:t>
      </w:r>
      <w:r>
        <w:rPr>
          <w:spacing w:val="-1"/>
          <w:w w:val="99"/>
          <w:sz w:val="21"/>
        </w:rPr>
        <w:t>地</w:t>
      </w:r>
      <w:r>
        <w:rPr>
          <w:spacing w:val="2"/>
          <w:w w:val="99"/>
          <w:sz w:val="21"/>
        </w:rPr>
        <w:t>址</w:t>
      </w:r>
      <w:r>
        <w:rPr>
          <w:spacing w:val="-1"/>
          <w:w w:val="99"/>
          <w:sz w:val="21"/>
        </w:rPr>
        <w:t>或</w:t>
      </w:r>
      <w:r>
        <w:rPr>
          <w:spacing w:val="2"/>
          <w:w w:val="99"/>
          <w:sz w:val="21"/>
        </w:rPr>
        <w:t>电</w:t>
      </w:r>
      <w:r>
        <w:rPr>
          <w:spacing w:val="-1"/>
          <w:w w:val="99"/>
          <w:sz w:val="21"/>
        </w:rPr>
        <w:t>话</w:t>
      </w:r>
      <w:r>
        <w:rPr>
          <w:spacing w:val="2"/>
          <w:w w:val="99"/>
          <w:sz w:val="21"/>
        </w:rPr>
        <w:t>等</w:t>
      </w:r>
      <w:r>
        <w:rPr>
          <w:spacing w:val="-1"/>
          <w:w w:val="99"/>
          <w:sz w:val="21"/>
        </w:rPr>
        <w:t>联</w:t>
      </w:r>
      <w:r>
        <w:rPr>
          <w:spacing w:val="2"/>
          <w:w w:val="99"/>
          <w:sz w:val="21"/>
        </w:rPr>
        <w:t>系</w:t>
      </w:r>
      <w:r>
        <w:rPr>
          <w:spacing w:val="-1"/>
          <w:w w:val="99"/>
          <w:sz w:val="21"/>
        </w:rPr>
        <w:t>方</w:t>
      </w:r>
      <w:r>
        <w:rPr>
          <w:spacing w:val="2"/>
          <w:w w:val="99"/>
          <w:sz w:val="21"/>
        </w:rPr>
        <w:t>式</w:t>
      </w:r>
      <w:r>
        <w:rPr>
          <w:spacing w:val="-1"/>
          <w:w w:val="99"/>
          <w:sz w:val="21"/>
        </w:rPr>
        <w:t>变</w:t>
      </w:r>
      <w:r>
        <w:rPr>
          <w:spacing w:val="2"/>
          <w:w w:val="99"/>
          <w:sz w:val="21"/>
        </w:rPr>
        <w:t>更时</w:t>
      </w:r>
      <w:r>
        <w:rPr>
          <w:w w:val="99"/>
          <w:sz w:val="21"/>
        </w:rPr>
        <w:t>，</w:t>
      </w:r>
      <w:r>
        <w:rPr>
          <w:spacing w:val="2"/>
          <w:w w:val="99"/>
          <w:sz w:val="21"/>
        </w:rPr>
        <w:t>请</w:t>
      </w:r>
      <w:r>
        <w:rPr>
          <w:spacing w:val="-1"/>
          <w:w w:val="99"/>
          <w:sz w:val="21"/>
        </w:rPr>
        <w:t>及</w:t>
      </w:r>
      <w:r>
        <w:rPr>
          <w:spacing w:val="2"/>
          <w:w w:val="99"/>
          <w:sz w:val="21"/>
        </w:rPr>
        <w:t>时以</w:t>
      </w:r>
      <w:r>
        <w:rPr>
          <w:spacing w:val="-1"/>
          <w:w w:val="99"/>
          <w:sz w:val="21"/>
        </w:rPr>
        <w:t>书</w:t>
      </w:r>
      <w:r>
        <w:rPr>
          <w:spacing w:val="2"/>
          <w:w w:val="99"/>
          <w:sz w:val="21"/>
        </w:rPr>
        <w:t>面形式</w:t>
      </w:r>
      <w:r>
        <w:rPr>
          <w:spacing w:val="-1"/>
          <w:w w:val="99"/>
          <w:sz w:val="21"/>
        </w:rPr>
        <w:t>或</w:t>
      </w:r>
      <w:r>
        <w:rPr>
          <w:spacing w:val="2"/>
          <w:w w:val="99"/>
          <w:sz w:val="21"/>
        </w:rPr>
        <w:t>投保</w:t>
      </w:r>
      <w:r>
        <w:rPr>
          <w:spacing w:val="-1"/>
          <w:w w:val="99"/>
          <w:sz w:val="21"/>
        </w:rPr>
        <w:t>人</w:t>
      </w:r>
      <w:r>
        <w:rPr>
          <w:spacing w:val="2"/>
          <w:w w:val="99"/>
          <w:sz w:val="21"/>
        </w:rPr>
        <w:t>与本</w:t>
      </w:r>
      <w:r>
        <w:rPr>
          <w:spacing w:val="-1"/>
          <w:w w:val="99"/>
          <w:sz w:val="21"/>
        </w:rPr>
        <w:t>公</w:t>
      </w:r>
      <w:r>
        <w:rPr>
          <w:spacing w:val="2"/>
          <w:w w:val="99"/>
          <w:sz w:val="21"/>
        </w:rPr>
        <w:t>司约</w:t>
      </w:r>
      <w:r>
        <w:rPr>
          <w:spacing w:val="-1"/>
          <w:w w:val="99"/>
          <w:sz w:val="21"/>
        </w:rPr>
        <w:t>定</w:t>
      </w:r>
      <w:r>
        <w:rPr>
          <w:spacing w:val="2"/>
          <w:w w:val="99"/>
          <w:sz w:val="21"/>
        </w:rPr>
        <w:t>的其</w:t>
      </w:r>
      <w:r>
        <w:rPr>
          <w:spacing w:val="-1"/>
          <w:w w:val="99"/>
          <w:sz w:val="21"/>
        </w:rPr>
        <w:t>他</w:t>
      </w:r>
      <w:r>
        <w:rPr>
          <w:spacing w:val="2"/>
          <w:w w:val="99"/>
          <w:sz w:val="21"/>
        </w:rPr>
        <w:t>形式通</w:t>
      </w:r>
      <w:r>
        <w:rPr>
          <w:spacing w:val="-1"/>
          <w:w w:val="99"/>
          <w:sz w:val="21"/>
        </w:rPr>
        <w:t>知</w:t>
      </w:r>
      <w:r>
        <w:rPr>
          <w:spacing w:val="2"/>
          <w:w w:val="99"/>
          <w:sz w:val="21"/>
        </w:rPr>
        <w:t>本公</w:t>
      </w:r>
      <w:r>
        <w:rPr>
          <w:spacing w:val="-1"/>
          <w:w w:val="99"/>
          <w:sz w:val="21"/>
        </w:rPr>
        <w:t>司</w:t>
      </w:r>
      <w:r>
        <w:rPr>
          <w:spacing w:val="2"/>
          <w:w w:val="99"/>
          <w:sz w:val="21"/>
        </w:rPr>
        <w:t>。若</w:t>
      </w:r>
      <w:r>
        <w:rPr>
          <w:spacing w:val="-1"/>
          <w:w w:val="99"/>
          <w:sz w:val="21"/>
        </w:rPr>
        <w:t>投</w:t>
      </w:r>
      <w:r>
        <w:rPr>
          <w:spacing w:val="2"/>
          <w:w w:val="99"/>
          <w:sz w:val="21"/>
        </w:rPr>
        <w:t>保人</w:t>
      </w:r>
      <w:r>
        <w:rPr>
          <w:w w:val="99"/>
          <w:sz w:val="21"/>
        </w:rPr>
        <w:t>未</w:t>
      </w:r>
      <w:r>
        <w:rPr>
          <w:spacing w:val="2"/>
          <w:w w:val="99"/>
          <w:sz w:val="21"/>
        </w:rPr>
        <w:t>通</w:t>
      </w:r>
      <w:r>
        <w:rPr>
          <w:spacing w:val="-1"/>
          <w:w w:val="99"/>
          <w:sz w:val="21"/>
        </w:rPr>
        <w:t>知</w:t>
      </w:r>
      <w:r>
        <w:rPr>
          <w:spacing w:val="2"/>
          <w:w w:val="99"/>
          <w:sz w:val="21"/>
        </w:rPr>
        <w:t>本公</w:t>
      </w:r>
      <w:r>
        <w:rPr>
          <w:spacing w:val="-1"/>
          <w:w w:val="99"/>
          <w:sz w:val="21"/>
        </w:rPr>
        <w:t>司</w:t>
      </w:r>
      <w:r>
        <w:rPr>
          <w:spacing w:val="2"/>
          <w:w w:val="99"/>
          <w:sz w:val="21"/>
        </w:rPr>
        <w:t>，本公</w:t>
      </w:r>
      <w:r>
        <w:rPr>
          <w:spacing w:val="-1"/>
          <w:w w:val="99"/>
          <w:sz w:val="21"/>
        </w:rPr>
        <w:t>司</w:t>
      </w:r>
      <w:r>
        <w:rPr>
          <w:spacing w:val="2"/>
          <w:w w:val="99"/>
          <w:sz w:val="21"/>
        </w:rPr>
        <w:t>按本</w:t>
      </w:r>
      <w:r>
        <w:rPr>
          <w:spacing w:val="-1"/>
          <w:w w:val="99"/>
          <w:sz w:val="21"/>
        </w:rPr>
        <w:t>合</w:t>
      </w:r>
      <w:r>
        <w:rPr>
          <w:spacing w:val="2"/>
          <w:w w:val="99"/>
          <w:sz w:val="21"/>
        </w:rPr>
        <w:t>同载</w:t>
      </w:r>
      <w:r>
        <w:rPr>
          <w:spacing w:val="-1"/>
          <w:w w:val="99"/>
          <w:sz w:val="21"/>
        </w:rPr>
        <w:t>明</w:t>
      </w:r>
      <w:r>
        <w:rPr>
          <w:spacing w:val="2"/>
          <w:w w:val="99"/>
          <w:sz w:val="21"/>
        </w:rPr>
        <w:t>的最</w:t>
      </w:r>
      <w:r>
        <w:rPr>
          <w:spacing w:val="-1"/>
          <w:w w:val="99"/>
          <w:sz w:val="21"/>
        </w:rPr>
        <w:t>后</w:t>
      </w:r>
      <w:r>
        <w:rPr>
          <w:spacing w:val="2"/>
          <w:w w:val="99"/>
          <w:sz w:val="21"/>
        </w:rPr>
        <w:t>住所</w:t>
      </w:r>
      <w:r>
        <w:rPr>
          <w:spacing w:val="-1"/>
          <w:w w:val="99"/>
          <w:sz w:val="21"/>
        </w:rPr>
        <w:t>或</w:t>
      </w:r>
      <w:r>
        <w:rPr>
          <w:spacing w:val="2"/>
          <w:w w:val="99"/>
          <w:sz w:val="21"/>
        </w:rPr>
        <w:t>通讯地</w:t>
      </w:r>
      <w:r>
        <w:rPr>
          <w:spacing w:val="-1"/>
          <w:w w:val="99"/>
          <w:sz w:val="21"/>
        </w:rPr>
        <w:t>址</w:t>
      </w:r>
      <w:r>
        <w:rPr>
          <w:spacing w:val="2"/>
          <w:w w:val="99"/>
          <w:sz w:val="21"/>
        </w:rPr>
        <w:t>所发</w:t>
      </w:r>
      <w:r>
        <w:rPr>
          <w:spacing w:val="-1"/>
          <w:w w:val="99"/>
          <w:sz w:val="21"/>
        </w:rPr>
        <w:t>送</w:t>
      </w:r>
      <w:r>
        <w:rPr>
          <w:spacing w:val="2"/>
          <w:w w:val="99"/>
          <w:sz w:val="21"/>
        </w:rPr>
        <w:t>的有</w:t>
      </w:r>
      <w:r>
        <w:rPr>
          <w:spacing w:val="-1"/>
          <w:w w:val="99"/>
          <w:sz w:val="21"/>
        </w:rPr>
        <w:t>关</w:t>
      </w:r>
      <w:r>
        <w:rPr>
          <w:spacing w:val="2"/>
          <w:w w:val="99"/>
          <w:sz w:val="21"/>
        </w:rPr>
        <w:t>通知</w:t>
      </w:r>
      <w:r>
        <w:rPr>
          <w:w w:val="99"/>
          <w:sz w:val="21"/>
        </w:rPr>
        <w:t>，</w:t>
      </w:r>
      <w:r>
        <w:rPr>
          <w:spacing w:val="-1"/>
          <w:w w:val="99"/>
          <w:sz w:val="21"/>
        </w:rPr>
        <w:t>均</w:t>
      </w:r>
      <w:r>
        <w:rPr>
          <w:spacing w:val="2"/>
          <w:w w:val="99"/>
          <w:sz w:val="21"/>
        </w:rPr>
        <w:t>视</w:t>
      </w:r>
      <w:r>
        <w:rPr>
          <w:spacing w:val="-1"/>
          <w:w w:val="99"/>
          <w:sz w:val="21"/>
        </w:rPr>
        <w:t>为</w:t>
      </w:r>
      <w:r>
        <w:rPr>
          <w:spacing w:val="2"/>
          <w:w w:val="99"/>
          <w:sz w:val="21"/>
        </w:rPr>
        <w:t>已</w:t>
      </w:r>
      <w:r>
        <w:rPr>
          <w:spacing w:val="-1"/>
          <w:w w:val="99"/>
          <w:sz w:val="21"/>
        </w:rPr>
        <w:t>送</w:t>
      </w:r>
      <w:r>
        <w:rPr>
          <w:spacing w:val="2"/>
          <w:w w:val="99"/>
          <w:sz w:val="21"/>
        </w:rPr>
        <w:t>达</w:t>
      </w:r>
      <w:r>
        <w:rPr>
          <w:w w:val="99"/>
          <w:sz w:val="21"/>
        </w:rPr>
        <w:t>。</w:t>
      </w:r>
    </w:p>
    <w:p>
      <w:pPr>
        <w:pStyle w:val="9"/>
        <w:numPr>
          <w:ilvl w:val="1"/>
          <w:numId w:val="12"/>
        </w:numPr>
        <w:tabs>
          <w:tab w:val="left" w:pos="1321"/>
          <w:tab w:val="left" w:pos="1322"/>
          <w:tab w:val="left" w:pos="3020"/>
        </w:tabs>
        <w:spacing w:before="151" w:after="0" w:line="266" w:lineRule="auto"/>
        <w:ind w:left="3020" w:right="208" w:hanging="2801"/>
        <w:jc w:val="left"/>
        <w:rPr>
          <w:sz w:val="21"/>
        </w:rPr>
      </w:pPr>
      <w:r>
        <w:rPr>
          <w:b/>
          <w:spacing w:val="2"/>
          <w:w w:val="99"/>
          <w:position w:val="1"/>
          <w:sz w:val="21"/>
        </w:rPr>
        <w:t>争议处</w:t>
      </w:r>
      <w:r>
        <w:rPr>
          <w:b/>
          <w:w w:val="99"/>
          <w:position w:val="1"/>
          <w:sz w:val="21"/>
        </w:rPr>
        <w:t>理</w:t>
      </w:r>
      <w:r>
        <w:rPr>
          <w:b/>
          <w:position w:val="1"/>
          <w:sz w:val="21"/>
        </w:rPr>
        <w:tab/>
      </w:r>
      <w:r>
        <w:rPr>
          <w:spacing w:val="2"/>
          <w:w w:val="99"/>
          <w:sz w:val="21"/>
        </w:rPr>
        <w:t>本</w:t>
      </w:r>
      <w:r>
        <w:rPr>
          <w:spacing w:val="-1"/>
          <w:w w:val="99"/>
          <w:sz w:val="21"/>
        </w:rPr>
        <w:t>合</w:t>
      </w:r>
      <w:r>
        <w:rPr>
          <w:spacing w:val="2"/>
          <w:w w:val="99"/>
          <w:sz w:val="21"/>
        </w:rPr>
        <w:t>同履</w:t>
      </w:r>
      <w:r>
        <w:rPr>
          <w:spacing w:val="-1"/>
          <w:w w:val="99"/>
          <w:sz w:val="21"/>
        </w:rPr>
        <w:t>行</w:t>
      </w:r>
      <w:r>
        <w:rPr>
          <w:spacing w:val="2"/>
          <w:w w:val="99"/>
          <w:sz w:val="21"/>
        </w:rPr>
        <w:t>过程中</w:t>
      </w:r>
      <w:r>
        <w:rPr>
          <w:spacing w:val="-1"/>
          <w:w w:val="99"/>
          <w:sz w:val="21"/>
        </w:rPr>
        <w:t>，</w:t>
      </w:r>
      <w:r>
        <w:rPr>
          <w:spacing w:val="2"/>
          <w:w w:val="99"/>
          <w:sz w:val="21"/>
        </w:rPr>
        <w:t>双方</w:t>
      </w:r>
      <w:r>
        <w:rPr>
          <w:spacing w:val="-1"/>
          <w:w w:val="99"/>
          <w:sz w:val="21"/>
        </w:rPr>
        <w:t>发</w:t>
      </w:r>
      <w:r>
        <w:rPr>
          <w:spacing w:val="2"/>
          <w:w w:val="99"/>
          <w:sz w:val="21"/>
        </w:rPr>
        <w:t>生争</w:t>
      </w:r>
      <w:r>
        <w:rPr>
          <w:spacing w:val="-1"/>
          <w:w w:val="99"/>
          <w:sz w:val="21"/>
        </w:rPr>
        <w:t>议</w:t>
      </w:r>
      <w:r>
        <w:rPr>
          <w:spacing w:val="2"/>
          <w:w w:val="99"/>
          <w:sz w:val="21"/>
        </w:rPr>
        <w:t>时，</w:t>
      </w:r>
      <w:r>
        <w:rPr>
          <w:spacing w:val="-1"/>
          <w:w w:val="99"/>
          <w:sz w:val="21"/>
        </w:rPr>
        <w:t>可</w:t>
      </w:r>
      <w:r>
        <w:rPr>
          <w:spacing w:val="2"/>
          <w:w w:val="99"/>
          <w:sz w:val="21"/>
        </w:rPr>
        <w:t>以从</w:t>
      </w:r>
      <w:r>
        <w:rPr>
          <w:spacing w:val="-1"/>
          <w:w w:val="99"/>
          <w:sz w:val="21"/>
        </w:rPr>
        <w:t>下</w:t>
      </w:r>
      <w:r>
        <w:rPr>
          <w:spacing w:val="2"/>
          <w:w w:val="99"/>
          <w:sz w:val="21"/>
        </w:rPr>
        <w:t>列两种</w:t>
      </w:r>
      <w:r>
        <w:rPr>
          <w:spacing w:val="-1"/>
          <w:w w:val="99"/>
          <w:sz w:val="21"/>
        </w:rPr>
        <w:t>方</w:t>
      </w:r>
      <w:r>
        <w:rPr>
          <w:spacing w:val="2"/>
          <w:w w:val="99"/>
          <w:sz w:val="21"/>
        </w:rPr>
        <w:t>式中</w:t>
      </w:r>
      <w:r>
        <w:rPr>
          <w:spacing w:val="-1"/>
          <w:w w:val="99"/>
          <w:sz w:val="21"/>
        </w:rPr>
        <w:t>选</w:t>
      </w:r>
      <w:r>
        <w:rPr>
          <w:spacing w:val="2"/>
          <w:w w:val="99"/>
          <w:sz w:val="21"/>
        </w:rPr>
        <w:t>择一</w:t>
      </w:r>
      <w:r>
        <w:rPr>
          <w:spacing w:val="-1"/>
          <w:w w:val="99"/>
          <w:sz w:val="21"/>
        </w:rPr>
        <w:t>种</w:t>
      </w:r>
      <w:r>
        <w:rPr>
          <w:spacing w:val="2"/>
          <w:w w:val="99"/>
          <w:sz w:val="21"/>
        </w:rPr>
        <w:t>争议</w:t>
      </w:r>
      <w:r>
        <w:rPr>
          <w:w w:val="99"/>
          <w:sz w:val="21"/>
        </w:rPr>
        <w:t>处</w:t>
      </w:r>
      <w:r>
        <w:rPr>
          <w:spacing w:val="-1"/>
          <w:w w:val="99"/>
          <w:sz w:val="21"/>
        </w:rPr>
        <w:t>理</w:t>
      </w:r>
      <w:r>
        <w:rPr>
          <w:spacing w:val="2"/>
          <w:w w:val="99"/>
          <w:sz w:val="21"/>
        </w:rPr>
        <w:t>方</w:t>
      </w:r>
      <w:r>
        <w:rPr>
          <w:spacing w:val="-1"/>
          <w:w w:val="99"/>
          <w:sz w:val="21"/>
        </w:rPr>
        <w:t>式</w:t>
      </w:r>
      <w:r>
        <w:rPr>
          <w:w w:val="99"/>
          <w:sz w:val="21"/>
        </w:rPr>
        <w:t>：</w:t>
      </w:r>
    </w:p>
    <w:p>
      <w:pPr>
        <w:pStyle w:val="9"/>
        <w:numPr>
          <w:ilvl w:val="0"/>
          <w:numId w:val="13"/>
        </w:numPr>
        <w:tabs>
          <w:tab w:val="left" w:pos="3741"/>
        </w:tabs>
        <w:spacing w:before="159" w:after="0" w:line="266" w:lineRule="auto"/>
        <w:ind w:left="3740" w:right="208" w:hanging="720"/>
        <w:jc w:val="left"/>
        <w:rPr>
          <w:sz w:val="21"/>
        </w:rPr>
      </w:pPr>
      <w:r>
        <w:rPr>
          <w:spacing w:val="-6"/>
          <w:w w:val="99"/>
          <w:sz w:val="21"/>
        </w:rPr>
        <w:t>因履行本合同发生的争议，由双方协商解决，协商不成的，提交本合同</w:t>
      </w:r>
      <w:r>
        <w:rPr>
          <w:spacing w:val="-1"/>
          <w:w w:val="99"/>
          <w:sz w:val="21"/>
        </w:rPr>
        <w:t>约定的仲裁委员会仲裁；</w:t>
      </w:r>
    </w:p>
    <w:p>
      <w:pPr>
        <w:pStyle w:val="9"/>
        <w:numPr>
          <w:ilvl w:val="0"/>
          <w:numId w:val="13"/>
        </w:numPr>
        <w:tabs>
          <w:tab w:val="left" w:pos="3741"/>
        </w:tabs>
        <w:spacing w:before="158" w:after="0" w:line="266" w:lineRule="auto"/>
        <w:ind w:left="3740" w:right="208" w:hanging="720"/>
        <w:jc w:val="left"/>
        <w:rPr>
          <w:sz w:val="21"/>
        </w:rPr>
      </w:pPr>
      <w:r>
        <w:rPr>
          <w:spacing w:val="-6"/>
          <w:w w:val="99"/>
          <w:sz w:val="21"/>
        </w:rPr>
        <w:t>因履行本合同发生的争议，由双方协商解决，协商不成的，依法向人民法</w:t>
      </w:r>
      <w:r>
        <w:rPr>
          <w:spacing w:val="2"/>
          <w:sz w:val="21"/>
        </w:rPr>
        <w:t xml:space="preserve"> </w:t>
      </w:r>
      <w:r>
        <w:rPr>
          <w:spacing w:val="-1"/>
          <w:w w:val="99"/>
          <w:sz w:val="21"/>
        </w:rPr>
        <w:t>院起诉。</w:t>
      </w:r>
    </w:p>
    <w:p>
      <w:pPr>
        <w:pStyle w:val="4"/>
        <w:spacing w:before="159"/>
        <w:ind w:left="3020"/>
      </w:pPr>
      <w:r>
        <w:rPr>
          <w:spacing w:val="-1"/>
          <w:w w:val="95"/>
        </w:rPr>
        <w:t>与本合同有关的以及履行本合同产生的一切争议处理适用中华人民共和国法律</w:t>
      </w:r>
    </w:p>
    <w:p>
      <w:pPr>
        <w:pStyle w:val="4"/>
        <w:spacing w:before="2"/>
        <w:rPr>
          <w:sz w:val="9"/>
        </w:rPr>
      </w:pPr>
    </w:p>
    <w:p>
      <w:pPr>
        <w:pStyle w:val="4"/>
        <w:spacing w:before="70"/>
        <w:ind w:left="3020"/>
      </w:pPr>
      <w:r>
        <w:rPr>
          <w:color w:val="000000"/>
          <w:w w:val="95"/>
          <w:shd w:val="clear" w:color="auto" w:fill="E4E4E4"/>
        </w:rPr>
        <w:t>（不包括港、澳、台地区法律</w:t>
      </w:r>
      <w:r>
        <w:rPr>
          <w:color w:val="000000"/>
          <w:spacing w:val="-104"/>
          <w:w w:val="95"/>
          <w:shd w:val="clear" w:color="auto" w:fill="E4E4E4"/>
        </w:rPr>
        <w:t>）</w:t>
      </w:r>
      <w:r>
        <w:rPr>
          <w:color w:val="000000"/>
          <w:spacing w:val="-10"/>
          <w:w w:val="95"/>
          <w:shd w:val="clear" w:color="auto" w:fill="E4E4E4"/>
        </w:rPr>
        <w:t>。</w:t>
      </w:r>
    </w:p>
    <w:p>
      <w:pPr>
        <w:pStyle w:val="4"/>
        <w:spacing w:before="2"/>
        <w:rPr>
          <w:sz w:val="9"/>
        </w:rPr>
      </w:pPr>
    </w:p>
    <w:p>
      <w:pPr>
        <w:pStyle w:val="4"/>
        <w:spacing w:before="69"/>
        <w:ind w:right="838"/>
        <w:jc w:val="right"/>
      </w:pPr>
      <w:r>
        <w:rPr>
          <w:spacing w:val="-2"/>
          <w:w w:val="95"/>
        </w:rPr>
        <w:t>[本页内容结束]</w:t>
      </w:r>
    </w:p>
    <w:p>
      <w:pPr>
        <w:spacing w:after="0"/>
        <w:jc w:val="right"/>
        <w:sectPr>
          <w:pgSz w:w="11910" w:h="16840"/>
          <w:pgMar w:top="1400" w:right="660" w:bottom="860" w:left="860" w:header="0" w:footer="662" w:gutter="0"/>
          <w:cols w:space="720" w:num="1"/>
        </w:sectPr>
      </w:pPr>
    </w:p>
    <w:p>
      <w:pPr>
        <w:pStyle w:val="4"/>
        <w:spacing w:before="59" w:line="278" w:lineRule="auto"/>
        <w:ind w:left="2485" w:right="350" w:hanging="2266"/>
        <w:jc w:val="both"/>
      </w:pPr>
      <w:r>
        <w:rPr>
          <w:b/>
          <w:spacing w:val="1"/>
          <w:w w:val="99"/>
        </w:rPr>
        <w:t>附表一</w:t>
      </w:r>
      <w:r>
        <w:rPr>
          <w:b/>
          <w:spacing w:val="12"/>
        </w:rPr>
        <w:t xml:space="preserve">  </w:t>
      </w:r>
      <w:r>
        <w:rPr>
          <w:b/>
          <w:spacing w:val="1"/>
          <w:w w:val="99"/>
        </w:rPr>
        <w:t>重大疾病</w:t>
      </w:r>
      <w:r>
        <w:rPr>
          <w:b/>
          <w:spacing w:val="5"/>
        </w:rPr>
        <w:t xml:space="preserve">     </w:t>
      </w:r>
      <w:r>
        <w:rPr>
          <w:spacing w:val="-5"/>
          <w:w w:val="99"/>
        </w:rPr>
        <w:t>以下第一至二十八种重大疾病为《重大疾病保险的疾病定义使用规范</w:t>
      </w:r>
      <w:r>
        <w:rPr>
          <w:spacing w:val="-1"/>
          <w:w w:val="99"/>
        </w:rPr>
        <w:t>（</w:t>
      </w:r>
      <w:r>
        <w:rPr>
          <w:spacing w:val="1"/>
          <w:w w:val="99"/>
        </w:rPr>
        <w:t>202</w:t>
      </w:r>
      <w:r>
        <w:rPr>
          <w:w w:val="99"/>
        </w:rPr>
        <w:t>0</w:t>
      </w:r>
      <w:r>
        <w:rPr>
          <w:spacing w:val="-54"/>
        </w:rPr>
        <w:t xml:space="preserve"> </w:t>
      </w:r>
      <w:r>
        <w:rPr>
          <w:w w:val="99"/>
        </w:rPr>
        <w:t>年修订</w:t>
      </w:r>
      <w:r>
        <w:rPr>
          <w:spacing w:val="2"/>
          <w:w w:val="99"/>
        </w:rPr>
        <w:t>版</w:t>
      </w:r>
      <w:r>
        <w:rPr>
          <w:spacing w:val="-101"/>
          <w:w w:val="99"/>
        </w:rPr>
        <w:t>）》</w:t>
      </w:r>
      <w:r>
        <w:rPr>
          <w:spacing w:val="4"/>
          <w:w w:val="99"/>
        </w:rPr>
        <w:t>（</w:t>
      </w:r>
      <w:r>
        <w:rPr>
          <w:spacing w:val="-11"/>
          <w:w w:val="99"/>
        </w:rPr>
        <w:t>以下简称“规范”</w:t>
      </w:r>
      <w:r>
        <w:rPr>
          <w:spacing w:val="4"/>
          <w:w w:val="99"/>
        </w:rPr>
        <w:t>）</w:t>
      </w:r>
      <w:r>
        <w:rPr>
          <w:spacing w:val="1"/>
          <w:w w:val="99"/>
        </w:rPr>
        <w:t>定义的重大疾病，第二十九至一百一十种重大疾病为规</w:t>
      </w:r>
      <w:r>
        <w:rPr>
          <w:spacing w:val="-1"/>
          <w:w w:val="99"/>
        </w:rPr>
        <w:t>范定义的重大疾病范围之外的重大疾病。</w:t>
      </w:r>
    </w:p>
    <w:p>
      <w:pPr>
        <w:pStyle w:val="3"/>
        <w:numPr>
          <w:ilvl w:val="0"/>
          <w:numId w:val="14"/>
        </w:numPr>
        <w:tabs>
          <w:tab w:val="left" w:pos="3014"/>
        </w:tabs>
        <w:spacing w:before="156" w:after="0" w:line="240" w:lineRule="auto"/>
        <w:ind w:left="3013" w:right="0" w:hanging="529"/>
        <w:jc w:val="left"/>
      </w:pPr>
      <w:r>
        <w:rPr>
          <w:spacing w:val="-2"/>
          <w:w w:val="95"/>
        </w:rPr>
        <w:t>恶性肿瘤——重度:</w:t>
      </w:r>
    </w:p>
    <w:p>
      <w:pPr>
        <w:pStyle w:val="4"/>
        <w:spacing w:before="6"/>
        <w:rPr>
          <w:b/>
          <w:sz w:val="15"/>
        </w:rPr>
      </w:pPr>
    </w:p>
    <w:p>
      <w:pPr>
        <w:pStyle w:val="4"/>
        <w:spacing w:before="1" w:line="278" w:lineRule="auto"/>
        <w:ind w:left="2485" w:right="244"/>
      </w:pPr>
      <w:r>
        <w:rPr>
          <w:spacing w:val="-6"/>
          <w:w w:val="99"/>
        </w:rPr>
        <w:t>指恶性细胞不受控制的进行性增长和扩散，浸润和破坏周围正常组织，可以经血管、</w:t>
      </w:r>
      <w:r>
        <w:rPr>
          <w:spacing w:val="2"/>
          <w:w w:val="99"/>
        </w:rPr>
        <w:t>淋巴管和体腔扩散转移到身体其它部位，病灶经</w:t>
      </w:r>
      <w:r>
        <w:rPr>
          <w:b/>
          <w:spacing w:val="3"/>
          <w:w w:val="99"/>
        </w:rPr>
        <w:t>组织病理学检查</w:t>
      </w:r>
      <w:r>
        <w:fldChar w:fldCharType="begin"/>
      </w:r>
      <w:r>
        <w:instrText xml:space="preserve"> HYPERLINK \l "_bookmark36" </w:instrText>
      </w:r>
      <w:r>
        <w:fldChar w:fldCharType="separate"/>
      </w:r>
      <w:r>
        <w:rPr>
          <w:b/>
          <w:spacing w:val="2"/>
          <w:w w:val="105"/>
          <w:position w:val="11"/>
          <w:sz w:val="10"/>
        </w:rPr>
        <w:t>3</w:t>
      </w:r>
      <w:r>
        <w:rPr>
          <w:b/>
          <w:spacing w:val="-1"/>
          <w:w w:val="105"/>
          <w:position w:val="11"/>
          <w:sz w:val="10"/>
        </w:rPr>
        <w:t>9</w:t>
      </w:r>
      <w:r>
        <w:rPr>
          <w:b/>
          <w:spacing w:val="-1"/>
          <w:w w:val="105"/>
          <w:position w:val="11"/>
          <w:sz w:val="10"/>
        </w:rPr>
        <w:fldChar w:fldCharType="end"/>
      </w:r>
      <w:r>
        <w:rPr>
          <w:spacing w:val="4"/>
          <w:w w:val="99"/>
        </w:rPr>
        <w:t>（</w:t>
      </w:r>
      <w:r>
        <w:rPr>
          <w:spacing w:val="1"/>
          <w:w w:val="99"/>
        </w:rPr>
        <w:t>涵盖骨髓病理</w:t>
      </w:r>
      <w:r>
        <w:rPr>
          <w:spacing w:val="27"/>
          <w:w w:val="99"/>
        </w:rPr>
        <w:t>学检查</w:t>
      </w:r>
      <w:r>
        <w:rPr>
          <w:w w:val="99"/>
        </w:rPr>
        <w:t>）</w:t>
      </w:r>
      <w:r>
        <w:rPr>
          <w:spacing w:val="-77"/>
        </w:rPr>
        <w:t xml:space="preserve"> </w:t>
      </w:r>
      <w:r>
        <w:rPr>
          <w:spacing w:val="22"/>
          <w:w w:val="99"/>
        </w:rPr>
        <w:t>结果明确诊断，</w:t>
      </w:r>
      <w:r>
        <w:rPr>
          <w:spacing w:val="-79"/>
        </w:rPr>
        <w:t xml:space="preserve"> </w:t>
      </w:r>
      <w:r>
        <w:rPr>
          <w:spacing w:val="26"/>
          <w:w w:val="99"/>
        </w:rPr>
        <w:t>临床诊断属于世界卫生组织</w:t>
      </w:r>
      <w:r>
        <w:rPr>
          <w:w w:val="99"/>
        </w:rPr>
        <w:t>（</w:t>
      </w:r>
      <w:r>
        <w:rPr>
          <w:spacing w:val="-77"/>
        </w:rPr>
        <w:t xml:space="preserve"> </w:t>
      </w:r>
      <w:r>
        <w:rPr>
          <w:spacing w:val="1"/>
          <w:w w:val="99"/>
        </w:rPr>
        <w:t>WH</w:t>
      </w:r>
      <w:r>
        <w:rPr>
          <w:w w:val="99"/>
        </w:rPr>
        <w:t>O</w:t>
      </w:r>
      <w:r>
        <w:rPr>
          <w:spacing w:val="-78"/>
        </w:rPr>
        <w:t xml:space="preserve"> </w:t>
      </w:r>
      <w:r>
        <w:rPr>
          <w:w w:val="99"/>
        </w:rPr>
        <w:t>，</w:t>
      </w:r>
      <w:r>
        <w:rPr>
          <w:spacing w:val="-79"/>
        </w:rPr>
        <w:t xml:space="preserve"> </w:t>
      </w:r>
      <w:r>
        <w:rPr>
          <w:spacing w:val="1"/>
          <w:w w:val="99"/>
        </w:rPr>
        <w:t>Wor</w:t>
      </w:r>
      <w:r>
        <w:rPr>
          <w:spacing w:val="-2"/>
          <w:w w:val="99"/>
        </w:rPr>
        <w:t>l</w:t>
      </w:r>
      <w:r>
        <w:rPr>
          <w:w w:val="99"/>
        </w:rPr>
        <w:t>d</w:t>
      </w:r>
      <w:r>
        <w:rPr>
          <w:spacing w:val="28"/>
        </w:rPr>
        <w:t xml:space="preserve"> </w:t>
      </w:r>
      <w:r>
        <w:rPr>
          <w:spacing w:val="1"/>
          <w:w w:val="99"/>
        </w:rPr>
        <w:t>Hea</w:t>
      </w:r>
      <w:r>
        <w:rPr>
          <w:spacing w:val="-2"/>
          <w:w w:val="99"/>
        </w:rPr>
        <w:t>l</w:t>
      </w:r>
      <w:r>
        <w:rPr>
          <w:spacing w:val="1"/>
          <w:w w:val="99"/>
        </w:rPr>
        <w:t>t</w:t>
      </w:r>
      <w:r>
        <w:rPr>
          <w:w w:val="99"/>
        </w:rPr>
        <w:t xml:space="preserve">h </w:t>
      </w:r>
      <w:r>
        <w:rPr>
          <w:spacing w:val="1"/>
          <w:w w:val="99"/>
        </w:rPr>
        <w:t>Org</w:t>
      </w:r>
      <w:r>
        <w:rPr>
          <w:spacing w:val="-2"/>
          <w:w w:val="99"/>
        </w:rPr>
        <w:t>a</w:t>
      </w:r>
      <w:r>
        <w:rPr>
          <w:spacing w:val="1"/>
          <w:w w:val="99"/>
        </w:rPr>
        <w:t>niz</w:t>
      </w:r>
      <w:r>
        <w:rPr>
          <w:spacing w:val="-2"/>
          <w:w w:val="99"/>
        </w:rPr>
        <w:t>a</w:t>
      </w:r>
      <w:r>
        <w:rPr>
          <w:spacing w:val="1"/>
          <w:w w:val="99"/>
        </w:rPr>
        <w:t>tio</w:t>
      </w:r>
      <w:r>
        <w:rPr>
          <w:spacing w:val="-2"/>
          <w:w w:val="99"/>
        </w:rPr>
        <w:t>n</w:t>
      </w:r>
      <w:r>
        <w:rPr>
          <w:spacing w:val="-104"/>
          <w:w w:val="99"/>
        </w:rPr>
        <w:t>）</w:t>
      </w:r>
      <w:r>
        <w:rPr>
          <w:spacing w:val="-1"/>
          <w:w w:val="99"/>
        </w:rPr>
        <w:t>《疾病和有关健康问题的国际统计分类》第十次修订版</w:t>
      </w:r>
      <w:r>
        <w:rPr>
          <w:w w:val="99"/>
        </w:rPr>
        <w:t>（</w:t>
      </w:r>
      <w:r>
        <w:rPr>
          <w:b/>
          <w:spacing w:val="3"/>
          <w:w w:val="98"/>
        </w:rPr>
        <w:t>I</w:t>
      </w:r>
      <w:r>
        <w:rPr>
          <w:b/>
          <w:spacing w:val="1"/>
          <w:w w:val="98"/>
        </w:rPr>
        <w:t>CD-10</w:t>
      </w:r>
      <w:r>
        <w:fldChar w:fldCharType="begin"/>
      </w:r>
      <w:r>
        <w:instrText xml:space="preserve"> HYPERLINK \l "_bookmark37" </w:instrText>
      </w:r>
      <w:r>
        <w:fldChar w:fldCharType="separate"/>
      </w:r>
      <w:r>
        <w:rPr>
          <w:b/>
          <w:spacing w:val="-1"/>
          <w:w w:val="105"/>
          <w:position w:val="11"/>
          <w:sz w:val="10"/>
        </w:rPr>
        <w:t>4</w:t>
      </w:r>
      <w:r>
        <w:rPr>
          <w:b/>
          <w:spacing w:val="-3"/>
          <w:w w:val="105"/>
          <w:position w:val="11"/>
          <w:sz w:val="10"/>
        </w:rPr>
        <w:t>0</w:t>
      </w:r>
      <w:r>
        <w:rPr>
          <w:b/>
          <w:spacing w:val="-3"/>
          <w:w w:val="105"/>
          <w:position w:val="11"/>
          <w:sz w:val="10"/>
        </w:rPr>
        <w:fldChar w:fldCharType="end"/>
      </w:r>
      <w:r>
        <w:rPr>
          <w:w w:val="99"/>
        </w:rPr>
        <w:t>）</w:t>
      </w:r>
      <w:r>
        <w:rPr>
          <w:spacing w:val="2"/>
          <w:w w:val="99"/>
        </w:rPr>
        <w:t>的恶性肿瘤类别及《国际疾病分类肿瘤学专辑》第三版</w:t>
      </w:r>
      <w:r>
        <w:rPr>
          <w:spacing w:val="4"/>
          <w:w w:val="99"/>
        </w:rPr>
        <w:t>（</w:t>
      </w:r>
      <w:r>
        <w:rPr>
          <w:spacing w:val="1"/>
          <w:w w:val="99"/>
        </w:rPr>
        <w:t>ICD</w:t>
      </w:r>
      <w:r>
        <w:rPr>
          <w:spacing w:val="-2"/>
          <w:w w:val="99"/>
        </w:rPr>
        <w:t>-</w:t>
      </w:r>
      <w:r>
        <w:rPr>
          <w:spacing w:val="1"/>
          <w:w w:val="99"/>
        </w:rPr>
        <w:t>O-</w:t>
      </w:r>
      <w:r>
        <w:rPr>
          <w:spacing w:val="3"/>
          <w:w w:val="99"/>
        </w:rPr>
        <w:t>3</w:t>
      </w:r>
      <w:r>
        <w:rPr>
          <w:spacing w:val="4"/>
          <w:w w:val="99"/>
        </w:rPr>
        <w:t>）</w:t>
      </w:r>
      <w:r>
        <w:rPr>
          <w:spacing w:val="1"/>
          <w:w w:val="99"/>
        </w:rPr>
        <w:t>的肿瘤形态学</w:t>
      </w:r>
      <w:r>
        <w:rPr>
          <w:spacing w:val="-1"/>
          <w:w w:val="99"/>
        </w:rPr>
        <w:t>编码属于</w:t>
      </w:r>
      <w:r>
        <w:rPr>
          <w:spacing w:val="-50"/>
        </w:rPr>
        <w:t xml:space="preserve"> </w:t>
      </w:r>
      <w:r>
        <w:rPr>
          <w:spacing w:val="1"/>
          <w:w w:val="99"/>
        </w:rPr>
        <w:t>3</w:t>
      </w:r>
      <w:r>
        <w:rPr>
          <w:spacing w:val="-1"/>
          <w:w w:val="99"/>
        </w:rPr>
        <w:t>、</w:t>
      </w:r>
      <w:r>
        <w:rPr>
          <w:spacing w:val="1"/>
          <w:w w:val="99"/>
        </w:rPr>
        <w:t>6</w:t>
      </w:r>
      <w:r>
        <w:rPr>
          <w:spacing w:val="-1"/>
          <w:w w:val="99"/>
        </w:rPr>
        <w:t>、</w:t>
      </w:r>
      <w:r>
        <w:rPr>
          <w:spacing w:val="1"/>
          <w:w w:val="99"/>
        </w:rPr>
        <w:t>9</w:t>
      </w:r>
      <w:r>
        <w:rPr>
          <w:spacing w:val="-1"/>
          <w:w w:val="99"/>
        </w:rPr>
        <w:t>（恶性肿瘤</w:t>
      </w:r>
      <w:r>
        <w:rPr>
          <w:spacing w:val="2"/>
          <w:w w:val="99"/>
        </w:rPr>
        <w:t>）</w:t>
      </w:r>
      <w:r>
        <w:rPr>
          <w:spacing w:val="-1"/>
          <w:w w:val="99"/>
        </w:rPr>
        <w:t>范畴的疾病。</w:t>
      </w:r>
    </w:p>
    <w:p>
      <w:pPr>
        <w:pStyle w:val="4"/>
        <w:spacing w:line="268" w:lineRule="exact"/>
        <w:ind w:left="2485"/>
      </w:pPr>
      <w:r>
        <w:rPr>
          <w:color w:val="000000"/>
          <w:w w:val="95"/>
          <w:shd w:val="clear" w:color="auto" w:fill="E4E4E4"/>
        </w:rPr>
        <w:t>下列疾病不属于“恶</w:t>
      </w:r>
      <w:r>
        <w:rPr>
          <w:color w:val="000000"/>
          <w:spacing w:val="-10"/>
          <w:w w:val="95"/>
          <w:shd w:val="clear" w:color="auto" w:fill="E4E4E4"/>
        </w:rPr>
        <w:t>性肿瘤——重度”，不在保障范围内：</w:t>
      </w:r>
    </w:p>
    <w:p>
      <w:pPr>
        <w:pStyle w:val="4"/>
        <w:spacing w:before="6"/>
        <w:rPr>
          <w:sz w:val="15"/>
        </w:rPr>
      </w:pPr>
    </w:p>
    <w:p>
      <w:pPr>
        <w:pStyle w:val="9"/>
        <w:numPr>
          <w:ilvl w:val="0"/>
          <w:numId w:val="15"/>
        </w:numPr>
        <w:tabs>
          <w:tab w:val="left" w:pos="3205"/>
          <w:tab w:val="left" w:pos="3206"/>
        </w:tabs>
        <w:spacing w:before="0" w:after="0" w:line="278" w:lineRule="auto"/>
        <w:ind w:left="3205" w:right="347" w:hanging="720"/>
        <w:jc w:val="left"/>
        <w:rPr>
          <w:sz w:val="21"/>
        </w:rPr>
      </w:pPr>
      <w:r>
        <w:rPr>
          <w:color w:val="000000"/>
          <w:w w:val="95"/>
          <w:sz w:val="21"/>
          <w:shd w:val="clear" w:color="auto" w:fill="E4E4E4"/>
        </w:rPr>
        <w:t>ICD-O-3</w:t>
      </w:r>
      <w:r>
        <w:rPr>
          <w:color w:val="000000"/>
          <w:spacing w:val="-7"/>
          <w:w w:val="95"/>
          <w:sz w:val="21"/>
          <w:shd w:val="clear" w:color="auto" w:fill="E4E4E4"/>
        </w:rPr>
        <w:t xml:space="preserve"> 肿瘤形态学编码属于 </w:t>
      </w:r>
      <w:r>
        <w:rPr>
          <w:color w:val="000000"/>
          <w:w w:val="95"/>
          <w:sz w:val="21"/>
          <w:shd w:val="clear" w:color="auto" w:fill="E4E4E4"/>
        </w:rPr>
        <w:t>0（良性肿瘤</w:t>
      </w:r>
      <w:r>
        <w:rPr>
          <w:color w:val="000000"/>
          <w:spacing w:val="-106"/>
          <w:w w:val="95"/>
          <w:sz w:val="21"/>
          <w:shd w:val="clear" w:color="auto" w:fill="E4E4E4"/>
        </w:rPr>
        <w:t>）</w:t>
      </w:r>
      <w:r>
        <w:rPr>
          <w:color w:val="000000"/>
          <w:w w:val="95"/>
          <w:sz w:val="21"/>
          <w:shd w:val="clear" w:color="auto" w:fill="E4E4E4"/>
        </w:rPr>
        <w:t>、1（动态未定性肿瘤</w:t>
      </w:r>
      <w:r>
        <w:rPr>
          <w:color w:val="000000"/>
          <w:spacing w:val="-106"/>
          <w:w w:val="95"/>
          <w:sz w:val="21"/>
          <w:shd w:val="clear" w:color="auto" w:fill="E4E4E4"/>
        </w:rPr>
        <w:t>）</w:t>
      </w:r>
      <w:r>
        <w:rPr>
          <w:color w:val="000000"/>
          <w:w w:val="95"/>
          <w:sz w:val="21"/>
          <w:shd w:val="clear" w:color="auto" w:fill="E4E4E4"/>
        </w:rPr>
        <w:t>、2（原</w:t>
      </w:r>
      <w:r>
        <w:rPr>
          <w:color w:val="000000"/>
          <w:spacing w:val="80"/>
          <w:w w:val="150"/>
          <w:sz w:val="21"/>
          <w:shd w:val="clear" w:color="auto" w:fill="E4E4E4"/>
        </w:rPr>
        <w:t xml:space="preserve">                                     </w:t>
      </w:r>
      <w:r>
        <w:rPr>
          <w:color w:val="000000"/>
          <w:spacing w:val="-2"/>
          <w:sz w:val="21"/>
          <w:shd w:val="clear" w:color="auto" w:fill="E4E4E4"/>
        </w:rPr>
        <w:t>位癌和非侵袭性癌）范畴的疾病，如：</w:t>
      </w:r>
    </w:p>
    <w:p>
      <w:pPr>
        <w:pStyle w:val="9"/>
        <w:numPr>
          <w:ilvl w:val="1"/>
          <w:numId w:val="15"/>
        </w:numPr>
        <w:tabs>
          <w:tab w:val="left" w:pos="3417"/>
        </w:tabs>
        <w:spacing w:before="0" w:after="0" w:line="278" w:lineRule="auto"/>
        <w:ind w:left="3205" w:right="249" w:firstLine="0"/>
        <w:jc w:val="left"/>
        <w:rPr>
          <w:sz w:val="21"/>
        </w:rPr>
      </w:pPr>
      <w:r>
        <w:rPr>
          <w:color w:val="000000"/>
          <w:spacing w:val="-2"/>
          <w:w w:val="95"/>
          <w:sz w:val="21"/>
          <w:shd w:val="clear" w:color="auto" w:fill="E4E4E4"/>
        </w:rPr>
        <w:t>原位癌，癌前病变，非浸润性癌，非侵袭性癌，肿瘤细胞未侵犯基底层，</w:t>
      </w:r>
      <w:r>
        <w:rPr>
          <w:color w:val="000000"/>
          <w:spacing w:val="80"/>
          <w:w w:val="150"/>
          <w:sz w:val="21"/>
          <w:shd w:val="clear" w:color="auto" w:fill="E4E4E4"/>
        </w:rPr>
        <w:t xml:space="preserve">                                      </w:t>
      </w:r>
      <w:r>
        <w:rPr>
          <w:color w:val="000000"/>
          <w:spacing w:val="-2"/>
          <w:sz w:val="21"/>
          <w:shd w:val="clear" w:color="auto" w:fill="E4E4E4"/>
        </w:rPr>
        <w:t>上皮内瘤变，细胞不典型性增生等；</w:t>
      </w:r>
    </w:p>
    <w:p>
      <w:pPr>
        <w:pStyle w:val="9"/>
        <w:numPr>
          <w:ilvl w:val="1"/>
          <w:numId w:val="15"/>
        </w:numPr>
        <w:tabs>
          <w:tab w:val="left" w:pos="3417"/>
        </w:tabs>
        <w:spacing w:before="0" w:after="0" w:line="269" w:lineRule="exact"/>
        <w:ind w:left="3416" w:right="0" w:hanging="212"/>
        <w:jc w:val="left"/>
        <w:rPr>
          <w:sz w:val="21"/>
        </w:rPr>
      </w:pPr>
      <w:r>
        <w:rPr>
          <w:color w:val="000000"/>
          <w:spacing w:val="-1"/>
          <w:w w:val="95"/>
          <w:sz w:val="21"/>
          <w:shd w:val="clear" w:color="auto" w:fill="E4E4E4"/>
        </w:rPr>
        <w:t>交界性肿瘤，交界恶性肿瘤，肿瘤低度恶性潜能，潜在低度恶性肿瘤等；</w:t>
      </w:r>
    </w:p>
    <w:p>
      <w:pPr>
        <w:pStyle w:val="4"/>
        <w:spacing w:before="7"/>
        <w:rPr>
          <w:sz w:val="15"/>
        </w:rPr>
      </w:pPr>
    </w:p>
    <w:p>
      <w:pPr>
        <w:pStyle w:val="9"/>
        <w:numPr>
          <w:ilvl w:val="0"/>
          <w:numId w:val="15"/>
        </w:numPr>
        <w:tabs>
          <w:tab w:val="left" w:pos="3205"/>
          <w:tab w:val="left" w:pos="3206"/>
        </w:tabs>
        <w:spacing w:before="0" w:after="0" w:line="240" w:lineRule="auto"/>
        <w:ind w:left="3205" w:right="0" w:hanging="721"/>
        <w:jc w:val="left"/>
        <w:rPr>
          <w:sz w:val="21"/>
        </w:rPr>
      </w:pPr>
      <w:r>
        <w:rPr>
          <w:b/>
          <w:color w:val="000000"/>
          <w:w w:val="95"/>
          <w:sz w:val="21"/>
          <w:shd w:val="clear" w:color="auto" w:fill="E4E4E4"/>
        </w:rPr>
        <w:t>TNM</w:t>
      </w:r>
      <w:r>
        <w:rPr>
          <w:b/>
          <w:color w:val="000000"/>
          <w:spacing w:val="46"/>
          <w:w w:val="150"/>
          <w:sz w:val="21"/>
          <w:shd w:val="clear" w:color="auto" w:fill="E4E4E4"/>
        </w:rPr>
        <w:t xml:space="preserve"> </w:t>
      </w:r>
      <w:r>
        <w:rPr>
          <w:b/>
          <w:color w:val="000000"/>
          <w:w w:val="95"/>
          <w:sz w:val="21"/>
          <w:shd w:val="clear" w:color="auto" w:fill="E4E4E4"/>
        </w:rPr>
        <w:t>分期</w:t>
      </w:r>
      <w:r>
        <w:fldChar w:fldCharType="begin"/>
      </w:r>
      <w:r>
        <w:instrText xml:space="preserve"> HYPERLINK \l "_bookmark38" </w:instrText>
      </w:r>
      <w:r>
        <w:fldChar w:fldCharType="separate"/>
      </w:r>
      <w:r>
        <w:rPr>
          <w:b/>
          <w:color w:val="000000"/>
          <w:w w:val="95"/>
          <w:position w:val="11"/>
          <w:sz w:val="10"/>
        </w:rPr>
        <w:t>41</w:t>
      </w:r>
      <w:r>
        <w:rPr>
          <w:b/>
          <w:color w:val="000000"/>
          <w:w w:val="95"/>
          <w:position w:val="11"/>
          <w:sz w:val="10"/>
        </w:rPr>
        <w:fldChar w:fldCharType="end"/>
      </w:r>
      <w:r>
        <w:rPr>
          <w:color w:val="000000"/>
          <w:spacing w:val="-1"/>
          <w:w w:val="95"/>
          <w:sz w:val="21"/>
          <w:shd w:val="clear" w:color="auto" w:fill="E4E4E4"/>
        </w:rPr>
        <w:t>为Ⅰ期或更轻分期的甲状腺癌；</w:t>
      </w:r>
    </w:p>
    <w:p>
      <w:pPr>
        <w:pStyle w:val="4"/>
        <w:spacing w:before="6"/>
        <w:rPr>
          <w:sz w:val="15"/>
        </w:rPr>
      </w:pPr>
    </w:p>
    <w:p>
      <w:pPr>
        <w:pStyle w:val="9"/>
        <w:numPr>
          <w:ilvl w:val="0"/>
          <w:numId w:val="15"/>
        </w:numPr>
        <w:tabs>
          <w:tab w:val="left" w:pos="3205"/>
          <w:tab w:val="left" w:pos="3206"/>
        </w:tabs>
        <w:spacing w:before="0" w:after="0" w:line="240" w:lineRule="auto"/>
        <w:ind w:left="3205" w:right="0" w:hanging="721"/>
        <w:jc w:val="left"/>
        <w:rPr>
          <w:sz w:val="21"/>
        </w:rPr>
      </w:pPr>
      <w:r>
        <w:rPr>
          <w:color w:val="000000"/>
          <w:w w:val="95"/>
          <w:sz w:val="21"/>
          <w:shd w:val="clear" w:color="auto" w:fill="E4E4E4"/>
        </w:rPr>
        <w:t>TNM</w:t>
      </w:r>
      <w:r>
        <w:rPr>
          <w:color w:val="000000"/>
          <w:spacing w:val="-1"/>
          <w:sz w:val="21"/>
          <w:shd w:val="clear" w:color="auto" w:fill="E4E4E4"/>
        </w:rPr>
        <w:t xml:space="preserve"> </w:t>
      </w:r>
      <w:r>
        <w:rPr>
          <w:color w:val="000000"/>
          <w:w w:val="95"/>
          <w:sz w:val="21"/>
          <w:shd w:val="clear" w:color="auto" w:fill="E4E4E4"/>
        </w:rPr>
        <w:t>分期为</w:t>
      </w:r>
      <w:r>
        <w:rPr>
          <w:color w:val="000000"/>
          <w:spacing w:val="8"/>
          <w:sz w:val="21"/>
          <w:shd w:val="clear" w:color="auto" w:fill="E4E4E4"/>
        </w:rPr>
        <w:t xml:space="preserve"> </w:t>
      </w:r>
      <w:r>
        <w:rPr>
          <w:color w:val="000000"/>
          <w:w w:val="95"/>
          <w:sz w:val="21"/>
          <w:shd w:val="clear" w:color="auto" w:fill="E4E4E4"/>
        </w:rPr>
        <w:t>T1N0M0</w:t>
      </w:r>
      <w:r>
        <w:rPr>
          <w:color w:val="000000"/>
          <w:spacing w:val="-1"/>
          <w:sz w:val="21"/>
          <w:shd w:val="clear" w:color="auto" w:fill="E4E4E4"/>
        </w:rPr>
        <w:t xml:space="preserve"> </w:t>
      </w:r>
      <w:r>
        <w:rPr>
          <w:color w:val="000000"/>
          <w:spacing w:val="-1"/>
          <w:w w:val="95"/>
          <w:sz w:val="21"/>
          <w:shd w:val="clear" w:color="auto" w:fill="E4E4E4"/>
        </w:rPr>
        <w:t>期或更轻分期的前列腺癌；</w:t>
      </w:r>
    </w:p>
    <w:p>
      <w:pPr>
        <w:pStyle w:val="4"/>
        <w:spacing w:before="7"/>
        <w:rPr>
          <w:sz w:val="15"/>
        </w:rPr>
      </w:pPr>
    </w:p>
    <w:p>
      <w:pPr>
        <w:pStyle w:val="9"/>
        <w:numPr>
          <w:ilvl w:val="0"/>
          <w:numId w:val="15"/>
        </w:numPr>
        <w:tabs>
          <w:tab w:val="left" w:pos="3205"/>
          <w:tab w:val="left" w:pos="3206"/>
        </w:tabs>
        <w:spacing w:before="0" w:after="0" w:line="240" w:lineRule="auto"/>
        <w:ind w:left="3205" w:right="0" w:hanging="721"/>
        <w:jc w:val="left"/>
        <w:rPr>
          <w:sz w:val="21"/>
        </w:rPr>
      </w:pPr>
      <w:r>
        <w:rPr>
          <w:color w:val="000000"/>
          <w:spacing w:val="-1"/>
          <w:w w:val="95"/>
          <w:sz w:val="21"/>
          <w:shd w:val="clear" w:color="auto" w:fill="E4E4E4"/>
        </w:rPr>
        <w:t>黑色素瘤以外的未发生淋巴结和远处转移的皮肤恶性肿瘤；</w:t>
      </w:r>
    </w:p>
    <w:p>
      <w:pPr>
        <w:pStyle w:val="4"/>
        <w:spacing w:before="7"/>
        <w:rPr>
          <w:sz w:val="15"/>
        </w:rPr>
      </w:pPr>
    </w:p>
    <w:p>
      <w:pPr>
        <w:pStyle w:val="9"/>
        <w:numPr>
          <w:ilvl w:val="0"/>
          <w:numId w:val="15"/>
        </w:numPr>
        <w:tabs>
          <w:tab w:val="left" w:pos="3205"/>
          <w:tab w:val="left" w:pos="3206"/>
        </w:tabs>
        <w:spacing w:before="0" w:after="0" w:line="240" w:lineRule="auto"/>
        <w:ind w:left="3205" w:right="0" w:hanging="721"/>
        <w:jc w:val="left"/>
        <w:rPr>
          <w:sz w:val="21"/>
        </w:rPr>
      </w:pPr>
      <w:r>
        <w:rPr>
          <w:color w:val="000000"/>
          <w:w w:val="95"/>
          <w:sz w:val="21"/>
          <w:shd w:val="clear" w:color="auto" w:fill="E4E4E4"/>
        </w:rPr>
        <w:t>相当于</w:t>
      </w:r>
      <w:r>
        <w:rPr>
          <w:color w:val="000000"/>
          <w:spacing w:val="-5"/>
          <w:sz w:val="21"/>
          <w:shd w:val="clear" w:color="auto" w:fill="E4E4E4"/>
        </w:rPr>
        <w:t xml:space="preserve"> </w:t>
      </w:r>
      <w:r>
        <w:rPr>
          <w:color w:val="000000"/>
          <w:w w:val="95"/>
          <w:sz w:val="21"/>
          <w:shd w:val="clear" w:color="auto" w:fill="E4E4E4"/>
        </w:rPr>
        <w:t>Binet</w:t>
      </w:r>
      <w:r>
        <w:rPr>
          <w:color w:val="000000"/>
          <w:spacing w:val="-2"/>
          <w:sz w:val="21"/>
          <w:shd w:val="clear" w:color="auto" w:fill="E4E4E4"/>
        </w:rPr>
        <w:t xml:space="preserve"> </w:t>
      </w:r>
      <w:r>
        <w:rPr>
          <w:color w:val="000000"/>
          <w:w w:val="95"/>
          <w:sz w:val="21"/>
          <w:shd w:val="clear" w:color="auto" w:fill="E4E4E4"/>
        </w:rPr>
        <w:t>分期方案</w:t>
      </w:r>
      <w:r>
        <w:rPr>
          <w:color w:val="000000"/>
          <w:spacing w:val="2"/>
          <w:sz w:val="21"/>
          <w:shd w:val="clear" w:color="auto" w:fill="E4E4E4"/>
        </w:rPr>
        <w:t xml:space="preserve"> </w:t>
      </w:r>
      <w:r>
        <w:rPr>
          <w:color w:val="000000"/>
          <w:w w:val="95"/>
          <w:sz w:val="21"/>
          <w:shd w:val="clear" w:color="auto" w:fill="E4E4E4"/>
        </w:rPr>
        <w:t>A</w:t>
      </w:r>
      <w:r>
        <w:rPr>
          <w:color w:val="000000"/>
          <w:spacing w:val="-2"/>
          <w:sz w:val="21"/>
          <w:shd w:val="clear" w:color="auto" w:fill="E4E4E4"/>
        </w:rPr>
        <w:t xml:space="preserve"> </w:t>
      </w:r>
      <w:r>
        <w:rPr>
          <w:color w:val="000000"/>
          <w:spacing w:val="-1"/>
          <w:w w:val="95"/>
          <w:sz w:val="21"/>
          <w:shd w:val="clear" w:color="auto" w:fill="E4E4E4"/>
        </w:rPr>
        <w:t>期程度的慢性淋巴细胞白血病；</w:t>
      </w:r>
    </w:p>
    <w:p>
      <w:pPr>
        <w:pStyle w:val="4"/>
        <w:spacing w:before="7"/>
        <w:rPr>
          <w:sz w:val="15"/>
        </w:rPr>
      </w:pPr>
    </w:p>
    <w:p>
      <w:pPr>
        <w:pStyle w:val="9"/>
        <w:numPr>
          <w:ilvl w:val="0"/>
          <w:numId w:val="15"/>
        </w:numPr>
        <w:tabs>
          <w:tab w:val="left" w:pos="3205"/>
          <w:tab w:val="left" w:pos="3206"/>
        </w:tabs>
        <w:spacing w:before="0" w:after="0" w:line="240" w:lineRule="auto"/>
        <w:ind w:left="3205" w:right="0" w:hanging="721"/>
        <w:jc w:val="left"/>
        <w:rPr>
          <w:sz w:val="21"/>
        </w:rPr>
      </w:pPr>
      <w:r>
        <w:rPr>
          <w:color w:val="000000"/>
          <w:spacing w:val="-1"/>
          <w:w w:val="95"/>
          <w:sz w:val="21"/>
          <w:shd w:val="clear" w:color="auto" w:fill="E4E4E4"/>
        </w:rPr>
        <w:t xml:space="preserve">相当于 </w:t>
      </w:r>
      <w:r>
        <w:rPr>
          <w:color w:val="000000"/>
          <w:w w:val="95"/>
          <w:sz w:val="21"/>
          <w:shd w:val="clear" w:color="auto" w:fill="E4E4E4"/>
        </w:rPr>
        <w:t>Ann</w:t>
      </w:r>
      <w:r>
        <w:rPr>
          <w:color w:val="000000"/>
          <w:spacing w:val="40"/>
          <w:w w:val="150"/>
          <w:sz w:val="21"/>
          <w:shd w:val="clear" w:color="auto" w:fill="E4E4E4"/>
        </w:rPr>
        <w:t xml:space="preserve"> </w:t>
      </w:r>
      <w:r>
        <w:rPr>
          <w:color w:val="000000"/>
          <w:w w:val="95"/>
          <w:sz w:val="21"/>
          <w:shd w:val="clear" w:color="auto" w:fill="E4E4E4"/>
        </w:rPr>
        <w:t>Arbor</w:t>
      </w:r>
      <w:r>
        <w:rPr>
          <w:color w:val="000000"/>
          <w:spacing w:val="-4"/>
          <w:sz w:val="21"/>
          <w:shd w:val="clear" w:color="auto" w:fill="E4E4E4"/>
        </w:rPr>
        <w:t xml:space="preserve"> </w:t>
      </w:r>
      <w:r>
        <w:rPr>
          <w:color w:val="000000"/>
          <w:spacing w:val="-1"/>
          <w:w w:val="95"/>
          <w:sz w:val="21"/>
          <w:shd w:val="clear" w:color="auto" w:fill="E4E4E4"/>
        </w:rPr>
        <w:t>分期方案Ⅰ期程度的何杰金氏病；</w:t>
      </w:r>
    </w:p>
    <w:p>
      <w:pPr>
        <w:pStyle w:val="4"/>
        <w:spacing w:before="6"/>
        <w:rPr>
          <w:sz w:val="15"/>
        </w:rPr>
      </w:pPr>
    </w:p>
    <w:p>
      <w:pPr>
        <w:pStyle w:val="9"/>
        <w:numPr>
          <w:ilvl w:val="0"/>
          <w:numId w:val="15"/>
        </w:numPr>
        <w:tabs>
          <w:tab w:val="left" w:pos="3205"/>
          <w:tab w:val="left" w:pos="3206"/>
        </w:tabs>
        <w:spacing w:before="0" w:after="0" w:line="278" w:lineRule="auto"/>
        <w:ind w:left="3205" w:right="347" w:hanging="720"/>
        <w:jc w:val="left"/>
        <w:rPr>
          <w:sz w:val="21"/>
        </w:rPr>
      </w:pPr>
      <w:r>
        <w:rPr>
          <w:color w:val="000000"/>
          <w:spacing w:val="-4"/>
          <w:sz w:val="21"/>
          <w:shd w:val="clear" w:color="auto" w:fill="E4E4E4"/>
        </w:rPr>
        <w:t xml:space="preserve">未发生淋巴结和远处转移且 </w:t>
      </w:r>
      <w:r>
        <w:rPr>
          <w:color w:val="000000"/>
          <w:sz w:val="21"/>
          <w:shd w:val="clear" w:color="auto" w:fill="E4E4E4"/>
        </w:rPr>
        <w:t>WHO</w:t>
      </w:r>
      <w:r>
        <w:rPr>
          <w:color w:val="000000"/>
          <w:spacing w:val="-20"/>
          <w:sz w:val="21"/>
          <w:shd w:val="clear" w:color="auto" w:fill="E4E4E4"/>
        </w:rPr>
        <w:t xml:space="preserve"> 分级为 </w:t>
      </w:r>
      <w:r>
        <w:rPr>
          <w:color w:val="000000"/>
          <w:sz w:val="21"/>
          <w:shd w:val="clear" w:color="auto" w:fill="E4E4E4"/>
        </w:rPr>
        <w:t>G1</w:t>
      </w:r>
      <w:r>
        <w:rPr>
          <w:color w:val="000000"/>
          <w:spacing w:val="-17"/>
          <w:sz w:val="21"/>
          <w:shd w:val="clear" w:color="auto" w:fill="E4E4E4"/>
        </w:rPr>
        <w:t xml:space="preserve"> 级别</w:t>
      </w:r>
      <w:r>
        <w:rPr>
          <w:color w:val="000000"/>
          <w:sz w:val="21"/>
          <w:shd w:val="clear" w:color="auto" w:fill="E4E4E4"/>
        </w:rPr>
        <w:t>（核分裂像＜10/50 HPF</w:t>
      </w:r>
      <w:r>
        <w:rPr>
          <w:color w:val="000000"/>
          <w:spacing w:val="-25"/>
          <w:sz w:val="21"/>
          <w:shd w:val="clear" w:color="auto" w:fill="E4E4E4"/>
        </w:rPr>
        <w:t xml:space="preserve"> 和</w:t>
      </w:r>
      <w:r>
        <w:rPr>
          <w:color w:val="000000"/>
          <w:sz w:val="21"/>
        </w:rPr>
        <w:t xml:space="preserve"> </w:t>
      </w:r>
      <w:r>
        <w:rPr>
          <w:color w:val="000000"/>
          <w:spacing w:val="-2"/>
          <w:sz w:val="21"/>
          <w:shd w:val="clear" w:color="auto" w:fill="E4E4E4"/>
        </w:rPr>
        <w:t>ki-67≤2%）或更轻分级的神经内分泌肿瘤。</w:t>
      </w:r>
    </w:p>
    <w:p>
      <w:pPr>
        <w:pStyle w:val="3"/>
        <w:numPr>
          <w:ilvl w:val="0"/>
          <w:numId w:val="14"/>
        </w:numPr>
        <w:tabs>
          <w:tab w:val="left" w:pos="3117"/>
        </w:tabs>
        <w:spacing w:before="156" w:after="0" w:line="240" w:lineRule="auto"/>
        <w:ind w:left="3116" w:right="0" w:hanging="632"/>
        <w:jc w:val="left"/>
      </w:pPr>
      <w:r>
        <w:rPr>
          <w:spacing w:val="-2"/>
          <w:w w:val="95"/>
        </w:rPr>
        <w:t>较重急性心肌梗死:</w:t>
      </w:r>
    </w:p>
    <w:p>
      <w:pPr>
        <w:pStyle w:val="4"/>
        <w:spacing w:before="7"/>
        <w:rPr>
          <w:b/>
          <w:sz w:val="15"/>
        </w:rPr>
      </w:pPr>
    </w:p>
    <w:p>
      <w:pPr>
        <w:pStyle w:val="4"/>
        <w:spacing w:line="278" w:lineRule="auto"/>
        <w:ind w:left="2485" w:right="350"/>
      </w:pPr>
      <w:r>
        <w:rPr>
          <w:spacing w:val="4"/>
          <w:w w:val="99"/>
        </w:rPr>
        <w:t>急性心肌梗死指由于冠状动脉闭塞或梗阻引起部分心肌严重的持久性缺血造成急</w:t>
      </w:r>
      <w:r>
        <w:rPr>
          <w:spacing w:val="-1"/>
          <w:w w:val="99"/>
        </w:rPr>
        <w:t>性心肌坏死。急性心肌梗死的诊断必须依据国际国内诊断标准，符合</w:t>
      </w:r>
    </w:p>
    <w:p>
      <w:pPr>
        <w:pStyle w:val="9"/>
        <w:numPr>
          <w:ilvl w:val="0"/>
          <w:numId w:val="16"/>
        </w:numPr>
        <w:tabs>
          <w:tab w:val="left" w:pos="3205"/>
          <w:tab w:val="left" w:pos="3206"/>
        </w:tabs>
        <w:spacing w:before="156" w:after="0" w:line="278" w:lineRule="auto"/>
        <w:ind w:left="3205" w:right="350" w:hanging="720"/>
        <w:jc w:val="left"/>
        <w:rPr>
          <w:sz w:val="21"/>
        </w:rPr>
      </w:pPr>
      <w:r>
        <w:rPr>
          <w:spacing w:val="-1"/>
          <w:w w:val="99"/>
          <w:sz w:val="21"/>
        </w:rPr>
        <w:t>检测到肌酸激酶同工酶（</w:t>
      </w:r>
      <w:r>
        <w:rPr>
          <w:spacing w:val="1"/>
          <w:w w:val="99"/>
          <w:sz w:val="21"/>
        </w:rPr>
        <w:t>CK-</w:t>
      </w:r>
      <w:r>
        <w:rPr>
          <w:spacing w:val="-2"/>
          <w:w w:val="99"/>
          <w:sz w:val="21"/>
        </w:rPr>
        <w:t>M</w:t>
      </w:r>
      <w:r>
        <w:rPr>
          <w:spacing w:val="1"/>
          <w:w w:val="99"/>
          <w:sz w:val="21"/>
        </w:rPr>
        <w:t>B</w:t>
      </w:r>
      <w:r>
        <w:rPr>
          <w:spacing w:val="2"/>
          <w:w w:val="99"/>
          <w:sz w:val="21"/>
        </w:rPr>
        <w:t>）</w:t>
      </w:r>
      <w:r>
        <w:rPr>
          <w:spacing w:val="-1"/>
          <w:w w:val="99"/>
          <w:sz w:val="21"/>
        </w:rPr>
        <w:t>或肌钙蛋白</w:t>
      </w:r>
      <w:r>
        <w:rPr>
          <w:spacing w:val="2"/>
          <w:w w:val="99"/>
          <w:sz w:val="21"/>
        </w:rPr>
        <w:t>（</w:t>
      </w:r>
      <w:r>
        <w:rPr>
          <w:spacing w:val="1"/>
          <w:w w:val="99"/>
          <w:sz w:val="21"/>
        </w:rPr>
        <w:t>cT</w:t>
      </w:r>
      <w:r>
        <w:rPr>
          <w:spacing w:val="-2"/>
          <w:w w:val="99"/>
          <w:sz w:val="21"/>
        </w:rPr>
        <w:t>n</w:t>
      </w:r>
      <w:r>
        <w:rPr>
          <w:spacing w:val="2"/>
          <w:w w:val="99"/>
          <w:sz w:val="21"/>
        </w:rPr>
        <w:t>）</w:t>
      </w:r>
      <w:r>
        <w:rPr>
          <w:spacing w:val="-1"/>
          <w:w w:val="99"/>
          <w:sz w:val="21"/>
        </w:rPr>
        <w:t>升高和/或降低的动态变化，至少一次达到或超过心肌梗死的临床诊断标准；</w:t>
      </w:r>
    </w:p>
    <w:p>
      <w:pPr>
        <w:pStyle w:val="9"/>
        <w:numPr>
          <w:ilvl w:val="0"/>
          <w:numId w:val="16"/>
        </w:numPr>
        <w:tabs>
          <w:tab w:val="left" w:pos="3205"/>
          <w:tab w:val="left" w:pos="3206"/>
        </w:tabs>
        <w:spacing w:before="156" w:after="0" w:line="278" w:lineRule="auto"/>
        <w:ind w:left="3205" w:right="347" w:hanging="720"/>
        <w:jc w:val="left"/>
        <w:rPr>
          <w:sz w:val="21"/>
        </w:rPr>
      </w:pPr>
      <w:r>
        <w:rPr>
          <w:spacing w:val="-8"/>
          <w:w w:val="99"/>
          <w:sz w:val="21"/>
        </w:rPr>
        <w:t>同时存在下列之一的证据，包括：缺血性胸痛症状、新发生的缺血性心电图</w:t>
      </w:r>
      <w:r>
        <w:rPr>
          <w:spacing w:val="-7"/>
          <w:w w:val="99"/>
          <w:sz w:val="21"/>
        </w:rPr>
        <w:t>改变、新生成的病理性</w:t>
      </w:r>
      <w:r>
        <w:rPr>
          <w:spacing w:val="-50"/>
          <w:sz w:val="21"/>
        </w:rPr>
        <w:t xml:space="preserve"> </w:t>
      </w:r>
      <w:r>
        <w:rPr>
          <w:w w:val="99"/>
          <w:sz w:val="21"/>
        </w:rPr>
        <w:t>Q</w:t>
      </w:r>
      <w:r>
        <w:rPr>
          <w:spacing w:val="-52"/>
          <w:sz w:val="21"/>
        </w:rPr>
        <w:t xml:space="preserve"> </w:t>
      </w:r>
      <w:r>
        <w:rPr>
          <w:spacing w:val="-7"/>
          <w:w w:val="99"/>
          <w:sz w:val="21"/>
        </w:rPr>
        <w:t>波、影像学证据显示有新出现的心肌活性丧失或新</w:t>
      </w:r>
    </w:p>
    <w:p>
      <w:pPr>
        <w:pStyle w:val="4"/>
        <w:spacing w:before="11"/>
        <w:rPr>
          <w:sz w:val="15"/>
        </w:rPr>
      </w:pPr>
    </w:p>
    <w:p>
      <w:pPr>
        <w:spacing w:before="90"/>
        <w:ind w:left="220" w:right="0" w:firstLine="0"/>
        <w:jc w:val="left"/>
        <w:rPr>
          <w:rFonts w:ascii="楷体" w:eastAsia="楷体"/>
          <w:sz w:val="18"/>
        </w:rPr>
      </w:pPr>
      <w:r>
        <w:rPr>
          <w:w w:val="95"/>
          <w:position w:val="9"/>
          <w:sz w:val="9"/>
        </w:rPr>
        <w:t>3</w:t>
      </w:r>
      <w:bookmarkStart w:id="36" w:name="_bookmark36"/>
      <w:bookmarkEnd w:id="36"/>
      <w:r>
        <w:rPr>
          <w:w w:val="95"/>
          <w:position w:val="9"/>
          <w:sz w:val="9"/>
        </w:rPr>
        <w:t>9</w:t>
      </w:r>
      <w:r>
        <w:rPr>
          <w:rFonts w:hint="eastAsia" w:ascii="楷体" w:eastAsia="楷体"/>
          <w:b/>
          <w:w w:val="95"/>
          <w:sz w:val="18"/>
        </w:rPr>
        <w:t>组织病理学检查</w:t>
      </w:r>
      <w:r>
        <w:rPr>
          <w:rFonts w:ascii="楷体" w:eastAsia="楷体"/>
          <w:w w:val="95"/>
          <w:sz w:val="18"/>
        </w:rPr>
        <w:t>：组织病理学检查是通过局部切除、钳取、穿刺等手术方法，从患者机体采取病变组织块，经过包埋、切</w:t>
      </w:r>
      <w:r>
        <w:rPr>
          <w:rFonts w:ascii="楷体" w:eastAsia="楷体"/>
          <w:spacing w:val="-10"/>
          <w:w w:val="95"/>
          <w:sz w:val="18"/>
        </w:rPr>
        <w:t>片</w:t>
      </w:r>
    </w:p>
    <w:p>
      <w:pPr>
        <w:spacing w:before="2"/>
        <w:ind w:left="220" w:right="0" w:firstLine="0"/>
        <w:jc w:val="left"/>
        <w:rPr>
          <w:rFonts w:ascii="楷体" w:eastAsia="楷体"/>
          <w:sz w:val="18"/>
        </w:rPr>
      </w:pPr>
      <w:r>
        <w:rPr>
          <w:rFonts w:ascii="楷体" w:eastAsia="楷体"/>
          <w:spacing w:val="-1"/>
          <w:sz w:val="18"/>
        </w:rPr>
        <w:t>后，进行病理检查的方法。</w:t>
      </w:r>
    </w:p>
    <w:p>
      <w:pPr>
        <w:spacing w:before="3"/>
        <w:ind w:left="220" w:right="0" w:firstLine="0"/>
        <w:jc w:val="left"/>
        <w:rPr>
          <w:rFonts w:ascii="楷体" w:eastAsia="楷体"/>
          <w:sz w:val="18"/>
        </w:rPr>
      </w:pPr>
      <w:r>
        <w:rPr>
          <w:rFonts w:ascii="楷体" w:eastAsia="楷体"/>
          <w:w w:val="95"/>
          <w:position w:val="9"/>
          <w:sz w:val="9"/>
        </w:rPr>
        <w:t>4</w:t>
      </w:r>
      <w:bookmarkStart w:id="37" w:name="_bookmark37"/>
      <w:bookmarkEnd w:id="37"/>
      <w:r>
        <w:rPr>
          <w:rFonts w:ascii="楷体" w:eastAsia="楷体"/>
          <w:w w:val="95"/>
          <w:position w:val="9"/>
          <w:sz w:val="9"/>
        </w:rPr>
        <w:t>0</w:t>
      </w:r>
      <w:r>
        <w:rPr>
          <w:rFonts w:hint="eastAsia" w:ascii="楷体" w:eastAsia="楷体"/>
          <w:b/>
          <w:w w:val="95"/>
          <w:sz w:val="18"/>
        </w:rPr>
        <w:t>ICD-10</w:t>
      </w:r>
      <w:r>
        <w:rPr>
          <w:rFonts w:ascii="楷体" w:eastAsia="楷体"/>
          <w:w w:val="95"/>
          <w:sz w:val="18"/>
        </w:rPr>
        <w:t>:《疾病和有关健康问题的国际统计分类》第十次修订版（ICD-10）,是世界卫生组织（WHO）发布的国际通用的疾</w:t>
      </w:r>
      <w:r>
        <w:rPr>
          <w:rFonts w:ascii="楷体" w:eastAsia="楷体"/>
          <w:spacing w:val="-10"/>
          <w:w w:val="95"/>
          <w:sz w:val="18"/>
        </w:rPr>
        <w:t>病</w:t>
      </w:r>
    </w:p>
    <w:p>
      <w:pPr>
        <w:spacing w:before="2" w:line="242" w:lineRule="auto"/>
        <w:ind w:left="220" w:right="415" w:firstLine="0"/>
        <w:jc w:val="both"/>
        <w:rPr>
          <w:rFonts w:ascii="楷体" w:eastAsia="楷体"/>
          <w:sz w:val="18"/>
        </w:rPr>
      </w:pPr>
      <w:r>
        <w:rPr>
          <w:rFonts w:ascii="楷体" w:eastAsia="楷体"/>
          <w:spacing w:val="-11"/>
          <w:sz w:val="18"/>
        </w:rPr>
        <w:t>分类方法。《国际疾病分类肿瘤学专辑》第三版</w:t>
      </w:r>
      <w:r>
        <w:rPr>
          <w:rFonts w:ascii="楷体" w:eastAsia="楷体"/>
          <w:spacing w:val="-3"/>
          <w:sz w:val="18"/>
        </w:rPr>
        <w:t>（</w:t>
      </w:r>
      <w:r>
        <w:rPr>
          <w:rFonts w:ascii="楷体" w:eastAsia="楷体"/>
          <w:spacing w:val="1"/>
          <w:sz w:val="18"/>
        </w:rPr>
        <w:t>IC</w:t>
      </w:r>
      <w:r>
        <w:rPr>
          <w:rFonts w:ascii="楷体" w:eastAsia="楷体"/>
          <w:spacing w:val="-2"/>
          <w:sz w:val="18"/>
        </w:rPr>
        <w:t>D</w:t>
      </w:r>
      <w:r>
        <w:rPr>
          <w:rFonts w:ascii="楷体" w:eastAsia="楷体"/>
          <w:spacing w:val="1"/>
          <w:sz w:val="18"/>
        </w:rPr>
        <w:t>-</w:t>
      </w:r>
      <w:r>
        <w:rPr>
          <w:rFonts w:ascii="楷体" w:eastAsia="楷体"/>
          <w:spacing w:val="-2"/>
          <w:sz w:val="18"/>
        </w:rPr>
        <w:t>O</w:t>
      </w:r>
      <w:r>
        <w:rPr>
          <w:rFonts w:ascii="楷体" w:eastAsia="楷体"/>
          <w:spacing w:val="1"/>
          <w:sz w:val="18"/>
        </w:rPr>
        <w:t>-</w:t>
      </w:r>
      <w:r>
        <w:rPr>
          <w:rFonts w:ascii="楷体" w:eastAsia="楷体"/>
          <w:spacing w:val="-2"/>
          <w:sz w:val="18"/>
        </w:rPr>
        <w:t>3</w:t>
      </w:r>
      <w:r>
        <w:rPr>
          <w:rFonts w:ascii="楷体" w:eastAsia="楷体"/>
          <w:spacing w:val="-12"/>
          <w:sz w:val="18"/>
        </w:rPr>
        <w:t>）</w:t>
      </w:r>
      <w:r>
        <w:rPr>
          <w:rFonts w:ascii="楷体" w:eastAsia="楷体"/>
          <w:spacing w:val="-15"/>
          <w:sz w:val="18"/>
        </w:rPr>
        <w:t xml:space="preserve">,是 </w:t>
      </w:r>
      <w:r>
        <w:rPr>
          <w:rFonts w:ascii="楷体" w:eastAsia="楷体"/>
          <w:spacing w:val="-2"/>
          <w:sz w:val="18"/>
        </w:rPr>
        <w:t>W</w:t>
      </w:r>
      <w:r>
        <w:rPr>
          <w:rFonts w:ascii="楷体" w:eastAsia="楷体"/>
          <w:spacing w:val="1"/>
          <w:sz w:val="18"/>
        </w:rPr>
        <w:t>H</w:t>
      </w:r>
      <w:r>
        <w:rPr>
          <w:rFonts w:ascii="楷体" w:eastAsia="楷体"/>
          <w:sz w:val="18"/>
        </w:rPr>
        <w:t>O</w:t>
      </w:r>
      <w:r>
        <w:rPr>
          <w:rFonts w:ascii="楷体" w:eastAsia="楷体"/>
          <w:spacing w:val="-15"/>
          <w:sz w:val="18"/>
        </w:rPr>
        <w:t xml:space="preserve"> 发布的针对 </w:t>
      </w:r>
      <w:r>
        <w:rPr>
          <w:rFonts w:ascii="楷体" w:eastAsia="楷体"/>
          <w:spacing w:val="-2"/>
          <w:sz w:val="18"/>
        </w:rPr>
        <w:t>I</w:t>
      </w:r>
      <w:r>
        <w:rPr>
          <w:rFonts w:ascii="楷体" w:eastAsia="楷体"/>
          <w:spacing w:val="1"/>
          <w:sz w:val="18"/>
        </w:rPr>
        <w:t>C</w:t>
      </w:r>
      <w:r>
        <w:rPr>
          <w:rFonts w:ascii="楷体" w:eastAsia="楷体"/>
          <w:sz w:val="18"/>
        </w:rPr>
        <w:t>D</w:t>
      </w:r>
      <w:r>
        <w:rPr>
          <w:rFonts w:ascii="楷体" w:eastAsia="楷体"/>
          <w:spacing w:val="-9"/>
          <w:sz w:val="18"/>
        </w:rPr>
        <w:t xml:space="preserve"> 中肿瘤形态学组织学细胞分类、动态、分</w:t>
      </w:r>
      <w:r>
        <w:rPr>
          <w:rFonts w:ascii="楷体" w:eastAsia="楷体"/>
          <w:spacing w:val="-4"/>
          <w:sz w:val="18"/>
        </w:rPr>
        <w:t>化程度的补充编码。其中形态学编码</w:t>
      </w:r>
      <w:r>
        <w:rPr>
          <w:rFonts w:ascii="楷体" w:eastAsia="楷体"/>
          <w:sz w:val="18"/>
        </w:rPr>
        <w:t>：0</w:t>
      </w:r>
      <w:r>
        <w:rPr>
          <w:rFonts w:ascii="楷体" w:eastAsia="楷体"/>
          <w:spacing w:val="-7"/>
          <w:sz w:val="18"/>
        </w:rPr>
        <w:t xml:space="preserve"> 代表良性肿瘤</w:t>
      </w:r>
      <w:r>
        <w:rPr>
          <w:rFonts w:ascii="楷体" w:eastAsia="楷体"/>
          <w:sz w:val="18"/>
        </w:rPr>
        <w:t>；1</w:t>
      </w:r>
      <w:r>
        <w:rPr>
          <w:rFonts w:ascii="楷体" w:eastAsia="楷体"/>
          <w:spacing w:val="-6"/>
          <w:sz w:val="18"/>
        </w:rPr>
        <w:t xml:space="preserve"> 代表动态未定性肿瘤；</w:t>
      </w:r>
      <w:r>
        <w:rPr>
          <w:rFonts w:ascii="楷体" w:eastAsia="楷体"/>
          <w:sz w:val="18"/>
        </w:rPr>
        <w:t>2</w:t>
      </w:r>
      <w:r>
        <w:rPr>
          <w:rFonts w:ascii="楷体" w:eastAsia="楷体"/>
          <w:spacing w:val="-6"/>
          <w:sz w:val="18"/>
        </w:rPr>
        <w:t xml:space="preserve"> 代表原位癌和非侵袭性癌</w:t>
      </w:r>
      <w:r>
        <w:rPr>
          <w:rFonts w:ascii="楷体" w:eastAsia="楷体"/>
          <w:sz w:val="18"/>
        </w:rPr>
        <w:t>；3</w:t>
      </w:r>
      <w:r>
        <w:rPr>
          <w:rFonts w:ascii="楷体" w:eastAsia="楷体"/>
          <w:spacing w:val="-8"/>
          <w:sz w:val="18"/>
        </w:rPr>
        <w:t xml:space="preserve"> 代表恶性肿</w:t>
      </w:r>
      <w:r>
        <w:rPr>
          <w:rFonts w:ascii="楷体" w:eastAsia="楷体"/>
          <w:spacing w:val="-10"/>
          <w:sz w:val="18"/>
        </w:rPr>
        <w:t>瘤</w:t>
      </w:r>
      <w:r>
        <w:rPr>
          <w:rFonts w:ascii="楷体" w:eastAsia="楷体"/>
          <w:spacing w:val="-3"/>
          <w:sz w:val="18"/>
        </w:rPr>
        <w:t>（</w:t>
      </w:r>
      <w:r>
        <w:rPr>
          <w:rFonts w:ascii="楷体" w:eastAsia="楷体"/>
          <w:sz w:val="18"/>
        </w:rPr>
        <w:t>原发性</w:t>
      </w:r>
      <w:r>
        <w:rPr>
          <w:rFonts w:ascii="楷体" w:eastAsia="楷体"/>
          <w:spacing w:val="-89"/>
          <w:sz w:val="18"/>
        </w:rPr>
        <w:t>）</w:t>
      </w:r>
      <w:r>
        <w:rPr>
          <w:rFonts w:ascii="楷体" w:eastAsia="楷体"/>
          <w:spacing w:val="-12"/>
          <w:sz w:val="18"/>
        </w:rPr>
        <w:t>；</w:t>
      </w:r>
      <w:r>
        <w:rPr>
          <w:rFonts w:ascii="楷体" w:eastAsia="楷体"/>
          <w:sz w:val="18"/>
        </w:rPr>
        <w:t>6</w:t>
      </w:r>
      <w:r>
        <w:rPr>
          <w:rFonts w:ascii="楷体" w:eastAsia="楷体"/>
          <w:spacing w:val="-10"/>
          <w:sz w:val="18"/>
        </w:rPr>
        <w:t xml:space="preserve"> 代表恶性肿瘤</w:t>
      </w:r>
      <w:r>
        <w:rPr>
          <w:rFonts w:ascii="楷体" w:eastAsia="楷体"/>
          <w:spacing w:val="-3"/>
          <w:sz w:val="18"/>
        </w:rPr>
        <w:t>（</w:t>
      </w:r>
      <w:r>
        <w:rPr>
          <w:rFonts w:ascii="楷体" w:eastAsia="楷体"/>
          <w:sz w:val="18"/>
        </w:rPr>
        <w:t>转移性</w:t>
      </w:r>
      <w:r>
        <w:rPr>
          <w:rFonts w:ascii="楷体" w:eastAsia="楷体"/>
          <w:spacing w:val="-89"/>
          <w:sz w:val="18"/>
        </w:rPr>
        <w:t>）</w:t>
      </w:r>
      <w:r>
        <w:rPr>
          <w:rFonts w:ascii="楷体" w:eastAsia="楷体"/>
          <w:spacing w:val="-10"/>
          <w:sz w:val="18"/>
        </w:rPr>
        <w:t>；</w:t>
      </w:r>
      <w:r>
        <w:rPr>
          <w:rFonts w:ascii="楷体" w:eastAsia="楷体"/>
          <w:sz w:val="18"/>
        </w:rPr>
        <w:t>9</w:t>
      </w:r>
      <w:r>
        <w:rPr>
          <w:rFonts w:ascii="楷体" w:eastAsia="楷体"/>
          <w:spacing w:val="-10"/>
          <w:sz w:val="18"/>
        </w:rPr>
        <w:t xml:space="preserve"> 代表恶性肿瘤</w:t>
      </w:r>
      <w:r>
        <w:rPr>
          <w:rFonts w:ascii="楷体" w:eastAsia="楷体"/>
          <w:spacing w:val="-3"/>
          <w:sz w:val="18"/>
        </w:rPr>
        <w:t>（</w:t>
      </w:r>
      <w:r>
        <w:rPr>
          <w:rFonts w:ascii="楷体" w:eastAsia="楷体"/>
          <w:sz w:val="18"/>
        </w:rPr>
        <w:t>原发性或转移性未肯定</w:t>
      </w:r>
      <w:r>
        <w:rPr>
          <w:rFonts w:ascii="楷体" w:eastAsia="楷体"/>
          <w:spacing w:val="-92"/>
          <w:sz w:val="18"/>
        </w:rPr>
        <w:t>）</w:t>
      </w:r>
      <w:r>
        <w:rPr>
          <w:rFonts w:ascii="楷体" w:eastAsia="楷体"/>
          <w:spacing w:val="-11"/>
          <w:sz w:val="18"/>
        </w:rPr>
        <w:t xml:space="preserve">。如果出现 </w:t>
      </w:r>
      <w:r>
        <w:rPr>
          <w:rFonts w:ascii="楷体" w:eastAsia="楷体"/>
          <w:spacing w:val="1"/>
          <w:sz w:val="18"/>
        </w:rPr>
        <w:t>IC</w:t>
      </w:r>
      <w:r>
        <w:rPr>
          <w:rFonts w:ascii="楷体" w:eastAsia="楷体"/>
          <w:spacing w:val="-2"/>
          <w:sz w:val="18"/>
        </w:rPr>
        <w:t>D</w:t>
      </w:r>
      <w:r>
        <w:rPr>
          <w:rFonts w:ascii="楷体" w:eastAsia="楷体"/>
          <w:spacing w:val="1"/>
          <w:sz w:val="18"/>
        </w:rPr>
        <w:t>-</w:t>
      </w:r>
      <w:r>
        <w:rPr>
          <w:rFonts w:ascii="楷体" w:eastAsia="楷体"/>
          <w:spacing w:val="-2"/>
          <w:sz w:val="18"/>
        </w:rPr>
        <w:t>1</w:t>
      </w:r>
      <w:r>
        <w:rPr>
          <w:rFonts w:ascii="楷体" w:eastAsia="楷体"/>
          <w:sz w:val="18"/>
        </w:rPr>
        <w:t>0</w:t>
      </w:r>
      <w:r>
        <w:rPr>
          <w:rFonts w:ascii="楷体" w:eastAsia="楷体"/>
          <w:spacing w:val="-31"/>
          <w:sz w:val="18"/>
        </w:rPr>
        <w:t xml:space="preserve"> 与 </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0</w:t>
      </w:r>
      <w:r>
        <w:rPr>
          <w:rFonts w:ascii="楷体" w:eastAsia="楷体"/>
          <w:spacing w:val="1"/>
          <w:sz w:val="18"/>
        </w:rPr>
        <w:t>-</w:t>
      </w:r>
      <w:r>
        <w:rPr>
          <w:rFonts w:ascii="楷体" w:eastAsia="楷体"/>
          <w:sz w:val="18"/>
        </w:rPr>
        <w:t>3</w:t>
      </w:r>
      <w:r>
        <w:rPr>
          <w:rFonts w:ascii="楷体" w:eastAsia="楷体"/>
          <w:spacing w:val="-10"/>
          <w:sz w:val="18"/>
        </w:rPr>
        <w:t xml:space="preserve"> 不一致的</w:t>
      </w:r>
      <w:r>
        <w:rPr>
          <w:rFonts w:ascii="楷体" w:eastAsia="楷体"/>
          <w:spacing w:val="-17"/>
          <w:sz w:val="18"/>
        </w:rPr>
        <w:t xml:space="preserve">情况，以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0</w:t>
      </w:r>
      <w:r>
        <w:rPr>
          <w:rFonts w:ascii="楷体" w:eastAsia="楷体"/>
          <w:spacing w:val="-2"/>
          <w:sz w:val="18"/>
        </w:rPr>
        <w:t>-</w:t>
      </w:r>
      <w:r>
        <w:rPr>
          <w:rFonts w:ascii="楷体" w:eastAsia="楷体"/>
          <w:sz w:val="18"/>
        </w:rPr>
        <w:t>3</w:t>
      </w:r>
      <w:r>
        <w:rPr>
          <w:rFonts w:ascii="楷体" w:eastAsia="楷体"/>
          <w:spacing w:val="-12"/>
          <w:sz w:val="18"/>
        </w:rPr>
        <w:t xml:space="preserve"> 为准。</w:t>
      </w:r>
    </w:p>
    <w:p>
      <w:pPr>
        <w:spacing w:before="4" w:line="242" w:lineRule="auto"/>
        <w:ind w:left="220" w:right="415" w:firstLine="0"/>
        <w:jc w:val="both"/>
        <w:rPr>
          <w:rFonts w:ascii="楷体" w:eastAsia="楷体"/>
          <w:sz w:val="18"/>
        </w:rPr>
      </w:pPr>
      <w:r>
        <w:rPr>
          <w:rFonts w:ascii="楷体" w:eastAsia="楷体"/>
          <w:w w:val="95"/>
          <w:position w:val="9"/>
          <w:sz w:val="9"/>
        </w:rPr>
        <w:t>4</w:t>
      </w:r>
      <w:bookmarkStart w:id="38" w:name="_bookmark38"/>
      <w:bookmarkEnd w:id="38"/>
      <w:r>
        <w:rPr>
          <w:rFonts w:ascii="楷体" w:eastAsia="楷体"/>
          <w:w w:val="95"/>
          <w:position w:val="9"/>
          <w:sz w:val="9"/>
        </w:rPr>
        <w:t>1</w:t>
      </w:r>
      <w:r>
        <w:rPr>
          <w:rFonts w:hint="eastAsia" w:ascii="楷体" w:eastAsia="楷体"/>
          <w:b/>
          <w:w w:val="95"/>
          <w:sz w:val="18"/>
        </w:rPr>
        <w:t>TNM</w:t>
      </w:r>
      <w:r>
        <w:rPr>
          <w:rFonts w:hint="eastAsia" w:ascii="楷体" w:eastAsia="楷体"/>
          <w:b/>
          <w:sz w:val="18"/>
        </w:rPr>
        <w:t xml:space="preserve"> </w:t>
      </w:r>
      <w:r>
        <w:rPr>
          <w:rFonts w:hint="eastAsia" w:ascii="楷体" w:eastAsia="楷体"/>
          <w:b/>
          <w:w w:val="95"/>
          <w:sz w:val="18"/>
        </w:rPr>
        <w:t>分期</w:t>
      </w:r>
      <w:r>
        <w:rPr>
          <w:rFonts w:ascii="楷体" w:eastAsia="楷体"/>
          <w:w w:val="95"/>
          <w:sz w:val="18"/>
        </w:rPr>
        <w:t>：TNM 分期采用 AJCC</w:t>
      </w:r>
      <w:r>
        <w:rPr>
          <w:rFonts w:ascii="楷体" w:eastAsia="楷体"/>
          <w:sz w:val="18"/>
        </w:rPr>
        <w:t xml:space="preserve"> </w:t>
      </w:r>
      <w:r>
        <w:rPr>
          <w:rFonts w:ascii="楷体" w:eastAsia="楷体"/>
          <w:w w:val="95"/>
          <w:sz w:val="18"/>
        </w:rPr>
        <w:t>癌症分期手册标准。该标准由美国癌症联合委员会与国际抗癌联合会 TNM 委员会联合制定，是</w:t>
      </w:r>
      <w:r>
        <w:rPr>
          <w:rFonts w:ascii="楷体" w:eastAsia="楷体"/>
          <w:sz w:val="18"/>
        </w:rPr>
        <w:t>目前肿瘤医学分期的国际通用标准。T</w:t>
      </w:r>
      <w:r>
        <w:rPr>
          <w:rFonts w:ascii="楷体" w:eastAsia="楷体"/>
          <w:spacing w:val="-4"/>
          <w:sz w:val="18"/>
        </w:rPr>
        <w:t xml:space="preserve"> 指原发肿瘤大小、形态等</w:t>
      </w:r>
      <w:r>
        <w:rPr>
          <w:rFonts w:ascii="楷体" w:eastAsia="楷体"/>
          <w:sz w:val="18"/>
        </w:rPr>
        <w:t>；N</w:t>
      </w:r>
      <w:r>
        <w:rPr>
          <w:rFonts w:ascii="楷体" w:eastAsia="楷体"/>
          <w:spacing w:val="-4"/>
          <w:sz w:val="18"/>
        </w:rPr>
        <w:t xml:space="preserve"> 指淋巴结的转移情况</w:t>
      </w:r>
      <w:r>
        <w:rPr>
          <w:rFonts w:ascii="楷体" w:eastAsia="楷体"/>
          <w:sz w:val="18"/>
        </w:rPr>
        <w:t>；M</w:t>
      </w:r>
      <w:r>
        <w:rPr>
          <w:rFonts w:ascii="楷体" w:eastAsia="楷体"/>
          <w:spacing w:val="-3"/>
          <w:sz w:val="18"/>
        </w:rPr>
        <w:t xml:space="preserve"> 指有无其他脏器的转移情况。</w:t>
      </w:r>
    </w:p>
    <w:p>
      <w:pPr>
        <w:spacing w:after="0" w:line="242" w:lineRule="auto"/>
        <w:jc w:val="both"/>
        <w:rPr>
          <w:rFonts w:ascii="楷体" w:eastAsia="楷体"/>
          <w:sz w:val="18"/>
        </w:rPr>
        <w:sectPr>
          <w:pgSz w:w="11910" w:h="16840"/>
          <w:pgMar w:top="1540" w:right="660" w:bottom="860" w:left="860" w:header="0" w:footer="662" w:gutter="0"/>
          <w:cols w:space="720" w:num="1"/>
        </w:sectPr>
      </w:pPr>
    </w:p>
    <w:p>
      <w:pPr>
        <w:pStyle w:val="4"/>
        <w:spacing w:before="43"/>
        <w:ind w:left="3205"/>
      </w:pPr>
      <w:r>
        <w:rPr>
          <w:spacing w:val="-1"/>
          <w:w w:val="95"/>
        </w:rPr>
        <w:t>出现局部室壁运动异常、冠脉造影证实存在冠状动脉血栓。</w:t>
      </w:r>
    </w:p>
    <w:p>
      <w:pPr>
        <w:pStyle w:val="4"/>
        <w:spacing w:before="7"/>
        <w:rPr>
          <w:sz w:val="15"/>
        </w:rPr>
      </w:pPr>
    </w:p>
    <w:p>
      <w:pPr>
        <w:pStyle w:val="4"/>
        <w:spacing w:line="278" w:lineRule="auto"/>
        <w:ind w:left="2485" w:right="350"/>
      </w:pPr>
      <w:r>
        <w:rPr>
          <w:spacing w:val="-2"/>
          <w:w w:val="99"/>
        </w:rPr>
        <w:t>较重急性心肌梗死指依照上述标准被明确诊断为急性心肌梗死，并且必须同时满足</w:t>
      </w:r>
      <w:r>
        <w:rPr>
          <w:spacing w:val="-1"/>
          <w:w w:val="99"/>
        </w:rPr>
        <w:t>下列至少一项条件：</w:t>
      </w:r>
    </w:p>
    <w:p>
      <w:pPr>
        <w:pStyle w:val="9"/>
        <w:numPr>
          <w:ilvl w:val="0"/>
          <w:numId w:val="17"/>
        </w:numPr>
        <w:tabs>
          <w:tab w:val="left" w:pos="3205"/>
          <w:tab w:val="left" w:pos="3206"/>
        </w:tabs>
        <w:spacing w:before="156" w:after="0" w:line="278" w:lineRule="auto"/>
        <w:ind w:left="3205" w:right="350" w:hanging="720"/>
        <w:jc w:val="left"/>
        <w:rPr>
          <w:sz w:val="21"/>
        </w:rPr>
      </w:pPr>
      <w:r>
        <w:rPr>
          <w:spacing w:val="-1"/>
          <w:w w:val="99"/>
          <w:sz w:val="21"/>
        </w:rPr>
        <w:t>心肌损伤标志物肌钙蛋白</w:t>
      </w:r>
      <w:r>
        <w:rPr>
          <w:spacing w:val="2"/>
          <w:w w:val="99"/>
          <w:sz w:val="21"/>
        </w:rPr>
        <w:t>（</w:t>
      </w:r>
      <w:r>
        <w:rPr>
          <w:spacing w:val="1"/>
          <w:w w:val="99"/>
          <w:sz w:val="21"/>
        </w:rPr>
        <w:t>cT</w:t>
      </w:r>
      <w:r>
        <w:rPr>
          <w:spacing w:val="-2"/>
          <w:w w:val="99"/>
          <w:sz w:val="21"/>
        </w:rPr>
        <w:t>n</w:t>
      </w:r>
      <w:r>
        <w:rPr>
          <w:spacing w:val="2"/>
          <w:w w:val="99"/>
          <w:sz w:val="21"/>
        </w:rPr>
        <w:t>）</w:t>
      </w:r>
      <w:r>
        <w:rPr>
          <w:spacing w:val="-1"/>
          <w:w w:val="99"/>
          <w:sz w:val="21"/>
        </w:rPr>
        <w:t>升高，至少一次检测结果达到该检验正常参考值上限的</w:t>
      </w:r>
      <w:r>
        <w:rPr>
          <w:spacing w:val="-50"/>
          <w:sz w:val="21"/>
        </w:rPr>
        <w:t xml:space="preserve"> </w:t>
      </w:r>
      <w:r>
        <w:rPr>
          <w:spacing w:val="1"/>
          <w:w w:val="99"/>
          <w:sz w:val="21"/>
        </w:rPr>
        <w:t>1</w:t>
      </w:r>
      <w:r>
        <w:rPr>
          <w:w w:val="99"/>
          <w:sz w:val="21"/>
        </w:rPr>
        <w:t>5</w:t>
      </w:r>
      <w:r>
        <w:rPr>
          <w:spacing w:val="-54"/>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9"/>
        <w:numPr>
          <w:ilvl w:val="0"/>
          <w:numId w:val="17"/>
        </w:numPr>
        <w:tabs>
          <w:tab w:val="left" w:pos="3205"/>
          <w:tab w:val="left" w:pos="3206"/>
        </w:tabs>
        <w:spacing w:before="155" w:after="0" w:line="278" w:lineRule="auto"/>
        <w:ind w:left="3205" w:right="350" w:hanging="720"/>
        <w:jc w:val="left"/>
        <w:rPr>
          <w:sz w:val="21"/>
        </w:rPr>
      </w:pPr>
      <w:r>
        <w:rPr>
          <w:spacing w:val="-1"/>
          <w:w w:val="99"/>
          <w:sz w:val="21"/>
        </w:rPr>
        <w:t>肌酸激酶同工酶</w:t>
      </w:r>
      <w:r>
        <w:rPr>
          <w:spacing w:val="2"/>
          <w:w w:val="99"/>
          <w:sz w:val="21"/>
        </w:rPr>
        <w:t>（</w:t>
      </w:r>
      <w:r>
        <w:rPr>
          <w:spacing w:val="1"/>
          <w:w w:val="99"/>
          <w:sz w:val="21"/>
        </w:rPr>
        <w:t>CK</w:t>
      </w:r>
      <w:r>
        <w:rPr>
          <w:spacing w:val="-2"/>
          <w:w w:val="99"/>
          <w:sz w:val="21"/>
        </w:rPr>
        <w:t>-</w:t>
      </w:r>
      <w:r>
        <w:rPr>
          <w:spacing w:val="1"/>
          <w:w w:val="99"/>
          <w:sz w:val="21"/>
        </w:rPr>
        <w:t>M</w:t>
      </w:r>
      <w:r>
        <w:rPr>
          <w:spacing w:val="-2"/>
          <w:w w:val="99"/>
          <w:sz w:val="21"/>
        </w:rPr>
        <w:t>B</w:t>
      </w:r>
      <w:r>
        <w:rPr>
          <w:spacing w:val="2"/>
          <w:w w:val="99"/>
          <w:sz w:val="21"/>
        </w:rPr>
        <w:t>）</w:t>
      </w:r>
      <w:r>
        <w:rPr>
          <w:spacing w:val="-1"/>
          <w:w w:val="99"/>
          <w:sz w:val="21"/>
        </w:rPr>
        <w:t>升高，至少一次检测结果达到该检验正常参考上限的</w:t>
      </w:r>
      <w:r>
        <w:rPr>
          <w:spacing w:val="-50"/>
          <w:sz w:val="21"/>
        </w:rPr>
        <w:t xml:space="preserve"> </w:t>
      </w:r>
      <w:r>
        <w:rPr>
          <w:w w:val="99"/>
          <w:sz w:val="21"/>
        </w:rPr>
        <w:t>2</w:t>
      </w:r>
      <w:r>
        <w:rPr>
          <w:spacing w:val="-52"/>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9"/>
        <w:numPr>
          <w:ilvl w:val="0"/>
          <w:numId w:val="17"/>
        </w:numPr>
        <w:tabs>
          <w:tab w:val="left" w:pos="3205"/>
          <w:tab w:val="left" w:pos="3206"/>
        </w:tabs>
        <w:spacing w:before="156" w:after="0" w:line="278" w:lineRule="auto"/>
        <w:ind w:left="3205" w:right="347" w:hanging="720"/>
        <w:jc w:val="left"/>
        <w:rPr>
          <w:sz w:val="21"/>
        </w:rPr>
      </w:pPr>
      <w:r>
        <w:rPr>
          <w:spacing w:val="-1"/>
          <w:w w:val="95"/>
          <w:sz w:val="21"/>
        </w:rPr>
        <w:t xml:space="preserve">出现左心室收缩功能下降，在确诊 </w:t>
      </w:r>
      <w:r>
        <w:rPr>
          <w:w w:val="95"/>
          <w:sz w:val="21"/>
        </w:rPr>
        <w:t>6</w:t>
      </w:r>
      <w:r>
        <w:rPr>
          <w:spacing w:val="-4"/>
          <w:w w:val="95"/>
          <w:sz w:val="21"/>
        </w:rPr>
        <w:t xml:space="preserve"> 周以后，检测左室射血分数</w:t>
      </w:r>
      <w:r>
        <w:rPr>
          <w:w w:val="95"/>
          <w:sz w:val="21"/>
        </w:rPr>
        <w:t>（LVEF）低</w:t>
      </w:r>
      <w:r>
        <w:rPr>
          <w:sz w:val="21"/>
        </w:rPr>
        <w:t>于 50%（不含</w:t>
      </w:r>
      <w:r>
        <w:rPr>
          <w:spacing w:val="-104"/>
          <w:sz w:val="21"/>
        </w:rPr>
        <w:t>）</w:t>
      </w:r>
      <w:r>
        <w:rPr>
          <w:sz w:val="21"/>
        </w:rPr>
        <w:t>；</w:t>
      </w:r>
    </w:p>
    <w:p>
      <w:pPr>
        <w:pStyle w:val="9"/>
        <w:numPr>
          <w:ilvl w:val="0"/>
          <w:numId w:val="17"/>
        </w:numPr>
        <w:tabs>
          <w:tab w:val="left" w:pos="3205"/>
          <w:tab w:val="left" w:pos="3206"/>
        </w:tabs>
        <w:spacing w:before="156" w:after="0" w:line="278" w:lineRule="auto"/>
        <w:ind w:left="3205" w:right="350" w:hanging="720"/>
        <w:jc w:val="left"/>
        <w:rPr>
          <w:sz w:val="21"/>
        </w:rPr>
      </w:pPr>
      <w:r>
        <w:rPr>
          <w:spacing w:val="-3"/>
          <w:w w:val="99"/>
          <w:sz w:val="21"/>
        </w:rPr>
        <w:t>影像学检查证实存在新发的乳头肌功能失调或断裂引起的中度</w:t>
      </w:r>
      <w:r>
        <w:rPr>
          <w:spacing w:val="-1"/>
          <w:w w:val="99"/>
          <w:sz w:val="21"/>
        </w:rPr>
        <w:t>（</w:t>
      </w:r>
      <w:r>
        <w:rPr>
          <w:spacing w:val="2"/>
          <w:w w:val="99"/>
          <w:sz w:val="21"/>
        </w:rPr>
        <w:t>含</w:t>
      </w:r>
      <w:r>
        <w:rPr>
          <w:spacing w:val="-51"/>
          <w:w w:val="99"/>
          <w:sz w:val="21"/>
        </w:rPr>
        <w:t>）</w:t>
      </w:r>
      <w:r>
        <w:rPr>
          <w:w w:val="99"/>
          <w:sz w:val="21"/>
        </w:rPr>
        <w:t>以上的</w:t>
      </w:r>
      <w:r>
        <w:rPr>
          <w:spacing w:val="-1"/>
          <w:w w:val="99"/>
          <w:sz w:val="21"/>
        </w:rPr>
        <w:t>二尖瓣反流；</w:t>
      </w:r>
    </w:p>
    <w:p>
      <w:pPr>
        <w:pStyle w:val="9"/>
        <w:numPr>
          <w:ilvl w:val="0"/>
          <w:numId w:val="17"/>
        </w:numPr>
        <w:tabs>
          <w:tab w:val="left" w:pos="3205"/>
          <w:tab w:val="left" w:pos="3206"/>
        </w:tabs>
        <w:spacing w:before="156" w:after="0" w:line="240" w:lineRule="auto"/>
        <w:ind w:left="3205" w:right="0" w:hanging="721"/>
        <w:jc w:val="left"/>
        <w:rPr>
          <w:sz w:val="21"/>
        </w:rPr>
      </w:pPr>
      <w:r>
        <w:rPr>
          <w:spacing w:val="-1"/>
          <w:w w:val="95"/>
          <w:sz w:val="21"/>
        </w:rPr>
        <w:t>影像学检查证实存在新出现的室壁瘤；</w:t>
      </w:r>
    </w:p>
    <w:p>
      <w:pPr>
        <w:pStyle w:val="4"/>
        <w:spacing w:before="6"/>
        <w:rPr>
          <w:sz w:val="15"/>
        </w:rPr>
      </w:pPr>
    </w:p>
    <w:p>
      <w:pPr>
        <w:pStyle w:val="9"/>
        <w:numPr>
          <w:ilvl w:val="0"/>
          <w:numId w:val="17"/>
        </w:numPr>
        <w:tabs>
          <w:tab w:val="left" w:pos="3205"/>
          <w:tab w:val="left" w:pos="3206"/>
        </w:tabs>
        <w:spacing w:before="0" w:after="0" w:line="240" w:lineRule="auto"/>
        <w:ind w:left="3205" w:right="0" w:hanging="721"/>
        <w:jc w:val="left"/>
        <w:rPr>
          <w:sz w:val="21"/>
        </w:rPr>
      </w:pPr>
      <w:r>
        <w:rPr>
          <w:spacing w:val="-1"/>
          <w:w w:val="95"/>
          <w:sz w:val="21"/>
        </w:rPr>
        <w:t>出现室性心动过速、心室颤动或心源性休克。</w:t>
      </w:r>
    </w:p>
    <w:p>
      <w:pPr>
        <w:pStyle w:val="4"/>
        <w:spacing w:before="1"/>
        <w:rPr>
          <w:sz w:val="10"/>
        </w:rPr>
      </w:pPr>
    </w:p>
    <w:p>
      <w:pPr>
        <w:pStyle w:val="4"/>
        <w:spacing w:before="70"/>
        <w:ind w:left="2485"/>
      </w:pPr>
      <w:r>
        <w:rPr>
          <w:color w:val="000000"/>
          <w:w w:val="95"/>
          <w:shd w:val="clear" w:color="auto" w:fill="E4E4E4"/>
        </w:rPr>
        <w:t>其他非冠状动脉阻塞性疾病所引起的肌钙蛋白（cTn）</w:t>
      </w:r>
      <w:r>
        <w:rPr>
          <w:color w:val="000000"/>
          <w:spacing w:val="-1"/>
          <w:w w:val="95"/>
          <w:shd w:val="clear" w:color="auto" w:fill="E4E4E4"/>
        </w:rPr>
        <w:t>升高不在保障范围内。</w:t>
      </w:r>
    </w:p>
    <w:p>
      <w:pPr>
        <w:pStyle w:val="4"/>
        <w:spacing w:before="7"/>
        <w:rPr>
          <w:sz w:val="15"/>
        </w:rPr>
      </w:pPr>
    </w:p>
    <w:p>
      <w:pPr>
        <w:pStyle w:val="3"/>
        <w:numPr>
          <w:ilvl w:val="0"/>
          <w:numId w:val="14"/>
        </w:numPr>
        <w:tabs>
          <w:tab w:val="left" w:pos="3014"/>
        </w:tabs>
        <w:spacing w:before="0" w:after="0" w:line="240" w:lineRule="auto"/>
        <w:ind w:left="3013" w:right="0" w:hanging="529"/>
        <w:jc w:val="left"/>
      </w:pPr>
      <w:r>
        <w:rPr>
          <w:spacing w:val="-2"/>
          <w:w w:val="95"/>
        </w:rPr>
        <w:t>严重脑中风后遗症:</w:t>
      </w:r>
    </w:p>
    <w:p>
      <w:pPr>
        <w:pStyle w:val="4"/>
        <w:spacing w:before="7"/>
        <w:rPr>
          <w:b/>
          <w:sz w:val="15"/>
        </w:rPr>
      </w:pPr>
    </w:p>
    <w:p>
      <w:pPr>
        <w:pStyle w:val="4"/>
        <w:spacing w:line="278" w:lineRule="auto"/>
        <w:ind w:left="2485" w:right="350"/>
        <w:jc w:val="both"/>
      </w:pPr>
      <w:r>
        <w:rPr>
          <w:spacing w:val="2"/>
          <w:w w:val="99"/>
        </w:rPr>
        <w:t>指因脑血管的突发病变引起脑血管出血、栓塞或梗塞，须由头颅断层扫描（</w:t>
      </w:r>
      <w:r>
        <w:rPr>
          <w:spacing w:val="1"/>
          <w:w w:val="99"/>
        </w:rPr>
        <w:t>C</w:t>
      </w:r>
      <w:r>
        <w:rPr>
          <w:spacing w:val="3"/>
          <w:w w:val="99"/>
        </w:rPr>
        <w:t>T</w:t>
      </w:r>
      <w:r>
        <w:rPr>
          <w:spacing w:val="-101"/>
          <w:w w:val="99"/>
        </w:rPr>
        <w:t>）</w:t>
      </w:r>
      <w:r>
        <w:rPr>
          <w:w w:val="99"/>
        </w:rPr>
        <w:t>、</w:t>
      </w:r>
      <w:r>
        <w:rPr>
          <w:spacing w:val="2"/>
          <w:w w:val="99"/>
        </w:rPr>
        <w:t>核磁共振检查</w:t>
      </w:r>
      <w:r>
        <w:rPr>
          <w:spacing w:val="4"/>
          <w:w w:val="99"/>
        </w:rPr>
        <w:t>（</w:t>
      </w:r>
      <w:r>
        <w:rPr>
          <w:spacing w:val="1"/>
          <w:w w:val="99"/>
        </w:rPr>
        <w:t>MRI</w:t>
      </w:r>
      <w:r>
        <w:rPr>
          <w:spacing w:val="4"/>
          <w:w w:val="99"/>
        </w:rPr>
        <w:t>）</w:t>
      </w:r>
      <w:r>
        <w:rPr>
          <w:spacing w:val="1"/>
          <w:w w:val="99"/>
        </w:rPr>
        <w:t>等影像学检查证实，并导致神经系统永久性的功能障碍。神</w:t>
      </w:r>
      <w:r>
        <w:rPr>
          <w:spacing w:val="-1"/>
          <w:w w:val="99"/>
        </w:rPr>
        <w:t>经系统永久性的功能障碍，指疾病确诊</w:t>
      </w:r>
      <w:r>
        <w:rPr>
          <w:spacing w:val="-53"/>
        </w:rPr>
        <w:t xml:space="preserve"> </w:t>
      </w:r>
      <w:r>
        <w:rPr>
          <w:spacing w:val="1"/>
          <w:w w:val="99"/>
        </w:rPr>
        <w:t>18</w:t>
      </w:r>
      <w:r>
        <w:rPr>
          <w:w w:val="99"/>
        </w:rPr>
        <w:t>0</w:t>
      </w:r>
      <w:r>
        <w:rPr>
          <w:spacing w:val="-52"/>
        </w:rPr>
        <w:t xml:space="preserve"> </w:t>
      </w:r>
      <w:r>
        <w:rPr>
          <w:spacing w:val="-1"/>
          <w:w w:val="99"/>
        </w:rPr>
        <w:t>天后，仍遗留下列至少一种障碍：</w:t>
      </w:r>
    </w:p>
    <w:p>
      <w:pPr>
        <w:pStyle w:val="9"/>
        <w:numPr>
          <w:ilvl w:val="0"/>
          <w:numId w:val="18"/>
        </w:numPr>
        <w:tabs>
          <w:tab w:val="left" w:pos="3206"/>
        </w:tabs>
        <w:spacing w:before="155" w:after="0" w:line="240" w:lineRule="auto"/>
        <w:ind w:left="3205" w:right="0" w:hanging="721"/>
        <w:jc w:val="both"/>
        <w:rPr>
          <w:sz w:val="21"/>
        </w:rPr>
      </w:pPr>
      <w:r>
        <w:rPr>
          <w:w w:val="95"/>
          <w:sz w:val="21"/>
        </w:rPr>
        <w:t>一肢（含）以上</w:t>
      </w:r>
      <w:r>
        <w:rPr>
          <w:b/>
          <w:w w:val="95"/>
          <w:sz w:val="21"/>
        </w:rPr>
        <w:t>肢体</w:t>
      </w:r>
      <w:r>
        <w:fldChar w:fldCharType="begin"/>
      </w:r>
      <w:r>
        <w:instrText xml:space="preserve"> HYPERLINK \l "_bookmark39" </w:instrText>
      </w:r>
      <w:r>
        <w:fldChar w:fldCharType="separate"/>
      </w:r>
      <w:r>
        <w:rPr>
          <w:b/>
          <w:w w:val="95"/>
          <w:position w:val="11"/>
          <w:sz w:val="10"/>
        </w:rPr>
        <w:t>42</w:t>
      </w:r>
      <w:r>
        <w:rPr>
          <w:b/>
          <w:w w:val="95"/>
          <w:position w:val="11"/>
          <w:sz w:val="10"/>
        </w:rPr>
        <w:fldChar w:fldCharType="end"/>
      </w:r>
      <w:r>
        <w:rPr>
          <w:b/>
          <w:w w:val="95"/>
          <w:sz w:val="21"/>
        </w:rPr>
        <w:t>肌力</w:t>
      </w:r>
      <w:r>
        <w:fldChar w:fldCharType="begin"/>
      </w:r>
      <w:r>
        <w:instrText xml:space="preserve"> HYPERLINK \l "_bookmark40" </w:instrText>
      </w:r>
      <w:r>
        <w:fldChar w:fldCharType="separate"/>
      </w:r>
      <w:r>
        <w:rPr>
          <w:b/>
          <w:w w:val="95"/>
          <w:position w:val="11"/>
          <w:sz w:val="10"/>
        </w:rPr>
        <w:t>43</w:t>
      </w:r>
      <w:r>
        <w:rPr>
          <w:b/>
          <w:w w:val="95"/>
          <w:position w:val="11"/>
          <w:sz w:val="10"/>
        </w:rPr>
        <w:fldChar w:fldCharType="end"/>
      </w:r>
      <w:r>
        <w:rPr>
          <w:w w:val="95"/>
          <w:sz w:val="21"/>
        </w:rPr>
        <w:t>2</w:t>
      </w:r>
      <w:r>
        <w:rPr>
          <w:spacing w:val="70"/>
          <w:w w:val="150"/>
          <w:sz w:val="21"/>
        </w:rPr>
        <w:t xml:space="preserve"> </w:t>
      </w:r>
      <w:r>
        <w:rPr>
          <w:w w:val="95"/>
          <w:sz w:val="21"/>
        </w:rPr>
        <w:t>级（含）</w:t>
      </w:r>
      <w:r>
        <w:rPr>
          <w:spacing w:val="-4"/>
          <w:w w:val="95"/>
          <w:sz w:val="21"/>
        </w:rPr>
        <w:t>以下；</w:t>
      </w:r>
    </w:p>
    <w:p>
      <w:pPr>
        <w:pStyle w:val="4"/>
        <w:spacing w:before="7"/>
        <w:rPr>
          <w:sz w:val="15"/>
        </w:rPr>
      </w:pPr>
    </w:p>
    <w:p>
      <w:pPr>
        <w:pStyle w:val="9"/>
        <w:numPr>
          <w:ilvl w:val="0"/>
          <w:numId w:val="18"/>
        </w:numPr>
        <w:tabs>
          <w:tab w:val="left" w:pos="3206"/>
        </w:tabs>
        <w:spacing w:before="0" w:after="0" w:line="240" w:lineRule="auto"/>
        <w:ind w:left="3205" w:right="0" w:hanging="721"/>
        <w:jc w:val="both"/>
        <w:rPr>
          <w:sz w:val="21"/>
        </w:rPr>
      </w:pPr>
      <w:r>
        <w:rPr>
          <w:b/>
          <w:sz w:val="21"/>
        </w:rPr>
        <w:t>语言能力完全丧失</w:t>
      </w:r>
      <w:r>
        <w:fldChar w:fldCharType="begin"/>
      </w:r>
      <w:r>
        <w:instrText xml:space="preserve"> HYPERLINK \l "_bookmark41" </w:instrText>
      </w:r>
      <w:r>
        <w:fldChar w:fldCharType="separate"/>
      </w:r>
      <w:r>
        <w:rPr>
          <w:b/>
          <w:position w:val="11"/>
          <w:sz w:val="10"/>
        </w:rPr>
        <w:t>44</w:t>
      </w:r>
      <w:r>
        <w:rPr>
          <w:b/>
          <w:position w:val="11"/>
          <w:sz w:val="10"/>
        </w:rPr>
        <w:fldChar w:fldCharType="end"/>
      </w:r>
      <w:r>
        <w:rPr>
          <w:sz w:val="21"/>
        </w:rPr>
        <w:t>，或</w:t>
      </w:r>
      <w:r>
        <w:rPr>
          <w:b/>
          <w:sz w:val="21"/>
        </w:rPr>
        <w:t>严重咀嚼吞咽功能障碍</w:t>
      </w:r>
      <w:r>
        <w:fldChar w:fldCharType="begin"/>
      </w:r>
      <w:r>
        <w:instrText xml:space="preserve"> HYPERLINK \l "_bookmark42" </w:instrText>
      </w:r>
      <w:r>
        <w:fldChar w:fldCharType="separate"/>
      </w:r>
      <w:r>
        <w:rPr>
          <w:position w:val="11"/>
          <w:sz w:val="10"/>
        </w:rPr>
        <w:t>45</w:t>
      </w:r>
      <w:r>
        <w:rPr>
          <w:position w:val="11"/>
          <w:sz w:val="10"/>
        </w:rPr>
        <w:fldChar w:fldCharType="end"/>
      </w:r>
      <w:r>
        <w:rPr>
          <w:spacing w:val="47"/>
          <w:position w:val="11"/>
          <w:sz w:val="10"/>
        </w:rPr>
        <w:t xml:space="preserve"> </w:t>
      </w:r>
      <w:r>
        <w:rPr>
          <w:spacing w:val="-10"/>
          <w:sz w:val="21"/>
        </w:rPr>
        <w:t>；</w:t>
      </w:r>
    </w:p>
    <w:p>
      <w:pPr>
        <w:pStyle w:val="4"/>
        <w:spacing w:before="7"/>
        <w:rPr>
          <w:sz w:val="15"/>
        </w:rPr>
      </w:pPr>
    </w:p>
    <w:p>
      <w:pPr>
        <w:pStyle w:val="9"/>
        <w:numPr>
          <w:ilvl w:val="0"/>
          <w:numId w:val="18"/>
        </w:numPr>
        <w:tabs>
          <w:tab w:val="left" w:pos="3205"/>
          <w:tab w:val="left" w:pos="3206"/>
        </w:tabs>
        <w:spacing w:before="0" w:after="0" w:line="278" w:lineRule="auto"/>
        <w:ind w:left="3205" w:right="343" w:hanging="720"/>
        <w:jc w:val="left"/>
        <w:rPr>
          <w:sz w:val="21"/>
        </w:rPr>
      </w:pPr>
      <w:r>
        <w:rPr>
          <w:spacing w:val="-2"/>
          <w:w w:val="99"/>
          <w:sz w:val="21"/>
        </w:rPr>
        <w:t>自主生活能力完全丧失，无法独立完成</w:t>
      </w:r>
      <w:r>
        <w:rPr>
          <w:b/>
          <w:spacing w:val="1"/>
          <w:w w:val="99"/>
          <w:sz w:val="21"/>
        </w:rPr>
        <w:t>六项基本日常生活活动</w:t>
      </w:r>
      <w:r>
        <w:fldChar w:fldCharType="begin"/>
      </w:r>
      <w:r>
        <w:instrText xml:space="preserve"> HYPERLINK \l "_bookmark43" </w:instrText>
      </w:r>
      <w:r>
        <w:fldChar w:fldCharType="separate"/>
      </w:r>
      <w:r>
        <w:rPr>
          <w:b/>
          <w:spacing w:val="2"/>
          <w:w w:val="105"/>
          <w:position w:val="11"/>
          <w:sz w:val="10"/>
        </w:rPr>
        <w:t>4</w:t>
      </w:r>
      <w:r>
        <w:rPr>
          <w:b/>
          <w:spacing w:val="-3"/>
          <w:w w:val="105"/>
          <w:position w:val="11"/>
          <w:sz w:val="10"/>
        </w:rPr>
        <w:t>6</w:t>
      </w:r>
      <w:r>
        <w:rPr>
          <w:b/>
          <w:spacing w:val="-3"/>
          <w:w w:val="105"/>
          <w:position w:val="11"/>
          <w:sz w:val="10"/>
        </w:rPr>
        <w:fldChar w:fldCharType="end"/>
      </w:r>
      <w:r>
        <w:rPr>
          <w:spacing w:val="-1"/>
          <w:w w:val="99"/>
          <w:sz w:val="21"/>
        </w:rPr>
        <w:t>中的三项或三项以上。</w:t>
      </w:r>
    </w:p>
    <w:p>
      <w:pPr>
        <w:pStyle w:val="3"/>
        <w:numPr>
          <w:ilvl w:val="0"/>
          <w:numId w:val="14"/>
        </w:numPr>
        <w:tabs>
          <w:tab w:val="left" w:pos="3014"/>
        </w:tabs>
        <w:spacing w:before="156" w:after="0" w:line="240" w:lineRule="auto"/>
        <w:ind w:left="3013" w:right="0" w:hanging="529"/>
        <w:jc w:val="left"/>
      </w:pPr>
      <w:r>
        <w:rPr>
          <w:spacing w:val="-1"/>
          <w:w w:val="95"/>
        </w:rPr>
        <w:t>重大器官移植术或造血干细胞移植术:</w:t>
      </w:r>
    </w:p>
    <w:p>
      <w:pPr>
        <w:pStyle w:val="4"/>
        <w:spacing w:before="6"/>
        <w:rPr>
          <w:b/>
          <w:sz w:val="15"/>
        </w:rPr>
      </w:pPr>
    </w:p>
    <w:p>
      <w:pPr>
        <w:pStyle w:val="4"/>
        <w:spacing w:line="278" w:lineRule="auto"/>
        <w:ind w:left="2485" w:right="347"/>
      </w:pPr>
      <w:r>
        <w:rPr>
          <w:spacing w:val="-3"/>
          <w:w w:val="99"/>
        </w:rPr>
        <w:t>重大器官移植术，指因相应器官功能衰竭，已经实施了肾脏、肝脏、心脏、肺脏或</w:t>
      </w:r>
      <w:r>
        <w:rPr>
          <w:spacing w:val="-1"/>
          <w:w w:val="99"/>
        </w:rPr>
        <w:t>小肠的异体移植手术；</w:t>
      </w:r>
    </w:p>
    <w:p>
      <w:pPr>
        <w:pStyle w:val="4"/>
        <w:spacing w:before="4"/>
        <w:rPr>
          <w:sz w:val="16"/>
        </w:rPr>
      </w:pPr>
    </w:p>
    <w:p>
      <w:pPr>
        <w:spacing w:before="88"/>
        <w:ind w:left="220" w:right="0" w:firstLine="0"/>
        <w:jc w:val="left"/>
        <w:rPr>
          <w:rFonts w:ascii="楷体" w:eastAsia="楷体"/>
          <w:sz w:val="18"/>
        </w:rPr>
      </w:pPr>
      <w:r>
        <w:rPr>
          <w:rFonts w:ascii="楷体" w:eastAsia="楷体"/>
          <w:w w:val="95"/>
          <w:position w:val="9"/>
          <w:sz w:val="9"/>
        </w:rPr>
        <w:t>4</w:t>
      </w:r>
      <w:bookmarkStart w:id="39" w:name="_bookmark39"/>
      <w:bookmarkEnd w:id="39"/>
      <w:r>
        <w:rPr>
          <w:rFonts w:ascii="楷体" w:eastAsia="楷体"/>
          <w:w w:val="95"/>
          <w:position w:val="9"/>
          <w:sz w:val="9"/>
        </w:rPr>
        <w:t>2</w:t>
      </w:r>
      <w:r>
        <w:rPr>
          <w:rFonts w:hint="eastAsia" w:ascii="楷体" w:eastAsia="楷体"/>
          <w:b/>
          <w:w w:val="95"/>
          <w:sz w:val="18"/>
        </w:rPr>
        <w:t>肢体</w:t>
      </w:r>
      <w:r>
        <w:rPr>
          <w:rFonts w:ascii="楷体" w:eastAsia="楷体"/>
          <w:w w:val="95"/>
          <w:sz w:val="18"/>
        </w:rPr>
        <w:t>：是指包括肩关节的整个上肢或包括髋关节的整个下肢</w:t>
      </w:r>
      <w:r>
        <w:rPr>
          <w:rFonts w:ascii="楷体" w:eastAsia="楷体"/>
          <w:spacing w:val="-10"/>
          <w:w w:val="95"/>
          <w:sz w:val="18"/>
        </w:rPr>
        <w:t>。</w:t>
      </w:r>
    </w:p>
    <w:p>
      <w:pPr>
        <w:spacing w:before="4"/>
        <w:ind w:left="220" w:right="0" w:firstLine="0"/>
        <w:jc w:val="left"/>
        <w:rPr>
          <w:rFonts w:ascii="楷体" w:eastAsia="楷体"/>
          <w:sz w:val="18"/>
        </w:rPr>
      </w:pPr>
      <w:r>
        <w:rPr>
          <w:rFonts w:ascii="楷体" w:eastAsia="楷体"/>
          <w:w w:val="95"/>
          <w:position w:val="9"/>
          <w:sz w:val="9"/>
        </w:rPr>
        <w:t>4</w:t>
      </w:r>
      <w:bookmarkStart w:id="40" w:name="_bookmark40"/>
      <w:bookmarkEnd w:id="40"/>
      <w:r>
        <w:rPr>
          <w:rFonts w:ascii="楷体" w:eastAsia="楷体"/>
          <w:w w:val="95"/>
          <w:position w:val="9"/>
          <w:sz w:val="9"/>
        </w:rPr>
        <w:t>3</w:t>
      </w:r>
      <w:r>
        <w:rPr>
          <w:rFonts w:hint="eastAsia" w:ascii="楷体" w:eastAsia="楷体"/>
          <w:b/>
          <w:w w:val="95"/>
          <w:sz w:val="18"/>
        </w:rPr>
        <w:t>肌力</w:t>
      </w:r>
      <w:r>
        <w:rPr>
          <w:rFonts w:ascii="楷体" w:eastAsia="楷体"/>
          <w:w w:val="95"/>
          <w:sz w:val="18"/>
        </w:rPr>
        <w:t>：指肌肉收缩时的力量。肌力划分为</w:t>
      </w:r>
      <w:r>
        <w:rPr>
          <w:rFonts w:ascii="楷体" w:eastAsia="楷体"/>
          <w:spacing w:val="66"/>
          <w:sz w:val="18"/>
        </w:rPr>
        <w:t xml:space="preserve"> </w:t>
      </w:r>
      <w:r>
        <w:rPr>
          <w:rFonts w:ascii="楷体" w:eastAsia="楷体"/>
          <w:w w:val="95"/>
          <w:sz w:val="18"/>
        </w:rPr>
        <w:t>0-5</w:t>
      </w:r>
      <w:r>
        <w:rPr>
          <w:rFonts w:ascii="楷体" w:eastAsia="楷体"/>
          <w:spacing w:val="62"/>
          <w:sz w:val="18"/>
        </w:rPr>
        <w:t xml:space="preserve"> </w:t>
      </w:r>
      <w:r>
        <w:rPr>
          <w:rFonts w:ascii="楷体" w:eastAsia="楷体"/>
          <w:w w:val="95"/>
          <w:sz w:val="18"/>
        </w:rPr>
        <w:t>级，具体为</w:t>
      </w:r>
      <w:r>
        <w:rPr>
          <w:rFonts w:ascii="楷体" w:eastAsia="楷体"/>
          <w:spacing w:val="-10"/>
          <w:w w:val="95"/>
          <w:sz w:val="18"/>
        </w:rPr>
        <w:t>：</w:t>
      </w:r>
    </w:p>
    <w:p>
      <w:pPr>
        <w:pStyle w:val="9"/>
        <w:numPr>
          <w:ilvl w:val="0"/>
          <w:numId w:val="19"/>
        </w:numPr>
        <w:tabs>
          <w:tab w:val="left" w:pos="412"/>
        </w:tabs>
        <w:spacing w:before="2" w:after="0" w:line="240" w:lineRule="auto"/>
        <w:ind w:left="412" w:right="0" w:hanging="135"/>
        <w:jc w:val="left"/>
        <w:rPr>
          <w:rFonts w:ascii="楷体" w:eastAsia="楷体"/>
          <w:sz w:val="18"/>
        </w:rPr>
      </w:pPr>
      <w:r>
        <w:rPr>
          <w:rFonts w:ascii="楷体" w:eastAsia="楷体"/>
          <w:spacing w:val="-1"/>
          <w:sz w:val="18"/>
        </w:rPr>
        <w:t>级：肌肉完全瘫痪，毫无收缩。</w:t>
      </w:r>
    </w:p>
    <w:p>
      <w:pPr>
        <w:pStyle w:val="9"/>
        <w:numPr>
          <w:ilvl w:val="0"/>
          <w:numId w:val="19"/>
        </w:numPr>
        <w:tabs>
          <w:tab w:val="left" w:pos="412"/>
        </w:tabs>
        <w:spacing w:before="3" w:after="0" w:line="240" w:lineRule="auto"/>
        <w:ind w:left="412" w:right="0" w:hanging="135"/>
        <w:jc w:val="left"/>
        <w:rPr>
          <w:rFonts w:ascii="楷体" w:eastAsia="楷体"/>
          <w:sz w:val="18"/>
        </w:rPr>
      </w:pPr>
      <w:r>
        <w:rPr>
          <w:rFonts w:ascii="楷体" w:eastAsia="楷体"/>
          <w:spacing w:val="-1"/>
          <w:sz w:val="18"/>
        </w:rPr>
        <w:t>级：可看到或则触及肌肉轻微收缩，但不能产生动作。</w:t>
      </w:r>
    </w:p>
    <w:p>
      <w:pPr>
        <w:pStyle w:val="9"/>
        <w:numPr>
          <w:ilvl w:val="0"/>
          <w:numId w:val="19"/>
        </w:numPr>
        <w:tabs>
          <w:tab w:val="left" w:pos="458"/>
        </w:tabs>
        <w:spacing w:before="2" w:after="0" w:line="240" w:lineRule="auto"/>
        <w:ind w:left="457" w:right="0" w:hanging="181"/>
        <w:jc w:val="left"/>
        <w:rPr>
          <w:rFonts w:ascii="楷体" w:eastAsia="楷体"/>
          <w:sz w:val="18"/>
        </w:rPr>
      </w:pPr>
      <w:r>
        <w:rPr>
          <w:rFonts w:ascii="楷体" w:eastAsia="楷体"/>
          <w:spacing w:val="-1"/>
          <w:sz w:val="18"/>
        </w:rPr>
        <w:t>级：肌肉在不受重力影响下，可进行运动，即肢体能在床面上移动，但不能抬高。</w:t>
      </w:r>
    </w:p>
    <w:p>
      <w:pPr>
        <w:pStyle w:val="9"/>
        <w:numPr>
          <w:ilvl w:val="0"/>
          <w:numId w:val="19"/>
        </w:numPr>
        <w:tabs>
          <w:tab w:val="left" w:pos="458"/>
        </w:tabs>
        <w:spacing w:before="2" w:after="0" w:line="240" w:lineRule="auto"/>
        <w:ind w:left="457" w:right="0" w:hanging="181"/>
        <w:jc w:val="left"/>
        <w:rPr>
          <w:rFonts w:ascii="楷体" w:eastAsia="楷体"/>
          <w:sz w:val="18"/>
        </w:rPr>
      </w:pPr>
      <w:r>
        <w:rPr>
          <w:rFonts w:ascii="楷体" w:eastAsia="楷体"/>
          <w:spacing w:val="-1"/>
          <w:sz w:val="18"/>
        </w:rPr>
        <w:t>级：在和地心引力相反的方向中尚能完成其动作，但不能对抗外加阻力。</w:t>
      </w:r>
    </w:p>
    <w:p>
      <w:pPr>
        <w:pStyle w:val="9"/>
        <w:numPr>
          <w:ilvl w:val="0"/>
          <w:numId w:val="19"/>
        </w:numPr>
        <w:tabs>
          <w:tab w:val="left" w:pos="458"/>
        </w:tabs>
        <w:spacing w:before="4" w:after="0" w:line="240" w:lineRule="auto"/>
        <w:ind w:left="457" w:right="0" w:hanging="181"/>
        <w:jc w:val="left"/>
        <w:rPr>
          <w:rFonts w:ascii="楷体" w:eastAsia="楷体"/>
          <w:sz w:val="18"/>
        </w:rPr>
      </w:pPr>
      <w:r>
        <w:rPr>
          <w:rFonts w:ascii="楷体" w:eastAsia="楷体"/>
          <w:spacing w:val="-1"/>
          <w:sz w:val="18"/>
        </w:rPr>
        <w:t>级：能对抗一定的阻力，但较正常人为低。</w:t>
      </w:r>
    </w:p>
    <w:p>
      <w:pPr>
        <w:pStyle w:val="9"/>
        <w:numPr>
          <w:ilvl w:val="0"/>
          <w:numId w:val="19"/>
        </w:numPr>
        <w:tabs>
          <w:tab w:val="left" w:pos="458"/>
        </w:tabs>
        <w:spacing w:before="3" w:after="0" w:line="240" w:lineRule="auto"/>
        <w:ind w:left="457" w:right="0" w:hanging="181"/>
        <w:jc w:val="left"/>
        <w:rPr>
          <w:rFonts w:ascii="楷体" w:eastAsia="楷体"/>
          <w:sz w:val="18"/>
        </w:rPr>
      </w:pPr>
      <w:r>
        <w:rPr>
          <w:rFonts w:ascii="楷体" w:eastAsia="楷体"/>
          <w:spacing w:val="-2"/>
          <w:sz w:val="18"/>
        </w:rPr>
        <w:t>级：正常肌力。</w:t>
      </w:r>
    </w:p>
    <w:p>
      <w:pPr>
        <w:spacing w:before="2"/>
        <w:ind w:left="220" w:right="0" w:firstLine="0"/>
        <w:jc w:val="left"/>
        <w:rPr>
          <w:rFonts w:ascii="楷体" w:eastAsia="楷体"/>
          <w:sz w:val="18"/>
        </w:rPr>
      </w:pPr>
      <w:r>
        <w:rPr>
          <w:rFonts w:ascii="楷体" w:eastAsia="楷体"/>
          <w:w w:val="95"/>
          <w:position w:val="9"/>
          <w:sz w:val="9"/>
        </w:rPr>
        <w:t>4</w:t>
      </w:r>
      <w:bookmarkStart w:id="41" w:name="_bookmark41"/>
      <w:bookmarkEnd w:id="41"/>
      <w:r>
        <w:rPr>
          <w:rFonts w:ascii="楷体" w:eastAsia="楷体"/>
          <w:w w:val="95"/>
          <w:position w:val="9"/>
          <w:sz w:val="9"/>
        </w:rPr>
        <w:t>4</w:t>
      </w:r>
      <w:r>
        <w:rPr>
          <w:rFonts w:hint="eastAsia" w:ascii="楷体" w:eastAsia="楷体"/>
          <w:b/>
          <w:w w:val="95"/>
          <w:sz w:val="18"/>
        </w:rPr>
        <w:t>语言能力完全丧失</w:t>
      </w:r>
      <w:r>
        <w:rPr>
          <w:rFonts w:ascii="楷体" w:eastAsia="楷体"/>
          <w:w w:val="95"/>
          <w:sz w:val="18"/>
        </w:rPr>
        <w:t>：指无法发出四种语音（包括口唇音、齿舌音、口盖音和喉头音）中的任何三种、或声带全部切除，或</w:t>
      </w:r>
      <w:r>
        <w:rPr>
          <w:rFonts w:ascii="楷体" w:eastAsia="楷体"/>
          <w:spacing w:val="-10"/>
          <w:w w:val="95"/>
          <w:sz w:val="18"/>
        </w:rPr>
        <w:t>因</w:t>
      </w:r>
    </w:p>
    <w:p>
      <w:pPr>
        <w:spacing w:before="2"/>
        <w:ind w:left="220" w:right="0" w:firstLine="0"/>
        <w:jc w:val="left"/>
        <w:rPr>
          <w:rFonts w:ascii="楷体" w:eastAsia="楷体"/>
          <w:sz w:val="18"/>
        </w:rPr>
      </w:pPr>
      <w:r>
        <w:rPr>
          <w:rFonts w:ascii="楷体" w:eastAsia="楷体"/>
          <w:spacing w:val="-1"/>
          <w:sz w:val="18"/>
        </w:rPr>
        <w:t>大脑语言中枢受伤害而患失语症。</w:t>
      </w:r>
    </w:p>
    <w:p>
      <w:pPr>
        <w:spacing w:before="5"/>
        <w:ind w:left="220" w:right="0" w:firstLine="0"/>
        <w:jc w:val="left"/>
        <w:rPr>
          <w:rFonts w:ascii="楷体" w:eastAsia="楷体"/>
          <w:sz w:val="18"/>
        </w:rPr>
      </w:pPr>
      <w:r>
        <w:rPr>
          <w:rFonts w:ascii="楷体" w:eastAsia="楷体"/>
          <w:w w:val="95"/>
          <w:position w:val="9"/>
          <w:sz w:val="9"/>
        </w:rPr>
        <w:t>4</w:t>
      </w:r>
      <w:bookmarkStart w:id="42" w:name="_bookmark42"/>
      <w:bookmarkEnd w:id="42"/>
      <w:r>
        <w:rPr>
          <w:rFonts w:ascii="楷体" w:eastAsia="楷体"/>
          <w:w w:val="95"/>
          <w:position w:val="9"/>
          <w:sz w:val="9"/>
        </w:rPr>
        <w:t>5</w:t>
      </w:r>
      <w:r>
        <w:rPr>
          <w:rFonts w:hint="eastAsia" w:ascii="楷体" w:eastAsia="楷体"/>
          <w:b/>
          <w:w w:val="95"/>
          <w:sz w:val="18"/>
        </w:rPr>
        <w:t>严重咀嚼吞咽功能障碍</w:t>
      </w:r>
      <w:r>
        <w:rPr>
          <w:rFonts w:ascii="楷体" w:eastAsia="楷体"/>
          <w:w w:val="95"/>
          <w:sz w:val="18"/>
        </w:rPr>
        <w:t>：指因牙齿以外的原因导致器质障碍或机能障碍，以致不能作咀嚼吞咽运动，除流质食物外不能</w:t>
      </w:r>
      <w:r>
        <w:rPr>
          <w:rFonts w:ascii="楷体" w:eastAsia="楷体"/>
          <w:spacing w:val="-5"/>
          <w:w w:val="95"/>
          <w:sz w:val="18"/>
        </w:rPr>
        <w:t>摄取</w:t>
      </w:r>
    </w:p>
    <w:p>
      <w:pPr>
        <w:spacing w:before="2"/>
        <w:ind w:left="220" w:right="0" w:firstLine="0"/>
        <w:jc w:val="left"/>
        <w:rPr>
          <w:rFonts w:ascii="楷体" w:eastAsia="楷体"/>
          <w:sz w:val="18"/>
        </w:rPr>
      </w:pPr>
      <w:r>
        <w:rPr>
          <w:rFonts w:ascii="楷体" w:eastAsia="楷体"/>
          <w:spacing w:val="-2"/>
          <w:sz w:val="18"/>
        </w:rPr>
        <w:t>或吞咽的状态。</w:t>
      </w:r>
    </w:p>
    <w:p>
      <w:pPr>
        <w:spacing w:before="4"/>
        <w:ind w:left="220" w:right="0" w:firstLine="0"/>
        <w:jc w:val="left"/>
        <w:rPr>
          <w:rFonts w:ascii="楷体" w:eastAsia="楷体"/>
          <w:sz w:val="18"/>
        </w:rPr>
      </w:pPr>
      <w:r>
        <w:rPr>
          <w:w w:val="95"/>
          <w:position w:val="9"/>
          <w:sz w:val="9"/>
        </w:rPr>
        <w:t>4</w:t>
      </w:r>
      <w:bookmarkStart w:id="43" w:name="_bookmark43"/>
      <w:bookmarkEnd w:id="43"/>
      <w:r>
        <w:rPr>
          <w:w w:val="95"/>
          <w:position w:val="9"/>
          <w:sz w:val="9"/>
        </w:rPr>
        <w:t>6</w:t>
      </w:r>
      <w:r>
        <w:rPr>
          <w:rFonts w:hint="eastAsia" w:ascii="楷体" w:eastAsia="楷体"/>
          <w:b/>
          <w:w w:val="95"/>
          <w:sz w:val="18"/>
        </w:rPr>
        <w:t>六项基本日常生活活动:</w:t>
      </w:r>
      <w:r>
        <w:rPr>
          <w:rFonts w:ascii="楷体" w:eastAsia="楷体"/>
          <w:w w:val="95"/>
          <w:sz w:val="18"/>
        </w:rPr>
        <w:t>（1）穿衣：自己能够穿衣及脱衣；（2）移动：自己从一个房间到另一个房间；（3）行动：自己上</w:t>
      </w:r>
      <w:r>
        <w:rPr>
          <w:rFonts w:ascii="楷体" w:eastAsia="楷体"/>
          <w:spacing w:val="-10"/>
          <w:w w:val="95"/>
          <w:sz w:val="18"/>
        </w:rPr>
        <w:t>下</w:t>
      </w:r>
    </w:p>
    <w:p>
      <w:pPr>
        <w:spacing w:before="3" w:line="242" w:lineRule="auto"/>
        <w:ind w:left="220" w:right="417" w:firstLine="0"/>
        <w:jc w:val="left"/>
        <w:rPr>
          <w:rFonts w:ascii="楷体" w:eastAsia="楷体"/>
          <w:sz w:val="18"/>
        </w:rPr>
      </w:pPr>
      <w:r>
        <w:rPr>
          <w:rFonts w:ascii="楷体" w:eastAsia="楷体"/>
          <w:spacing w:val="-6"/>
          <w:sz w:val="18"/>
        </w:rPr>
        <w:t>床或上下轮椅；（4）如厕：自己控制进行大小便；（5）进食：自己从已准备好的碗或碟中取食物放入口中；（6）洗澡：自己</w:t>
      </w:r>
      <w:r>
        <w:rPr>
          <w:rFonts w:ascii="楷体" w:eastAsia="楷体"/>
          <w:sz w:val="18"/>
        </w:rPr>
        <w:t>进行淋浴或盆浴。六项基本日常生活活动能力的鉴定不适用于 0-3 周岁幼儿。</w:t>
      </w:r>
    </w:p>
    <w:p>
      <w:pPr>
        <w:spacing w:after="0" w:line="242" w:lineRule="auto"/>
        <w:jc w:val="left"/>
        <w:rPr>
          <w:rFonts w:ascii="楷体" w:eastAsia="楷体"/>
          <w:sz w:val="18"/>
        </w:rPr>
        <w:sectPr>
          <w:pgSz w:w="11910" w:h="16840"/>
          <w:pgMar w:top="1400" w:right="660" w:bottom="860" w:left="860" w:header="0" w:footer="662" w:gutter="0"/>
          <w:cols w:space="720" w:num="1"/>
        </w:sectPr>
      </w:pPr>
    </w:p>
    <w:p>
      <w:pPr>
        <w:pStyle w:val="4"/>
        <w:spacing w:before="43" w:line="278" w:lineRule="auto"/>
        <w:ind w:left="2485" w:right="350"/>
      </w:pPr>
      <w:r>
        <w:rPr>
          <w:spacing w:val="-3"/>
          <w:w w:val="99"/>
        </w:rPr>
        <w:t>造血干细胞移植术，指因造血功能损害或造血系统恶性肿瘤，已经实施了造血干细</w:t>
      </w:r>
      <w:r>
        <w:rPr>
          <w:spacing w:val="-1"/>
          <w:w w:val="99"/>
        </w:rPr>
        <w:t>胞</w:t>
      </w:r>
      <w:r>
        <w:rPr>
          <w:spacing w:val="2"/>
          <w:w w:val="99"/>
        </w:rPr>
        <w:t>（</w:t>
      </w:r>
      <w:r>
        <w:rPr>
          <w:spacing w:val="-1"/>
          <w:w w:val="99"/>
        </w:rPr>
        <w:t>包括骨髓造血干细胞、外周血造血干细胞和脐血造血干细胞）的移植手术。</w:t>
      </w:r>
    </w:p>
    <w:p>
      <w:pPr>
        <w:pStyle w:val="3"/>
        <w:numPr>
          <w:ilvl w:val="0"/>
          <w:numId w:val="14"/>
        </w:numPr>
        <w:tabs>
          <w:tab w:val="left" w:pos="3014"/>
        </w:tabs>
        <w:spacing w:before="156" w:after="0" w:line="240" w:lineRule="auto"/>
        <w:ind w:left="3013" w:right="0" w:hanging="529"/>
        <w:jc w:val="left"/>
      </w:pPr>
      <w:r>
        <w:rPr>
          <w:w w:val="95"/>
        </w:rPr>
        <w:t>冠状动脉搭桥术（或称冠状动脉旁路移植术</w:t>
      </w:r>
      <w:r>
        <w:rPr>
          <w:spacing w:val="-5"/>
          <w:w w:val="95"/>
        </w:rPr>
        <w:t>）:</w:t>
      </w:r>
    </w:p>
    <w:p>
      <w:pPr>
        <w:pStyle w:val="4"/>
        <w:spacing w:before="6"/>
        <w:rPr>
          <w:b/>
          <w:sz w:val="15"/>
        </w:rPr>
      </w:pPr>
    </w:p>
    <w:p>
      <w:pPr>
        <w:pStyle w:val="4"/>
        <w:spacing w:before="1" w:line="278" w:lineRule="auto"/>
        <w:ind w:left="2485" w:right="350"/>
      </w:pPr>
      <w:r>
        <w:rPr>
          <w:spacing w:val="4"/>
          <w:w w:val="99"/>
        </w:rPr>
        <w:t>指为治疗严重的冠心病，已经实施了切开心包进行的冠状动脉血管旁路移植的手</w:t>
      </w:r>
      <w:r>
        <w:rPr>
          <w:spacing w:val="-1"/>
          <w:w w:val="99"/>
        </w:rPr>
        <w:t>术。</w:t>
      </w:r>
    </w:p>
    <w:p>
      <w:pPr>
        <w:pStyle w:val="4"/>
        <w:spacing w:line="269" w:lineRule="exact"/>
        <w:ind w:left="2485"/>
      </w:pPr>
      <w:r>
        <w:rPr>
          <w:color w:val="000000"/>
          <w:spacing w:val="-1"/>
          <w:w w:val="95"/>
          <w:shd w:val="clear" w:color="auto" w:fill="E4E4E4"/>
        </w:rPr>
        <w:t>所有未切开心包的冠状动脉介入治疗不在保障范围内。</w:t>
      </w:r>
    </w:p>
    <w:p>
      <w:pPr>
        <w:pStyle w:val="4"/>
        <w:spacing w:before="6"/>
        <w:rPr>
          <w:sz w:val="15"/>
        </w:rPr>
      </w:pPr>
    </w:p>
    <w:p>
      <w:pPr>
        <w:pStyle w:val="3"/>
        <w:numPr>
          <w:ilvl w:val="0"/>
          <w:numId w:val="14"/>
        </w:numPr>
        <w:tabs>
          <w:tab w:val="left" w:pos="3014"/>
        </w:tabs>
        <w:spacing w:before="0" w:after="0" w:line="240" w:lineRule="auto"/>
        <w:ind w:left="3013" w:right="0" w:hanging="529"/>
        <w:jc w:val="left"/>
      </w:pPr>
      <w:r>
        <w:rPr>
          <w:spacing w:val="-2"/>
          <w:w w:val="95"/>
        </w:rPr>
        <w:t>严重慢性肾衰竭:</w:t>
      </w:r>
    </w:p>
    <w:p>
      <w:pPr>
        <w:pStyle w:val="4"/>
        <w:spacing w:before="7"/>
        <w:rPr>
          <w:b/>
          <w:sz w:val="15"/>
        </w:rPr>
      </w:pPr>
    </w:p>
    <w:p>
      <w:pPr>
        <w:pStyle w:val="4"/>
        <w:spacing w:line="278" w:lineRule="auto"/>
        <w:ind w:left="2485" w:right="338"/>
        <w:jc w:val="both"/>
      </w:pPr>
      <w:r>
        <w:rPr>
          <w:spacing w:val="-1"/>
          <w:w w:val="99"/>
        </w:rPr>
        <w:t>指双肾功能慢性不可逆性衰竭，依据肾脏病预后质量倡议</w:t>
      </w:r>
      <w:r>
        <w:rPr>
          <w:spacing w:val="2"/>
          <w:w w:val="99"/>
        </w:rPr>
        <w:t>（</w:t>
      </w:r>
      <w:r>
        <w:rPr>
          <w:spacing w:val="1"/>
          <w:w w:val="99"/>
        </w:rPr>
        <w:t>K/D</w:t>
      </w:r>
      <w:r>
        <w:rPr>
          <w:spacing w:val="-2"/>
          <w:w w:val="99"/>
        </w:rPr>
        <w:t>O</w:t>
      </w:r>
      <w:r>
        <w:rPr>
          <w:spacing w:val="1"/>
          <w:w w:val="99"/>
        </w:rPr>
        <w:t>QI</w:t>
      </w:r>
      <w:r>
        <w:rPr>
          <w:spacing w:val="-1"/>
          <w:w w:val="99"/>
        </w:rPr>
        <w:t>）制定的指南，</w:t>
      </w:r>
      <w:r>
        <w:rPr>
          <w:spacing w:val="1"/>
          <w:w w:val="99"/>
        </w:rPr>
        <w:t>分期达到慢性肾脏病</w:t>
      </w:r>
      <w:r>
        <w:rPr>
          <w:spacing w:val="-48"/>
        </w:rPr>
        <w:t xml:space="preserve"> </w:t>
      </w:r>
      <w:r>
        <w:rPr>
          <w:w w:val="99"/>
        </w:rPr>
        <w:t>5</w:t>
      </w:r>
      <w:r>
        <w:rPr>
          <w:spacing w:val="-49"/>
        </w:rPr>
        <w:t xml:space="preserve"> </w:t>
      </w:r>
      <w:r>
        <w:rPr>
          <w:spacing w:val="1"/>
          <w:w w:val="99"/>
        </w:rPr>
        <w:t>期，且经诊断后已经进行了至少</w:t>
      </w:r>
      <w:r>
        <w:rPr>
          <w:spacing w:val="-50"/>
        </w:rPr>
        <w:t xml:space="preserve"> </w:t>
      </w:r>
      <w:r>
        <w:rPr>
          <w:spacing w:val="1"/>
          <w:w w:val="99"/>
        </w:rPr>
        <w:t>9</w:t>
      </w:r>
      <w:r>
        <w:rPr>
          <w:w w:val="99"/>
        </w:rPr>
        <w:t>0</w:t>
      </w:r>
      <w:r>
        <w:rPr>
          <w:spacing w:val="-49"/>
        </w:rPr>
        <w:t xml:space="preserve"> </w:t>
      </w:r>
      <w:r>
        <w:rPr>
          <w:spacing w:val="1"/>
          <w:w w:val="99"/>
        </w:rPr>
        <w:t>天的规律性透析治疗。</w:t>
      </w:r>
      <w:r>
        <w:rPr>
          <w:spacing w:val="-1"/>
          <w:w w:val="99"/>
        </w:rPr>
        <w:t>规律性透析是指每周进行血液透析或每天进行腹膜透析。</w:t>
      </w:r>
    </w:p>
    <w:p>
      <w:pPr>
        <w:pStyle w:val="3"/>
        <w:numPr>
          <w:ilvl w:val="0"/>
          <w:numId w:val="14"/>
        </w:numPr>
        <w:tabs>
          <w:tab w:val="left" w:pos="3014"/>
        </w:tabs>
        <w:spacing w:before="156" w:after="0" w:line="240" w:lineRule="auto"/>
        <w:ind w:left="3013" w:right="0" w:hanging="529"/>
        <w:jc w:val="left"/>
      </w:pPr>
      <w:r>
        <w:rPr>
          <w:spacing w:val="-2"/>
          <w:w w:val="95"/>
        </w:rPr>
        <w:t>多个肢体缺失:</w:t>
      </w:r>
    </w:p>
    <w:p>
      <w:pPr>
        <w:pStyle w:val="4"/>
        <w:spacing w:before="6"/>
        <w:rPr>
          <w:b/>
          <w:sz w:val="15"/>
        </w:rPr>
      </w:pPr>
    </w:p>
    <w:p>
      <w:pPr>
        <w:pStyle w:val="4"/>
        <w:spacing w:before="1" w:line="278" w:lineRule="auto"/>
        <w:ind w:left="2485" w:right="350"/>
      </w:pPr>
      <w:r>
        <w:rPr>
          <w:spacing w:val="5"/>
          <w:w w:val="99"/>
        </w:rPr>
        <w:t>指因疾病或意外伤害导致两个或两个以上肢体自腕关节或踝关节近端</w:t>
      </w:r>
      <w:r>
        <w:rPr>
          <w:spacing w:val="7"/>
          <w:w w:val="99"/>
        </w:rPr>
        <w:t>（</w:t>
      </w:r>
      <w:r>
        <w:rPr>
          <w:spacing w:val="1"/>
          <w:w w:val="99"/>
        </w:rPr>
        <w:t>靠近躯干</w:t>
      </w:r>
      <w:r>
        <w:rPr>
          <w:spacing w:val="-1"/>
          <w:w w:val="99"/>
        </w:rPr>
        <w:t>端</w:t>
      </w:r>
      <w:r>
        <w:rPr>
          <w:spacing w:val="2"/>
          <w:w w:val="99"/>
        </w:rPr>
        <w:t>）</w:t>
      </w:r>
      <w:r>
        <w:rPr>
          <w:spacing w:val="-1"/>
          <w:w w:val="99"/>
        </w:rPr>
        <w:t>以上完全性断离。</w:t>
      </w:r>
    </w:p>
    <w:p>
      <w:pPr>
        <w:pStyle w:val="3"/>
        <w:numPr>
          <w:ilvl w:val="0"/>
          <w:numId w:val="14"/>
        </w:numPr>
        <w:tabs>
          <w:tab w:val="left" w:pos="3014"/>
        </w:tabs>
        <w:spacing w:before="155" w:after="0" w:line="240" w:lineRule="auto"/>
        <w:ind w:left="3013" w:right="0" w:hanging="529"/>
        <w:jc w:val="left"/>
      </w:pPr>
      <w:r>
        <w:rPr>
          <w:spacing w:val="-1"/>
          <w:w w:val="95"/>
        </w:rPr>
        <w:t>急性重症肝炎或亚急性重症肝炎:</w:t>
      </w:r>
    </w:p>
    <w:p>
      <w:pPr>
        <w:pStyle w:val="4"/>
        <w:spacing w:before="7"/>
        <w:rPr>
          <w:b/>
          <w:sz w:val="15"/>
        </w:rPr>
      </w:pPr>
    </w:p>
    <w:p>
      <w:pPr>
        <w:pStyle w:val="4"/>
        <w:spacing w:line="278" w:lineRule="auto"/>
        <w:ind w:left="2485" w:right="347"/>
      </w:pPr>
      <w:r>
        <w:rPr>
          <w:spacing w:val="-3"/>
          <w:w w:val="99"/>
        </w:rPr>
        <w:t>指因肝炎病毒感染引起肝脏组织弥漫性坏死，导致急性肝功能衰竭，且经血清学或</w:t>
      </w:r>
      <w:r>
        <w:rPr>
          <w:spacing w:val="-1"/>
          <w:w w:val="99"/>
        </w:rPr>
        <w:t>病毒学检查证实，并须满足下列全部条件：</w:t>
      </w:r>
    </w:p>
    <w:p>
      <w:pPr>
        <w:pStyle w:val="9"/>
        <w:numPr>
          <w:ilvl w:val="0"/>
          <w:numId w:val="20"/>
        </w:numPr>
        <w:tabs>
          <w:tab w:val="left" w:pos="3205"/>
          <w:tab w:val="left" w:pos="3206"/>
        </w:tabs>
        <w:spacing w:before="156" w:after="0" w:line="240" w:lineRule="auto"/>
        <w:ind w:left="3205" w:right="0" w:hanging="721"/>
        <w:jc w:val="left"/>
        <w:rPr>
          <w:sz w:val="21"/>
        </w:rPr>
      </w:pPr>
      <w:r>
        <w:rPr>
          <w:spacing w:val="-1"/>
          <w:w w:val="95"/>
          <w:sz w:val="21"/>
        </w:rPr>
        <w:t>重度黄疸或黄疸迅速加重；</w:t>
      </w:r>
    </w:p>
    <w:p>
      <w:pPr>
        <w:pStyle w:val="4"/>
        <w:spacing w:before="6"/>
        <w:rPr>
          <w:sz w:val="15"/>
        </w:rPr>
      </w:pPr>
    </w:p>
    <w:p>
      <w:pPr>
        <w:pStyle w:val="9"/>
        <w:numPr>
          <w:ilvl w:val="0"/>
          <w:numId w:val="20"/>
        </w:numPr>
        <w:tabs>
          <w:tab w:val="left" w:pos="3205"/>
          <w:tab w:val="left" w:pos="3206"/>
        </w:tabs>
        <w:spacing w:before="1" w:after="0" w:line="240" w:lineRule="auto"/>
        <w:ind w:left="3205" w:right="0" w:hanging="721"/>
        <w:jc w:val="left"/>
        <w:rPr>
          <w:sz w:val="21"/>
        </w:rPr>
      </w:pPr>
      <w:r>
        <w:rPr>
          <w:spacing w:val="-2"/>
          <w:w w:val="95"/>
          <w:sz w:val="21"/>
        </w:rPr>
        <w:t>肝性脑病；</w:t>
      </w:r>
    </w:p>
    <w:p>
      <w:pPr>
        <w:pStyle w:val="4"/>
        <w:spacing w:before="6"/>
        <w:rPr>
          <w:sz w:val="15"/>
        </w:rPr>
      </w:pPr>
    </w:p>
    <w:p>
      <w:pPr>
        <w:pStyle w:val="9"/>
        <w:numPr>
          <w:ilvl w:val="0"/>
          <w:numId w:val="20"/>
        </w:numPr>
        <w:tabs>
          <w:tab w:val="left" w:pos="3205"/>
          <w:tab w:val="left" w:pos="3206"/>
        </w:tabs>
        <w:spacing w:before="0" w:after="0" w:line="240" w:lineRule="auto"/>
        <w:ind w:left="3205" w:right="0" w:hanging="721"/>
        <w:jc w:val="left"/>
        <w:rPr>
          <w:sz w:val="21"/>
        </w:rPr>
      </w:pPr>
      <w:r>
        <w:rPr>
          <w:w w:val="95"/>
          <w:sz w:val="21"/>
        </w:rPr>
        <w:t>B</w:t>
      </w:r>
      <w:r>
        <w:rPr>
          <w:spacing w:val="67"/>
          <w:w w:val="150"/>
          <w:sz w:val="21"/>
        </w:rPr>
        <w:t xml:space="preserve"> </w:t>
      </w:r>
      <w:r>
        <w:rPr>
          <w:spacing w:val="-1"/>
          <w:w w:val="95"/>
          <w:sz w:val="21"/>
        </w:rPr>
        <w:t>超或其它影像学检查显示肝脏体积急速萎缩；</w:t>
      </w:r>
    </w:p>
    <w:p>
      <w:pPr>
        <w:pStyle w:val="4"/>
        <w:spacing w:before="7"/>
        <w:rPr>
          <w:sz w:val="15"/>
        </w:rPr>
      </w:pPr>
    </w:p>
    <w:p>
      <w:pPr>
        <w:pStyle w:val="9"/>
        <w:numPr>
          <w:ilvl w:val="0"/>
          <w:numId w:val="20"/>
        </w:numPr>
        <w:tabs>
          <w:tab w:val="left" w:pos="3205"/>
          <w:tab w:val="left" w:pos="3206"/>
        </w:tabs>
        <w:spacing w:before="0" w:after="0" w:line="240" w:lineRule="auto"/>
        <w:ind w:left="3205" w:right="0" w:hanging="721"/>
        <w:jc w:val="left"/>
        <w:rPr>
          <w:sz w:val="21"/>
        </w:rPr>
      </w:pPr>
      <w:r>
        <w:rPr>
          <w:spacing w:val="-1"/>
          <w:w w:val="95"/>
          <w:sz w:val="21"/>
        </w:rPr>
        <w:t>肝功能指标进行性恶化。</w:t>
      </w:r>
    </w:p>
    <w:p>
      <w:pPr>
        <w:pStyle w:val="4"/>
        <w:spacing w:before="7"/>
        <w:rPr>
          <w:sz w:val="15"/>
        </w:rPr>
      </w:pPr>
    </w:p>
    <w:p>
      <w:pPr>
        <w:pStyle w:val="3"/>
        <w:numPr>
          <w:ilvl w:val="0"/>
          <w:numId w:val="14"/>
        </w:numPr>
        <w:tabs>
          <w:tab w:val="left" w:pos="3014"/>
        </w:tabs>
        <w:spacing w:before="0" w:after="0" w:line="240" w:lineRule="auto"/>
        <w:ind w:left="3013" w:right="0" w:hanging="529"/>
        <w:jc w:val="left"/>
      </w:pPr>
      <w:r>
        <w:rPr>
          <w:spacing w:val="-1"/>
          <w:w w:val="95"/>
        </w:rPr>
        <w:t>严重非恶性颅内肿瘤:</w:t>
      </w:r>
    </w:p>
    <w:p>
      <w:pPr>
        <w:pStyle w:val="4"/>
        <w:spacing w:before="6"/>
        <w:rPr>
          <w:b/>
          <w:sz w:val="15"/>
        </w:rPr>
      </w:pPr>
    </w:p>
    <w:p>
      <w:pPr>
        <w:pStyle w:val="4"/>
        <w:spacing w:before="1" w:line="278" w:lineRule="auto"/>
        <w:ind w:left="2485" w:right="244"/>
      </w:pPr>
      <w:r>
        <w:rPr>
          <w:spacing w:val="2"/>
          <w:w w:val="99"/>
        </w:rPr>
        <w:t>指起源于脑、脑神经、脑被膜的非恶性肿瘤，</w:t>
      </w:r>
      <w:r>
        <w:rPr>
          <w:spacing w:val="-2"/>
          <w:w w:val="99"/>
        </w:rPr>
        <w:t>I</w:t>
      </w:r>
      <w:r>
        <w:rPr>
          <w:spacing w:val="1"/>
          <w:w w:val="99"/>
        </w:rPr>
        <w:t>CD-</w:t>
      </w:r>
      <w:r>
        <w:rPr>
          <w:spacing w:val="-2"/>
          <w:w w:val="99"/>
        </w:rPr>
        <w:t>0</w:t>
      </w:r>
      <w:r>
        <w:rPr>
          <w:spacing w:val="1"/>
          <w:w w:val="99"/>
        </w:rPr>
        <w:t>-</w:t>
      </w:r>
      <w:r>
        <w:rPr>
          <w:w w:val="99"/>
        </w:rPr>
        <w:t>3</w:t>
      </w:r>
      <w:r>
        <w:rPr>
          <w:spacing w:val="-49"/>
        </w:rPr>
        <w:t xml:space="preserve"> </w:t>
      </w:r>
      <w:r>
        <w:rPr>
          <w:spacing w:val="1"/>
          <w:w w:val="99"/>
        </w:rPr>
        <w:t>肿瘤形态学编码属于</w:t>
      </w:r>
      <w:r>
        <w:rPr>
          <w:spacing w:val="-48"/>
        </w:rPr>
        <w:t xml:space="preserve"> </w:t>
      </w:r>
      <w:r>
        <w:rPr>
          <w:spacing w:val="3"/>
          <w:w w:val="99"/>
        </w:rPr>
        <w:t>0</w:t>
      </w:r>
      <w:r>
        <w:rPr>
          <w:spacing w:val="4"/>
          <w:w w:val="99"/>
        </w:rPr>
        <w:t>（</w:t>
      </w:r>
      <w:r>
        <w:rPr>
          <w:w w:val="99"/>
        </w:rPr>
        <w:t>良性肿瘤</w:t>
      </w:r>
      <w:r>
        <w:rPr>
          <w:spacing w:val="-106"/>
          <w:w w:val="99"/>
        </w:rPr>
        <w:t>）</w:t>
      </w:r>
      <w:r>
        <w:rPr>
          <w:spacing w:val="-27"/>
          <w:w w:val="99"/>
        </w:rPr>
        <w:t>、</w:t>
      </w:r>
      <w:r>
        <w:rPr>
          <w:spacing w:val="-28"/>
          <w:w w:val="99"/>
        </w:rPr>
        <w:t>1</w:t>
      </w:r>
      <w:r>
        <w:rPr>
          <w:spacing w:val="-1"/>
          <w:w w:val="99"/>
        </w:rPr>
        <w:t>（动态未定性肿瘤</w:t>
      </w:r>
      <w:r>
        <w:rPr>
          <w:spacing w:val="-27"/>
          <w:w w:val="99"/>
        </w:rPr>
        <w:t>）</w:t>
      </w:r>
      <w:r>
        <w:rPr>
          <w:spacing w:val="-5"/>
          <w:w w:val="99"/>
        </w:rPr>
        <w:t>范畴，并已经引起颅内压升高或神经系统功能损害，</w:t>
      </w:r>
      <w:r>
        <w:rPr>
          <w:spacing w:val="-3"/>
          <w:w w:val="99"/>
        </w:rPr>
        <w:t>出现视乳头水肿或视觉受损、听觉受损、面部或肢体瘫痪、癫痫等，须由头颅断层</w:t>
      </w:r>
      <w:r>
        <w:rPr>
          <w:spacing w:val="3"/>
          <w:w w:val="99"/>
        </w:rPr>
        <w:t>扫描</w:t>
      </w:r>
      <w:r>
        <w:rPr>
          <w:spacing w:val="4"/>
          <w:w w:val="99"/>
        </w:rPr>
        <w:t>（</w:t>
      </w:r>
      <w:r>
        <w:rPr>
          <w:spacing w:val="1"/>
          <w:w w:val="99"/>
        </w:rPr>
        <w:t>C</w:t>
      </w:r>
      <w:r>
        <w:rPr>
          <w:spacing w:val="3"/>
          <w:w w:val="99"/>
        </w:rPr>
        <w:t>T</w:t>
      </w:r>
      <w:r>
        <w:rPr>
          <w:spacing w:val="-104"/>
          <w:w w:val="99"/>
        </w:rPr>
        <w:t>）</w:t>
      </w:r>
      <w:r>
        <w:rPr>
          <w:spacing w:val="2"/>
          <w:w w:val="99"/>
        </w:rPr>
        <w:t>、核磁共振检查（</w:t>
      </w:r>
      <w:r>
        <w:rPr>
          <w:spacing w:val="1"/>
          <w:w w:val="99"/>
        </w:rPr>
        <w:t>MR</w:t>
      </w:r>
      <w:r>
        <w:rPr>
          <w:spacing w:val="3"/>
          <w:w w:val="99"/>
        </w:rPr>
        <w:t>I</w:t>
      </w:r>
      <w:r>
        <w:rPr>
          <w:spacing w:val="4"/>
          <w:w w:val="99"/>
        </w:rPr>
        <w:t>）</w:t>
      </w:r>
      <w:r>
        <w:rPr>
          <w:spacing w:val="2"/>
          <w:w w:val="99"/>
        </w:rPr>
        <w:t>或正电子发射断层扫描</w:t>
      </w:r>
      <w:r>
        <w:rPr>
          <w:spacing w:val="4"/>
          <w:w w:val="99"/>
        </w:rPr>
        <w:t>（</w:t>
      </w:r>
      <w:r>
        <w:rPr>
          <w:spacing w:val="1"/>
          <w:w w:val="99"/>
        </w:rPr>
        <w:t>PET</w:t>
      </w:r>
      <w:r>
        <w:rPr>
          <w:spacing w:val="4"/>
          <w:w w:val="99"/>
        </w:rPr>
        <w:t>）</w:t>
      </w:r>
      <w:r>
        <w:rPr>
          <w:spacing w:val="1"/>
          <w:w w:val="99"/>
        </w:rPr>
        <w:t>等影像学检查证</w:t>
      </w:r>
      <w:r>
        <w:rPr>
          <w:spacing w:val="-1"/>
          <w:w w:val="99"/>
        </w:rPr>
        <w:t>实，且必须满足下列至少一项条件：</w:t>
      </w:r>
    </w:p>
    <w:p>
      <w:pPr>
        <w:pStyle w:val="9"/>
        <w:numPr>
          <w:ilvl w:val="0"/>
          <w:numId w:val="21"/>
        </w:numPr>
        <w:tabs>
          <w:tab w:val="left" w:pos="3205"/>
          <w:tab w:val="left" w:pos="3206"/>
        </w:tabs>
        <w:spacing w:before="155" w:after="0" w:line="240" w:lineRule="auto"/>
        <w:ind w:left="3205" w:right="0" w:hanging="721"/>
        <w:jc w:val="left"/>
        <w:rPr>
          <w:sz w:val="21"/>
        </w:rPr>
      </w:pPr>
      <w:r>
        <w:rPr>
          <w:spacing w:val="-1"/>
          <w:w w:val="95"/>
          <w:sz w:val="21"/>
        </w:rPr>
        <w:t>已经实施了开颅进行的颅内肿瘤完全或部分切除手术；</w:t>
      </w:r>
    </w:p>
    <w:p>
      <w:pPr>
        <w:pStyle w:val="4"/>
        <w:spacing w:before="7"/>
        <w:rPr>
          <w:sz w:val="15"/>
        </w:rPr>
      </w:pPr>
    </w:p>
    <w:p>
      <w:pPr>
        <w:pStyle w:val="9"/>
        <w:numPr>
          <w:ilvl w:val="0"/>
          <w:numId w:val="21"/>
        </w:numPr>
        <w:tabs>
          <w:tab w:val="left" w:pos="3205"/>
          <w:tab w:val="left" w:pos="3206"/>
        </w:tabs>
        <w:spacing w:before="0" w:after="0" w:line="240" w:lineRule="auto"/>
        <w:ind w:left="3205" w:right="0" w:hanging="721"/>
        <w:jc w:val="left"/>
        <w:rPr>
          <w:sz w:val="21"/>
        </w:rPr>
      </w:pPr>
      <w:r>
        <w:rPr>
          <w:w w:val="95"/>
          <w:sz w:val="21"/>
        </w:rPr>
        <w:t>已经实施了针对颅内肿瘤的放射治疗，如γ</w:t>
      </w:r>
      <w:r>
        <w:rPr>
          <w:spacing w:val="-1"/>
          <w:w w:val="95"/>
          <w:sz w:val="21"/>
        </w:rPr>
        <w:t>刀、质子重离子治疗等。</w:t>
      </w:r>
    </w:p>
    <w:p>
      <w:pPr>
        <w:pStyle w:val="4"/>
        <w:spacing w:before="1"/>
        <w:rPr>
          <w:sz w:val="10"/>
        </w:rPr>
      </w:pPr>
    </w:p>
    <w:p>
      <w:pPr>
        <w:pStyle w:val="4"/>
        <w:spacing w:before="70"/>
        <w:ind w:left="2485"/>
      </w:pPr>
      <w:r>
        <w:rPr>
          <w:color w:val="000000"/>
          <w:spacing w:val="-1"/>
          <w:w w:val="95"/>
          <w:shd w:val="clear" w:color="auto" w:fill="E4E4E4"/>
        </w:rPr>
        <w:t>下列疾病不在保障范围内：</w:t>
      </w:r>
    </w:p>
    <w:p>
      <w:pPr>
        <w:pStyle w:val="4"/>
        <w:spacing w:before="6"/>
        <w:rPr>
          <w:sz w:val="15"/>
        </w:rPr>
      </w:pPr>
    </w:p>
    <w:p>
      <w:pPr>
        <w:pStyle w:val="9"/>
        <w:numPr>
          <w:ilvl w:val="0"/>
          <w:numId w:val="22"/>
        </w:numPr>
        <w:tabs>
          <w:tab w:val="left" w:pos="3205"/>
          <w:tab w:val="left" w:pos="3206"/>
        </w:tabs>
        <w:spacing w:before="0" w:after="0" w:line="240" w:lineRule="auto"/>
        <w:ind w:left="3205" w:right="0" w:hanging="721"/>
        <w:jc w:val="left"/>
        <w:rPr>
          <w:sz w:val="21"/>
        </w:rPr>
      </w:pPr>
      <w:r>
        <w:rPr>
          <w:color w:val="000000"/>
          <w:spacing w:val="-2"/>
          <w:w w:val="95"/>
          <w:sz w:val="21"/>
          <w:shd w:val="clear" w:color="auto" w:fill="E4E4E4"/>
        </w:rPr>
        <w:t>脑垂体瘤；</w:t>
      </w:r>
    </w:p>
    <w:p>
      <w:pPr>
        <w:pStyle w:val="4"/>
        <w:spacing w:before="7"/>
        <w:rPr>
          <w:sz w:val="15"/>
        </w:rPr>
      </w:pPr>
    </w:p>
    <w:p>
      <w:pPr>
        <w:pStyle w:val="9"/>
        <w:numPr>
          <w:ilvl w:val="0"/>
          <w:numId w:val="22"/>
        </w:numPr>
        <w:tabs>
          <w:tab w:val="left" w:pos="3205"/>
          <w:tab w:val="left" w:pos="3206"/>
        </w:tabs>
        <w:spacing w:before="0" w:after="0" w:line="240" w:lineRule="auto"/>
        <w:ind w:left="3205" w:right="0" w:hanging="721"/>
        <w:jc w:val="left"/>
        <w:rPr>
          <w:sz w:val="21"/>
        </w:rPr>
      </w:pPr>
      <w:r>
        <w:rPr>
          <w:color w:val="000000"/>
          <w:spacing w:val="-3"/>
          <w:w w:val="95"/>
          <w:sz w:val="21"/>
          <w:shd w:val="clear" w:color="auto" w:fill="E4E4E4"/>
        </w:rPr>
        <w:t>脑囊肿；</w:t>
      </w:r>
    </w:p>
    <w:p>
      <w:pPr>
        <w:pStyle w:val="4"/>
        <w:spacing w:before="7"/>
        <w:rPr>
          <w:sz w:val="15"/>
        </w:rPr>
      </w:pPr>
    </w:p>
    <w:p>
      <w:pPr>
        <w:pStyle w:val="9"/>
        <w:numPr>
          <w:ilvl w:val="0"/>
          <w:numId w:val="22"/>
        </w:numPr>
        <w:tabs>
          <w:tab w:val="left" w:pos="3205"/>
          <w:tab w:val="left" w:pos="3206"/>
        </w:tabs>
        <w:spacing w:before="0" w:after="0" w:line="278" w:lineRule="auto"/>
        <w:ind w:left="3205" w:right="347" w:hanging="720"/>
        <w:jc w:val="left"/>
        <w:rPr>
          <w:sz w:val="21"/>
        </w:rPr>
      </w:pPr>
      <w:r>
        <w:rPr>
          <w:color w:val="000000"/>
          <w:spacing w:val="-5"/>
          <w:w w:val="99"/>
          <w:sz w:val="21"/>
          <w:shd w:val="clear" w:color="auto" w:fill="E4E4E4"/>
        </w:rPr>
        <w:t>颅内血管性疾病</w:t>
      </w:r>
      <w:r>
        <w:rPr>
          <w:color w:val="000000"/>
          <w:spacing w:val="2"/>
          <w:w w:val="99"/>
          <w:sz w:val="21"/>
          <w:shd w:val="clear" w:color="auto" w:fill="E4E4E4"/>
        </w:rPr>
        <w:t>（</w:t>
      </w:r>
      <w:r>
        <w:rPr>
          <w:color w:val="000000"/>
          <w:spacing w:val="-7"/>
          <w:w w:val="99"/>
          <w:sz w:val="21"/>
          <w:shd w:val="clear" w:color="auto" w:fill="E4E4E4"/>
        </w:rPr>
        <w:t>如脑动脉瘤、脑动静脉畸形、海绵状血管瘤、毛细血管扩</w:t>
      </w:r>
      <w:r>
        <w:rPr>
          <w:color w:val="000000"/>
          <w:w w:val="99"/>
          <w:sz w:val="21"/>
          <w:shd w:val="clear" w:color="auto" w:fill="E4E4E4"/>
        </w:rPr>
        <w:t>张症等</w:t>
      </w:r>
      <w:r>
        <w:rPr>
          <w:color w:val="000000"/>
          <w:spacing w:val="-106"/>
          <w:w w:val="99"/>
          <w:sz w:val="21"/>
          <w:shd w:val="clear" w:color="auto" w:fill="E4E4E4"/>
        </w:rPr>
        <w:t>）</w:t>
      </w:r>
      <w:r>
        <w:rPr>
          <w:color w:val="000000"/>
          <w:w w:val="99"/>
          <w:sz w:val="21"/>
          <w:shd w:val="clear" w:color="auto" w:fill="E4E4E4"/>
        </w:rPr>
        <w:t>。</w:t>
      </w:r>
    </w:p>
    <w:p>
      <w:pPr>
        <w:spacing w:after="0" w:line="278" w:lineRule="auto"/>
        <w:jc w:val="left"/>
        <w:rPr>
          <w:sz w:val="21"/>
        </w:rPr>
        <w:sectPr>
          <w:pgSz w:w="11910" w:h="16840"/>
          <w:pgMar w:top="1400" w:right="660" w:bottom="860" w:left="860" w:header="0" w:footer="662" w:gutter="0"/>
          <w:cols w:space="720" w:num="1"/>
        </w:sectPr>
      </w:pPr>
    </w:p>
    <w:p>
      <w:pPr>
        <w:pStyle w:val="3"/>
        <w:numPr>
          <w:ilvl w:val="0"/>
          <w:numId w:val="14"/>
        </w:numPr>
        <w:tabs>
          <w:tab w:val="left" w:pos="3120"/>
        </w:tabs>
        <w:spacing w:before="43" w:after="0" w:line="240" w:lineRule="auto"/>
        <w:ind w:left="3119" w:right="0" w:hanging="635"/>
        <w:jc w:val="left"/>
      </w:pPr>
      <w:r>
        <w:rPr>
          <w:spacing w:val="-2"/>
          <w:w w:val="95"/>
        </w:rPr>
        <w:t>严重慢性肝衰竭:</w:t>
      </w:r>
    </w:p>
    <w:p>
      <w:pPr>
        <w:pStyle w:val="4"/>
        <w:spacing w:before="7"/>
        <w:rPr>
          <w:b/>
          <w:sz w:val="15"/>
        </w:rPr>
      </w:pPr>
    </w:p>
    <w:p>
      <w:pPr>
        <w:pStyle w:val="4"/>
        <w:ind w:left="2485"/>
      </w:pPr>
      <w:r>
        <w:rPr>
          <w:spacing w:val="-1"/>
          <w:w w:val="95"/>
        </w:rPr>
        <w:t>指因慢性肝脏疾病导致的肝衰竭，且须满足下列全部条件：</w:t>
      </w:r>
    </w:p>
    <w:p>
      <w:pPr>
        <w:pStyle w:val="4"/>
        <w:spacing w:before="6"/>
        <w:rPr>
          <w:sz w:val="15"/>
        </w:rPr>
      </w:pPr>
    </w:p>
    <w:p>
      <w:pPr>
        <w:pStyle w:val="9"/>
        <w:numPr>
          <w:ilvl w:val="0"/>
          <w:numId w:val="23"/>
        </w:numPr>
        <w:tabs>
          <w:tab w:val="left" w:pos="3205"/>
          <w:tab w:val="left" w:pos="3206"/>
        </w:tabs>
        <w:spacing w:before="1" w:after="0" w:line="240" w:lineRule="auto"/>
        <w:ind w:left="3205" w:right="0" w:hanging="721"/>
        <w:jc w:val="left"/>
        <w:rPr>
          <w:sz w:val="21"/>
        </w:rPr>
      </w:pPr>
      <w:r>
        <w:rPr>
          <w:spacing w:val="-2"/>
          <w:w w:val="95"/>
          <w:sz w:val="21"/>
        </w:rPr>
        <w:t>持续性黄疸；</w:t>
      </w:r>
    </w:p>
    <w:p>
      <w:pPr>
        <w:pStyle w:val="4"/>
        <w:spacing w:before="6"/>
        <w:rPr>
          <w:sz w:val="15"/>
        </w:rPr>
      </w:pPr>
    </w:p>
    <w:p>
      <w:pPr>
        <w:pStyle w:val="9"/>
        <w:numPr>
          <w:ilvl w:val="0"/>
          <w:numId w:val="23"/>
        </w:numPr>
        <w:tabs>
          <w:tab w:val="left" w:pos="3205"/>
          <w:tab w:val="left" w:pos="3206"/>
        </w:tabs>
        <w:spacing w:before="0" w:after="0" w:line="240" w:lineRule="auto"/>
        <w:ind w:left="3205" w:right="0" w:hanging="721"/>
        <w:jc w:val="left"/>
        <w:rPr>
          <w:sz w:val="21"/>
        </w:rPr>
      </w:pPr>
      <w:r>
        <w:rPr>
          <w:spacing w:val="-4"/>
          <w:w w:val="95"/>
          <w:sz w:val="21"/>
        </w:rPr>
        <w:t>腹水；</w:t>
      </w:r>
    </w:p>
    <w:p>
      <w:pPr>
        <w:pStyle w:val="4"/>
        <w:spacing w:before="7"/>
        <w:rPr>
          <w:sz w:val="15"/>
        </w:rPr>
      </w:pPr>
    </w:p>
    <w:p>
      <w:pPr>
        <w:pStyle w:val="9"/>
        <w:numPr>
          <w:ilvl w:val="0"/>
          <w:numId w:val="23"/>
        </w:numPr>
        <w:tabs>
          <w:tab w:val="left" w:pos="3205"/>
          <w:tab w:val="left" w:pos="3206"/>
        </w:tabs>
        <w:spacing w:before="0" w:after="0" w:line="240" w:lineRule="auto"/>
        <w:ind w:left="3205" w:right="0" w:hanging="721"/>
        <w:jc w:val="left"/>
        <w:rPr>
          <w:sz w:val="21"/>
        </w:rPr>
      </w:pPr>
      <w:r>
        <w:rPr>
          <w:spacing w:val="-2"/>
          <w:w w:val="95"/>
          <w:sz w:val="21"/>
        </w:rPr>
        <w:t>肝性脑病；</w:t>
      </w:r>
    </w:p>
    <w:p>
      <w:pPr>
        <w:pStyle w:val="4"/>
        <w:spacing w:before="7"/>
        <w:rPr>
          <w:sz w:val="15"/>
        </w:rPr>
      </w:pPr>
    </w:p>
    <w:p>
      <w:pPr>
        <w:pStyle w:val="9"/>
        <w:numPr>
          <w:ilvl w:val="0"/>
          <w:numId w:val="23"/>
        </w:numPr>
        <w:tabs>
          <w:tab w:val="left" w:pos="3205"/>
          <w:tab w:val="left" w:pos="3206"/>
        </w:tabs>
        <w:spacing w:before="0" w:after="0" w:line="240" w:lineRule="auto"/>
        <w:ind w:left="3205" w:right="0" w:hanging="721"/>
        <w:jc w:val="left"/>
        <w:rPr>
          <w:sz w:val="21"/>
        </w:rPr>
      </w:pPr>
      <w:r>
        <w:rPr>
          <w:spacing w:val="-1"/>
          <w:w w:val="95"/>
          <w:sz w:val="21"/>
        </w:rPr>
        <w:t>充血性脾肿大伴脾功能亢进或食管胃底静脉曲张。</w:t>
      </w:r>
    </w:p>
    <w:p>
      <w:pPr>
        <w:pStyle w:val="4"/>
        <w:spacing w:before="1"/>
        <w:rPr>
          <w:sz w:val="10"/>
        </w:rPr>
      </w:pPr>
    </w:p>
    <w:p>
      <w:pPr>
        <w:pStyle w:val="4"/>
        <w:spacing w:before="70"/>
        <w:ind w:left="2485"/>
      </w:pPr>
      <w:r>
        <w:rPr>
          <w:color w:val="000000"/>
          <w:spacing w:val="-1"/>
          <w:w w:val="95"/>
          <w:shd w:val="clear" w:color="auto" w:fill="E4E4E4"/>
        </w:rPr>
        <w:t>因酗酒或药物滥用导致的肝衰竭不在保障范围内。</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1"/>
          <w:w w:val="95"/>
        </w:rPr>
        <w:t>严重脑炎后遗症或严重脑膜炎后遗症:</w:t>
      </w:r>
    </w:p>
    <w:p>
      <w:pPr>
        <w:pStyle w:val="4"/>
        <w:spacing w:before="7"/>
        <w:rPr>
          <w:b/>
          <w:sz w:val="15"/>
        </w:rPr>
      </w:pPr>
    </w:p>
    <w:p>
      <w:pPr>
        <w:pStyle w:val="4"/>
        <w:spacing w:line="278" w:lineRule="auto"/>
        <w:ind w:left="2485" w:right="350"/>
        <w:jc w:val="both"/>
      </w:pPr>
      <w:r>
        <w:rPr>
          <w:spacing w:val="-2"/>
          <w:w w:val="99"/>
        </w:rPr>
        <w:t>指因患脑炎或脑膜炎导致的神经系统永久性的功能障碍。神经系统永久性的功能障</w:t>
      </w:r>
      <w:r>
        <w:rPr>
          <w:spacing w:val="-1"/>
          <w:w w:val="99"/>
        </w:rPr>
        <w:t>碍，指经相关专科医生确诊疾病</w:t>
      </w:r>
      <w:r>
        <w:rPr>
          <w:spacing w:val="-50"/>
        </w:rPr>
        <w:t xml:space="preserve"> </w:t>
      </w:r>
      <w:r>
        <w:rPr>
          <w:spacing w:val="1"/>
          <w:w w:val="99"/>
        </w:rPr>
        <w:t>18</w:t>
      </w:r>
      <w:r>
        <w:rPr>
          <w:w w:val="99"/>
        </w:rPr>
        <w:t>0</w:t>
      </w:r>
      <w:r>
        <w:rPr>
          <w:spacing w:val="-54"/>
        </w:rPr>
        <w:t xml:space="preserve"> </w:t>
      </w:r>
      <w:r>
        <w:rPr>
          <w:spacing w:val="-1"/>
          <w:w w:val="99"/>
        </w:rPr>
        <w:t>天后，仍遗留下列至少一种障碍：</w:t>
      </w:r>
    </w:p>
    <w:p>
      <w:pPr>
        <w:pStyle w:val="9"/>
        <w:numPr>
          <w:ilvl w:val="0"/>
          <w:numId w:val="24"/>
        </w:numPr>
        <w:tabs>
          <w:tab w:val="left" w:pos="3205"/>
          <w:tab w:val="left" w:pos="3206"/>
        </w:tabs>
        <w:spacing w:before="156" w:after="0" w:line="240" w:lineRule="auto"/>
        <w:ind w:left="3205" w:right="0" w:hanging="721"/>
        <w:jc w:val="left"/>
        <w:rPr>
          <w:sz w:val="21"/>
        </w:rPr>
      </w:pPr>
      <w:r>
        <w:rPr>
          <w:w w:val="95"/>
          <w:sz w:val="21"/>
        </w:rPr>
        <w:t>一肢（含）以上肢体肌力</w:t>
      </w:r>
      <w:r>
        <w:rPr>
          <w:spacing w:val="23"/>
          <w:sz w:val="21"/>
        </w:rPr>
        <w:t xml:space="preserve"> </w:t>
      </w:r>
      <w:r>
        <w:rPr>
          <w:w w:val="95"/>
          <w:sz w:val="21"/>
        </w:rPr>
        <w:t>2</w:t>
      </w:r>
      <w:r>
        <w:rPr>
          <w:spacing w:val="27"/>
          <w:sz w:val="21"/>
        </w:rPr>
        <w:t xml:space="preserve"> </w:t>
      </w:r>
      <w:r>
        <w:rPr>
          <w:w w:val="95"/>
          <w:sz w:val="21"/>
        </w:rPr>
        <w:t>级（含）</w:t>
      </w:r>
      <w:r>
        <w:rPr>
          <w:spacing w:val="-4"/>
          <w:w w:val="95"/>
          <w:sz w:val="21"/>
        </w:rPr>
        <w:t>以下；</w:t>
      </w:r>
    </w:p>
    <w:p>
      <w:pPr>
        <w:pStyle w:val="4"/>
        <w:spacing w:before="6"/>
        <w:rPr>
          <w:sz w:val="15"/>
        </w:rPr>
      </w:pPr>
    </w:p>
    <w:p>
      <w:pPr>
        <w:pStyle w:val="9"/>
        <w:numPr>
          <w:ilvl w:val="0"/>
          <w:numId w:val="24"/>
        </w:numPr>
        <w:tabs>
          <w:tab w:val="left" w:pos="3205"/>
          <w:tab w:val="left" w:pos="3206"/>
        </w:tabs>
        <w:spacing w:before="1" w:after="0" w:line="240" w:lineRule="auto"/>
        <w:ind w:left="3205" w:right="0" w:hanging="721"/>
        <w:jc w:val="left"/>
        <w:rPr>
          <w:sz w:val="21"/>
        </w:rPr>
      </w:pPr>
      <w:r>
        <w:rPr>
          <w:spacing w:val="-1"/>
          <w:w w:val="95"/>
          <w:sz w:val="21"/>
        </w:rPr>
        <w:t>语言能力完全丧失，或严重咀嚼吞咽功能障碍；</w:t>
      </w:r>
    </w:p>
    <w:p>
      <w:pPr>
        <w:pStyle w:val="4"/>
        <w:spacing w:before="6"/>
        <w:rPr>
          <w:sz w:val="15"/>
        </w:rPr>
      </w:pPr>
    </w:p>
    <w:p>
      <w:pPr>
        <w:pStyle w:val="9"/>
        <w:numPr>
          <w:ilvl w:val="0"/>
          <w:numId w:val="24"/>
        </w:numPr>
        <w:tabs>
          <w:tab w:val="left" w:pos="3205"/>
          <w:tab w:val="left" w:pos="3206"/>
        </w:tabs>
        <w:spacing w:before="0" w:after="0" w:line="278" w:lineRule="auto"/>
        <w:ind w:left="3205" w:right="349" w:hanging="720"/>
        <w:jc w:val="left"/>
        <w:rPr>
          <w:sz w:val="21"/>
        </w:rPr>
      </w:pPr>
      <w:r>
        <w:rPr>
          <w:spacing w:val="26"/>
          <w:w w:val="95"/>
          <w:sz w:val="21"/>
        </w:rPr>
        <w:t>由具有评估资格的专科医生根据临床痴呆评定量表</w:t>
      </w:r>
      <w:r>
        <w:rPr>
          <w:w w:val="95"/>
          <w:sz w:val="21"/>
        </w:rPr>
        <w:t>（</w:t>
      </w:r>
      <w:r>
        <w:rPr>
          <w:spacing w:val="-64"/>
          <w:w w:val="95"/>
          <w:sz w:val="21"/>
        </w:rPr>
        <w:t xml:space="preserve"> </w:t>
      </w:r>
      <w:r>
        <w:rPr>
          <w:w w:val="95"/>
          <w:sz w:val="21"/>
        </w:rPr>
        <w:t>CDR</w:t>
      </w:r>
      <w:r>
        <w:rPr>
          <w:spacing w:val="-32"/>
          <w:w w:val="95"/>
          <w:sz w:val="21"/>
        </w:rPr>
        <w:t xml:space="preserve">， </w:t>
      </w:r>
      <w:r>
        <w:rPr>
          <w:w w:val="95"/>
          <w:sz w:val="21"/>
        </w:rPr>
        <w:t>Clinical</w:t>
      </w:r>
      <w:r>
        <w:rPr>
          <w:spacing w:val="40"/>
          <w:sz w:val="21"/>
        </w:rPr>
        <w:t xml:space="preserve"> </w:t>
      </w:r>
      <w:r>
        <w:rPr>
          <w:sz w:val="21"/>
        </w:rPr>
        <w:t>Dementia Rating）</w:t>
      </w:r>
      <w:r>
        <w:rPr>
          <w:spacing w:val="-2"/>
          <w:sz w:val="21"/>
        </w:rPr>
        <w:t xml:space="preserve">评估结果为 </w:t>
      </w:r>
      <w:r>
        <w:rPr>
          <w:sz w:val="21"/>
        </w:rPr>
        <w:t>3</w:t>
      </w:r>
      <w:r>
        <w:rPr>
          <w:spacing w:val="-6"/>
          <w:sz w:val="21"/>
        </w:rPr>
        <w:t xml:space="preserve"> 分；</w:t>
      </w:r>
    </w:p>
    <w:p>
      <w:pPr>
        <w:pStyle w:val="9"/>
        <w:numPr>
          <w:ilvl w:val="0"/>
          <w:numId w:val="24"/>
        </w:numPr>
        <w:tabs>
          <w:tab w:val="left" w:pos="3205"/>
          <w:tab w:val="left" w:pos="3206"/>
        </w:tabs>
        <w:spacing w:before="156" w:after="0" w:line="278" w:lineRule="auto"/>
        <w:ind w:left="3205" w:right="350" w:hanging="720"/>
        <w:jc w:val="left"/>
        <w:rPr>
          <w:sz w:val="21"/>
        </w:rPr>
      </w:pPr>
      <w:r>
        <w:rPr>
          <w:spacing w:val="-10"/>
          <w:w w:val="99"/>
          <w:sz w:val="21"/>
        </w:rPr>
        <w:t>自主生活能力完全丧失，无法独立完成六项基本日常生活活动中的三项或三</w:t>
      </w:r>
      <w:r>
        <w:rPr>
          <w:spacing w:val="-1"/>
          <w:w w:val="99"/>
          <w:sz w:val="21"/>
        </w:rPr>
        <w:t>项以上。</w:t>
      </w:r>
    </w:p>
    <w:p>
      <w:pPr>
        <w:pStyle w:val="3"/>
        <w:numPr>
          <w:ilvl w:val="0"/>
          <w:numId w:val="14"/>
        </w:numPr>
        <w:tabs>
          <w:tab w:val="left" w:pos="3120"/>
        </w:tabs>
        <w:spacing w:before="156" w:after="0" w:line="240" w:lineRule="auto"/>
        <w:ind w:left="3119" w:right="0" w:hanging="635"/>
        <w:jc w:val="left"/>
      </w:pPr>
      <w:r>
        <w:rPr>
          <w:spacing w:val="-2"/>
          <w:w w:val="95"/>
        </w:rPr>
        <w:t>深度昏迷:</w:t>
      </w:r>
    </w:p>
    <w:p>
      <w:pPr>
        <w:pStyle w:val="4"/>
        <w:spacing w:before="7"/>
        <w:rPr>
          <w:b/>
          <w:sz w:val="15"/>
        </w:rPr>
      </w:pPr>
    </w:p>
    <w:p>
      <w:pPr>
        <w:pStyle w:val="4"/>
        <w:spacing w:line="278" w:lineRule="auto"/>
        <w:ind w:left="2485" w:right="347"/>
        <w:jc w:val="both"/>
      </w:pPr>
      <w:r>
        <w:rPr>
          <w:spacing w:val="-3"/>
          <w:w w:val="99"/>
        </w:rPr>
        <w:t>指因疾病或意外伤害导致意识丧失，对外界刺激和体内需求均无反应，昏迷程度按</w:t>
      </w:r>
      <w:r>
        <w:rPr>
          <w:spacing w:val="3"/>
          <w:w w:val="99"/>
        </w:rPr>
        <w:t>照格拉斯哥昏迷分级</w:t>
      </w:r>
      <w:r>
        <w:rPr>
          <w:spacing w:val="4"/>
          <w:w w:val="99"/>
        </w:rPr>
        <w:t>（</w:t>
      </w:r>
      <w:r>
        <w:rPr>
          <w:spacing w:val="1"/>
          <w:w w:val="99"/>
        </w:rPr>
        <w:t>GC</w:t>
      </w:r>
      <w:r>
        <w:rPr>
          <w:spacing w:val="3"/>
          <w:w w:val="99"/>
        </w:rPr>
        <w:t>S</w:t>
      </w:r>
      <w:r>
        <w:rPr>
          <w:spacing w:val="4"/>
          <w:w w:val="99"/>
        </w:rPr>
        <w:t>，</w:t>
      </w:r>
      <w:r>
        <w:rPr>
          <w:spacing w:val="1"/>
          <w:w w:val="99"/>
        </w:rPr>
        <w:t>Gla</w:t>
      </w:r>
      <w:r>
        <w:rPr>
          <w:spacing w:val="-2"/>
          <w:w w:val="99"/>
        </w:rPr>
        <w:t>s</w:t>
      </w:r>
      <w:r>
        <w:rPr>
          <w:spacing w:val="1"/>
          <w:w w:val="99"/>
        </w:rPr>
        <w:t>go</w:t>
      </w:r>
      <w:r>
        <w:rPr>
          <w:w w:val="99"/>
        </w:rPr>
        <w:t>w</w:t>
      </w:r>
      <w:r>
        <w:rPr>
          <w:spacing w:val="1"/>
        </w:rPr>
        <w:t xml:space="preserve"> </w:t>
      </w:r>
      <w:r>
        <w:rPr>
          <w:spacing w:val="1"/>
          <w:w w:val="99"/>
        </w:rPr>
        <w:t>Com</w:t>
      </w:r>
      <w:r>
        <w:rPr>
          <w:w w:val="99"/>
        </w:rPr>
        <w:t>a</w:t>
      </w:r>
      <w:r>
        <w:rPr>
          <w:spacing w:val="4"/>
        </w:rPr>
        <w:t xml:space="preserve"> </w:t>
      </w:r>
      <w:r>
        <w:rPr>
          <w:spacing w:val="1"/>
          <w:w w:val="99"/>
        </w:rPr>
        <w:t>Sc</w:t>
      </w:r>
      <w:r>
        <w:rPr>
          <w:spacing w:val="-2"/>
          <w:w w:val="99"/>
        </w:rPr>
        <w:t>a</w:t>
      </w:r>
      <w:r>
        <w:rPr>
          <w:spacing w:val="1"/>
          <w:w w:val="99"/>
        </w:rPr>
        <w:t>l</w:t>
      </w:r>
      <w:r>
        <w:rPr>
          <w:spacing w:val="3"/>
          <w:w w:val="99"/>
        </w:rPr>
        <w:t>e</w:t>
      </w:r>
      <w:r>
        <w:rPr>
          <w:spacing w:val="4"/>
          <w:w w:val="99"/>
        </w:rPr>
        <w:t>）</w:t>
      </w:r>
      <w:r>
        <w:rPr>
          <w:spacing w:val="2"/>
          <w:w w:val="99"/>
        </w:rPr>
        <w:t>结果为</w:t>
      </w:r>
      <w:r>
        <w:rPr>
          <w:spacing w:val="-50"/>
        </w:rPr>
        <w:t xml:space="preserve"> </w:t>
      </w:r>
      <w:r>
        <w:rPr>
          <w:w w:val="99"/>
        </w:rPr>
        <w:t>5</w:t>
      </w:r>
      <w:r>
        <w:rPr>
          <w:spacing w:val="-49"/>
        </w:rPr>
        <w:t xml:space="preserve"> </w:t>
      </w:r>
      <w:r>
        <w:rPr>
          <w:spacing w:val="2"/>
          <w:w w:val="99"/>
        </w:rPr>
        <w:t>分或</w:t>
      </w:r>
      <w:r>
        <w:rPr>
          <w:spacing w:val="-48"/>
        </w:rPr>
        <w:t xml:space="preserve"> </w:t>
      </w:r>
      <w:r>
        <w:rPr>
          <w:w w:val="99"/>
        </w:rPr>
        <w:t>5</w:t>
      </w:r>
      <w:r>
        <w:rPr>
          <w:spacing w:val="-49"/>
        </w:rPr>
        <w:t xml:space="preserve"> </w:t>
      </w:r>
      <w:r>
        <w:rPr>
          <w:spacing w:val="3"/>
          <w:w w:val="99"/>
        </w:rPr>
        <w:t>分以下，且已</w:t>
      </w:r>
      <w:r>
        <w:rPr>
          <w:spacing w:val="-1"/>
          <w:w w:val="99"/>
        </w:rPr>
        <w:t>经持续使用呼吸机及其它生命维持系统</w:t>
      </w:r>
      <w:r>
        <w:rPr>
          <w:spacing w:val="-53"/>
        </w:rPr>
        <w:t xml:space="preserve"> </w:t>
      </w:r>
      <w:r>
        <w:rPr>
          <w:spacing w:val="1"/>
          <w:w w:val="99"/>
        </w:rPr>
        <w:t>9</w:t>
      </w:r>
      <w:r>
        <w:rPr>
          <w:w w:val="99"/>
        </w:rPr>
        <w:t>6</w:t>
      </w:r>
      <w:r>
        <w:rPr>
          <w:spacing w:val="-52"/>
        </w:rPr>
        <w:t xml:space="preserve"> </w:t>
      </w:r>
      <w:r>
        <w:rPr>
          <w:spacing w:val="-1"/>
          <w:w w:val="99"/>
        </w:rPr>
        <w:t>小时以上。</w:t>
      </w:r>
    </w:p>
    <w:p>
      <w:pPr>
        <w:pStyle w:val="4"/>
        <w:spacing w:line="269" w:lineRule="exact"/>
        <w:ind w:left="2485"/>
      </w:pPr>
      <w:r>
        <w:rPr>
          <w:color w:val="000000"/>
          <w:spacing w:val="-1"/>
          <w:w w:val="95"/>
          <w:shd w:val="clear" w:color="auto" w:fill="E4E4E4"/>
        </w:rPr>
        <w:t>因酗酒或药物滥用导致的深度昏迷不在保障范围内。</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2"/>
          <w:w w:val="95"/>
        </w:rPr>
        <w:t>双耳失聪:</w:t>
      </w:r>
    </w:p>
    <w:p>
      <w:pPr>
        <w:pStyle w:val="4"/>
        <w:spacing w:before="7"/>
        <w:rPr>
          <w:b/>
          <w:sz w:val="15"/>
        </w:rPr>
      </w:pPr>
    </w:p>
    <w:p>
      <w:pPr>
        <w:pStyle w:val="4"/>
        <w:spacing w:line="278" w:lineRule="auto"/>
        <w:ind w:left="2485" w:right="347"/>
        <w:jc w:val="both"/>
      </w:pPr>
      <w:r>
        <w:rPr>
          <w:w w:val="95"/>
        </w:rPr>
        <w:t>指因疾病或意外伤害导致双耳听力</w:t>
      </w:r>
      <w:r>
        <w:rPr>
          <w:b/>
          <w:w w:val="95"/>
        </w:rPr>
        <w:t>永久不可逆</w:t>
      </w:r>
      <w:r>
        <w:fldChar w:fldCharType="begin"/>
      </w:r>
      <w:r>
        <w:instrText xml:space="preserve"> HYPERLINK \l "_bookmark44" </w:instrText>
      </w:r>
      <w:r>
        <w:fldChar w:fldCharType="separate"/>
      </w:r>
      <w:r>
        <w:rPr>
          <w:b/>
          <w:w w:val="95"/>
          <w:position w:val="11"/>
          <w:sz w:val="10"/>
        </w:rPr>
        <w:t>47</w:t>
      </w:r>
      <w:r>
        <w:rPr>
          <w:b/>
          <w:w w:val="95"/>
          <w:position w:val="11"/>
          <w:sz w:val="10"/>
        </w:rPr>
        <w:fldChar w:fldCharType="end"/>
      </w:r>
      <w:r>
        <w:rPr>
          <w:w w:val="95"/>
        </w:rPr>
        <w:t>性丧失，在 500 赫兹、1000 赫兹和 2000</w:t>
      </w:r>
      <w:r>
        <w:rPr>
          <w:spacing w:val="33"/>
        </w:rPr>
        <w:t xml:space="preserve"> </w:t>
      </w:r>
      <w:r>
        <w:rPr>
          <w:w w:val="95"/>
        </w:rPr>
        <w:t>赫兹语音频率下，平均听阈大于等于</w:t>
      </w:r>
      <w:r>
        <w:rPr>
          <w:spacing w:val="40"/>
        </w:rPr>
        <w:t xml:space="preserve"> </w:t>
      </w:r>
      <w:r>
        <w:rPr>
          <w:w w:val="95"/>
        </w:rPr>
        <w:t>91</w:t>
      </w:r>
      <w:r>
        <w:rPr>
          <w:spacing w:val="39"/>
        </w:rPr>
        <w:t xml:space="preserve"> </w:t>
      </w:r>
      <w:r>
        <w:rPr>
          <w:w w:val="95"/>
        </w:rPr>
        <w:t>分贝，且经纯音听力测试、声导抗检</w:t>
      </w:r>
      <w:r>
        <w:rPr>
          <w:spacing w:val="-2"/>
        </w:rPr>
        <w:t>测或听觉诱发电位检测等证实。</w:t>
      </w:r>
    </w:p>
    <w:p>
      <w:pPr>
        <w:pStyle w:val="3"/>
        <w:numPr>
          <w:ilvl w:val="0"/>
          <w:numId w:val="14"/>
        </w:numPr>
        <w:tabs>
          <w:tab w:val="left" w:pos="3120"/>
        </w:tabs>
        <w:spacing w:before="156" w:after="0" w:line="240" w:lineRule="auto"/>
        <w:ind w:left="3119" w:right="0" w:hanging="635"/>
        <w:jc w:val="left"/>
      </w:pPr>
      <w:r>
        <w:rPr>
          <w:spacing w:val="-2"/>
          <w:w w:val="95"/>
        </w:rPr>
        <w:t>双目失明:</w:t>
      </w:r>
    </w:p>
    <w:p>
      <w:pPr>
        <w:pStyle w:val="4"/>
        <w:spacing w:before="6"/>
        <w:rPr>
          <w:b/>
          <w:sz w:val="15"/>
        </w:rPr>
      </w:pPr>
    </w:p>
    <w:p>
      <w:pPr>
        <w:pStyle w:val="4"/>
        <w:spacing w:before="1" w:line="278" w:lineRule="auto"/>
        <w:ind w:left="2485" w:right="350"/>
      </w:pPr>
      <w:r>
        <w:rPr>
          <w:spacing w:val="-2"/>
          <w:w w:val="99"/>
        </w:rPr>
        <w:t>指因疾病或意外伤害导致双眼视力永久不可逆性丧失，双眼中较好眼须满足下列至</w:t>
      </w:r>
      <w:r>
        <w:rPr>
          <w:spacing w:val="-1"/>
          <w:w w:val="99"/>
        </w:rPr>
        <w:t>少一项条件：</w:t>
      </w:r>
    </w:p>
    <w:p>
      <w:pPr>
        <w:pStyle w:val="9"/>
        <w:numPr>
          <w:ilvl w:val="0"/>
          <w:numId w:val="25"/>
        </w:numPr>
        <w:tabs>
          <w:tab w:val="left" w:pos="3205"/>
          <w:tab w:val="left" w:pos="3206"/>
        </w:tabs>
        <w:spacing w:before="155" w:after="0" w:line="240" w:lineRule="auto"/>
        <w:ind w:left="3205" w:right="0" w:hanging="721"/>
        <w:jc w:val="left"/>
        <w:rPr>
          <w:sz w:val="21"/>
        </w:rPr>
      </w:pPr>
      <w:r>
        <w:rPr>
          <w:spacing w:val="-2"/>
          <w:w w:val="95"/>
          <w:sz w:val="21"/>
        </w:rPr>
        <w:t>眼球缺失或摘除；</w:t>
      </w:r>
    </w:p>
    <w:p>
      <w:pPr>
        <w:pStyle w:val="4"/>
        <w:spacing w:before="7"/>
        <w:rPr>
          <w:sz w:val="15"/>
        </w:rPr>
      </w:pPr>
    </w:p>
    <w:p>
      <w:pPr>
        <w:pStyle w:val="9"/>
        <w:numPr>
          <w:ilvl w:val="0"/>
          <w:numId w:val="25"/>
        </w:numPr>
        <w:tabs>
          <w:tab w:val="left" w:pos="3205"/>
          <w:tab w:val="left" w:pos="3206"/>
        </w:tabs>
        <w:spacing w:before="0" w:after="0" w:line="278" w:lineRule="auto"/>
        <w:ind w:left="3205" w:right="350" w:hanging="720"/>
        <w:jc w:val="left"/>
        <w:rPr>
          <w:sz w:val="21"/>
        </w:rPr>
      </w:pPr>
      <w:r>
        <w:rPr>
          <w:spacing w:val="1"/>
          <w:w w:val="99"/>
          <w:sz w:val="21"/>
        </w:rPr>
        <w:t>矫正视力低于</w:t>
      </w:r>
      <w:r>
        <w:rPr>
          <w:spacing w:val="-50"/>
          <w:sz w:val="21"/>
        </w:rPr>
        <w:t xml:space="preserve"> </w:t>
      </w:r>
      <w:r>
        <w:rPr>
          <w:spacing w:val="1"/>
          <w:w w:val="99"/>
          <w:sz w:val="21"/>
        </w:rPr>
        <w:t>0.02</w:t>
      </w:r>
      <w:r>
        <w:rPr>
          <w:spacing w:val="2"/>
          <w:w w:val="99"/>
          <w:sz w:val="21"/>
        </w:rPr>
        <w:t>（</w:t>
      </w:r>
      <w:r>
        <w:rPr>
          <w:spacing w:val="1"/>
          <w:w w:val="99"/>
          <w:sz w:val="21"/>
        </w:rPr>
        <w:t>采用国际标准视力表，如果使用其它视力表应进行换</w:t>
      </w:r>
      <w:r>
        <w:rPr>
          <w:spacing w:val="2"/>
          <w:w w:val="99"/>
          <w:sz w:val="21"/>
        </w:rPr>
        <w:t>算</w:t>
      </w:r>
      <w:r>
        <w:rPr>
          <w:spacing w:val="-106"/>
          <w:w w:val="99"/>
          <w:sz w:val="21"/>
        </w:rPr>
        <w:t>）</w:t>
      </w:r>
      <w:r>
        <w:rPr>
          <w:w w:val="99"/>
          <w:sz w:val="21"/>
        </w:rPr>
        <w:t>；</w:t>
      </w:r>
    </w:p>
    <w:p>
      <w:pPr>
        <w:pStyle w:val="9"/>
        <w:numPr>
          <w:ilvl w:val="0"/>
          <w:numId w:val="25"/>
        </w:numPr>
        <w:tabs>
          <w:tab w:val="left" w:pos="3205"/>
          <w:tab w:val="left" w:pos="3206"/>
        </w:tabs>
        <w:spacing w:before="156" w:after="0" w:line="240" w:lineRule="auto"/>
        <w:ind w:left="3205" w:right="0" w:hanging="721"/>
        <w:jc w:val="left"/>
        <w:rPr>
          <w:sz w:val="21"/>
        </w:rPr>
      </w:pPr>
      <w:r>
        <w:rPr>
          <w:spacing w:val="-2"/>
          <w:w w:val="95"/>
          <w:sz w:val="21"/>
        </w:rPr>
        <w:t xml:space="preserve">视野半径小于 </w:t>
      </w:r>
      <w:r>
        <w:rPr>
          <w:w w:val="95"/>
          <w:sz w:val="21"/>
        </w:rPr>
        <w:t>5</w:t>
      </w:r>
      <w:r>
        <w:rPr>
          <w:spacing w:val="-9"/>
          <w:w w:val="95"/>
          <w:sz w:val="21"/>
        </w:rPr>
        <w:t xml:space="preserve"> 度。</w:t>
      </w:r>
    </w:p>
    <w:p>
      <w:pPr>
        <w:pStyle w:val="4"/>
        <w:rPr>
          <w:sz w:val="20"/>
        </w:rPr>
      </w:pPr>
    </w:p>
    <w:p>
      <w:pPr>
        <w:pStyle w:val="4"/>
        <w:spacing w:before="1"/>
        <w:rPr>
          <w:sz w:val="18"/>
        </w:rPr>
      </w:pPr>
    </w:p>
    <w:p>
      <w:pPr>
        <w:spacing w:before="0"/>
        <w:ind w:left="220" w:right="0" w:firstLine="0"/>
        <w:jc w:val="left"/>
        <w:rPr>
          <w:rFonts w:ascii="楷体" w:eastAsia="楷体"/>
          <w:sz w:val="18"/>
        </w:rPr>
      </w:pPr>
      <w:r>
        <w:rPr>
          <w:b/>
          <w:w w:val="95"/>
          <w:position w:val="9"/>
          <w:sz w:val="9"/>
        </w:rPr>
        <w:t>4</w:t>
      </w:r>
      <w:bookmarkStart w:id="44" w:name="_bookmark44"/>
      <w:bookmarkEnd w:id="44"/>
      <w:r>
        <w:rPr>
          <w:b/>
          <w:w w:val="95"/>
          <w:position w:val="9"/>
          <w:sz w:val="9"/>
        </w:rPr>
        <w:t>7</w:t>
      </w:r>
      <w:r>
        <w:rPr>
          <w:rFonts w:hint="eastAsia" w:ascii="楷体" w:eastAsia="楷体"/>
          <w:b/>
          <w:w w:val="95"/>
          <w:sz w:val="18"/>
        </w:rPr>
        <w:t>永久不可逆</w:t>
      </w:r>
      <w:r>
        <w:rPr>
          <w:rFonts w:ascii="楷体" w:eastAsia="楷体"/>
          <w:w w:val="95"/>
          <w:sz w:val="18"/>
        </w:rPr>
        <w:t>：指自疾病确诊或意外伤害发生之日起，经过积极治疗</w:t>
      </w:r>
      <w:r>
        <w:rPr>
          <w:rFonts w:ascii="楷体" w:eastAsia="楷体"/>
          <w:spacing w:val="34"/>
          <w:sz w:val="18"/>
        </w:rPr>
        <w:t xml:space="preserve">  </w:t>
      </w:r>
      <w:r>
        <w:rPr>
          <w:rFonts w:ascii="楷体" w:eastAsia="楷体"/>
          <w:w w:val="95"/>
          <w:sz w:val="18"/>
        </w:rPr>
        <w:t>180</w:t>
      </w:r>
      <w:r>
        <w:rPr>
          <w:rFonts w:ascii="楷体" w:eastAsia="楷体"/>
          <w:spacing w:val="38"/>
          <w:sz w:val="18"/>
        </w:rPr>
        <w:t xml:space="preserve">  </w:t>
      </w:r>
      <w:r>
        <w:rPr>
          <w:rFonts w:ascii="楷体" w:eastAsia="楷体"/>
          <w:w w:val="95"/>
          <w:sz w:val="18"/>
        </w:rPr>
        <w:t>天后，仍无法通过现有医疗手段回复</w:t>
      </w:r>
      <w:r>
        <w:rPr>
          <w:rFonts w:ascii="楷体" w:eastAsia="楷体"/>
          <w:spacing w:val="-10"/>
          <w:w w:val="95"/>
          <w:sz w:val="18"/>
        </w:rPr>
        <w:t>。</w:t>
      </w:r>
    </w:p>
    <w:p>
      <w:pPr>
        <w:spacing w:after="0"/>
        <w:jc w:val="left"/>
        <w:rPr>
          <w:rFonts w:ascii="楷体" w:eastAsia="楷体"/>
          <w:sz w:val="18"/>
        </w:rPr>
        <w:sectPr>
          <w:pgSz w:w="11910" w:h="16840"/>
          <w:pgMar w:top="1400" w:right="660" w:bottom="860" w:left="860" w:header="0" w:footer="662" w:gutter="0"/>
          <w:cols w:space="720" w:num="1"/>
        </w:sectPr>
      </w:pPr>
    </w:p>
    <w:p>
      <w:pPr>
        <w:pStyle w:val="3"/>
        <w:numPr>
          <w:ilvl w:val="0"/>
          <w:numId w:val="14"/>
        </w:numPr>
        <w:tabs>
          <w:tab w:val="left" w:pos="3120"/>
        </w:tabs>
        <w:spacing w:before="43" w:after="0" w:line="240" w:lineRule="auto"/>
        <w:ind w:left="3119" w:right="0" w:hanging="635"/>
        <w:jc w:val="left"/>
      </w:pPr>
      <w:r>
        <w:rPr>
          <w:spacing w:val="-4"/>
          <w:w w:val="95"/>
        </w:rPr>
        <w:t>瘫痪:</w:t>
      </w:r>
    </w:p>
    <w:p>
      <w:pPr>
        <w:pStyle w:val="4"/>
        <w:spacing w:before="7"/>
        <w:rPr>
          <w:b/>
          <w:sz w:val="15"/>
        </w:rPr>
      </w:pPr>
    </w:p>
    <w:p>
      <w:pPr>
        <w:pStyle w:val="4"/>
        <w:spacing w:line="278" w:lineRule="auto"/>
        <w:ind w:left="2485" w:right="347"/>
      </w:pPr>
      <w:r>
        <w:rPr>
          <w:spacing w:val="-2"/>
          <w:w w:val="99"/>
        </w:rPr>
        <w:t>指因疾病或意外伤害导致两肢或两肢以上肢体随意运动功能永久完全丧失。肢体随意运动功能永久完全丧失，指疾病确诊</w:t>
      </w:r>
      <w:r>
        <w:rPr>
          <w:spacing w:val="-50"/>
        </w:rPr>
        <w:t xml:space="preserve"> </w:t>
      </w:r>
      <w:r>
        <w:rPr>
          <w:spacing w:val="1"/>
          <w:w w:val="99"/>
        </w:rPr>
        <w:t>18</w:t>
      </w:r>
      <w:r>
        <w:rPr>
          <w:w w:val="99"/>
        </w:rPr>
        <w:t>0</w:t>
      </w:r>
      <w:r>
        <w:rPr>
          <w:spacing w:val="-54"/>
        </w:rPr>
        <w:t xml:space="preserve"> </w:t>
      </w:r>
      <w:r>
        <w:rPr>
          <w:spacing w:val="-1"/>
          <w:w w:val="99"/>
        </w:rPr>
        <w:t>天后或意外伤害发生</w:t>
      </w:r>
      <w:r>
        <w:rPr>
          <w:spacing w:val="-50"/>
        </w:rPr>
        <w:t xml:space="preserve"> </w:t>
      </w:r>
      <w:r>
        <w:rPr>
          <w:spacing w:val="1"/>
          <w:w w:val="99"/>
        </w:rPr>
        <w:t>18</w:t>
      </w:r>
      <w:r>
        <w:rPr>
          <w:w w:val="99"/>
        </w:rPr>
        <w:t>0</w:t>
      </w:r>
      <w:r>
        <w:rPr>
          <w:spacing w:val="-54"/>
        </w:rPr>
        <w:t xml:space="preserve"> </w:t>
      </w:r>
      <w:r>
        <w:rPr>
          <w:spacing w:val="-1"/>
          <w:w w:val="99"/>
        </w:rPr>
        <w:t>天后，每肢三</w:t>
      </w:r>
    </w:p>
    <w:p>
      <w:pPr>
        <w:pStyle w:val="4"/>
        <w:spacing w:line="269" w:lineRule="exact"/>
        <w:ind w:left="2485"/>
      </w:pPr>
      <w:r>
        <w:rPr>
          <w:w w:val="95"/>
        </w:rPr>
        <w:t>大关节中的两大关节仍然完全僵硬，或肢体肌力在</w:t>
      </w:r>
      <w:r>
        <w:rPr>
          <w:spacing w:val="78"/>
        </w:rPr>
        <w:t xml:space="preserve"> </w:t>
      </w:r>
      <w:r>
        <w:rPr>
          <w:w w:val="95"/>
        </w:rPr>
        <w:t>2</w:t>
      </w:r>
      <w:r>
        <w:rPr>
          <w:spacing w:val="71"/>
        </w:rPr>
        <w:t xml:space="preserve"> </w:t>
      </w:r>
      <w:r>
        <w:rPr>
          <w:w w:val="95"/>
        </w:rPr>
        <w:t>级（含）</w:t>
      </w:r>
      <w:r>
        <w:rPr>
          <w:spacing w:val="-4"/>
          <w:w w:val="95"/>
        </w:rPr>
        <w:t>以下。</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spacing w:val="-2"/>
          <w:w w:val="95"/>
        </w:rPr>
        <w:t>心脏瓣膜手术:</w:t>
      </w:r>
    </w:p>
    <w:p>
      <w:pPr>
        <w:pStyle w:val="4"/>
        <w:spacing w:before="6"/>
        <w:rPr>
          <w:b/>
          <w:sz w:val="15"/>
        </w:rPr>
      </w:pPr>
    </w:p>
    <w:p>
      <w:pPr>
        <w:pStyle w:val="4"/>
        <w:spacing w:line="278" w:lineRule="auto"/>
        <w:ind w:left="2485" w:right="338"/>
      </w:pPr>
      <w:r>
        <w:rPr>
          <w:spacing w:val="-1"/>
          <w:w w:val="99"/>
        </w:rPr>
        <w:t>指为治疗心脏瓣膜疾病，已经实施了切开心脏进行的心脏瓣膜置换或修复的手术。</w:t>
      </w:r>
      <w:r>
        <w:rPr>
          <w:color w:val="000000"/>
          <w:spacing w:val="-1"/>
          <w:w w:val="99"/>
          <w:shd w:val="clear" w:color="auto" w:fill="E4E4E4"/>
        </w:rPr>
        <w:t>所有未切开心脏的心脏瓣膜介入手术不在保障范围内。</w:t>
      </w:r>
    </w:p>
    <w:p>
      <w:pPr>
        <w:pStyle w:val="3"/>
        <w:numPr>
          <w:ilvl w:val="0"/>
          <w:numId w:val="14"/>
        </w:numPr>
        <w:tabs>
          <w:tab w:val="left" w:pos="3120"/>
        </w:tabs>
        <w:spacing w:before="156" w:after="0" w:line="240" w:lineRule="auto"/>
        <w:ind w:left="3119" w:right="0" w:hanging="635"/>
        <w:jc w:val="left"/>
      </w:pPr>
      <w:r>
        <w:rPr>
          <w:spacing w:val="-2"/>
          <w:w w:val="95"/>
        </w:rPr>
        <w:t>严重阿尔茨海默病:</w:t>
      </w:r>
    </w:p>
    <w:p>
      <w:pPr>
        <w:pStyle w:val="4"/>
        <w:spacing w:before="7"/>
        <w:rPr>
          <w:b/>
          <w:sz w:val="15"/>
        </w:rPr>
      </w:pPr>
    </w:p>
    <w:p>
      <w:pPr>
        <w:pStyle w:val="4"/>
        <w:spacing w:line="278" w:lineRule="auto"/>
        <w:ind w:left="2485" w:right="338"/>
        <w:jc w:val="both"/>
      </w:pPr>
      <w:r>
        <w:rPr>
          <w:spacing w:val="-3"/>
          <w:w w:val="99"/>
        </w:rPr>
        <w:t>指因大脑进行性、不可逆性改变导致智能严重衰退或丧失，临床表现为严重的认知</w:t>
      </w:r>
      <w:r>
        <w:rPr>
          <w:spacing w:val="-1"/>
          <w:w w:val="99"/>
        </w:rPr>
        <w:t>功能障碍、精神行为异常和社交能力减退等，其日常生活必须持续受到他人监护。</w:t>
      </w:r>
      <w:r>
        <w:rPr>
          <w:spacing w:val="2"/>
          <w:w w:val="99"/>
        </w:rPr>
        <w:t>须由头颅断层扫描</w:t>
      </w:r>
      <w:r>
        <w:rPr>
          <w:spacing w:val="4"/>
          <w:w w:val="99"/>
        </w:rPr>
        <w:t>（</w:t>
      </w:r>
      <w:r>
        <w:rPr>
          <w:spacing w:val="1"/>
          <w:w w:val="99"/>
        </w:rPr>
        <w:t>CT</w:t>
      </w:r>
      <w:r>
        <w:rPr>
          <w:spacing w:val="-101"/>
          <w:w w:val="99"/>
        </w:rPr>
        <w:t>）</w:t>
      </w:r>
      <w:r>
        <w:rPr>
          <w:spacing w:val="2"/>
          <w:w w:val="99"/>
        </w:rPr>
        <w:t>、核磁共振检查</w:t>
      </w:r>
      <w:r>
        <w:rPr>
          <w:spacing w:val="4"/>
          <w:w w:val="99"/>
        </w:rPr>
        <w:t>（</w:t>
      </w:r>
      <w:r>
        <w:rPr>
          <w:spacing w:val="1"/>
          <w:w w:val="99"/>
        </w:rPr>
        <w:t>MRI</w:t>
      </w:r>
      <w:r>
        <w:rPr>
          <w:spacing w:val="4"/>
          <w:w w:val="99"/>
        </w:rPr>
        <w:t>）</w:t>
      </w:r>
      <w:r>
        <w:rPr>
          <w:spacing w:val="2"/>
          <w:w w:val="99"/>
        </w:rPr>
        <w:t>或正电子发射断层扫描</w:t>
      </w:r>
      <w:r>
        <w:rPr>
          <w:spacing w:val="4"/>
          <w:w w:val="99"/>
        </w:rPr>
        <w:t>（</w:t>
      </w:r>
      <w:r>
        <w:rPr>
          <w:spacing w:val="1"/>
          <w:w w:val="99"/>
        </w:rPr>
        <w:t>PET</w:t>
      </w:r>
      <w:r>
        <w:rPr>
          <w:spacing w:val="4"/>
          <w:w w:val="99"/>
        </w:rPr>
        <w:t>）</w:t>
      </w:r>
      <w:r>
        <w:rPr>
          <w:w w:val="99"/>
        </w:rPr>
        <w:t>等</w:t>
      </w:r>
      <w:r>
        <w:rPr>
          <w:spacing w:val="-1"/>
          <w:w w:val="99"/>
        </w:rPr>
        <w:t>影像学检查证实，并经相关专科医生确诊，且须满足下列至少一项条件：</w:t>
      </w:r>
    </w:p>
    <w:p>
      <w:pPr>
        <w:pStyle w:val="9"/>
        <w:numPr>
          <w:ilvl w:val="0"/>
          <w:numId w:val="26"/>
        </w:numPr>
        <w:tabs>
          <w:tab w:val="left" w:pos="3206"/>
        </w:tabs>
        <w:spacing w:before="155" w:after="0" w:line="278" w:lineRule="auto"/>
        <w:ind w:left="3205" w:right="349" w:hanging="720"/>
        <w:jc w:val="both"/>
        <w:rPr>
          <w:sz w:val="21"/>
        </w:rPr>
      </w:pPr>
      <w:r>
        <w:rPr>
          <w:spacing w:val="26"/>
          <w:w w:val="95"/>
          <w:sz w:val="21"/>
        </w:rPr>
        <w:t>由具有评估资格的专科医生根据临床痴呆评定量表</w:t>
      </w:r>
      <w:r>
        <w:rPr>
          <w:w w:val="95"/>
          <w:sz w:val="21"/>
        </w:rPr>
        <w:t xml:space="preserve">（ CDR， Clinical </w:t>
      </w:r>
      <w:r>
        <w:rPr>
          <w:sz w:val="21"/>
        </w:rPr>
        <w:t>Dementia Rating）</w:t>
      </w:r>
      <w:r>
        <w:rPr>
          <w:spacing w:val="-2"/>
          <w:sz w:val="21"/>
        </w:rPr>
        <w:t xml:space="preserve">评估结果为 </w:t>
      </w:r>
      <w:r>
        <w:rPr>
          <w:sz w:val="21"/>
        </w:rPr>
        <w:t>3</w:t>
      </w:r>
      <w:r>
        <w:rPr>
          <w:spacing w:val="-6"/>
          <w:sz w:val="21"/>
        </w:rPr>
        <w:t xml:space="preserve"> 分；</w:t>
      </w:r>
    </w:p>
    <w:p>
      <w:pPr>
        <w:pStyle w:val="9"/>
        <w:numPr>
          <w:ilvl w:val="0"/>
          <w:numId w:val="26"/>
        </w:numPr>
        <w:tabs>
          <w:tab w:val="left" w:pos="3206"/>
        </w:tabs>
        <w:spacing w:before="156" w:after="0" w:line="278" w:lineRule="auto"/>
        <w:ind w:left="3205" w:right="350" w:hanging="720"/>
        <w:jc w:val="both"/>
        <w:rPr>
          <w:sz w:val="21"/>
        </w:rPr>
      </w:pPr>
      <w:r>
        <w:rPr>
          <w:spacing w:val="-10"/>
          <w:w w:val="99"/>
          <w:sz w:val="21"/>
        </w:rPr>
        <w:t>自主生活能力完全丧失，无法独立完成六项基本日常生活活动中的三项或三</w:t>
      </w:r>
      <w:r>
        <w:rPr>
          <w:spacing w:val="-1"/>
          <w:w w:val="99"/>
          <w:sz w:val="21"/>
        </w:rPr>
        <w:t>项以上。</w:t>
      </w:r>
    </w:p>
    <w:p>
      <w:pPr>
        <w:pStyle w:val="4"/>
        <w:spacing w:before="156"/>
        <w:ind w:left="2485"/>
      </w:pPr>
      <w:r>
        <w:rPr>
          <w:color w:val="000000"/>
          <w:spacing w:val="-1"/>
          <w:w w:val="95"/>
          <w:shd w:val="clear" w:color="auto" w:fill="E4E4E4"/>
        </w:rPr>
        <w:t>阿尔茨海默病之外的其它类型痴呆不在保障范围内。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严重脑损伤:</w:t>
      </w:r>
    </w:p>
    <w:p>
      <w:pPr>
        <w:pStyle w:val="4"/>
        <w:spacing w:before="6"/>
        <w:rPr>
          <w:b/>
          <w:sz w:val="15"/>
        </w:rPr>
      </w:pPr>
    </w:p>
    <w:p>
      <w:pPr>
        <w:pStyle w:val="4"/>
        <w:spacing w:line="278" w:lineRule="auto"/>
        <w:ind w:left="2485" w:right="244"/>
      </w:pPr>
      <w:r>
        <w:rPr>
          <w:spacing w:val="-9"/>
          <w:w w:val="99"/>
        </w:rPr>
        <w:t>指因头部遭受机械性外力，引起脑重要部位损伤，导致神经系统永久性的功能障碍。</w:t>
      </w:r>
      <w:r>
        <w:rPr>
          <w:spacing w:val="2"/>
          <w:w w:val="99"/>
        </w:rPr>
        <w:t>须由头颅断层扫描</w:t>
      </w:r>
      <w:r>
        <w:rPr>
          <w:spacing w:val="4"/>
          <w:w w:val="99"/>
        </w:rPr>
        <w:t>（</w:t>
      </w:r>
      <w:r>
        <w:rPr>
          <w:spacing w:val="1"/>
          <w:w w:val="99"/>
        </w:rPr>
        <w:t>CT</w:t>
      </w:r>
      <w:r>
        <w:rPr>
          <w:spacing w:val="-101"/>
          <w:w w:val="99"/>
        </w:rPr>
        <w:t>）</w:t>
      </w:r>
      <w:r>
        <w:rPr>
          <w:spacing w:val="2"/>
          <w:w w:val="99"/>
        </w:rPr>
        <w:t>、核磁共振检查</w:t>
      </w:r>
      <w:r>
        <w:rPr>
          <w:spacing w:val="4"/>
          <w:w w:val="99"/>
        </w:rPr>
        <w:t>（</w:t>
      </w:r>
      <w:r>
        <w:rPr>
          <w:spacing w:val="1"/>
          <w:w w:val="99"/>
        </w:rPr>
        <w:t>MRI</w:t>
      </w:r>
      <w:r>
        <w:rPr>
          <w:spacing w:val="4"/>
          <w:w w:val="99"/>
        </w:rPr>
        <w:t>）</w:t>
      </w:r>
      <w:r>
        <w:rPr>
          <w:spacing w:val="2"/>
          <w:w w:val="99"/>
        </w:rPr>
        <w:t>或正电子发射断层扫描</w:t>
      </w:r>
      <w:r>
        <w:rPr>
          <w:spacing w:val="4"/>
          <w:w w:val="99"/>
        </w:rPr>
        <w:t>（</w:t>
      </w:r>
      <w:r>
        <w:rPr>
          <w:spacing w:val="1"/>
          <w:w w:val="99"/>
        </w:rPr>
        <w:t>PET</w:t>
      </w:r>
      <w:r>
        <w:rPr>
          <w:spacing w:val="4"/>
          <w:w w:val="99"/>
        </w:rPr>
        <w:t>）</w:t>
      </w:r>
      <w:r>
        <w:rPr>
          <w:w w:val="99"/>
        </w:rPr>
        <w:t>等</w:t>
      </w:r>
      <w:r>
        <w:rPr>
          <w:spacing w:val="-3"/>
          <w:w w:val="99"/>
        </w:rPr>
        <w:t>影像学检查证实。神经系统永久性的功能障碍，指脑损伤</w:t>
      </w:r>
      <w:r>
        <w:rPr>
          <w:spacing w:val="-53"/>
        </w:rPr>
        <w:t xml:space="preserve"> </w:t>
      </w:r>
      <w:r>
        <w:rPr>
          <w:spacing w:val="1"/>
          <w:w w:val="99"/>
        </w:rPr>
        <w:t>18</w:t>
      </w:r>
      <w:r>
        <w:rPr>
          <w:w w:val="99"/>
        </w:rPr>
        <w:t>0</w:t>
      </w:r>
      <w:r>
        <w:rPr>
          <w:spacing w:val="-54"/>
        </w:rPr>
        <w:t xml:space="preserve"> </w:t>
      </w:r>
      <w:r>
        <w:rPr>
          <w:spacing w:val="-1"/>
          <w:w w:val="99"/>
        </w:rPr>
        <w:t>天后，仍遗留下列至少一种障碍：</w:t>
      </w:r>
    </w:p>
    <w:p>
      <w:pPr>
        <w:pStyle w:val="9"/>
        <w:numPr>
          <w:ilvl w:val="0"/>
          <w:numId w:val="27"/>
        </w:numPr>
        <w:tabs>
          <w:tab w:val="left" w:pos="3205"/>
          <w:tab w:val="left" w:pos="3206"/>
        </w:tabs>
        <w:spacing w:before="156" w:after="0" w:line="240" w:lineRule="auto"/>
        <w:ind w:left="3205" w:right="0" w:hanging="721"/>
        <w:jc w:val="left"/>
        <w:rPr>
          <w:sz w:val="21"/>
        </w:rPr>
      </w:pPr>
      <w:r>
        <w:rPr>
          <w:w w:val="95"/>
          <w:sz w:val="21"/>
        </w:rPr>
        <w:t>一肢（含）以上肢体肌力</w:t>
      </w:r>
      <w:r>
        <w:rPr>
          <w:spacing w:val="23"/>
          <w:sz w:val="21"/>
        </w:rPr>
        <w:t xml:space="preserve"> </w:t>
      </w:r>
      <w:r>
        <w:rPr>
          <w:w w:val="95"/>
          <w:sz w:val="21"/>
        </w:rPr>
        <w:t>2</w:t>
      </w:r>
      <w:r>
        <w:rPr>
          <w:spacing w:val="27"/>
          <w:sz w:val="21"/>
        </w:rPr>
        <w:t xml:space="preserve"> </w:t>
      </w:r>
      <w:r>
        <w:rPr>
          <w:w w:val="95"/>
          <w:sz w:val="21"/>
        </w:rPr>
        <w:t>级（含）</w:t>
      </w:r>
      <w:r>
        <w:rPr>
          <w:spacing w:val="-4"/>
          <w:w w:val="95"/>
          <w:sz w:val="21"/>
        </w:rPr>
        <w:t>以下；</w:t>
      </w:r>
    </w:p>
    <w:p>
      <w:pPr>
        <w:pStyle w:val="4"/>
        <w:spacing w:before="7"/>
        <w:rPr>
          <w:sz w:val="15"/>
        </w:rPr>
      </w:pPr>
    </w:p>
    <w:p>
      <w:pPr>
        <w:pStyle w:val="9"/>
        <w:numPr>
          <w:ilvl w:val="0"/>
          <w:numId w:val="27"/>
        </w:numPr>
        <w:tabs>
          <w:tab w:val="left" w:pos="3205"/>
          <w:tab w:val="left" w:pos="3206"/>
        </w:tabs>
        <w:spacing w:before="0" w:after="0" w:line="240" w:lineRule="auto"/>
        <w:ind w:left="3205" w:right="0" w:hanging="721"/>
        <w:jc w:val="left"/>
        <w:rPr>
          <w:sz w:val="21"/>
        </w:rPr>
      </w:pPr>
      <w:r>
        <w:rPr>
          <w:spacing w:val="-1"/>
          <w:w w:val="95"/>
          <w:sz w:val="21"/>
        </w:rPr>
        <w:t>语言能力完全丧失，或严重咀嚼吞咽功能障碍；</w:t>
      </w:r>
    </w:p>
    <w:p>
      <w:pPr>
        <w:pStyle w:val="4"/>
        <w:spacing w:before="6"/>
        <w:rPr>
          <w:sz w:val="15"/>
        </w:rPr>
      </w:pPr>
    </w:p>
    <w:p>
      <w:pPr>
        <w:pStyle w:val="9"/>
        <w:numPr>
          <w:ilvl w:val="0"/>
          <w:numId w:val="27"/>
        </w:numPr>
        <w:tabs>
          <w:tab w:val="left" w:pos="3205"/>
          <w:tab w:val="left" w:pos="3206"/>
        </w:tabs>
        <w:spacing w:before="1" w:after="0" w:line="278" w:lineRule="auto"/>
        <w:ind w:left="3205" w:right="350" w:hanging="720"/>
        <w:jc w:val="left"/>
        <w:rPr>
          <w:sz w:val="21"/>
        </w:rPr>
      </w:pPr>
      <w:r>
        <w:rPr>
          <w:spacing w:val="-10"/>
          <w:w w:val="99"/>
          <w:sz w:val="21"/>
        </w:rPr>
        <w:t>自主生活能力完全丧失，无法独立完成六项基本日常生活活动中的三项或三</w:t>
      </w:r>
      <w:r>
        <w:rPr>
          <w:spacing w:val="-1"/>
          <w:w w:val="99"/>
          <w:sz w:val="21"/>
        </w:rPr>
        <w:t>项以上。</w:t>
      </w:r>
    </w:p>
    <w:p>
      <w:pPr>
        <w:pStyle w:val="3"/>
        <w:numPr>
          <w:ilvl w:val="0"/>
          <w:numId w:val="14"/>
        </w:numPr>
        <w:tabs>
          <w:tab w:val="left" w:pos="3120"/>
        </w:tabs>
        <w:spacing w:before="155" w:after="0" w:line="240" w:lineRule="auto"/>
        <w:ind w:left="3119" w:right="0" w:hanging="635"/>
        <w:jc w:val="left"/>
      </w:pPr>
      <w:r>
        <w:rPr>
          <w:spacing w:val="-1"/>
          <w:w w:val="95"/>
        </w:rPr>
        <w:t>严重原发性帕金森病:</w:t>
      </w:r>
    </w:p>
    <w:p>
      <w:pPr>
        <w:pStyle w:val="4"/>
        <w:spacing w:before="7"/>
        <w:rPr>
          <w:b/>
          <w:sz w:val="15"/>
        </w:rPr>
      </w:pPr>
    </w:p>
    <w:p>
      <w:pPr>
        <w:pStyle w:val="4"/>
        <w:spacing w:line="278" w:lineRule="auto"/>
        <w:ind w:left="2485" w:right="244"/>
      </w:pPr>
      <w:r>
        <w:rPr>
          <w:spacing w:val="-7"/>
          <w:w w:val="99"/>
        </w:rPr>
        <w:t>是一种中枢神经系统的退行性疾病，临床表现为运动迟缓、静止性震颤或肌强直等。</w:t>
      </w:r>
      <w:r>
        <w:rPr>
          <w:spacing w:val="-3"/>
          <w:w w:val="99"/>
        </w:rPr>
        <w:t>经相关专科医生确诊，且须满足自主生活能力完全丧失，无法独立完成六项基本日</w:t>
      </w:r>
      <w:r>
        <w:rPr>
          <w:spacing w:val="-1"/>
          <w:w w:val="99"/>
        </w:rPr>
        <w:t>常生活活动中的三项或三项以上。</w:t>
      </w:r>
    </w:p>
    <w:p>
      <w:pPr>
        <w:pStyle w:val="4"/>
        <w:spacing w:line="269" w:lineRule="exact"/>
        <w:ind w:left="2485"/>
      </w:pPr>
      <w:r>
        <w:rPr>
          <w:color w:val="000000"/>
          <w:spacing w:val="-1"/>
          <w:w w:val="95"/>
          <w:shd w:val="clear" w:color="auto" w:fill="E4E4E4"/>
        </w:rPr>
        <w:t>继发性帕金森综合征、帕金森叠加综合征不在保障范围内。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严重Ⅲ度烧伤:</w:t>
      </w:r>
    </w:p>
    <w:p>
      <w:pPr>
        <w:pStyle w:val="4"/>
        <w:spacing w:before="6"/>
        <w:rPr>
          <w:b/>
          <w:sz w:val="15"/>
        </w:rPr>
      </w:pPr>
    </w:p>
    <w:p>
      <w:pPr>
        <w:pStyle w:val="4"/>
        <w:spacing w:before="1" w:line="278" w:lineRule="auto"/>
        <w:ind w:left="2485" w:right="350"/>
      </w:pPr>
      <w:r>
        <w:rPr>
          <w:spacing w:val="1"/>
          <w:w w:val="99"/>
        </w:rPr>
        <w:t>指烧伤程度为Ⅲ度，且Ⅲ度烧伤的面积达到全身体表面积的</w:t>
      </w:r>
      <w:r>
        <w:rPr>
          <w:spacing w:val="-50"/>
        </w:rPr>
        <w:t xml:space="preserve"> </w:t>
      </w:r>
      <w:r>
        <w:rPr>
          <w:spacing w:val="1"/>
          <w:w w:val="99"/>
        </w:rPr>
        <w:t>20%或</w:t>
      </w:r>
      <w:r>
        <w:rPr>
          <w:spacing w:val="-50"/>
        </w:rPr>
        <w:t xml:space="preserve"> </w:t>
      </w:r>
      <w:r>
        <w:rPr>
          <w:spacing w:val="1"/>
          <w:w w:val="99"/>
        </w:rPr>
        <w:t>20%</w:t>
      </w:r>
      <w:r>
        <w:rPr>
          <w:spacing w:val="2"/>
          <w:w w:val="99"/>
        </w:rPr>
        <w:t>以上。体表</w:t>
      </w:r>
      <w:r>
        <w:rPr>
          <w:spacing w:val="-1"/>
          <w:w w:val="99"/>
        </w:rPr>
        <w:t>面积根据《中国新九分法》计算。</w:t>
      </w:r>
    </w:p>
    <w:p>
      <w:pPr>
        <w:pStyle w:val="3"/>
        <w:numPr>
          <w:ilvl w:val="0"/>
          <w:numId w:val="14"/>
        </w:numPr>
        <w:tabs>
          <w:tab w:val="left" w:pos="3120"/>
        </w:tabs>
        <w:spacing w:before="155" w:after="0" w:line="240" w:lineRule="auto"/>
        <w:ind w:left="3119" w:right="0" w:hanging="635"/>
        <w:jc w:val="left"/>
      </w:pPr>
      <w:r>
        <w:rPr>
          <w:spacing w:val="-1"/>
          <w:w w:val="95"/>
        </w:rPr>
        <w:t>严重特发性肺动脉高压:</w:t>
      </w:r>
    </w:p>
    <w:p>
      <w:pPr>
        <w:spacing w:after="0" w:line="240" w:lineRule="auto"/>
        <w:jc w:val="left"/>
        <w:sectPr>
          <w:pgSz w:w="11910" w:h="16840"/>
          <w:pgMar w:top="1400" w:right="660" w:bottom="860" w:left="860" w:header="0" w:footer="662" w:gutter="0"/>
          <w:cols w:space="720" w:num="1"/>
        </w:sectPr>
      </w:pPr>
    </w:p>
    <w:p>
      <w:pPr>
        <w:spacing w:before="43" w:line="278" w:lineRule="auto"/>
        <w:ind w:left="2485" w:right="329" w:firstLine="0"/>
        <w:jc w:val="both"/>
        <w:rPr>
          <w:sz w:val="21"/>
        </w:rPr>
      </w:pPr>
      <w:r>
        <w:rPr>
          <w:spacing w:val="-2"/>
          <w:sz w:val="21"/>
        </w:rPr>
        <w:t>指不明原因的肺动脉压力持续性增高，进行性发展而导致的慢性疾病，已经造成永</w:t>
      </w:r>
      <w:r>
        <w:rPr>
          <w:spacing w:val="14"/>
          <w:sz w:val="21"/>
        </w:rPr>
        <w:t>久不可逆性的</w:t>
      </w:r>
      <w:r>
        <w:rPr>
          <w:spacing w:val="16"/>
          <w:sz w:val="21"/>
        </w:rPr>
        <w:t>体</w:t>
      </w:r>
      <w:r>
        <w:rPr>
          <w:spacing w:val="14"/>
          <w:sz w:val="21"/>
        </w:rPr>
        <w:t>力活</w:t>
      </w:r>
      <w:r>
        <w:rPr>
          <w:spacing w:val="15"/>
          <w:sz w:val="21"/>
        </w:rPr>
        <w:t>动能力</w:t>
      </w:r>
      <w:r>
        <w:rPr>
          <w:spacing w:val="14"/>
          <w:sz w:val="21"/>
        </w:rPr>
        <w:t>受限</w:t>
      </w:r>
      <w:r>
        <w:rPr>
          <w:spacing w:val="16"/>
          <w:sz w:val="21"/>
        </w:rPr>
        <w:t>，</w:t>
      </w:r>
      <w:r>
        <w:rPr>
          <w:spacing w:val="14"/>
          <w:sz w:val="21"/>
        </w:rPr>
        <w:t>达到</w:t>
      </w:r>
      <w:r>
        <w:rPr>
          <w:b/>
          <w:spacing w:val="15"/>
          <w:sz w:val="21"/>
        </w:rPr>
        <w:t>美国</w:t>
      </w:r>
      <w:r>
        <w:rPr>
          <w:b/>
          <w:spacing w:val="16"/>
          <w:sz w:val="21"/>
        </w:rPr>
        <w:t>纽约心</w:t>
      </w:r>
      <w:r>
        <w:rPr>
          <w:b/>
          <w:spacing w:val="14"/>
          <w:sz w:val="21"/>
        </w:rPr>
        <w:t>脏</w:t>
      </w:r>
      <w:r>
        <w:rPr>
          <w:b/>
          <w:spacing w:val="16"/>
          <w:sz w:val="21"/>
        </w:rPr>
        <w:t>病学</w:t>
      </w:r>
      <w:r>
        <w:rPr>
          <w:b/>
          <w:spacing w:val="14"/>
          <w:sz w:val="21"/>
        </w:rPr>
        <w:t>会</w:t>
      </w:r>
      <w:r>
        <w:rPr>
          <w:b/>
          <w:sz w:val="21"/>
        </w:rPr>
        <w:t>（New</w:t>
      </w:r>
      <w:r>
        <w:rPr>
          <w:b/>
          <w:spacing w:val="-8"/>
          <w:sz w:val="21"/>
        </w:rPr>
        <w:t xml:space="preserve"> </w:t>
      </w:r>
      <w:r>
        <w:rPr>
          <w:b/>
          <w:sz w:val="21"/>
        </w:rPr>
        <w:t>York</w:t>
      </w:r>
      <w:r>
        <w:rPr>
          <w:b/>
          <w:spacing w:val="-5"/>
          <w:sz w:val="21"/>
        </w:rPr>
        <w:t xml:space="preserve"> </w:t>
      </w:r>
      <w:r>
        <w:rPr>
          <w:b/>
          <w:sz w:val="21"/>
        </w:rPr>
        <w:t xml:space="preserve">Heart </w:t>
      </w:r>
      <w:r>
        <w:rPr>
          <w:b/>
          <w:w w:val="95"/>
          <w:sz w:val="21"/>
        </w:rPr>
        <w:t>Association,NYHA）心功能状态分级</w:t>
      </w:r>
      <w:r>
        <w:fldChar w:fldCharType="begin"/>
      </w:r>
      <w:r>
        <w:instrText xml:space="preserve"> HYPERLINK \l "_bookmark45" </w:instrText>
      </w:r>
      <w:r>
        <w:fldChar w:fldCharType="separate"/>
      </w:r>
      <w:r>
        <w:rPr>
          <w:b/>
          <w:w w:val="95"/>
          <w:position w:val="11"/>
          <w:sz w:val="10"/>
        </w:rPr>
        <w:t>48</w:t>
      </w:r>
      <w:r>
        <w:rPr>
          <w:b/>
          <w:w w:val="95"/>
          <w:position w:val="11"/>
          <w:sz w:val="10"/>
        </w:rPr>
        <w:fldChar w:fldCharType="end"/>
      </w:r>
      <w:r>
        <w:rPr>
          <w:w w:val="95"/>
          <w:sz w:val="21"/>
        </w:rPr>
        <w:t>Ⅳ级，且静息状态下肺动脉平均压在</w:t>
      </w:r>
      <w:r>
        <w:rPr>
          <w:spacing w:val="40"/>
          <w:w w:val="150"/>
          <w:sz w:val="21"/>
        </w:rPr>
        <w:t xml:space="preserve">  </w:t>
      </w:r>
      <w:r>
        <w:rPr>
          <w:spacing w:val="-2"/>
          <w:w w:val="95"/>
          <w:sz w:val="21"/>
        </w:rPr>
        <w:t>36mmHg</w:t>
      </w:r>
    </w:p>
    <w:p>
      <w:pPr>
        <w:pStyle w:val="4"/>
        <w:spacing w:line="269" w:lineRule="exact"/>
        <w:ind w:left="2485"/>
      </w:pPr>
      <w:r>
        <w:rPr>
          <w:w w:val="95"/>
        </w:rPr>
        <w:t>（含）</w:t>
      </w:r>
      <w:r>
        <w:rPr>
          <w:spacing w:val="-4"/>
          <w:w w:val="95"/>
        </w:rPr>
        <w:t>以上。</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严重运动神经元病:</w:t>
      </w:r>
    </w:p>
    <w:p>
      <w:pPr>
        <w:pStyle w:val="4"/>
        <w:spacing w:before="6"/>
        <w:rPr>
          <w:b/>
          <w:sz w:val="15"/>
        </w:rPr>
      </w:pPr>
    </w:p>
    <w:p>
      <w:pPr>
        <w:pStyle w:val="4"/>
        <w:spacing w:before="1" w:line="278" w:lineRule="auto"/>
        <w:ind w:left="2485" w:right="338"/>
        <w:jc w:val="both"/>
      </w:pPr>
      <w:r>
        <w:rPr>
          <w:spacing w:val="-3"/>
          <w:w w:val="99"/>
        </w:rPr>
        <w:t>是一组中枢神经系统运动神经元的进行性变性疾病，包括进行性脊肌萎缩症、进行</w:t>
      </w:r>
      <w:r>
        <w:rPr>
          <w:spacing w:val="-1"/>
          <w:w w:val="99"/>
        </w:rPr>
        <w:t>性延髓麻痹症、原发性侧索硬化症、肌萎缩性侧索硬化症。经相关专科医生确诊，且须满足下列至少一项条件：</w:t>
      </w:r>
    </w:p>
    <w:p>
      <w:pPr>
        <w:pStyle w:val="9"/>
        <w:numPr>
          <w:ilvl w:val="0"/>
          <w:numId w:val="28"/>
        </w:numPr>
        <w:tabs>
          <w:tab w:val="left" w:pos="3206"/>
        </w:tabs>
        <w:spacing w:before="155" w:after="0" w:line="240" w:lineRule="auto"/>
        <w:ind w:left="3205" w:right="0" w:hanging="721"/>
        <w:jc w:val="both"/>
        <w:rPr>
          <w:sz w:val="21"/>
        </w:rPr>
      </w:pPr>
      <w:r>
        <w:rPr>
          <w:spacing w:val="-1"/>
          <w:w w:val="95"/>
          <w:sz w:val="21"/>
        </w:rPr>
        <w:t>严重咀嚼吞咽功能障碍；</w:t>
      </w:r>
    </w:p>
    <w:p>
      <w:pPr>
        <w:pStyle w:val="4"/>
        <w:spacing w:before="7"/>
        <w:rPr>
          <w:sz w:val="15"/>
        </w:rPr>
      </w:pPr>
    </w:p>
    <w:p>
      <w:pPr>
        <w:pStyle w:val="9"/>
        <w:numPr>
          <w:ilvl w:val="0"/>
          <w:numId w:val="28"/>
        </w:numPr>
        <w:tabs>
          <w:tab w:val="left" w:pos="3206"/>
        </w:tabs>
        <w:spacing w:before="0" w:after="0" w:line="240" w:lineRule="auto"/>
        <w:ind w:left="3205" w:right="0" w:hanging="721"/>
        <w:jc w:val="both"/>
        <w:rPr>
          <w:sz w:val="21"/>
        </w:rPr>
      </w:pPr>
      <w:r>
        <w:rPr>
          <w:w w:val="95"/>
          <w:sz w:val="21"/>
        </w:rPr>
        <w:t>呼吸肌麻痹导致严重呼吸困难，且已经持续使用呼吸机</w:t>
      </w:r>
      <w:r>
        <w:rPr>
          <w:spacing w:val="34"/>
          <w:w w:val="150"/>
          <w:sz w:val="21"/>
        </w:rPr>
        <w:t xml:space="preserve"> </w:t>
      </w:r>
      <w:r>
        <w:rPr>
          <w:w w:val="95"/>
          <w:sz w:val="21"/>
        </w:rPr>
        <w:t>7</w:t>
      </w:r>
      <w:r>
        <w:rPr>
          <w:spacing w:val="28"/>
          <w:w w:val="150"/>
          <w:sz w:val="21"/>
        </w:rPr>
        <w:t xml:space="preserve"> </w:t>
      </w:r>
      <w:r>
        <w:rPr>
          <w:w w:val="95"/>
          <w:sz w:val="21"/>
        </w:rPr>
        <w:t>天（含）</w:t>
      </w:r>
      <w:r>
        <w:rPr>
          <w:spacing w:val="-4"/>
          <w:w w:val="95"/>
          <w:sz w:val="21"/>
        </w:rPr>
        <w:t>以上；</w:t>
      </w:r>
    </w:p>
    <w:p>
      <w:pPr>
        <w:pStyle w:val="4"/>
        <w:spacing w:before="7"/>
        <w:rPr>
          <w:sz w:val="15"/>
        </w:rPr>
      </w:pPr>
    </w:p>
    <w:p>
      <w:pPr>
        <w:pStyle w:val="9"/>
        <w:numPr>
          <w:ilvl w:val="0"/>
          <w:numId w:val="28"/>
        </w:numPr>
        <w:tabs>
          <w:tab w:val="left" w:pos="3205"/>
          <w:tab w:val="left" w:pos="3206"/>
        </w:tabs>
        <w:spacing w:before="0" w:after="0" w:line="278" w:lineRule="auto"/>
        <w:ind w:left="3205" w:right="350" w:hanging="720"/>
        <w:jc w:val="left"/>
        <w:rPr>
          <w:sz w:val="21"/>
        </w:rPr>
      </w:pPr>
      <w:r>
        <w:rPr>
          <w:spacing w:val="-10"/>
          <w:w w:val="99"/>
          <w:sz w:val="21"/>
        </w:rPr>
        <w:t>自主生活能力完全丧失，无法独立完成六项基本日常生活活动中的三项或三</w:t>
      </w:r>
      <w:r>
        <w:rPr>
          <w:spacing w:val="-1"/>
          <w:w w:val="99"/>
          <w:sz w:val="21"/>
        </w:rPr>
        <w:t>项以上。</w:t>
      </w:r>
    </w:p>
    <w:p>
      <w:pPr>
        <w:pStyle w:val="3"/>
        <w:numPr>
          <w:ilvl w:val="0"/>
          <w:numId w:val="14"/>
        </w:numPr>
        <w:tabs>
          <w:tab w:val="left" w:pos="3120"/>
        </w:tabs>
        <w:spacing w:before="156" w:after="0" w:line="240" w:lineRule="auto"/>
        <w:ind w:left="3119" w:right="0" w:hanging="635"/>
        <w:jc w:val="left"/>
      </w:pPr>
      <w:r>
        <w:rPr>
          <w:spacing w:val="-2"/>
          <w:w w:val="95"/>
        </w:rPr>
        <w:t>语言能力丧失:</w:t>
      </w:r>
    </w:p>
    <w:p>
      <w:pPr>
        <w:pStyle w:val="4"/>
        <w:spacing w:before="6"/>
        <w:rPr>
          <w:b/>
          <w:sz w:val="15"/>
        </w:rPr>
      </w:pPr>
    </w:p>
    <w:p>
      <w:pPr>
        <w:pStyle w:val="4"/>
        <w:spacing w:line="278" w:lineRule="auto"/>
        <w:ind w:left="2485" w:right="350"/>
      </w:pPr>
      <w:r>
        <w:rPr>
          <w:spacing w:val="-3"/>
          <w:w w:val="99"/>
        </w:rPr>
        <w:t>指因疾病或意外伤害导致语言能力完全丧失，经过积极治疗至少十二个月</w:t>
      </w:r>
      <w:r>
        <w:rPr>
          <w:spacing w:val="-1"/>
          <w:w w:val="99"/>
        </w:rPr>
        <w:t>（</w:t>
      </w:r>
      <w:r>
        <w:rPr>
          <w:w w:val="99"/>
        </w:rPr>
        <w:t>声带完</w:t>
      </w:r>
      <w:r>
        <w:rPr>
          <w:spacing w:val="-1"/>
          <w:w w:val="99"/>
        </w:rPr>
        <w:t>全切除不受此时间限制</w:t>
      </w:r>
      <w:r>
        <w:rPr>
          <w:spacing w:val="-104"/>
          <w:w w:val="99"/>
        </w:rPr>
        <w:t>）</w:t>
      </w:r>
      <w:r>
        <w:rPr>
          <w:spacing w:val="-1"/>
          <w:w w:val="99"/>
        </w:rPr>
        <w:t>，仍无法通过现有医疗手段恢复。</w:t>
      </w:r>
    </w:p>
    <w:p>
      <w:pPr>
        <w:pStyle w:val="4"/>
        <w:spacing w:line="269" w:lineRule="exact"/>
        <w:ind w:left="2485"/>
      </w:pPr>
      <w:r>
        <w:rPr>
          <w:color w:val="000000"/>
          <w:spacing w:val="-1"/>
          <w:w w:val="95"/>
          <w:shd w:val="clear" w:color="auto" w:fill="E4E4E4"/>
        </w:rPr>
        <w:t>精神心理因素所致的语言能力丧失不在保障范围内。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重型再生障碍性贫血:</w:t>
      </w:r>
    </w:p>
    <w:p>
      <w:pPr>
        <w:pStyle w:val="4"/>
        <w:spacing w:before="7"/>
        <w:rPr>
          <w:b/>
          <w:sz w:val="15"/>
        </w:rPr>
      </w:pPr>
    </w:p>
    <w:p>
      <w:pPr>
        <w:pStyle w:val="4"/>
        <w:spacing w:line="278" w:lineRule="auto"/>
        <w:ind w:left="2485" w:right="350"/>
      </w:pPr>
      <w:r>
        <w:rPr>
          <w:spacing w:val="-3"/>
          <w:w w:val="99"/>
        </w:rPr>
        <w:t>指因骨髓造血功能慢性持续性衰竭导致的贫血、中性粒细胞减少及血小板减少。须</w:t>
      </w:r>
      <w:r>
        <w:rPr>
          <w:spacing w:val="-1"/>
          <w:w w:val="99"/>
        </w:rPr>
        <w:t>满足下列全部条件：</w:t>
      </w:r>
    </w:p>
    <w:p>
      <w:pPr>
        <w:pStyle w:val="9"/>
        <w:numPr>
          <w:ilvl w:val="0"/>
          <w:numId w:val="29"/>
        </w:numPr>
        <w:tabs>
          <w:tab w:val="left" w:pos="3205"/>
          <w:tab w:val="left" w:pos="3206"/>
        </w:tabs>
        <w:spacing w:before="156" w:after="0" w:line="278" w:lineRule="auto"/>
        <w:ind w:left="3205" w:right="302" w:hanging="720"/>
        <w:jc w:val="left"/>
        <w:rPr>
          <w:sz w:val="21"/>
        </w:rPr>
      </w:pPr>
      <w:r>
        <w:rPr>
          <w:spacing w:val="-1"/>
          <w:w w:val="99"/>
          <w:sz w:val="21"/>
        </w:rPr>
        <w:t>骨髓穿刺检查或骨髓活检结果支持诊断：骨髓细胞增生程度＜正常的</w:t>
      </w:r>
      <w:r>
        <w:rPr>
          <w:spacing w:val="-53"/>
          <w:sz w:val="21"/>
        </w:rPr>
        <w:t xml:space="preserve"> </w:t>
      </w:r>
      <w:r>
        <w:rPr>
          <w:spacing w:val="1"/>
          <w:w w:val="99"/>
          <w:sz w:val="21"/>
        </w:rPr>
        <w:t>25</w:t>
      </w:r>
      <w:r>
        <w:rPr>
          <w:spacing w:val="-1"/>
          <w:w w:val="99"/>
          <w:sz w:val="21"/>
        </w:rPr>
        <w:t>%；如≥正常的</w:t>
      </w:r>
      <w:r>
        <w:rPr>
          <w:spacing w:val="-53"/>
          <w:sz w:val="21"/>
        </w:rPr>
        <w:t xml:space="preserve"> </w:t>
      </w:r>
      <w:r>
        <w:rPr>
          <w:spacing w:val="1"/>
          <w:w w:val="99"/>
          <w:sz w:val="21"/>
        </w:rPr>
        <w:t>25</w:t>
      </w:r>
      <w:r>
        <w:rPr>
          <w:w w:val="99"/>
          <w:sz w:val="21"/>
        </w:rPr>
        <w:t>%但＜</w:t>
      </w:r>
      <w:r>
        <w:rPr>
          <w:spacing w:val="1"/>
          <w:w w:val="99"/>
          <w:sz w:val="21"/>
        </w:rPr>
        <w:t>50</w:t>
      </w:r>
      <w:r>
        <w:rPr>
          <w:spacing w:val="-1"/>
          <w:w w:val="99"/>
          <w:sz w:val="21"/>
        </w:rPr>
        <w:t>%，则残存的造血细胞应＜</w:t>
      </w:r>
      <w:r>
        <w:rPr>
          <w:spacing w:val="1"/>
          <w:w w:val="99"/>
          <w:sz w:val="21"/>
        </w:rPr>
        <w:t>30</w:t>
      </w:r>
      <w:r>
        <w:rPr>
          <w:w w:val="99"/>
          <w:sz w:val="21"/>
        </w:rPr>
        <w:t>%；</w:t>
      </w:r>
    </w:p>
    <w:p>
      <w:pPr>
        <w:pStyle w:val="9"/>
        <w:numPr>
          <w:ilvl w:val="0"/>
          <w:numId w:val="29"/>
        </w:numPr>
        <w:tabs>
          <w:tab w:val="left" w:pos="3205"/>
          <w:tab w:val="left" w:pos="3206"/>
        </w:tabs>
        <w:spacing w:before="155" w:after="0" w:line="240" w:lineRule="auto"/>
        <w:ind w:left="3205" w:right="0" w:hanging="721"/>
        <w:jc w:val="left"/>
        <w:rPr>
          <w:sz w:val="21"/>
        </w:rPr>
      </w:pPr>
      <w:r>
        <w:rPr>
          <w:spacing w:val="-1"/>
          <w:w w:val="95"/>
          <w:sz w:val="21"/>
        </w:rPr>
        <w:t>外周血象须具备以下三项条件中的两项：</w:t>
      </w:r>
    </w:p>
    <w:p>
      <w:pPr>
        <w:pStyle w:val="4"/>
        <w:spacing w:before="7"/>
        <w:rPr>
          <w:sz w:val="15"/>
        </w:rPr>
      </w:pPr>
    </w:p>
    <w:p>
      <w:pPr>
        <w:pStyle w:val="9"/>
        <w:numPr>
          <w:ilvl w:val="1"/>
          <w:numId w:val="29"/>
        </w:numPr>
        <w:tabs>
          <w:tab w:val="left" w:pos="3901"/>
          <w:tab w:val="left" w:pos="3902"/>
        </w:tabs>
        <w:spacing w:before="0" w:after="0" w:line="240" w:lineRule="auto"/>
        <w:ind w:left="3901" w:right="0" w:hanging="682"/>
        <w:jc w:val="left"/>
        <w:rPr>
          <w:sz w:val="21"/>
        </w:rPr>
      </w:pPr>
      <w:r>
        <w:rPr>
          <w:spacing w:val="-1"/>
          <w:w w:val="95"/>
          <w:sz w:val="21"/>
        </w:rPr>
        <w:t>中性粒细胞绝对值＜</w:t>
      </w:r>
      <w:r>
        <w:rPr>
          <w:spacing w:val="-2"/>
          <w:w w:val="95"/>
          <w:sz w:val="21"/>
        </w:rPr>
        <w:t>0.5×10</w:t>
      </w:r>
      <w:r>
        <w:rPr>
          <w:spacing w:val="-2"/>
          <w:w w:val="95"/>
          <w:position w:val="11"/>
          <w:sz w:val="10"/>
        </w:rPr>
        <w:t>9</w:t>
      </w:r>
      <w:r>
        <w:rPr>
          <w:spacing w:val="-2"/>
          <w:w w:val="95"/>
          <w:sz w:val="21"/>
        </w:rPr>
        <w:t>/L；</w:t>
      </w:r>
    </w:p>
    <w:p>
      <w:pPr>
        <w:pStyle w:val="4"/>
        <w:spacing w:before="7"/>
        <w:rPr>
          <w:sz w:val="15"/>
        </w:rPr>
      </w:pPr>
    </w:p>
    <w:p>
      <w:pPr>
        <w:pStyle w:val="9"/>
        <w:numPr>
          <w:ilvl w:val="1"/>
          <w:numId w:val="29"/>
        </w:numPr>
        <w:tabs>
          <w:tab w:val="left" w:pos="3901"/>
          <w:tab w:val="left" w:pos="3902"/>
        </w:tabs>
        <w:spacing w:before="0" w:after="0" w:line="240" w:lineRule="auto"/>
        <w:ind w:left="3901" w:right="0" w:hanging="682"/>
        <w:jc w:val="left"/>
        <w:rPr>
          <w:sz w:val="21"/>
        </w:rPr>
      </w:pPr>
      <w:r>
        <w:rPr>
          <w:spacing w:val="-1"/>
          <w:w w:val="95"/>
          <w:sz w:val="21"/>
        </w:rPr>
        <w:t>网织红细胞计数＜</w:t>
      </w:r>
      <w:r>
        <w:rPr>
          <w:spacing w:val="-2"/>
          <w:w w:val="95"/>
          <w:sz w:val="21"/>
        </w:rPr>
        <w:t>20×10</w:t>
      </w:r>
      <w:r>
        <w:rPr>
          <w:spacing w:val="-2"/>
          <w:w w:val="95"/>
          <w:position w:val="11"/>
          <w:sz w:val="10"/>
        </w:rPr>
        <w:t>9</w:t>
      </w:r>
      <w:r>
        <w:rPr>
          <w:spacing w:val="-2"/>
          <w:w w:val="95"/>
          <w:sz w:val="21"/>
        </w:rPr>
        <w:t>/L；</w:t>
      </w:r>
    </w:p>
    <w:p>
      <w:pPr>
        <w:pStyle w:val="4"/>
        <w:spacing w:before="6"/>
        <w:rPr>
          <w:sz w:val="15"/>
        </w:rPr>
      </w:pPr>
    </w:p>
    <w:p>
      <w:pPr>
        <w:pStyle w:val="9"/>
        <w:numPr>
          <w:ilvl w:val="1"/>
          <w:numId w:val="29"/>
        </w:numPr>
        <w:tabs>
          <w:tab w:val="left" w:pos="3901"/>
          <w:tab w:val="left" w:pos="3902"/>
        </w:tabs>
        <w:spacing w:before="1" w:after="0" w:line="240" w:lineRule="auto"/>
        <w:ind w:left="3901" w:right="0" w:hanging="682"/>
        <w:jc w:val="left"/>
        <w:rPr>
          <w:sz w:val="21"/>
        </w:rPr>
      </w:pPr>
      <w:r>
        <w:rPr>
          <w:w w:val="95"/>
          <w:sz w:val="21"/>
        </w:rPr>
        <w:t>血小板绝对值＜20×10</w:t>
      </w:r>
      <w:r>
        <w:rPr>
          <w:w w:val="95"/>
          <w:position w:val="11"/>
          <w:sz w:val="10"/>
        </w:rPr>
        <w:t>9</w:t>
      </w:r>
      <w:r>
        <w:rPr>
          <w:w w:val="95"/>
          <w:sz w:val="21"/>
        </w:rPr>
        <w:t>/L</w:t>
      </w:r>
      <w:r>
        <w:rPr>
          <w:spacing w:val="-10"/>
          <w:w w:val="95"/>
          <w:sz w:val="21"/>
        </w:rPr>
        <w:t>。</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2"/>
          <w:w w:val="95"/>
        </w:rPr>
        <w:t>主动脉手术:</w:t>
      </w:r>
    </w:p>
    <w:p>
      <w:pPr>
        <w:pStyle w:val="4"/>
        <w:spacing w:before="7"/>
        <w:rPr>
          <w:b/>
          <w:sz w:val="15"/>
        </w:rPr>
      </w:pPr>
    </w:p>
    <w:p>
      <w:pPr>
        <w:pStyle w:val="4"/>
        <w:spacing w:line="278" w:lineRule="auto"/>
        <w:ind w:left="2485" w:right="345"/>
        <w:jc w:val="both"/>
      </w:pPr>
      <w:r>
        <w:rPr>
          <w:spacing w:val="-2"/>
          <w:w w:val="99"/>
        </w:rPr>
        <w:t>指为治疗主动脉疾病，已经实施了开胸</w:t>
      </w:r>
      <w:r>
        <w:rPr>
          <w:spacing w:val="2"/>
          <w:w w:val="99"/>
        </w:rPr>
        <w:t>（</w:t>
      </w:r>
      <w:r>
        <w:rPr>
          <w:spacing w:val="-1"/>
          <w:w w:val="99"/>
        </w:rPr>
        <w:t>含胸腔镜下</w:t>
      </w:r>
      <w:r>
        <w:rPr>
          <w:spacing w:val="-3"/>
          <w:w w:val="99"/>
        </w:rPr>
        <w:t>）</w:t>
      </w:r>
      <w:r>
        <w:rPr>
          <w:spacing w:val="-1"/>
          <w:w w:val="99"/>
        </w:rPr>
        <w:t>或开腹</w:t>
      </w:r>
      <w:r>
        <w:rPr>
          <w:spacing w:val="2"/>
          <w:w w:val="99"/>
        </w:rPr>
        <w:t>（</w:t>
      </w:r>
      <w:r>
        <w:rPr>
          <w:spacing w:val="-1"/>
          <w:w w:val="99"/>
        </w:rPr>
        <w:t>含腹腔镜下）</w:t>
      </w:r>
      <w:r>
        <w:rPr>
          <w:spacing w:val="1"/>
          <w:w w:val="99"/>
        </w:rPr>
        <w:t>进行</w:t>
      </w:r>
      <w:r>
        <w:rPr>
          <w:spacing w:val="-3"/>
          <w:w w:val="99"/>
        </w:rPr>
        <w:t>的切除、置换、修补病损主动脉血管、主动脉创伤后修复的手术。主动脉指升主动</w:t>
      </w:r>
      <w:r>
        <w:rPr>
          <w:spacing w:val="2"/>
          <w:w w:val="99"/>
        </w:rPr>
        <w:t>脉、主动脉弓和降主动脉（含胸主动脉和腹主动脉</w:t>
      </w:r>
      <w:r>
        <w:rPr>
          <w:spacing w:val="-104"/>
          <w:w w:val="99"/>
        </w:rPr>
        <w:t>）</w:t>
      </w:r>
      <w:r>
        <w:rPr>
          <w:spacing w:val="1"/>
          <w:w w:val="99"/>
        </w:rPr>
        <w:t>，不包括升主动脉、主动脉弓</w:t>
      </w:r>
      <w:r>
        <w:rPr>
          <w:spacing w:val="-1"/>
          <w:w w:val="99"/>
        </w:rPr>
        <w:t>和降主动脉的分支血管。</w:t>
      </w:r>
    </w:p>
    <w:p>
      <w:pPr>
        <w:pStyle w:val="4"/>
        <w:spacing w:line="269" w:lineRule="exact"/>
        <w:ind w:left="2485"/>
      </w:pPr>
      <w:r>
        <w:rPr>
          <w:color w:val="000000"/>
          <w:spacing w:val="-1"/>
          <w:w w:val="95"/>
          <w:shd w:val="clear" w:color="auto" w:fill="E4E4E4"/>
        </w:rPr>
        <w:t>所有未实施开胸或开腹的动脉内介入治疗不在保障范围内。</w:t>
      </w:r>
    </w:p>
    <w:p>
      <w:pPr>
        <w:pStyle w:val="4"/>
        <w:spacing w:before="3"/>
        <w:rPr>
          <w:sz w:val="25"/>
        </w:rPr>
      </w:pPr>
    </w:p>
    <w:p>
      <w:pPr>
        <w:spacing w:before="88" w:line="244" w:lineRule="auto"/>
        <w:ind w:left="220" w:right="299" w:firstLine="0"/>
        <w:jc w:val="left"/>
        <w:rPr>
          <w:rFonts w:ascii="楷体" w:eastAsia="楷体"/>
          <w:sz w:val="18"/>
        </w:rPr>
      </w:pPr>
      <w:r>
        <w:rPr>
          <w:rFonts w:ascii="楷体" w:eastAsia="楷体"/>
          <w:position w:val="9"/>
          <w:sz w:val="9"/>
        </w:rPr>
        <w:t>48</w:t>
      </w:r>
      <w:r>
        <w:rPr>
          <w:rFonts w:ascii="楷体" w:eastAsia="楷体"/>
          <w:spacing w:val="-34"/>
          <w:position w:val="9"/>
          <w:sz w:val="9"/>
        </w:rPr>
        <w:t xml:space="preserve"> </w:t>
      </w:r>
      <w:r>
        <w:rPr>
          <w:rFonts w:hint="eastAsia" w:ascii="楷体" w:eastAsia="楷体"/>
          <w:b/>
          <w:spacing w:val="12"/>
          <w:sz w:val="18"/>
        </w:rPr>
        <w:t>美国</w:t>
      </w:r>
      <w:r>
        <w:rPr>
          <w:rFonts w:hint="eastAsia" w:ascii="楷体" w:eastAsia="楷体"/>
          <w:b/>
          <w:sz w:val="18"/>
        </w:rPr>
        <w:t>纽</w:t>
      </w:r>
      <w:r>
        <w:rPr>
          <w:rFonts w:hint="eastAsia" w:ascii="楷体" w:eastAsia="楷体"/>
          <w:b/>
          <w:spacing w:val="12"/>
          <w:sz w:val="18"/>
        </w:rPr>
        <w:t>约心脏</w:t>
      </w:r>
      <w:r>
        <w:rPr>
          <w:rFonts w:hint="eastAsia" w:ascii="楷体" w:eastAsia="楷体"/>
          <w:b/>
          <w:sz w:val="18"/>
        </w:rPr>
        <w:t>病</w:t>
      </w:r>
      <w:r>
        <w:rPr>
          <w:rFonts w:hint="eastAsia" w:ascii="楷体" w:eastAsia="楷体"/>
          <w:b/>
          <w:spacing w:val="12"/>
          <w:sz w:val="18"/>
        </w:rPr>
        <w:t>学会</w:t>
      </w:r>
      <w:r>
        <w:rPr>
          <w:rFonts w:hint="eastAsia" w:ascii="楷体" w:eastAsia="楷体"/>
          <w:b/>
          <w:sz w:val="18"/>
        </w:rPr>
        <w:t>（New York Heart Association,NYHA）</w:t>
      </w:r>
      <w:r>
        <w:rPr>
          <w:rFonts w:hint="eastAsia" w:ascii="楷体" w:eastAsia="楷体"/>
          <w:b/>
          <w:spacing w:val="12"/>
          <w:sz w:val="18"/>
        </w:rPr>
        <w:t>心</w:t>
      </w:r>
      <w:r>
        <w:rPr>
          <w:rFonts w:hint="eastAsia" w:ascii="楷体" w:eastAsia="楷体"/>
          <w:b/>
          <w:sz w:val="18"/>
        </w:rPr>
        <w:t>功</w:t>
      </w:r>
      <w:r>
        <w:rPr>
          <w:rFonts w:hint="eastAsia" w:ascii="楷体" w:eastAsia="楷体"/>
          <w:b/>
          <w:spacing w:val="12"/>
          <w:sz w:val="18"/>
        </w:rPr>
        <w:t>能状态</w:t>
      </w:r>
      <w:r>
        <w:rPr>
          <w:rFonts w:hint="eastAsia" w:ascii="楷体" w:eastAsia="楷体"/>
          <w:b/>
          <w:spacing w:val="7"/>
          <w:sz w:val="18"/>
        </w:rPr>
        <w:t>分级</w:t>
      </w:r>
      <w:r>
        <w:rPr>
          <w:sz w:val="18"/>
        </w:rPr>
        <w:t>：</w:t>
      </w:r>
      <w:r>
        <w:rPr>
          <w:rFonts w:ascii="楷体" w:eastAsia="楷体"/>
          <w:spacing w:val="4"/>
          <w:sz w:val="18"/>
        </w:rPr>
        <w:t>美国纽约心脏病学会</w:t>
      </w:r>
      <w:r>
        <w:rPr>
          <w:rFonts w:ascii="楷体" w:eastAsia="楷体"/>
          <w:sz w:val="18"/>
        </w:rPr>
        <w:t xml:space="preserve">（New York Heart </w:t>
      </w:r>
      <w:r>
        <w:rPr>
          <w:rFonts w:ascii="楷体" w:eastAsia="楷体"/>
          <w:spacing w:val="-2"/>
          <w:sz w:val="18"/>
        </w:rPr>
        <w:t>Association,NYHA）将心功能状态分为四级：</w:t>
      </w:r>
    </w:p>
    <w:p>
      <w:pPr>
        <w:spacing w:before="0" w:line="228" w:lineRule="exact"/>
        <w:ind w:left="220" w:right="0" w:firstLine="0"/>
        <w:jc w:val="left"/>
        <w:rPr>
          <w:rFonts w:ascii="楷体" w:eastAsia="楷体"/>
          <w:sz w:val="18"/>
        </w:rPr>
      </w:pPr>
      <w:r>
        <w:rPr>
          <w:rFonts w:ascii="楷体" w:eastAsia="楷体"/>
          <w:sz w:val="18"/>
        </w:rPr>
        <w:t>I</w:t>
      </w:r>
      <w:r>
        <w:rPr>
          <w:rFonts w:ascii="楷体" w:eastAsia="楷体"/>
          <w:spacing w:val="-8"/>
          <w:sz w:val="18"/>
        </w:rPr>
        <w:t xml:space="preserve"> 级：心脏病病人日常活动量不受限制，一般活动不引起法力、呼吸困难等心衰症状。</w:t>
      </w:r>
    </w:p>
    <w:p>
      <w:pPr>
        <w:spacing w:before="2" w:line="242" w:lineRule="auto"/>
        <w:ind w:left="220" w:right="2918" w:firstLine="0"/>
        <w:jc w:val="left"/>
        <w:rPr>
          <w:rFonts w:ascii="楷体" w:hAnsi="楷体" w:eastAsia="楷体"/>
          <w:sz w:val="18"/>
        </w:rPr>
      </w:pPr>
      <w:r>
        <w:rPr>
          <w:rFonts w:ascii="楷体" w:hAnsi="楷体" w:eastAsia="楷体"/>
          <w:spacing w:val="-2"/>
          <w:sz w:val="18"/>
        </w:rPr>
        <w:t>II</w:t>
      </w:r>
      <w:r>
        <w:rPr>
          <w:rFonts w:ascii="楷体" w:hAnsi="楷体" w:eastAsia="楷体"/>
          <w:spacing w:val="-8"/>
          <w:sz w:val="18"/>
        </w:rPr>
        <w:t xml:space="preserve"> 级：心脏病病人体力活动轻度受限制，休息时无自觉症状，一般活动下可出现心衰症状。</w:t>
      </w:r>
      <w:r>
        <w:rPr>
          <w:rFonts w:ascii="楷体" w:hAnsi="楷体" w:eastAsia="楷体"/>
          <w:spacing w:val="-2"/>
          <w:sz w:val="18"/>
        </w:rPr>
        <w:t xml:space="preserve"> Ⅲ级：心脏病病人体力活动明显受限，低于平时一般活动即引起心衰症状。</w:t>
      </w:r>
    </w:p>
    <w:p>
      <w:pPr>
        <w:spacing w:before="2"/>
        <w:ind w:left="220" w:right="0" w:firstLine="0"/>
        <w:jc w:val="left"/>
        <w:rPr>
          <w:rFonts w:ascii="楷体" w:eastAsia="楷体"/>
          <w:sz w:val="18"/>
        </w:rPr>
      </w:pPr>
      <w:r>
        <w:rPr>
          <w:rFonts w:ascii="楷体" w:eastAsia="楷体"/>
          <w:spacing w:val="-2"/>
          <w:sz w:val="18"/>
        </w:rPr>
        <w:t>IV</w:t>
      </w:r>
      <w:r>
        <w:rPr>
          <w:rFonts w:ascii="楷体" w:eastAsia="楷体"/>
          <w:spacing w:val="-3"/>
          <w:sz w:val="18"/>
        </w:rPr>
        <w:t xml:space="preserve"> 级：心脏病病人不能从事任何体力活动，休息状态下也存在心衰症状，活动后加重。</w:t>
      </w:r>
    </w:p>
    <w:p>
      <w:pPr>
        <w:spacing w:after="0"/>
        <w:jc w:val="left"/>
        <w:rPr>
          <w:rFonts w:ascii="楷体" w:eastAsia="楷体"/>
          <w:sz w:val="18"/>
        </w:rPr>
        <w:sectPr>
          <w:pgSz w:w="11910" w:h="16840"/>
          <w:pgMar w:top="1400" w:right="660" w:bottom="860" w:left="860" w:header="0" w:footer="662" w:gutter="0"/>
          <w:cols w:space="720" w:num="1"/>
        </w:sectPr>
      </w:pPr>
    </w:p>
    <w:p>
      <w:pPr>
        <w:pStyle w:val="3"/>
        <w:numPr>
          <w:ilvl w:val="0"/>
          <w:numId w:val="14"/>
        </w:numPr>
        <w:tabs>
          <w:tab w:val="left" w:pos="3120"/>
        </w:tabs>
        <w:spacing w:before="59" w:after="0" w:line="240" w:lineRule="auto"/>
        <w:ind w:left="3119" w:right="0" w:hanging="635"/>
        <w:jc w:val="left"/>
      </w:pPr>
      <w:r>
        <w:rPr>
          <w:spacing w:val="-2"/>
          <w:w w:val="95"/>
        </w:rPr>
        <w:t>严重慢性呼吸衰竭:</w:t>
      </w:r>
    </w:p>
    <w:p>
      <w:pPr>
        <w:pStyle w:val="4"/>
        <w:spacing w:before="7"/>
        <w:rPr>
          <w:b/>
          <w:sz w:val="15"/>
        </w:rPr>
      </w:pPr>
    </w:p>
    <w:p>
      <w:pPr>
        <w:pStyle w:val="4"/>
        <w:spacing w:line="278" w:lineRule="auto"/>
        <w:ind w:left="2485" w:right="347"/>
      </w:pPr>
      <w:r>
        <w:rPr>
          <w:spacing w:val="-2"/>
          <w:w w:val="99"/>
        </w:rPr>
        <w:t>指因慢性呼吸系统疾病导致永久不可逆性的呼吸衰竭，经过积极治疗</w:t>
      </w:r>
      <w:r>
        <w:rPr>
          <w:spacing w:val="-53"/>
        </w:rPr>
        <w:t xml:space="preserve"> </w:t>
      </w:r>
      <w:r>
        <w:rPr>
          <w:spacing w:val="1"/>
          <w:w w:val="99"/>
        </w:rPr>
        <w:t>18</w:t>
      </w:r>
      <w:r>
        <w:rPr>
          <w:w w:val="99"/>
        </w:rPr>
        <w:t>0</w:t>
      </w:r>
      <w:r>
        <w:rPr>
          <w:spacing w:val="-54"/>
        </w:rPr>
        <w:t xml:space="preserve"> </w:t>
      </w:r>
      <w:r>
        <w:rPr>
          <w:w w:val="99"/>
        </w:rPr>
        <w:t>天后满足</w:t>
      </w:r>
      <w:r>
        <w:rPr>
          <w:spacing w:val="-1"/>
          <w:w w:val="99"/>
        </w:rPr>
        <w:t>以下所有条件：</w:t>
      </w:r>
    </w:p>
    <w:p>
      <w:pPr>
        <w:pStyle w:val="9"/>
        <w:numPr>
          <w:ilvl w:val="0"/>
          <w:numId w:val="30"/>
        </w:numPr>
        <w:tabs>
          <w:tab w:val="left" w:pos="3205"/>
          <w:tab w:val="left" w:pos="3206"/>
        </w:tabs>
        <w:spacing w:before="156" w:after="0" w:line="240" w:lineRule="auto"/>
        <w:ind w:left="3205" w:right="0" w:hanging="721"/>
        <w:jc w:val="left"/>
        <w:rPr>
          <w:sz w:val="21"/>
        </w:rPr>
      </w:pPr>
      <w:r>
        <w:rPr>
          <w:spacing w:val="-1"/>
          <w:w w:val="95"/>
          <w:sz w:val="21"/>
        </w:rPr>
        <w:t>静息时出现呼吸困难；</w:t>
      </w:r>
    </w:p>
    <w:p>
      <w:pPr>
        <w:pStyle w:val="4"/>
        <w:spacing w:before="6"/>
        <w:rPr>
          <w:sz w:val="15"/>
        </w:rPr>
      </w:pPr>
    </w:p>
    <w:p>
      <w:pPr>
        <w:pStyle w:val="9"/>
        <w:numPr>
          <w:ilvl w:val="0"/>
          <w:numId w:val="30"/>
        </w:numPr>
        <w:tabs>
          <w:tab w:val="left" w:pos="3205"/>
          <w:tab w:val="left" w:pos="3206"/>
        </w:tabs>
        <w:spacing w:before="0" w:after="0" w:line="240" w:lineRule="auto"/>
        <w:ind w:left="3205" w:right="0" w:hanging="721"/>
        <w:jc w:val="left"/>
        <w:rPr>
          <w:sz w:val="21"/>
        </w:rPr>
      </w:pPr>
      <w:r>
        <w:rPr>
          <w:w w:val="95"/>
          <w:sz w:val="21"/>
        </w:rPr>
        <w:t>肺功能第一秒用力呼气容积（FEV1）</w:t>
      </w:r>
      <w:r>
        <w:rPr>
          <w:spacing w:val="-1"/>
          <w:w w:val="95"/>
          <w:sz w:val="21"/>
        </w:rPr>
        <w:t>占预计值的百分比＜</w:t>
      </w:r>
      <w:r>
        <w:rPr>
          <w:spacing w:val="-2"/>
          <w:w w:val="95"/>
          <w:sz w:val="21"/>
        </w:rPr>
        <w:t>30%；</w:t>
      </w:r>
    </w:p>
    <w:p>
      <w:pPr>
        <w:pStyle w:val="4"/>
        <w:spacing w:before="7"/>
        <w:rPr>
          <w:sz w:val="15"/>
        </w:rPr>
      </w:pPr>
    </w:p>
    <w:p>
      <w:pPr>
        <w:pStyle w:val="9"/>
        <w:numPr>
          <w:ilvl w:val="0"/>
          <w:numId w:val="30"/>
        </w:numPr>
        <w:tabs>
          <w:tab w:val="left" w:pos="3205"/>
          <w:tab w:val="left" w:pos="3206"/>
        </w:tabs>
        <w:spacing w:before="0" w:after="0" w:line="240" w:lineRule="auto"/>
        <w:ind w:left="3205" w:right="0" w:hanging="721"/>
        <w:jc w:val="left"/>
        <w:rPr>
          <w:sz w:val="21"/>
        </w:rPr>
      </w:pPr>
      <w:r>
        <w:rPr>
          <w:w w:val="95"/>
          <w:sz w:val="21"/>
        </w:rPr>
        <w:t>在静息状态、呼吸空气条件下，动脉血氧分压（PaO2）＜50mmHg</w:t>
      </w:r>
      <w:r>
        <w:rPr>
          <w:spacing w:val="-10"/>
          <w:w w:val="95"/>
          <w:sz w:val="21"/>
        </w:rPr>
        <w:t>。</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严重克罗恩病:</w:t>
      </w:r>
    </w:p>
    <w:p>
      <w:pPr>
        <w:pStyle w:val="4"/>
        <w:spacing w:before="6"/>
        <w:rPr>
          <w:b/>
          <w:sz w:val="15"/>
        </w:rPr>
      </w:pPr>
    </w:p>
    <w:p>
      <w:pPr>
        <w:pStyle w:val="4"/>
        <w:spacing w:before="1" w:line="278" w:lineRule="auto"/>
        <w:ind w:left="2485" w:right="350"/>
      </w:pPr>
      <w:r>
        <w:rPr>
          <w:spacing w:val="2"/>
          <w:w w:val="99"/>
        </w:rPr>
        <w:t>指一种慢性肉芽肿性肠炎，具有特征性的克罗恩病（</w:t>
      </w:r>
      <w:r>
        <w:rPr>
          <w:spacing w:val="1"/>
          <w:w w:val="99"/>
        </w:rPr>
        <w:t>Cr</w:t>
      </w:r>
      <w:r>
        <w:rPr>
          <w:spacing w:val="-2"/>
          <w:w w:val="99"/>
        </w:rPr>
        <w:t>o</w:t>
      </w:r>
      <w:r>
        <w:rPr>
          <w:spacing w:val="1"/>
          <w:w w:val="99"/>
        </w:rPr>
        <w:t>h</w:t>
      </w:r>
      <w:r>
        <w:rPr>
          <w:w w:val="99"/>
        </w:rPr>
        <w:t>n</w:t>
      </w:r>
      <w:r>
        <w:rPr>
          <w:spacing w:val="-52"/>
        </w:rPr>
        <w:t xml:space="preserve"> </w:t>
      </w:r>
      <w:r>
        <w:rPr>
          <w:spacing w:val="2"/>
          <w:w w:val="99"/>
        </w:rPr>
        <w:t>病）</w:t>
      </w:r>
      <w:r>
        <w:rPr>
          <w:spacing w:val="1"/>
          <w:w w:val="99"/>
        </w:rPr>
        <w:t>病理组织学变化，</w:t>
      </w:r>
      <w:r>
        <w:rPr>
          <w:spacing w:val="-1"/>
          <w:w w:val="99"/>
        </w:rPr>
        <w:t>须根据组织病理学特点诊断，且已经造成瘘管形成并伴有肠梗阻或肠穿孔。</w:t>
      </w:r>
    </w:p>
    <w:p>
      <w:pPr>
        <w:pStyle w:val="3"/>
        <w:numPr>
          <w:ilvl w:val="0"/>
          <w:numId w:val="14"/>
        </w:numPr>
        <w:tabs>
          <w:tab w:val="left" w:pos="3120"/>
        </w:tabs>
        <w:spacing w:before="155" w:after="0" w:line="240" w:lineRule="auto"/>
        <w:ind w:left="3119" w:right="0" w:hanging="635"/>
        <w:jc w:val="left"/>
      </w:pPr>
      <w:r>
        <w:rPr>
          <w:spacing w:val="-2"/>
          <w:w w:val="95"/>
        </w:rPr>
        <w:t>严重溃疡性结肠炎:</w:t>
      </w:r>
    </w:p>
    <w:p>
      <w:pPr>
        <w:pStyle w:val="4"/>
        <w:spacing w:before="7"/>
        <w:rPr>
          <w:b/>
          <w:sz w:val="15"/>
        </w:rPr>
      </w:pPr>
    </w:p>
    <w:p>
      <w:pPr>
        <w:pStyle w:val="4"/>
        <w:spacing w:line="278" w:lineRule="auto"/>
        <w:ind w:left="2485" w:right="347"/>
        <w:jc w:val="both"/>
      </w:pPr>
      <w:r>
        <w:rPr>
          <w:spacing w:val="-3"/>
          <w:w w:val="99"/>
        </w:rPr>
        <w:t>指伴有致命性电解质紊乱的急性暴发性溃疡性结肠炎，病变已经累及全结肠，表现为严重的血便和系统性症状体征，须根据组织病理学特点诊断，且已经实施了结肠</w:t>
      </w:r>
      <w:r>
        <w:rPr>
          <w:spacing w:val="-1"/>
          <w:w w:val="99"/>
        </w:rPr>
        <w:t>切除或回肠造瘘术。</w:t>
      </w:r>
    </w:p>
    <w:p>
      <w:pPr>
        <w:pStyle w:val="3"/>
        <w:numPr>
          <w:ilvl w:val="0"/>
          <w:numId w:val="14"/>
        </w:numPr>
        <w:tabs>
          <w:tab w:val="left" w:pos="3120"/>
        </w:tabs>
        <w:spacing w:before="156" w:after="0" w:line="240" w:lineRule="auto"/>
        <w:ind w:left="3119" w:right="0" w:hanging="635"/>
        <w:jc w:val="left"/>
      </w:pPr>
      <w:r>
        <w:rPr>
          <w:w w:val="95"/>
        </w:rPr>
        <w:t>经输血导致的人类免疫缺陷病毒（HIV）</w:t>
      </w:r>
      <w:r>
        <w:rPr>
          <w:spacing w:val="-4"/>
          <w:w w:val="95"/>
        </w:rPr>
        <w:t>感染:</w:t>
      </w:r>
    </w:p>
    <w:p>
      <w:pPr>
        <w:pStyle w:val="4"/>
        <w:spacing w:before="6"/>
        <w:rPr>
          <w:b/>
          <w:sz w:val="15"/>
        </w:rPr>
      </w:pPr>
    </w:p>
    <w:p>
      <w:pPr>
        <w:pStyle w:val="4"/>
        <w:spacing w:before="1"/>
        <w:ind w:left="2485"/>
      </w:pPr>
      <w:r>
        <w:rPr>
          <w:w w:val="95"/>
        </w:rPr>
        <w:t>被保险人感染人类免疫缺陷病毒</w:t>
      </w:r>
      <w:r>
        <w:rPr>
          <w:spacing w:val="19"/>
          <w:w w:val="95"/>
        </w:rPr>
        <w:t>（</w:t>
      </w:r>
      <w:r>
        <w:rPr>
          <w:spacing w:val="18"/>
          <w:w w:val="95"/>
        </w:rPr>
        <w:t>HI</w:t>
      </w:r>
      <w:r>
        <w:rPr>
          <w:spacing w:val="15"/>
          <w:w w:val="95"/>
        </w:rPr>
        <w:t>V</w:t>
      </w:r>
      <w:r>
        <w:rPr>
          <w:spacing w:val="-87"/>
          <w:w w:val="95"/>
        </w:rPr>
        <w:t>）</w:t>
      </w:r>
      <w:r>
        <w:rPr>
          <w:spacing w:val="-1"/>
          <w:w w:val="95"/>
        </w:rPr>
        <w:t>，且须满足下列全部条件：</w:t>
      </w:r>
    </w:p>
    <w:p>
      <w:pPr>
        <w:pStyle w:val="4"/>
        <w:spacing w:before="6"/>
        <w:rPr>
          <w:sz w:val="15"/>
        </w:rPr>
      </w:pPr>
    </w:p>
    <w:p>
      <w:pPr>
        <w:pStyle w:val="9"/>
        <w:numPr>
          <w:ilvl w:val="0"/>
          <w:numId w:val="31"/>
        </w:numPr>
        <w:tabs>
          <w:tab w:val="left" w:pos="3205"/>
          <w:tab w:val="left" w:pos="3206"/>
        </w:tabs>
        <w:spacing w:before="0" w:after="0" w:line="240" w:lineRule="auto"/>
        <w:ind w:left="3205" w:right="0" w:hanging="721"/>
        <w:jc w:val="left"/>
        <w:rPr>
          <w:sz w:val="21"/>
        </w:rPr>
      </w:pPr>
      <w:r>
        <w:rPr>
          <w:w w:val="95"/>
          <w:sz w:val="21"/>
        </w:rPr>
        <w:t>在保障起始日或复效日之后，被保险人因输血而感染</w:t>
      </w:r>
      <w:r>
        <w:rPr>
          <w:spacing w:val="23"/>
          <w:sz w:val="21"/>
        </w:rPr>
        <w:t xml:space="preserve">  </w:t>
      </w:r>
      <w:r>
        <w:rPr>
          <w:spacing w:val="-4"/>
          <w:w w:val="95"/>
          <w:sz w:val="21"/>
        </w:rPr>
        <w:t>HIV；</w:t>
      </w:r>
    </w:p>
    <w:p>
      <w:pPr>
        <w:pStyle w:val="4"/>
        <w:spacing w:before="7"/>
        <w:rPr>
          <w:sz w:val="15"/>
        </w:rPr>
      </w:pPr>
    </w:p>
    <w:p>
      <w:pPr>
        <w:pStyle w:val="9"/>
        <w:numPr>
          <w:ilvl w:val="0"/>
          <w:numId w:val="31"/>
        </w:numPr>
        <w:tabs>
          <w:tab w:val="left" w:pos="3205"/>
          <w:tab w:val="left" w:pos="3206"/>
        </w:tabs>
        <w:spacing w:before="0" w:after="0" w:line="278" w:lineRule="auto"/>
        <w:ind w:left="3205" w:right="249" w:hanging="720"/>
        <w:jc w:val="left"/>
        <w:rPr>
          <w:sz w:val="21"/>
        </w:rPr>
      </w:pPr>
      <w:r>
        <w:rPr>
          <w:spacing w:val="-1"/>
          <w:w w:val="99"/>
          <w:sz w:val="21"/>
        </w:rPr>
        <w:t>提供输血治疗的输血中心或医院出具该项输血感染属医疗责任事故的报告，或者法院终审裁定为医疗责任；</w:t>
      </w:r>
    </w:p>
    <w:p>
      <w:pPr>
        <w:pStyle w:val="9"/>
        <w:numPr>
          <w:ilvl w:val="0"/>
          <w:numId w:val="31"/>
        </w:numPr>
        <w:tabs>
          <w:tab w:val="left" w:pos="3205"/>
          <w:tab w:val="left" w:pos="3206"/>
        </w:tabs>
        <w:spacing w:before="156" w:after="0" w:line="240" w:lineRule="auto"/>
        <w:ind w:left="3205" w:right="0" w:hanging="721"/>
        <w:jc w:val="left"/>
        <w:rPr>
          <w:sz w:val="21"/>
        </w:rPr>
      </w:pPr>
      <w:r>
        <w:rPr>
          <w:spacing w:val="-1"/>
          <w:w w:val="95"/>
          <w:sz w:val="21"/>
        </w:rPr>
        <w:t>受感染的被保险人不是血友病患者。</w:t>
      </w:r>
    </w:p>
    <w:p>
      <w:pPr>
        <w:pStyle w:val="4"/>
        <w:spacing w:before="1"/>
        <w:rPr>
          <w:sz w:val="10"/>
        </w:rPr>
      </w:pPr>
    </w:p>
    <w:p>
      <w:pPr>
        <w:pStyle w:val="4"/>
        <w:spacing w:before="70" w:line="278" w:lineRule="auto"/>
        <w:ind w:left="2485" w:right="242"/>
      </w:pPr>
      <w:r>
        <w:rPr>
          <w:color w:val="000000"/>
          <w:spacing w:val="-8"/>
          <w:w w:val="95"/>
          <w:shd w:val="clear" w:color="auto" w:fill="E4E4E4"/>
        </w:rPr>
        <w:t>任何因其他传播方式</w:t>
      </w:r>
      <w:r>
        <w:rPr>
          <w:color w:val="000000"/>
          <w:spacing w:val="-2"/>
          <w:w w:val="95"/>
          <w:shd w:val="clear" w:color="auto" w:fill="E4E4E4"/>
        </w:rPr>
        <w:t>（</w:t>
      </w:r>
      <w:r>
        <w:rPr>
          <w:color w:val="000000"/>
          <w:spacing w:val="-10"/>
          <w:w w:val="95"/>
          <w:shd w:val="clear" w:color="auto" w:fill="E4E4E4"/>
        </w:rPr>
        <w:t>包括：性传播或静脉注射毒品</w:t>
      </w:r>
      <w:r>
        <w:rPr>
          <w:color w:val="000000"/>
          <w:spacing w:val="-53"/>
          <w:w w:val="95"/>
          <w:shd w:val="clear" w:color="auto" w:fill="E4E4E4"/>
        </w:rPr>
        <w:t>）</w:t>
      </w:r>
      <w:r>
        <w:rPr>
          <w:color w:val="000000"/>
          <w:spacing w:val="-8"/>
          <w:w w:val="95"/>
          <w:shd w:val="clear" w:color="auto" w:fill="E4E4E4"/>
        </w:rPr>
        <w:t>导致人类免疫缺陷病毒</w:t>
      </w:r>
      <w:r>
        <w:rPr>
          <w:color w:val="000000"/>
          <w:spacing w:val="-2"/>
          <w:w w:val="95"/>
          <w:shd w:val="clear" w:color="auto" w:fill="E4E4E4"/>
        </w:rPr>
        <w:t>（HIV）</w:t>
      </w:r>
      <w:r>
        <w:rPr>
          <w:color w:val="000000"/>
          <w:spacing w:val="80"/>
          <w:w w:val="150"/>
          <w:shd w:val="clear" w:color="auto" w:fill="E4E4E4"/>
        </w:rPr>
        <w:t xml:space="preserve">                                          </w:t>
      </w:r>
      <w:r>
        <w:rPr>
          <w:color w:val="000000"/>
          <w:spacing w:val="-2"/>
          <w:shd w:val="clear" w:color="auto" w:fill="E4E4E4"/>
        </w:rPr>
        <w:t>感染不在保障范围内。</w:t>
      </w:r>
      <w:r>
        <w:rPr>
          <w:color w:val="000000"/>
          <w:spacing w:val="-2"/>
        </w:rPr>
        <w:t>本公司具有获得和使用被保险人的所有血液样本的权利以及能够对这些样本进行独立检验的权利。</w:t>
      </w:r>
    </w:p>
    <w:p>
      <w:pPr>
        <w:pStyle w:val="3"/>
        <w:numPr>
          <w:ilvl w:val="0"/>
          <w:numId w:val="14"/>
        </w:numPr>
        <w:tabs>
          <w:tab w:val="left" w:pos="3120"/>
        </w:tabs>
        <w:spacing w:before="155" w:after="0" w:line="240" w:lineRule="auto"/>
        <w:ind w:left="3119" w:right="0" w:hanging="635"/>
        <w:jc w:val="left"/>
      </w:pPr>
      <w:r>
        <w:rPr>
          <w:spacing w:val="-1"/>
          <w:w w:val="95"/>
        </w:rPr>
        <w:t>严重原发性硬化性胆管炎:</w:t>
      </w:r>
    </w:p>
    <w:p>
      <w:pPr>
        <w:pStyle w:val="4"/>
        <w:spacing w:before="7"/>
        <w:rPr>
          <w:b/>
          <w:sz w:val="15"/>
        </w:rPr>
      </w:pPr>
    </w:p>
    <w:p>
      <w:pPr>
        <w:pStyle w:val="4"/>
        <w:spacing w:line="278" w:lineRule="auto"/>
        <w:ind w:left="2485" w:right="338"/>
      </w:pPr>
      <w:r>
        <w:rPr>
          <w:spacing w:val="-3"/>
          <w:w w:val="99"/>
        </w:rPr>
        <w:t>指一种胆汁淤积综合症，其特征是肝内、肝外胆道因非细菌性炎症、慢性纤维化逐</w:t>
      </w:r>
      <w:r>
        <w:rPr>
          <w:spacing w:val="-1"/>
          <w:w w:val="99"/>
        </w:rPr>
        <w:t>渐狭窄，并最终导致完全阻塞而发展为胆汁淤积性肝硬化。须满足下列全部条件：</w:t>
      </w:r>
    </w:p>
    <w:p>
      <w:pPr>
        <w:pStyle w:val="9"/>
        <w:numPr>
          <w:ilvl w:val="0"/>
          <w:numId w:val="32"/>
        </w:numPr>
        <w:tabs>
          <w:tab w:val="left" w:pos="3205"/>
          <w:tab w:val="left" w:pos="3206"/>
        </w:tabs>
        <w:spacing w:before="156" w:after="0" w:line="240" w:lineRule="auto"/>
        <w:ind w:left="3205" w:right="0" w:hanging="721"/>
        <w:jc w:val="left"/>
        <w:rPr>
          <w:sz w:val="21"/>
        </w:rPr>
      </w:pPr>
      <w:r>
        <w:rPr>
          <w:spacing w:val="-2"/>
          <w:w w:val="95"/>
          <w:sz w:val="21"/>
        </w:rPr>
        <w:t>持续性黄疸病史；</w:t>
      </w:r>
    </w:p>
    <w:p>
      <w:pPr>
        <w:pStyle w:val="4"/>
        <w:spacing w:before="6"/>
        <w:rPr>
          <w:sz w:val="15"/>
        </w:rPr>
      </w:pPr>
    </w:p>
    <w:p>
      <w:pPr>
        <w:pStyle w:val="9"/>
        <w:numPr>
          <w:ilvl w:val="0"/>
          <w:numId w:val="32"/>
        </w:numPr>
        <w:tabs>
          <w:tab w:val="left" w:pos="3205"/>
          <w:tab w:val="left" w:pos="3206"/>
        </w:tabs>
        <w:spacing w:before="1" w:after="0" w:line="240" w:lineRule="auto"/>
        <w:ind w:left="3205" w:right="0" w:hanging="721"/>
        <w:jc w:val="left"/>
        <w:rPr>
          <w:sz w:val="21"/>
        </w:rPr>
      </w:pPr>
      <w:r>
        <w:rPr>
          <w:w w:val="95"/>
          <w:sz w:val="21"/>
        </w:rPr>
        <w:t>总胆红素和直接胆红素同时升高，血清</w:t>
      </w:r>
      <w:r>
        <w:rPr>
          <w:spacing w:val="45"/>
          <w:w w:val="150"/>
          <w:sz w:val="21"/>
        </w:rPr>
        <w:t xml:space="preserve"> </w:t>
      </w:r>
      <w:r>
        <w:rPr>
          <w:spacing w:val="-2"/>
          <w:w w:val="95"/>
          <w:sz w:val="21"/>
        </w:rPr>
        <w:t>ALP＞200U/L；</w:t>
      </w:r>
    </w:p>
    <w:p>
      <w:pPr>
        <w:pStyle w:val="4"/>
        <w:spacing w:before="6"/>
        <w:rPr>
          <w:sz w:val="15"/>
        </w:rPr>
      </w:pPr>
    </w:p>
    <w:p>
      <w:pPr>
        <w:pStyle w:val="9"/>
        <w:numPr>
          <w:ilvl w:val="0"/>
          <w:numId w:val="32"/>
        </w:numPr>
        <w:tabs>
          <w:tab w:val="left" w:pos="3205"/>
          <w:tab w:val="left" w:pos="3206"/>
        </w:tabs>
        <w:spacing w:before="0" w:after="0" w:line="240" w:lineRule="auto"/>
        <w:ind w:left="3205" w:right="0" w:hanging="721"/>
        <w:jc w:val="left"/>
        <w:rPr>
          <w:sz w:val="21"/>
        </w:rPr>
      </w:pPr>
      <w:r>
        <w:rPr>
          <w:w w:val="95"/>
          <w:sz w:val="21"/>
        </w:rPr>
        <w:t>经内镜逆行胰胆管造影（ERCP）</w:t>
      </w:r>
      <w:r>
        <w:rPr>
          <w:spacing w:val="-2"/>
          <w:w w:val="95"/>
          <w:sz w:val="21"/>
        </w:rPr>
        <w:t>影像学检查确诊；</w:t>
      </w:r>
    </w:p>
    <w:p>
      <w:pPr>
        <w:pStyle w:val="4"/>
        <w:spacing w:before="7"/>
        <w:rPr>
          <w:sz w:val="15"/>
        </w:rPr>
      </w:pPr>
    </w:p>
    <w:p>
      <w:pPr>
        <w:pStyle w:val="9"/>
        <w:numPr>
          <w:ilvl w:val="0"/>
          <w:numId w:val="32"/>
        </w:numPr>
        <w:tabs>
          <w:tab w:val="left" w:pos="3205"/>
          <w:tab w:val="left" w:pos="3206"/>
        </w:tabs>
        <w:spacing w:before="0" w:after="0" w:line="240" w:lineRule="auto"/>
        <w:ind w:left="3205" w:right="0" w:hanging="721"/>
        <w:jc w:val="left"/>
        <w:rPr>
          <w:sz w:val="21"/>
        </w:rPr>
      </w:pPr>
      <w:r>
        <w:rPr>
          <w:spacing w:val="-1"/>
          <w:w w:val="95"/>
          <w:sz w:val="21"/>
        </w:rPr>
        <w:t>出现胆汁淤积性肝硬化或门脉高压。</w:t>
      </w:r>
    </w:p>
    <w:p>
      <w:pPr>
        <w:pStyle w:val="4"/>
        <w:spacing w:before="1"/>
        <w:rPr>
          <w:sz w:val="10"/>
        </w:rPr>
      </w:pPr>
    </w:p>
    <w:p>
      <w:pPr>
        <w:pStyle w:val="4"/>
        <w:spacing w:before="70"/>
        <w:ind w:left="2485"/>
      </w:pPr>
      <w:r>
        <w:rPr>
          <w:color w:val="000000"/>
          <w:spacing w:val="-1"/>
          <w:w w:val="95"/>
          <w:shd w:val="clear" w:color="auto" w:fill="E4E4E4"/>
        </w:rPr>
        <w:t>因肿瘤或胆管损伤等继发性的硬化性胆管炎不在保障范围内。</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w w:val="95"/>
        </w:rPr>
        <w:t>特定职业导致的人类免疫缺陷病毒（HIV）</w:t>
      </w:r>
      <w:r>
        <w:rPr>
          <w:spacing w:val="-4"/>
          <w:w w:val="95"/>
        </w:rPr>
        <w:t>感染:</w:t>
      </w:r>
    </w:p>
    <w:p>
      <w:pPr>
        <w:pStyle w:val="4"/>
        <w:spacing w:before="6"/>
        <w:rPr>
          <w:b/>
          <w:sz w:val="15"/>
        </w:rPr>
      </w:pPr>
    </w:p>
    <w:p>
      <w:pPr>
        <w:pStyle w:val="4"/>
        <w:ind w:left="2485"/>
      </w:pPr>
      <w:r>
        <w:rPr>
          <w:w w:val="95"/>
        </w:rPr>
        <w:t>被保险人在其常规职业工作过程中遭遇外伤</w:t>
      </w:r>
      <w:r>
        <w:rPr>
          <w:spacing w:val="-1"/>
          <w:w w:val="95"/>
        </w:rPr>
        <w:t>，或者职业需要处理血液或者其他体液</w:t>
      </w:r>
    </w:p>
    <w:p>
      <w:pPr>
        <w:spacing w:after="0"/>
        <w:sectPr>
          <w:pgSz w:w="11910" w:h="16840"/>
          <w:pgMar w:top="1540" w:right="660" w:bottom="860" w:left="860" w:header="0" w:footer="662" w:gutter="0"/>
          <w:cols w:space="720" w:num="1"/>
        </w:sectPr>
      </w:pPr>
    </w:p>
    <w:p>
      <w:pPr>
        <w:pStyle w:val="4"/>
        <w:spacing w:before="43"/>
        <w:ind w:left="2485"/>
      </w:pPr>
      <w:r>
        <w:rPr>
          <w:w w:val="95"/>
        </w:rPr>
        <w:t>时感染上人类免疫缺陷病毒</w:t>
      </w:r>
      <w:r>
        <w:rPr>
          <w:spacing w:val="19"/>
          <w:w w:val="95"/>
        </w:rPr>
        <w:t>（</w:t>
      </w:r>
      <w:r>
        <w:rPr>
          <w:spacing w:val="18"/>
          <w:w w:val="95"/>
        </w:rPr>
        <w:t>HI</w:t>
      </w:r>
      <w:r>
        <w:rPr>
          <w:spacing w:val="15"/>
          <w:w w:val="95"/>
        </w:rPr>
        <w:t>V</w:t>
      </w:r>
      <w:r>
        <w:rPr>
          <w:spacing w:val="-87"/>
          <w:w w:val="95"/>
        </w:rPr>
        <w:t>）</w:t>
      </w:r>
      <w:r>
        <w:rPr>
          <w:spacing w:val="-1"/>
          <w:w w:val="95"/>
        </w:rPr>
        <w:t>，且须满足下列全部条件：</w:t>
      </w:r>
    </w:p>
    <w:p>
      <w:pPr>
        <w:pStyle w:val="4"/>
        <w:spacing w:before="7"/>
        <w:rPr>
          <w:sz w:val="15"/>
        </w:rPr>
      </w:pPr>
    </w:p>
    <w:p>
      <w:pPr>
        <w:pStyle w:val="9"/>
        <w:numPr>
          <w:ilvl w:val="0"/>
          <w:numId w:val="33"/>
        </w:numPr>
        <w:tabs>
          <w:tab w:val="left" w:pos="3205"/>
          <w:tab w:val="left" w:pos="3206"/>
        </w:tabs>
        <w:spacing w:before="0" w:after="0" w:line="278" w:lineRule="auto"/>
        <w:ind w:left="3205" w:right="350" w:hanging="720"/>
        <w:jc w:val="left"/>
        <w:rPr>
          <w:sz w:val="21"/>
        </w:rPr>
      </w:pPr>
      <w:r>
        <w:rPr>
          <w:spacing w:val="-6"/>
          <w:w w:val="99"/>
          <w:sz w:val="21"/>
        </w:rPr>
        <w:t>感染必须是在被保险人正在从事其职业工作中发生，该职业必须属于以下列</w:t>
      </w:r>
      <w:r>
        <w:rPr>
          <w:spacing w:val="-1"/>
          <w:w w:val="99"/>
          <w:sz w:val="21"/>
        </w:rPr>
        <w:t>表内的职业；</w:t>
      </w:r>
    </w:p>
    <w:p>
      <w:pPr>
        <w:pStyle w:val="9"/>
        <w:numPr>
          <w:ilvl w:val="0"/>
          <w:numId w:val="33"/>
        </w:numPr>
        <w:tabs>
          <w:tab w:val="left" w:pos="3205"/>
          <w:tab w:val="left" w:pos="3206"/>
        </w:tabs>
        <w:spacing w:before="156" w:after="0" w:line="240" w:lineRule="auto"/>
        <w:ind w:left="3205" w:right="0" w:hanging="721"/>
        <w:jc w:val="left"/>
        <w:rPr>
          <w:sz w:val="21"/>
        </w:rPr>
      </w:pPr>
      <w:r>
        <w:rPr>
          <w:spacing w:val="-1"/>
          <w:w w:val="95"/>
          <w:sz w:val="21"/>
        </w:rPr>
        <w:t>血清转化必须出现在事故发生后的六个月以内；</w:t>
      </w:r>
    </w:p>
    <w:p>
      <w:pPr>
        <w:pStyle w:val="4"/>
        <w:spacing w:before="6"/>
        <w:rPr>
          <w:sz w:val="15"/>
        </w:rPr>
      </w:pPr>
    </w:p>
    <w:p>
      <w:pPr>
        <w:pStyle w:val="9"/>
        <w:numPr>
          <w:ilvl w:val="0"/>
          <w:numId w:val="33"/>
        </w:numPr>
        <w:tabs>
          <w:tab w:val="left" w:pos="3205"/>
          <w:tab w:val="left" w:pos="3206"/>
        </w:tabs>
        <w:spacing w:before="0" w:after="0" w:line="278" w:lineRule="auto"/>
        <w:ind w:left="3205" w:right="347" w:hanging="720"/>
        <w:jc w:val="left"/>
        <w:rPr>
          <w:sz w:val="21"/>
        </w:rPr>
      </w:pPr>
      <w:r>
        <w:rPr>
          <w:spacing w:val="-1"/>
          <w:w w:val="99"/>
          <w:sz w:val="21"/>
        </w:rPr>
        <w:t>必须提供被保险人在所报事故发生后的</w:t>
      </w:r>
      <w:r>
        <w:rPr>
          <w:spacing w:val="-50"/>
          <w:sz w:val="21"/>
        </w:rPr>
        <w:t xml:space="preserve"> </w:t>
      </w:r>
      <w:r>
        <w:rPr>
          <w:w w:val="99"/>
          <w:sz w:val="21"/>
        </w:rPr>
        <w:t>5</w:t>
      </w:r>
      <w:r>
        <w:rPr>
          <w:spacing w:val="-54"/>
          <w:sz w:val="21"/>
        </w:rPr>
        <w:t xml:space="preserve"> </w:t>
      </w:r>
      <w:r>
        <w:rPr>
          <w:spacing w:val="-9"/>
          <w:w w:val="99"/>
          <w:sz w:val="21"/>
        </w:rPr>
        <w:t>天以内进行的检查报告，该报告必</w:t>
      </w:r>
      <w:r>
        <w:rPr>
          <w:spacing w:val="-1"/>
          <w:w w:val="99"/>
          <w:sz w:val="21"/>
        </w:rPr>
        <w:t>须显示被保险人血液</w:t>
      </w:r>
      <w:r>
        <w:rPr>
          <w:spacing w:val="-53"/>
          <w:sz w:val="21"/>
        </w:rPr>
        <w:t xml:space="preserve"> </w:t>
      </w:r>
      <w:r>
        <w:rPr>
          <w:spacing w:val="1"/>
          <w:w w:val="99"/>
          <w:sz w:val="21"/>
        </w:rPr>
        <w:t>HI</w:t>
      </w:r>
      <w:r>
        <w:rPr>
          <w:w w:val="99"/>
          <w:sz w:val="21"/>
        </w:rPr>
        <w:t>V</w:t>
      </w:r>
      <w:r>
        <w:rPr>
          <w:spacing w:val="-52"/>
          <w:sz w:val="21"/>
        </w:rPr>
        <w:t xml:space="preserve"> </w:t>
      </w:r>
      <w:r>
        <w:rPr>
          <w:spacing w:val="-1"/>
          <w:w w:val="99"/>
          <w:sz w:val="21"/>
        </w:rPr>
        <w:t>病毒阴性和/或</w:t>
      </w:r>
      <w:r>
        <w:rPr>
          <w:spacing w:val="-53"/>
          <w:sz w:val="21"/>
        </w:rPr>
        <w:t xml:space="preserve"> </w:t>
      </w:r>
      <w:r>
        <w:rPr>
          <w:spacing w:val="1"/>
          <w:w w:val="99"/>
          <w:sz w:val="21"/>
        </w:rPr>
        <w:t>HI</w:t>
      </w:r>
      <w:r>
        <w:rPr>
          <w:w w:val="99"/>
          <w:sz w:val="21"/>
        </w:rPr>
        <w:t>V</w:t>
      </w:r>
      <w:r>
        <w:rPr>
          <w:spacing w:val="-54"/>
          <w:sz w:val="21"/>
        </w:rPr>
        <w:t xml:space="preserve"> </w:t>
      </w:r>
      <w:r>
        <w:rPr>
          <w:spacing w:val="-1"/>
          <w:w w:val="99"/>
          <w:sz w:val="21"/>
        </w:rPr>
        <w:t>抗体阴性；</w:t>
      </w:r>
    </w:p>
    <w:p>
      <w:pPr>
        <w:pStyle w:val="9"/>
        <w:numPr>
          <w:ilvl w:val="0"/>
          <w:numId w:val="33"/>
        </w:numPr>
        <w:tabs>
          <w:tab w:val="left" w:pos="3205"/>
          <w:tab w:val="left" w:pos="3206"/>
        </w:tabs>
        <w:spacing w:before="156" w:after="0" w:line="278" w:lineRule="auto"/>
        <w:ind w:left="3205" w:right="349" w:hanging="720"/>
        <w:jc w:val="left"/>
        <w:rPr>
          <w:sz w:val="21"/>
        </w:rPr>
      </w:pPr>
      <w:r>
        <w:rPr>
          <w:spacing w:val="3"/>
          <w:w w:val="99"/>
          <w:sz w:val="21"/>
        </w:rPr>
        <w:t>必须在事故发生后的十二个月内证实被保险人体内存在</w:t>
      </w:r>
      <w:r>
        <w:rPr>
          <w:spacing w:val="-46"/>
          <w:sz w:val="21"/>
        </w:rPr>
        <w:t xml:space="preserve"> </w:t>
      </w:r>
      <w:r>
        <w:rPr>
          <w:spacing w:val="1"/>
          <w:w w:val="99"/>
          <w:sz w:val="21"/>
        </w:rPr>
        <w:t>HI</w:t>
      </w:r>
      <w:r>
        <w:rPr>
          <w:w w:val="99"/>
          <w:sz w:val="21"/>
        </w:rPr>
        <w:t>V</w:t>
      </w:r>
      <w:r>
        <w:rPr>
          <w:spacing w:val="-49"/>
          <w:sz w:val="21"/>
        </w:rPr>
        <w:t xml:space="preserve"> </w:t>
      </w:r>
      <w:r>
        <w:rPr>
          <w:spacing w:val="5"/>
          <w:w w:val="99"/>
          <w:sz w:val="21"/>
        </w:rPr>
        <w:t>病毒或者</w:t>
      </w:r>
      <w:r>
        <w:rPr>
          <w:spacing w:val="-46"/>
          <w:sz w:val="21"/>
        </w:rPr>
        <w:t xml:space="preserve"> </w:t>
      </w:r>
      <w:r>
        <w:rPr>
          <w:spacing w:val="-3"/>
          <w:w w:val="99"/>
          <w:sz w:val="21"/>
        </w:rPr>
        <w:t>H</w:t>
      </w:r>
      <w:r>
        <w:rPr>
          <w:spacing w:val="-6"/>
          <w:w w:val="99"/>
          <w:sz w:val="21"/>
        </w:rPr>
        <w:t>I</w:t>
      </w:r>
      <w:r>
        <w:rPr>
          <w:spacing w:val="-4"/>
          <w:w w:val="99"/>
          <w:sz w:val="21"/>
        </w:rPr>
        <w:t>V</w:t>
      </w:r>
      <w:r>
        <w:rPr>
          <w:w w:val="99"/>
          <w:sz w:val="21"/>
        </w:rPr>
        <w:t>抗体。</w:t>
      </w:r>
    </w:p>
    <w:p>
      <w:pPr>
        <w:pStyle w:val="4"/>
        <w:spacing w:before="156"/>
        <w:ind w:left="2485"/>
      </w:pPr>
      <w:r>
        <w:rPr>
          <w:spacing w:val="-2"/>
          <w:w w:val="95"/>
        </w:rPr>
        <w:t>职业限制如下所示：</w:t>
      </w:r>
    </w:p>
    <w:p>
      <w:pPr>
        <w:pStyle w:val="4"/>
        <w:spacing w:before="11"/>
        <w:rPr>
          <w:sz w:val="13"/>
        </w:rPr>
      </w:pPr>
    </w:p>
    <w:tbl>
      <w:tblPr>
        <w:tblStyle w:val="6"/>
        <w:tblW w:w="0" w:type="auto"/>
        <w:tblInd w:w="2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99"/>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99" w:type="dxa"/>
          </w:tcPr>
          <w:p>
            <w:pPr>
              <w:pStyle w:val="10"/>
              <w:spacing w:before="21"/>
              <w:ind w:left="107"/>
              <w:rPr>
                <w:sz w:val="21"/>
              </w:rPr>
            </w:pPr>
            <w:r>
              <w:rPr>
                <w:spacing w:val="-2"/>
                <w:w w:val="95"/>
                <w:sz w:val="21"/>
              </w:rPr>
              <w:t>医生和牙科医生</w:t>
            </w:r>
          </w:p>
        </w:tc>
        <w:tc>
          <w:tcPr>
            <w:tcW w:w="1843" w:type="dxa"/>
          </w:tcPr>
          <w:p>
            <w:pPr>
              <w:pStyle w:val="10"/>
              <w:spacing w:before="21"/>
              <w:ind w:left="107"/>
              <w:rPr>
                <w:sz w:val="21"/>
              </w:rPr>
            </w:pPr>
            <w:r>
              <w:rPr>
                <w:w w:val="95"/>
                <w:sz w:val="21"/>
              </w:rPr>
              <w:t>护</w:t>
            </w:r>
            <w:r>
              <w:rPr>
                <w:spacing w:val="-10"/>
                <w:sz w:val="21"/>
              </w:rPr>
              <w:t>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99" w:type="dxa"/>
          </w:tcPr>
          <w:p>
            <w:pPr>
              <w:pStyle w:val="10"/>
              <w:spacing w:before="20"/>
              <w:ind w:left="107"/>
              <w:rPr>
                <w:sz w:val="21"/>
              </w:rPr>
            </w:pPr>
            <w:r>
              <w:rPr>
                <w:spacing w:val="-2"/>
                <w:w w:val="95"/>
                <w:sz w:val="21"/>
              </w:rPr>
              <w:t>医院化验室工作人员</w:t>
            </w:r>
          </w:p>
        </w:tc>
        <w:tc>
          <w:tcPr>
            <w:tcW w:w="1843" w:type="dxa"/>
          </w:tcPr>
          <w:p>
            <w:pPr>
              <w:pStyle w:val="10"/>
              <w:spacing w:before="20"/>
              <w:ind w:left="107"/>
              <w:rPr>
                <w:sz w:val="21"/>
              </w:rPr>
            </w:pPr>
            <w:r>
              <w:rPr>
                <w:spacing w:val="-3"/>
                <w:w w:val="95"/>
                <w:sz w:val="21"/>
              </w:rPr>
              <w:t>医院护士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99" w:type="dxa"/>
          </w:tcPr>
          <w:p>
            <w:pPr>
              <w:pStyle w:val="10"/>
              <w:spacing w:before="20"/>
              <w:ind w:left="107"/>
              <w:rPr>
                <w:sz w:val="21"/>
              </w:rPr>
            </w:pPr>
            <w:r>
              <w:rPr>
                <w:spacing w:val="-2"/>
                <w:w w:val="95"/>
                <w:sz w:val="21"/>
              </w:rPr>
              <w:t>医生助理和牙医助理</w:t>
            </w:r>
          </w:p>
        </w:tc>
        <w:tc>
          <w:tcPr>
            <w:tcW w:w="1843" w:type="dxa"/>
          </w:tcPr>
          <w:p>
            <w:pPr>
              <w:pStyle w:val="10"/>
              <w:spacing w:before="20"/>
              <w:ind w:left="107"/>
              <w:rPr>
                <w:sz w:val="21"/>
              </w:rPr>
            </w:pPr>
            <w:r>
              <w:rPr>
                <w:spacing w:val="-2"/>
                <w:w w:val="95"/>
                <w:sz w:val="21"/>
              </w:rPr>
              <w:t>救护车工作人员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99" w:type="dxa"/>
          </w:tcPr>
          <w:p>
            <w:pPr>
              <w:pStyle w:val="10"/>
              <w:spacing w:before="20"/>
              <w:ind w:left="107"/>
              <w:rPr>
                <w:sz w:val="21"/>
              </w:rPr>
            </w:pPr>
            <w:r>
              <w:rPr>
                <w:spacing w:val="-4"/>
                <w:w w:val="95"/>
                <w:sz w:val="21"/>
              </w:rPr>
              <w:t>助产士</w:t>
            </w:r>
          </w:p>
        </w:tc>
        <w:tc>
          <w:tcPr>
            <w:tcW w:w="1843" w:type="dxa"/>
          </w:tcPr>
          <w:p>
            <w:pPr>
              <w:pStyle w:val="10"/>
              <w:spacing w:before="20"/>
              <w:ind w:left="107"/>
              <w:rPr>
                <w:sz w:val="21"/>
              </w:rPr>
            </w:pPr>
            <w:r>
              <w:rPr>
                <w:spacing w:val="-3"/>
                <w:w w:val="95"/>
                <w:sz w:val="21"/>
              </w:rPr>
              <w:t>消防队员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99" w:type="dxa"/>
          </w:tcPr>
          <w:p>
            <w:pPr>
              <w:pStyle w:val="10"/>
              <w:spacing w:before="22"/>
              <w:ind w:left="107"/>
              <w:rPr>
                <w:sz w:val="21"/>
              </w:rPr>
            </w:pPr>
            <w:r>
              <w:rPr>
                <w:w w:val="95"/>
                <w:sz w:val="21"/>
              </w:rPr>
              <w:t>警</w:t>
            </w:r>
            <w:r>
              <w:rPr>
                <w:spacing w:val="-10"/>
                <w:sz w:val="21"/>
              </w:rPr>
              <w:t>察</w:t>
            </w:r>
          </w:p>
        </w:tc>
        <w:tc>
          <w:tcPr>
            <w:tcW w:w="1843" w:type="dxa"/>
          </w:tcPr>
          <w:p>
            <w:pPr>
              <w:pStyle w:val="10"/>
              <w:spacing w:before="22"/>
              <w:ind w:left="107"/>
              <w:rPr>
                <w:sz w:val="21"/>
              </w:rPr>
            </w:pPr>
            <w:r>
              <w:rPr>
                <w:w w:val="95"/>
                <w:sz w:val="21"/>
              </w:rPr>
              <w:t>预</w:t>
            </w:r>
            <w:r>
              <w:rPr>
                <w:spacing w:val="-10"/>
                <w:sz w:val="21"/>
              </w:rPr>
              <w:t>警</w:t>
            </w:r>
          </w:p>
        </w:tc>
      </w:tr>
    </w:tbl>
    <w:p>
      <w:pPr>
        <w:pStyle w:val="3"/>
        <w:numPr>
          <w:ilvl w:val="0"/>
          <w:numId w:val="14"/>
        </w:numPr>
        <w:tabs>
          <w:tab w:val="left" w:pos="3120"/>
        </w:tabs>
        <w:spacing w:before="179" w:after="0" w:line="240" w:lineRule="auto"/>
        <w:ind w:left="3119" w:right="0" w:hanging="635"/>
        <w:jc w:val="left"/>
      </w:pPr>
      <w:r>
        <w:rPr>
          <w:spacing w:val="-7"/>
          <w:w w:val="95"/>
        </w:rPr>
        <w:t xml:space="preserve">严重 </w:t>
      </w:r>
      <w:r>
        <w:rPr>
          <w:w w:val="95"/>
        </w:rPr>
        <w:t>I</w:t>
      </w:r>
      <w:r>
        <w:rPr>
          <w:spacing w:val="-5"/>
          <w:w w:val="95"/>
        </w:rPr>
        <w:t xml:space="preserve"> 型糖尿病:</w:t>
      </w:r>
    </w:p>
    <w:p>
      <w:pPr>
        <w:pStyle w:val="4"/>
        <w:spacing w:before="7"/>
        <w:rPr>
          <w:b/>
          <w:sz w:val="15"/>
        </w:rPr>
      </w:pPr>
    </w:p>
    <w:p>
      <w:pPr>
        <w:pStyle w:val="4"/>
        <w:spacing w:line="278" w:lineRule="auto"/>
        <w:ind w:left="2485" w:right="242"/>
      </w:pPr>
      <w:r>
        <w:rPr>
          <w:spacing w:val="-8"/>
        </w:rPr>
        <w:t xml:space="preserve">严重 </w:t>
      </w:r>
      <w:r>
        <w:t>I</w:t>
      </w:r>
      <w:r>
        <w:rPr>
          <w:spacing w:val="-5"/>
        </w:rPr>
        <w:t xml:space="preserve"> 型糖尿病为由于胰岛素分泌绝对不足引起的慢性血糖</w:t>
      </w:r>
      <w:r>
        <w:t>升高，且已经持续性地</w:t>
      </w:r>
      <w:r>
        <w:rPr>
          <w:spacing w:val="-1"/>
          <w:w w:val="95"/>
        </w:rPr>
        <w:t xml:space="preserve">依赖外源性胰岛素维持 </w:t>
      </w:r>
      <w:r>
        <w:rPr>
          <w:w w:val="95"/>
        </w:rPr>
        <w:t>180</w:t>
      </w:r>
      <w:r>
        <w:rPr>
          <w:spacing w:val="-13"/>
          <w:w w:val="95"/>
        </w:rPr>
        <w:t xml:space="preserve"> 日以上。须经血胰岛素测定、血 </w:t>
      </w:r>
      <w:r>
        <w:rPr>
          <w:w w:val="95"/>
        </w:rPr>
        <w:t>C</w:t>
      </w:r>
      <w:r>
        <w:rPr>
          <w:spacing w:val="-1"/>
          <w:w w:val="95"/>
        </w:rPr>
        <w:t xml:space="preserve"> 肽测定或尿 </w:t>
      </w:r>
      <w:r>
        <w:rPr>
          <w:w w:val="95"/>
        </w:rPr>
        <w:t>C</w:t>
      </w:r>
      <w:r>
        <w:rPr>
          <w:spacing w:val="-2"/>
          <w:w w:val="95"/>
        </w:rPr>
        <w:t xml:space="preserve"> 肽测定，</w:t>
      </w:r>
      <w:r>
        <w:rPr>
          <w:spacing w:val="-2"/>
        </w:rPr>
        <w:t>结果异常，并由内分泌科专科医生明确诊断。并须在本合同有效期内，满足下述二个及以上条件：</w:t>
      </w:r>
    </w:p>
    <w:p>
      <w:pPr>
        <w:pStyle w:val="9"/>
        <w:numPr>
          <w:ilvl w:val="0"/>
          <w:numId w:val="34"/>
        </w:numPr>
        <w:tabs>
          <w:tab w:val="left" w:pos="3205"/>
          <w:tab w:val="left" w:pos="3206"/>
        </w:tabs>
        <w:spacing w:before="155" w:after="0" w:line="240" w:lineRule="auto"/>
        <w:ind w:left="3205" w:right="0" w:hanging="721"/>
        <w:jc w:val="left"/>
        <w:rPr>
          <w:sz w:val="21"/>
        </w:rPr>
      </w:pPr>
      <w:r>
        <w:rPr>
          <w:spacing w:val="-1"/>
          <w:w w:val="95"/>
          <w:sz w:val="21"/>
        </w:rPr>
        <w:t>已出现增生性视网膜病变；</w:t>
      </w:r>
    </w:p>
    <w:p>
      <w:pPr>
        <w:pStyle w:val="4"/>
        <w:spacing w:before="7"/>
        <w:rPr>
          <w:sz w:val="15"/>
        </w:rPr>
      </w:pPr>
    </w:p>
    <w:p>
      <w:pPr>
        <w:pStyle w:val="9"/>
        <w:numPr>
          <w:ilvl w:val="0"/>
          <w:numId w:val="34"/>
        </w:numPr>
        <w:tabs>
          <w:tab w:val="left" w:pos="3205"/>
          <w:tab w:val="left" w:pos="3206"/>
        </w:tabs>
        <w:spacing w:before="0" w:after="0" w:line="240" w:lineRule="auto"/>
        <w:ind w:left="3205" w:right="0" w:hanging="721"/>
        <w:jc w:val="left"/>
        <w:rPr>
          <w:sz w:val="21"/>
        </w:rPr>
      </w:pPr>
      <w:r>
        <w:rPr>
          <w:spacing w:val="-1"/>
          <w:w w:val="95"/>
          <w:sz w:val="21"/>
        </w:rPr>
        <w:t>须植入心脏起搏器治疗心脏病；</w:t>
      </w:r>
    </w:p>
    <w:p>
      <w:pPr>
        <w:pStyle w:val="4"/>
        <w:spacing w:before="7"/>
        <w:rPr>
          <w:sz w:val="15"/>
        </w:rPr>
      </w:pPr>
    </w:p>
    <w:p>
      <w:pPr>
        <w:pStyle w:val="9"/>
        <w:numPr>
          <w:ilvl w:val="0"/>
          <w:numId w:val="34"/>
        </w:numPr>
        <w:tabs>
          <w:tab w:val="left" w:pos="3205"/>
          <w:tab w:val="left" w:pos="3206"/>
        </w:tabs>
        <w:spacing w:before="0" w:after="0" w:line="278" w:lineRule="auto"/>
        <w:ind w:left="3205" w:right="350" w:hanging="720"/>
        <w:jc w:val="left"/>
        <w:rPr>
          <w:sz w:val="21"/>
        </w:rPr>
      </w:pPr>
      <w:r>
        <w:rPr>
          <w:spacing w:val="2"/>
          <w:w w:val="99"/>
          <w:sz w:val="21"/>
        </w:rPr>
        <w:t>在本公司认可医院内已经进行了医疗必需的由足踝或以上位置的单足截除</w:t>
      </w:r>
      <w:r>
        <w:rPr>
          <w:w w:val="99"/>
          <w:sz w:val="21"/>
        </w:rPr>
        <w:t>手术。</w:t>
      </w:r>
    </w:p>
    <w:p>
      <w:pPr>
        <w:pStyle w:val="3"/>
        <w:numPr>
          <w:ilvl w:val="0"/>
          <w:numId w:val="14"/>
        </w:numPr>
        <w:tabs>
          <w:tab w:val="left" w:pos="3120"/>
        </w:tabs>
        <w:spacing w:before="156" w:after="0" w:line="240" w:lineRule="auto"/>
        <w:ind w:left="3119" w:right="0" w:hanging="635"/>
        <w:jc w:val="left"/>
      </w:pPr>
      <w:r>
        <w:rPr>
          <w:spacing w:val="-1"/>
          <w:w w:val="95"/>
        </w:rPr>
        <w:t>急性坏死性胰腺炎开腹手术:</w:t>
      </w:r>
    </w:p>
    <w:p>
      <w:pPr>
        <w:pStyle w:val="4"/>
        <w:spacing w:before="6"/>
        <w:rPr>
          <w:b/>
          <w:sz w:val="15"/>
        </w:rPr>
      </w:pPr>
    </w:p>
    <w:p>
      <w:pPr>
        <w:pStyle w:val="4"/>
        <w:spacing w:line="278" w:lineRule="auto"/>
        <w:ind w:left="2485" w:right="350"/>
      </w:pPr>
      <w:r>
        <w:rPr>
          <w:spacing w:val="4"/>
          <w:w w:val="99"/>
        </w:rPr>
        <w:t>指由专科医生确诊为急性坏死性胰腺炎，并已经接受了开腹手术进行坏死组织清</w:t>
      </w:r>
      <w:r>
        <w:rPr>
          <w:spacing w:val="-1"/>
          <w:w w:val="99"/>
        </w:rPr>
        <w:t>除、病灶切除或胰腺部分切除的治疗。</w:t>
      </w:r>
    </w:p>
    <w:p>
      <w:pPr>
        <w:pStyle w:val="4"/>
        <w:spacing w:line="269" w:lineRule="exact"/>
        <w:ind w:left="2485"/>
      </w:pPr>
      <w:r>
        <w:rPr>
          <w:color w:val="000000"/>
          <w:spacing w:val="-1"/>
          <w:w w:val="95"/>
          <w:shd w:val="clear" w:color="auto" w:fill="E4E4E4"/>
        </w:rPr>
        <w:t>因酗酒或饮酒过量所致的急性坏死性胰腺炎以及腹腔镜手术不在保障范围内。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失去一肢及一眼:</w:t>
      </w:r>
    </w:p>
    <w:p>
      <w:pPr>
        <w:pStyle w:val="4"/>
        <w:spacing w:before="7"/>
        <w:rPr>
          <w:b/>
          <w:sz w:val="15"/>
        </w:rPr>
      </w:pPr>
    </w:p>
    <w:p>
      <w:pPr>
        <w:pStyle w:val="4"/>
        <w:ind w:left="2485"/>
      </w:pPr>
      <w:r>
        <w:rPr>
          <w:spacing w:val="-1"/>
          <w:w w:val="95"/>
        </w:rPr>
        <w:t>因疾病或意外导致不可复原及永久性完全丧失：</w:t>
      </w:r>
    </w:p>
    <w:p>
      <w:pPr>
        <w:pStyle w:val="4"/>
        <w:spacing w:before="6"/>
        <w:rPr>
          <w:sz w:val="15"/>
        </w:rPr>
      </w:pPr>
    </w:p>
    <w:p>
      <w:pPr>
        <w:pStyle w:val="9"/>
        <w:numPr>
          <w:ilvl w:val="0"/>
          <w:numId w:val="35"/>
        </w:numPr>
        <w:tabs>
          <w:tab w:val="left" w:pos="3205"/>
          <w:tab w:val="left" w:pos="3206"/>
        </w:tabs>
        <w:spacing w:before="1" w:after="0" w:line="240" w:lineRule="auto"/>
        <w:ind w:left="3205" w:right="0" w:hanging="721"/>
        <w:jc w:val="left"/>
        <w:rPr>
          <w:sz w:val="21"/>
        </w:rPr>
      </w:pPr>
      <w:r>
        <w:rPr>
          <w:spacing w:val="-1"/>
          <w:w w:val="95"/>
          <w:sz w:val="21"/>
        </w:rPr>
        <w:t>任何一肢于腕骨或踝骨部位或以上切断；及</w:t>
      </w:r>
    </w:p>
    <w:p>
      <w:pPr>
        <w:pStyle w:val="4"/>
        <w:spacing w:before="6"/>
        <w:rPr>
          <w:sz w:val="15"/>
        </w:rPr>
      </w:pPr>
    </w:p>
    <w:p>
      <w:pPr>
        <w:pStyle w:val="9"/>
        <w:numPr>
          <w:ilvl w:val="0"/>
          <w:numId w:val="35"/>
        </w:numPr>
        <w:tabs>
          <w:tab w:val="left" w:pos="3205"/>
          <w:tab w:val="left" w:pos="3206"/>
        </w:tabs>
        <w:spacing w:before="0" w:after="0" w:line="240" w:lineRule="auto"/>
        <w:ind w:left="3205" w:right="0" w:hanging="721"/>
        <w:jc w:val="left"/>
        <w:rPr>
          <w:sz w:val="21"/>
        </w:rPr>
      </w:pPr>
      <w:r>
        <w:rPr>
          <w:spacing w:val="-2"/>
          <w:w w:val="95"/>
          <w:sz w:val="21"/>
        </w:rPr>
        <w:t>一眼视力。</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系统性硬皮病:</w:t>
      </w:r>
    </w:p>
    <w:p>
      <w:pPr>
        <w:pStyle w:val="4"/>
        <w:spacing w:before="7"/>
        <w:rPr>
          <w:b/>
          <w:sz w:val="15"/>
        </w:rPr>
      </w:pPr>
    </w:p>
    <w:p>
      <w:pPr>
        <w:pStyle w:val="4"/>
        <w:spacing w:line="278" w:lineRule="auto"/>
        <w:ind w:left="2485" w:right="347"/>
      </w:pPr>
      <w:r>
        <w:rPr>
          <w:spacing w:val="-3"/>
          <w:w w:val="99"/>
        </w:rPr>
        <w:t>指一种全身性的胶原血管性疾病，可以导致皮肤、血管及内脏器官进行性弥漫性纤</w:t>
      </w:r>
      <w:r>
        <w:rPr>
          <w:spacing w:val="-2"/>
          <w:w w:val="99"/>
        </w:rPr>
        <w:t>维化。诊断必须经活检及血清学检查证实，疾病必须是全身性，且须满足下列至少</w:t>
      </w:r>
    </w:p>
    <w:p>
      <w:pPr>
        <w:spacing w:after="0" w:line="278" w:lineRule="auto"/>
        <w:sectPr>
          <w:pgSz w:w="11910" w:h="16840"/>
          <w:pgMar w:top="1400" w:right="660" w:bottom="860" w:left="860" w:header="0" w:footer="662" w:gutter="0"/>
          <w:cols w:space="720" w:num="1"/>
        </w:sectPr>
      </w:pPr>
    </w:p>
    <w:p>
      <w:pPr>
        <w:pStyle w:val="4"/>
        <w:spacing w:before="43"/>
        <w:ind w:left="2485"/>
      </w:pPr>
      <w:r>
        <w:rPr>
          <w:spacing w:val="-2"/>
          <w:w w:val="95"/>
        </w:rPr>
        <w:t>一项条件：</w:t>
      </w:r>
    </w:p>
    <w:p>
      <w:pPr>
        <w:pStyle w:val="4"/>
        <w:spacing w:before="7"/>
        <w:rPr>
          <w:sz w:val="15"/>
        </w:rPr>
      </w:pPr>
    </w:p>
    <w:p>
      <w:pPr>
        <w:pStyle w:val="9"/>
        <w:numPr>
          <w:ilvl w:val="0"/>
          <w:numId w:val="36"/>
        </w:numPr>
        <w:tabs>
          <w:tab w:val="left" w:pos="3205"/>
          <w:tab w:val="left" w:pos="3206"/>
        </w:tabs>
        <w:spacing w:before="0" w:after="0" w:line="240" w:lineRule="auto"/>
        <w:ind w:left="3205" w:right="0" w:hanging="721"/>
        <w:jc w:val="left"/>
        <w:rPr>
          <w:sz w:val="21"/>
        </w:rPr>
      </w:pPr>
      <w:r>
        <w:rPr>
          <w:spacing w:val="-1"/>
          <w:w w:val="95"/>
          <w:sz w:val="21"/>
        </w:rPr>
        <w:t>肺脏：肺部病变进而发展为肺间质纤维化和肺动脉高压；</w:t>
      </w:r>
    </w:p>
    <w:p>
      <w:pPr>
        <w:pStyle w:val="4"/>
        <w:spacing w:before="6"/>
        <w:rPr>
          <w:sz w:val="15"/>
        </w:rPr>
      </w:pPr>
    </w:p>
    <w:p>
      <w:pPr>
        <w:pStyle w:val="9"/>
        <w:numPr>
          <w:ilvl w:val="0"/>
          <w:numId w:val="36"/>
        </w:numPr>
        <w:tabs>
          <w:tab w:val="left" w:pos="3205"/>
          <w:tab w:val="left" w:pos="3206"/>
        </w:tabs>
        <w:spacing w:before="1" w:after="0" w:line="240" w:lineRule="auto"/>
        <w:ind w:left="3205" w:right="0" w:hanging="721"/>
        <w:jc w:val="left"/>
        <w:rPr>
          <w:sz w:val="21"/>
        </w:rPr>
      </w:pPr>
      <w:r>
        <w:rPr>
          <w:spacing w:val="-1"/>
          <w:w w:val="95"/>
          <w:sz w:val="21"/>
        </w:rPr>
        <w:t>心脏：心功能受损达到美国纽约心脏病学会心功能状态分级Ⅳ级；</w:t>
      </w:r>
    </w:p>
    <w:p>
      <w:pPr>
        <w:pStyle w:val="4"/>
        <w:spacing w:before="6"/>
        <w:rPr>
          <w:sz w:val="15"/>
        </w:rPr>
      </w:pPr>
    </w:p>
    <w:p>
      <w:pPr>
        <w:pStyle w:val="9"/>
        <w:numPr>
          <w:ilvl w:val="0"/>
          <w:numId w:val="36"/>
        </w:numPr>
        <w:tabs>
          <w:tab w:val="left" w:pos="3205"/>
          <w:tab w:val="left" w:pos="3206"/>
        </w:tabs>
        <w:spacing w:before="0" w:after="0" w:line="240" w:lineRule="auto"/>
        <w:ind w:left="3205" w:right="0" w:hanging="721"/>
        <w:jc w:val="left"/>
        <w:rPr>
          <w:sz w:val="21"/>
        </w:rPr>
      </w:pPr>
      <w:r>
        <w:rPr>
          <w:spacing w:val="-1"/>
          <w:w w:val="95"/>
          <w:sz w:val="21"/>
        </w:rPr>
        <w:t>肾脏：肾脏受损导致双肾功能慢性不可逆衰竭，达到尿毒症期。</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肺泡蛋白质沉积症:</w:t>
      </w:r>
    </w:p>
    <w:p>
      <w:pPr>
        <w:pStyle w:val="4"/>
        <w:spacing w:before="7"/>
        <w:rPr>
          <w:b/>
          <w:sz w:val="15"/>
        </w:rPr>
      </w:pPr>
    </w:p>
    <w:p>
      <w:pPr>
        <w:pStyle w:val="4"/>
        <w:spacing w:line="278" w:lineRule="auto"/>
        <w:ind w:left="2485" w:right="244"/>
      </w:pPr>
      <w:r>
        <w:rPr>
          <w:spacing w:val="-2"/>
          <w:w w:val="99"/>
        </w:rPr>
        <w:t>指肺泡和细支气管腔内充满不可溶性富磷脂蛋白的疾病，胸部</w:t>
      </w:r>
      <w:r>
        <w:rPr>
          <w:spacing w:val="-53"/>
        </w:rPr>
        <w:t xml:space="preserve"> </w:t>
      </w:r>
      <w:r>
        <w:rPr>
          <w:w w:val="99"/>
        </w:rPr>
        <w:t>X</w:t>
      </w:r>
      <w:r>
        <w:rPr>
          <w:spacing w:val="-52"/>
        </w:rPr>
        <w:t xml:space="preserve"> </w:t>
      </w:r>
      <w:r>
        <w:rPr>
          <w:spacing w:val="-1"/>
          <w:w w:val="99"/>
        </w:rPr>
        <w:t>线呈双肺弥漫性肺</w:t>
      </w:r>
      <w:r>
        <w:rPr>
          <w:spacing w:val="-3"/>
          <w:w w:val="99"/>
        </w:rPr>
        <w:t>部磨玻璃影，病理学检查肺泡内充满有过碘酸雪夫</w:t>
      </w:r>
      <w:r>
        <w:rPr>
          <w:spacing w:val="2"/>
          <w:w w:val="99"/>
        </w:rPr>
        <w:t>（</w:t>
      </w:r>
      <w:r>
        <w:rPr>
          <w:spacing w:val="1"/>
          <w:w w:val="99"/>
        </w:rPr>
        <w:t>PA</w:t>
      </w:r>
      <w:r>
        <w:rPr>
          <w:spacing w:val="-2"/>
          <w:w w:val="99"/>
        </w:rPr>
        <w:t>S</w:t>
      </w:r>
      <w:r>
        <w:rPr>
          <w:spacing w:val="-3"/>
          <w:w w:val="99"/>
        </w:rPr>
        <w:t>）</w:t>
      </w:r>
      <w:r>
        <w:rPr>
          <w:spacing w:val="-1"/>
          <w:w w:val="99"/>
        </w:rPr>
        <w:t>染色阳性的蛋白样物质，并且接受了肺灌洗治疗。</w:t>
      </w:r>
    </w:p>
    <w:p>
      <w:pPr>
        <w:pStyle w:val="3"/>
        <w:numPr>
          <w:ilvl w:val="0"/>
          <w:numId w:val="14"/>
        </w:numPr>
        <w:tabs>
          <w:tab w:val="left" w:pos="3120"/>
        </w:tabs>
        <w:spacing w:before="156" w:after="0" w:line="240" w:lineRule="auto"/>
        <w:ind w:left="3119" w:right="0" w:hanging="635"/>
        <w:jc w:val="left"/>
      </w:pPr>
      <w:r>
        <w:rPr>
          <w:spacing w:val="-2"/>
          <w:w w:val="95"/>
        </w:rPr>
        <w:t>严重哮喘:</w:t>
      </w:r>
    </w:p>
    <w:p>
      <w:pPr>
        <w:pStyle w:val="4"/>
        <w:spacing w:before="6"/>
        <w:rPr>
          <w:b/>
          <w:sz w:val="15"/>
        </w:rPr>
      </w:pPr>
    </w:p>
    <w:p>
      <w:pPr>
        <w:pStyle w:val="4"/>
        <w:spacing w:line="278" w:lineRule="auto"/>
        <w:ind w:left="2485" w:right="350"/>
      </w:pPr>
      <w:r>
        <w:rPr>
          <w:spacing w:val="-3"/>
          <w:w w:val="99"/>
        </w:rPr>
        <w:t>指一种反复发作的严重支气管阻塞性疾病，经本公司认可的专科医生确诊，且必须</w:t>
      </w:r>
      <w:r>
        <w:rPr>
          <w:spacing w:val="-1"/>
          <w:w w:val="99"/>
        </w:rPr>
        <w:t>同时符合下列标准：</w:t>
      </w:r>
    </w:p>
    <w:p>
      <w:pPr>
        <w:pStyle w:val="9"/>
        <w:numPr>
          <w:ilvl w:val="0"/>
          <w:numId w:val="37"/>
        </w:numPr>
        <w:tabs>
          <w:tab w:val="left" w:pos="3205"/>
          <w:tab w:val="left" w:pos="3206"/>
        </w:tabs>
        <w:spacing w:before="156" w:after="0" w:line="240" w:lineRule="auto"/>
        <w:ind w:left="3205" w:right="0" w:hanging="721"/>
        <w:jc w:val="left"/>
        <w:rPr>
          <w:sz w:val="21"/>
        </w:rPr>
      </w:pPr>
      <w:r>
        <w:rPr>
          <w:spacing w:val="-1"/>
          <w:w w:val="95"/>
          <w:sz w:val="21"/>
        </w:rPr>
        <w:t>过去两年中曾因哮喘持续状态住院治疗，并提供完整住院记录；</w:t>
      </w:r>
    </w:p>
    <w:p>
      <w:pPr>
        <w:pStyle w:val="4"/>
        <w:spacing w:before="7"/>
        <w:rPr>
          <w:sz w:val="15"/>
        </w:rPr>
      </w:pPr>
    </w:p>
    <w:p>
      <w:pPr>
        <w:pStyle w:val="9"/>
        <w:numPr>
          <w:ilvl w:val="0"/>
          <w:numId w:val="37"/>
        </w:numPr>
        <w:tabs>
          <w:tab w:val="left" w:pos="3205"/>
          <w:tab w:val="left" w:pos="3206"/>
        </w:tabs>
        <w:spacing w:before="0" w:after="0" w:line="240" w:lineRule="auto"/>
        <w:ind w:left="3205" w:right="0" w:hanging="721"/>
        <w:jc w:val="left"/>
        <w:rPr>
          <w:sz w:val="21"/>
        </w:rPr>
      </w:pPr>
      <w:r>
        <w:rPr>
          <w:spacing w:val="-1"/>
          <w:w w:val="95"/>
          <w:sz w:val="21"/>
        </w:rPr>
        <w:t>因慢性过度换气导致胸廓畸形；</w:t>
      </w:r>
    </w:p>
    <w:p>
      <w:pPr>
        <w:pStyle w:val="4"/>
        <w:spacing w:before="6"/>
        <w:rPr>
          <w:sz w:val="15"/>
        </w:rPr>
      </w:pPr>
    </w:p>
    <w:p>
      <w:pPr>
        <w:pStyle w:val="9"/>
        <w:numPr>
          <w:ilvl w:val="0"/>
          <w:numId w:val="37"/>
        </w:numPr>
        <w:tabs>
          <w:tab w:val="left" w:pos="3205"/>
          <w:tab w:val="left" w:pos="3206"/>
        </w:tabs>
        <w:spacing w:before="1" w:after="0" w:line="240" w:lineRule="auto"/>
        <w:ind w:left="3205" w:right="0" w:hanging="721"/>
        <w:jc w:val="left"/>
        <w:rPr>
          <w:sz w:val="21"/>
        </w:rPr>
      </w:pPr>
      <w:r>
        <w:rPr>
          <w:spacing w:val="-1"/>
          <w:w w:val="95"/>
          <w:sz w:val="21"/>
        </w:rPr>
        <w:t>在家中需要医生处方的氧气治疗法；</w:t>
      </w:r>
    </w:p>
    <w:p>
      <w:pPr>
        <w:pStyle w:val="4"/>
        <w:spacing w:before="6"/>
        <w:rPr>
          <w:sz w:val="15"/>
        </w:rPr>
      </w:pPr>
    </w:p>
    <w:p>
      <w:pPr>
        <w:pStyle w:val="9"/>
        <w:numPr>
          <w:ilvl w:val="0"/>
          <w:numId w:val="37"/>
        </w:numPr>
        <w:tabs>
          <w:tab w:val="left" w:pos="3205"/>
          <w:tab w:val="left" w:pos="3206"/>
        </w:tabs>
        <w:spacing w:before="0" w:after="0" w:line="240" w:lineRule="auto"/>
        <w:ind w:left="3205" w:right="0" w:hanging="721"/>
        <w:jc w:val="left"/>
        <w:rPr>
          <w:sz w:val="21"/>
        </w:rPr>
      </w:pPr>
      <w:r>
        <w:rPr>
          <w:spacing w:val="-1"/>
          <w:w w:val="95"/>
          <w:sz w:val="21"/>
        </w:rPr>
        <w:t>持续日常服用口服类固醇激素治疗持续至少六个月。</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胆道重建手术:</w:t>
      </w:r>
    </w:p>
    <w:p>
      <w:pPr>
        <w:pStyle w:val="4"/>
        <w:spacing w:before="7"/>
        <w:rPr>
          <w:b/>
          <w:sz w:val="15"/>
        </w:rPr>
      </w:pPr>
    </w:p>
    <w:p>
      <w:pPr>
        <w:pStyle w:val="4"/>
        <w:spacing w:line="278" w:lineRule="auto"/>
        <w:ind w:left="2485" w:right="350"/>
      </w:pPr>
      <w:r>
        <w:rPr>
          <w:spacing w:val="-2"/>
          <w:w w:val="99"/>
        </w:rPr>
        <w:t>指因疾病或胆道创伤导致接受涉及胆总管小肠吻合术的胆道重建手术。手术必须在</w:t>
      </w:r>
      <w:r>
        <w:rPr>
          <w:spacing w:val="-1"/>
          <w:w w:val="99"/>
        </w:rPr>
        <w:t>专科医生认为是医疗所需的情况下进</w:t>
      </w:r>
      <w:r>
        <w:rPr>
          <w:rFonts w:ascii="Dotum" w:eastAsia="Dotum"/>
          <w:spacing w:val="2"/>
          <w:w w:val="99"/>
        </w:rPr>
        <w:t>行</w:t>
      </w:r>
      <w:r>
        <w:rPr>
          <w:w w:val="99"/>
        </w:rPr>
        <w:t>。</w:t>
      </w:r>
    </w:p>
    <w:p>
      <w:pPr>
        <w:pStyle w:val="4"/>
        <w:spacing w:line="269" w:lineRule="exact"/>
        <w:ind w:left="2485"/>
      </w:pPr>
      <w:r>
        <w:rPr>
          <w:color w:val="000000"/>
          <w:w w:val="95"/>
          <w:shd w:val="clear" w:color="auto" w:fill="E4E4E4"/>
        </w:rPr>
        <w:t>胆道闭锁并</w:t>
      </w:r>
      <w:r>
        <w:rPr>
          <w:rFonts w:ascii="Dotum" w:eastAsia="Dotum"/>
          <w:color w:val="000000"/>
          <w:w w:val="95"/>
          <w:shd w:val="clear" w:color="auto" w:fill="E4E4E4"/>
        </w:rPr>
        <w:t>不</w:t>
      </w:r>
      <w:r>
        <w:rPr>
          <w:color w:val="000000"/>
          <w:spacing w:val="-2"/>
          <w:w w:val="95"/>
          <w:shd w:val="clear" w:color="auto" w:fill="E4E4E4"/>
        </w:rPr>
        <w:t>在保障范围内。</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2"/>
          <w:w w:val="95"/>
        </w:rPr>
        <w:t>严重心肌病:</w:t>
      </w:r>
    </w:p>
    <w:p>
      <w:pPr>
        <w:pStyle w:val="4"/>
        <w:spacing w:before="7"/>
        <w:rPr>
          <w:b/>
          <w:sz w:val="15"/>
        </w:rPr>
      </w:pPr>
    </w:p>
    <w:p>
      <w:pPr>
        <w:pStyle w:val="4"/>
        <w:spacing w:line="278" w:lineRule="auto"/>
        <w:ind w:left="2485" w:right="350"/>
        <w:jc w:val="both"/>
      </w:pPr>
      <w:r>
        <w:rPr>
          <w:spacing w:val="-2"/>
          <w:w w:val="99"/>
        </w:rPr>
        <w:t>指被保险人因心肌病导致慢性心功能损害造成永久不可逆性的心功能衰竭。心功能衰竭程度达到美国纽约心脏病学会心功能状态分级Ⅳ级。被保险人永久不可逆性的</w:t>
      </w:r>
      <w:r>
        <w:rPr>
          <w:spacing w:val="-1"/>
          <w:w w:val="99"/>
        </w:rPr>
        <w:t>体力活动能力受限，不能从事任何体力活动。</w:t>
      </w:r>
    </w:p>
    <w:p>
      <w:pPr>
        <w:pStyle w:val="3"/>
        <w:numPr>
          <w:ilvl w:val="0"/>
          <w:numId w:val="14"/>
        </w:numPr>
        <w:tabs>
          <w:tab w:val="left" w:pos="3120"/>
        </w:tabs>
        <w:spacing w:before="156" w:after="0" w:line="240" w:lineRule="auto"/>
        <w:ind w:left="3119" w:right="0" w:hanging="635"/>
        <w:jc w:val="left"/>
      </w:pPr>
      <w:r>
        <w:rPr>
          <w:spacing w:val="-2"/>
          <w:w w:val="95"/>
        </w:rPr>
        <w:t>严重心肌炎:</w:t>
      </w:r>
    </w:p>
    <w:p>
      <w:pPr>
        <w:pStyle w:val="4"/>
        <w:spacing w:before="6"/>
        <w:rPr>
          <w:b/>
          <w:sz w:val="15"/>
        </w:rPr>
      </w:pPr>
    </w:p>
    <w:p>
      <w:pPr>
        <w:pStyle w:val="4"/>
        <w:spacing w:line="278" w:lineRule="auto"/>
        <w:ind w:left="2485" w:right="350"/>
      </w:pPr>
      <w:r>
        <w:rPr>
          <w:spacing w:val="4"/>
          <w:w w:val="99"/>
        </w:rPr>
        <w:t>指被保险人因严重心肌炎性病变导致心功能损害造成持续的永久不可逆性的心功</w:t>
      </w:r>
      <w:r>
        <w:rPr>
          <w:spacing w:val="-1"/>
          <w:w w:val="99"/>
        </w:rPr>
        <w:t>能衰竭。必须满足下列全部条件：</w:t>
      </w:r>
    </w:p>
    <w:p>
      <w:pPr>
        <w:pStyle w:val="9"/>
        <w:numPr>
          <w:ilvl w:val="0"/>
          <w:numId w:val="38"/>
        </w:numPr>
        <w:tabs>
          <w:tab w:val="left" w:pos="3205"/>
          <w:tab w:val="left" w:pos="3206"/>
        </w:tabs>
        <w:spacing w:before="156" w:after="0" w:line="278" w:lineRule="auto"/>
        <w:ind w:left="3205" w:right="350" w:hanging="720"/>
        <w:jc w:val="left"/>
        <w:rPr>
          <w:sz w:val="21"/>
        </w:rPr>
      </w:pPr>
      <w:r>
        <w:rPr>
          <w:spacing w:val="-5"/>
          <w:w w:val="99"/>
          <w:sz w:val="21"/>
        </w:rPr>
        <w:t>心功能衰竭程度达到美国纽约心脏病学会心功能状态分级Ⅳ级，或左室射血</w:t>
      </w:r>
      <w:r>
        <w:rPr>
          <w:spacing w:val="-1"/>
          <w:w w:val="99"/>
          <w:sz w:val="21"/>
        </w:rPr>
        <w:t>分数低于</w:t>
      </w:r>
      <w:r>
        <w:rPr>
          <w:spacing w:val="-50"/>
          <w:sz w:val="21"/>
        </w:rPr>
        <w:t xml:space="preserve"> </w:t>
      </w:r>
      <w:r>
        <w:rPr>
          <w:spacing w:val="1"/>
          <w:w w:val="99"/>
          <w:sz w:val="21"/>
        </w:rPr>
        <w:t>30</w:t>
      </w:r>
      <w:r>
        <w:rPr>
          <w:spacing w:val="-1"/>
          <w:w w:val="99"/>
          <w:sz w:val="21"/>
        </w:rPr>
        <w:t>%；</w:t>
      </w:r>
    </w:p>
    <w:p>
      <w:pPr>
        <w:pStyle w:val="9"/>
        <w:numPr>
          <w:ilvl w:val="0"/>
          <w:numId w:val="38"/>
        </w:numPr>
        <w:tabs>
          <w:tab w:val="left" w:pos="3205"/>
          <w:tab w:val="left" w:pos="3206"/>
        </w:tabs>
        <w:spacing w:before="156" w:after="0" w:line="240" w:lineRule="auto"/>
        <w:ind w:left="3205" w:right="0" w:hanging="721"/>
        <w:jc w:val="left"/>
        <w:rPr>
          <w:sz w:val="21"/>
        </w:rPr>
      </w:pPr>
      <w:r>
        <w:rPr>
          <w:spacing w:val="-2"/>
          <w:w w:val="95"/>
          <w:sz w:val="21"/>
        </w:rPr>
        <w:t xml:space="preserve">持续不间断 </w:t>
      </w:r>
      <w:r>
        <w:rPr>
          <w:w w:val="95"/>
          <w:sz w:val="21"/>
        </w:rPr>
        <w:t>180</w:t>
      </w:r>
      <w:r>
        <w:rPr>
          <w:spacing w:val="-4"/>
          <w:w w:val="95"/>
          <w:sz w:val="21"/>
        </w:rPr>
        <w:t xml:space="preserve"> 天以上；</w:t>
      </w:r>
    </w:p>
    <w:p>
      <w:pPr>
        <w:pStyle w:val="4"/>
        <w:spacing w:before="6"/>
        <w:rPr>
          <w:sz w:val="15"/>
        </w:rPr>
      </w:pPr>
    </w:p>
    <w:p>
      <w:pPr>
        <w:pStyle w:val="9"/>
        <w:numPr>
          <w:ilvl w:val="0"/>
          <w:numId w:val="38"/>
        </w:numPr>
        <w:tabs>
          <w:tab w:val="left" w:pos="3205"/>
          <w:tab w:val="left" w:pos="3206"/>
        </w:tabs>
        <w:spacing w:before="1" w:after="0" w:line="240" w:lineRule="auto"/>
        <w:ind w:left="3205" w:right="0" w:hanging="721"/>
        <w:jc w:val="left"/>
        <w:rPr>
          <w:sz w:val="21"/>
        </w:rPr>
      </w:pPr>
      <w:r>
        <w:rPr>
          <w:spacing w:val="-1"/>
          <w:w w:val="95"/>
          <w:sz w:val="21"/>
        </w:rPr>
        <w:t>被保险人永久不可逆性的体力活动能力受限，不能从事任何体力活动。</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2"/>
          <w:w w:val="95"/>
        </w:rPr>
        <w:t>感染性心内膜炎:</w:t>
      </w:r>
    </w:p>
    <w:p>
      <w:pPr>
        <w:pStyle w:val="4"/>
        <w:spacing w:before="7"/>
        <w:rPr>
          <w:b/>
          <w:sz w:val="15"/>
        </w:rPr>
      </w:pPr>
    </w:p>
    <w:p>
      <w:pPr>
        <w:pStyle w:val="4"/>
        <w:spacing w:line="278" w:lineRule="auto"/>
        <w:ind w:left="2485" w:right="347"/>
        <w:jc w:val="both"/>
      </w:pPr>
      <w:r>
        <w:rPr>
          <w:spacing w:val="-2"/>
          <w:w w:val="99"/>
        </w:rPr>
        <w:t>指因细菌、真菌和其他微生物</w:t>
      </w:r>
      <w:r>
        <w:rPr>
          <w:spacing w:val="-1"/>
          <w:w w:val="99"/>
        </w:rPr>
        <w:t>（如病毒、立克次体、衣原体、螺旋体等）</w:t>
      </w:r>
      <w:r>
        <w:rPr>
          <w:w w:val="99"/>
        </w:rPr>
        <w:t>直接感染</w:t>
      </w:r>
      <w:r>
        <w:rPr>
          <w:spacing w:val="-3"/>
          <w:w w:val="99"/>
        </w:rPr>
        <w:t>而产生心瓣膜或心室壁内膜的炎症，须经心脏专科医生确诊，并符合以下至少</w:t>
      </w:r>
      <w:r>
        <w:rPr>
          <w:spacing w:val="-50"/>
        </w:rPr>
        <w:t xml:space="preserve"> </w:t>
      </w:r>
      <w:r>
        <w:rPr>
          <w:w w:val="99"/>
        </w:rPr>
        <w:t>3</w:t>
      </w:r>
      <w:r>
        <w:rPr>
          <w:spacing w:val="-52"/>
        </w:rPr>
        <w:t xml:space="preserve"> </w:t>
      </w:r>
      <w:r>
        <w:rPr>
          <w:w w:val="99"/>
        </w:rPr>
        <w:t>项</w:t>
      </w:r>
    </w:p>
    <w:p>
      <w:pPr>
        <w:spacing w:after="0" w:line="278" w:lineRule="auto"/>
        <w:jc w:val="both"/>
        <w:sectPr>
          <w:pgSz w:w="11910" w:h="16840"/>
          <w:pgMar w:top="1400" w:right="660" w:bottom="860" w:left="860" w:header="0" w:footer="662" w:gutter="0"/>
          <w:cols w:space="720" w:num="1"/>
        </w:sectPr>
      </w:pPr>
    </w:p>
    <w:p>
      <w:pPr>
        <w:pStyle w:val="4"/>
        <w:spacing w:before="43"/>
        <w:ind w:left="2485"/>
      </w:pPr>
      <w:r>
        <w:rPr>
          <w:spacing w:val="-4"/>
          <w:w w:val="95"/>
        </w:rPr>
        <w:t>条件：</w:t>
      </w:r>
    </w:p>
    <w:p>
      <w:pPr>
        <w:pStyle w:val="4"/>
        <w:spacing w:before="7"/>
        <w:rPr>
          <w:sz w:val="15"/>
        </w:rPr>
      </w:pPr>
    </w:p>
    <w:p>
      <w:pPr>
        <w:pStyle w:val="9"/>
        <w:numPr>
          <w:ilvl w:val="0"/>
          <w:numId w:val="39"/>
        </w:numPr>
        <w:tabs>
          <w:tab w:val="left" w:pos="3205"/>
          <w:tab w:val="left" w:pos="3206"/>
        </w:tabs>
        <w:spacing w:before="0" w:after="0" w:line="240" w:lineRule="auto"/>
        <w:ind w:left="3205" w:right="0" w:hanging="721"/>
        <w:jc w:val="left"/>
        <w:rPr>
          <w:sz w:val="21"/>
        </w:rPr>
      </w:pPr>
      <w:r>
        <w:rPr>
          <w:spacing w:val="-1"/>
          <w:w w:val="95"/>
          <w:sz w:val="21"/>
        </w:rPr>
        <w:t>急性或亚急性感染性心内膜炎临床表现；</w:t>
      </w:r>
    </w:p>
    <w:p>
      <w:pPr>
        <w:pStyle w:val="4"/>
        <w:spacing w:before="6"/>
        <w:rPr>
          <w:sz w:val="15"/>
        </w:rPr>
      </w:pPr>
    </w:p>
    <w:p>
      <w:pPr>
        <w:pStyle w:val="9"/>
        <w:numPr>
          <w:ilvl w:val="0"/>
          <w:numId w:val="39"/>
        </w:numPr>
        <w:tabs>
          <w:tab w:val="left" w:pos="3205"/>
          <w:tab w:val="left" w:pos="3206"/>
        </w:tabs>
        <w:spacing w:before="1" w:after="0" w:line="240" w:lineRule="auto"/>
        <w:ind w:left="3205" w:right="0" w:hanging="721"/>
        <w:jc w:val="left"/>
        <w:rPr>
          <w:sz w:val="21"/>
        </w:rPr>
      </w:pPr>
      <w:r>
        <w:rPr>
          <w:spacing w:val="-2"/>
          <w:w w:val="95"/>
          <w:sz w:val="21"/>
        </w:rPr>
        <w:t>血培养病原体阳性；</w:t>
      </w:r>
    </w:p>
    <w:p>
      <w:pPr>
        <w:pStyle w:val="4"/>
        <w:spacing w:before="6"/>
        <w:rPr>
          <w:sz w:val="15"/>
        </w:rPr>
      </w:pPr>
    </w:p>
    <w:p>
      <w:pPr>
        <w:pStyle w:val="9"/>
        <w:numPr>
          <w:ilvl w:val="0"/>
          <w:numId w:val="39"/>
        </w:numPr>
        <w:tabs>
          <w:tab w:val="left" w:pos="3205"/>
          <w:tab w:val="left" w:pos="3206"/>
        </w:tabs>
        <w:spacing w:before="0" w:after="0" w:line="240" w:lineRule="auto"/>
        <w:ind w:left="3205" w:right="0" w:hanging="721"/>
        <w:jc w:val="left"/>
        <w:rPr>
          <w:sz w:val="21"/>
        </w:rPr>
      </w:pPr>
      <w:r>
        <w:rPr>
          <w:spacing w:val="-1"/>
          <w:w w:val="95"/>
          <w:sz w:val="21"/>
        </w:rPr>
        <w:t>心功能衰竭并实际接受了心脏瓣膜置换手术；</w:t>
      </w:r>
    </w:p>
    <w:p>
      <w:pPr>
        <w:pStyle w:val="4"/>
        <w:spacing w:before="7"/>
        <w:rPr>
          <w:sz w:val="15"/>
        </w:rPr>
      </w:pPr>
    </w:p>
    <w:p>
      <w:pPr>
        <w:pStyle w:val="9"/>
        <w:numPr>
          <w:ilvl w:val="0"/>
          <w:numId w:val="39"/>
        </w:numPr>
        <w:tabs>
          <w:tab w:val="left" w:pos="3205"/>
          <w:tab w:val="left" w:pos="3206"/>
        </w:tabs>
        <w:spacing w:before="0" w:after="0" w:line="240" w:lineRule="auto"/>
        <w:ind w:left="3205" w:right="0" w:hanging="721"/>
        <w:jc w:val="left"/>
        <w:rPr>
          <w:sz w:val="21"/>
        </w:rPr>
      </w:pPr>
      <w:r>
        <w:rPr>
          <w:spacing w:val="-1"/>
          <w:w w:val="95"/>
          <w:sz w:val="21"/>
        </w:rPr>
        <w:t>并发动脉栓塞导致脑梗塞、肾梗塞或心肌梗塞。</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严重川崎病:</w:t>
      </w:r>
    </w:p>
    <w:p>
      <w:pPr>
        <w:pStyle w:val="4"/>
        <w:spacing w:before="6"/>
        <w:rPr>
          <w:b/>
          <w:sz w:val="15"/>
        </w:rPr>
      </w:pPr>
    </w:p>
    <w:p>
      <w:pPr>
        <w:pStyle w:val="4"/>
        <w:spacing w:before="1" w:line="278" w:lineRule="auto"/>
        <w:ind w:left="2485" w:right="350"/>
        <w:jc w:val="both"/>
      </w:pPr>
      <w:r>
        <w:rPr>
          <w:spacing w:val="-3"/>
          <w:w w:val="99"/>
        </w:rPr>
        <w:t>指一种原因未明的血管炎综合征，临床表现为急性发热，皮肤粘膜病损和淋巴结肿大。本病必须经专科医生明确诊断，且必须由血管造影或超声心动图检查证实，满</w:t>
      </w:r>
      <w:r>
        <w:rPr>
          <w:spacing w:val="-1"/>
          <w:w w:val="99"/>
        </w:rPr>
        <w:t>足下列至少一项条件：</w:t>
      </w:r>
    </w:p>
    <w:p>
      <w:pPr>
        <w:pStyle w:val="9"/>
        <w:numPr>
          <w:ilvl w:val="0"/>
          <w:numId w:val="40"/>
        </w:numPr>
        <w:tabs>
          <w:tab w:val="left" w:pos="3206"/>
        </w:tabs>
        <w:spacing w:before="155" w:after="0" w:line="240" w:lineRule="auto"/>
        <w:ind w:left="3205" w:right="0" w:hanging="721"/>
        <w:jc w:val="both"/>
        <w:rPr>
          <w:sz w:val="21"/>
        </w:rPr>
      </w:pPr>
      <w:r>
        <w:rPr>
          <w:spacing w:val="-1"/>
          <w:w w:val="95"/>
          <w:sz w:val="21"/>
        </w:rPr>
        <w:t>伴有冠状动脉瘤，且冠状动脉瘤于最初急性发病后持续至少一百八十天；</w:t>
      </w:r>
    </w:p>
    <w:p>
      <w:pPr>
        <w:pStyle w:val="4"/>
        <w:spacing w:before="7"/>
        <w:rPr>
          <w:sz w:val="15"/>
        </w:rPr>
      </w:pPr>
    </w:p>
    <w:p>
      <w:pPr>
        <w:pStyle w:val="9"/>
        <w:numPr>
          <w:ilvl w:val="0"/>
          <w:numId w:val="40"/>
        </w:numPr>
        <w:tabs>
          <w:tab w:val="left" w:pos="3206"/>
        </w:tabs>
        <w:spacing w:before="0" w:after="0" w:line="240" w:lineRule="auto"/>
        <w:ind w:left="3205" w:right="0" w:hanging="721"/>
        <w:jc w:val="both"/>
        <w:rPr>
          <w:sz w:val="21"/>
        </w:rPr>
      </w:pPr>
      <w:r>
        <w:rPr>
          <w:spacing w:val="-1"/>
          <w:w w:val="95"/>
          <w:sz w:val="21"/>
        </w:rPr>
        <w:t>伴有冠状动脉瘤，且实际接受了对冠状动脉瘤进行的手术治疗。</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主动脉夹层瘤:</w:t>
      </w:r>
    </w:p>
    <w:p>
      <w:pPr>
        <w:pStyle w:val="4"/>
        <w:spacing w:before="6"/>
        <w:rPr>
          <w:b/>
          <w:sz w:val="15"/>
        </w:rPr>
      </w:pPr>
    </w:p>
    <w:p>
      <w:pPr>
        <w:pStyle w:val="4"/>
        <w:spacing w:before="1" w:line="278" w:lineRule="auto"/>
        <w:ind w:left="2485" w:right="347"/>
        <w:jc w:val="both"/>
      </w:pPr>
      <w:r>
        <w:rPr>
          <w:spacing w:val="-3"/>
          <w:w w:val="99"/>
        </w:rPr>
        <w:t>指主动脉的内膜破裂导致血液流入主动脉壁中形成夹层动脉瘤。在本定义中，主动脉指胸主动脉及腹主动脉而非其旁支。诊断必须由专科医生及检验结果证实，检验包括电脑扫描，磁共振扫描及磁共振血管造影或心导管检查的证明，并有必要进行</w:t>
      </w:r>
      <w:r>
        <w:rPr>
          <w:spacing w:val="-1"/>
          <w:w w:val="99"/>
        </w:rPr>
        <w:t>紧急修补手术。</w:t>
      </w:r>
    </w:p>
    <w:p>
      <w:pPr>
        <w:pStyle w:val="3"/>
        <w:numPr>
          <w:ilvl w:val="0"/>
          <w:numId w:val="14"/>
        </w:numPr>
        <w:tabs>
          <w:tab w:val="left" w:pos="3120"/>
        </w:tabs>
        <w:spacing w:before="155" w:after="0" w:line="240" w:lineRule="auto"/>
        <w:ind w:left="3119" w:right="0" w:hanging="635"/>
        <w:jc w:val="left"/>
      </w:pPr>
      <w:r>
        <w:rPr>
          <w:spacing w:val="-2"/>
          <w:w w:val="95"/>
        </w:rPr>
        <w:t>弥漫性血管内凝血:</w:t>
      </w:r>
    </w:p>
    <w:p>
      <w:pPr>
        <w:pStyle w:val="4"/>
        <w:spacing w:before="7"/>
        <w:rPr>
          <w:b/>
          <w:sz w:val="15"/>
        </w:rPr>
      </w:pPr>
    </w:p>
    <w:p>
      <w:pPr>
        <w:pStyle w:val="4"/>
        <w:spacing w:line="278" w:lineRule="auto"/>
        <w:ind w:left="2485" w:right="350"/>
        <w:jc w:val="both"/>
      </w:pPr>
      <w:r>
        <w:rPr>
          <w:spacing w:val="-2"/>
          <w:w w:val="99"/>
        </w:rPr>
        <w:t>指血液凝固系统和纤溶系统的过度活动导致微血管血栓形成、血小板及凝血因子耗</w:t>
      </w:r>
      <w:r>
        <w:rPr>
          <w:spacing w:val="-3"/>
          <w:w w:val="99"/>
        </w:rPr>
        <w:t>竭和严重出血，此症必须由本公司认可的专科医生确诊，并且已经达到临床分期的</w:t>
      </w:r>
      <w:r>
        <w:rPr>
          <w:spacing w:val="3"/>
          <w:w w:val="99"/>
        </w:rPr>
        <w:t>中期</w:t>
      </w:r>
      <w:r>
        <w:rPr>
          <w:spacing w:val="4"/>
          <w:w w:val="99"/>
        </w:rPr>
        <w:t>（</w:t>
      </w:r>
      <w:r>
        <w:rPr>
          <w:spacing w:val="2"/>
          <w:w w:val="99"/>
        </w:rPr>
        <w:t>消耗性低凝期）</w:t>
      </w:r>
      <w:r>
        <w:rPr>
          <w:spacing w:val="3"/>
          <w:w w:val="99"/>
        </w:rPr>
        <w:t>或后期</w:t>
      </w:r>
      <w:r>
        <w:rPr>
          <w:spacing w:val="4"/>
          <w:w w:val="99"/>
        </w:rPr>
        <w:t>（</w:t>
      </w:r>
      <w:r>
        <w:rPr>
          <w:spacing w:val="2"/>
          <w:w w:val="99"/>
        </w:rPr>
        <w:t>继发性纤溶亢进期</w:t>
      </w:r>
      <w:r>
        <w:rPr>
          <w:spacing w:val="-104"/>
          <w:w w:val="99"/>
        </w:rPr>
        <w:t>）</w:t>
      </w:r>
      <w:r>
        <w:rPr>
          <w:spacing w:val="1"/>
          <w:w w:val="99"/>
        </w:rPr>
        <w:t>，需要输注血浆和浓缩血小板</w:t>
      </w:r>
      <w:r>
        <w:rPr>
          <w:spacing w:val="-1"/>
          <w:w w:val="99"/>
        </w:rPr>
        <w:t>进行治疗。</w:t>
      </w:r>
    </w:p>
    <w:p>
      <w:pPr>
        <w:pStyle w:val="3"/>
        <w:numPr>
          <w:ilvl w:val="0"/>
          <w:numId w:val="14"/>
        </w:numPr>
        <w:tabs>
          <w:tab w:val="left" w:pos="3120"/>
        </w:tabs>
        <w:spacing w:before="155" w:after="0" w:line="240" w:lineRule="auto"/>
        <w:ind w:left="3119" w:right="0" w:hanging="635"/>
        <w:jc w:val="left"/>
      </w:pPr>
      <w:r>
        <w:rPr>
          <w:spacing w:val="-1"/>
          <w:w w:val="95"/>
        </w:rPr>
        <w:t>严重继发性肺动脉高压:</w:t>
      </w:r>
    </w:p>
    <w:p>
      <w:pPr>
        <w:pStyle w:val="4"/>
        <w:spacing w:before="7"/>
        <w:rPr>
          <w:b/>
          <w:sz w:val="15"/>
        </w:rPr>
      </w:pPr>
    </w:p>
    <w:p>
      <w:pPr>
        <w:pStyle w:val="4"/>
        <w:spacing w:line="278" w:lineRule="auto"/>
        <w:ind w:left="2485" w:right="347"/>
        <w:jc w:val="both"/>
      </w:pPr>
      <w:r>
        <w:rPr>
          <w:spacing w:val="-3"/>
          <w:w w:val="99"/>
        </w:rPr>
        <w:t>继发性肺动脉压力持续增高，导致右心室肥厚，已经造成永久不可逆性的体力活动能力受限，达到美国纽约心脏病学会心功能状态分级Ⅳ级。诊断需要由心脏科专家</w:t>
      </w:r>
      <w:r>
        <w:rPr>
          <w:spacing w:val="-1"/>
          <w:w w:val="99"/>
        </w:rPr>
        <w:t>确诊，并且心导管检查报告显示静息状态下肺动脉平均压超过</w:t>
      </w:r>
      <w:r>
        <w:rPr>
          <w:spacing w:val="-53"/>
        </w:rPr>
        <w:t xml:space="preserve"> </w:t>
      </w:r>
      <w:r>
        <w:rPr>
          <w:spacing w:val="1"/>
          <w:w w:val="99"/>
        </w:rPr>
        <w:t>36m</w:t>
      </w:r>
      <w:r>
        <w:rPr>
          <w:spacing w:val="-2"/>
          <w:w w:val="99"/>
        </w:rPr>
        <w:t>m</w:t>
      </w:r>
      <w:r>
        <w:rPr>
          <w:spacing w:val="1"/>
          <w:w w:val="99"/>
        </w:rPr>
        <w:t>Hg</w:t>
      </w:r>
      <w:r>
        <w:rPr>
          <w:w w:val="99"/>
        </w:rPr>
        <w:t>。</w:t>
      </w:r>
    </w:p>
    <w:p>
      <w:pPr>
        <w:pStyle w:val="3"/>
        <w:numPr>
          <w:ilvl w:val="0"/>
          <w:numId w:val="14"/>
        </w:numPr>
        <w:tabs>
          <w:tab w:val="left" w:pos="3120"/>
        </w:tabs>
        <w:spacing w:before="156" w:after="0" w:line="240" w:lineRule="auto"/>
        <w:ind w:left="3119" w:right="0" w:hanging="635"/>
        <w:jc w:val="left"/>
      </w:pPr>
      <w:r>
        <w:rPr>
          <w:spacing w:val="-1"/>
          <w:w w:val="95"/>
        </w:rPr>
        <w:t>需手术切除的嗜铬细胞瘤:</w:t>
      </w:r>
    </w:p>
    <w:p>
      <w:pPr>
        <w:pStyle w:val="4"/>
        <w:spacing w:before="6"/>
        <w:rPr>
          <w:b/>
          <w:sz w:val="15"/>
        </w:rPr>
      </w:pPr>
    </w:p>
    <w:p>
      <w:pPr>
        <w:pStyle w:val="4"/>
        <w:spacing w:before="1" w:line="278" w:lineRule="auto"/>
        <w:ind w:left="2485" w:right="347"/>
      </w:pPr>
      <w:r>
        <w:rPr>
          <w:spacing w:val="-3"/>
          <w:w w:val="99"/>
        </w:rPr>
        <w:t>指肾上腺或嗜铬外组织出现神经内分泌肿瘤，并分泌过多的儿茶酚胺类，需要确实</w:t>
      </w:r>
      <w:r>
        <w:rPr>
          <w:spacing w:val="-1"/>
          <w:w w:val="99"/>
        </w:rPr>
        <w:t>进行手术以切除肿瘤。嗜铬细胞瘤的诊断必须由内分泌专科医生确定。</w:t>
      </w:r>
    </w:p>
    <w:p>
      <w:pPr>
        <w:pStyle w:val="3"/>
        <w:numPr>
          <w:ilvl w:val="0"/>
          <w:numId w:val="14"/>
        </w:numPr>
        <w:tabs>
          <w:tab w:val="left" w:pos="3120"/>
        </w:tabs>
        <w:spacing w:before="155" w:after="0" w:line="240" w:lineRule="auto"/>
        <w:ind w:left="3119" w:right="0" w:hanging="635"/>
        <w:jc w:val="left"/>
      </w:pPr>
      <w:r>
        <w:rPr>
          <w:spacing w:val="-2"/>
          <w:w w:val="95"/>
        </w:rPr>
        <w:t>严重多发性硬化:</w:t>
      </w:r>
    </w:p>
    <w:p>
      <w:pPr>
        <w:pStyle w:val="4"/>
        <w:spacing w:before="7"/>
        <w:rPr>
          <w:b/>
          <w:sz w:val="15"/>
        </w:rPr>
      </w:pPr>
    </w:p>
    <w:p>
      <w:pPr>
        <w:pStyle w:val="4"/>
        <w:spacing w:line="278" w:lineRule="auto"/>
        <w:ind w:left="2485" w:right="347"/>
        <w:jc w:val="both"/>
      </w:pPr>
      <w:r>
        <w:rPr>
          <w:spacing w:val="-3"/>
          <w:w w:val="99"/>
        </w:rPr>
        <w:t>多发性硬化为中枢神经系统白质多灶性脱髓鞘病变，病变有时累及灰质。多发性硬化必须明确诊断，并且已经造成永久不可逆的神经系统功能损害。永久不可逆的神</w:t>
      </w:r>
      <w:r>
        <w:rPr>
          <w:spacing w:val="-1"/>
          <w:w w:val="99"/>
        </w:rPr>
        <w:t>经系统损害指被保险人持续</w:t>
      </w:r>
      <w:r>
        <w:rPr>
          <w:spacing w:val="-50"/>
        </w:rPr>
        <w:t xml:space="preserve"> </w:t>
      </w:r>
      <w:r>
        <w:rPr>
          <w:spacing w:val="1"/>
          <w:w w:val="99"/>
        </w:rPr>
        <w:t>18</w:t>
      </w:r>
      <w:r>
        <w:rPr>
          <w:w w:val="99"/>
        </w:rPr>
        <w:t>0</w:t>
      </w:r>
      <w:r>
        <w:rPr>
          <w:spacing w:val="-54"/>
        </w:rPr>
        <w:t xml:space="preserve"> </w:t>
      </w:r>
      <w:r>
        <w:rPr>
          <w:spacing w:val="-1"/>
          <w:w w:val="99"/>
        </w:rPr>
        <w:t>天无法独立完成下列基本日常生活活动之一：</w:t>
      </w:r>
    </w:p>
    <w:p>
      <w:pPr>
        <w:pStyle w:val="9"/>
        <w:numPr>
          <w:ilvl w:val="0"/>
          <w:numId w:val="41"/>
        </w:numPr>
        <w:tabs>
          <w:tab w:val="left" w:pos="3206"/>
        </w:tabs>
        <w:spacing w:before="156" w:after="0" w:line="240" w:lineRule="auto"/>
        <w:ind w:left="3205" w:right="0" w:hanging="721"/>
        <w:jc w:val="both"/>
        <w:rPr>
          <w:sz w:val="21"/>
        </w:rPr>
      </w:pPr>
      <w:r>
        <w:rPr>
          <w:spacing w:val="-1"/>
          <w:w w:val="95"/>
          <w:sz w:val="21"/>
        </w:rPr>
        <w:t>移动：自己从一个房间到另一个房间；</w:t>
      </w:r>
    </w:p>
    <w:p>
      <w:pPr>
        <w:pStyle w:val="4"/>
        <w:spacing w:before="6"/>
        <w:rPr>
          <w:sz w:val="15"/>
        </w:rPr>
      </w:pPr>
    </w:p>
    <w:p>
      <w:pPr>
        <w:pStyle w:val="9"/>
        <w:numPr>
          <w:ilvl w:val="0"/>
          <w:numId w:val="41"/>
        </w:numPr>
        <w:tabs>
          <w:tab w:val="left" w:pos="3206"/>
        </w:tabs>
        <w:spacing w:before="0" w:after="0" w:line="240" w:lineRule="auto"/>
        <w:ind w:left="3205" w:right="0" w:hanging="721"/>
        <w:jc w:val="both"/>
        <w:rPr>
          <w:sz w:val="21"/>
        </w:rPr>
      </w:pPr>
      <w:r>
        <w:rPr>
          <w:spacing w:val="-1"/>
          <w:w w:val="95"/>
          <w:sz w:val="21"/>
        </w:rPr>
        <w:t>进食：自己从已准备好的碗或碟中取食物放入口中。</w:t>
      </w:r>
    </w:p>
    <w:p>
      <w:pPr>
        <w:spacing w:after="0" w:line="240" w:lineRule="auto"/>
        <w:jc w:val="both"/>
        <w:rPr>
          <w:sz w:val="21"/>
        </w:rPr>
        <w:sectPr>
          <w:pgSz w:w="11910" w:h="16840"/>
          <w:pgMar w:top="1400" w:right="660" w:bottom="860" w:left="860" w:header="0" w:footer="662" w:gutter="0"/>
          <w:cols w:space="720" w:num="1"/>
        </w:sectPr>
      </w:pPr>
    </w:p>
    <w:p>
      <w:pPr>
        <w:pStyle w:val="3"/>
        <w:numPr>
          <w:ilvl w:val="0"/>
          <w:numId w:val="14"/>
        </w:numPr>
        <w:tabs>
          <w:tab w:val="left" w:pos="3120"/>
        </w:tabs>
        <w:spacing w:before="43" w:after="0" w:line="240" w:lineRule="auto"/>
        <w:ind w:left="3119" w:right="0" w:hanging="635"/>
        <w:jc w:val="left"/>
      </w:pPr>
      <w:r>
        <w:rPr>
          <w:spacing w:val="-2"/>
          <w:w w:val="95"/>
        </w:rPr>
        <w:t>重症肌无力:</w:t>
      </w:r>
    </w:p>
    <w:p>
      <w:pPr>
        <w:pStyle w:val="4"/>
        <w:spacing w:before="7"/>
        <w:rPr>
          <w:b/>
          <w:sz w:val="15"/>
        </w:rPr>
      </w:pPr>
    </w:p>
    <w:p>
      <w:pPr>
        <w:pStyle w:val="4"/>
        <w:spacing w:line="278" w:lineRule="auto"/>
        <w:ind w:left="2485" w:right="350"/>
        <w:jc w:val="both"/>
      </w:pPr>
      <w:r>
        <w:rPr>
          <w:spacing w:val="-3"/>
          <w:w w:val="99"/>
        </w:rPr>
        <w:t>指一种神经肌肉接头传递障碍所致的疾病，表现为局部或全身骨骼肌</w:t>
      </w:r>
      <w:r>
        <w:rPr>
          <w:spacing w:val="-1"/>
          <w:w w:val="99"/>
        </w:rPr>
        <w:t>（特别是眼外</w:t>
      </w:r>
      <w:r>
        <w:rPr>
          <w:spacing w:val="2"/>
          <w:w w:val="99"/>
        </w:rPr>
        <w:t>肌</w:t>
      </w:r>
      <w:r>
        <w:rPr>
          <w:spacing w:val="-3"/>
          <w:w w:val="99"/>
        </w:rPr>
        <w:t>）极易疲劳。疾病可以累及呼吸肌、上肢或下肢的近端肌群或全身肌肉，必须满</w:t>
      </w:r>
      <w:r>
        <w:rPr>
          <w:spacing w:val="-1"/>
          <w:w w:val="99"/>
        </w:rPr>
        <w:t>足下列全部条件：</w:t>
      </w:r>
    </w:p>
    <w:p>
      <w:pPr>
        <w:pStyle w:val="9"/>
        <w:numPr>
          <w:ilvl w:val="0"/>
          <w:numId w:val="42"/>
        </w:numPr>
        <w:tabs>
          <w:tab w:val="left" w:pos="3206"/>
        </w:tabs>
        <w:spacing w:before="156" w:after="0" w:line="240" w:lineRule="auto"/>
        <w:ind w:left="3205" w:right="0" w:hanging="721"/>
        <w:jc w:val="both"/>
        <w:rPr>
          <w:sz w:val="21"/>
        </w:rPr>
      </w:pPr>
      <w:r>
        <w:rPr>
          <w:spacing w:val="-1"/>
          <w:w w:val="95"/>
          <w:sz w:val="21"/>
        </w:rPr>
        <w:t>经药物治疗和胸腺切除治疗一年以上仍无法控制病情；</w:t>
      </w:r>
    </w:p>
    <w:p>
      <w:pPr>
        <w:pStyle w:val="4"/>
        <w:spacing w:before="6"/>
        <w:rPr>
          <w:sz w:val="15"/>
        </w:rPr>
      </w:pPr>
    </w:p>
    <w:p>
      <w:pPr>
        <w:pStyle w:val="9"/>
        <w:numPr>
          <w:ilvl w:val="0"/>
          <w:numId w:val="42"/>
        </w:numPr>
        <w:tabs>
          <w:tab w:val="left" w:pos="3205"/>
          <w:tab w:val="left" w:pos="3206"/>
        </w:tabs>
        <w:spacing w:before="0" w:after="0" w:line="278" w:lineRule="auto"/>
        <w:ind w:left="3205" w:right="350" w:hanging="720"/>
        <w:jc w:val="left"/>
        <w:rPr>
          <w:sz w:val="21"/>
        </w:rPr>
      </w:pPr>
      <w:r>
        <w:rPr>
          <w:spacing w:val="-10"/>
          <w:w w:val="99"/>
          <w:sz w:val="21"/>
        </w:rPr>
        <w:t>自主生活能力完全丧失，无法独立完成六项基本日常生活活动中的三项或三</w:t>
      </w:r>
      <w:r>
        <w:rPr>
          <w:spacing w:val="-1"/>
          <w:w w:val="99"/>
          <w:sz w:val="21"/>
        </w:rPr>
        <w:t>项以上。</w:t>
      </w:r>
    </w:p>
    <w:p>
      <w:pPr>
        <w:pStyle w:val="3"/>
        <w:numPr>
          <w:ilvl w:val="0"/>
          <w:numId w:val="14"/>
        </w:numPr>
        <w:tabs>
          <w:tab w:val="left" w:pos="3120"/>
        </w:tabs>
        <w:spacing w:before="156" w:after="0" w:line="240" w:lineRule="auto"/>
        <w:ind w:left="3119" w:right="0" w:hanging="635"/>
        <w:jc w:val="left"/>
      </w:pPr>
      <w:r>
        <w:rPr>
          <w:spacing w:val="-2"/>
          <w:w w:val="95"/>
        </w:rPr>
        <w:t>严重肌营养不良症:</w:t>
      </w:r>
    </w:p>
    <w:p>
      <w:pPr>
        <w:pStyle w:val="4"/>
        <w:spacing w:before="7"/>
        <w:rPr>
          <w:b/>
          <w:sz w:val="15"/>
        </w:rPr>
      </w:pPr>
    </w:p>
    <w:p>
      <w:pPr>
        <w:pStyle w:val="4"/>
        <w:spacing w:line="278" w:lineRule="auto"/>
        <w:ind w:left="2485" w:right="350"/>
      </w:pPr>
      <w:r>
        <w:rPr>
          <w:spacing w:val="-2"/>
          <w:w w:val="99"/>
        </w:rPr>
        <w:t>指一组遗传性肌肉变性病变，临床特征为与神经系统无关的骨骼肌肉对称地进行性</w:t>
      </w:r>
      <w:r>
        <w:rPr>
          <w:spacing w:val="-1"/>
          <w:w w:val="99"/>
        </w:rPr>
        <w:t>无力和萎缩。其诊断需满足下列全部条件：</w:t>
      </w:r>
    </w:p>
    <w:p>
      <w:pPr>
        <w:pStyle w:val="9"/>
        <w:numPr>
          <w:ilvl w:val="0"/>
          <w:numId w:val="43"/>
        </w:numPr>
        <w:tabs>
          <w:tab w:val="left" w:pos="3205"/>
          <w:tab w:val="left" w:pos="3206"/>
        </w:tabs>
        <w:spacing w:before="156" w:after="0" w:line="240" w:lineRule="auto"/>
        <w:ind w:left="3205" w:right="0" w:hanging="721"/>
        <w:jc w:val="left"/>
        <w:rPr>
          <w:sz w:val="21"/>
        </w:rPr>
      </w:pPr>
      <w:r>
        <w:rPr>
          <w:spacing w:val="-1"/>
          <w:w w:val="95"/>
          <w:sz w:val="21"/>
        </w:rPr>
        <w:t>肌电图显示典型肌营养不良症的阳性改变；</w:t>
      </w:r>
    </w:p>
    <w:p>
      <w:pPr>
        <w:pStyle w:val="4"/>
        <w:spacing w:before="6"/>
        <w:rPr>
          <w:sz w:val="15"/>
        </w:rPr>
      </w:pPr>
    </w:p>
    <w:p>
      <w:pPr>
        <w:pStyle w:val="9"/>
        <w:numPr>
          <w:ilvl w:val="0"/>
          <w:numId w:val="43"/>
        </w:numPr>
        <w:tabs>
          <w:tab w:val="left" w:pos="3205"/>
          <w:tab w:val="left" w:pos="3206"/>
        </w:tabs>
        <w:spacing w:before="0" w:after="0" w:line="278" w:lineRule="auto"/>
        <w:ind w:left="3205" w:right="350" w:hanging="720"/>
        <w:jc w:val="left"/>
        <w:rPr>
          <w:sz w:val="21"/>
        </w:rPr>
      </w:pPr>
      <w:r>
        <w:rPr>
          <w:spacing w:val="2"/>
          <w:w w:val="99"/>
          <w:sz w:val="21"/>
        </w:rPr>
        <w:t>肌肉活检的病理学诊断符合肌营养不良症的肌肉细胞变性、坏死等阳性改</w:t>
      </w:r>
      <w:r>
        <w:rPr>
          <w:spacing w:val="-1"/>
          <w:w w:val="99"/>
          <w:sz w:val="21"/>
        </w:rPr>
        <w:t>变；</w:t>
      </w:r>
    </w:p>
    <w:p>
      <w:pPr>
        <w:pStyle w:val="9"/>
        <w:numPr>
          <w:ilvl w:val="0"/>
          <w:numId w:val="43"/>
        </w:numPr>
        <w:tabs>
          <w:tab w:val="left" w:pos="3205"/>
          <w:tab w:val="left" w:pos="3206"/>
        </w:tabs>
        <w:spacing w:before="156" w:after="0" w:line="278" w:lineRule="auto"/>
        <w:ind w:left="3205" w:right="350" w:hanging="720"/>
        <w:jc w:val="left"/>
        <w:rPr>
          <w:sz w:val="21"/>
        </w:rPr>
      </w:pPr>
      <w:r>
        <w:rPr>
          <w:spacing w:val="2"/>
          <w:w w:val="99"/>
          <w:sz w:val="21"/>
        </w:rPr>
        <w:t>已导致被保险人持续超过三个月无法独立完成六项基本日常生活活动中的</w:t>
      </w:r>
      <w:r>
        <w:rPr>
          <w:spacing w:val="-1"/>
          <w:w w:val="99"/>
          <w:sz w:val="21"/>
        </w:rPr>
        <w:t>三项或三项以上。</w:t>
      </w:r>
    </w:p>
    <w:p>
      <w:pPr>
        <w:pStyle w:val="4"/>
        <w:spacing w:before="156" w:line="278" w:lineRule="auto"/>
        <w:ind w:left="2485" w:right="347"/>
      </w:pPr>
      <w:r>
        <w:rPr>
          <w:spacing w:val="-3"/>
          <w:w w:val="99"/>
        </w:rPr>
        <w:t>本公司承担本项疾病责任不受本合同责任免除中“遗传性疾病、先天性畸形、变形</w:t>
      </w:r>
      <w:r>
        <w:rPr>
          <w:spacing w:val="-1"/>
          <w:w w:val="99"/>
        </w:rPr>
        <w:t>或染色体异常”的限制。</w:t>
      </w:r>
    </w:p>
    <w:p>
      <w:pPr>
        <w:pStyle w:val="3"/>
        <w:numPr>
          <w:ilvl w:val="0"/>
          <w:numId w:val="14"/>
        </w:numPr>
        <w:tabs>
          <w:tab w:val="left" w:pos="3120"/>
        </w:tabs>
        <w:spacing w:before="156" w:after="0" w:line="240" w:lineRule="auto"/>
        <w:ind w:left="3119" w:right="0" w:hanging="635"/>
        <w:jc w:val="left"/>
      </w:pPr>
      <w:r>
        <w:rPr>
          <w:spacing w:val="-2"/>
          <w:w w:val="95"/>
        </w:rPr>
        <w:t>植物人状态:</w:t>
      </w:r>
    </w:p>
    <w:p>
      <w:pPr>
        <w:pStyle w:val="4"/>
        <w:spacing w:before="6"/>
        <w:rPr>
          <w:b/>
          <w:sz w:val="15"/>
        </w:rPr>
      </w:pPr>
    </w:p>
    <w:p>
      <w:pPr>
        <w:pStyle w:val="4"/>
        <w:spacing w:line="278" w:lineRule="auto"/>
        <w:ind w:left="2485" w:right="242"/>
      </w:pPr>
      <w:r>
        <w:rPr>
          <w:spacing w:val="-2"/>
          <w:w w:val="99"/>
        </w:rPr>
        <w:t>指脑皮质广泛性坏死而导致对自身及周边的认知能力完全丧失，但脑干功能仍然存</w:t>
      </w:r>
      <w:r>
        <w:rPr>
          <w:spacing w:val="-15"/>
          <w:w w:val="99"/>
        </w:rPr>
        <w:t>在，必须经神经科专科医生明确诊断，并有头颅断层扫描</w:t>
      </w:r>
      <w:r>
        <w:rPr>
          <w:spacing w:val="2"/>
          <w:w w:val="99"/>
        </w:rPr>
        <w:t>（</w:t>
      </w:r>
      <w:r>
        <w:rPr>
          <w:spacing w:val="1"/>
          <w:w w:val="99"/>
        </w:rPr>
        <w:t>C</w:t>
      </w:r>
      <w:r>
        <w:rPr>
          <w:spacing w:val="-2"/>
          <w:w w:val="99"/>
        </w:rPr>
        <w:t>T</w:t>
      </w:r>
      <w:r>
        <w:rPr>
          <w:spacing w:val="-104"/>
          <w:w w:val="99"/>
        </w:rPr>
        <w:t>）</w:t>
      </w:r>
      <w:r>
        <w:rPr>
          <w:spacing w:val="-19"/>
          <w:w w:val="99"/>
        </w:rPr>
        <w:t>，核磁共振检查</w:t>
      </w:r>
      <w:r>
        <w:rPr>
          <w:spacing w:val="2"/>
          <w:w w:val="99"/>
        </w:rPr>
        <w:t>（</w:t>
      </w:r>
      <w:r>
        <w:rPr>
          <w:spacing w:val="1"/>
          <w:w w:val="99"/>
        </w:rPr>
        <w:t>MR</w:t>
      </w:r>
      <w:r>
        <w:rPr>
          <w:spacing w:val="-2"/>
          <w:w w:val="99"/>
        </w:rPr>
        <w:t>I</w:t>
      </w:r>
      <w:r>
        <w:rPr>
          <w:w w:val="99"/>
        </w:rPr>
        <w:t>）</w:t>
      </w:r>
      <w:r>
        <w:rPr>
          <w:spacing w:val="-2"/>
          <w:w w:val="99"/>
        </w:rPr>
        <w:t>或正电子发射断层扫描</w:t>
      </w:r>
      <w:r>
        <w:rPr>
          <w:spacing w:val="-1"/>
          <w:w w:val="99"/>
        </w:rPr>
        <w:t>（</w:t>
      </w:r>
      <w:r>
        <w:rPr>
          <w:spacing w:val="1"/>
          <w:w w:val="99"/>
        </w:rPr>
        <w:t>PET</w:t>
      </w:r>
      <w:r>
        <w:rPr>
          <w:spacing w:val="-5"/>
          <w:w w:val="99"/>
        </w:rPr>
        <w:t>）</w:t>
      </w:r>
      <w:r>
        <w:rPr>
          <w:spacing w:val="-1"/>
          <w:w w:val="99"/>
        </w:rPr>
        <w:t>等影像学检查证实，且植物人状态须已持续</w:t>
      </w:r>
      <w:r>
        <w:rPr>
          <w:spacing w:val="-53"/>
        </w:rPr>
        <w:t xml:space="preserve"> </w:t>
      </w:r>
      <w:r>
        <w:rPr>
          <w:spacing w:val="1"/>
          <w:w w:val="99"/>
        </w:rPr>
        <w:t>3</w:t>
      </w:r>
      <w:r>
        <w:rPr>
          <w:w w:val="99"/>
        </w:rPr>
        <w:t>0</w:t>
      </w:r>
      <w:r>
        <w:rPr>
          <w:spacing w:val="-54"/>
        </w:rPr>
        <w:t xml:space="preserve"> </w:t>
      </w:r>
      <w:r>
        <w:rPr>
          <w:spacing w:val="1"/>
          <w:w w:val="99"/>
        </w:rPr>
        <w:t>天以</w:t>
      </w:r>
      <w:r>
        <w:rPr>
          <w:spacing w:val="-1"/>
          <w:w w:val="99"/>
        </w:rPr>
        <w:t>上。</w:t>
      </w:r>
    </w:p>
    <w:p>
      <w:pPr>
        <w:pStyle w:val="4"/>
        <w:spacing w:line="269" w:lineRule="exact"/>
        <w:ind w:left="2485"/>
      </w:pPr>
      <w:r>
        <w:rPr>
          <w:color w:val="000000"/>
          <w:spacing w:val="-1"/>
          <w:w w:val="95"/>
          <w:shd w:val="clear" w:color="auto" w:fill="E4E4E4"/>
        </w:rPr>
        <w:t>由于酗酒或滥用药物所致的植物人状态不在保障范围内。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非阿尔茨海默病所致严重痴呆:</w:t>
      </w:r>
    </w:p>
    <w:p>
      <w:pPr>
        <w:pStyle w:val="4"/>
        <w:spacing w:before="7"/>
        <w:rPr>
          <w:b/>
          <w:sz w:val="15"/>
        </w:rPr>
      </w:pPr>
    </w:p>
    <w:p>
      <w:pPr>
        <w:pStyle w:val="4"/>
        <w:spacing w:line="278" w:lineRule="auto"/>
        <w:ind w:left="2485" w:right="338"/>
        <w:jc w:val="both"/>
      </w:pPr>
      <w:r>
        <w:rPr>
          <w:spacing w:val="4"/>
          <w:w w:val="99"/>
        </w:rPr>
        <w:t>指因阿尔茨海默病以外的脑的器质性疾病造成脑功能衰竭导致永久不可逆性的严</w:t>
      </w:r>
      <w:r>
        <w:rPr>
          <w:spacing w:val="-3"/>
          <w:w w:val="99"/>
        </w:rPr>
        <w:t>重痴呆，临床表现为明显的认知能力障碍、行为异常和社交能力减退。被保险人自</w:t>
      </w:r>
      <w:r>
        <w:rPr>
          <w:spacing w:val="-1"/>
          <w:w w:val="99"/>
        </w:rPr>
        <w:t>主生活能力完全丧失，无法独立完成六项基本日常生活活动中的三项或三项以上，</w:t>
      </w:r>
      <w:r>
        <w:rPr>
          <w:spacing w:val="-3"/>
          <w:w w:val="99"/>
        </w:rPr>
        <w:t>日常生活必须持续受到他人监护。导致痴呆的疾病必须明确诊断，并且由完整的临</w:t>
      </w:r>
      <w:r>
        <w:rPr>
          <w:spacing w:val="-1"/>
          <w:w w:val="99"/>
        </w:rPr>
        <w:t>床、实验室和影像学检查结果证实。</w:t>
      </w:r>
    </w:p>
    <w:p>
      <w:pPr>
        <w:pStyle w:val="4"/>
        <w:spacing w:line="269" w:lineRule="exact"/>
        <w:ind w:left="2485"/>
      </w:pPr>
      <w:r>
        <w:rPr>
          <w:color w:val="000000"/>
          <w:spacing w:val="-1"/>
          <w:w w:val="95"/>
          <w:shd w:val="clear" w:color="auto" w:fill="E4E4E4"/>
        </w:rPr>
        <w:t>神经官能症和精神疾病不在保障范围内。</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w w:val="95"/>
        </w:rPr>
        <w:t>肝豆状核变性（Wilson</w:t>
      </w:r>
      <w:r>
        <w:rPr>
          <w:spacing w:val="51"/>
        </w:rPr>
        <w:t xml:space="preserve"> </w:t>
      </w:r>
      <w:r>
        <w:rPr>
          <w:w w:val="95"/>
        </w:rPr>
        <w:t>病</w:t>
      </w:r>
      <w:r>
        <w:rPr>
          <w:spacing w:val="-5"/>
          <w:w w:val="95"/>
        </w:rPr>
        <w:t>）:</w:t>
      </w:r>
    </w:p>
    <w:p>
      <w:pPr>
        <w:pStyle w:val="4"/>
        <w:spacing w:before="6"/>
        <w:rPr>
          <w:b/>
          <w:sz w:val="15"/>
        </w:rPr>
      </w:pPr>
    </w:p>
    <w:p>
      <w:pPr>
        <w:pStyle w:val="4"/>
        <w:spacing w:line="278" w:lineRule="auto"/>
        <w:ind w:left="2485" w:right="350"/>
      </w:pPr>
      <w:r>
        <w:rPr>
          <w:spacing w:val="-3"/>
          <w:w w:val="99"/>
        </w:rPr>
        <w:t>指一种常染色体隐性遗传的铜代谢缺陷病，以不同程度的肝细胞损害、脑退行性病</w:t>
      </w:r>
      <w:r>
        <w:rPr>
          <w:spacing w:val="-1"/>
          <w:w w:val="99"/>
        </w:rPr>
        <w:t>变和角膜边缘有铜盐沉着环为其临床特征，并须满足下列全部条件：</w:t>
      </w:r>
    </w:p>
    <w:p>
      <w:pPr>
        <w:pStyle w:val="9"/>
        <w:numPr>
          <w:ilvl w:val="0"/>
          <w:numId w:val="44"/>
        </w:numPr>
        <w:tabs>
          <w:tab w:val="left" w:pos="3205"/>
          <w:tab w:val="left" w:pos="3206"/>
        </w:tabs>
        <w:spacing w:before="156" w:after="0" w:line="240" w:lineRule="auto"/>
        <w:ind w:left="3205" w:right="0" w:hanging="721"/>
        <w:jc w:val="left"/>
        <w:rPr>
          <w:sz w:val="21"/>
        </w:rPr>
      </w:pPr>
      <w:r>
        <w:rPr>
          <w:spacing w:val="-2"/>
          <w:w w:val="95"/>
          <w:sz w:val="21"/>
        </w:rPr>
        <w:t>典型症状；</w:t>
      </w:r>
    </w:p>
    <w:p>
      <w:pPr>
        <w:pStyle w:val="4"/>
        <w:spacing w:before="7"/>
        <w:rPr>
          <w:sz w:val="15"/>
        </w:rPr>
      </w:pPr>
    </w:p>
    <w:p>
      <w:pPr>
        <w:pStyle w:val="9"/>
        <w:numPr>
          <w:ilvl w:val="0"/>
          <w:numId w:val="44"/>
        </w:numPr>
        <w:tabs>
          <w:tab w:val="left" w:pos="3205"/>
          <w:tab w:val="left" w:pos="3206"/>
        </w:tabs>
        <w:spacing w:before="0" w:after="0" w:line="240" w:lineRule="auto"/>
        <w:ind w:left="3205" w:right="0" w:hanging="721"/>
        <w:jc w:val="left"/>
        <w:rPr>
          <w:sz w:val="21"/>
        </w:rPr>
      </w:pPr>
      <w:r>
        <w:rPr>
          <w:w w:val="95"/>
          <w:sz w:val="21"/>
        </w:rPr>
        <w:t>角膜色素环（K-F</w:t>
      </w:r>
      <w:r>
        <w:rPr>
          <w:spacing w:val="24"/>
          <w:sz w:val="21"/>
        </w:rPr>
        <w:t xml:space="preserve"> </w:t>
      </w:r>
      <w:r>
        <w:rPr>
          <w:w w:val="95"/>
          <w:sz w:val="21"/>
        </w:rPr>
        <w:t>环</w:t>
      </w:r>
      <w:r>
        <w:rPr>
          <w:spacing w:val="-111"/>
          <w:w w:val="95"/>
          <w:sz w:val="21"/>
        </w:rPr>
        <w:t>）</w:t>
      </w:r>
      <w:r>
        <w:rPr>
          <w:spacing w:val="-5"/>
          <w:w w:val="95"/>
          <w:sz w:val="21"/>
        </w:rPr>
        <w:t>；</w:t>
      </w:r>
    </w:p>
    <w:p>
      <w:pPr>
        <w:spacing w:after="0" w:line="240" w:lineRule="auto"/>
        <w:jc w:val="left"/>
        <w:rPr>
          <w:sz w:val="21"/>
        </w:rPr>
        <w:sectPr>
          <w:pgSz w:w="11910" w:h="16840"/>
          <w:pgMar w:top="1400" w:right="660" w:bottom="860" w:left="860" w:header="0" w:footer="662" w:gutter="0"/>
          <w:cols w:space="720" w:num="1"/>
        </w:sectPr>
      </w:pPr>
    </w:p>
    <w:p>
      <w:pPr>
        <w:pStyle w:val="9"/>
        <w:numPr>
          <w:ilvl w:val="0"/>
          <w:numId w:val="44"/>
        </w:numPr>
        <w:tabs>
          <w:tab w:val="left" w:pos="3205"/>
          <w:tab w:val="left" w:pos="3206"/>
        </w:tabs>
        <w:spacing w:before="43" w:after="0" w:line="240" w:lineRule="auto"/>
        <w:ind w:left="3205" w:right="0" w:hanging="721"/>
        <w:jc w:val="left"/>
        <w:rPr>
          <w:sz w:val="21"/>
        </w:rPr>
      </w:pPr>
      <w:r>
        <w:rPr>
          <w:spacing w:val="-1"/>
          <w:w w:val="95"/>
          <w:sz w:val="21"/>
        </w:rPr>
        <w:t>血清铜和血清铜蛋白降低，尿铜增加；</w:t>
      </w:r>
    </w:p>
    <w:p>
      <w:pPr>
        <w:pStyle w:val="4"/>
        <w:spacing w:before="7"/>
        <w:rPr>
          <w:sz w:val="15"/>
        </w:rPr>
      </w:pPr>
    </w:p>
    <w:p>
      <w:pPr>
        <w:pStyle w:val="9"/>
        <w:numPr>
          <w:ilvl w:val="0"/>
          <w:numId w:val="44"/>
        </w:numPr>
        <w:tabs>
          <w:tab w:val="left" w:pos="3205"/>
          <w:tab w:val="left" w:pos="3206"/>
        </w:tabs>
        <w:spacing w:before="0" w:after="0" w:line="240" w:lineRule="auto"/>
        <w:ind w:left="3205" w:right="0" w:hanging="721"/>
        <w:jc w:val="left"/>
        <w:rPr>
          <w:sz w:val="21"/>
        </w:rPr>
      </w:pPr>
      <w:r>
        <w:rPr>
          <w:spacing w:val="-1"/>
          <w:w w:val="95"/>
          <w:sz w:val="21"/>
        </w:rPr>
        <w:t>经皮做肝脏活检来定量分析肝脏铜的含量。</w:t>
      </w:r>
    </w:p>
    <w:p>
      <w:pPr>
        <w:pStyle w:val="4"/>
        <w:spacing w:before="6"/>
        <w:rPr>
          <w:sz w:val="15"/>
        </w:rPr>
      </w:pPr>
    </w:p>
    <w:p>
      <w:pPr>
        <w:pStyle w:val="4"/>
        <w:spacing w:before="1" w:line="278" w:lineRule="auto"/>
        <w:ind w:left="2485" w:right="244"/>
      </w:pPr>
      <w:r>
        <w:rPr>
          <w:spacing w:val="-8"/>
          <w:w w:val="99"/>
        </w:rPr>
        <w:t>本项疾病责任不受合同责任免除中“遗传性疾病，先天性畸形、变形或染色体异常”</w:t>
      </w:r>
      <w:r>
        <w:rPr>
          <w:spacing w:val="-1"/>
          <w:w w:val="99"/>
        </w:rPr>
        <w:t>的限制。</w:t>
      </w:r>
    </w:p>
    <w:p>
      <w:pPr>
        <w:pStyle w:val="3"/>
        <w:numPr>
          <w:ilvl w:val="0"/>
          <w:numId w:val="14"/>
        </w:numPr>
        <w:tabs>
          <w:tab w:val="left" w:pos="3120"/>
        </w:tabs>
        <w:spacing w:before="155" w:after="0" w:line="240" w:lineRule="auto"/>
        <w:ind w:left="3119" w:right="0" w:hanging="635"/>
        <w:jc w:val="left"/>
      </w:pPr>
      <w:r>
        <w:rPr>
          <w:spacing w:val="-2"/>
          <w:w w:val="95"/>
        </w:rPr>
        <w:t>严重瑞氏综合症:</w:t>
      </w:r>
    </w:p>
    <w:p>
      <w:pPr>
        <w:pStyle w:val="4"/>
        <w:spacing w:before="7"/>
        <w:rPr>
          <w:b/>
          <w:sz w:val="15"/>
        </w:rPr>
      </w:pPr>
    </w:p>
    <w:p>
      <w:pPr>
        <w:pStyle w:val="4"/>
        <w:spacing w:line="278" w:lineRule="auto"/>
        <w:ind w:left="2485" w:right="347"/>
        <w:jc w:val="both"/>
      </w:pPr>
      <w:r>
        <w:rPr>
          <w:spacing w:val="-3"/>
          <w:w w:val="99"/>
        </w:rPr>
        <w:t>瑞氏综合症是线粒体功能障碍性疾病。导致脂肪代谢障碍，引起短链脂肪酸、血氨</w:t>
      </w:r>
      <w:r>
        <w:rPr>
          <w:spacing w:val="-2"/>
          <w:w w:val="99"/>
        </w:rPr>
        <w:t>升高，造成脑水肿。主要临床表现为急性发热、反复呕吐、惊厥及意识障碍等。肝脏活检是确诊的重要手段。瑞氏综合症需由本公司指定或认可的医疗机构的专科医</w:t>
      </w:r>
      <w:r>
        <w:rPr>
          <w:spacing w:val="-1"/>
          <w:w w:val="99"/>
        </w:rPr>
        <w:t>生确诊，并符合下列全部条件：</w:t>
      </w:r>
    </w:p>
    <w:p>
      <w:pPr>
        <w:pStyle w:val="9"/>
        <w:numPr>
          <w:ilvl w:val="0"/>
          <w:numId w:val="45"/>
        </w:numPr>
        <w:tabs>
          <w:tab w:val="left" w:pos="3206"/>
        </w:tabs>
        <w:spacing w:before="156" w:after="0" w:line="240" w:lineRule="auto"/>
        <w:ind w:left="3205" w:right="0" w:hanging="721"/>
        <w:jc w:val="both"/>
        <w:rPr>
          <w:sz w:val="21"/>
        </w:rPr>
      </w:pPr>
      <w:r>
        <w:rPr>
          <w:spacing w:val="-1"/>
          <w:w w:val="95"/>
          <w:sz w:val="21"/>
        </w:rPr>
        <w:t>有脑水肿和颅内压升高的脑脊液检查和影像学检查证据；</w:t>
      </w:r>
    </w:p>
    <w:p>
      <w:pPr>
        <w:pStyle w:val="4"/>
        <w:spacing w:before="6"/>
        <w:rPr>
          <w:sz w:val="15"/>
        </w:rPr>
      </w:pPr>
    </w:p>
    <w:p>
      <w:pPr>
        <w:pStyle w:val="9"/>
        <w:numPr>
          <w:ilvl w:val="0"/>
          <w:numId w:val="45"/>
        </w:numPr>
        <w:tabs>
          <w:tab w:val="left" w:pos="3206"/>
        </w:tabs>
        <w:spacing w:before="0" w:after="0" w:line="240" w:lineRule="auto"/>
        <w:ind w:left="3205" w:right="0" w:hanging="721"/>
        <w:jc w:val="both"/>
        <w:rPr>
          <w:sz w:val="21"/>
        </w:rPr>
      </w:pPr>
      <w:r>
        <w:rPr>
          <w:spacing w:val="-1"/>
          <w:w w:val="95"/>
          <w:sz w:val="21"/>
        </w:rPr>
        <w:t xml:space="preserve">血氨超过正常值的 </w:t>
      </w:r>
      <w:r>
        <w:rPr>
          <w:w w:val="95"/>
          <w:sz w:val="21"/>
        </w:rPr>
        <w:t>3</w:t>
      </w:r>
      <w:r>
        <w:rPr>
          <w:spacing w:val="-6"/>
          <w:w w:val="95"/>
          <w:sz w:val="21"/>
        </w:rPr>
        <w:t xml:space="preserve"> 倍；</w:t>
      </w:r>
    </w:p>
    <w:p>
      <w:pPr>
        <w:pStyle w:val="4"/>
        <w:spacing w:before="7"/>
        <w:rPr>
          <w:sz w:val="15"/>
        </w:rPr>
      </w:pPr>
    </w:p>
    <w:p>
      <w:pPr>
        <w:pStyle w:val="9"/>
        <w:numPr>
          <w:ilvl w:val="0"/>
          <w:numId w:val="45"/>
        </w:numPr>
        <w:tabs>
          <w:tab w:val="left" w:pos="3206"/>
        </w:tabs>
        <w:spacing w:before="0" w:after="0" w:line="240" w:lineRule="auto"/>
        <w:ind w:left="3205" w:right="0" w:hanging="721"/>
        <w:jc w:val="both"/>
        <w:rPr>
          <w:sz w:val="21"/>
        </w:rPr>
      </w:pPr>
      <w:r>
        <w:rPr>
          <w:spacing w:val="-1"/>
          <w:w w:val="95"/>
          <w:sz w:val="21"/>
        </w:rPr>
        <w:t>临床出现昏迷，病程至少达到疾病分期第Ⅲ期。</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脊髓小脑变性症:</w:t>
      </w:r>
    </w:p>
    <w:p>
      <w:pPr>
        <w:pStyle w:val="4"/>
        <w:spacing w:before="6"/>
        <w:rPr>
          <w:b/>
          <w:sz w:val="15"/>
        </w:rPr>
      </w:pPr>
    </w:p>
    <w:p>
      <w:pPr>
        <w:pStyle w:val="4"/>
        <w:spacing w:before="1" w:line="278" w:lineRule="auto"/>
        <w:ind w:left="2485" w:right="350"/>
      </w:pPr>
      <w:r>
        <w:rPr>
          <w:spacing w:val="-2"/>
          <w:w w:val="99"/>
        </w:rPr>
        <w:t>脊髓小脑变性症为一组以小脑萎缩和共济失调为主要临床特点的疾病。必须满足下</w:t>
      </w:r>
      <w:r>
        <w:rPr>
          <w:spacing w:val="-1"/>
          <w:w w:val="99"/>
        </w:rPr>
        <w:t>列全部条件：</w:t>
      </w:r>
    </w:p>
    <w:p>
      <w:pPr>
        <w:pStyle w:val="9"/>
        <w:numPr>
          <w:ilvl w:val="0"/>
          <w:numId w:val="46"/>
        </w:numPr>
        <w:tabs>
          <w:tab w:val="left" w:pos="3205"/>
          <w:tab w:val="left" w:pos="3206"/>
        </w:tabs>
        <w:spacing w:before="155" w:after="0" w:line="240" w:lineRule="auto"/>
        <w:ind w:left="3205" w:right="0" w:hanging="721"/>
        <w:jc w:val="left"/>
        <w:rPr>
          <w:sz w:val="21"/>
        </w:rPr>
      </w:pPr>
      <w:r>
        <w:rPr>
          <w:spacing w:val="-1"/>
          <w:w w:val="95"/>
          <w:sz w:val="21"/>
        </w:rPr>
        <w:t>脊髓小脑变性症必须由医院诊断，并有以下证据支持：</w:t>
      </w:r>
    </w:p>
    <w:p>
      <w:pPr>
        <w:pStyle w:val="4"/>
        <w:spacing w:before="7"/>
        <w:rPr>
          <w:sz w:val="15"/>
        </w:rPr>
      </w:pPr>
    </w:p>
    <w:p>
      <w:pPr>
        <w:pStyle w:val="9"/>
        <w:numPr>
          <w:ilvl w:val="1"/>
          <w:numId w:val="46"/>
        </w:numPr>
        <w:tabs>
          <w:tab w:val="left" w:pos="3626"/>
        </w:tabs>
        <w:spacing w:before="0" w:after="0" w:line="240" w:lineRule="auto"/>
        <w:ind w:left="3625" w:right="0" w:hanging="421"/>
        <w:jc w:val="left"/>
        <w:rPr>
          <w:sz w:val="21"/>
        </w:rPr>
      </w:pPr>
      <w:r>
        <w:rPr>
          <w:spacing w:val="-1"/>
          <w:w w:val="95"/>
          <w:sz w:val="21"/>
        </w:rPr>
        <w:t>影像学检查证实存在小脑萎缩；</w:t>
      </w:r>
    </w:p>
    <w:p>
      <w:pPr>
        <w:pStyle w:val="4"/>
        <w:spacing w:before="7"/>
        <w:rPr>
          <w:sz w:val="15"/>
        </w:rPr>
      </w:pPr>
    </w:p>
    <w:p>
      <w:pPr>
        <w:pStyle w:val="9"/>
        <w:numPr>
          <w:ilvl w:val="1"/>
          <w:numId w:val="46"/>
        </w:numPr>
        <w:tabs>
          <w:tab w:val="left" w:pos="3626"/>
        </w:tabs>
        <w:spacing w:before="0" w:after="0" w:line="240" w:lineRule="auto"/>
        <w:ind w:left="3625" w:right="0" w:hanging="421"/>
        <w:jc w:val="left"/>
        <w:rPr>
          <w:sz w:val="21"/>
        </w:rPr>
      </w:pPr>
      <w:r>
        <w:rPr>
          <w:spacing w:val="-1"/>
          <w:w w:val="95"/>
          <w:sz w:val="21"/>
        </w:rPr>
        <w:t>临床表现存在共济失调、语言障碍和肌张力异常。</w:t>
      </w:r>
    </w:p>
    <w:p>
      <w:pPr>
        <w:pStyle w:val="4"/>
        <w:spacing w:before="7"/>
        <w:rPr>
          <w:sz w:val="15"/>
        </w:rPr>
      </w:pPr>
    </w:p>
    <w:p>
      <w:pPr>
        <w:pStyle w:val="9"/>
        <w:numPr>
          <w:ilvl w:val="0"/>
          <w:numId w:val="46"/>
        </w:numPr>
        <w:tabs>
          <w:tab w:val="left" w:pos="3205"/>
          <w:tab w:val="left" w:pos="3206"/>
        </w:tabs>
        <w:spacing w:before="0" w:after="0" w:line="278" w:lineRule="auto"/>
        <w:ind w:left="3205" w:right="350" w:hanging="720"/>
        <w:jc w:val="left"/>
        <w:rPr>
          <w:sz w:val="21"/>
        </w:rPr>
      </w:pPr>
      <w:r>
        <w:rPr>
          <w:spacing w:val="-7"/>
          <w:w w:val="99"/>
          <w:sz w:val="21"/>
        </w:rPr>
        <w:t>被保险人运动功能严重障碍，自主生活能力完全丧失，无法独立完成六项基</w:t>
      </w:r>
      <w:r>
        <w:rPr>
          <w:spacing w:val="-1"/>
          <w:w w:val="99"/>
          <w:sz w:val="21"/>
        </w:rPr>
        <w:t>本日常生活活动中的三项或三项以上。</w:t>
      </w:r>
    </w:p>
    <w:p>
      <w:pPr>
        <w:pStyle w:val="3"/>
        <w:numPr>
          <w:ilvl w:val="0"/>
          <w:numId w:val="14"/>
        </w:numPr>
        <w:tabs>
          <w:tab w:val="left" w:pos="3120"/>
        </w:tabs>
        <w:spacing w:before="155" w:after="0" w:line="240" w:lineRule="auto"/>
        <w:ind w:left="3119" w:right="0" w:hanging="635"/>
        <w:jc w:val="left"/>
      </w:pPr>
      <w:r>
        <w:rPr>
          <w:spacing w:val="-3"/>
          <w:w w:val="95"/>
        </w:rPr>
        <w:t>脊柱裂:</w:t>
      </w:r>
    </w:p>
    <w:p>
      <w:pPr>
        <w:pStyle w:val="4"/>
        <w:spacing w:before="7"/>
        <w:rPr>
          <w:b/>
          <w:sz w:val="15"/>
        </w:rPr>
      </w:pPr>
    </w:p>
    <w:p>
      <w:pPr>
        <w:pStyle w:val="4"/>
        <w:spacing w:line="278" w:lineRule="auto"/>
        <w:ind w:left="2485" w:right="347"/>
      </w:pPr>
      <w:r>
        <w:rPr>
          <w:spacing w:val="-2"/>
          <w:w w:val="99"/>
        </w:rPr>
        <w:t>指脊椎或颅骨不完全闭合，导致脊髓脊膜突出，脑</w:t>
      </w:r>
      <w:r>
        <w:rPr>
          <w:spacing w:val="2"/>
          <w:w w:val="99"/>
        </w:rPr>
        <w:t>（</w:t>
      </w:r>
      <w:r>
        <w:rPr>
          <w:spacing w:val="-1"/>
          <w:w w:val="99"/>
        </w:rPr>
        <w:t>脊）</w:t>
      </w:r>
      <w:r>
        <w:rPr>
          <w:spacing w:val="-2"/>
          <w:w w:val="99"/>
        </w:rPr>
        <w:t>膜突出或脑膨出，并至少</w:t>
      </w:r>
      <w:r>
        <w:rPr>
          <w:spacing w:val="-1"/>
          <w:w w:val="99"/>
        </w:rPr>
        <w:t>合并下列异常中的一项：</w:t>
      </w:r>
    </w:p>
    <w:p>
      <w:pPr>
        <w:pStyle w:val="9"/>
        <w:numPr>
          <w:ilvl w:val="0"/>
          <w:numId w:val="47"/>
        </w:numPr>
        <w:tabs>
          <w:tab w:val="left" w:pos="3205"/>
          <w:tab w:val="left" w:pos="3206"/>
        </w:tabs>
        <w:spacing w:before="156" w:after="0" w:line="240" w:lineRule="auto"/>
        <w:ind w:left="3205" w:right="0" w:hanging="721"/>
        <w:jc w:val="left"/>
        <w:rPr>
          <w:sz w:val="21"/>
        </w:rPr>
      </w:pPr>
      <w:r>
        <w:rPr>
          <w:spacing w:val="-2"/>
          <w:w w:val="95"/>
          <w:sz w:val="21"/>
        </w:rPr>
        <w:t>大小便失禁；</w:t>
      </w:r>
    </w:p>
    <w:p>
      <w:pPr>
        <w:pStyle w:val="4"/>
        <w:spacing w:before="7"/>
        <w:rPr>
          <w:sz w:val="15"/>
        </w:rPr>
      </w:pPr>
    </w:p>
    <w:p>
      <w:pPr>
        <w:pStyle w:val="9"/>
        <w:numPr>
          <w:ilvl w:val="0"/>
          <w:numId w:val="47"/>
        </w:numPr>
        <w:tabs>
          <w:tab w:val="left" w:pos="3206"/>
        </w:tabs>
        <w:spacing w:before="0" w:after="0" w:line="240" w:lineRule="auto"/>
        <w:ind w:left="3205" w:right="0" w:hanging="721"/>
        <w:jc w:val="both"/>
        <w:rPr>
          <w:sz w:val="21"/>
        </w:rPr>
      </w:pPr>
      <w:r>
        <w:rPr>
          <w:spacing w:val="-1"/>
          <w:w w:val="95"/>
          <w:sz w:val="21"/>
        </w:rPr>
        <w:t>部分或完全性下肢瘫痪或畸形等神经学上的异常。</w:t>
      </w:r>
    </w:p>
    <w:p>
      <w:pPr>
        <w:pStyle w:val="4"/>
        <w:spacing w:before="6"/>
        <w:rPr>
          <w:sz w:val="15"/>
        </w:rPr>
      </w:pPr>
    </w:p>
    <w:p>
      <w:pPr>
        <w:pStyle w:val="4"/>
        <w:spacing w:line="278" w:lineRule="auto"/>
        <w:ind w:left="2485" w:right="244"/>
      </w:pPr>
      <w:r>
        <w:rPr>
          <w:spacing w:val="-1"/>
          <w:w w:val="99"/>
        </w:rPr>
        <w:t>但不包括由</w:t>
      </w:r>
      <w:r>
        <w:rPr>
          <w:spacing w:val="-53"/>
        </w:rPr>
        <w:t xml:space="preserve"> </w:t>
      </w:r>
      <w:r>
        <w:rPr>
          <w:w w:val="99"/>
        </w:rPr>
        <w:t>X</w:t>
      </w:r>
      <w:r>
        <w:rPr>
          <w:spacing w:val="-52"/>
        </w:rPr>
        <w:t xml:space="preserve"> </w:t>
      </w:r>
      <w:r>
        <w:rPr>
          <w:spacing w:val="-5"/>
          <w:w w:val="99"/>
        </w:rPr>
        <w:t>线摄片发现的没有合并脊椎脊膜突出或脑</w:t>
      </w:r>
      <w:r>
        <w:rPr>
          <w:spacing w:val="-1"/>
          <w:w w:val="99"/>
        </w:rPr>
        <w:t>（</w:t>
      </w:r>
      <w:r>
        <w:rPr>
          <w:spacing w:val="2"/>
          <w:w w:val="99"/>
        </w:rPr>
        <w:t>脊</w:t>
      </w:r>
      <w:r>
        <w:rPr>
          <w:spacing w:val="-58"/>
          <w:w w:val="99"/>
        </w:rPr>
        <w:t>）</w:t>
      </w:r>
      <w:r>
        <w:rPr>
          <w:spacing w:val="-1"/>
          <w:w w:val="99"/>
        </w:rPr>
        <w:t>膜突出的隐形脊椎裂。</w:t>
      </w:r>
      <w:r>
        <w:rPr>
          <w:spacing w:val="-3"/>
          <w:w w:val="99"/>
        </w:rPr>
        <w:t>本公司承担本项疾病责任不受本合同责任免除中“遗传性疾病，先天性畸形、变形</w:t>
      </w:r>
      <w:r>
        <w:rPr>
          <w:spacing w:val="-1"/>
          <w:w w:val="99"/>
        </w:rPr>
        <w:t>或染色体异常”的限制。</w:t>
      </w:r>
    </w:p>
    <w:p>
      <w:pPr>
        <w:pStyle w:val="3"/>
        <w:numPr>
          <w:ilvl w:val="0"/>
          <w:numId w:val="14"/>
        </w:numPr>
        <w:tabs>
          <w:tab w:val="left" w:pos="3120"/>
        </w:tabs>
        <w:spacing w:before="156" w:after="0" w:line="240" w:lineRule="auto"/>
        <w:ind w:left="3119" w:right="0" w:hanging="635"/>
        <w:jc w:val="left"/>
      </w:pPr>
      <w:r>
        <w:rPr>
          <w:spacing w:val="-3"/>
          <w:w w:val="95"/>
        </w:rPr>
        <w:t>疯牛病:</w:t>
      </w:r>
    </w:p>
    <w:p>
      <w:pPr>
        <w:pStyle w:val="4"/>
        <w:spacing w:before="7"/>
        <w:rPr>
          <w:b/>
          <w:sz w:val="15"/>
        </w:rPr>
      </w:pPr>
    </w:p>
    <w:p>
      <w:pPr>
        <w:pStyle w:val="4"/>
        <w:spacing w:line="278" w:lineRule="auto"/>
        <w:ind w:left="2485" w:right="347"/>
        <w:jc w:val="both"/>
      </w:pPr>
      <w:r>
        <w:rPr>
          <w:spacing w:val="-3"/>
          <w:w w:val="99"/>
        </w:rPr>
        <w:t>指一种传染性海绵状脑病，临床表现为快速进行性痴呆、肌阵挛和特征性脑电图变</w:t>
      </w:r>
      <w:r>
        <w:rPr>
          <w:spacing w:val="-1"/>
          <w:w w:val="99"/>
        </w:rPr>
        <w:t>化。本病须经三级医疗机构的专科医生根据</w:t>
      </w:r>
      <w:r>
        <w:rPr>
          <w:spacing w:val="-50"/>
        </w:rPr>
        <w:t xml:space="preserve"> </w:t>
      </w:r>
      <w:r>
        <w:rPr>
          <w:spacing w:val="1"/>
          <w:w w:val="99"/>
        </w:rPr>
        <w:t>WH</w:t>
      </w:r>
      <w:r>
        <w:rPr>
          <w:w w:val="99"/>
        </w:rPr>
        <w:t>O</w:t>
      </w:r>
      <w:r>
        <w:rPr>
          <w:spacing w:val="-54"/>
        </w:rPr>
        <w:t xml:space="preserve"> </w:t>
      </w:r>
      <w:r>
        <w:rPr>
          <w:spacing w:val="-2"/>
          <w:w w:val="99"/>
        </w:rPr>
        <w:t>诊断标准明确诊断，并且被保险人</w:t>
      </w:r>
      <w:r>
        <w:rPr>
          <w:spacing w:val="4"/>
          <w:w w:val="99"/>
        </w:rPr>
        <w:t>自主生活能力完全丧失，无法独立完成六项基本日常生活活动中的三项或三项以</w:t>
      </w:r>
      <w:r>
        <w:rPr>
          <w:spacing w:val="-1"/>
          <w:w w:val="99"/>
        </w:rPr>
        <w:t>上。</w:t>
      </w:r>
    </w:p>
    <w:p>
      <w:pPr>
        <w:spacing w:after="0" w:line="278" w:lineRule="auto"/>
        <w:jc w:val="both"/>
        <w:sectPr>
          <w:pgSz w:w="11910" w:h="16840"/>
          <w:pgMar w:top="1400" w:right="660" w:bottom="860" w:left="860" w:header="0" w:footer="662" w:gutter="0"/>
          <w:cols w:space="720" w:num="1"/>
        </w:sectPr>
      </w:pPr>
    </w:p>
    <w:p>
      <w:pPr>
        <w:pStyle w:val="4"/>
        <w:spacing w:before="43"/>
        <w:ind w:left="2485"/>
      </w:pPr>
      <w:r>
        <w:rPr>
          <w:color w:val="000000"/>
          <w:spacing w:val="-1"/>
          <w:w w:val="95"/>
          <w:shd w:val="clear" w:color="auto" w:fill="E4E4E4"/>
        </w:rPr>
        <w:t>疑似病例不在本保障范围。</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严重骨髓增生异常综合征:</w:t>
      </w:r>
    </w:p>
    <w:p>
      <w:pPr>
        <w:pStyle w:val="4"/>
        <w:spacing w:before="6"/>
        <w:rPr>
          <w:b/>
          <w:sz w:val="15"/>
        </w:rPr>
      </w:pPr>
    </w:p>
    <w:p>
      <w:pPr>
        <w:pStyle w:val="4"/>
        <w:spacing w:before="1" w:line="278" w:lineRule="auto"/>
        <w:ind w:left="2485" w:right="350"/>
      </w:pPr>
      <w:r>
        <w:rPr>
          <w:spacing w:val="-3"/>
          <w:w w:val="99"/>
        </w:rPr>
        <w:t>指起源于造血干细胞的一组异质性髓系克隆性疾病，特点是髓系细胞发育异常，表</w:t>
      </w:r>
      <w:r>
        <w:rPr>
          <w:spacing w:val="-1"/>
          <w:w w:val="99"/>
        </w:rPr>
        <w:t>现为无效造血、难治性血细胞减少，本合同需满足下列所有条件：</w:t>
      </w:r>
    </w:p>
    <w:p>
      <w:pPr>
        <w:pStyle w:val="9"/>
        <w:numPr>
          <w:ilvl w:val="0"/>
          <w:numId w:val="48"/>
        </w:numPr>
        <w:tabs>
          <w:tab w:val="left" w:pos="3205"/>
          <w:tab w:val="left" w:pos="3206"/>
        </w:tabs>
        <w:spacing w:before="155" w:after="0" w:line="278" w:lineRule="auto"/>
        <w:ind w:left="3205" w:right="350" w:hanging="720"/>
        <w:jc w:val="left"/>
        <w:rPr>
          <w:sz w:val="21"/>
        </w:rPr>
      </w:pPr>
      <w:r>
        <w:rPr>
          <w:spacing w:val="2"/>
          <w:w w:val="99"/>
          <w:sz w:val="21"/>
        </w:rPr>
        <w:t>由设有专门血液病专科的公立三级甲等医疗机构血液病专科的主治级别以</w:t>
      </w:r>
      <w:r>
        <w:rPr>
          <w:spacing w:val="-1"/>
          <w:w w:val="99"/>
          <w:sz w:val="21"/>
        </w:rPr>
        <w:t>上的医师确诊；</w:t>
      </w:r>
    </w:p>
    <w:p>
      <w:pPr>
        <w:pStyle w:val="9"/>
        <w:numPr>
          <w:ilvl w:val="0"/>
          <w:numId w:val="48"/>
        </w:numPr>
        <w:tabs>
          <w:tab w:val="left" w:pos="3205"/>
          <w:tab w:val="left" w:pos="3206"/>
        </w:tabs>
        <w:spacing w:before="156" w:after="0" w:line="240" w:lineRule="auto"/>
        <w:ind w:left="3205" w:right="0" w:hanging="721"/>
        <w:jc w:val="left"/>
        <w:rPr>
          <w:sz w:val="21"/>
        </w:rPr>
      </w:pPr>
      <w:r>
        <w:rPr>
          <w:w w:val="95"/>
          <w:sz w:val="21"/>
        </w:rPr>
        <w:t>骨髓涂片检查同时符合发育异常细胞比例＞10</w:t>
      </w:r>
      <w:r>
        <w:rPr>
          <w:spacing w:val="-1"/>
          <w:w w:val="95"/>
          <w:sz w:val="21"/>
        </w:rPr>
        <w:t>%、原始细胞比例＞</w:t>
      </w:r>
      <w:r>
        <w:rPr>
          <w:spacing w:val="-2"/>
          <w:w w:val="95"/>
          <w:sz w:val="21"/>
        </w:rPr>
        <w:t>15%；</w:t>
      </w:r>
    </w:p>
    <w:p>
      <w:pPr>
        <w:pStyle w:val="4"/>
        <w:spacing w:before="7"/>
        <w:rPr>
          <w:sz w:val="15"/>
        </w:rPr>
      </w:pPr>
    </w:p>
    <w:p>
      <w:pPr>
        <w:pStyle w:val="9"/>
        <w:numPr>
          <w:ilvl w:val="0"/>
          <w:numId w:val="48"/>
        </w:numPr>
        <w:tabs>
          <w:tab w:val="left" w:pos="3205"/>
          <w:tab w:val="left" w:pos="3206"/>
        </w:tabs>
        <w:spacing w:before="0" w:after="0" w:line="240" w:lineRule="auto"/>
        <w:ind w:left="3205" w:right="0" w:hanging="721"/>
        <w:jc w:val="left"/>
        <w:rPr>
          <w:sz w:val="21"/>
        </w:rPr>
      </w:pPr>
      <w:r>
        <w:rPr>
          <w:spacing w:val="-1"/>
          <w:w w:val="95"/>
          <w:sz w:val="21"/>
        </w:rPr>
        <w:t>已接受至少累计三十日的化疗或已接受骨髓移植治疗。</w:t>
      </w:r>
    </w:p>
    <w:p>
      <w:pPr>
        <w:pStyle w:val="4"/>
        <w:spacing w:before="6"/>
        <w:rPr>
          <w:sz w:val="15"/>
        </w:rPr>
      </w:pPr>
    </w:p>
    <w:p>
      <w:pPr>
        <w:pStyle w:val="4"/>
        <w:spacing w:before="1" w:line="278" w:lineRule="auto"/>
        <w:ind w:left="2485" w:right="1809"/>
      </w:pPr>
      <w:r>
        <w:rPr>
          <w:spacing w:val="-1"/>
          <w:w w:val="99"/>
        </w:rPr>
        <w:t>化疗日数的计算以被保险人实际服用、注射化疗药物的天数为准。</w:t>
      </w:r>
      <w:r>
        <w:rPr>
          <w:color w:val="000000"/>
          <w:spacing w:val="-1"/>
          <w:w w:val="99"/>
          <w:shd w:val="clear" w:color="auto" w:fill="E4E4E4"/>
        </w:rPr>
        <w:t>疑似病例不在保障范围内。</w:t>
      </w:r>
    </w:p>
    <w:p>
      <w:pPr>
        <w:pStyle w:val="3"/>
        <w:numPr>
          <w:ilvl w:val="0"/>
          <w:numId w:val="14"/>
        </w:numPr>
        <w:tabs>
          <w:tab w:val="left" w:pos="3120"/>
        </w:tabs>
        <w:spacing w:before="155" w:after="0" w:line="240" w:lineRule="auto"/>
        <w:ind w:left="3119" w:right="0" w:hanging="635"/>
        <w:jc w:val="left"/>
      </w:pPr>
      <w:r>
        <w:rPr>
          <w:spacing w:val="-1"/>
          <w:w w:val="95"/>
        </w:rPr>
        <w:t>严重的类风湿性关节炎:</w:t>
      </w:r>
    </w:p>
    <w:p>
      <w:pPr>
        <w:pStyle w:val="4"/>
        <w:spacing w:before="7"/>
        <w:rPr>
          <w:b/>
          <w:sz w:val="15"/>
        </w:rPr>
      </w:pPr>
    </w:p>
    <w:p>
      <w:pPr>
        <w:pStyle w:val="4"/>
        <w:spacing w:line="278" w:lineRule="auto"/>
        <w:ind w:left="2485" w:right="345"/>
        <w:jc w:val="both"/>
      </w:pPr>
      <w:r>
        <w:rPr>
          <w:spacing w:val="-3"/>
          <w:w w:val="99"/>
        </w:rPr>
        <w:t>类风湿性关节炎为广泛分布的慢性进行性多关节病变，表现为关节严重变形，侵犯</w:t>
      </w:r>
      <w:r>
        <w:rPr>
          <w:spacing w:val="-1"/>
          <w:w w:val="99"/>
        </w:rPr>
        <w:t>至少三个主要关节或关节组</w:t>
      </w:r>
      <w:r>
        <w:rPr>
          <w:spacing w:val="2"/>
          <w:w w:val="99"/>
        </w:rPr>
        <w:t>（</w:t>
      </w:r>
      <w:r>
        <w:rPr>
          <w:spacing w:val="-1"/>
          <w:w w:val="99"/>
        </w:rPr>
        <w:t>如：双手（</w:t>
      </w:r>
      <w:r>
        <w:rPr>
          <w:w w:val="99"/>
        </w:rPr>
        <w:t>多手指</w:t>
      </w:r>
      <w:r>
        <w:rPr>
          <w:spacing w:val="-1"/>
          <w:w w:val="99"/>
        </w:rPr>
        <w:t>）关节、双足（</w:t>
      </w:r>
      <w:r>
        <w:rPr>
          <w:w w:val="99"/>
        </w:rPr>
        <w:t>多足趾</w:t>
      </w:r>
      <w:r>
        <w:rPr>
          <w:spacing w:val="-1"/>
          <w:w w:val="99"/>
        </w:rPr>
        <w:t>）关节、双</w:t>
      </w:r>
      <w:r>
        <w:rPr>
          <w:spacing w:val="2"/>
          <w:w w:val="99"/>
        </w:rPr>
        <w:t>腕关节、双膝关节和双髋关节</w:t>
      </w:r>
      <w:r>
        <w:rPr>
          <w:spacing w:val="-101"/>
          <w:w w:val="99"/>
        </w:rPr>
        <w:t>）</w:t>
      </w:r>
      <w:r>
        <w:rPr>
          <w:spacing w:val="1"/>
          <w:w w:val="99"/>
        </w:rPr>
        <w:t>。类风湿性关节炎必须明确诊断并且已经达到类风</w:t>
      </w:r>
      <w:r>
        <w:rPr>
          <w:spacing w:val="-2"/>
          <w:w w:val="99"/>
        </w:rPr>
        <w:t>湿性关节炎功能分级Ⅲ级以上的功能障碍</w:t>
      </w:r>
      <w:r>
        <w:rPr>
          <w:spacing w:val="2"/>
          <w:w w:val="99"/>
        </w:rPr>
        <w:t>（</w:t>
      </w:r>
      <w:r>
        <w:rPr>
          <w:spacing w:val="-2"/>
          <w:w w:val="99"/>
        </w:rPr>
        <w:t>关节活动严重限制，不能完成大部分的</w:t>
      </w:r>
      <w:r>
        <w:rPr>
          <w:spacing w:val="-1"/>
          <w:w w:val="99"/>
        </w:rPr>
        <w:t>日常工作和活动</w:t>
      </w:r>
      <w:r>
        <w:rPr>
          <w:spacing w:val="2"/>
          <w:w w:val="99"/>
        </w:rPr>
        <w:t>）</w:t>
      </w:r>
      <w:r>
        <w:rPr>
          <w:spacing w:val="-1"/>
          <w:w w:val="99"/>
        </w:rPr>
        <w:t>并且满足下列全部条件：</w:t>
      </w:r>
    </w:p>
    <w:p>
      <w:pPr>
        <w:pStyle w:val="9"/>
        <w:numPr>
          <w:ilvl w:val="0"/>
          <w:numId w:val="49"/>
        </w:numPr>
        <w:tabs>
          <w:tab w:val="left" w:pos="3206"/>
        </w:tabs>
        <w:spacing w:before="156" w:after="0" w:line="240" w:lineRule="auto"/>
        <w:ind w:left="3205" w:right="0" w:hanging="721"/>
        <w:jc w:val="both"/>
        <w:rPr>
          <w:sz w:val="21"/>
        </w:rPr>
      </w:pPr>
      <w:r>
        <w:rPr>
          <w:spacing w:val="-4"/>
          <w:w w:val="95"/>
          <w:sz w:val="21"/>
        </w:rPr>
        <w:t>晨僵；</w:t>
      </w:r>
    </w:p>
    <w:p>
      <w:pPr>
        <w:pStyle w:val="4"/>
        <w:spacing w:before="6"/>
        <w:rPr>
          <w:sz w:val="15"/>
        </w:rPr>
      </w:pPr>
    </w:p>
    <w:p>
      <w:pPr>
        <w:pStyle w:val="9"/>
        <w:numPr>
          <w:ilvl w:val="0"/>
          <w:numId w:val="49"/>
        </w:numPr>
        <w:tabs>
          <w:tab w:val="left" w:pos="3206"/>
        </w:tabs>
        <w:spacing w:before="0" w:after="0" w:line="240" w:lineRule="auto"/>
        <w:ind w:left="3205" w:right="0" w:hanging="721"/>
        <w:jc w:val="both"/>
        <w:rPr>
          <w:sz w:val="21"/>
        </w:rPr>
      </w:pPr>
      <w:r>
        <w:rPr>
          <w:spacing w:val="-2"/>
          <w:w w:val="95"/>
          <w:sz w:val="21"/>
        </w:rPr>
        <w:t>对称性关节炎；</w:t>
      </w:r>
    </w:p>
    <w:p>
      <w:pPr>
        <w:pStyle w:val="4"/>
        <w:spacing w:before="7"/>
        <w:rPr>
          <w:sz w:val="15"/>
        </w:rPr>
      </w:pPr>
    </w:p>
    <w:p>
      <w:pPr>
        <w:pStyle w:val="9"/>
        <w:numPr>
          <w:ilvl w:val="0"/>
          <w:numId w:val="49"/>
        </w:numPr>
        <w:tabs>
          <w:tab w:val="left" w:pos="3205"/>
          <w:tab w:val="left" w:pos="3206"/>
        </w:tabs>
        <w:spacing w:before="0" w:after="0" w:line="240" w:lineRule="auto"/>
        <w:ind w:left="3205" w:right="0" w:hanging="721"/>
        <w:jc w:val="left"/>
        <w:rPr>
          <w:sz w:val="21"/>
        </w:rPr>
      </w:pPr>
      <w:r>
        <w:rPr>
          <w:spacing w:val="-2"/>
          <w:w w:val="95"/>
          <w:sz w:val="21"/>
        </w:rPr>
        <w:t>类风湿性皮下结节；</w:t>
      </w:r>
    </w:p>
    <w:p>
      <w:pPr>
        <w:pStyle w:val="4"/>
        <w:spacing w:before="7"/>
        <w:rPr>
          <w:sz w:val="15"/>
        </w:rPr>
      </w:pPr>
    </w:p>
    <w:p>
      <w:pPr>
        <w:pStyle w:val="9"/>
        <w:numPr>
          <w:ilvl w:val="0"/>
          <w:numId w:val="49"/>
        </w:numPr>
        <w:tabs>
          <w:tab w:val="left" w:pos="3205"/>
          <w:tab w:val="left" w:pos="3206"/>
        </w:tabs>
        <w:spacing w:before="0" w:after="0" w:line="240" w:lineRule="auto"/>
        <w:ind w:left="3205" w:right="0" w:hanging="721"/>
        <w:jc w:val="left"/>
        <w:rPr>
          <w:sz w:val="21"/>
        </w:rPr>
      </w:pPr>
      <w:r>
        <w:rPr>
          <w:spacing w:val="-1"/>
          <w:w w:val="95"/>
          <w:sz w:val="21"/>
        </w:rPr>
        <w:t>类风湿因子滴度升高；</w:t>
      </w:r>
    </w:p>
    <w:p>
      <w:pPr>
        <w:pStyle w:val="4"/>
        <w:spacing w:before="6"/>
        <w:rPr>
          <w:sz w:val="15"/>
        </w:rPr>
      </w:pPr>
    </w:p>
    <w:p>
      <w:pPr>
        <w:pStyle w:val="9"/>
        <w:numPr>
          <w:ilvl w:val="0"/>
          <w:numId w:val="49"/>
        </w:numPr>
        <w:tabs>
          <w:tab w:val="left" w:pos="3205"/>
          <w:tab w:val="left" w:pos="3206"/>
        </w:tabs>
        <w:spacing w:before="1" w:after="0" w:line="240" w:lineRule="auto"/>
        <w:ind w:left="3205" w:right="0" w:hanging="721"/>
        <w:jc w:val="left"/>
        <w:rPr>
          <w:sz w:val="21"/>
        </w:rPr>
      </w:pPr>
      <w:r>
        <w:rPr>
          <w:w w:val="95"/>
          <w:sz w:val="21"/>
        </w:rPr>
        <w:t>X</w:t>
      </w:r>
      <w:r>
        <w:rPr>
          <w:spacing w:val="16"/>
          <w:sz w:val="21"/>
        </w:rPr>
        <w:t xml:space="preserve">  </w:t>
      </w:r>
      <w:r>
        <w:rPr>
          <w:w w:val="95"/>
          <w:sz w:val="21"/>
        </w:rPr>
        <w:t>线显示严重的关节（软骨和骨）</w:t>
      </w:r>
      <w:r>
        <w:rPr>
          <w:spacing w:val="-2"/>
          <w:w w:val="95"/>
          <w:sz w:val="21"/>
        </w:rPr>
        <w:t>破坏和关节畸形。</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2"/>
          <w:w w:val="95"/>
        </w:rPr>
        <w:t>严重面部烧伤:</w:t>
      </w:r>
    </w:p>
    <w:p>
      <w:pPr>
        <w:pStyle w:val="4"/>
        <w:spacing w:before="7"/>
        <w:rPr>
          <w:b/>
          <w:sz w:val="15"/>
        </w:rPr>
      </w:pPr>
    </w:p>
    <w:p>
      <w:pPr>
        <w:pStyle w:val="4"/>
        <w:spacing w:line="278" w:lineRule="auto"/>
        <w:ind w:left="2485" w:right="350"/>
      </w:pPr>
      <w:r>
        <w:rPr>
          <w:w w:val="95"/>
        </w:rPr>
        <w:t>指面部烧伤程度为Ⅲ度，且Ⅲ度烧伤的面积达到面部表面积的</w:t>
      </w:r>
      <w:r>
        <w:rPr>
          <w:spacing w:val="28"/>
          <w:w w:val="150"/>
        </w:rPr>
        <w:t xml:space="preserve"> </w:t>
      </w:r>
      <w:r>
        <w:rPr>
          <w:w w:val="95"/>
        </w:rPr>
        <w:t>80%或者</w:t>
      </w:r>
      <w:r>
        <w:rPr>
          <w:spacing w:val="74"/>
        </w:rPr>
        <w:t xml:space="preserve"> </w:t>
      </w:r>
      <w:r>
        <w:rPr>
          <w:w w:val="95"/>
        </w:rPr>
        <w:t>80%以上，</w:t>
      </w:r>
      <w:r>
        <w:rPr>
          <w:spacing w:val="-2"/>
        </w:rPr>
        <w:t>体表面积根据《中国新九分法》计算。</w:t>
      </w:r>
    </w:p>
    <w:p>
      <w:pPr>
        <w:pStyle w:val="3"/>
        <w:numPr>
          <w:ilvl w:val="0"/>
          <w:numId w:val="14"/>
        </w:numPr>
        <w:tabs>
          <w:tab w:val="left" w:pos="3120"/>
        </w:tabs>
        <w:spacing w:before="156" w:after="0" w:line="240" w:lineRule="auto"/>
        <w:ind w:left="3119" w:right="0" w:hanging="635"/>
        <w:jc w:val="left"/>
      </w:pPr>
      <w:r>
        <w:rPr>
          <w:spacing w:val="-2"/>
          <w:w w:val="95"/>
        </w:rPr>
        <w:t>Ⅲ型成骨不全症:</w:t>
      </w:r>
    </w:p>
    <w:p>
      <w:pPr>
        <w:pStyle w:val="4"/>
        <w:spacing w:before="6"/>
        <w:rPr>
          <w:b/>
          <w:sz w:val="15"/>
        </w:rPr>
      </w:pPr>
    </w:p>
    <w:p>
      <w:pPr>
        <w:pStyle w:val="4"/>
        <w:spacing w:before="1" w:line="278" w:lineRule="auto"/>
        <w:ind w:left="2485" w:right="244"/>
      </w:pPr>
      <w:r>
        <w:rPr>
          <w:spacing w:val="-9"/>
          <w:w w:val="99"/>
        </w:rPr>
        <w:t>指一种胶原病，特征为骨易碎，骨质疏松和易骨折。主要临床特点包括：发展迟缓、</w:t>
      </w:r>
      <w:r>
        <w:rPr>
          <w:spacing w:val="-3"/>
          <w:w w:val="99"/>
        </w:rPr>
        <w:t>多发性骨折、进行性脊柱后侧凸及听力损害。该病种的检查必须依据身体检查，家</w:t>
      </w:r>
      <w:r>
        <w:rPr>
          <w:spacing w:val="2"/>
          <w:w w:val="99"/>
        </w:rPr>
        <w:t>族史，</w:t>
      </w:r>
      <w:r>
        <w:rPr>
          <w:w w:val="99"/>
        </w:rPr>
        <w:t>X</w:t>
      </w:r>
      <w:r>
        <w:rPr>
          <w:spacing w:val="-52"/>
        </w:rPr>
        <w:t xml:space="preserve"> </w:t>
      </w:r>
      <w:r>
        <w:rPr>
          <w:spacing w:val="1"/>
          <w:w w:val="99"/>
        </w:rPr>
        <w:t>线检查和皮肤活检报告资料确诊。成骨不全症第Ⅲ型须同时符合下列所有</w:t>
      </w:r>
      <w:r>
        <w:rPr>
          <w:w w:val="99"/>
        </w:rPr>
        <w:t>条件：</w:t>
      </w:r>
    </w:p>
    <w:p>
      <w:pPr>
        <w:pStyle w:val="9"/>
        <w:numPr>
          <w:ilvl w:val="0"/>
          <w:numId w:val="50"/>
        </w:numPr>
        <w:tabs>
          <w:tab w:val="left" w:pos="3205"/>
          <w:tab w:val="left" w:pos="3206"/>
        </w:tabs>
        <w:spacing w:before="155" w:after="0" w:line="240" w:lineRule="auto"/>
        <w:ind w:left="3205" w:right="0" w:hanging="721"/>
        <w:jc w:val="left"/>
        <w:rPr>
          <w:sz w:val="21"/>
        </w:rPr>
      </w:pPr>
      <w:r>
        <w:rPr>
          <w:spacing w:val="-1"/>
          <w:w w:val="95"/>
          <w:sz w:val="21"/>
        </w:rPr>
        <w:t>就成骨不全症第三型之诊断进行的皮肤切片的病理检查结果为阳性；</w:t>
      </w:r>
    </w:p>
    <w:p>
      <w:pPr>
        <w:pStyle w:val="4"/>
        <w:spacing w:before="7"/>
        <w:rPr>
          <w:sz w:val="15"/>
        </w:rPr>
      </w:pPr>
    </w:p>
    <w:p>
      <w:pPr>
        <w:pStyle w:val="9"/>
        <w:numPr>
          <w:ilvl w:val="0"/>
          <w:numId w:val="50"/>
        </w:numPr>
        <w:tabs>
          <w:tab w:val="left" w:pos="3205"/>
          <w:tab w:val="left" w:pos="3206"/>
        </w:tabs>
        <w:spacing w:before="0" w:after="0" w:line="240" w:lineRule="auto"/>
        <w:ind w:left="3205" w:right="0" w:hanging="721"/>
        <w:jc w:val="left"/>
        <w:rPr>
          <w:sz w:val="21"/>
        </w:rPr>
      </w:pPr>
      <w:r>
        <w:rPr>
          <w:w w:val="95"/>
          <w:sz w:val="21"/>
        </w:rPr>
        <w:t>X</w:t>
      </w:r>
      <w:r>
        <w:rPr>
          <w:spacing w:val="77"/>
          <w:w w:val="150"/>
          <w:sz w:val="21"/>
        </w:rPr>
        <w:t xml:space="preserve"> </w:t>
      </w:r>
      <w:r>
        <w:rPr>
          <w:spacing w:val="-1"/>
          <w:w w:val="95"/>
          <w:sz w:val="21"/>
        </w:rPr>
        <w:t>光片结果显示多处骨折及逐步脊柱后侧凸畸形；</w:t>
      </w:r>
    </w:p>
    <w:p>
      <w:pPr>
        <w:pStyle w:val="4"/>
        <w:spacing w:before="6"/>
        <w:rPr>
          <w:sz w:val="15"/>
        </w:rPr>
      </w:pPr>
    </w:p>
    <w:p>
      <w:pPr>
        <w:pStyle w:val="9"/>
        <w:numPr>
          <w:ilvl w:val="0"/>
          <w:numId w:val="50"/>
        </w:numPr>
        <w:tabs>
          <w:tab w:val="left" w:pos="3205"/>
          <w:tab w:val="left" w:pos="3206"/>
        </w:tabs>
        <w:spacing w:before="1" w:after="0" w:line="240" w:lineRule="auto"/>
        <w:ind w:left="3205" w:right="0" w:hanging="721"/>
        <w:jc w:val="left"/>
        <w:rPr>
          <w:sz w:val="21"/>
        </w:rPr>
      </w:pPr>
      <w:r>
        <w:rPr>
          <w:spacing w:val="-1"/>
          <w:w w:val="95"/>
          <w:sz w:val="21"/>
        </w:rPr>
        <w:t>有证明是因此疾病引致发育迟缓及听力损伤；</w:t>
      </w:r>
    </w:p>
    <w:p>
      <w:pPr>
        <w:pStyle w:val="4"/>
        <w:spacing w:before="6"/>
        <w:rPr>
          <w:sz w:val="15"/>
        </w:rPr>
      </w:pPr>
    </w:p>
    <w:p>
      <w:pPr>
        <w:pStyle w:val="9"/>
        <w:numPr>
          <w:ilvl w:val="0"/>
          <w:numId w:val="50"/>
        </w:numPr>
        <w:tabs>
          <w:tab w:val="left" w:pos="3205"/>
          <w:tab w:val="left" w:pos="3206"/>
        </w:tabs>
        <w:spacing w:before="0" w:after="0" w:line="240" w:lineRule="auto"/>
        <w:ind w:left="3205" w:right="0" w:hanging="721"/>
        <w:jc w:val="left"/>
        <w:rPr>
          <w:sz w:val="21"/>
        </w:rPr>
      </w:pPr>
      <w:r>
        <w:rPr>
          <w:spacing w:val="-1"/>
          <w:w w:val="95"/>
          <w:sz w:val="21"/>
        </w:rPr>
        <w:t>由本公司认可医院的儿科专科医生明确诊断。</w:t>
      </w:r>
    </w:p>
    <w:p>
      <w:pPr>
        <w:spacing w:after="0" w:line="240" w:lineRule="auto"/>
        <w:jc w:val="left"/>
        <w:rPr>
          <w:sz w:val="21"/>
        </w:rPr>
        <w:sectPr>
          <w:pgSz w:w="11910" w:h="16840"/>
          <w:pgMar w:top="1400" w:right="660" w:bottom="860" w:left="860" w:header="0" w:footer="662" w:gutter="0"/>
          <w:cols w:space="720" w:num="1"/>
        </w:sectPr>
      </w:pPr>
    </w:p>
    <w:p>
      <w:pPr>
        <w:pStyle w:val="4"/>
        <w:spacing w:before="43"/>
        <w:ind w:left="2485"/>
      </w:pPr>
      <w:r>
        <w:rPr>
          <w:color w:val="000000"/>
          <w:w w:val="95"/>
          <w:shd w:val="clear" w:color="auto" w:fill="E4E4E4"/>
        </w:rPr>
        <w:t>本公司仅对被保险人年满</w:t>
      </w:r>
      <w:r>
        <w:rPr>
          <w:color w:val="000000"/>
          <w:spacing w:val="65"/>
          <w:shd w:val="clear" w:color="auto" w:fill="E4E4E4"/>
        </w:rPr>
        <w:t xml:space="preserve"> </w:t>
      </w:r>
      <w:r>
        <w:rPr>
          <w:color w:val="000000"/>
          <w:w w:val="95"/>
          <w:shd w:val="clear" w:color="auto" w:fill="E4E4E4"/>
        </w:rPr>
        <w:t>18</w:t>
      </w:r>
      <w:r>
        <w:rPr>
          <w:color w:val="000000"/>
          <w:spacing w:val="68"/>
          <w:shd w:val="clear" w:color="auto" w:fill="E4E4E4"/>
        </w:rPr>
        <w:t xml:space="preserve"> </w:t>
      </w:r>
      <w:r>
        <w:rPr>
          <w:color w:val="000000"/>
          <w:spacing w:val="-1"/>
          <w:w w:val="95"/>
          <w:shd w:val="clear" w:color="auto" w:fill="E4E4E4"/>
        </w:rPr>
        <w:t>周岁前确诊本项疾病承担保险责任。</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严重幼年性类风湿性关节炎:</w:t>
      </w:r>
    </w:p>
    <w:p>
      <w:pPr>
        <w:pStyle w:val="4"/>
        <w:spacing w:before="6"/>
        <w:rPr>
          <w:b/>
          <w:sz w:val="15"/>
        </w:rPr>
      </w:pPr>
    </w:p>
    <w:p>
      <w:pPr>
        <w:pStyle w:val="4"/>
        <w:spacing w:before="1" w:line="278" w:lineRule="auto"/>
        <w:ind w:left="2485" w:right="347"/>
        <w:jc w:val="both"/>
      </w:pPr>
      <w:r>
        <w:rPr>
          <w:spacing w:val="-3"/>
          <w:w w:val="99"/>
        </w:rPr>
        <w:t>指一种少儿的结缔组织病，以慢性关节炎为其主要特点，并伴有全身多个系统的受</w:t>
      </w:r>
      <w:r>
        <w:rPr>
          <w:spacing w:val="-2"/>
          <w:w w:val="99"/>
        </w:rPr>
        <w:t>累，包括关节、肌肉、肝、脾、淋巴结等。本病须经专科医生明确诊断，同时须已</w:t>
      </w:r>
      <w:r>
        <w:rPr>
          <w:spacing w:val="-1"/>
          <w:w w:val="99"/>
        </w:rPr>
        <w:t>经实施膝关节或髋关节置换手术。</w:t>
      </w:r>
    </w:p>
    <w:p>
      <w:pPr>
        <w:pStyle w:val="3"/>
        <w:numPr>
          <w:ilvl w:val="0"/>
          <w:numId w:val="14"/>
        </w:numPr>
        <w:tabs>
          <w:tab w:val="left" w:pos="3120"/>
        </w:tabs>
        <w:spacing w:before="155" w:after="0" w:line="240" w:lineRule="auto"/>
        <w:ind w:left="3119" w:right="0" w:hanging="635"/>
        <w:jc w:val="left"/>
      </w:pPr>
      <w:r>
        <w:rPr>
          <w:spacing w:val="-1"/>
          <w:w w:val="95"/>
        </w:rPr>
        <w:t>重症急性坏死性筋膜炎:</w:t>
      </w:r>
    </w:p>
    <w:p>
      <w:pPr>
        <w:pStyle w:val="4"/>
        <w:spacing w:before="7"/>
        <w:rPr>
          <w:b/>
          <w:sz w:val="15"/>
        </w:rPr>
      </w:pPr>
    </w:p>
    <w:p>
      <w:pPr>
        <w:pStyle w:val="4"/>
        <w:spacing w:line="278" w:lineRule="auto"/>
        <w:ind w:left="2485" w:right="338"/>
      </w:pPr>
      <w:r>
        <w:rPr>
          <w:spacing w:val="-1"/>
          <w:w w:val="99"/>
        </w:rPr>
        <w:t>指一种由细菌侵入皮下组织和筋膜引起的急性坏死性软组织感染，可伴有毒血症、败血症、中毒性休克、弥漫性血管内凝血及多器官衰竭。必须满足以下所有条件：</w:t>
      </w:r>
    </w:p>
    <w:p>
      <w:pPr>
        <w:pStyle w:val="9"/>
        <w:numPr>
          <w:ilvl w:val="0"/>
          <w:numId w:val="51"/>
        </w:numPr>
        <w:tabs>
          <w:tab w:val="left" w:pos="3205"/>
          <w:tab w:val="left" w:pos="3206"/>
        </w:tabs>
        <w:spacing w:before="156" w:after="0" w:line="240" w:lineRule="auto"/>
        <w:ind w:left="3205" w:right="0" w:hanging="721"/>
        <w:jc w:val="left"/>
        <w:rPr>
          <w:sz w:val="21"/>
        </w:rPr>
      </w:pPr>
      <w:r>
        <w:rPr>
          <w:spacing w:val="-1"/>
          <w:w w:val="95"/>
          <w:sz w:val="21"/>
        </w:rPr>
        <w:t>细菌培养和临床表现符合坏死性筋膜炎诊断标准；</w:t>
      </w:r>
    </w:p>
    <w:p>
      <w:pPr>
        <w:pStyle w:val="4"/>
        <w:spacing w:before="6"/>
        <w:rPr>
          <w:sz w:val="15"/>
        </w:rPr>
      </w:pPr>
    </w:p>
    <w:p>
      <w:pPr>
        <w:pStyle w:val="9"/>
        <w:numPr>
          <w:ilvl w:val="0"/>
          <w:numId w:val="51"/>
        </w:numPr>
        <w:tabs>
          <w:tab w:val="left" w:pos="3205"/>
          <w:tab w:val="left" w:pos="3206"/>
        </w:tabs>
        <w:spacing w:before="1" w:after="0" w:line="240" w:lineRule="auto"/>
        <w:ind w:left="3205" w:right="0" w:hanging="721"/>
        <w:jc w:val="left"/>
        <w:rPr>
          <w:sz w:val="21"/>
        </w:rPr>
      </w:pPr>
      <w:r>
        <w:rPr>
          <w:spacing w:val="-1"/>
          <w:w w:val="95"/>
          <w:sz w:val="21"/>
        </w:rPr>
        <w:t>病情迅速恶化，有脓毒血症表现；</w:t>
      </w:r>
    </w:p>
    <w:p>
      <w:pPr>
        <w:pStyle w:val="4"/>
        <w:spacing w:before="6"/>
        <w:rPr>
          <w:sz w:val="15"/>
        </w:rPr>
      </w:pPr>
    </w:p>
    <w:p>
      <w:pPr>
        <w:pStyle w:val="9"/>
        <w:numPr>
          <w:ilvl w:val="0"/>
          <w:numId w:val="51"/>
        </w:numPr>
        <w:tabs>
          <w:tab w:val="left" w:pos="3205"/>
          <w:tab w:val="left" w:pos="3206"/>
        </w:tabs>
        <w:spacing w:before="0" w:after="0" w:line="240" w:lineRule="auto"/>
        <w:ind w:left="3205" w:right="0" w:hanging="721"/>
        <w:jc w:val="left"/>
        <w:rPr>
          <w:sz w:val="21"/>
        </w:rPr>
      </w:pPr>
      <w:r>
        <w:rPr>
          <w:w w:val="95"/>
          <w:sz w:val="21"/>
        </w:rPr>
        <w:t>受感染肢体被截肢（自腕关节或踝关节近端</w:t>
      </w:r>
      <w:r>
        <w:rPr>
          <w:spacing w:val="-106"/>
          <w:w w:val="95"/>
          <w:sz w:val="21"/>
        </w:rPr>
        <w:t>）</w:t>
      </w:r>
      <w:r>
        <w:rPr>
          <w:spacing w:val="-10"/>
          <w:w w:val="95"/>
          <w:sz w:val="21"/>
        </w:rPr>
        <w:t>。</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肾上腺脑白质营养不良:</w:t>
      </w:r>
    </w:p>
    <w:p>
      <w:pPr>
        <w:pStyle w:val="4"/>
        <w:spacing w:before="7"/>
        <w:rPr>
          <w:b/>
          <w:sz w:val="15"/>
        </w:rPr>
      </w:pPr>
    </w:p>
    <w:p>
      <w:pPr>
        <w:pStyle w:val="4"/>
        <w:spacing w:line="278" w:lineRule="auto"/>
        <w:ind w:left="2485" w:right="350"/>
        <w:jc w:val="both"/>
      </w:pPr>
      <w:r>
        <w:rPr>
          <w:spacing w:val="-3"/>
          <w:w w:val="99"/>
        </w:rPr>
        <w:t>指一种最常见的过氧化物酶体病，主要累及肾上腺和脑白质，主要表现为进行性的精神运动障碍，视力及听力下降或肾上腺皮质功能低下等。须由专科医生诊断，且</w:t>
      </w:r>
      <w:r>
        <w:rPr>
          <w:spacing w:val="-2"/>
          <w:w w:val="99"/>
        </w:rPr>
        <w:t>已经造成自主生活能力完全丧失，无法独立完成六项基本日常生活活动中的三项或</w:t>
      </w:r>
      <w:r>
        <w:rPr>
          <w:spacing w:val="-1"/>
          <w:w w:val="99"/>
        </w:rPr>
        <w:t>三项以上，持续至少</w:t>
      </w:r>
      <w:r>
        <w:rPr>
          <w:spacing w:val="-53"/>
        </w:rPr>
        <w:t xml:space="preserve"> </w:t>
      </w:r>
      <w:r>
        <w:rPr>
          <w:spacing w:val="1"/>
          <w:w w:val="99"/>
        </w:rPr>
        <w:t>18</w:t>
      </w:r>
      <w:r>
        <w:rPr>
          <w:w w:val="99"/>
        </w:rPr>
        <w:t>0</w:t>
      </w:r>
      <w:r>
        <w:rPr>
          <w:spacing w:val="-52"/>
        </w:rPr>
        <w:t xml:space="preserve"> </w:t>
      </w:r>
      <w:r>
        <w:rPr>
          <w:spacing w:val="-1"/>
          <w:w w:val="99"/>
        </w:rPr>
        <w:t>天。</w:t>
      </w:r>
    </w:p>
    <w:p>
      <w:pPr>
        <w:pStyle w:val="3"/>
        <w:numPr>
          <w:ilvl w:val="0"/>
          <w:numId w:val="14"/>
        </w:numPr>
        <w:tabs>
          <w:tab w:val="left" w:pos="3120"/>
        </w:tabs>
        <w:spacing w:before="155" w:after="0" w:line="240" w:lineRule="auto"/>
        <w:ind w:left="3119" w:right="0" w:hanging="635"/>
        <w:jc w:val="left"/>
      </w:pPr>
      <w:r>
        <w:rPr>
          <w:spacing w:val="-2"/>
          <w:w w:val="95"/>
        </w:rPr>
        <w:t>室壁瘤切除术:</w:t>
      </w:r>
    </w:p>
    <w:p>
      <w:pPr>
        <w:pStyle w:val="4"/>
        <w:spacing w:before="7"/>
        <w:rPr>
          <w:b/>
          <w:sz w:val="15"/>
        </w:rPr>
      </w:pPr>
    </w:p>
    <w:p>
      <w:pPr>
        <w:pStyle w:val="4"/>
        <w:spacing w:line="278" w:lineRule="auto"/>
        <w:ind w:left="2485" w:right="338"/>
      </w:pPr>
      <w:r>
        <w:rPr>
          <w:spacing w:val="-1"/>
          <w:w w:val="99"/>
        </w:rPr>
        <w:t>指被明确诊断为左室室壁瘤，并实际接受了开胸开心进行的室壁瘤切除手术治疗。</w:t>
      </w:r>
      <w:r>
        <w:rPr>
          <w:color w:val="000000"/>
          <w:spacing w:val="-1"/>
          <w:w w:val="99"/>
          <w:shd w:val="clear" w:color="auto" w:fill="E4E4E4"/>
        </w:rPr>
        <w:t>经导管心室内成型手术治疗不在保障范围内。</w:t>
      </w:r>
    </w:p>
    <w:p>
      <w:pPr>
        <w:pStyle w:val="3"/>
        <w:numPr>
          <w:ilvl w:val="0"/>
          <w:numId w:val="14"/>
        </w:numPr>
        <w:tabs>
          <w:tab w:val="left" w:pos="3120"/>
        </w:tabs>
        <w:spacing w:before="156" w:after="0" w:line="240" w:lineRule="auto"/>
        <w:ind w:left="3119" w:right="0" w:hanging="635"/>
        <w:jc w:val="left"/>
      </w:pPr>
      <w:r>
        <w:rPr>
          <w:spacing w:val="-2"/>
          <w:w w:val="95"/>
        </w:rPr>
        <w:t>延髓空洞症:</w:t>
      </w:r>
    </w:p>
    <w:p>
      <w:pPr>
        <w:pStyle w:val="4"/>
        <w:spacing w:before="6"/>
        <w:rPr>
          <w:b/>
          <w:sz w:val="15"/>
        </w:rPr>
      </w:pPr>
    </w:p>
    <w:p>
      <w:pPr>
        <w:pStyle w:val="4"/>
        <w:spacing w:before="1" w:line="278" w:lineRule="auto"/>
        <w:ind w:left="2485" w:right="347"/>
        <w:jc w:val="both"/>
      </w:pPr>
      <w:r>
        <w:rPr>
          <w:spacing w:val="-3"/>
          <w:w w:val="99"/>
        </w:rPr>
        <w:t>脊髓空洞症指一种慢性、进行性的脊髓变性性疾病，其特征为脊髓内空洞形成，临床表现为感觉异常、肌萎缩及神经营养障碍。累及延髓的脊髓空洞症称为延髓空洞症，表现为延髓麻痹。延髓空洞症须经本公司认可的医院的专科医生明确诊断，并</w:t>
      </w:r>
      <w:r>
        <w:rPr>
          <w:spacing w:val="-1"/>
          <w:w w:val="99"/>
        </w:rPr>
        <w:t>须导致神经系统功能的永久性损害且存在持续至少</w:t>
      </w:r>
      <w:r>
        <w:rPr>
          <w:spacing w:val="-53"/>
        </w:rPr>
        <w:t xml:space="preserve"> </w:t>
      </w:r>
      <w:r>
        <w:rPr>
          <w:spacing w:val="1"/>
          <w:w w:val="99"/>
        </w:rPr>
        <w:t>18</w:t>
      </w:r>
      <w:r>
        <w:rPr>
          <w:w w:val="99"/>
        </w:rPr>
        <w:t>0</w:t>
      </w:r>
      <w:r>
        <w:rPr>
          <w:spacing w:val="-54"/>
        </w:rPr>
        <w:t xml:space="preserve"> </w:t>
      </w:r>
      <w:r>
        <w:rPr>
          <w:spacing w:val="-2"/>
          <w:w w:val="99"/>
        </w:rPr>
        <w:t>日的神经系统功能缺失。须</w:t>
      </w:r>
      <w:r>
        <w:rPr>
          <w:spacing w:val="-1"/>
          <w:w w:val="99"/>
        </w:rPr>
        <w:t>满足下列至少一项条件：</w:t>
      </w:r>
    </w:p>
    <w:p>
      <w:pPr>
        <w:pStyle w:val="9"/>
        <w:numPr>
          <w:ilvl w:val="0"/>
          <w:numId w:val="52"/>
        </w:numPr>
        <w:tabs>
          <w:tab w:val="left" w:pos="3206"/>
        </w:tabs>
        <w:spacing w:before="155" w:after="0" w:line="240" w:lineRule="auto"/>
        <w:ind w:left="3205" w:right="0" w:hanging="721"/>
        <w:jc w:val="both"/>
        <w:rPr>
          <w:sz w:val="21"/>
        </w:rPr>
      </w:pPr>
      <w:r>
        <w:rPr>
          <w:spacing w:val="-1"/>
          <w:w w:val="95"/>
          <w:sz w:val="21"/>
        </w:rPr>
        <w:t>延髓麻痹呈显著舌肌萎缩、构音困难和吞咽困难；</w:t>
      </w:r>
    </w:p>
    <w:p>
      <w:pPr>
        <w:pStyle w:val="4"/>
        <w:spacing w:before="7"/>
        <w:rPr>
          <w:sz w:val="15"/>
        </w:rPr>
      </w:pPr>
    </w:p>
    <w:p>
      <w:pPr>
        <w:pStyle w:val="9"/>
        <w:numPr>
          <w:ilvl w:val="0"/>
          <w:numId w:val="52"/>
        </w:numPr>
        <w:tabs>
          <w:tab w:val="left" w:pos="3206"/>
        </w:tabs>
        <w:spacing w:before="0" w:after="0" w:line="240" w:lineRule="auto"/>
        <w:ind w:left="3205" w:right="0" w:hanging="721"/>
        <w:jc w:val="both"/>
        <w:rPr>
          <w:sz w:val="21"/>
        </w:rPr>
      </w:pPr>
      <w:r>
        <w:rPr>
          <w:spacing w:val="-11"/>
          <w:w w:val="95"/>
          <w:sz w:val="21"/>
        </w:rPr>
        <w:t>双手萎缩呈“爪形手”，肌力</w:t>
      </w:r>
      <w:r>
        <w:rPr>
          <w:spacing w:val="31"/>
          <w:sz w:val="21"/>
        </w:rPr>
        <w:t xml:space="preserve"> </w:t>
      </w:r>
      <w:r>
        <w:rPr>
          <w:w w:val="95"/>
          <w:sz w:val="21"/>
        </w:rPr>
        <w:t>2</w:t>
      </w:r>
      <w:r>
        <w:rPr>
          <w:spacing w:val="22"/>
          <w:sz w:val="21"/>
        </w:rPr>
        <w:t xml:space="preserve"> </w:t>
      </w:r>
      <w:r>
        <w:rPr>
          <w:spacing w:val="-2"/>
          <w:w w:val="95"/>
          <w:sz w:val="21"/>
        </w:rPr>
        <w:t>级或以下。</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spacing w:val="-2"/>
          <w:w w:val="95"/>
        </w:rPr>
        <w:t>严重巨细胞动脉炎:</w:t>
      </w:r>
    </w:p>
    <w:p>
      <w:pPr>
        <w:pStyle w:val="4"/>
        <w:spacing w:before="6"/>
        <w:rPr>
          <w:b/>
          <w:sz w:val="15"/>
        </w:rPr>
      </w:pPr>
    </w:p>
    <w:p>
      <w:pPr>
        <w:pStyle w:val="4"/>
        <w:spacing w:line="278" w:lineRule="auto"/>
        <w:ind w:left="2485" w:right="244"/>
      </w:pPr>
      <w:r>
        <w:rPr>
          <w:spacing w:val="-8"/>
          <w:w w:val="99"/>
        </w:rPr>
        <w:t>巨细胞动脉炎又称颅动脉炎、颞动脉炎、肉芽肿性动脉炎，须由专科医生明确诊断，</w:t>
      </w:r>
      <w:r>
        <w:rPr>
          <w:spacing w:val="-2"/>
          <w:w w:val="99"/>
        </w:rPr>
        <w:t>并造成永久不可逆性的单个肢体功能障碍或单眼失明。单眼失明指单眼视力永久不</w:t>
      </w:r>
      <w:r>
        <w:rPr>
          <w:spacing w:val="-1"/>
          <w:w w:val="99"/>
        </w:rPr>
        <w:t>可逆性丧失，患眼须满足下列至少一项条件：</w:t>
      </w:r>
    </w:p>
    <w:p>
      <w:pPr>
        <w:pStyle w:val="9"/>
        <w:numPr>
          <w:ilvl w:val="0"/>
          <w:numId w:val="53"/>
        </w:numPr>
        <w:tabs>
          <w:tab w:val="left" w:pos="3205"/>
          <w:tab w:val="left" w:pos="3206"/>
        </w:tabs>
        <w:spacing w:before="156" w:after="0" w:line="240" w:lineRule="auto"/>
        <w:ind w:left="3205" w:right="0" w:hanging="721"/>
        <w:jc w:val="left"/>
        <w:rPr>
          <w:sz w:val="21"/>
        </w:rPr>
      </w:pPr>
      <w:r>
        <w:rPr>
          <w:spacing w:val="-2"/>
          <w:w w:val="95"/>
          <w:sz w:val="21"/>
        </w:rPr>
        <w:t>眼球缺失或者摘除；</w:t>
      </w:r>
    </w:p>
    <w:p>
      <w:pPr>
        <w:pStyle w:val="4"/>
        <w:spacing w:before="7"/>
        <w:rPr>
          <w:sz w:val="15"/>
        </w:rPr>
      </w:pPr>
    </w:p>
    <w:p>
      <w:pPr>
        <w:pStyle w:val="9"/>
        <w:numPr>
          <w:ilvl w:val="0"/>
          <w:numId w:val="53"/>
        </w:numPr>
        <w:tabs>
          <w:tab w:val="left" w:pos="3205"/>
          <w:tab w:val="left" w:pos="3206"/>
        </w:tabs>
        <w:spacing w:before="0" w:after="0" w:line="278" w:lineRule="auto"/>
        <w:ind w:left="3205" w:right="350" w:hanging="720"/>
        <w:jc w:val="left"/>
        <w:rPr>
          <w:sz w:val="21"/>
        </w:rPr>
      </w:pPr>
      <w:r>
        <w:rPr>
          <w:spacing w:val="1"/>
          <w:w w:val="99"/>
          <w:sz w:val="21"/>
        </w:rPr>
        <w:t>矫正视力低于</w:t>
      </w:r>
      <w:r>
        <w:rPr>
          <w:spacing w:val="-50"/>
          <w:sz w:val="21"/>
        </w:rPr>
        <w:t xml:space="preserve"> </w:t>
      </w:r>
      <w:r>
        <w:rPr>
          <w:spacing w:val="1"/>
          <w:w w:val="99"/>
          <w:sz w:val="21"/>
        </w:rPr>
        <w:t>0.02</w:t>
      </w:r>
      <w:r>
        <w:rPr>
          <w:spacing w:val="2"/>
          <w:w w:val="99"/>
          <w:sz w:val="21"/>
        </w:rPr>
        <w:t>（</w:t>
      </w:r>
      <w:r>
        <w:rPr>
          <w:spacing w:val="1"/>
          <w:w w:val="99"/>
          <w:sz w:val="21"/>
        </w:rPr>
        <w:t>采用国际标准视力表，如果使用其它视力表应进行换</w:t>
      </w:r>
      <w:r>
        <w:rPr>
          <w:spacing w:val="2"/>
          <w:w w:val="99"/>
          <w:sz w:val="21"/>
        </w:rPr>
        <w:t>算</w:t>
      </w:r>
      <w:r>
        <w:rPr>
          <w:spacing w:val="-106"/>
          <w:w w:val="99"/>
          <w:sz w:val="21"/>
        </w:rPr>
        <w:t>）</w:t>
      </w:r>
      <w:r>
        <w:rPr>
          <w:w w:val="99"/>
          <w:sz w:val="21"/>
        </w:rPr>
        <w:t>；</w:t>
      </w:r>
    </w:p>
    <w:p>
      <w:pPr>
        <w:spacing w:after="0" w:line="278" w:lineRule="auto"/>
        <w:jc w:val="left"/>
        <w:rPr>
          <w:sz w:val="21"/>
        </w:rPr>
        <w:sectPr>
          <w:pgSz w:w="11910" w:h="16840"/>
          <w:pgMar w:top="1400" w:right="660" w:bottom="860" w:left="860" w:header="0" w:footer="662" w:gutter="0"/>
          <w:cols w:space="720" w:num="1"/>
        </w:sectPr>
      </w:pPr>
    </w:p>
    <w:p>
      <w:pPr>
        <w:pStyle w:val="9"/>
        <w:numPr>
          <w:ilvl w:val="0"/>
          <w:numId w:val="53"/>
        </w:numPr>
        <w:tabs>
          <w:tab w:val="left" w:pos="3206"/>
        </w:tabs>
        <w:spacing w:before="43" w:after="0" w:line="240" w:lineRule="auto"/>
        <w:ind w:left="3205" w:right="0" w:hanging="721"/>
        <w:jc w:val="both"/>
        <w:rPr>
          <w:sz w:val="21"/>
        </w:rPr>
      </w:pPr>
      <w:r>
        <w:rPr>
          <w:spacing w:val="-2"/>
          <w:w w:val="95"/>
          <w:sz w:val="21"/>
        </w:rPr>
        <w:t xml:space="preserve">视野半径小于 </w:t>
      </w:r>
      <w:r>
        <w:rPr>
          <w:w w:val="95"/>
          <w:sz w:val="21"/>
        </w:rPr>
        <w:t>5</w:t>
      </w:r>
      <w:r>
        <w:rPr>
          <w:spacing w:val="-9"/>
          <w:w w:val="95"/>
          <w:sz w:val="21"/>
        </w:rPr>
        <w:t xml:space="preserve"> 度。</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心脏粘液瘤切除术:</w:t>
      </w:r>
    </w:p>
    <w:p>
      <w:pPr>
        <w:pStyle w:val="4"/>
        <w:spacing w:before="6"/>
        <w:rPr>
          <w:b/>
          <w:sz w:val="15"/>
        </w:rPr>
      </w:pPr>
    </w:p>
    <w:p>
      <w:pPr>
        <w:pStyle w:val="4"/>
        <w:spacing w:before="1" w:line="278" w:lineRule="auto"/>
        <w:ind w:left="2485" w:right="1600"/>
      </w:pPr>
      <w:r>
        <w:rPr>
          <w:spacing w:val="-1"/>
          <w:w w:val="99"/>
        </w:rPr>
        <w:t>指为了治疗心脏粘液瘤，实际实施了开胸开心心脏粘液瘤切除手术。</w:t>
      </w:r>
      <w:r>
        <w:rPr>
          <w:color w:val="000000"/>
          <w:spacing w:val="-1"/>
          <w:w w:val="99"/>
          <w:shd w:val="clear" w:color="auto" w:fill="E4E4E4"/>
        </w:rPr>
        <w:t>经导管介入手术治疗不在保障范围内。</w:t>
      </w:r>
    </w:p>
    <w:p>
      <w:pPr>
        <w:pStyle w:val="3"/>
        <w:numPr>
          <w:ilvl w:val="0"/>
          <w:numId w:val="14"/>
        </w:numPr>
        <w:tabs>
          <w:tab w:val="left" w:pos="3120"/>
        </w:tabs>
        <w:spacing w:before="155" w:after="0" w:line="240" w:lineRule="auto"/>
        <w:ind w:left="3119" w:right="0" w:hanging="635"/>
        <w:jc w:val="left"/>
      </w:pPr>
      <w:r>
        <w:rPr>
          <w:spacing w:val="-2"/>
          <w:w w:val="95"/>
        </w:rPr>
        <w:t>神经白塞病:</w:t>
      </w:r>
    </w:p>
    <w:p>
      <w:pPr>
        <w:pStyle w:val="4"/>
        <w:spacing w:before="7"/>
        <w:rPr>
          <w:b/>
          <w:sz w:val="15"/>
        </w:rPr>
      </w:pPr>
    </w:p>
    <w:p>
      <w:pPr>
        <w:pStyle w:val="4"/>
        <w:spacing w:line="278" w:lineRule="auto"/>
        <w:ind w:left="2485" w:right="347"/>
        <w:jc w:val="both"/>
      </w:pPr>
      <w:r>
        <w:rPr>
          <w:spacing w:val="-3"/>
          <w:w w:val="99"/>
        </w:rPr>
        <w:t>白塞病是一种慢性全身性血管炎症性疾病，主要表现为复发性口腔溃疡、生殖器溃</w:t>
      </w:r>
      <w:r>
        <w:rPr>
          <w:spacing w:val="-2"/>
          <w:w w:val="99"/>
        </w:rPr>
        <w:t>疡、眼炎及皮肤损害，并可累及大血管、神经系统、消化道、肺、肾等等。累及神</w:t>
      </w:r>
      <w:r>
        <w:rPr>
          <w:spacing w:val="-3"/>
          <w:w w:val="99"/>
        </w:rPr>
        <w:t>经系统损害的白塞病称为神经白塞病。神经白塞病必须明确诊断，并且已经造成永</w:t>
      </w:r>
      <w:r>
        <w:rPr>
          <w:spacing w:val="-2"/>
          <w:w w:val="99"/>
        </w:rPr>
        <w:t>久不可逆的神经系统功能损害。永久不可逆的神经系统损害指被保险人持续</w:t>
      </w:r>
      <w:r>
        <w:rPr>
          <w:spacing w:val="-53"/>
        </w:rPr>
        <w:t xml:space="preserve"> </w:t>
      </w:r>
      <w:r>
        <w:rPr>
          <w:spacing w:val="1"/>
          <w:w w:val="99"/>
        </w:rPr>
        <w:t>18</w:t>
      </w:r>
      <w:r>
        <w:rPr>
          <w:w w:val="99"/>
        </w:rPr>
        <w:t>0</w:t>
      </w:r>
      <w:r>
        <w:rPr>
          <w:spacing w:val="-54"/>
        </w:rPr>
        <w:t xml:space="preserve"> </w:t>
      </w:r>
      <w:r>
        <w:rPr>
          <w:w w:val="99"/>
        </w:rPr>
        <w:t>天</w:t>
      </w:r>
      <w:r>
        <w:rPr>
          <w:spacing w:val="-1"/>
          <w:w w:val="99"/>
        </w:rPr>
        <w:t>无法独立完成下列基本日常生活活动之一：</w:t>
      </w:r>
    </w:p>
    <w:p>
      <w:pPr>
        <w:pStyle w:val="9"/>
        <w:numPr>
          <w:ilvl w:val="0"/>
          <w:numId w:val="54"/>
        </w:numPr>
        <w:tabs>
          <w:tab w:val="left" w:pos="3206"/>
        </w:tabs>
        <w:spacing w:before="156" w:after="0" w:line="240" w:lineRule="auto"/>
        <w:ind w:left="3205" w:right="0" w:hanging="721"/>
        <w:jc w:val="both"/>
        <w:rPr>
          <w:sz w:val="21"/>
        </w:rPr>
      </w:pPr>
      <w:r>
        <w:rPr>
          <w:spacing w:val="-1"/>
          <w:w w:val="95"/>
          <w:sz w:val="21"/>
        </w:rPr>
        <w:t>移动：自己从一个房间到另一个房间；</w:t>
      </w:r>
    </w:p>
    <w:p>
      <w:pPr>
        <w:pStyle w:val="4"/>
        <w:spacing w:before="6"/>
        <w:rPr>
          <w:sz w:val="15"/>
        </w:rPr>
      </w:pPr>
    </w:p>
    <w:p>
      <w:pPr>
        <w:pStyle w:val="9"/>
        <w:numPr>
          <w:ilvl w:val="0"/>
          <w:numId w:val="54"/>
        </w:numPr>
        <w:tabs>
          <w:tab w:val="left" w:pos="3206"/>
        </w:tabs>
        <w:spacing w:before="0" w:after="0" w:line="240" w:lineRule="auto"/>
        <w:ind w:left="3205" w:right="0" w:hanging="721"/>
        <w:jc w:val="both"/>
        <w:rPr>
          <w:sz w:val="21"/>
        </w:rPr>
      </w:pPr>
      <w:r>
        <w:rPr>
          <w:spacing w:val="-1"/>
          <w:w w:val="95"/>
          <w:sz w:val="21"/>
        </w:rPr>
        <w:t>进食：自己从已准备好的碗或碟中取食物放入口中。</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侵蚀性葡萄胎:</w:t>
      </w:r>
    </w:p>
    <w:p>
      <w:pPr>
        <w:pStyle w:val="4"/>
        <w:spacing w:before="7"/>
        <w:rPr>
          <w:b/>
          <w:sz w:val="15"/>
        </w:rPr>
      </w:pPr>
    </w:p>
    <w:p>
      <w:pPr>
        <w:pStyle w:val="4"/>
        <w:spacing w:line="278" w:lineRule="auto"/>
        <w:ind w:left="2485" w:right="350"/>
      </w:pPr>
      <w:r>
        <w:rPr>
          <w:spacing w:val="4"/>
          <w:w w:val="99"/>
        </w:rPr>
        <w:t>指异常增生的绒毛组织浸润性生长侵入子宫肌层或转移至其他器官或组织的葡萄</w:t>
      </w:r>
      <w:r>
        <w:rPr>
          <w:spacing w:val="-1"/>
          <w:w w:val="99"/>
        </w:rPr>
        <w:t>胎，并已经进行化疗或手术治疗。</w:t>
      </w:r>
    </w:p>
    <w:p>
      <w:pPr>
        <w:pStyle w:val="3"/>
        <w:numPr>
          <w:ilvl w:val="0"/>
          <w:numId w:val="14"/>
        </w:numPr>
        <w:tabs>
          <w:tab w:val="left" w:pos="3120"/>
        </w:tabs>
        <w:spacing w:before="156" w:after="0" w:line="240" w:lineRule="auto"/>
        <w:ind w:left="3119" w:right="0" w:hanging="635"/>
        <w:jc w:val="left"/>
      </w:pPr>
      <w:r>
        <w:rPr>
          <w:w w:val="95"/>
        </w:rPr>
        <w:t>器官移植导致的人类免疫缺陷病毒（HIV）</w:t>
      </w:r>
      <w:r>
        <w:rPr>
          <w:spacing w:val="-4"/>
          <w:w w:val="95"/>
        </w:rPr>
        <w:t>感染:</w:t>
      </w:r>
    </w:p>
    <w:p>
      <w:pPr>
        <w:pStyle w:val="4"/>
        <w:spacing w:before="6"/>
        <w:rPr>
          <w:b/>
          <w:sz w:val="15"/>
        </w:rPr>
      </w:pPr>
    </w:p>
    <w:p>
      <w:pPr>
        <w:pStyle w:val="4"/>
        <w:ind w:left="2485"/>
      </w:pPr>
      <w:r>
        <w:rPr>
          <w:w w:val="95"/>
        </w:rPr>
        <w:t>指因进行器官移植而感染上人类免疫缺陷病毒</w:t>
      </w:r>
      <w:r>
        <w:rPr>
          <w:spacing w:val="19"/>
          <w:w w:val="95"/>
        </w:rPr>
        <w:t>（</w:t>
      </w:r>
      <w:r>
        <w:rPr>
          <w:spacing w:val="18"/>
          <w:w w:val="95"/>
        </w:rPr>
        <w:t>HI</w:t>
      </w:r>
      <w:r>
        <w:rPr>
          <w:spacing w:val="15"/>
          <w:w w:val="95"/>
        </w:rPr>
        <w:t>V</w:t>
      </w:r>
      <w:r>
        <w:rPr>
          <w:spacing w:val="-87"/>
          <w:w w:val="95"/>
        </w:rPr>
        <w:t>）</w:t>
      </w:r>
      <w:r>
        <w:rPr>
          <w:spacing w:val="-1"/>
          <w:w w:val="95"/>
        </w:rPr>
        <w:t>，且须满足下列全部条件：</w:t>
      </w:r>
    </w:p>
    <w:p>
      <w:pPr>
        <w:pStyle w:val="4"/>
        <w:spacing w:before="7"/>
        <w:rPr>
          <w:sz w:val="15"/>
        </w:rPr>
      </w:pPr>
    </w:p>
    <w:p>
      <w:pPr>
        <w:pStyle w:val="9"/>
        <w:numPr>
          <w:ilvl w:val="0"/>
          <w:numId w:val="55"/>
        </w:numPr>
        <w:tabs>
          <w:tab w:val="left" w:pos="3205"/>
          <w:tab w:val="left" w:pos="3206"/>
        </w:tabs>
        <w:spacing w:before="0" w:after="0" w:line="278" w:lineRule="auto"/>
        <w:ind w:left="3205" w:right="350" w:hanging="720"/>
        <w:jc w:val="left"/>
        <w:rPr>
          <w:sz w:val="21"/>
        </w:rPr>
      </w:pPr>
      <w:r>
        <w:rPr>
          <w:spacing w:val="-7"/>
          <w:w w:val="99"/>
          <w:sz w:val="21"/>
        </w:rPr>
        <w:t>被保险人因治疗必需而实施器官移植，并且因器官移植而感染人类免疫缺陷</w:t>
      </w:r>
      <w:r>
        <w:rPr>
          <w:w w:val="99"/>
          <w:sz w:val="21"/>
        </w:rPr>
        <w:t>病毒</w:t>
      </w:r>
      <w:r>
        <w:rPr>
          <w:spacing w:val="2"/>
          <w:w w:val="99"/>
          <w:sz w:val="21"/>
        </w:rPr>
        <w:t>（</w:t>
      </w:r>
      <w:r>
        <w:rPr>
          <w:spacing w:val="1"/>
          <w:w w:val="99"/>
          <w:sz w:val="21"/>
        </w:rPr>
        <w:t>HI</w:t>
      </w:r>
      <w:r>
        <w:rPr>
          <w:spacing w:val="-2"/>
          <w:w w:val="99"/>
          <w:sz w:val="21"/>
        </w:rPr>
        <w:t>V</w:t>
      </w:r>
      <w:r>
        <w:rPr>
          <w:spacing w:val="-104"/>
          <w:w w:val="99"/>
          <w:sz w:val="21"/>
        </w:rPr>
        <w:t>）</w:t>
      </w:r>
      <w:r>
        <w:rPr>
          <w:w w:val="99"/>
          <w:sz w:val="21"/>
        </w:rPr>
        <w:t>；</w:t>
      </w:r>
    </w:p>
    <w:p>
      <w:pPr>
        <w:pStyle w:val="9"/>
        <w:numPr>
          <w:ilvl w:val="0"/>
          <w:numId w:val="55"/>
        </w:numPr>
        <w:tabs>
          <w:tab w:val="left" w:pos="3205"/>
          <w:tab w:val="left" w:pos="3206"/>
        </w:tabs>
        <w:spacing w:before="156" w:after="0" w:line="278" w:lineRule="auto"/>
        <w:ind w:left="3205" w:right="350" w:hanging="720"/>
        <w:jc w:val="left"/>
        <w:rPr>
          <w:sz w:val="21"/>
        </w:rPr>
      </w:pPr>
      <w:r>
        <w:rPr>
          <w:spacing w:val="-5"/>
          <w:w w:val="99"/>
          <w:sz w:val="21"/>
        </w:rPr>
        <w:t>提供器官移植治疗的器官移植中心或医院出具该项器官移植感染，属于医疗</w:t>
      </w:r>
      <w:r>
        <w:rPr>
          <w:spacing w:val="-1"/>
          <w:w w:val="99"/>
          <w:sz w:val="21"/>
        </w:rPr>
        <w:t>责任事故的报告，或者法院终审裁定为医疗责任并且不准上诉；</w:t>
      </w:r>
    </w:p>
    <w:p>
      <w:pPr>
        <w:pStyle w:val="9"/>
        <w:numPr>
          <w:ilvl w:val="0"/>
          <w:numId w:val="55"/>
        </w:numPr>
        <w:tabs>
          <w:tab w:val="left" w:pos="3206"/>
        </w:tabs>
        <w:spacing w:before="156" w:after="0" w:line="240" w:lineRule="auto"/>
        <w:ind w:left="3205" w:right="0" w:hanging="721"/>
        <w:jc w:val="both"/>
        <w:rPr>
          <w:sz w:val="21"/>
        </w:rPr>
      </w:pPr>
      <w:r>
        <w:rPr>
          <w:spacing w:val="-1"/>
          <w:w w:val="95"/>
          <w:sz w:val="21"/>
        </w:rPr>
        <w:t>提供器官移植治疗的器官移植中心或医院必须拥有合法经营执照。</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1"/>
          <w:w w:val="95"/>
        </w:rPr>
        <w:t>严重自身免疫性肝炎:</w:t>
      </w:r>
    </w:p>
    <w:p>
      <w:pPr>
        <w:pStyle w:val="4"/>
        <w:spacing w:before="7"/>
        <w:rPr>
          <w:b/>
          <w:sz w:val="15"/>
        </w:rPr>
      </w:pPr>
    </w:p>
    <w:p>
      <w:pPr>
        <w:pStyle w:val="4"/>
        <w:spacing w:line="278" w:lineRule="auto"/>
        <w:ind w:left="2485" w:right="347"/>
        <w:jc w:val="both"/>
      </w:pPr>
      <w:r>
        <w:rPr>
          <w:spacing w:val="-3"/>
          <w:w w:val="99"/>
        </w:rPr>
        <w:t>指一种原因不明的慢性肝脏的坏死性炎性疾病，机体免疫机制被破坏，产生针对肝脏自身抗原导致自身免疫反应，从而破坏干细胞造成肝脏炎症坏死，进而发展为肝</w:t>
      </w:r>
      <w:r>
        <w:rPr>
          <w:spacing w:val="-1"/>
          <w:w w:val="99"/>
        </w:rPr>
        <w:t>硬化。须满足下列全部条件：</w:t>
      </w:r>
    </w:p>
    <w:p>
      <w:pPr>
        <w:pStyle w:val="9"/>
        <w:numPr>
          <w:ilvl w:val="0"/>
          <w:numId w:val="56"/>
        </w:numPr>
        <w:tabs>
          <w:tab w:val="left" w:pos="3206"/>
        </w:tabs>
        <w:spacing w:before="156" w:after="0" w:line="240" w:lineRule="auto"/>
        <w:ind w:left="3205" w:right="0" w:hanging="721"/>
        <w:jc w:val="both"/>
        <w:rPr>
          <w:sz w:val="21"/>
        </w:rPr>
      </w:pPr>
      <w:r>
        <w:rPr>
          <w:w w:val="95"/>
          <w:sz w:val="21"/>
        </w:rPr>
        <w:t>高γ</w:t>
      </w:r>
      <w:r>
        <w:rPr>
          <w:spacing w:val="-2"/>
          <w:w w:val="95"/>
          <w:sz w:val="21"/>
        </w:rPr>
        <w:t>球蛋白血症；</w:t>
      </w:r>
    </w:p>
    <w:p>
      <w:pPr>
        <w:pStyle w:val="4"/>
        <w:spacing w:before="6"/>
        <w:rPr>
          <w:sz w:val="15"/>
        </w:rPr>
      </w:pPr>
    </w:p>
    <w:p>
      <w:pPr>
        <w:pStyle w:val="9"/>
        <w:numPr>
          <w:ilvl w:val="0"/>
          <w:numId w:val="56"/>
        </w:numPr>
        <w:tabs>
          <w:tab w:val="left" w:pos="3205"/>
          <w:tab w:val="left" w:pos="3206"/>
        </w:tabs>
        <w:spacing w:before="1" w:after="0" w:line="278" w:lineRule="auto"/>
        <w:ind w:left="3205" w:right="347" w:hanging="720"/>
        <w:jc w:val="left"/>
        <w:rPr>
          <w:sz w:val="21"/>
        </w:rPr>
      </w:pPr>
      <w:r>
        <w:rPr>
          <w:spacing w:val="-2"/>
          <w:w w:val="99"/>
          <w:sz w:val="21"/>
        </w:rPr>
        <w:t>血液中存在高水平的自身免疫抗体，如</w:t>
      </w:r>
      <w:r>
        <w:rPr>
          <w:spacing w:val="-53"/>
          <w:sz w:val="21"/>
        </w:rPr>
        <w:t xml:space="preserve"> </w:t>
      </w:r>
      <w:r>
        <w:rPr>
          <w:spacing w:val="1"/>
          <w:w w:val="99"/>
          <w:sz w:val="21"/>
        </w:rPr>
        <w:t>AN</w:t>
      </w:r>
      <w:r>
        <w:rPr>
          <w:spacing w:val="-14"/>
          <w:w w:val="99"/>
          <w:sz w:val="21"/>
        </w:rPr>
        <w:t>A</w:t>
      </w:r>
      <w:r>
        <w:rPr>
          <w:spacing w:val="2"/>
          <w:w w:val="99"/>
          <w:sz w:val="21"/>
        </w:rPr>
        <w:t>（</w:t>
      </w:r>
      <w:r>
        <w:rPr>
          <w:spacing w:val="-1"/>
          <w:w w:val="99"/>
          <w:sz w:val="21"/>
        </w:rPr>
        <w:t>抗核抗体</w:t>
      </w:r>
      <w:r>
        <w:rPr>
          <w:spacing w:val="-104"/>
          <w:w w:val="99"/>
          <w:sz w:val="21"/>
        </w:rPr>
        <w:t>）</w:t>
      </w:r>
      <w:r>
        <w:rPr>
          <w:spacing w:val="-10"/>
          <w:w w:val="99"/>
          <w:sz w:val="21"/>
        </w:rPr>
        <w:t>、</w:t>
      </w:r>
      <w:r>
        <w:rPr>
          <w:spacing w:val="1"/>
          <w:w w:val="99"/>
          <w:sz w:val="21"/>
        </w:rPr>
        <w:t>SM</w:t>
      </w:r>
      <w:r>
        <w:rPr>
          <w:spacing w:val="-14"/>
          <w:w w:val="99"/>
          <w:sz w:val="21"/>
        </w:rPr>
        <w:t>A</w:t>
      </w:r>
      <w:r>
        <w:rPr>
          <w:spacing w:val="-1"/>
          <w:w w:val="99"/>
          <w:sz w:val="21"/>
        </w:rPr>
        <w:t>（抗平滑肌抗</w:t>
      </w:r>
      <w:r>
        <w:rPr>
          <w:spacing w:val="2"/>
          <w:w w:val="99"/>
          <w:sz w:val="21"/>
        </w:rPr>
        <w:t>体</w:t>
      </w:r>
      <w:r>
        <w:rPr>
          <w:spacing w:val="-106"/>
          <w:w w:val="99"/>
          <w:sz w:val="21"/>
        </w:rPr>
        <w:t>）</w:t>
      </w:r>
      <w:r>
        <w:rPr>
          <w:spacing w:val="-1"/>
          <w:w w:val="99"/>
          <w:sz w:val="21"/>
        </w:rPr>
        <w:t>、抗</w:t>
      </w:r>
      <w:r>
        <w:rPr>
          <w:spacing w:val="-50"/>
          <w:sz w:val="21"/>
        </w:rPr>
        <w:t xml:space="preserve"> </w:t>
      </w:r>
      <w:r>
        <w:rPr>
          <w:spacing w:val="1"/>
          <w:w w:val="99"/>
          <w:sz w:val="21"/>
        </w:rPr>
        <w:t>LKM</w:t>
      </w:r>
      <w:r>
        <w:rPr>
          <w:w w:val="99"/>
          <w:sz w:val="21"/>
        </w:rPr>
        <w:t>1</w:t>
      </w:r>
      <w:r>
        <w:rPr>
          <w:spacing w:val="-54"/>
          <w:sz w:val="21"/>
        </w:rPr>
        <w:t xml:space="preserve"> </w:t>
      </w:r>
      <w:r>
        <w:rPr>
          <w:spacing w:val="-1"/>
          <w:w w:val="99"/>
          <w:sz w:val="21"/>
        </w:rPr>
        <w:t>抗体或抗-</w:t>
      </w:r>
      <w:r>
        <w:rPr>
          <w:spacing w:val="1"/>
          <w:w w:val="99"/>
          <w:sz w:val="21"/>
        </w:rPr>
        <w:t>SL</w:t>
      </w:r>
      <w:r>
        <w:rPr>
          <w:spacing w:val="-2"/>
          <w:w w:val="99"/>
          <w:sz w:val="21"/>
        </w:rPr>
        <w:t>A</w:t>
      </w:r>
      <w:r>
        <w:rPr>
          <w:spacing w:val="1"/>
          <w:w w:val="99"/>
          <w:sz w:val="21"/>
        </w:rPr>
        <w:t>/L</w:t>
      </w:r>
      <w:r>
        <w:rPr>
          <w:w w:val="99"/>
          <w:sz w:val="21"/>
        </w:rPr>
        <w:t>P</w:t>
      </w:r>
      <w:r>
        <w:rPr>
          <w:spacing w:val="-54"/>
          <w:sz w:val="21"/>
        </w:rPr>
        <w:t xml:space="preserve"> </w:t>
      </w:r>
      <w:r>
        <w:rPr>
          <w:w w:val="99"/>
          <w:sz w:val="21"/>
        </w:rPr>
        <w:t>抗体；</w:t>
      </w:r>
    </w:p>
    <w:p>
      <w:pPr>
        <w:pStyle w:val="9"/>
        <w:numPr>
          <w:ilvl w:val="0"/>
          <w:numId w:val="56"/>
        </w:numPr>
        <w:tabs>
          <w:tab w:val="left" w:pos="3206"/>
        </w:tabs>
        <w:spacing w:before="155" w:after="0" w:line="240" w:lineRule="auto"/>
        <w:ind w:left="3205" w:right="0" w:hanging="721"/>
        <w:jc w:val="both"/>
        <w:rPr>
          <w:sz w:val="21"/>
        </w:rPr>
      </w:pPr>
      <w:r>
        <w:rPr>
          <w:spacing w:val="-1"/>
          <w:w w:val="95"/>
          <w:sz w:val="21"/>
        </w:rPr>
        <w:t>肝脏活检证实免疫性肝炎；</w:t>
      </w:r>
    </w:p>
    <w:p>
      <w:pPr>
        <w:pStyle w:val="4"/>
        <w:spacing w:before="7"/>
        <w:rPr>
          <w:sz w:val="15"/>
        </w:rPr>
      </w:pPr>
    </w:p>
    <w:p>
      <w:pPr>
        <w:pStyle w:val="9"/>
        <w:numPr>
          <w:ilvl w:val="0"/>
          <w:numId w:val="56"/>
        </w:numPr>
        <w:tabs>
          <w:tab w:val="left" w:pos="3206"/>
        </w:tabs>
        <w:spacing w:before="0" w:after="0" w:line="240" w:lineRule="auto"/>
        <w:ind w:left="3205" w:right="0" w:hanging="721"/>
        <w:jc w:val="both"/>
        <w:rPr>
          <w:sz w:val="21"/>
        </w:rPr>
      </w:pPr>
      <w:r>
        <w:rPr>
          <w:spacing w:val="-1"/>
          <w:w w:val="95"/>
          <w:sz w:val="21"/>
        </w:rPr>
        <w:t>临床已经出现腹水、食道静脉曲张和脾肿大等肝硬化表现。</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w w:val="95"/>
        </w:rPr>
        <w:t>系统性红斑狼疮</w:t>
      </w:r>
      <w:r>
        <w:rPr>
          <w:spacing w:val="52"/>
        </w:rPr>
        <w:t xml:space="preserve">  </w:t>
      </w:r>
      <w:r>
        <w:rPr>
          <w:w w:val="95"/>
        </w:rPr>
        <w:t>-（并发）</w:t>
      </w:r>
      <w:r>
        <w:rPr>
          <w:spacing w:val="-1"/>
          <w:w w:val="95"/>
        </w:rPr>
        <w:t>Ⅲ型或以上狼疮性肾炎:</w:t>
      </w:r>
    </w:p>
    <w:p>
      <w:pPr>
        <w:pStyle w:val="4"/>
        <w:spacing w:before="6"/>
        <w:rPr>
          <w:b/>
          <w:sz w:val="15"/>
        </w:rPr>
      </w:pPr>
    </w:p>
    <w:p>
      <w:pPr>
        <w:pStyle w:val="4"/>
        <w:spacing w:before="1" w:line="278" w:lineRule="auto"/>
        <w:ind w:left="2485" w:right="350"/>
      </w:pPr>
      <w:r>
        <w:rPr>
          <w:spacing w:val="-3"/>
          <w:w w:val="99"/>
        </w:rPr>
        <w:t>是由多种因素引起，累及多系统的自身免疫性疾病。多侵犯育龄女性。其特点是生成自身抗体对抗多种自身抗原。本合同所指的系统性红斑狼疮仅限于累及肾脏</w:t>
      </w:r>
      <w:r>
        <w:rPr>
          <w:spacing w:val="-1"/>
          <w:w w:val="99"/>
        </w:rPr>
        <w:t>（</w:t>
      </w:r>
      <w:r>
        <w:rPr>
          <w:w w:val="99"/>
        </w:rPr>
        <w:t>经</w:t>
      </w:r>
    </w:p>
    <w:p>
      <w:pPr>
        <w:spacing w:after="0" w:line="278" w:lineRule="auto"/>
        <w:sectPr>
          <w:pgSz w:w="11910" w:h="16840"/>
          <w:pgMar w:top="1400" w:right="660" w:bottom="860" w:left="860" w:header="0" w:footer="662" w:gutter="0"/>
          <w:cols w:space="720" w:num="1"/>
        </w:sectPr>
      </w:pPr>
    </w:p>
    <w:p>
      <w:pPr>
        <w:pStyle w:val="4"/>
        <w:spacing w:before="43" w:line="278" w:lineRule="auto"/>
        <w:ind w:left="2485" w:right="347"/>
        <w:jc w:val="both"/>
      </w:pPr>
      <w:r>
        <w:rPr>
          <w:spacing w:val="2"/>
          <w:w w:val="99"/>
        </w:rPr>
        <w:t>肾脏病理检查或临床确诊，并符合下列世界卫生组织</w:t>
      </w:r>
      <w:r>
        <w:rPr>
          <w:spacing w:val="4"/>
          <w:w w:val="99"/>
        </w:rPr>
        <w:t>（</w:t>
      </w:r>
      <w:r>
        <w:rPr>
          <w:spacing w:val="1"/>
          <w:w w:val="99"/>
        </w:rPr>
        <w:t>WHO</w:t>
      </w:r>
      <w:r>
        <w:rPr>
          <w:spacing w:val="4"/>
          <w:w w:val="99"/>
        </w:rPr>
        <w:t>）</w:t>
      </w:r>
      <w:r>
        <w:rPr>
          <w:spacing w:val="1"/>
          <w:w w:val="99"/>
        </w:rPr>
        <w:t xml:space="preserve">诊断标准定义Ⅲ型至 </w:t>
      </w:r>
      <w:r>
        <w:rPr>
          <w:spacing w:val="-1"/>
          <w:w w:val="99"/>
        </w:rPr>
        <w:t>Ⅴ型狼疮性肾炎</w:t>
      </w:r>
      <w:r>
        <w:rPr>
          <w:spacing w:val="-3"/>
          <w:w w:val="99"/>
        </w:rPr>
        <w:t>）的系统性红斑狼疮。其他类型的红斑性狼疮，如盘状狼疮，仅累</w:t>
      </w:r>
      <w:r>
        <w:rPr>
          <w:spacing w:val="-1"/>
          <w:w w:val="99"/>
        </w:rPr>
        <w:t>及血液及关节等其他系统的系统性红斑狼疮不在保障范围。</w:t>
      </w:r>
    </w:p>
    <w:p>
      <w:pPr>
        <w:pStyle w:val="4"/>
        <w:spacing w:line="278" w:lineRule="auto"/>
        <w:ind w:left="2485" w:right="4120"/>
      </w:pPr>
      <w:r>
        <w:rPr>
          <w:spacing w:val="-1"/>
          <w:w w:val="99"/>
        </w:rPr>
        <w:t>本病必须由免疫和风湿科专家医师确诊。世界卫生组织</w:t>
      </w:r>
      <w:r>
        <w:rPr>
          <w:spacing w:val="2"/>
          <w:w w:val="99"/>
        </w:rPr>
        <w:t>（</w:t>
      </w:r>
      <w:r>
        <w:rPr>
          <w:spacing w:val="1"/>
          <w:w w:val="99"/>
        </w:rPr>
        <w:t>WH</w:t>
      </w:r>
      <w:r>
        <w:rPr>
          <w:spacing w:val="-2"/>
          <w:w w:val="99"/>
        </w:rPr>
        <w:t>O</w:t>
      </w:r>
      <w:r>
        <w:rPr>
          <w:spacing w:val="-1"/>
          <w:w w:val="99"/>
        </w:rPr>
        <w:t>）狼疮性肾炎分型：</w:t>
      </w:r>
    </w:p>
    <w:p>
      <w:pPr>
        <w:pStyle w:val="4"/>
        <w:spacing w:line="269" w:lineRule="exact"/>
        <w:ind w:left="2485"/>
      </w:pPr>
      <w:r>
        <w:rPr>
          <w:w w:val="95"/>
        </w:rPr>
        <w:t>Ⅰ型（微小病变型）</w:t>
      </w:r>
      <w:r>
        <w:rPr>
          <w:spacing w:val="-1"/>
          <w:w w:val="95"/>
        </w:rPr>
        <w:t>镜下阴性，尿液正常；</w:t>
      </w:r>
    </w:p>
    <w:p>
      <w:pPr>
        <w:pStyle w:val="4"/>
        <w:spacing w:before="43" w:line="278" w:lineRule="auto"/>
        <w:ind w:left="2485" w:right="3154"/>
      </w:pPr>
      <w:r>
        <w:rPr>
          <w:spacing w:val="-2"/>
          <w:w w:val="95"/>
        </w:rPr>
        <w:t>Ⅱ型（系膜病变型）中度蛋白尿，偶有尿沉渣改变；</w:t>
      </w:r>
      <w:r>
        <w:rPr>
          <w:spacing w:val="40"/>
        </w:rPr>
        <w:t xml:space="preserve"> </w:t>
      </w:r>
      <w:r>
        <w:rPr>
          <w:spacing w:val="-2"/>
        </w:rPr>
        <w:t>Ⅲ型（局灶及节段增生型）蛋白尿，尿沉渣改变；</w:t>
      </w:r>
    </w:p>
    <w:p>
      <w:pPr>
        <w:pStyle w:val="4"/>
        <w:spacing w:line="278" w:lineRule="auto"/>
        <w:ind w:left="2485" w:right="1915"/>
      </w:pPr>
      <w:r>
        <w:rPr>
          <w:spacing w:val="-2"/>
          <w:w w:val="95"/>
        </w:rPr>
        <w:t>Ⅳ型（弥漫增生型）急性肾炎伴有尿沉渣改变及/或肾病综合征；</w:t>
      </w:r>
      <w:r>
        <w:rPr>
          <w:spacing w:val="80"/>
          <w:w w:val="150"/>
        </w:rPr>
        <w:t xml:space="preserve"> </w:t>
      </w:r>
      <w:r>
        <w:rPr>
          <w:spacing w:val="-2"/>
        </w:rPr>
        <w:t>Ⅴ型（膜型）肾病综合征或重度蛋白尿。</w:t>
      </w:r>
    </w:p>
    <w:p>
      <w:pPr>
        <w:pStyle w:val="3"/>
        <w:numPr>
          <w:ilvl w:val="0"/>
          <w:numId w:val="14"/>
        </w:numPr>
        <w:tabs>
          <w:tab w:val="left" w:pos="3120"/>
        </w:tabs>
        <w:spacing w:before="155" w:after="0" w:line="240" w:lineRule="auto"/>
        <w:ind w:left="3119" w:right="0" w:hanging="635"/>
        <w:jc w:val="left"/>
      </w:pPr>
      <w:r>
        <w:rPr>
          <w:spacing w:val="-2"/>
          <w:w w:val="95"/>
        </w:rPr>
        <w:t>肾髓质囊性病:</w:t>
      </w:r>
    </w:p>
    <w:p>
      <w:pPr>
        <w:pStyle w:val="4"/>
        <w:spacing w:before="7"/>
        <w:rPr>
          <w:b/>
          <w:sz w:val="15"/>
        </w:rPr>
      </w:pPr>
    </w:p>
    <w:p>
      <w:pPr>
        <w:pStyle w:val="4"/>
        <w:spacing w:line="278" w:lineRule="auto"/>
        <w:ind w:left="2485" w:right="350"/>
      </w:pPr>
      <w:r>
        <w:rPr>
          <w:spacing w:val="-2"/>
          <w:w w:val="99"/>
        </w:rPr>
        <w:t>一种遗传性肾脏疾病，特点为肾髓质多发大小不等的囊肿并且伴有小管和间质性肾</w:t>
      </w:r>
      <w:r>
        <w:rPr>
          <w:spacing w:val="-1"/>
          <w:w w:val="99"/>
        </w:rPr>
        <w:t>炎。肾髓质囊性病的诊断必须同时符合下列要求：</w:t>
      </w:r>
    </w:p>
    <w:p>
      <w:pPr>
        <w:pStyle w:val="9"/>
        <w:numPr>
          <w:ilvl w:val="0"/>
          <w:numId w:val="57"/>
        </w:numPr>
        <w:tabs>
          <w:tab w:val="left" w:pos="3205"/>
          <w:tab w:val="left" w:pos="3206"/>
        </w:tabs>
        <w:spacing w:before="156" w:after="0" w:line="240" w:lineRule="auto"/>
        <w:ind w:left="3205" w:right="0" w:hanging="721"/>
        <w:jc w:val="left"/>
        <w:rPr>
          <w:sz w:val="21"/>
        </w:rPr>
      </w:pPr>
      <w:r>
        <w:rPr>
          <w:spacing w:val="-1"/>
          <w:w w:val="95"/>
          <w:sz w:val="21"/>
        </w:rPr>
        <w:t>肾髓质有囊肿、肾小管萎缩及间质纤维化等病理改变；</w:t>
      </w:r>
    </w:p>
    <w:p>
      <w:pPr>
        <w:pStyle w:val="4"/>
        <w:spacing w:before="6"/>
        <w:rPr>
          <w:sz w:val="15"/>
        </w:rPr>
      </w:pPr>
    </w:p>
    <w:p>
      <w:pPr>
        <w:pStyle w:val="9"/>
        <w:numPr>
          <w:ilvl w:val="0"/>
          <w:numId w:val="57"/>
        </w:numPr>
        <w:tabs>
          <w:tab w:val="left" w:pos="3205"/>
          <w:tab w:val="left" w:pos="3206"/>
        </w:tabs>
        <w:spacing w:before="1" w:after="0" w:line="240" w:lineRule="auto"/>
        <w:ind w:left="3205" w:right="0" w:hanging="721"/>
        <w:jc w:val="left"/>
        <w:rPr>
          <w:sz w:val="21"/>
        </w:rPr>
      </w:pPr>
      <w:r>
        <w:rPr>
          <w:spacing w:val="-1"/>
          <w:w w:val="95"/>
          <w:sz w:val="21"/>
        </w:rPr>
        <w:t>贫血、多尿及肾功能衰竭等临床表现；</w:t>
      </w:r>
    </w:p>
    <w:p>
      <w:pPr>
        <w:pStyle w:val="4"/>
        <w:spacing w:before="6"/>
        <w:rPr>
          <w:sz w:val="15"/>
        </w:rPr>
      </w:pPr>
    </w:p>
    <w:p>
      <w:pPr>
        <w:pStyle w:val="9"/>
        <w:numPr>
          <w:ilvl w:val="0"/>
          <w:numId w:val="57"/>
        </w:numPr>
        <w:tabs>
          <w:tab w:val="left" w:pos="3205"/>
          <w:tab w:val="left" w:pos="3206"/>
        </w:tabs>
        <w:spacing w:before="0" w:after="0" w:line="240" w:lineRule="auto"/>
        <w:ind w:left="3205" w:right="0" w:hanging="721"/>
        <w:jc w:val="left"/>
        <w:rPr>
          <w:sz w:val="21"/>
        </w:rPr>
      </w:pPr>
      <w:r>
        <w:rPr>
          <w:spacing w:val="-1"/>
          <w:w w:val="95"/>
          <w:sz w:val="21"/>
        </w:rPr>
        <w:t>诊断需由肾组织活检确定。</w:t>
      </w:r>
    </w:p>
    <w:p>
      <w:pPr>
        <w:pStyle w:val="4"/>
        <w:spacing w:before="7"/>
        <w:rPr>
          <w:sz w:val="15"/>
        </w:rPr>
      </w:pPr>
    </w:p>
    <w:p>
      <w:pPr>
        <w:pStyle w:val="4"/>
        <w:spacing w:line="278" w:lineRule="auto"/>
        <w:ind w:left="2485" w:right="347"/>
      </w:pPr>
      <w:r>
        <w:rPr>
          <w:spacing w:val="-3"/>
          <w:w w:val="99"/>
        </w:rPr>
        <w:t>本公司承担本项疾病责任不受本合同责任免除中“遗传性疾病、先天性畸形、变形</w:t>
      </w:r>
      <w:r>
        <w:rPr>
          <w:spacing w:val="-1"/>
          <w:w w:val="99"/>
        </w:rPr>
        <w:t>或染色体异常”的限制。</w:t>
      </w:r>
    </w:p>
    <w:p>
      <w:pPr>
        <w:pStyle w:val="3"/>
        <w:numPr>
          <w:ilvl w:val="0"/>
          <w:numId w:val="14"/>
        </w:numPr>
        <w:tabs>
          <w:tab w:val="left" w:pos="3120"/>
        </w:tabs>
        <w:spacing w:before="156" w:after="0" w:line="240" w:lineRule="auto"/>
        <w:ind w:left="3119" w:right="0" w:hanging="635"/>
        <w:jc w:val="left"/>
      </w:pPr>
      <w:r>
        <w:rPr>
          <w:spacing w:val="-2"/>
          <w:w w:val="95"/>
        </w:rPr>
        <w:t>原发性骨髓纤维化:</w:t>
      </w:r>
    </w:p>
    <w:p>
      <w:pPr>
        <w:pStyle w:val="4"/>
        <w:spacing w:before="6"/>
        <w:rPr>
          <w:b/>
          <w:sz w:val="15"/>
        </w:rPr>
      </w:pPr>
    </w:p>
    <w:p>
      <w:pPr>
        <w:pStyle w:val="4"/>
        <w:spacing w:before="1" w:line="278" w:lineRule="auto"/>
        <w:ind w:left="2485" w:right="347"/>
        <w:jc w:val="both"/>
      </w:pPr>
      <w:r>
        <w:rPr>
          <w:spacing w:val="-3"/>
          <w:w w:val="99"/>
        </w:rPr>
        <w:t>原发性骨髓纤维化为原因不明的骨髓中成纤维细胞增殖，伴有髓外造血，表现为进行性贫血、脾肿大等症状。本病必须根据骨髓的活组织检查和周围血象检查由血液</w:t>
      </w:r>
      <w:r>
        <w:rPr>
          <w:spacing w:val="-1"/>
          <w:w w:val="99"/>
        </w:rPr>
        <w:t>科专科医生明确诊断，并至少符合下列条件中的三项，且符合条件的状态持续</w:t>
      </w:r>
      <w:r>
        <w:rPr>
          <w:spacing w:val="-53"/>
        </w:rPr>
        <w:t xml:space="preserve"> </w:t>
      </w:r>
      <w:r>
        <w:rPr>
          <w:spacing w:val="1"/>
          <w:w w:val="99"/>
        </w:rPr>
        <w:t>18</w:t>
      </w:r>
      <w:r>
        <w:rPr>
          <w:w w:val="99"/>
        </w:rPr>
        <w:t>0</w:t>
      </w:r>
      <w:r>
        <w:rPr>
          <w:spacing w:val="-1"/>
          <w:w w:val="99"/>
        </w:rPr>
        <w:t>天及以上，并已经实际接受了针对此症的治疗：</w:t>
      </w:r>
    </w:p>
    <w:p>
      <w:pPr>
        <w:pStyle w:val="4"/>
        <w:spacing w:before="155"/>
        <w:ind w:left="2485"/>
        <w:jc w:val="both"/>
      </w:pPr>
      <w:r>
        <w:t>1</w:t>
      </w:r>
      <w:r>
        <w:rPr>
          <w:spacing w:val="18"/>
        </w:rPr>
        <w:t>)   血红蛋白＜</w:t>
      </w:r>
      <w:r>
        <w:rPr>
          <w:spacing w:val="-2"/>
        </w:rPr>
        <w:t>100g/L；</w:t>
      </w:r>
    </w:p>
    <w:p>
      <w:pPr>
        <w:pStyle w:val="4"/>
        <w:spacing w:before="7"/>
        <w:rPr>
          <w:sz w:val="15"/>
        </w:rPr>
      </w:pPr>
    </w:p>
    <w:p>
      <w:pPr>
        <w:pStyle w:val="4"/>
        <w:ind w:left="2485"/>
        <w:jc w:val="both"/>
      </w:pPr>
      <w:r>
        <w:t>2</w:t>
      </w:r>
      <w:r>
        <w:rPr>
          <w:spacing w:val="16"/>
        </w:rPr>
        <w:t>)   白细胞计数＞</w:t>
      </w:r>
      <w:r>
        <w:rPr>
          <w:spacing w:val="-2"/>
        </w:rPr>
        <w:t>25×10</w:t>
      </w:r>
      <w:r>
        <w:rPr>
          <w:spacing w:val="-2"/>
          <w:position w:val="11"/>
          <w:sz w:val="10"/>
        </w:rPr>
        <w:t>9</w:t>
      </w:r>
      <w:r>
        <w:rPr>
          <w:spacing w:val="-2"/>
        </w:rPr>
        <w:t>/L；</w:t>
      </w:r>
    </w:p>
    <w:p>
      <w:pPr>
        <w:pStyle w:val="4"/>
        <w:spacing w:before="6"/>
        <w:rPr>
          <w:sz w:val="15"/>
        </w:rPr>
      </w:pPr>
    </w:p>
    <w:p>
      <w:pPr>
        <w:pStyle w:val="4"/>
        <w:spacing w:before="1"/>
        <w:ind w:left="2485"/>
        <w:jc w:val="both"/>
      </w:pPr>
      <w:r>
        <w:t>3</w:t>
      </w:r>
      <w:r>
        <w:rPr>
          <w:spacing w:val="12"/>
        </w:rPr>
        <w:t>)   外周血原始细胞≥</w:t>
      </w:r>
      <w:r>
        <w:rPr>
          <w:spacing w:val="-4"/>
        </w:rPr>
        <w:t>1%；</w:t>
      </w:r>
    </w:p>
    <w:p>
      <w:pPr>
        <w:pStyle w:val="4"/>
        <w:spacing w:before="6"/>
        <w:rPr>
          <w:sz w:val="15"/>
        </w:rPr>
      </w:pPr>
    </w:p>
    <w:p>
      <w:pPr>
        <w:pStyle w:val="4"/>
        <w:tabs>
          <w:tab w:val="left" w:pos="3205"/>
        </w:tabs>
        <w:ind w:left="2485"/>
      </w:pPr>
      <w:r>
        <w:rPr>
          <w:spacing w:val="-5"/>
        </w:rPr>
        <w:t>4)</w:t>
      </w:r>
      <w:r>
        <w:tab/>
      </w:r>
      <w:r>
        <w:rPr>
          <w:w w:val="95"/>
        </w:rPr>
        <w:t>血小板计数＜100×10</w:t>
      </w:r>
      <w:r>
        <w:rPr>
          <w:w w:val="95"/>
          <w:position w:val="11"/>
          <w:sz w:val="10"/>
        </w:rPr>
        <w:t>9</w:t>
      </w:r>
      <w:r>
        <w:rPr>
          <w:w w:val="95"/>
        </w:rPr>
        <w:t>/L</w:t>
      </w:r>
      <w:r>
        <w:rPr>
          <w:spacing w:val="-10"/>
          <w:w w:val="95"/>
        </w:rPr>
        <w:t>。</w:t>
      </w:r>
    </w:p>
    <w:p>
      <w:pPr>
        <w:pStyle w:val="4"/>
        <w:spacing w:before="1"/>
        <w:rPr>
          <w:sz w:val="10"/>
        </w:rPr>
      </w:pPr>
    </w:p>
    <w:p>
      <w:pPr>
        <w:pStyle w:val="4"/>
        <w:spacing w:before="70"/>
        <w:ind w:left="2485"/>
      </w:pPr>
      <w:r>
        <w:rPr>
          <w:color w:val="000000"/>
          <w:spacing w:val="-1"/>
          <w:w w:val="95"/>
          <w:shd w:val="clear" w:color="auto" w:fill="E4E4E4"/>
        </w:rPr>
        <w:t>任何其它病因导致的继发性骨髓纤维化不在保障范围内。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严重甲型及乙型血友病:</w:t>
      </w:r>
    </w:p>
    <w:p>
      <w:pPr>
        <w:pStyle w:val="4"/>
        <w:spacing w:before="6"/>
        <w:rPr>
          <w:b/>
          <w:sz w:val="15"/>
        </w:rPr>
      </w:pPr>
    </w:p>
    <w:p>
      <w:pPr>
        <w:pStyle w:val="4"/>
        <w:spacing w:before="1" w:line="278" w:lineRule="auto"/>
        <w:ind w:left="2485" w:right="347"/>
        <w:jc w:val="both"/>
      </w:pPr>
      <w:r>
        <w:rPr>
          <w:spacing w:val="-2"/>
          <w:w w:val="95"/>
        </w:rPr>
        <w:t>被保险人必须是患上严重甲型血友病（缺乏Ⅷ凝血因子）或严重乙型血友病（缺乏</w:t>
      </w:r>
      <w:r>
        <w:rPr>
          <w:spacing w:val="40"/>
        </w:rPr>
        <w:t xml:space="preserve">  </w:t>
      </w:r>
      <w:r>
        <w:rPr>
          <w:w w:val="95"/>
        </w:rPr>
        <w:t>IX</w:t>
      </w:r>
      <w:r>
        <w:t xml:space="preserve"> </w:t>
      </w:r>
      <w:r>
        <w:rPr>
          <w:w w:val="95"/>
        </w:rPr>
        <w:t>凝血因子</w:t>
      </w:r>
      <w:r>
        <w:rPr>
          <w:spacing w:val="-67"/>
          <w:w w:val="95"/>
        </w:rPr>
        <w:t>）</w:t>
      </w:r>
      <w:r>
        <w:rPr>
          <w:spacing w:val="-18"/>
          <w:w w:val="95"/>
        </w:rPr>
        <w:t>，而凝血</w:t>
      </w:r>
      <w:r>
        <w:rPr>
          <w:w w:val="95"/>
        </w:rPr>
        <w:t>因子Ⅷ或凝血因子</w:t>
      </w:r>
      <w:r>
        <w:t xml:space="preserve"> </w:t>
      </w:r>
      <w:r>
        <w:rPr>
          <w:w w:val="95"/>
        </w:rPr>
        <w:t>IX</w:t>
      </w:r>
      <w:r>
        <w:t xml:space="preserve"> </w:t>
      </w:r>
      <w:r>
        <w:rPr>
          <w:w w:val="95"/>
        </w:rPr>
        <w:t>的活性水平少于百分之一。诊断必须由</w:t>
      </w:r>
      <w:r>
        <w:rPr>
          <w:spacing w:val="-2"/>
        </w:rPr>
        <w:t>本公司指定或认可的医疗机构的血液病专科医生确认。</w:t>
      </w:r>
    </w:p>
    <w:p>
      <w:pPr>
        <w:pStyle w:val="4"/>
        <w:spacing w:line="278" w:lineRule="auto"/>
        <w:ind w:left="2485" w:right="347"/>
      </w:pPr>
      <w:r>
        <w:rPr>
          <w:spacing w:val="-3"/>
          <w:w w:val="99"/>
        </w:rPr>
        <w:t>本公司承担本项疾病责任不受本合同责任免除中“遗传性疾病、先天性畸形、变形</w:t>
      </w:r>
      <w:r>
        <w:rPr>
          <w:spacing w:val="-1"/>
          <w:w w:val="99"/>
        </w:rPr>
        <w:t>或染色体异常”的限制。</w:t>
      </w:r>
    </w:p>
    <w:p>
      <w:pPr>
        <w:pStyle w:val="3"/>
        <w:numPr>
          <w:ilvl w:val="0"/>
          <w:numId w:val="14"/>
        </w:numPr>
        <w:tabs>
          <w:tab w:val="left" w:pos="3120"/>
        </w:tabs>
        <w:spacing w:before="155" w:after="0" w:line="240" w:lineRule="auto"/>
        <w:ind w:left="3119" w:right="0" w:hanging="635"/>
        <w:jc w:val="left"/>
      </w:pPr>
      <w:r>
        <w:rPr>
          <w:spacing w:val="-2"/>
          <w:w w:val="95"/>
        </w:rPr>
        <w:t>胰腺移植:</w:t>
      </w:r>
    </w:p>
    <w:p>
      <w:pPr>
        <w:pStyle w:val="4"/>
        <w:spacing w:before="7"/>
        <w:rPr>
          <w:b/>
          <w:sz w:val="15"/>
        </w:rPr>
      </w:pPr>
    </w:p>
    <w:p>
      <w:pPr>
        <w:pStyle w:val="4"/>
        <w:ind w:left="2485"/>
      </w:pPr>
      <w:r>
        <w:rPr>
          <w:w w:val="95"/>
        </w:rPr>
        <w:t>指因胰腺功能衰竭，已经实施了在全身麻醉下进行的胰腺的异体器官移植手术（</w:t>
      </w:r>
      <w:r>
        <w:rPr>
          <w:spacing w:val="-10"/>
          <w:w w:val="95"/>
        </w:rPr>
        <w:t>供</w:t>
      </w:r>
    </w:p>
    <w:p>
      <w:pPr>
        <w:spacing w:after="0"/>
        <w:sectPr>
          <w:pgSz w:w="11910" w:h="16840"/>
          <w:pgMar w:top="1400" w:right="660" w:bottom="860" w:left="860" w:header="0" w:footer="662" w:gutter="0"/>
          <w:cols w:space="720" w:num="1"/>
        </w:sectPr>
      </w:pPr>
    </w:p>
    <w:p>
      <w:pPr>
        <w:pStyle w:val="4"/>
        <w:spacing w:before="43"/>
        <w:ind w:left="2485"/>
      </w:pPr>
      <w:r>
        <w:rPr>
          <w:w w:val="95"/>
        </w:rPr>
        <w:t>体必须是人体器官</w:t>
      </w:r>
      <w:r>
        <w:rPr>
          <w:spacing w:val="-104"/>
          <w:w w:val="95"/>
        </w:rPr>
        <w:t>）</w:t>
      </w:r>
      <w:r>
        <w:rPr>
          <w:spacing w:val="-10"/>
          <w:w w:val="95"/>
        </w:rPr>
        <w:t>。</w:t>
      </w:r>
    </w:p>
    <w:p>
      <w:pPr>
        <w:pStyle w:val="4"/>
        <w:spacing w:before="43"/>
        <w:ind w:left="2485"/>
      </w:pPr>
      <w:r>
        <w:rPr>
          <w:color w:val="000000"/>
          <w:spacing w:val="-1"/>
          <w:w w:val="95"/>
          <w:shd w:val="clear" w:color="auto" w:fill="E4E4E4"/>
        </w:rPr>
        <w:t>单纯胰岛移植、部分胰腺组织或细胞的移植不在本保障范围内。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严重慢性复发性胰腺炎:</w:t>
      </w:r>
    </w:p>
    <w:p>
      <w:pPr>
        <w:pStyle w:val="4"/>
        <w:spacing w:before="6"/>
        <w:rPr>
          <w:b/>
          <w:sz w:val="15"/>
        </w:rPr>
      </w:pPr>
    </w:p>
    <w:p>
      <w:pPr>
        <w:pStyle w:val="4"/>
        <w:spacing w:before="1" w:line="278" w:lineRule="auto"/>
        <w:ind w:left="2485" w:right="347"/>
      </w:pPr>
      <w:r>
        <w:rPr>
          <w:spacing w:val="-3"/>
          <w:w w:val="99"/>
        </w:rPr>
        <w:t>指慢性反复发作的胰腺炎症导致胰腺的广泛纤维化、坏死、弥漫性钙化及假性囊肿</w:t>
      </w:r>
      <w:r>
        <w:rPr>
          <w:spacing w:val="-1"/>
          <w:w w:val="99"/>
        </w:rPr>
        <w:t>形成，造成胰腺功能障碍出现严重糖尿病和营养不良。须满足下列全部条件：</w:t>
      </w:r>
    </w:p>
    <w:p>
      <w:pPr>
        <w:pStyle w:val="9"/>
        <w:numPr>
          <w:ilvl w:val="0"/>
          <w:numId w:val="58"/>
        </w:numPr>
        <w:tabs>
          <w:tab w:val="left" w:pos="3205"/>
          <w:tab w:val="left" w:pos="3206"/>
        </w:tabs>
        <w:spacing w:before="155" w:after="0" w:line="278" w:lineRule="auto"/>
        <w:ind w:left="3205" w:right="350" w:hanging="720"/>
        <w:jc w:val="left"/>
        <w:rPr>
          <w:sz w:val="21"/>
        </w:rPr>
      </w:pPr>
      <w:r>
        <w:rPr>
          <w:spacing w:val="1"/>
          <w:w w:val="99"/>
          <w:sz w:val="21"/>
        </w:rPr>
        <w:t>C</w:t>
      </w:r>
      <w:r>
        <w:rPr>
          <w:w w:val="99"/>
          <w:sz w:val="21"/>
        </w:rPr>
        <w:t>T</w:t>
      </w:r>
      <w:r>
        <w:rPr>
          <w:spacing w:val="-52"/>
          <w:sz w:val="21"/>
        </w:rPr>
        <w:t xml:space="preserve"> </w:t>
      </w:r>
      <w:r>
        <w:rPr>
          <w:spacing w:val="2"/>
          <w:w w:val="99"/>
          <w:sz w:val="21"/>
        </w:rPr>
        <w:t>显示胰腺广泛钙化或逆行胰胆管造影（</w:t>
      </w:r>
      <w:r>
        <w:rPr>
          <w:spacing w:val="1"/>
          <w:w w:val="99"/>
          <w:sz w:val="21"/>
        </w:rPr>
        <w:t>ERCP</w:t>
      </w:r>
      <w:r>
        <w:rPr>
          <w:spacing w:val="2"/>
          <w:w w:val="99"/>
          <w:sz w:val="21"/>
        </w:rPr>
        <w:t>）</w:t>
      </w:r>
      <w:r>
        <w:rPr>
          <w:spacing w:val="1"/>
          <w:w w:val="99"/>
          <w:sz w:val="21"/>
        </w:rPr>
        <w:t>显示胰管扭曲、扩张和狭</w:t>
      </w:r>
      <w:r>
        <w:rPr>
          <w:spacing w:val="-1"/>
          <w:w w:val="99"/>
          <w:sz w:val="21"/>
        </w:rPr>
        <w:t>窄；</w:t>
      </w:r>
    </w:p>
    <w:p>
      <w:pPr>
        <w:pStyle w:val="9"/>
        <w:numPr>
          <w:ilvl w:val="0"/>
          <w:numId w:val="58"/>
        </w:numPr>
        <w:tabs>
          <w:tab w:val="left" w:pos="3205"/>
          <w:tab w:val="left" w:pos="3206"/>
        </w:tabs>
        <w:spacing w:before="156" w:after="0" w:line="240" w:lineRule="auto"/>
        <w:ind w:left="3205" w:right="0" w:hanging="721"/>
        <w:jc w:val="left"/>
        <w:rPr>
          <w:sz w:val="21"/>
        </w:rPr>
      </w:pPr>
      <w:r>
        <w:rPr>
          <w:w w:val="95"/>
          <w:sz w:val="21"/>
        </w:rPr>
        <w:t>接受胰岛素代替治疗和酶替代治疗</w:t>
      </w:r>
      <w:r>
        <w:rPr>
          <w:spacing w:val="32"/>
          <w:sz w:val="21"/>
        </w:rPr>
        <w:t xml:space="preserve"> </w:t>
      </w:r>
      <w:r>
        <w:rPr>
          <w:w w:val="95"/>
          <w:sz w:val="21"/>
        </w:rPr>
        <w:t>180</w:t>
      </w:r>
      <w:r>
        <w:rPr>
          <w:spacing w:val="35"/>
          <w:sz w:val="21"/>
        </w:rPr>
        <w:t xml:space="preserve"> </w:t>
      </w:r>
      <w:r>
        <w:rPr>
          <w:spacing w:val="-3"/>
          <w:w w:val="95"/>
          <w:sz w:val="21"/>
        </w:rPr>
        <w:t>天以上。</w:t>
      </w:r>
    </w:p>
    <w:p>
      <w:pPr>
        <w:pStyle w:val="4"/>
        <w:spacing w:before="1"/>
        <w:rPr>
          <w:sz w:val="10"/>
        </w:rPr>
      </w:pPr>
    </w:p>
    <w:p>
      <w:pPr>
        <w:pStyle w:val="4"/>
        <w:spacing w:before="70"/>
        <w:ind w:left="2485"/>
      </w:pPr>
      <w:r>
        <w:rPr>
          <w:color w:val="000000"/>
          <w:spacing w:val="-1"/>
          <w:w w:val="95"/>
          <w:shd w:val="clear" w:color="auto" w:fill="E4E4E4"/>
        </w:rPr>
        <w:t>酒精导致的慢性复发性胰腺炎不在本保障范围内。</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spacing w:val="-1"/>
          <w:w w:val="95"/>
        </w:rPr>
        <w:t>特发性慢性肾上腺皮质功能减退:</w:t>
      </w:r>
    </w:p>
    <w:p>
      <w:pPr>
        <w:pStyle w:val="4"/>
        <w:spacing w:before="6"/>
        <w:rPr>
          <w:b/>
          <w:sz w:val="15"/>
        </w:rPr>
      </w:pPr>
    </w:p>
    <w:p>
      <w:pPr>
        <w:pStyle w:val="4"/>
        <w:spacing w:line="278" w:lineRule="auto"/>
        <w:ind w:left="2485" w:right="350"/>
      </w:pPr>
      <w:r>
        <w:rPr>
          <w:spacing w:val="-3"/>
          <w:w w:val="99"/>
        </w:rPr>
        <w:t>指因自身免疫功能紊乱，导致肾上腺萎缩和慢性肾上腺皮质功能减退。必须满足下</w:t>
      </w:r>
      <w:r>
        <w:rPr>
          <w:spacing w:val="-1"/>
          <w:w w:val="99"/>
        </w:rPr>
        <w:t>列全部条件：</w:t>
      </w:r>
    </w:p>
    <w:p>
      <w:pPr>
        <w:pStyle w:val="9"/>
        <w:numPr>
          <w:ilvl w:val="0"/>
          <w:numId w:val="59"/>
        </w:numPr>
        <w:tabs>
          <w:tab w:val="left" w:pos="3205"/>
          <w:tab w:val="left" w:pos="3206"/>
        </w:tabs>
        <w:spacing w:before="156" w:after="0" w:line="240" w:lineRule="auto"/>
        <w:ind w:left="3205" w:right="0" w:hanging="721"/>
        <w:jc w:val="left"/>
        <w:rPr>
          <w:sz w:val="21"/>
        </w:rPr>
      </w:pPr>
      <w:r>
        <w:rPr>
          <w:spacing w:val="-1"/>
          <w:w w:val="95"/>
          <w:sz w:val="21"/>
        </w:rPr>
        <w:t>明确诊断，符合所有以下诊断标准：</w:t>
      </w:r>
    </w:p>
    <w:p>
      <w:pPr>
        <w:pStyle w:val="4"/>
        <w:spacing w:before="7"/>
        <w:rPr>
          <w:sz w:val="15"/>
        </w:rPr>
      </w:pPr>
    </w:p>
    <w:p>
      <w:pPr>
        <w:pStyle w:val="9"/>
        <w:numPr>
          <w:ilvl w:val="1"/>
          <w:numId w:val="59"/>
        </w:numPr>
        <w:tabs>
          <w:tab w:val="left" w:pos="3626"/>
        </w:tabs>
        <w:spacing w:before="0" w:after="0" w:line="240" w:lineRule="auto"/>
        <w:ind w:left="3625" w:right="0" w:hanging="421"/>
        <w:jc w:val="left"/>
        <w:rPr>
          <w:sz w:val="21"/>
        </w:rPr>
      </w:pPr>
      <w:r>
        <w:rPr>
          <w:w w:val="95"/>
          <w:sz w:val="21"/>
        </w:rPr>
        <w:t>血浆促肾上腺皮质激素（ACTH）水平测定大于</w:t>
      </w:r>
      <w:r>
        <w:rPr>
          <w:spacing w:val="73"/>
          <w:w w:val="150"/>
          <w:sz w:val="21"/>
        </w:rPr>
        <w:t xml:space="preserve"> </w:t>
      </w:r>
      <w:r>
        <w:rPr>
          <w:spacing w:val="-2"/>
          <w:w w:val="95"/>
          <w:sz w:val="21"/>
        </w:rPr>
        <w:t>100pg/ml；</w:t>
      </w:r>
    </w:p>
    <w:p>
      <w:pPr>
        <w:pStyle w:val="4"/>
        <w:spacing w:before="6"/>
        <w:rPr>
          <w:sz w:val="15"/>
        </w:rPr>
      </w:pPr>
    </w:p>
    <w:p>
      <w:pPr>
        <w:pStyle w:val="9"/>
        <w:numPr>
          <w:ilvl w:val="1"/>
          <w:numId w:val="59"/>
        </w:numPr>
        <w:tabs>
          <w:tab w:val="left" w:pos="3626"/>
        </w:tabs>
        <w:spacing w:before="1" w:after="0" w:line="278" w:lineRule="auto"/>
        <w:ind w:left="3625" w:right="347" w:hanging="420"/>
        <w:jc w:val="both"/>
        <w:rPr>
          <w:sz w:val="21"/>
        </w:rPr>
      </w:pPr>
      <w:r>
        <w:rPr>
          <w:spacing w:val="-1"/>
          <w:w w:val="99"/>
          <w:sz w:val="21"/>
        </w:rPr>
        <w:t>血浆和尿游离皮质醇及尿</w:t>
      </w:r>
      <w:r>
        <w:rPr>
          <w:spacing w:val="-50"/>
          <w:sz w:val="21"/>
        </w:rPr>
        <w:t xml:space="preserve"> </w:t>
      </w:r>
      <w:r>
        <w:rPr>
          <w:spacing w:val="1"/>
          <w:w w:val="99"/>
          <w:sz w:val="21"/>
        </w:rPr>
        <w:t>1</w:t>
      </w:r>
      <w:r>
        <w:rPr>
          <w:w w:val="99"/>
          <w:sz w:val="21"/>
        </w:rPr>
        <w:t>7</w:t>
      </w:r>
      <w:r>
        <w:rPr>
          <w:spacing w:val="-54"/>
          <w:sz w:val="21"/>
        </w:rPr>
        <w:t xml:space="preserve"> </w:t>
      </w:r>
      <w:r>
        <w:rPr>
          <w:spacing w:val="-4"/>
          <w:w w:val="99"/>
          <w:sz w:val="21"/>
        </w:rPr>
        <w:t>羟皮质类固醇、</w:t>
      </w:r>
      <w:r>
        <w:rPr>
          <w:spacing w:val="1"/>
          <w:w w:val="99"/>
          <w:sz w:val="21"/>
        </w:rPr>
        <w:t>1</w:t>
      </w:r>
      <w:r>
        <w:rPr>
          <w:w w:val="99"/>
          <w:sz w:val="21"/>
        </w:rPr>
        <w:t>7</w:t>
      </w:r>
      <w:r>
        <w:rPr>
          <w:spacing w:val="-54"/>
          <w:sz w:val="21"/>
        </w:rPr>
        <w:t xml:space="preserve"> </w:t>
      </w:r>
      <w:r>
        <w:rPr>
          <w:spacing w:val="-4"/>
          <w:w w:val="99"/>
          <w:sz w:val="21"/>
        </w:rPr>
        <w:t>酮皮质类固醇测定、血</w:t>
      </w:r>
      <w:r>
        <w:rPr>
          <w:spacing w:val="-10"/>
          <w:w w:val="99"/>
          <w:sz w:val="21"/>
        </w:rPr>
        <w:t>浆肾素活性、血管紧张素Ⅱ和醛固酮测定，显示为原发性肾上腺皮质功</w:t>
      </w:r>
      <w:r>
        <w:rPr>
          <w:spacing w:val="-1"/>
          <w:w w:val="99"/>
          <w:sz w:val="21"/>
        </w:rPr>
        <w:t>能减退症；</w:t>
      </w:r>
    </w:p>
    <w:p>
      <w:pPr>
        <w:pStyle w:val="9"/>
        <w:numPr>
          <w:ilvl w:val="1"/>
          <w:numId w:val="59"/>
        </w:numPr>
        <w:tabs>
          <w:tab w:val="left" w:pos="3626"/>
        </w:tabs>
        <w:spacing w:before="155" w:after="0" w:line="278" w:lineRule="auto"/>
        <w:ind w:left="3625" w:right="350" w:hanging="420"/>
        <w:jc w:val="both"/>
        <w:rPr>
          <w:sz w:val="21"/>
        </w:rPr>
      </w:pPr>
      <w:r>
        <w:rPr>
          <w:spacing w:val="-8"/>
          <w:w w:val="99"/>
          <w:sz w:val="21"/>
        </w:rPr>
        <w:t>促肾上腺皮质激素</w:t>
      </w:r>
      <w:r>
        <w:rPr>
          <w:spacing w:val="-1"/>
          <w:w w:val="99"/>
          <w:sz w:val="21"/>
        </w:rPr>
        <w:t>（</w:t>
      </w:r>
      <w:r>
        <w:rPr>
          <w:spacing w:val="1"/>
          <w:w w:val="99"/>
          <w:sz w:val="21"/>
        </w:rPr>
        <w:t>ACT</w:t>
      </w:r>
      <w:r>
        <w:rPr>
          <w:spacing w:val="-2"/>
          <w:w w:val="99"/>
          <w:sz w:val="21"/>
        </w:rPr>
        <w:t>H</w:t>
      </w:r>
      <w:r>
        <w:rPr>
          <w:spacing w:val="-49"/>
          <w:w w:val="99"/>
          <w:sz w:val="21"/>
        </w:rPr>
        <w:t>）</w:t>
      </w:r>
      <w:r>
        <w:rPr>
          <w:spacing w:val="-1"/>
          <w:w w:val="99"/>
          <w:sz w:val="21"/>
        </w:rPr>
        <w:t>刺激试验显示为原发性肾上腺皮质功能减退症。</w:t>
      </w:r>
    </w:p>
    <w:p>
      <w:pPr>
        <w:pStyle w:val="9"/>
        <w:numPr>
          <w:ilvl w:val="0"/>
          <w:numId w:val="59"/>
        </w:numPr>
        <w:tabs>
          <w:tab w:val="left" w:pos="3206"/>
        </w:tabs>
        <w:spacing w:before="156" w:after="0" w:line="240" w:lineRule="auto"/>
        <w:ind w:left="3205" w:right="0" w:hanging="721"/>
        <w:jc w:val="both"/>
        <w:rPr>
          <w:sz w:val="21"/>
        </w:rPr>
      </w:pPr>
      <w:r>
        <w:rPr>
          <w:w w:val="95"/>
          <w:sz w:val="21"/>
        </w:rPr>
        <w:t>已经采用皮质类固醇替代治疗</w:t>
      </w:r>
      <w:r>
        <w:rPr>
          <w:spacing w:val="23"/>
          <w:sz w:val="21"/>
        </w:rPr>
        <w:t xml:space="preserve"> </w:t>
      </w:r>
      <w:r>
        <w:rPr>
          <w:w w:val="95"/>
          <w:sz w:val="21"/>
        </w:rPr>
        <w:t>180</w:t>
      </w:r>
      <w:r>
        <w:rPr>
          <w:spacing w:val="27"/>
          <w:sz w:val="21"/>
        </w:rPr>
        <w:t xml:space="preserve"> </w:t>
      </w:r>
      <w:r>
        <w:rPr>
          <w:spacing w:val="-3"/>
          <w:w w:val="95"/>
          <w:sz w:val="21"/>
        </w:rPr>
        <w:t>天以上。</w:t>
      </w:r>
    </w:p>
    <w:p>
      <w:pPr>
        <w:pStyle w:val="4"/>
        <w:spacing w:before="1"/>
        <w:rPr>
          <w:sz w:val="10"/>
        </w:rPr>
      </w:pPr>
    </w:p>
    <w:p>
      <w:pPr>
        <w:pStyle w:val="4"/>
        <w:spacing w:before="70" w:line="278" w:lineRule="auto"/>
        <w:ind w:left="2485" w:right="347"/>
        <w:jc w:val="both"/>
      </w:pPr>
      <w:r>
        <w:rPr>
          <w:spacing w:val="-2"/>
          <w:w w:val="99"/>
        </w:rPr>
        <w:t>本保障仅包括由自身免疫功能紊乱所导致的慢性肾上腺功能不全，</w:t>
      </w:r>
      <w:r>
        <w:rPr>
          <w:color w:val="000000"/>
          <w:spacing w:val="-2"/>
          <w:w w:val="99"/>
          <w:shd w:val="clear" w:color="auto" w:fill="E4E4E4"/>
        </w:rPr>
        <w:t>其他成因</w:t>
      </w:r>
      <w:r>
        <w:rPr>
          <w:color w:val="000000"/>
          <w:spacing w:val="2"/>
          <w:w w:val="99"/>
          <w:shd w:val="clear" w:color="auto" w:fill="E4E4E4"/>
        </w:rPr>
        <w:t>（</w:t>
      </w:r>
      <w:r>
        <w:rPr>
          <w:color w:val="000000"/>
          <w:spacing w:val="1"/>
          <w:w w:val="99"/>
          <w:shd w:val="clear" w:color="auto" w:fill="E4E4E4"/>
        </w:rPr>
        <w:t xml:space="preserve">包括                                                                                                                                              </w:t>
      </w:r>
      <w:r>
        <w:rPr>
          <w:color w:val="000000"/>
          <w:spacing w:val="2"/>
          <w:w w:val="99"/>
          <w:shd w:val="clear" w:color="auto" w:fill="E4E4E4"/>
        </w:rPr>
        <w:t>但不限于：肾上腺结核、</w:t>
      </w:r>
      <w:r>
        <w:rPr>
          <w:color w:val="000000"/>
          <w:spacing w:val="1"/>
          <w:w w:val="99"/>
          <w:shd w:val="clear" w:color="auto" w:fill="E4E4E4"/>
        </w:rPr>
        <w:t>HI</w:t>
      </w:r>
      <w:r>
        <w:rPr>
          <w:color w:val="000000"/>
          <w:w w:val="99"/>
          <w:shd w:val="clear" w:color="auto" w:fill="E4E4E4"/>
        </w:rPr>
        <w:t>V</w:t>
      </w:r>
      <w:r>
        <w:rPr>
          <w:color w:val="000000"/>
          <w:spacing w:val="-52"/>
          <w:shd w:val="clear" w:color="auto" w:fill="E4E4E4"/>
        </w:rPr>
        <w:t xml:space="preserve"> </w:t>
      </w:r>
      <w:r>
        <w:rPr>
          <w:color w:val="000000"/>
          <w:spacing w:val="2"/>
          <w:w w:val="99"/>
          <w:shd w:val="clear" w:color="auto" w:fill="E4E4E4"/>
        </w:rPr>
        <w:t>感染或艾滋病、感染、肿瘤）</w:t>
      </w:r>
      <w:r>
        <w:rPr>
          <w:color w:val="000000"/>
          <w:spacing w:val="1"/>
          <w:w w:val="99"/>
          <w:shd w:val="clear" w:color="auto" w:fill="E4E4E4"/>
        </w:rPr>
        <w:t>所致的原发性肾上腺皮</w:t>
      </w:r>
      <w:r>
        <w:rPr>
          <w:color w:val="000000"/>
          <w:spacing w:val="-1"/>
          <w:w w:val="99"/>
          <w:shd w:val="clear" w:color="auto" w:fill="E4E4E4"/>
        </w:rPr>
        <w:t>质功能减退和继发性肾上腺皮质功能减退均不在保障范围内。</w:t>
      </w:r>
    </w:p>
    <w:p>
      <w:pPr>
        <w:pStyle w:val="3"/>
        <w:numPr>
          <w:ilvl w:val="0"/>
          <w:numId w:val="14"/>
        </w:numPr>
        <w:tabs>
          <w:tab w:val="left" w:pos="3120"/>
        </w:tabs>
        <w:spacing w:before="156" w:after="0" w:line="240" w:lineRule="auto"/>
        <w:ind w:left="3119" w:right="0" w:hanging="635"/>
        <w:jc w:val="left"/>
      </w:pPr>
      <w:r>
        <w:rPr>
          <w:spacing w:val="-2"/>
          <w:w w:val="95"/>
        </w:rPr>
        <w:t>肺淋巴管肌瘤病:</w:t>
      </w:r>
    </w:p>
    <w:p>
      <w:pPr>
        <w:pStyle w:val="4"/>
        <w:spacing w:before="6"/>
        <w:rPr>
          <w:b/>
          <w:sz w:val="15"/>
        </w:rPr>
      </w:pPr>
    </w:p>
    <w:p>
      <w:pPr>
        <w:pStyle w:val="4"/>
        <w:spacing w:line="278" w:lineRule="auto"/>
        <w:ind w:left="2485" w:right="350"/>
      </w:pPr>
      <w:r>
        <w:rPr>
          <w:spacing w:val="-3"/>
          <w:w w:val="99"/>
        </w:rPr>
        <w:t>肺淋巴管肌瘤病是一种弥漫性肺部疾病，主要病理改变为肺间质、支气管、血管和</w:t>
      </w:r>
      <w:r>
        <w:rPr>
          <w:spacing w:val="-1"/>
          <w:w w:val="99"/>
        </w:rPr>
        <w:t>淋巴管内出现未成熟的平滑肌异常增生，同时须满足下列全部条件：</w:t>
      </w:r>
    </w:p>
    <w:p>
      <w:pPr>
        <w:pStyle w:val="9"/>
        <w:numPr>
          <w:ilvl w:val="0"/>
          <w:numId w:val="60"/>
        </w:numPr>
        <w:tabs>
          <w:tab w:val="left" w:pos="3205"/>
          <w:tab w:val="left" w:pos="3206"/>
        </w:tabs>
        <w:spacing w:before="156" w:after="0" w:line="240" w:lineRule="auto"/>
        <w:ind w:left="3205" w:right="0" w:hanging="721"/>
        <w:jc w:val="left"/>
        <w:rPr>
          <w:sz w:val="21"/>
        </w:rPr>
      </w:pPr>
      <w:r>
        <w:rPr>
          <w:spacing w:val="-2"/>
          <w:w w:val="95"/>
          <w:sz w:val="21"/>
        </w:rPr>
        <w:t>经组织病理学诊断；</w:t>
      </w:r>
    </w:p>
    <w:p>
      <w:pPr>
        <w:pStyle w:val="4"/>
        <w:spacing w:before="7"/>
        <w:rPr>
          <w:sz w:val="15"/>
        </w:rPr>
      </w:pPr>
    </w:p>
    <w:p>
      <w:pPr>
        <w:pStyle w:val="9"/>
        <w:numPr>
          <w:ilvl w:val="0"/>
          <w:numId w:val="60"/>
        </w:numPr>
        <w:tabs>
          <w:tab w:val="left" w:pos="3205"/>
          <w:tab w:val="left" w:pos="3206"/>
        </w:tabs>
        <w:spacing w:before="0" w:after="0" w:line="240" w:lineRule="auto"/>
        <w:ind w:left="3205" w:right="0" w:hanging="721"/>
        <w:jc w:val="left"/>
        <w:rPr>
          <w:sz w:val="21"/>
        </w:rPr>
      </w:pPr>
      <w:r>
        <w:rPr>
          <w:w w:val="95"/>
          <w:sz w:val="21"/>
        </w:rPr>
        <w:t>CT</w:t>
      </w:r>
      <w:r>
        <w:rPr>
          <w:spacing w:val="51"/>
          <w:sz w:val="21"/>
        </w:rPr>
        <w:t xml:space="preserve"> </w:t>
      </w:r>
      <w:r>
        <w:rPr>
          <w:spacing w:val="-1"/>
          <w:w w:val="95"/>
          <w:sz w:val="21"/>
        </w:rPr>
        <w:t>显示双肺弥漫性囊性改变；</w:t>
      </w:r>
    </w:p>
    <w:p>
      <w:pPr>
        <w:pStyle w:val="4"/>
        <w:spacing w:before="6"/>
        <w:rPr>
          <w:sz w:val="15"/>
        </w:rPr>
      </w:pPr>
    </w:p>
    <w:p>
      <w:pPr>
        <w:pStyle w:val="9"/>
        <w:numPr>
          <w:ilvl w:val="0"/>
          <w:numId w:val="60"/>
        </w:numPr>
        <w:tabs>
          <w:tab w:val="left" w:pos="3205"/>
          <w:tab w:val="left" w:pos="3206"/>
        </w:tabs>
        <w:spacing w:before="1" w:after="0" w:line="240" w:lineRule="auto"/>
        <w:ind w:left="3205" w:right="0" w:hanging="721"/>
        <w:jc w:val="left"/>
        <w:rPr>
          <w:sz w:val="21"/>
        </w:rPr>
      </w:pPr>
      <w:r>
        <w:rPr>
          <w:spacing w:val="-2"/>
          <w:w w:val="95"/>
          <w:sz w:val="21"/>
        </w:rPr>
        <w:t>血气提示低氧血症。</w:t>
      </w:r>
    </w:p>
    <w:p>
      <w:pPr>
        <w:pStyle w:val="4"/>
        <w:spacing w:before="6"/>
        <w:rPr>
          <w:sz w:val="15"/>
        </w:rPr>
      </w:pPr>
    </w:p>
    <w:p>
      <w:pPr>
        <w:pStyle w:val="3"/>
        <w:numPr>
          <w:ilvl w:val="0"/>
          <w:numId w:val="14"/>
        </w:numPr>
        <w:tabs>
          <w:tab w:val="left" w:pos="3120"/>
        </w:tabs>
        <w:spacing w:before="0" w:after="0" w:line="240" w:lineRule="auto"/>
        <w:ind w:left="3119" w:right="0" w:hanging="635"/>
        <w:jc w:val="left"/>
      </w:pPr>
      <w:r>
        <w:rPr>
          <w:spacing w:val="-1"/>
          <w:w w:val="95"/>
        </w:rPr>
        <w:t>严重肠道疾病并发症:</w:t>
      </w:r>
    </w:p>
    <w:p>
      <w:pPr>
        <w:pStyle w:val="4"/>
        <w:spacing w:before="7"/>
        <w:rPr>
          <w:b/>
          <w:sz w:val="15"/>
        </w:rPr>
      </w:pPr>
    </w:p>
    <w:p>
      <w:pPr>
        <w:pStyle w:val="4"/>
        <w:ind w:left="2485"/>
      </w:pPr>
      <w:r>
        <w:rPr>
          <w:spacing w:val="-1"/>
          <w:w w:val="95"/>
        </w:rPr>
        <w:t>严重肠道疾病或外伤导致小肠损害并发症，须满足下列全部条件：</w:t>
      </w:r>
    </w:p>
    <w:p>
      <w:pPr>
        <w:pStyle w:val="4"/>
        <w:spacing w:before="7"/>
        <w:rPr>
          <w:sz w:val="15"/>
        </w:rPr>
      </w:pPr>
    </w:p>
    <w:p>
      <w:pPr>
        <w:pStyle w:val="9"/>
        <w:numPr>
          <w:ilvl w:val="0"/>
          <w:numId w:val="61"/>
        </w:numPr>
        <w:tabs>
          <w:tab w:val="left" w:pos="3205"/>
          <w:tab w:val="left" w:pos="3206"/>
        </w:tabs>
        <w:spacing w:before="0" w:after="0" w:line="240" w:lineRule="auto"/>
        <w:ind w:left="3205" w:right="0" w:hanging="721"/>
        <w:jc w:val="left"/>
        <w:rPr>
          <w:sz w:val="21"/>
        </w:rPr>
      </w:pPr>
      <w:r>
        <w:rPr>
          <w:spacing w:val="-1"/>
          <w:w w:val="95"/>
          <w:sz w:val="21"/>
        </w:rPr>
        <w:t>至少切除了三分之二小肠；</w:t>
      </w:r>
    </w:p>
    <w:p>
      <w:pPr>
        <w:pStyle w:val="4"/>
        <w:spacing w:before="6"/>
        <w:rPr>
          <w:sz w:val="15"/>
        </w:rPr>
      </w:pPr>
    </w:p>
    <w:p>
      <w:pPr>
        <w:pStyle w:val="9"/>
        <w:numPr>
          <w:ilvl w:val="0"/>
          <w:numId w:val="61"/>
        </w:numPr>
        <w:tabs>
          <w:tab w:val="left" w:pos="3205"/>
          <w:tab w:val="left" w:pos="3206"/>
        </w:tabs>
        <w:spacing w:before="1" w:after="0" w:line="240" w:lineRule="auto"/>
        <w:ind w:left="3205" w:right="0" w:hanging="721"/>
        <w:jc w:val="left"/>
        <w:rPr>
          <w:sz w:val="21"/>
        </w:rPr>
      </w:pPr>
      <w:r>
        <w:rPr>
          <w:w w:val="95"/>
          <w:sz w:val="21"/>
        </w:rPr>
        <w:t>完全肠外营养支持</w:t>
      </w:r>
      <w:r>
        <w:rPr>
          <w:spacing w:val="5"/>
          <w:sz w:val="21"/>
        </w:rPr>
        <w:t xml:space="preserve"> </w:t>
      </w:r>
      <w:r>
        <w:rPr>
          <w:w w:val="95"/>
          <w:sz w:val="21"/>
        </w:rPr>
        <w:t>3</w:t>
      </w:r>
      <w:r>
        <w:rPr>
          <w:spacing w:val="2"/>
          <w:sz w:val="21"/>
        </w:rPr>
        <w:t xml:space="preserve"> </w:t>
      </w:r>
      <w:r>
        <w:rPr>
          <w:spacing w:val="-2"/>
          <w:w w:val="95"/>
          <w:sz w:val="21"/>
        </w:rPr>
        <w:t>个月以上。</w:t>
      </w:r>
    </w:p>
    <w:p>
      <w:pPr>
        <w:spacing w:after="0" w:line="240" w:lineRule="auto"/>
        <w:jc w:val="left"/>
        <w:rPr>
          <w:sz w:val="21"/>
        </w:rPr>
        <w:sectPr>
          <w:pgSz w:w="11910" w:h="16840"/>
          <w:pgMar w:top="1400" w:right="660" w:bottom="860" w:left="860" w:header="0" w:footer="662" w:gutter="0"/>
          <w:cols w:space="720" w:num="1"/>
        </w:sectPr>
      </w:pPr>
    </w:p>
    <w:p>
      <w:pPr>
        <w:pStyle w:val="3"/>
        <w:numPr>
          <w:ilvl w:val="0"/>
          <w:numId w:val="14"/>
        </w:numPr>
        <w:tabs>
          <w:tab w:val="left" w:pos="3120"/>
        </w:tabs>
        <w:spacing w:before="43" w:after="0" w:line="240" w:lineRule="auto"/>
        <w:ind w:left="3119" w:right="0" w:hanging="635"/>
        <w:jc w:val="left"/>
      </w:pPr>
      <w:r>
        <w:rPr>
          <w:spacing w:val="-2"/>
          <w:w w:val="95"/>
        </w:rPr>
        <w:t>严重冠心病:</w:t>
      </w:r>
    </w:p>
    <w:p>
      <w:pPr>
        <w:pStyle w:val="4"/>
        <w:spacing w:before="7"/>
        <w:rPr>
          <w:b/>
          <w:sz w:val="15"/>
        </w:rPr>
      </w:pPr>
    </w:p>
    <w:p>
      <w:pPr>
        <w:pStyle w:val="4"/>
        <w:spacing w:line="278" w:lineRule="auto"/>
        <w:ind w:left="2485" w:right="350"/>
        <w:jc w:val="both"/>
      </w:pPr>
      <w:r>
        <w:rPr>
          <w:spacing w:val="-2"/>
          <w:w w:val="99"/>
        </w:rPr>
        <w:t>指经根据冠状动脉造影检查结果明确诊断为三支主要血管</w:t>
      </w:r>
      <w:r>
        <w:rPr>
          <w:spacing w:val="2"/>
          <w:w w:val="99"/>
        </w:rPr>
        <w:t>（</w:t>
      </w:r>
      <w:r>
        <w:rPr>
          <w:spacing w:val="-1"/>
          <w:w w:val="99"/>
        </w:rPr>
        <w:t>左冠状动脉主干和右冠</w:t>
      </w:r>
      <w:r>
        <w:rPr>
          <w:spacing w:val="-2"/>
          <w:w w:val="99"/>
        </w:rPr>
        <w:t>状动脉，或前降支、左旋支和右冠状动脉</w:t>
      </w:r>
      <w:r>
        <w:rPr>
          <w:spacing w:val="-3"/>
          <w:w w:val="99"/>
        </w:rPr>
        <w:t>）</w:t>
      </w:r>
      <w:r>
        <w:rPr>
          <w:spacing w:val="-1"/>
          <w:w w:val="99"/>
        </w:rPr>
        <w:t>严重狭窄性病变（至少一支血管管腔直</w:t>
      </w:r>
      <w:r>
        <w:rPr>
          <w:w w:val="99"/>
        </w:rPr>
        <w:t>径减少</w:t>
      </w:r>
      <w:r>
        <w:t xml:space="preserve"> </w:t>
      </w:r>
      <w:r>
        <w:rPr>
          <w:spacing w:val="1"/>
          <w:w w:val="99"/>
        </w:rPr>
        <w:t>75%</w:t>
      </w:r>
      <w:r>
        <w:rPr>
          <w:spacing w:val="-1"/>
          <w:w w:val="99"/>
        </w:rPr>
        <w:t>以上和其他两支血管管腔直径减少</w:t>
      </w:r>
      <w:r>
        <w:rPr>
          <w:spacing w:val="-53"/>
        </w:rPr>
        <w:t xml:space="preserve"> </w:t>
      </w:r>
      <w:r>
        <w:rPr>
          <w:spacing w:val="1"/>
          <w:w w:val="99"/>
        </w:rPr>
        <w:t>60</w:t>
      </w:r>
      <w:r>
        <w:rPr>
          <w:spacing w:val="-1"/>
          <w:w w:val="99"/>
        </w:rPr>
        <w:t>%以上</w:t>
      </w:r>
      <w:r>
        <w:rPr>
          <w:spacing w:val="-104"/>
          <w:w w:val="99"/>
        </w:rPr>
        <w:t>）</w:t>
      </w:r>
      <w:r>
        <w:rPr>
          <w:w w:val="99"/>
        </w:rPr>
        <w:t>。</w:t>
      </w:r>
    </w:p>
    <w:p>
      <w:pPr>
        <w:pStyle w:val="4"/>
        <w:spacing w:line="269" w:lineRule="exact"/>
        <w:ind w:left="2485"/>
      </w:pPr>
      <w:r>
        <w:rPr>
          <w:color w:val="000000"/>
          <w:spacing w:val="-1"/>
          <w:w w:val="95"/>
          <w:shd w:val="clear" w:color="auto" w:fill="E4E4E4"/>
        </w:rPr>
        <w:t>前降支、左旋支及右冠状动脉的分支血管的狭窄不作为本保障的衡量指标。</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spacing w:val="-2"/>
          <w:w w:val="95"/>
        </w:rPr>
        <w:t>肺源性心脏病:</w:t>
      </w:r>
    </w:p>
    <w:p>
      <w:pPr>
        <w:pStyle w:val="4"/>
        <w:spacing w:before="6"/>
        <w:rPr>
          <w:b/>
          <w:sz w:val="15"/>
        </w:rPr>
      </w:pPr>
    </w:p>
    <w:p>
      <w:pPr>
        <w:pStyle w:val="4"/>
        <w:spacing w:line="278" w:lineRule="auto"/>
        <w:ind w:left="2485" w:right="338"/>
        <w:jc w:val="both"/>
      </w:pPr>
      <w:r>
        <w:rPr>
          <w:spacing w:val="-1"/>
          <w:w w:val="99"/>
        </w:rPr>
        <w:t>指被保险人因慢性肺部疾病导致慢性心功能损害造成永久不可逆性的心功能衰竭。</w:t>
      </w:r>
      <w:r>
        <w:rPr>
          <w:spacing w:val="-2"/>
          <w:w w:val="99"/>
        </w:rPr>
        <w:t>心功能衰竭程度达到美国纽约心脏病学会心功能状态分级Ⅳ级。被保险人永久不可</w:t>
      </w:r>
      <w:r>
        <w:rPr>
          <w:spacing w:val="-1"/>
          <w:w w:val="99"/>
        </w:rPr>
        <w:t>逆性的体力活动能力受限，不能从事任何体力活动。</w:t>
      </w:r>
    </w:p>
    <w:p>
      <w:pPr>
        <w:pStyle w:val="3"/>
        <w:numPr>
          <w:ilvl w:val="0"/>
          <w:numId w:val="14"/>
        </w:numPr>
        <w:tabs>
          <w:tab w:val="left" w:pos="3120"/>
        </w:tabs>
        <w:spacing w:before="156" w:after="0" w:line="240" w:lineRule="auto"/>
        <w:ind w:left="3119" w:right="0" w:hanging="635"/>
        <w:jc w:val="left"/>
      </w:pPr>
      <w:r>
        <w:rPr>
          <w:spacing w:val="-1"/>
          <w:w w:val="95"/>
        </w:rPr>
        <w:t>严重慢性缩窄性心包炎:</w:t>
      </w:r>
    </w:p>
    <w:p>
      <w:pPr>
        <w:pStyle w:val="4"/>
        <w:spacing w:before="7"/>
        <w:rPr>
          <w:b/>
          <w:sz w:val="15"/>
        </w:rPr>
      </w:pPr>
    </w:p>
    <w:p>
      <w:pPr>
        <w:pStyle w:val="4"/>
        <w:spacing w:line="278" w:lineRule="auto"/>
        <w:ind w:left="2485" w:right="338"/>
      </w:pPr>
      <w:r>
        <w:rPr>
          <w:spacing w:val="-1"/>
          <w:w w:val="99"/>
        </w:rPr>
        <w:t>由于慢性心包炎症导致心包脏层和壁层广泛瘢痕粘连、增厚和钙化，心包腔闭塞，形成一个纤维瘢痕外壳，使心脏和大血管根部受压，阻碍心脏的舒张。</w:t>
      </w:r>
    </w:p>
    <w:p>
      <w:pPr>
        <w:pStyle w:val="4"/>
        <w:spacing w:line="269" w:lineRule="exact"/>
        <w:ind w:left="2485"/>
      </w:pPr>
      <w:r>
        <w:rPr>
          <w:spacing w:val="-1"/>
          <w:w w:val="95"/>
        </w:rPr>
        <w:t>被保险人被明确诊断为慢性缩窄性心包炎且必须满足下列全部条件：</w:t>
      </w:r>
    </w:p>
    <w:p>
      <w:pPr>
        <w:pStyle w:val="4"/>
        <w:spacing w:before="6"/>
        <w:rPr>
          <w:sz w:val="15"/>
        </w:rPr>
      </w:pPr>
    </w:p>
    <w:p>
      <w:pPr>
        <w:pStyle w:val="9"/>
        <w:numPr>
          <w:ilvl w:val="0"/>
          <w:numId w:val="62"/>
        </w:numPr>
        <w:tabs>
          <w:tab w:val="left" w:pos="3205"/>
          <w:tab w:val="left" w:pos="3206"/>
        </w:tabs>
        <w:spacing w:before="0" w:after="0" w:line="278" w:lineRule="auto"/>
        <w:ind w:left="3205" w:right="347" w:hanging="720"/>
        <w:jc w:val="left"/>
        <w:rPr>
          <w:sz w:val="21"/>
        </w:rPr>
      </w:pPr>
      <w:r>
        <w:rPr>
          <w:spacing w:val="-5"/>
          <w:w w:val="99"/>
          <w:sz w:val="21"/>
        </w:rPr>
        <w:t>新功能衰竭达到美国纽约心脏病学会心功能状态分级Ⅳ级，并持续</w:t>
      </w:r>
      <w:r>
        <w:rPr>
          <w:spacing w:val="-50"/>
          <w:sz w:val="21"/>
        </w:rPr>
        <w:t xml:space="preserve"> </w:t>
      </w:r>
      <w:r>
        <w:rPr>
          <w:spacing w:val="1"/>
          <w:w w:val="99"/>
          <w:sz w:val="21"/>
        </w:rPr>
        <w:t>18</w:t>
      </w:r>
      <w:r>
        <w:rPr>
          <w:w w:val="99"/>
          <w:sz w:val="21"/>
        </w:rPr>
        <w:t>0</w:t>
      </w:r>
      <w:r>
        <w:rPr>
          <w:spacing w:val="-54"/>
          <w:sz w:val="21"/>
        </w:rPr>
        <w:t xml:space="preserve"> </w:t>
      </w:r>
      <w:r>
        <w:rPr>
          <w:spacing w:val="1"/>
          <w:w w:val="99"/>
          <w:sz w:val="21"/>
        </w:rPr>
        <w:t>天以</w:t>
      </w:r>
      <w:r>
        <w:rPr>
          <w:spacing w:val="-1"/>
          <w:w w:val="99"/>
          <w:sz w:val="21"/>
        </w:rPr>
        <w:t>上；</w:t>
      </w:r>
    </w:p>
    <w:p>
      <w:pPr>
        <w:pStyle w:val="9"/>
        <w:numPr>
          <w:ilvl w:val="0"/>
          <w:numId w:val="62"/>
        </w:numPr>
        <w:tabs>
          <w:tab w:val="left" w:pos="3205"/>
          <w:tab w:val="left" w:pos="3206"/>
        </w:tabs>
        <w:spacing w:before="156" w:after="0" w:line="278" w:lineRule="auto"/>
        <w:ind w:left="3205" w:right="249" w:hanging="720"/>
        <w:jc w:val="left"/>
        <w:rPr>
          <w:sz w:val="21"/>
        </w:rPr>
      </w:pPr>
      <w:r>
        <w:rPr>
          <w:spacing w:val="-1"/>
          <w:w w:val="99"/>
          <w:sz w:val="21"/>
        </w:rPr>
        <w:t>实际接收了以下任何一种手术路径的心包剥脱或心包切除手术；手术路径：胸骨正中切口；双侧前胸切口；左前胸肋间切口。</w:t>
      </w:r>
    </w:p>
    <w:p>
      <w:pPr>
        <w:pStyle w:val="4"/>
        <w:spacing w:before="156"/>
        <w:ind w:left="2485"/>
      </w:pPr>
      <w:r>
        <w:rPr>
          <w:color w:val="000000"/>
          <w:spacing w:val="-1"/>
          <w:w w:val="95"/>
          <w:shd w:val="clear" w:color="auto" w:fill="E4E4E4"/>
        </w:rPr>
        <w:t>经胸腔镜、胸壁打孔进行的手术、心包粘连松解手术不在保障范围内。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严重Ⅲ度房室传导阻滞:</w:t>
      </w:r>
    </w:p>
    <w:p>
      <w:pPr>
        <w:pStyle w:val="4"/>
        <w:spacing w:before="6"/>
        <w:rPr>
          <w:b/>
          <w:sz w:val="15"/>
        </w:rPr>
      </w:pPr>
    </w:p>
    <w:p>
      <w:pPr>
        <w:pStyle w:val="4"/>
        <w:spacing w:before="1" w:line="278" w:lineRule="auto"/>
        <w:ind w:left="2485" w:right="350"/>
      </w:pPr>
      <w:r>
        <w:rPr>
          <w:spacing w:val="-3"/>
          <w:w w:val="99"/>
        </w:rPr>
        <w:t>指心房激动在房室交界区、房室束及其分支内发生阻滞，不能正常地传到心室的心</w:t>
      </w:r>
      <w:r>
        <w:rPr>
          <w:spacing w:val="-1"/>
          <w:w w:val="99"/>
        </w:rPr>
        <w:t>脏传导性疾病，须满足下列全部条件：</w:t>
      </w:r>
    </w:p>
    <w:p>
      <w:pPr>
        <w:pStyle w:val="9"/>
        <w:numPr>
          <w:ilvl w:val="0"/>
          <w:numId w:val="63"/>
        </w:numPr>
        <w:tabs>
          <w:tab w:val="left" w:pos="3205"/>
          <w:tab w:val="left" w:pos="3206"/>
        </w:tabs>
        <w:spacing w:before="155" w:after="0" w:line="240" w:lineRule="auto"/>
        <w:ind w:left="3205" w:right="0" w:hanging="721"/>
        <w:jc w:val="left"/>
        <w:rPr>
          <w:sz w:val="21"/>
        </w:rPr>
      </w:pPr>
      <w:r>
        <w:rPr>
          <w:w w:val="95"/>
          <w:sz w:val="21"/>
        </w:rPr>
        <w:t>心电图显示房室搏动彼此独立，心室率＜50</w:t>
      </w:r>
      <w:r>
        <w:rPr>
          <w:spacing w:val="22"/>
          <w:sz w:val="21"/>
        </w:rPr>
        <w:t xml:space="preserve">  </w:t>
      </w:r>
      <w:r>
        <w:rPr>
          <w:spacing w:val="-2"/>
          <w:w w:val="95"/>
          <w:sz w:val="21"/>
        </w:rPr>
        <w:t>次/分钟；</w:t>
      </w:r>
    </w:p>
    <w:p>
      <w:pPr>
        <w:pStyle w:val="4"/>
        <w:spacing w:before="7"/>
        <w:rPr>
          <w:sz w:val="15"/>
        </w:rPr>
      </w:pPr>
    </w:p>
    <w:p>
      <w:pPr>
        <w:pStyle w:val="9"/>
        <w:numPr>
          <w:ilvl w:val="0"/>
          <w:numId w:val="63"/>
        </w:numPr>
        <w:tabs>
          <w:tab w:val="left" w:pos="3205"/>
          <w:tab w:val="left" w:pos="3206"/>
        </w:tabs>
        <w:spacing w:before="0" w:after="0" w:line="240" w:lineRule="auto"/>
        <w:ind w:left="3205" w:right="0" w:hanging="721"/>
        <w:jc w:val="left"/>
        <w:rPr>
          <w:sz w:val="21"/>
        </w:rPr>
      </w:pPr>
      <w:r>
        <w:rPr>
          <w:spacing w:val="-1"/>
          <w:w w:val="95"/>
          <w:sz w:val="21"/>
        </w:rPr>
        <w:t>出现阿-斯综合症或心力衰竭的表现；</w:t>
      </w:r>
    </w:p>
    <w:p>
      <w:pPr>
        <w:pStyle w:val="4"/>
        <w:spacing w:before="7"/>
        <w:rPr>
          <w:sz w:val="15"/>
        </w:rPr>
      </w:pPr>
    </w:p>
    <w:p>
      <w:pPr>
        <w:pStyle w:val="9"/>
        <w:numPr>
          <w:ilvl w:val="0"/>
          <w:numId w:val="63"/>
        </w:numPr>
        <w:tabs>
          <w:tab w:val="left" w:pos="3205"/>
          <w:tab w:val="left" w:pos="3206"/>
        </w:tabs>
        <w:spacing w:before="0" w:after="0" w:line="240" w:lineRule="auto"/>
        <w:ind w:left="3205" w:right="0" w:hanging="721"/>
        <w:jc w:val="left"/>
        <w:rPr>
          <w:sz w:val="21"/>
        </w:rPr>
      </w:pPr>
      <w:r>
        <w:rPr>
          <w:spacing w:val="-1"/>
          <w:w w:val="95"/>
          <w:sz w:val="21"/>
        </w:rPr>
        <w:t>必须持续性依赖心脏起搏器维持心脏正常功能，且已经放置心脏起搏器。</w:t>
      </w:r>
    </w:p>
    <w:p>
      <w:pPr>
        <w:pStyle w:val="4"/>
        <w:spacing w:before="6"/>
        <w:rPr>
          <w:sz w:val="15"/>
        </w:rPr>
      </w:pPr>
    </w:p>
    <w:p>
      <w:pPr>
        <w:pStyle w:val="3"/>
        <w:numPr>
          <w:ilvl w:val="0"/>
          <w:numId w:val="14"/>
        </w:numPr>
        <w:tabs>
          <w:tab w:val="left" w:pos="3120"/>
        </w:tabs>
        <w:spacing w:before="1" w:after="0" w:line="240" w:lineRule="auto"/>
        <w:ind w:left="3119" w:right="0" w:hanging="635"/>
        <w:jc w:val="left"/>
      </w:pPr>
      <w:r>
        <w:rPr>
          <w:spacing w:val="-2"/>
          <w:w w:val="95"/>
        </w:rPr>
        <w:t>艾森门格综合征:</w:t>
      </w:r>
    </w:p>
    <w:p>
      <w:pPr>
        <w:pStyle w:val="4"/>
        <w:spacing w:before="6"/>
        <w:rPr>
          <w:b/>
          <w:sz w:val="15"/>
        </w:rPr>
      </w:pPr>
    </w:p>
    <w:p>
      <w:pPr>
        <w:pStyle w:val="4"/>
        <w:spacing w:line="278" w:lineRule="auto"/>
        <w:ind w:left="2485" w:right="350"/>
      </w:pPr>
      <w:r>
        <w:rPr>
          <w:spacing w:val="-2"/>
          <w:w w:val="99"/>
        </w:rPr>
        <w:t>因心脏病导致的严重肺动脉高压及右向左分流。诊断必须由心脏专科医生经超声心</w:t>
      </w:r>
      <w:r>
        <w:rPr>
          <w:spacing w:val="-1"/>
          <w:w w:val="99"/>
        </w:rPr>
        <w:t>动图和心导管检查证实及需符合以下所有标准：</w:t>
      </w:r>
    </w:p>
    <w:p>
      <w:pPr>
        <w:pStyle w:val="9"/>
        <w:numPr>
          <w:ilvl w:val="0"/>
          <w:numId w:val="64"/>
        </w:numPr>
        <w:tabs>
          <w:tab w:val="left" w:pos="3205"/>
          <w:tab w:val="left" w:pos="3206"/>
        </w:tabs>
        <w:spacing w:before="156" w:after="0" w:line="240" w:lineRule="auto"/>
        <w:ind w:left="3205" w:right="0" w:hanging="721"/>
        <w:jc w:val="left"/>
        <w:rPr>
          <w:sz w:val="21"/>
        </w:rPr>
      </w:pPr>
      <w:r>
        <w:rPr>
          <w:w w:val="95"/>
          <w:sz w:val="21"/>
        </w:rPr>
        <w:t>平均肺动脉压高于</w:t>
      </w:r>
      <w:r>
        <w:rPr>
          <w:spacing w:val="19"/>
          <w:sz w:val="21"/>
        </w:rPr>
        <w:t xml:space="preserve"> </w:t>
      </w:r>
      <w:r>
        <w:rPr>
          <w:spacing w:val="-2"/>
          <w:w w:val="95"/>
          <w:sz w:val="21"/>
        </w:rPr>
        <w:t>40mmHg；</w:t>
      </w:r>
    </w:p>
    <w:p>
      <w:pPr>
        <w:pStyle w:val="4"/>
        <w:spacing w:before="7"/>
        <w:rPr>
          <w:sz w:val="15"/>
        </w:rPr>
      </w:pPr>
    </w:p>
    <w:p>
      <w:pPr>
        <w:pStyle w:val="9"/>
        <w:numPr>
          <w:ilvl w:val="0"/>
          <w:numId w:val="64"/>
        </w:numPr>
        <w:tabs>
          <w:tab w:val="left" w:pos="3205"/>
          <w:tab w:val="left" w:pos="3206"/>
        </w:tabs>
        <w:spacing w:before="0" w:after="0" w:line="240" w:lineRule="auto"/>
        <w:ind w:left="3205" w:right="0" w:hanging="721"/>
        <w:jc w:val="left"/>
        <w:rPr>
          <w:sz w:val="21"/>
        </w:rPr>
      </w:pPr>
      <w:r>
        <w:rPr>
          <w:w w:val="95"/>
          <w:sz w:val="21"/>
        </w:rPr>
        <w:t>肺血管阻力高于</w:t>
      </w:r>
      <w:r>
        <w:rPr>
          <w:spacing w:val="-4"/>
          <w:sz w:val="21"/>
        </w:rPr>
        <w:t xml:space="preserve"> </w:t>
      </w:r>
      <w:r>
        <w:rPr>
          <w:w w:val="95"/>
          <w:sz w:val="21"/>
        </w:rPr>
        <w:t>3mm/L/min（Wood</w:t>
      </w:r>
      <w:r>
        <w:rPr>
          <w:spacing w:val="45"/>
          <w:w w:val="150"/>
          <w:sz w:val="21"/>
        </w:rPr>
        <w:t xml:space="preserve"> </w:t>
      </w:r>
      <w:r>
        <w:rPr>
          <w:w w:val="95"/>
          <w:sz w:val="21"/>
        </w:rPr>
        <w:t>单位</w:t>
      </w:r>
      <w:r>
        <w:rPr>
          <w:spacing w:val="-109"/>
          <w:w w:val="95"/>
          <w:sz w:val="21"/>
        </w:rPr>
        <w:t>）</w:t>
      </w:r>
      <w:r>
        <w:rPr>
          <w:spacing w:val="-5"/>
          <w:w w:val="95"/>
          <w:sz w:val="21"/>
        </w:rPr>
        <w:t>；</w:t>
      </w:r>
    </w:p>
    <w:p>
      <w:pPr>
        <w:pStyle w:val="4"/>
        <w:spacing w:before="6"/>
        <w:rPr>
          <w:sz w:val="15"/>
        </w:rPr>
      </w:pPr>
    </w:p>
    <w:p>
      <w:pPr>
        <w:pStyle w:val="9"/>
        <w:numPr>
          <w:ilvl w:val="0"/>
          <w:numId w:val="64"/>
        </w:numPr>
        <w:tabs>
          <w:tab w:val="left" w:pos="3205"/>
          <w:tab w:val="left" w:pos="3206"/>
        </w:tabs>
        <w:spacing w:before="1" w:after="0" w:line="240" w:lineRule="auto"/>
        <w:ind w:left="3205" w:right="0" w:hanging="721"/>
        <w:jc w:val="left"/>
        <w:rPr>
          <w:sz w:val="21"/>
        </w:rPr>
      </w:pPr>
      <w:r>
        <w:rPr>
          <w:w w:val="95"/>
          <w:sz w:val="21"/>
        </w:rPr>
        <w:t>正常肺微血管楔压低于</w:t>
      </w:r>
      <w:r>
        <w:rPr>
          <w:spacing w:val="62"/>
          <w:sz w:val="21"/>
        </w:rPr>
        <w:t xml:space="preserve"> </w:t>
      </w:r>
      <w:r>
        <w:rPr>
          <w:w w:val="95"/>
          <w:sz w:val="21"/>
        </w:rPr>
        <w:t>15mmHg</w:t>
      </w:r>
      <w:r>
        <w:rPr>
          <w:spacing w:val="-10"/>
          <w:w w:val="95"/>
          <w:sz w:val="21"/>
        </w:rPr>
        <w:t>。</w:t>
      </w:r>
    </w:p>
    <w:p>
      <w:pPr>
        <w:pStyle w:val="4"/>
        <w:spacing w:before="6"/>
        <w:rPr>
          <w:sz w:val="15"/>
        </w:rPr>
      </w:pPr>
    </w:p>
    <w:p>
      <w:pPr>
        <w:pStyle w:val="4"/>
        <w:spacing w:line="278" w:lineRule="auto"/>
        <w:ind w:left="2485" w:right="347"/>
      </w:pPr>
      <w:r>
        <w:rPr>
          <w:spacing w:val="-3"/>
          <w:w w:val="99"/>
        </w:rPr>
        <w:t>本公司承担本项疾病责任不受本合同责任免除中“遗传性疾病，先天性畸形、变形</w:t>
      </w:r>
      <w:r>
        <w:rPr>
          <w:spacing w:val="-1"/>
          <w:w w:val="99"/>
        </w:rPr>
        <w:t>或染色体异常”的限制。</w:t>
      </w:r>
    </w:p>
    <w:p>
      <w:pPr>
        <w:pStyle w:val="3"/>
        <w:numPr>
          <w:ilvl w:val="0"/>
          <w:numId w:val="14"/>
        </w:numPr>
        <w:tabs>
          <w:tab w:val="left" w:pos="3120"/>
        </w:tabs>
        <w:spacing w:before="156" w:after="0" w:line="240" w:lineRule="auto"/>
        <w:ind w:left="3119" w:right="0" w:hanging="635"/>
        <w:jc w:val="left"/>
      </w:pPr>
      <w:r>
        <w:rPr>
          <w:w w:val="95"/>
        </w:rPr>
        <w:t>Brugada</w:t>
      </w:r>
      <w:r>
        <w:rPr>
          <w:spacing w:val="6"/>
        </w:rPr>
        <w:t xml:space="preserve"> </w:t>
      </w:r>
      <w:r>
        <w:rPr>
          <w:spacing w:val="-3"/>
          <w:w w:val="95"/>
        </w:rPr>
        <w:t>综合征:</w:t>
      </w:r>
    </w:p>
    <w:p>
      <w:pPr>
        <w:pStyle w:val="4"/>
        <w:spacing w:before="7"/>
        <w:rPr>
          <w:b/>
          <w:sz w:val="15"/>
        </w:rPr>
      </w:pPr>
    </w:p>
    <w:p>
      <w:pPr>
        <w:pStyle w:val="4"/>
        <w:ind w:left="2485"/>
      </w:pPr>
      <w:r>
        <w:rPr>
          <w:w w:val="95"/>
        </w:rPr>
        <w:t>Brugada</w:t>
      </w:r>
      <w:r>
        <w:rPr>
          <w:spacing w:val="46"/>
          <w:w w:val="150"/>
        </w:rPr>
        <w:t xml:space="preserve">  </w:t>
      </w:r>
      <w:r>
        <w:rPr>
          <w:w w:val="95"/>
        </w:rPr>
        <w:t>综合征须经本公司认可的医院的心脏专科医生明确诊断，并须满足下列</w:t>
      </w:r>
      <w:r>
        <w:rPr>
          <w:spacing w:val="-10"/>
          <w:w w:val="95"/>
        </w:rPr>
        <w:t>全</w:t>
      </w:r>
    </w:p>
    <w:p>
      <w:pPr>
        <w:spacing w:after="0"/>
        <w:sectPr>
          <w:pgSz w:w="11910" w:h="16840"/>
          <w:pgMar w:top="1400" w:right="660" w:bottom="860" w:left="860" w:header="0" w:footer="662" w:gutter="0"/>
          <w:cols w:space="720" w:num="1"/>
        </w:sectPr>
      </w:pPr>
    </w:p>
    <w:p>
      <w:pPr>
        <w:pStyle w:val="4"/>
        <w:spacing w:before="43"/>
        <w:ind w:left="2485"/>
      </w:pPr>
      <w:r>
        <w:rPr>
          <w:spacing w:val="-3"/>
          <w:w w:val="95"/>
        </w:rPr>
        <w:t>部条件：</w:t>
      </w:r>
    </w:p>
    <w:p>
      <w:pPr>
        <w:pStyle w:val="4"/>
        <w:spacing w:before="7"/>
        <w:rPr>
          <w:sz w:val="15"/>
        </w:rPr>
      </w:pPr>
    </w:p>
    <w:p>
      <w:pPr>
        <w:pStyle w:val="9"/>
        <w:numPr>
          <w:ilvl w:val="0"/>
          <w:numId w:val="65"/>
        </w:numPr>
        <w:tabs>
          <w:tab w:val="left" w:pos="3205"/>
          <w:tab w:val="left" w:pos="3206"/>
        </w:tabs>
        <w:spacing w:before="0" w:after="0" w:line="240" w:lineRule="auto"/>
        <w:ind w:left="3205" w:right="0" w:hanging="721"/>
        <w:jc w:val="left"/>
        <w:rPr>
          <w:sz w:val="21"/>
        </w:rPr>
      </w:pPr>
      <w:r>
        <w:rPr>
          <w:spacing w:val="-1"/>
          <w:w w:val="95"/>
          <w:sz w:val="21"/>
        </w:rPr>
        <w:t>有晕厥或心脏骤停病史，并提供完整的诊疗记录；</w:t>
      </w:r>
    </w:p>
    <w:p>
      <w:pPr>
        <w:pStyle w:val="4"/>
        <w:spacing w:before="6"/>
        <w:rPr>
          <w:sz w:val="15"/>
        </w:rPr>
      </w:pPr>
    </w:p>
    <w:p>
      <w:pPr>
        <w:pStyle w:val="9"/>
        <w:numPr>
          <w:ilvl w:val="0"/>
          <w:numId w:val="65"/>
        </w:numPr>
        <w:tabs>
          <w:tab w:val="left" w:pos="3205"/>
          <w:tab w:val="left" w:pos="3206"/>
        </w:tabs>
        <w:spacing w:before="1" w:after="0" w:line="240" w:lineRule="auto"/>
        <w:ind w:left="3205" w:right="0" w:hanging="721"/>
        <w:jc w:val="left"/>
        <w:rPr>
          <w:sz w:val="21"/>
        </w:rPr>
      </w:pPr>
      <w:r>
        <w:rPr>
          <w:spacing w:val="-3"/>
          <w:w w:val="95"/>
          <w:sz w:val="21"/>
        </w:rPr>
        <w:t xml:space="preserve">心电图有典型的 </w:t>
      </w:r>
      <w:r>
        <w:rPr>
          <w:w w:val="95"/>
          <w:sz w:val="21"/>
        </w:rPr>
        <w:t>I</w:t>
      </w:r>
      <w:r>
        <w:rPr>
          <w:spacing w:val="-13"/>
          <w:w w:val="95"/>
          <w:sz w:val="21"/>
        </w:rPr>
        <w:t xml:space="preserve"> 型 </w:t>
      </w:r>
      <w:r>
        <w:rPr>
          <w:w w:val="95"/>
          <w:sz w:val="21"/>
        </w:rPr>
        <w:t>Brugada</w:t>
      </w:r>
      <w:r>
        <w:rPr>
          <w:spacing w:val="-10"/>
          <w:w w:val="95"/>
          <w:sz w:val="21"/>
        </w:rPr>
        <w:t xml:space="preserve"> 波；</w:t>
      </w:r>
    </w:p>
    <w:p>
      <w:pPr>
        <w:pStyle w:val="4"/>
        <w:spacing w:before="6"/>
        <w:rPr>
          <w:sz w:val="15"/>
        </w:rPr>
      </w:pPr>
    </w:p>
    <w:p>
      <w:pPr>
        <w:pStyle w:val="9"/>
        <w:numPr>
          <w:ilvl w:val="0"/>
          <w:numId w:val="65"/>
        </w:numPr>
        <w:tabs>
          <w:tab w:val="left" w:pos="3205"/>
          <w:tab w:val="left" w:pos="3206"/>
        </w:tabs>
        <w:spacing w:before="0" w:after="0" w:line="240" w:lineRule="auto"/>
        <w:ind w:left="3205" w:right="0" w:hanging="721"/>
        <w:jc w:val="left"/>
        <w:rPr>
          <w:sz w:val="21"/>
        </w:rPr>
      </w:pPr>
      <w:r>
        <w:rPr>
          <w:spacing w:val="-1"/>
          <w:w w:val="95"/>
          <w:sz w:val="21"/>
        </w:rPr>
        <w:t>已经安装了永久性心脏起搏器。</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严重大动脉炎:</w:t>
      </w:r>
    </w:p>
    <w:p>
      <w:pPr>
        <w:pStyle w:val="4"/>
        <w:spacing w:before="7"/>
        <w:rPr>
          <w:b/>
          <w:sz w:val="15"/>
        </w:rPr>
      </w:pPr>
    </w:p>
    <w:p>
      <w:pPr>
        <w:pStyle w:val="4"/>
        <w:spacing w:line="417" w:lineRule="auto"/>
        <w:ind w:left="2485" w:right="549"/>
      </w:pPr>
      <w:r>
        <w:rPr>
          <w:spacing w:val="-1"/>
          <w:w w:val="99"/>
        </w:rPr>
        <w:t>指经本公司认可医院的心脏或血管外科专科医生确诊的大动脉炎，须满足下列全部条件：</w:t>
      </w:r>
    </w:p>
    <w:p>
      <w:pPr>
        <w:pStyle w:val="9"/>
        <w:numPr>
          <w:ilvl w:val="0"/>
          <w:numId w:val="66"/>
        </w:numPr>
        <w:tabs>
          <w:tab w:val="left" w:pos="3205"/>
          <w:tab w:val="left" w:pos="3206"/>
        </w:tabs>
        <w:spacing w:before="0" w:after="0" w:line="269" w:lineRule="exact"/>
        <w:ind w:left="3205" w:right="0" w:hanging="721"/>
        <w:jc w:val="left"/>
        <w:rPr>
          <w:sz w:val="21"/>
        </w:rPr>
      </w:pPr>
      <w:r>
        <w:rPr>
          <w:w w:val="95"/>
          <w:sz w:val="21"/>
        </w:rPr>
        <w:t>红细胞沉降率及</w:t>
      </w:r>
      <w:r>
        <w:rPr>
          <w:spacing w:val="18"/>
          <w:sz w:val="21"/>
        </w:rPr>
        <w:t xml:space="preserve"> </w:t>
      </w:r>
      <w:r>
        <w:rPr>
          <w:w w:val="95"/>
          <w:sz w:val="21"/>
        </w:rPr>
        <w:t>C</w:t>
      </w:r>
      <w:r>
        <w:rPr>
          <w:spacing w:val="21"/>
          <w:sz w:val="21"/>
        </w:rPr>
        <w:t xml:space="preserve"> </w:t>
      </w:r>
      <w:r>
        <w:rPr>
          <w:spacing w:val="-1"/>
          <w:w w:val="95"/>
          <w:sz w:val="21"/>
        </w:rPr>
        <w:t>反应蛋白高于正常值；</w:t>
      </w:r>
    </w:p>
    <w:p>
      <w:pPr>
        <w:pStyle w:val="4"/>
        <w:spacing w:before="6"/>
        <w:rPr>
          <w:sz w:val="15"/>
        </w:rPr>
      </w:pPr>
    </w:p>
    <w:p>
      <w:pPr>
        <w:pStyle w:val="9"/>
        <w:numPr>
          <w:ilvl w:val="0"/>
          <w:numId w:val="66"/>
        </w:numPr>
        <w:tabs>
          <w:tab w:val="left" w:pos="3205"/>
          <w:tab w:val="left" w:pos="3206"/>
        </w:tabs>
        <w:spacing w:before="1" w:after="0" w:line="240" w:lineRule="auto"/>
        <w:ind w:left="3205" w:right="0" w:hanging="721"/>
        <w:jc w:val="left"/>
        <w:rPr>
          <w:sz w:val="21"/>
        </w:rPr>
      </w:pPr>
      <w:r>
        <w:rPr>
          <w:w w:val="95"/>
          <w:sz w:val="21"/>
        </w:rPr>
        <w:t>超声检查、CTA</w:t>
      </w:r>
      <w:r>
        <w:rPr>
          <w:spacing w:val="57"/>
          <w:sz w:val="21"/>
        </w:rPr>
        <w:t xml:space="preserve">  </w:t>
      </w:r>
      <w:r>
        <w:rPr>
          <w:spacing w:val="-1"/>
          <w:w w:val="95"/>
          <w:sz w:val="21"/>
        </w:rPr>
        <w:t>检查或血管造影检查证实主动脉及其主要分支存在狭窄；</w:t>
      </w:r>
    </w:p>
    <w:p>
      <w:pPr>
        <w:pStyle w:val="4"/>
        <w:spacing w:before="6"/>
        <w:rPr>
          <w:sz w:val="15"/>
        </w:rPr>
      </w:pPr>
    </w:p>
    <w:p>
      <w:pPr>
        <w:pStyle w:val="9"/>
        <w:numPr>
          <w:ilvl w:val="0"/>
          <w:numId w:val="66"/>
        </w:numPr>
        <w:tabs>
          <w:tab w:val="left" w:pos="3205"/>
          <w:tab w:val="left" w:pos="3206"/>
        </w:tabs>
        <w:spacing w:before="0" w:after="0" w:line="240" w:lineRule="auto"/>
        <w:ind w:left="3205" w:right="0" w:hanging="721"/>
        <w:jc w:val="left"/>
        <w:rPr>
          <w:sz w:val="21"/>
        </w:rPr>
      </w:pPr>
      <w:r>
        <w:rPr>
          <w:spacing w:val="-1"/>
          <w:w w:val="95"/>
          <w:sz w:val="21"/>
        </w:rPr>
        <w:t>已经针对狭窄的动脉进行了手术治疗。</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重症脊髓灰质炎:</w:t>
      </w:r>
    </w:p>
    <w:p>
      <w:pPr>
        <w:pStyle w:val="4"/>
        <w:spacing w:before="7"/>
        <w:rPr>
          <w:b/>
          <w:sz w:val="15"/>
        </w:rPr>
      </w:pPr>
    </w:p>
    <w:p>
      <w:pPr>
        <w:pStyle w:val="4"/>
        <w:spacing w:line="278" w:lineRule="auto"/>
        <w:ind w:left="2485" w:right="350"/>
      </w:pPr>
      <w:r>
        <w:rPr>
          <w:spacing w:val="-2"/>
          <w:w w:val="99"/>
        </w:rPr>
        <w:t>脊髓灰质炎指由于脊髓灰质炎病毒感染所致的瘫痪性疾病，临床表现为运动功能损</w:t>
      </w:r>
      <w:r>
        <w:rPr>
          <w:spacing w:val="-1"/>
          <w:w w:val="99"/>
        </w:rPr>
        <w:t>害或呼吸无力。脊髓灰质炎必须明确诊断。</w:t>
      </w:r>
    </w:p>
    <w:p>
      <w:pPr>
        <w:pStyle w:val="4"/>
        <w:spacing w:line="278" w:lineRule="auto"/>
        <w:ind w:left="2485" w:right="338"/>
        <w:jc w:val="both"/>
      </w:pPr>
      <w:r>
        <w:rPr>
          <w:spacing w:val="-3"/>
          <w:w w:val="99"/>
        </w:rPr>
        <w:t>本合同所称“重症脊髓灰质炎”仅指脊髓灰质炎造成的神经系统功能损害导致被保险人一肢或一肢以上肢体机能永久完全丧失的情形。肢体机能永久完全丧失，指疾</w:t>
      </w:r>
      <w:r>
        <w:rPr>
          <w:w w:val="99"/>
        </w:rPr>
        <w:t>病确诊</w:t>
      </w:r>
      <w:r>
        <w:rPr>
          <w:spacing w:val="-53"/>
        </w:rPr>
        <w:t xml:space="preserve"> </w:t>
      </w:r>
      <w:r>
        <w:rPr>
          <w:spacing w:val="1"/>
          <w:w w:val="99"/>
        </w:rPr>
        <w:t>18</w:t>
      </w:r>
      <w:r>
        <w:rPr>
          <w:w w:val="99"/>
        </w:rPr>
        <w:t>0</w:t>
      </w:r>
      <w:r>
        <w:rPr>
          <w:spacing w:val="-52"/>
        </w:rPr>
        <w:t xml:space="preserve"> </w:t>
      </w:r>
      <w:r>
        <w:rPr>
          <w:spacing w:val="-1"/>
          <w:w w:val="99"/>
        </w:rPr>
        <w:t>天后，每肢三大关节中的两大关节仍然完全僵硬，或不能随意识活动。</w:t>
      </w:r>
      <w:r>
        <w:rPr>
          <w:spacing w:val="-3"/>
          <w:w w:val="99"/>
        </w:rPr>
        <w:t>若无因此感染而导致麻痹性瘫痪的事实结果，以及其它病因所致的麻痹，例如格林</w:t>
      </w:r>
      <w:r>
        <w:rPr>
          <w:spacing w:val="-1"/>
          <w:w w:val="99"/>
        </w:rPr>
        <w:t>巴利综合征则不属于本合同所说的脊髓灰质炎。</w:t>
      </w:r>
    </w:p>
    <w:p>
      <w:pPr>
        <w:pStyle w:val="3"/>
        <w:numPr>
          <w:ilvl w:val="0"/>
          <w:numId w:val="14"/>
        </w:numPr>
        <w:tabs>
          <w:tab w:val="left" w:pos="3120"/>
        </w:tabs>
        <w:spacing w:before="155" w:after="0" w:line="240" w:lineRule="auto"/>
        <w:ind w:left="3119" w:right="0" w:hanging="635"/>
        <w:jc w:val="both"/>
      </w:pPr>
      <w:r>
        <w:rPr>
          <w:w w:val="95"/>
        </w:rPr>
        <w:t>进行性核上性麻痹（Steele-Richardson-Olszewski</w:t>
      </w:r>
      <w:r>
        <w:rPr>
          <w:spacing w:val="39"/>
        </w:rPr>
        <w:t xml:space="preserve">  </w:t>
      </w:r>
      <w:r>
        <w:rPr>
          <w:w w:val="95"/>
        </w:rPr>
        <w:t>综合征</w:t>
      </w:r>
      <w:r>
        <w:rPr>
          <w:spacing w:val="-5"/>
          <w:w w:val="95"/>
        </w:rPr>
        <w:t>）:</w:t>
      </w:r>
    </w:p>
    <w:p>
      <w:pPr>
        <w:pStyle w:val="4"/>
        <w:spacing w:before="7"/>
        <w:rPr>
          <w:b/>
          <w:sz w:val="15"/>
        </w:rPr>
      </w:pPr>
    </w:p>
    <w:p>
      <w:pPr>
        <w:pStyle w:val="4"/>
        <w:spacing w:line="278" w:lineRule="auto"/>
        <w:ind w:left="2485" w:right="349"/>
        <w:jc w:val="both"/>
      </w:pPr>
      <w:r>
        <w:rPr>
          <w:spacing w:val="2"/>
          <w:w w:val="99"/>
        </w:rPr>
        <w:t>进行性核上性麻痹</w:t>
      </w:r>
      <w:r>
        <w:rPr>
          <w:spacing w:val="4"/>
          <w:w w:val="99"/>
        </w:rPr>
        <w:t>（</w:t>
      </w:r>
      <w:r>
        <w:rPr>
          <w:spacing w:val="1"/>
          <w:w w:val="99"/>
        </w:rPr>
        <w:t>PSP</w:t>
      </w:r>
      <w:r>
        <w:rPr>
          <w:spacing w:val="4"/>
          <w:w w:val="99"/>
        </w:rPr>
        <w:t>）</w:t>
      </w:r>
      <w:r>
        <w:rPr>
          <w:spacing w:val="1"/>
          <w:w w:val="99"/>
        </w:rPr>
        <w:t>指一种少见的神经系统变性疾病，以假球麻痹、垂直性</w:t>
      </w:r>
      <w:r>
        <w:rPr>
          <w:spacing w:val="-9"/>
          <w:w w:val="99"/>
        </w:rPr>
        <w:t>核上性眼肌麻痹、锥体外系肌僵直、步态共济失调和轻度痴呆为主要临床特征。</w:t>
      </w:r>
      <w:r>
        <w:rPr>
          <w:spacing w:val="1"/>
          <w:w w:val="99"/>
        </w:rPr>
        <w:t>PS</w:t>
      </w:r>
      <w:r>
        <w:rPr>
          <w:w w:val="99"/>
        </w:rPr>
        <w:t>P</w:t>
      </w:r>
      <w:r>
        <w:rPr>
          <w:spacing w:val="-2"/>
          <w:w w:val="99"/>
        </w:rPr>
        <w:t>必须由三级甲等医疗机构的神经内科专科医生确诊，并且被保险人自主生活能力完</w:t>
      </w:r>
      <w:r>
        <w:rPr>
          <w:spacing w:val="-1"/>
          <w:w w:val="99"/>
        </w:rPr>
        <w:t>全丧失，无法独立完成六项基本日常生活活动中的三项或三项以上。</w:t>
      </w:r>
    </w:p>
    <w:p>
      <w:pPr>
        <w:pStyle w:val="3"/>
        <w:numPr>
          <w:ilvl w:val="0"/>
          <w:numId w:val="14"/>
        </w:numPr>
        <w:tabs>
          <w:tab w:val="left" w:pos="3120"/>
        </w:tabs>
        <w:spacing w:before="155" w:after="0" w:line="240" w:lineRule="auto"/>
        <w:ind w:left="3119" w:right="0" w:hanging="635"/>
        <w:jc w:val="left"/>
      </w:pPr>
      <w:r>
        <w:rPr>
          <w:spacing w:val="-2"/>
          <w:w w:val="95"/>
        </w:rPr>
        <w:t>严重癫痫:</w:t>
      </w:r>
    </w:p>
    <w:p>
      <w:pPr>
        <w:pStyle w:val="4"/>
        <w:spacing w:before="7"/>
        <w:rPr>
          <w:b/>
          <w:sz w:val="15"/>
        </w:rPr>
      </w:pPr>
    </w:p>
    <w:p>
      <w:pPr>
        <w:pStyle w:val="4"/>
        <w:spacing w:line="278" w:lineRule="auto"/>
        <w:ind w:left="2485" w:right="244"/>
      </w:pPr>
      <w:r>
        <w:rPr>
          <w:spacing w:val="4"/>
          <w:w w:val="99"/>
        </w:rPr>
        <w:t>本病的诊断须由神经科或儿科专科医生根据典型临床症状和脑电图及头颅断层扫</w:t>
      </w:r>
      <w:r>
        <w:rPr>
          <w:spacing w:val="-1"/>
          <w:w w:val="99"/>
        </w:rPr>
        <w:t>描（</w:t>
      </w:r>
      <w:r>
        <w:rPr>
          <w:spacing w:val="1"/>
          <w:w w:val="99"/>
        </w:rPr>
        <w:t>CT</w:t>
      </w:r>
      <w:r>
        <w:rPr>
          <w:spacing w:val="-104"/>
          <w:w w:val="99"/>
        </w:rPr>
        <w:t>）</w:t>
      </w:r>
      <w:r>
        <w:rPr>
          <w:spacing w:val="-1"/>
          <w:w w:val="99"/>
        </w:rPr>
        <w:t>、核磁共振检查（</w:t>
      </w:r>
      <w:r>
        <w:rPr>
          <w:spacing w:val="1"/>
          <w:w w:val="99"/>
        </w:rPr>
        <w:t>MR</w:t>
      </w:r>
      <w:r>
        <w:rPr>
          <w:spacing w:val="-2"/>
          <w:w w:val="99"/>
        </w:rPr>
        <w:t>I</w:t>
      </w:r>
      <w:r>
        <w:rPr>
          <w:spacing w:val="-1"/>
          <w:w w:val="99"/>
        </w:rPr>
        <w:t>）或正电子发射断层扫描（</w:t>
      </w:r>
      <w:r>
        <w:rPr>
          <w:spacing w:val="1"/>
          <w:w w:val="99"/>
        </w:rPr>
        <w:t>PE</w:t>
      </w:r>
      <w:r>
        <w:rPr>
          <w:spacing w:val="-2"/>
          <w:w w:val="99"/>
        </w:rPr>
        <w:t>T</w:t>
      </w:r>
      <w:r>
        <w:rPr>
          <w:spacing w:val="-1"/>
          <w:w w:val="99"/>
        </w:rPr>
        <w:t>）等影相学检查做出。</w:t>
      </w:r>
      <w:r>
        <w:rPr>
          <w:spacing w:val="4"/>
          <w:w w:val="99"/>
        </w:rPr>
        <w:t>理赔时必须提供六个月以上的相关病历记录证明被保险人存在经抗癫痫药物治疗</w:t>
      </w:r>
      <w:r>
        <w:rPr>
          <w:spacing w:val="-2"/>
          <w:w w:val="99"/>
        </w:rPr>
        <w:t>无效而反复发作的强直阵挛性发作或癫痫大发作，且已行神经外科手术以治疗反复</w:t>
      </w:r>
      <w:r>
        <w:rPr>
          <w:spacing w:val="-1"/>
          <w:w w:val="99"/>
        </w:rPr>
        <w:t>发作的癫痫。</w:t>
      </w:r>
    </w:p>
    <w:p>
      <w:pPr>
        <w:pStyle w:val="4"/>
        <w:spacing w:line="269" w:lineRule="exact"/>
        <w:ind w:left="2485"/>
      </w:pPr>
      <w:r>
        <w:rPr>
          <w:color w:val="000000"/>
          <w:w w:val="95"/>
          <w:shd w:val="clear" w:color="auto" w:fill="E4E4E4"/>
        </w:rPr>
        <w:t>发热性惊厥以及没有全身性发作的失神发作（癫痫小发作）</w:t>
      </w:r>
      <w:r>
        <w:rPr>
          <w:color w:val="000000"/>
          <w:spacing w:val="-2"/>
          <w:w w:val="95"/>
          <w:shd w:val="clear" w:color="auto" w:fill="E4E4E4"/>
        </w:rPr>
        <w:t>不在本保障范围内。</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重症手足口病:</w:t>
      </w:r>
    </w:p>
    <w:p>
      <w:pPr>
        <w:pStyle w:val="4"/>
        <w:spacing w:before="6"/>
        <w:rPr>
          <w:b/>
          <w:sz w:val="15"/>
        </w:rPr>
      </w:pPr>
    </w:p>
    <w:p>
      <w:pPr>
        <w:pStyle w:val="4"/>
        <w:spacing w:before="1" w:line="278" w:lineRule="auto"/>
        <w:ind w:left="2485" w:right="338"/>
        <w:jc w:val="both"/>
      </w:pPr>
      <w:r>
        <w:rPr>
          <w:spacing w:val="-1"/>
          <w:w w:val="99"/>
        </w:rPr>
        <w:t>指由肠道病毒引起的急性传染病，主要症状表现为手、足、口腔等部位的斑丘疹、</w:t>
      </w:r>
      <w:r>
        <w:rPr>
          <w:spacing w:val="-2"/>
          <w:w w:val="99"/>
        </w:rPr>
        <w:t>疱疹。经本公司指定或认可的医疗机构的专科医生确诊患有手足口病，并伴有下列</w:t>
      </w:r>
      <w:r>
        <w:rPr>
          <w:spacing w:val="-1"/>
          <w:w w:val="99"/>
        </w:rPr>
        <w:t>三项中的任意一项并发症：</w:t>
      </w:r>
    </w:p>
    <w:p>
      <w:pPr>
        <w:pStyle w:val="9"/>
        <w:numPr>
          <w:ilvl w:val="0"/>
          <w:numId w:val="67"/>
        </w:numPr>
        <w:tabs>
          <w:tab w:val="left" w:pos="3206"/>
        </w:tabs>
        <w:spacing w:before="155" w:after="0" w:line="240" w:lineRule="auto"/>
        <w:ind w:left="3205" w:right="0" w:hanging="721"/>
        <w:jc w:val="both"/>
        <w:rPr>
          <w:sz w:val="21"/>
        </w:rPr>
      </w:pPr>
      <w:r>
        <w:rPr>
          <w:spacing w:val="-10"/>
          <w:w w:val="95"/>
          <w:sz w:val="21"/>
        </w:rPr>
        <w:t>有脑膜炎或脑炎并发症，且导致意识障碍或瘫痪的临床表现及实验室检查证</w:t>
      </w:r>
    </w:p>
    <w:p>
      <w:pPr>
        <w:spacing w:after="0" w:line="240" w:lineRule="auto"/>
        <w:jc w:val="both"/>
        <w:rPr>
          <w:sz w:val="21"/>
        </w:rPr>
        <w:sectPr>
          <w:pgSz w:w="11910" w:h="16840"/>
          <w:pgMar w:top="1400" w:right="660" w:bottom="860" w:left="860" w:header="0" w:footer="662" w:gutter="0"/>
          <w:cols w:space="720" w:num="1"/>
        </w:sectPr>
      </w:pPr>
    </w:p>
    <w:p>
      <w:pPr>
        <w:pStyle w:val="4"/>
        <w:spacing w:before="43"/>
        <w:ind w:left="3205"/>
      </w:pPr>
      <w:r>
        <w:rPr>
          <w:w w:val="95"/>
        </w:rPr>
        <w:t>据</w:t>
      </w:r>
      <w:r>
        <w:rPr>
          <w:spacing w:val="-10"/>
        </w:rPr>
        <w:t>；</w:t>
      </w:r>
    </w:p>
    <w:p>
      <w:pPr>
        <w:pStyle w:val="4"/>
        <w:spacing w:before="7"/>
        <w:rPr>
          <w:sz w:val="15"/>
        </w:rPr>
      </w:pPr>
    </w:p>
    <w:p>
      <w:pPr>
        <w:pStyle w:val="9"/>
        <w:numPr>
          <w:ilvl w:val="0"/>
          <w:numId w:val="67"/>
        </w:numPr>
        <w:tabs>
          <w:tab w:val="left" w:pos="3206"/>
        </w:tabs>
        <w:spacing w:before="0" w:after="0" w:line="240" w:lineRule="auto"/>
        <w:ind w:left="3205" w:right="0" w:hanging="721"/>
        <w:jc w:val="both"/>
        <w:rPr>
          <w:sz w:val="21"/>
        </w:rPr>
      </w:pPr>
      <w:r>
        <w:rPr>
          <w:spacing w:val="-1"/>
          <w:w w:val="95"/>
          <w:sz w:val="21"/>
        </w:rPr>
        <w:t>有肺炎或肺水肿并发症，且导致呼吸衰竭的临床表现及实验室检查证据；</w:t>
      </w:r>
    </w:p>
    <w:p>
      <w:pPr>
        <w:pStyle w:val="4"/>
        <w:spacing w:before="6"/>
        <w:rPr>
          <w:sz w:val="15"/>
        </w:rPr>
      </w:pPr>
    </w:p>
    <w:p>
      <w:pPr>
        <w:pStyle w:val="9"/>
        <w:numPr>
          <w:ilvl w:val="0"/>
          <w:numId w:val="67"/>
        </w:numPr>
        <w:tabs>
          <w:tab w:val="left" w:pos="3205"/>
          <w:tab w:val="left" w:pos="3206"/>
        </w:tabs>
        <w:spacing w:before="1" w:after="0" w:line="278" w:lineRule="auto"/>
        <w:ind w:left="3205" w:right="350" w:hanging="720"/>
        <w:jc w:val="left"/>
        <w:rPr>
          <w:sz w:val="21"/>
        </w:rPr>
      </w:pPr>
      <w:r>
        <w:rPr>
          <w:spacing w:val="2"/>
          <w:w w:val="99"/>
          <w:sz w:val="21"/>
        </w:rPr>
        <w:t>有心肌炎并发症，且导致心脏扩大或心力衰竭的临床表现及实验室检查证</w:t>
      </w:r>
      <w:r>
        <w:rPr>
          <w:spacing w:val="-1"/>
          <w:w w:val="99"/>
          <w:sz w:val="21"/>
        </w:rPr>
        <w:t>据。</w:t>
      </w:r>
    </w:p>
    <w:p>
      <w:pPr>
        <w:pStyle w:val="3"/>
        <w:numPr>
          <w:ilvl w:val="0"/>
          <w:numId w:val="14"/>
        </w:numPr>
        <w:tabs>
          <w:tab w:val="left" w:pos="3120"/>
        </w:tabs>
        <w:spacing w:before="155" w:after="0" w:line="240" w:lineRule="auto"/>
        <w:ind w:left="3119" w:right="0" w:hanging="635"/>
        <w:jc w:val="left"/>
      </w:pPr>
      <w:r>
        <w:rPr>
          <w:spacing w:val="-1"/>
          <w:w w:val="95"/>
        </w:rPr>
        <w:t>进行性多灶性白质脑病:</w:t>
      </w:r>
    </w:p>
    <w:p>
      <w:pPr>
        <w:pStyle w:val="4"/>
        <w:spacing w:before="7"/>
        <w:rPr>
          <w:b/>
          <w:sz w:val="15"/>
        </w:rPr>
      </w:pPr>
    </w:p>
    <w:p>
      <w:pPr>
        <w:pStyle w:val="4"/>
        <w:spacing w:line="278" w:lineRule="auto"/>
        <w:ind w:left="2485" w:right="347"/>
      </w:pPr>
      <w:r>
        <w:rPr>
          <w:spacing w:val="-3"/>
          <w:w w:val="99"/>
        </w:rPr>
        <w:t>是一种亚急性脱髓鞘性脑病，常常发现于免疫缺陷的病人。此症必须由本公司认可</w:t>
      </w:r>
      <w:r>
        <w:rPr>
          <w:spacing w:val="-1"/>
          <w:w w:val="99"/>
        </w:rPr>
        <w:t>的神经科专科医生根据脑组织活检确诊。</w:t>
      </w:r>
    </w:p>
    <w:p>
      <w:pPr>
        <w:pStyle w:val="3"/>
        <w:numPr>
          <w:ilvl w:val="0"/>
          <w:numId w:val="14"/>
        </w:numPr>
        <w:tabs>
          <w:tab w:val="left" w:pos="3120"/>
        </w:tabs>
        <w:spacing w:before="156" w:after="0" w:line="240" w:lineRule="auto"/>
        <w:ind w:left="3119" w:right="0" w:hanging="635"/>
        <w:jc w:val="left"/>
      </w:pPr>
      <w:r>
        <w:rPr>
          <w:spacing w:val="-1"/>
          <w:w w:val="95"/>
        </w:rPr>
        <w:t>疾病或外伤所致智力障碍:</w:t>
      </w:r>
    </w:p>
    <w:p>
      <w:pPr>
        <w:pStyle w:val="4"/>
        <w:spacing w:before="6"/>
        <w:rPr>
          <w:b/>
          <w:sz w:val="15"/>
        </w:rPr>
      </w:pPr>
    </w:p>
    <w:p>
      <w:pPr>
        <w:pStyle w:val="4"/>
        <w:spacing w:before="1" w:line="278" w:lineRule="auto"/>
        <w:ind w:left="2485" w:right="338"/>
      </w:pPr>
      <w:r>
        <w:rPr>
          <w:spacing w:val="-1"/>
          <w:w w:val="99"/>
        </w:rPr>
        <w:t>因严重头部创伤或疾病造成被保险人智力低常（智力低于常态</w:t>
      </w:r>
      <w:r>
        <w:rPr>
          <w:spacing w:val="-106"/>
          <w:w w:val="99"/>
        </w:rPr>
        <w:t>）</w:t>
      </w:r>
      <w:r>
        <w:rPr>
          <w:spacing w:val="-1"/>
          <w:w w:val="99"/>
        </w:rPr>
        <w:t>。根据智商</w:t>
      </w:r>
      <w:r>
        <w:rPr>
          <w:spacing w:val="2"/>
          <w:w w:val="99"/>
        </w:rPr>
        <w:t>（</w:t>
      </w:r>
      <w:r>
        <w:rPr>
          <w:spacing w:val="1"/>
          <w:w w:val="99"/>
        </w:rPr>
        <w:t>IQ</w:t>
      </w:r>
      <w:r>
        <w:rPr>
          <w:spacing w:val="-104"/>
          <w:w w:val="99"/>
        </w:rPr>
        <w:t>）</w:t>
      </w:r>
      <w:r>
        <w:rPr>
          <w:w w:val="99"/>
        </w:rPr>
        <w:t>，</w:t>
      </w:r>
      <w:r>
        <w:rPr>
          <w:spacing w:val="3"/>
          <w:w w:val="99"/>
        </w:rPr>
        <w:t>智力低常分为轻度</w:t>
      </w:r>
      <w:r>
        <w:rPr>
          <w:spacing w:val="4"/>
          <w:w w:val="99"/>
        </w:rPr>
        <w:t>（</w:t>
      </w:r>
      <w:r>
        <w:rPr>
          <w:spacing w:val="1"/>
          <w:w w:val="99"/>
        </w:rPr>
        <w:t>IQ5</w:t>
      </w:r>
      <w:r>
        <w:rPr>
          <w:spacing w:val="-2"/>
          <w:w w:val="99"/>
        </w:rPr>
        <w:t>0</w:t>
      </w:r>
      <w:r>
        <w:rPr>
          <w:spacing w:val="1"/>
          <w:w w:val="99"/>
        </w:rPr>
        <w:t>-7</w:t>
      </w:r>
      <w:r>
        <w:rPr>
          <w:spacing w:val="3"/>
          <w:w w:val="99"/>
        </w:rPr>
        <w:t>0</w:t>
      </w:r>
      <w:r>
        <w:rPr>
          <w:spacing w:val="-101"/>
          <w:w w:val="99"/>
        </w:rPr>
        <w:t>）</w:t>
      </w:r>
      <w:r>
        <w:rPr>
          <w:spacing w:val="4"/>
          <w:w w:val="99"/>
        </w:rPr>
        <w:t>、中度</w:t>
      </w:r>
      <w:r>
        <w:rPr>
          <w:spacing w:val="2"/>
          <w:w w:val="99"/>
        </w:rPr>
        <w:t>（</w:t>
      </w:r>
      <w:r>
        <w:rPr>
          <w:spacing w:val="1"/>
          <w:w w:val="99"/>
        </w:rPr>
        <w:t>IQ3</w:t>
      </w:r>
      <w:r>
        <w:rPr>
          <w:spacing w:val="-2"/>
          <w:w w:val="99"/>
        </w:rPr>
        <w:t>5</w:t>
      </w:r>
      <w:r>
        <w:rPr>
          <w:spacing w:val="1"/>
          <w:w w:val="99"/>
        </w:rPr>
        <w:t>-5</w:t>
      </w:r>
      <w:r>
        <w:rPr>
          <w:spacing w:val="3"/>
          <w:w w:val="99"/>
        </w:rPr>
        <w:t>0</w:t>
      </w:r>
      <w:r>
        <w:rPr>
          <w:spacing w:val="-101"/>
          <w:w w:val="99"/>
        </w:rPr>
        <w:t>）</w:t>
      </w:r>
      <w:r>
        <w:rPr>
          <w:spacing w:val="4"/>
          <w:w w:val="99"/>
        </w:rPr>
        <w:t>、重度（</w:t>
      </w:r>
      <w:r>
        <w:rPr>
          <w:spacing w:val="1"/>
          <w:w w:val="99"/>
        </w:rPr>
        <w:t>IQ2</w:t>
      </w:r>
      <w:r>
        <w:rPr>
          <w:spacing w:val="-2"/>
          <w:w w:val="99"/>
        </w:rPr>
        <w:t>0</w:t>
      </w:r>
      <w:r>
        <w:rPr>
          <w:spacing w:val="1"/>
          <w:w w:val="99"/>
        </w:rPr>
        <w:t>-35</w:t>
      </w:r>
      <w:r>
        <w:rPr>
          <w:spacing w:val="4"/>
          <w:w w:val="99"/>
        </w:rPr>
        <w:t>）</w:t>
      </w:r>
      <w:r>
        <w:rPr>
          <w:spacing w:val="3"/>
          <w:w w:val="99"/>
        </w:rPr>
        <w:t>和极重度</w:t>
      </w:r>
      <w:r>
        <w:rPr>
          <w:spacing w:val="7"/>
          <w:w w:val="99"/>
        </w:rPr>
        <w:t>（</w:t>
      </w:r>
      <w:r>
        <w:rPr>
          <w:spacing w:val="1"/>
          <w:w w:val="99"/>
        </w:rPr>
        <w:t>I</w:t>
      </w:r>
      <w:r>
        <w:rPr>
          <w:w w:val="99"/>
        </w:rPr>
        <w:t>Q</w:t>
      </w:r>
    </w:p>
    <w:p>
      <w:pPr>
        <w:pStyle w:val="4"/>
        <w:spacing w:line="278" w:lineRule="auto"/>
        <w:ind w:left="2485" w:right="350"/>
        <w:jc w:val="both"/>
      </w:pPr>
      <w:r>
        <w:rPr>
          <w:spacing w:val="2"/>
          <w:w w:val="99"/>
        </w:rPr>
        <w:t>＜</w:t>
      </w:r>
      <w:r>
        <w:rPr>
          <w:spacing w:val="1"/>
          <w:w w:val="99"/>
        </w:rPr>
        <w:t>2</w:t>
      </w:r>
      <w:r>
        <w:rPr>
          <w:spacing w:val="3"/>
          <w:w w:val="99"/>
        </w:rPr>
        <w:t>0</w:t>
      </w:r>
      <w:r>
        <w:rPr>
          <w:spacing w:val="-101"/>
          <w:w w:val="99"/>
        </w:rPr>
        <w:t>）</w:t>
      </w:r>
      <w:r>
        <w:rPr>
          <w:spacing w:val="1"/>
          <w:w w:val="99"/>
        </w:rPr>
        <w:t>。智商的检测必须由本公司认可的专职心理测验工作者进行，心理测验工作</w:t>
      </w:r>
      <w:r>
        <w:rPr>
          <w:spacing w:val="-2"/>
          <w:w w:val="99"/>
        </w:rPr>
        <w:t>者必须持有由心理测量专业委员会资格认定书。根据被保险人年龄采用对应的智力</w:t>
      </w:r>
      <w:r>
        <w:rPr>
          <w:spacing w:val="2"/>
          <w:w w:val="99"/>
        </w:rPr>
        <w:t>量表如韦克斯勒智力量表（儿童智力量表或成人智力量表</w:t>
      </w:r>
      <w:r>
        <w:rPr>
          <w:spacing w:val="-104"/>
          <w:w w:val="99"/>
        </w:rPr>
        <w:t>）</w:t>
      </w:r>
      <w:r>
        <w:rPr>
          <w:spacing w:val="1"/>
          <w:w w:val="99"/>
        </w:rPr>
        <w:t>。必须满足下列全部条</w:t>
      </w:r>
      <w:r>
        <w:rPr>
          <w:spacing w:val="-1"/>
          <w:w w:val="99"/>
        </w:rPr>
        <w:t>件：</w:t>
      </w:r>
    </w:p>
    <w:p>
      <w:pPr>
        <w:pStyle w:val="9"/>
        <w:numPr>
          <w:ilvl w:val="0"/>
          <w:numId w:val="68"/>
        </w:numPr>
        <w:tabs>
          <w:tab w:val="left" w:pos="3206"/>
        </w:tabs>
        <w:spacing w:before="155" w:after="0" w:line="278" w:lineRule="auto"/>
        <w:ind w:left="3205" w:right="347" w:hanging="720"/>
        <w:jc w:val="both"/>
        <w:rPr>
          <w:sz w:val="21"/>
        </w:rPr>
      </w:pPr>
      <w:r>
        <w:rPr>
          <w:spacing w:val="-5"/>
          <w:w w:val="99"/>
          <w:sz w:val="21"/>
        </w:rPr>
        <w:t>造成被保险人智力低常</w:t>
      </w:r>
      <w:r>
        <w:rPr>
          <w:spacing w:val="-1"/>
          <w:w w:val="99"/>
          <w:sz w:val="21"/>
        </w:rPr>
        <w:t>（智力低于常态</w:t>
      </w:r>
      <w:r>
        <w:rPr>
          <w:spacing w:val="-32"/>
          <w:w w:val="99"/>
          <w:sz w:val="21"/>
        </w:rPr>
        <w:t>）</w:t>
      </w:r>
      <w:r>
        <w:rPr>
          <w:spacing w:val="-5"/>
          <w:w w:val="99"/>
          <w:sz w:val="21"/>
        </w:rPr>
        <w:t>的严重头部创伤或疾病</w:t>
      </w:r>
      <w:r>
        <w:rPr>
          <w:spacing w:val="2"/>
          <w:w w:val="99"/>
          <w:sz w:val="21"/>
        </w:rPr>
        <w:t>（</w:t>
      </w:r>
      <w:r>
        <w:rPr>
          <w:w w:val="99"/>
          <w:sz w:val="21"/>
        </w:rPr>
        <w:t>以入院日</w:t>
      </w:r>
      <w:r>
        <w:rPr>
          <w:spacing w:val="-1"/>
          <w:w w:val="99"/>
          <w:sz w:val="21"/>
        </w:rPr>
        <w:t>期为准</w:t>
      </w:r>
      <w:r>
        <w:rPr>
          <w:spacing w:val="2"/>
          <w:w w:val="99"/>
          <w:sz w:val="21"/>
        </w:rPr>
        <w:t>）</w:t>
      </w:r>
      <w:r>
        <w:rPr>
          <w:spacing w:val="-1"/>
          <w:w w:val="99"/>
          <w:sz w:val="21"/>
        </w:rPr>
        <w:t>发生在被保险人</w:t>
      </w:r>
      <w:r>
        <w:rPr>
          <w:spacing w:val="-53"/>
          <w:sz w:val="21"/>
        </w:rPr>
        <w:t xml:space="preserve"> </w:t>
      </w:r>
      <w:r>
        <w:rPr>
          <w:w w:val="99"/>
          <w:sz w:val="21"/>
        </w:rPr>
        <w:t>6</w:t>
      </w:r>
      <w:r>
        <w:rPr>
          <w:spacing w:val="-52"/>
          <w:sz w:val="21"/>
        </w:rPr>
        <w:t xml:space="preserve"> </w:t>
      </w:r>
      <w:r>
        <w:rPr>
          <w:spacing w:val="-1"/>
          <w:w w:val="99"/>
          <w:sz w:val="21"/>
        </w:rPr>
        <w:t>周岁以后；</w:t>
      </w:r>
    </w:p>
    <w:p>
      <w:pPr>
        <w:pStyle w:val="9"/>
        <w:numPr>
          <w:ilvl w:val="0"/>
          <w:numId w:val="68"/>
        </w:numPr>
        <w:tabs>
          <w:tab w:val="left" w:pos="3206"/>
        </w:tabs>
        <w:spacing w:before="156" w:after="0" w:line="240" w:lineRule="auto"/>
        <w:ind w:left="3205" w:right="0" w:hanging="721"/>
        <w:jc w:val="both"/>
        <w:rPr>
          <w:sz w:val="21"/>
        </w:rPr>
      </w:pPr>
      <w:r>
        <w:rPr>
          <w:spacing w:val="-1"/>
          <w:w w:val="95"/>
          <w:sz w:val="21"/>
        </w:rPr>
        <w:t>专科医师确诊被保险人由于严重头部创伤或疾病造成智力低常；</w:t>
      </w:r>
    </w:p>
    <w:p>
      <w:pPr>
        <w:pStyle w:val="4"/>
        <w:spacing w:before="6"/>
        <w:rPr>
          <w:sz w:val="15"/>
        </w:rPr>
      </w:pPr>
    </w:p>
    <w:p>
      <w:pPr>
        <w:pStyle w:val="9"/>
        <w:numPr>
          <w:ilvl w:val="0"/>
          <w:numId w:val="68"/>
        </w:numPr>
        <w:tabs>
          <w:tab w:val="left" w:pos="3206"/>
        </w:tabs>
        <w:spacing w:before="0" w:after="0" w:line="278" w:lineRule="auto"/>
        <w:ind w:left="3205" w:right="249" w:hanging="720"/>
        <w:jc w:val="both"/>
        <w:rPr>
          <w:sz w:val="21"/>
        </w:rPr>
      </w:pPr>
      <w:r>
        <w:rPr>
          <w:spacing w:val="-1"/>
          <w:w w:val="99"/>
          <w:sz w:val="21"/>
        </w:rPr>
        <w:t>专职合格心理检测工作者适时做的心理检测证实被保险人智力低常</w:t>
      </w:r>
      <w:r>
        <w:rPr>
          <w:spacing w:val="2"/>
          <w:w w:val="99"/>
          <w:sz w:val="21"/>
        </w:rPr>
        <w:t>（</w:t>
      </w:r>
      <w:r>
        <w:rPr>
          <w:w w:val="99"/>
          <w:sz w:val="21"/>
        </w:rPr>
        <w:t>轻度、</w:t>
      </w:r>
      <w:r>
        <w:rPr>
          <w:spacing w:val="-1"/>
          <w:w w:val="99"/>
          <w:sz w:val="21"/>
        </w:rPr>
        <w:t>中度、重度或极重度</w:t>
      </w:r>
      <w:r>
        <w:rPr>
          <w:spacing w:val="-106"/>
          <w:w w:val="99"/>
          <w:sz w:val="21"/>
        </w:rPr>
        <w:t>）</w:t>
      </w:r>
      <w:r>
        <w:rPr>
          <w:w w:val="99"/>
          <w:sz w:val="21"/>
        </w:rPr>
        <w:t>；</w:t>
      </w:r>
    </w:p>
    <w:p>
      <w:pPr>
        <w:pStyle w:val="9"/>
        <w:numPr>
          <w:ilvl w:val="0"/>
          <w:numId w:val="68"/>
        </w:numPr>
        <w:tabs>
          <w:tab w:val="left" w:pos="3206"/>
        </w:tabs>
        <w:spacing w:before="156" w:after="0" w:line="240" w:lineRule="auto"/>
        <w:ind w:left="3205" w:right="0" w:hanging="721"/>
        <w:jc w:val="both"/>
        <w:rPr>
          <w:sz w:val="21"/>
        </w:rPr>
      </w:pPr>
      <w:r>
        <w:rPr>
          <w:w w:val="95"/>
          <w:sz w:val="21"/>
        </w:rPr>
        <w:t>被保险人的智力低常自确认日起持续</w:t>
      </w:r>
      <w:r>
        <w:rPr>
          <w:spacing w:val="43"/>
          <w:sz w:val="21"/>
        </w:rPr>
        <w:t xml:space="preserve"> </w:t>
      </w:r>
      <w:r>
        <w:rPr>
          <w:w w:val="95"/>
          <w:sz w:val="21"/>
        </w:rPr>
        <w:t>180</w:t>
      </w:r>
      <w:r>
        <w:rPr>
          <w:spacing w:val="33"/>
          <w:sz w:val="21"/>
        </w:rPr>
        <w:t xml:space="preserve"> </w:t>
      </w:r>
      <w:r>
        <w:rPr>
          <w:spacing w:val="-3"/>
          <w:w w:val="95"/>
          <w:sz w:val="21"/>
        </w:rPr>
        <w:t>天以上。</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丝虫病所致象皮肿:</w:t>
      </w:r>
    </w:p>
    <w:p>
      <w:pPr>
        <w:pStyle w:val="4"/>
        <w:spacing w:before="7"/>
        <w:rPr>
          <w:b/>
          <w:sz w:val="15"/>
        </w:rPr>
      </w:pPr>
    </w:p>
    <w:p>
      <w:pPr>
        <w:pStyle w:val="4"/>
        <w:spacing w:line="278" w:lineRule="auto"/>
        <w:ind w:left="2485" w:right="242"/>
      </w:pPr>
      <w:r>
        <w:rPr>
          <w:spacing w:val="-2"/>
          <w:w w:val="99"/>
        </w:rPr>
        <w:t xml:space="preserve">指因丝虫感染导致淋巴阻塞性出现严重淋巴水肿，达到国际淋巴学会淋巴肿分期第 </w:t>
      </w:r>
      <w:r>
        <w:rPr>
          <w:spacing w:val="-6"/>
          <w:w w:val="99"/>
        </w:rPr>
        <w:t>Ⅲ期，临床表现为肢体象皮肿，罹患患肢较健肢增粗</w:t>
      </w:r>
      <w:r>
        <w:rPr>
          <w:spacing w:val="-50"/>
        </w:rPr>
        <w:t xml:space="preserve"> </w:t>
      </w:r>
      <w:r>
        <w:rPr>
          <w:spacing w:val="1"/>
          <w:w w:val="99"/>
        </w:rPr>
        <w:t>30</w:t>
      </w:r>
      <w:r>
        <w:rPr>
          <w:spacing w:val="-4"/>
          <w:w w:val="99"/>
        </w:rPr>
        <w:t>%以上，日常生活不能自理。</w:t>
      </w:r>
      <w:r>
        <w:rPr>
          <w:spacing w:val="-1"/>
          <w:w w:val="99"/>
        </w:rPr>
        <w:t>此病症须经专科医生根据临床表现和微丝蚴的化验结果确诊。</w:t>
      </w:r>
    </w:p>
    <w:p>
      <w:pPr>
        <w:pStyle w:val="3"/>
        <w:numPr>
          <w:ilvl w:val="0"/>
          <w:numId w:val="14"/>
        </w:numPr>
        <w:tabs>
          <w:tab w:val="left" w:pos="3120"/>
        </w:tabs>
        <w:spacing w:before="155" w:after="0" w:line="240" w:lineRule="auto"/>
        <w:ind w:left="3119" w:right="0" w:hanging="635"/>
        <w:jc w:val="left"/>
      </w:pPr>
      <w:r>
        <w:rPr>
          <w:spacing w:val="-2"/>
          <w:w w:val="95"/>
        </w:rPr>
        <w:t>颅脑手术:</w:t>
      </w:r>
    </w:p>
    <w:p>
      <w:pPr>
        <w:pStyle w:val="4"/>
        <w:spacing w:before="7"/>
        <w:rPr>
          <w:b/>
          <w:sz w:val="15"/>
        </w:rPr>
      </w:pPr>
    </w:p>
    <w:p>
      <w:pPr>
        <w:pStyle w:val="4"/>
        <w:spacing w:line="278" w:lineRule="auto"/>
        <w:ind w:left="2485" w:right="350"/>
      </w:pPr>
      <w:r>
        <w:rPr>
          <w:spacing w:val="2"/>
          <w:w w:val="99"/>
        </w:rPr>
        <w:t>被保险人确已实施全麻下的开颅手术</w:t>
      </w:r>
      <w:r>
        <w:rPr>
          <w:spacing w:val="4"/>
          <w:w w:val="99"/>
        </w:rPr>
        <w:t>（</w:t>
      </w:r>
      <w:r>
        <w:rPr>
          <w:spacing w:val="2"/>
          <w:w w:val="99"/>
        </w:rPr>
        <w:t>以切开硬脑膜为准</w:t>
      </w:r>
      <w:r>
        <w:rPr>
          <w:spacing w:val="-104"/>
          <w:w w:val="99"/>
        </w:rPr>
        <w:t>）</w:t>
      </w:r>
      <w:r>
        <w:rPr>
          <w:spacing w:val="1"/>
          <w:w w:val="99"/>
        </w:rPr>
        <w:t>，不包括颅骨钻孔手术</w:t>
      </w:r>
      <w:r>
        <w:rPr>
          <w:spacing w:val="-1"/>
          <w:w w:val="99"/>
        </w:rPr>
        <w:t>和经鼻蝶窦入颅手术。</w:t>
      </w:r>
    </w:p>
    <w:p>
      <w:pPr>
        <w:pStyle w:val="4"/>
        <w:spacing w:line="269" w:lineRule="exact"/>
        <w:ind w:left="2485"/>
      </w:pPr>
      <w:r>
        <w:rPr>
          <w:color w:val="000000"/>
          <w:spacing w:val="-1"/>
          <w:w w:val="95"/>
          <w:shd w:val="clear" w:color="auto" w:fill="E4E4E4"/>
        </w:rPr>
        <w:t>因外伤而实施的脑外科手术不在保障范围之内。</w:t>
      </w:r>
    </w:p>
    <w:p>
      <w:pPr>
        <w:pStyle w:val="4"/>
        <w:spacing w:before="43"/>
        <w:ind w:left="2485"/>
      </w:pPr>
      <w:r>
        <w:rPr>
          <w:spacing w:val="-1"/>
          <w:w w:val="95"/>
        </w:rPr>
        <w:t>理赔时必须提供由神经外科医生出具的诊断书及手术报告。</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2"/>
          <w:w w:val="95"/>
        </w:rPr>
        <w:t>严重强直性脊柱炎:</w:t>
      </w:r>
    </w:p>
    <w:p>
      <w:pPr>
        <w:pStyle w:val="4"/>
        <w:spacing w:before="6"/>
        <w:rPr>
          <w:b/>
          <w:sz w:val="15"/>
        </w:rPr>
      </w:pPr>
    </w:p>
    <w:p>
      <w:pPr>
        <w:pStyle w:val="4"/>
        <w:spacing w:before="1" w:line="278" w:lineRule="auto"/>
        <w:ind w:left="2485" w:right="347"/>
        <w:jc w:val="both"/>
      </w:pPr>
      <w:r>
        <w:rPr>
          <w:spacing w:val="-3"/>
          <w:w w:val="99"/>
        </w:rPr>
        <w:t>强直性脊柱炎指一种慢性、全身性、炎性疾病，主要侵犯脊柱导致脊柱畸形。严重</w:t>
      </w:r>
      <w:r>
        <w:rPr>
          <w:spacing w:val="4"/>
          <w:w w:val="99"/>
        </w:rPr>
        <w:t>强直性脊柱炎须经本公司认可的医院的专科医生明确诊断，并须满足下列全部条</w:t>
      </w:r>
      <w:r>
        <w:rPr>
          <w:spacing w:val="-1"/>
          <w:w w:val="99"/>
        </w:rPr>
        <w:t>件：</w:t>
      </w:r>
    </w:p>
    <w:p>
      <w:pPr>
        <w:pStyle w:val="9"/>
        <w:numPr>
          <w:ilvl w:val="0"/>
          <w:numId w:val="69"/>
        </w:numPr>
        <w:tabs>
          <w:tab w:val="left" w:pos="3206"/>
        </w:tabs>
        <w:spacing w:before="155" w:after="0" w:line="240" w:lineRule="auto"/>
        <w:ind w:left="3205" w:right="0" w:hanging="721"/>
        <w:jc w:val="both"/>
        <w:rPr>
          <w:sz w:val="21"/>
        </w:rPr>
      </w:pPr>
      <w:r>
        <w:rPr>
          <w:spacing w:val="-2"/>
          <w:w w:val="95"/>
          <w:sz w:val="21"/>
        </w:rPr>
        <w:t>严重脊柱畸形；</w:t>
      </w:r>
    </w:p>
    <w:p>
      <w:pPr>
        <w:pStyle w:val="4"/>
        <w:spacing w:before="7"/>
        <w:rPr>
          <w:sz w:val="15"/>
        </w:rPr>
      </w:pPr>
    </w:p>
    <w:p>
      <w:pPr>
        <w:pStyle w:val="9"/>
        <w:numPr>
          <w:ilvl w:val="0"/>
          <w:numId w:val="69"/>
        </w:numPr>
        <w:tabs>
          <w:tab w:val="left" w:pos="3205"/>
          <w:tab w:val="left" w:pos="3206"/>
        </w:tabs>
        <w:spacing w:before="0" w:after="0" w:line="240" w:lineRule="auto"/>
        <w:ind w:left="3205" w:right="0" w:hanging="721"/>
        <w:jc w:val="left"/>
        <w:rPr>
          <w:sz w:val="21"/>
        </w:rPr>
      </w:pPr>
      <w:r>
        <w:rPr>
          <w:spacing w:val="-10"/>
          <w:w w:val="95"/>
          <w:sz w:val="21"/>
        </w:rPr>
        <w:t>自主生活能力完全丧失，无法独立完成六项基本日常生活活动中的三项或三</w:t>
      </w:r>
    </w:p>
    <w:p>
      <w:pPr>
        <w:spacing w:after="0" w:line="240" w:lineRule="auto"/>
        <w:jc w:val="left"/>
        <w:rPr>
          <w:sz w:val="21"/>
        </w:rPr>
        <w:sectPr>
          <w:pgSz w:w="11910" w:h="16840"/>
          <w:pgMar w:top="1400" w:right="660" w:bottom="860" w:left="860" w:header="0" w:footer="662" w:gutter="0"/>
          <w:cols w:space="720" w:num="1"/>
        </w:sectPr>
      </w:pPr>
    </w:p>
    <w:p>
      <w:pPr>
        <w:pStyle w:val="4"/>
        <w:spacing w:before="43"/>
        <w:ind w:left="3205"/>
      </w:pPr>
      <w:r>
        <w:rPr>
          <w:spacing w:val="-3"/>
          <w:w w:val="95"/>
        </w:rPr>
        <w:t>项以上。</w:t>
      </w:r>
    </w:p>
    <w:p>
      <w:pPr>
        <w:pStyle w:val="4"/>
        <w:spacing w:before="7"/>
        <w:rPr>
          <w:sz w:val="15"/>
        </w:rPr>
      </w:pPr>
    </w:p>
    <w:p>
      <w:pPr>
        <w:pStyle w:val="3"/>
        <w:numPr>
          <w:ilvl w:val="0"/>
          <w:numId w:val="14"/>
        </w:numPr>
        <w:tabs>
          <w:tab w:val="left" w:pos="3120"/>
        </w:tabs>
        <w:spacing w:before="0" w:after="0" w:line="240" w:lineRule="auto"/>
        <w:ind w:left="3119" w:right="0" w:hanging="635"/>
        <w:jc w:val="left"/>
      </w:pPr>
      <w:r>
        <w:rPr>
          <w:spacing w:val="-1"/>
          <w:w w:val="95"/>
        </w:rPr>
        <w:t>婴儿进行性脊肌萎缩症:</w:t>
      </w:r>
    </w:p>
    <w:p>
      <w:pPr>
        <w:pStyle w:val="4"/>
        <w:spacing w:before="6"/>
        <w:rPr>
          <w:b/>
          <w:sz w:val="15"/>
        </w:rPr>
      </w:pPr>
    </w:p>
    <w:p>
      <w:pPr>
        <w:pStyle w:val="4"/>
        <w:spacing w:before="1" w:line="278" w:lineRule="auto"/>
        <w:ind w:left="2485" w:right="338"/>
        <w:jc w:val="both"/>
      </w:pPr>
      <w:r>
        <w:rPr>
          <w:spacing w:val="-2"/>
          <w:w w:val="99"/>
        </w:rPr>
        <w:t>该病是累及脊髓前角细胞及延髓运动核的神经元退行性变性病。在出生后两年内出</w:t>
      </w:r>
      <w:r>
        <w:rPr>
          <w:spacing w:val="-1"/>
          <w:w w:val="99"/>
        </w:rPr>
        <w:t>现的脊髓和脑干颅神经前角细胞进行性机能障碍，伴随肌肉无力和延髓机能障碍。</w:t>
      </w:r>
      <w:r>
        <w:rPr>
          <w:spacing w:val="-3"/>
          <w:w w:val="99"/>
        </w:rPr>
        <w:t>本公司承担本项疾病责任不受本合同责任免除中“遗传性疾病，先天性畸形、变形</w:t>
      </w:r>
      <w:r>
        <w:rPr>
          <w:spacing w:val="-1"/>
          <w:w w:val="99"/>
        </w:rPr>
        <w:t>或染色体异常”的限制。</w:t>
      </w:r>
    </w:p>
    <w:p>
      <w:pPr>
        <w:pStyle w:val="3"/>
        <w:numPr>
          <w:ilvl w:val="0"/>
          <w:numId w:val="14"/>
        </w:numPr>
        <w:tabs>
          <w:tab w:val="left" w:pos="3120"/>
        </w:tabs>
        <w:spacing w:before="155" w:after="0" w:line="240" w:lineRule="auto"/>
        <w:ind w:left="3119" w:right="0" w:hanging="635"/>
        <w:jc w:val="left"/>
      </w:pPr>
      <w:r>
        <w:rPr>
          <w:spacing w:val="-1"/>
          <w:w w:val="95"/>
        </w:rPr>
        <w:t>多处臂丛神经根性撕脱:</w:t>
      </w:r>
    </w:p>
    <w:p>
      <w:pPr>
        <w:pStyle w:val="4"/>
        <w:spacing w:before="7"/>
        <w:rPr>
          <w:b/>
          <w:sz w:val="15"/>
        </w:rPr>
      </w:pPr>
    </w:p>
    <w:p>
      <w:pPr>
        <w:pStyle w:val="4"/>
        <w:spacing w:line="278" w:lineRule="auto"/>
        <w:ind w:left="2485" w:right="244"/>
      </w:pPr>
      <w:r>
        <w:rPr>
          <w:spacing w:val="-2"/>
        </w:rPr>
        <w:t>由于疾病或意外导致至少两根臂丛神经根性撕脱，所造成的手臂感觉功能与运动功</w:t>
      </w:r>
      <w:r>
        <w:rPr>
          <w:spacing w:val="-11"/>
          <w:w w:val="95"/>
        </w:rPr>
        <w:t>能完全永久性丧失。该病须由医院专科医生明确诊断，并且有电生理检查结果证实。</w:t>
      </w:r>
    </w:p>
    <w:p>
      <w:pPr>
        <w:pStyle w:val="3"/>
        <w:numPr>
          <w:ilvl w:val="0"/>
          <w:numId w:val="14"/>
        </w:numPr>
        <w:tabs>
          <w:tab w:val="left" w:pos="3120"/>
        </w:tabs>
        <w:spacing w:before="156" w:after="0" w:line="240" w:lineRule="auto"/>
        <w:ind w:left="3119" w:right="0" w:hanging="635"/>
        <w:jc w:val="left"/>
      </w:pPr>
      <w:r>
        <w:rPr>
          <w:spacing w:val="-1"/>
          <w:w w:val="95"/>
        </w:rPr>
        <w:t>横贯性脊髓炎后遗症:</w:t>
      </w:r>
    </w:p>
    <w:p>
      <w:pPr>
        <w:pStyle w:val="4"/>
        <w:spacing w:before="6"/>
        <w:rPr>
          <w:b/>
          <w:sz w:val="15"/>
        </w:rPr>
      </w:pPr>
    </w:p>
    <w:p>
      <w:pPr>
        <w:pStyle w:val="4"/>
        <w:spacing w:line="278" w:lineRule="auto"/>
        <w:ind w:left="2485" w:right="350"/>
      </w:pPr>
      <w:r>
        <w:rPr>
          <w:spacing w:val="-3"/>
          <w:w w:val="99"/>
        </w:rPr>
        <w:t>脊髓炎是一种炎症性脊髓疾病。横贯性脊髓炎是指炎症扩展横贯整个脊髓，表现为</w:t>
      </w:r>
      <w:r>
        <w:rPr>
          <w:spacing w:val="-1"/>
          <w:w w:val="99"/>
        </w:rPr>
        <w:t>运动障碍、感觉障碍和自主神经功能障碍。</w:t>
      </w:r>
    </w:p>
    <w:p>
      <w:pPr>
        <w:pStyle w:val="4"/>
        <w:spacing w:line="278" w:lineRule="auto"/>
        <w:ind w:left="2485" w:right="350"/>
      </w:pPr>
      <w:r>
        <w:rPr>
          <w:spacing w:val="4"/>
          <w:w w:val="99"/>
        </w:rPr>
        <w:t>特定的横贯性脊髓炎后遗症指诊断为横贯性脊髓炎且已经造成永久不可逆的神经</w:t>
      </w:r>
      <w:r>
        <w:rPr>
          <w:spacing w:val="-1"/>
          <w:w w:val="99"/>
        </w:rPr>
        <w:t>系统功能障碍，无法独立完成下列基本日常生活活动之一：</w:t>
      </w:r>
    </w:p>
    <w:p>
      <w:pPr>
        <w:pStyle w:val="9"/>
        <w:numPr>
          <w:ilvl w:val="0"/>
          <w:numId w:val="70"/>
        </w:numPr>
        <w:tabs>
          <w:tab w:val="left" w:pos="3205"/>
          <w:tab w:val="left" w:pos="3206"/>
        </w:tabs>
        <w:spacing w:before="156" w:after="0" w:line="240" w:lineRule="auto"/>
        <w:ind w:left="3205" w:right="0" w:hanging="721"/>
        <w:jc w:val="left"/>
        <w:rPr>
          <w:sz w:val="21"/>
        </w:rPr>
      </w:pPr>
      <w:r>
        <w:rPr>
          <w:spacing w:val="-1"/>
          <w:w w:val="95"/>
          <w:sz w:val="21"/>
        </w:rPr>
        <w:t>移动：自己从一个房间到另一个房间；</w:t>
      </w:r>
    </w:p>
    <w:p>
      <w:pPr>
        <w:pStyle w:val="4"/>
        <w:spacing w:before="7"/>
        <w:rPr>
          <w:sz w:val="15"/>
        </w:rPr>
      </w:pPr>
    </w:p>
    <w:p>
      <w:pPr>
        <w:pStyle w:val="9"/>
        <w:numPr>
          <w:ilvl w:val="0"/>
          <w:numId w:val="70"/>
        </w:numPr>
        <w:tabs>
          <w:tab w:val="left" w:pos="3205"/>
          <w:tab w:val="left" w:pos="3206"/>
        </w:tabs>
        <w:spacing w:before="0" w:after="0" w:line="240" w:lineRule="auto"/>
        <w:ind w:left="3205" w:right="0" w:hanging="721"/>
        <w:jc w:val="left"/>
        <w:rPr>
          <w:sz w:val="21"/>
        </w:rPr>
      </w:pPr>
      <w:r>
        <w:rPr>
          <w:spacing w:val="-1"/>
          <w:w w:val="95"/>
          <w:sz w:val="21"/>
        </w:rPr>
        <w:t>进食：自己从已准备好的碗或碟中取食物放入口中。</w:t>
      </w:r>
    </w:p>
    <w:p>
      <w:pPr>
        <w:pStyle w:val="4"/>
        <w:spacing w:before="6"/>
        <w:rPr>
          <w:sz w:val="15"/>
        </w:rPr>
      </w:pPr>
    </w:p>
    <w:p>
      <w:pPr>
        <w:pStyle w:val="3"/>
        <w:numPr>
          <w:ilvl w:val="0"/>
          <w:numId w:val="14"/>
        </w:numPr>
        <w:tabs>
          <w:tab w:val="left" w:pos="3225"/>
        </w:tabs>
        <w:spacing w:before="0" w:after="0" w:line="240" w:lineRule="auto"/>
        <w:ind w:left="3224" w:right="0" w:hanging="740"/>
        <w:jc w:val="left"/>
      </w:pPr>
      <w:r>
        <w:rPr>
          <w:spacing w:val="-1"/>
          <w:w w:val="95"/>
        </w:rPr>
        <w:t>原发性脊柱侧弯的矫正手术:</w:t>
      </w:r>
    </w:p>
    <w:p>
      <w:pPr>
        <w:pStyle w:val="4"/>
        <w:spacing w:before="7"/>
        <w:rPr>
          <w:b/>
          <w:sz w:val="15"/>
        </w:rPr>
      </w:pPr>
    </w:p>
    <w:p>
      <w:pPr>
        <w:pStyle w:val="4"/>
        <w:spacing w:line="278" w:lineRule="auto"/>
        <w:ind w:left="2485" w:right="350"/>
        <w:jc w:val="both"/>
      </w:pPr>
      <w:r>
        <w:rPr>
          <w:spacing w:val="-2"/>
          <w:w w:val="99"/>
        </w:rPr>
        <w:t>指被保险人因原发性脊柱侧弯，在本公司指定或认可的医疗机构实际实施了对该病</w:t>
      </w:r>
      <w:r>
        <w:rPr>
          <w:spacing w:val="-3"/>
          <w:w w:val="99"/>
        </w:rPr>
        <w:t>的矫正外科手术。但由于先天性脊柱侧弯以及其他疾病或意外导致的继发性脊柱侧</w:t>
      </w:r>
      <w:r>
        <w:rPr>
          <w:spacing w:val="-1"/>
          <w:w w:val="99"/>
        </w:rPr>
        <w:t>弯而进行的手术治疗不属于本保障责任。</w:t>
      </w:r>
    </w:p>
    <w:p>
      <w:pPr>
        <w:pStyle w:val="3"/>
        <w:numPr>
          <w:ilvl w:val="0"/>
          <w:numId w:val="14"/>
        </w:numPr>
        <w:tabs>
          <w:tab w:val="left" w:pos="3225"/>
        </w:tabs>
        <w:spacing w:before="156" w:after="0" w:line="240" w:lineRule="auto"/>
        <w:ind w:left="3224" w:right="0" w:hanging="740"/>
        <w:jc w:val="left"/>
      </w:pPr>
      <w:r>
        <w:rPr>
          <w:spacing w:val="-2"/>
          <w:w w:val="95"/>
        </w:rPr>
        <w:t>脑型疟疾:</w:t>
      </w:r>
    </w:p>
    <w:p>
      <w:pPr>
        <w:pStyle w:val="4"/>
        <w:spacing w:before="6"/>
        <w:rPr>
          <w:b/>
          <w:sz w:val="15"/>
        </w:rPr>
      </w:pPr>
    </w:p>
    <w:p>
      <w:pPr>
        <w:pStyle w:val="4"/>
        <w:spacing w:before="1" w:line="278" w:lineRule="auto"/>
        <w:ind w:left="2485" w:right="347"/>
        <w:jc w:val="both"/>
      </w:pPr>
      <w:r>
        <w:rPr>
          <w:spacing w:val="-3"/>
          <w:w w:val="99"/>
        </w:rPr>
        <w:t>指恶性疟原虫严重感染导致的脑病或脑型疟疾，以昏迷为主要特征。脑型疟疾的诊断须由专科医生确认，且外周血涂片存在恶性疟原虫。</w:t>
      </w:r>
      <w:r>
        <w:rPr>
          <w:color w:val="000000"/>
          <w:spacing w:val="-1"/>
          <w:w w:val="99"/>
          <w:shd w:val="clear" w:color="auto" w:fill="E4E4E4"/>
        </w:rPr>
        <w:t>其他明确病因导致的脑病不                                                                                                                                              在保障范围内。</w:t>
      </w:r>
    </w:p>
    <w:p>
      <w:pPr>
        <w:pStyle w:val="3"/>
        <w:numPr>
          <w:ilvl w:val="0"/>
          <w:numId w:val="14"/>
        </w:numPr>
        <w:tabs>
          <w:tab w:val="left" w:pos="3225"/>
        </w:tabs>
        <w:spacing w:before="155" w:after="0" w:line="240" w:lineRule="auto"/>
        <w:ind w:left="3224" w:right="0" w:hanging="740"/>
        <w:jc w:val="left"/>
      </w:pPr>
      <w:r>
        <w:rPr>
          <w:spacing w:val="-2"/>
          <w:w w:val="95"/>
        </w:rPr>
        <w:t>范可尼综合征:</w:t>
      </w:r>
    </w:p>
    <w:p>
      <w:pPr>
        <w:pStyle w:val="4"/>
        <w:spacing w:before="7"/>
        <w:rPr>
          <w:b/>
          <w:sz w:val="15"/>
        </w:rPr>
      </w:pPr>
    </w:p>
    <w:p>
      <w:pPr>
        <w:pStyle w:val="4"/>
        <w:ind w:left="2485"/>
      </w:pPr>
      <w:r>
        <w:rPr>
          <w:spacing w:val="-1"/>
          <w:w w:val="95"/>
        </w:rPr>
        <w:t>指近端肾小管的功能异常引起的一组症候群。须满足下列至少三个条件：</w:t>
      </w:r>
    </w:p>
    <w:p>
      <w:pPr>
        <w:pStyle w:val="4"/>
        <w:spacing w:before="7"/>
        <w:rPr>
          <w:sz w:val="15"/>
        </w:rPr>
      </w:pPr>
    </w:p>
    <w:p>
      <w:pPr>
        <w:pStyle w:val="9"/>
        <w:numPr>
          <w:ilvl w:val="0"/>
          <w:numId w:val="71"/>
        </w:numPr>
        <w:tabs>
          <w:tab w:val="left" w:pos="3205"/>
          <w:tab w:val="left" w:pos="3206"/>
        </w:tabs>
        <w:spacing w:before="0" w:after="0" w:line="240" w:lineRule="auto"/>
        <w:ind w:left="3205" w:right="0" w:hanging="721"/>
        <w:jc w:val="left"/>
        <w:rPr>
          <w:sz w:val="21"/>
        </w:rPr>
      </w:pPr>
      <w:r>
        <w:rPr>
          <w:spacing w:val="-1"/>
          <w:w w:val="95"/>
          <w:sz w:val="21"/>
        </w:rPr>
        <w:t>尿液检查出现肾性糖尿、全氨基酸糖尿或磷酸盐尿；</w:t>
      </w:r>
    </w:p>
    <w:p>
      <w:pPr>
        <w:pStyle w:val="4"/>
        <w:spacing w:before="6"/>
        <w:rPr>
          <w:sz w:val="15"/>
        </w:rPr>
      </w:pPr>
    </w:p>
    <w:p>
      <w:pPr>
        <w:pStyle w:val="9"/>
        <w:numPr>
          <w:ilvl w:val="0"/>
          <w:numId w:val="71"/>
        </w:numPr>
        <w:tabs>
          <w:tab w:val="left" w:pos="3205"/>
          <w:tab w:val="left" w:pos="3206"/>
        </w:tabs>
        <w:spacing w:before="1" w:after="0" w:line="240" w:lineRule="auto"/>
        <w:ind w:left="3205" w:right="0" w:hanging="721"/>
        <w:jc w:val="left"/>
        <w:rPr>
          <w:sz w:val="21"/>
        </w:rPr>
      </w:pPr>
      <w:r>
        <w:rPr>
          <w:spacing w:val="-1"/>
          <w:w w:val="95"/>
          <w:sz w:val="21"/>
        </w:rPr>
        <w:t>血液检查出现低磷血症、低尿酸血症或近端肾小管酸中毒；</w:t>
      </w:r>
    </w:p>
    <w:p>
      <w:pPr>
        <w:pStyle w:val="4"/>
        <w:spacing w:before="6"/>
        <w:rPr>
          <w:sz w:val="15"/>
        </w:rPr>
      </w:pPr>
    </w:p>
    <w:p>
      <w:pPr>
        <w:pStyle w:val="9"/>
        <w:numPr>
          <w:ilvl w:val="0"/>
          <w:numId w:val="71"/>
        </w:numPr>
        <w:tabs>
          <w:tab w:val="left" w:pos="3205"/>
          <w:tab w:val="left" w:pos="3206"/>
        </w:tabs>
        <w:spacing w:before="0" w:after="0" w:line="240" w:lineRule="auto"/>
        <w:ind w:left="3205" w:right="0" w:hanging="721"/>
        <w:jc w:val="left"/>
        <w:rPr>
          <w:sz w:val="21"/>
        </w:rPr>
      </w:pPr>
      <w:r>
        <w:rPr>
          <w:spacing w:val="-1"/>
          <w:w w:val="95"/>
          <w:sz w:val="21"/>
        </w:rPr>
        <w:t>出现骨质疏松、骨骼畸形或尿路结石；</w:t>
      </w:r>
    </w:p>
    <w:p>
      <w:pPr>
        <w:pStyle w:val="4"/>
        <w:spacing w:before="7"/>
        <w:rPr>
          <w:sz w:val="15"/>
        </w:rPr>
      </w:pPr>
    </w:p>
    <w:p>
      <w:pPr>
        <w:pStyle w:val="9"/>
        <w:numPr>
          <w:ilvl w:val="0"/>
          <w:numId w:val="71"/>
        </w:numPr>
        <w:tabs>
          <w:tab w:val="left" w:pos="3205"/>
          <w:tab w:val="left" w:pos="3206"/>
        </w:tabs>
        <w:spacing w:before="0" w:after="0" w:line="278" w:lineRule="auto"/>
        <w:ind w:left="3205" w:right="350" w:hanging="720"/>
        <w:jc w:val="left"/>
        <w:rPr>
          <w:sz w:val="21"/>
        </w:rPr>
      </w:pPr>
      <w:r>
        <w:rPr>
          <w:spacing w:val="-11"/>
          <w:w w:val="99"/>
          <w:sz w:val="21"/>
        </w:rPr>
        <w:t>通过骨髓片、白细胞、直肠黏膜中的结晶分析或裂隙灯检查角膜有胱氨酸结</w:t>
      </w:r>
      <w:r>
        <w:rPr>
          <w:spacing w:val="-1"/>
          <w:w w:val="99"/>
          <w:sz w:val="21"/>
        </w:rPr>
        <w:t>晶。</w:t>
      </w:r>
    </w:p>
    <w:p>
      <w:pPr>
        <w:pStyle w:val="3"/>
        <w:numPr>
          <w:ilvl w:val="0"/>
          <w:numId w:val="14"/>
        </w:numPr>
        <w:tabs>
          <w:tab w:val="left" w:pos="3225"/>
        </w:tabs>
        <w:spacing w:before="156" w:after="0" w:line="240" w:lineRule="auto"/>
        <w:ind w:left="3224" w:right="0" w:hanging="740"/>
        <w:jc w:val="left"/>
      </w:pPr>
      <w:r>
        <w:rPr>
          <w:spacing w:val="-1"/>
          <w:w w:val="95"/>
        </w:rPr>
        <w:t>败血症导致的多器官功能障碍综合症:</w:t>
      </w:r>
    </w:p>
    <w:p>
      <w:pPr>
        <w:pStyle w:val="4"/>
        <w:spacing w:before="6"/>
        <w:rPr>
          <w:b/>
          <w:sz w:val="15"/>
        </w:rPr>
      </w:pPr>
    </w:p>
    <w:p>
      <w:pPr>
        <w:pStyle w:val="4"/>
        <w:spacing w:before="1" w:line="278" w:lineRule="auto"/>
        <w:ind w:left="2485" w:right="349"/>
      </w:pPr>
      <w:r>
        <w:rPr>
          <w:spacing w:val="4"/>
          <w:w w:val="99"/>
        </w:rPr>
        <w:t>指由我司认可医院的专科医生确诊为败血症，并由血液或骨骼检查检查证实致病</w:t>
      </w:r>
      <w:r>
        <w:rPr>
          <w:spacing w:val="-7"/>
          <w:w w:val="99"/>
        </w:rPr>
        <w:t>菌，伴发一个或多个器官系统生理功能障碍，并因该疾病入住重症监护病房至少</w:t>
      </w:r>
      <w:r>
        <w:rPr>
          <w:spacing w:val="-53"/>
        </w:rPr>
        <w:t xml:space="preserve"> </w:t>
      </w:r>
      <w:r>
        <w:rPr>
          <w:spacing w:val="1"/>
          <w:w w:val="99"/>
        </w:rPr>
        <w:t>9</w:t>
      </w:r>
      <w:r>
        <w:rPr>
          <w:w w:val="99"/>
        </w:rPr>
        <w:t>6</w:t>
      </w:r>
    </w:p>
    <w:p>
      <w:pPr>
        <w:spacing w:after="0" w:line="278" w:lineRule="auto"/>
        <w:sectPr>
          <w:pgSz w:w="11910" w:h="16840"/>
          <w:pgMar w:top="1400" w:right="660" w:bottom="860" w:left="860" w:header="0" w:footer="662" w:gutter="0"/>
          <w:cols w:space="720" w:num="1"/>
        </w:sectPr>
      </w:pPr>
    </w:p>
    <w:p>
      <w:pPr>
        <w:pStyle w:val="4"/>
        <w:spacing w:before="43"/>
        <w:ind w:left="2485"/>
      </w:pPr>
      <w:r>
        <w:rPr>
          <w:spacing w:val="-1"/>
          <w:w w:val="95"/>
        </w:rPr>
        <w:t>小时，同时至少满足以下一条标准：</w:t>
      </w:r>
    </w:p>
    <w:p>
      <w:pPr>
        <w:pStyle w:val="4"/>
        <w:spacing w:before="7"/>
        <w:rPr>
          <w:sz w:val="15"/>
        </w:rPr>
      </w:pPr>
    </w:p>
    <w:p>
      <w:pPr>
        <w:pStyle w:val="9"/>
        <w:numPr>
          <w:ilvl w:val="0"/>
          <w:numId w:val="72"/>
        </w:numPr>
        <w:tabs>
          <w:tab w:val="left" w:pos="3205"/>
          <w:tab w:val="left" w:pos="3206"/>
        </w:tabs>
        <w:spacing w:before="0" w:after="0" w:line="240" w:lineRule="auto"/>
        <w:ind w:left="3205" w:right="0" w:hanging="721"/>
        <w:jc w:val="left"/>
        <w:rPr>
          <w:sz w:val="21"/>
        </w:rPr>
      </w:pPr>
      <w:r>
        <w:rPr>
          <w:spacing w:val="-1"/>
          <w:w w:val="95"/>
          <w:sz w:val="21"/>
        </w:rPr>
        <w:t>呼吸衰竭，需要进行气管插管机械通气；</w:t>
      </w:r>
    </w:p>
    <w:p>
      <w:pPr>
        <w:pStyle w:val="4"/>
        <w:spacing w:before="6"/>
        <w:rPr>
          <w:sz w:val="15"/>
        </w:rPr>
      </w:pPr>
    </w:p>
    <w:p>
      <w:pPr>
        <w:pStyle w:val="9"/>
        <w:numPr>
          <w:ilvl w:val="0"/>
          <w:numId w:val="72"/>
        </w:numPr>
        <w:tabs>
          <w:tab w:val="left" w:pos="3205"/>
          <w:tab w:val="left" w:pos="3206"/>
        </w:tabs>
        <w:spacing w:before="1" w:after="0" w:line="240" w:lineRule="auto"/>
        <w:ind w:left="3205" w:right="0" w:hanging="721"/>
        <w:jc w:val="left"/>
        <w:rPr>
          <w:sz w:val="21"/>
        </w:rPr>
      </w:pPr>
      <w:r>
        <w:rPr>
          <w:w w:val="95"/>
          <w:sz w:val="21"/>
        </w:rPr>
        <w:t>凝血血小板计数＜50×10³</w:t>
      </w:r>
      <w:r>
        <w:rPr>
          <w:spacing w:val="-3"/>
          <w:w w:val="95"/>
          <w:sz w:val="21"/>
        </w:rPr>
        <w:t>/微升；</w:t>
      </w:r>
    </w:p>
    <w:p>
      <w:pPr>
        <w:pStyle w:val="4"/>
        <w:spacing w:before="6"/>
        <w:rPr>
          <w:sz w:val="15"/>
        </w:rPr>
      </w:pPr>
    </w:p>
    <w:p>
      <w:pPr>
        <w:pStyle w:val="9"/>
        <w:numPr>
          <w:ilvl w:val="0"/>
          <w:numId w:val="72"/>
        </w:numPr>
        <w:tabs>
          <w:tab w:val="left" w:pos="3205"/>
          <w:tab w:val="left" w:pos="3206"/>
        </w:tabs>
        <w:spacing w:before="0" w:after="0" w:line="240" w:lineRule="auto"/>
        <w:ind w:left="3205" w:right="0" w:hanging="721"/>
        <w:jc w:val="left"/>
        <w:rPr>
          <w:sz w:val="21"/>
        </w:rPr>
      </w:pPr>
      <w:r>
        <w:rPr>
          <w:w w:val="95"/>
          <w:sz w:val="21"/>
        </w:rPr>
        <w:t>肝功能不全，胆红素＞6mg/dl</w:t>
      </w:r>
      <w:r>
        <w:rPr>
          <w:spacing w:val="69"/>
          <w:sz w:val="21"/>
        </w:rPr>
        <w:t xml:space="preserve"> </w:t>
      </w:r>
      <w:r>
        <w:rPr>
          <w:spacing w:val="-1"/>
          <w:w w:val="95"/>
          <w:sz w:val="21"/>
        </w:rPr>
        <w:t>或＞</w:t>
      </w:r>
      <w:r>
        <w:rPr>
          <w:spacing w:val="-2"/>
          <w:w w:val="95"/>
          <w:sz w:val="21"/>
        </w:rPr>
        <w:t>102μmol/L；</w:t>
      </w:r>
    </w:p>
    <w:p>
      <w:pPr>
        <w:pStyle w:val="4"/>
        <w:spacing w:before="7"/>
        <w:rPr>
          <w:sz w:val="15"/>
        </w:rPr>
      </w:pPr>
    </w:p>
    <w:p>
      <w:pPr>
        <w:pStyle w:val="9"/>
        <w:numPr>
          <w:ilvl w:val="0"/>
          <w:numId w:val="72"/>
        </w:numPr>
        <w:tabs>
          <w:tab w:val="left" w:pos="3205"/>
          <w:tab w:val="left" w:pos="3206"/>
        </w:tabs>
        <w:spacing w:before="0" w:after="0" w:line="240" w:lineRule="auto"/>
        <w:ind w:left="3205" w:right="0" w:hanging="721"/>
        <w:jc w:val="left"/>
        <w:rPr>
          <w:sz w:val="21"/>
        </w:rPr>
      </w:pPr>
      <w:r>
        <w:rPr>
          <w:spacing w:val="-2"/>
          <w:w w:val="95"/>
          <w:sz w:val="21"/>
        </w:rPr>
        <w:t>需要用强心剂；</w:t>
      </w:r>
    </w:p>
    <w:p>
      <w:pPr>
        <w:pStyle w:val="4"/>
        <w:spacing w:before="7"/>
        <w:rPr>
          <w:sz w:val="15"/>
        </w:rPr>
      </w:pPr>
    </w:p>
    <w:p>
      <w:pPr>
        <w:pStyle w:val="9"/>
        <w:numPr>
          <w:ilvl w:val="0"/>
          <w:numId w:val="72"/>
        </w:numPr>
        <w:tabs>
          <w:tab w:val="left" w:pos="3205"/>
          <w:tab w:val="left" w:pos="3206"/>
        </w:tabs>
        <w:spacing w:before="0" w:after="0" w:line="240" w:lineRule="auto"/>
        <w:ind w:left="3205" w:right="0" w:hanging="721"/>
        <w:jc w:val="left"/>
        <w:rPr>
          <w:sz w:val="21"/>
        </w:rPr>
      </w:pPr>
      <w:r>
        <w:rPr>
          <w:w w:val="95"/>
          <w:sz w:val="21"/>
        </w:rPr>
        <w:t>格拉斯哥昏迷评分</w:t>
      </w:r>
      <w:r>
        <w:rPr>
          <w:spacing w:val="-2"/>
          <w:w w:val="95"/>
          <w:sz w:val="21"/>
        </w:rPr>
        <w:t>（GCS）≤9；</w:t>
      </w:r>
    </w:p>
    <w:p>
      <w:pPr>
        <w:pStyle w:val="4"/>
        <w:spacing w:before="6"/>
        <w:rPr>
          <w:sz w:val="15"/>
        </w:rPr>
      </w:pPr>
    </w:p>
    <w:p>
      <w:pPr>
        <w:pStyle w:val="9"/>
        <w:numPr>
          <w:ilvl w:val="0"/>
          <w:numId w:val="72"/>
        </w:numPr>
        <w:tabs>
          <w:tab w:val="left" w:pos="3205"/>
          <w:tab w:val="left" w:pos="3206"/>
        </w:tabs>
        <w:spacing w:before="1" w:after="0" w:line="240" w:lineRule="auto"/>
        <w:ind w:left="3205" w:right="0" w:hanging="721"/>
        <w:jc w:val="left"/>
        <w:rPr>
          <w:sz w:val="21"/>
        </w:rPr>
      </w:pPr>
      <w:r>
        <w:rPr>
          <w:w w:val="95"/>
          <w:sz w:val="21"/>
        </w:rPr>
        <w:t>肾功能衰竭，血清肌酐＞300μmol/L</w:t>
      </w:r>
      <w:r>
        <w:rPr>
          <w:spacing w:val="29"/>
          <w:w w:val="150"/>
          <w:sz w:val="21"/>
        </w:rPr>
        <w:t xml:space="preserve"> </w:t>
      </w:r>
      <w:r>
        <w:rPr>
          <w:w w:val="95"/>
          <w:sz w:val="21"/>
        </w:rPr>
        <w:t>或＞3.5mg/dl</w:t>
      </w:r>
      <w:r>
        <w:rPr>
          <w:spacing w:val="75"/>
          <w:sz w:val="21"/>
        </w:rPr>
        <w:t xml:space="preserve"> </w:t>
      </w:r>
      <w:r>
        <w:rPr>
          <w:w w:val="95"/>
          <w:sz w:val="21"/>
        </w:rPr>
        <w:t>或尿量＜500ml/d</w:t>
      </w:r>
      <w:r>
        <w:rPr>
          <w:spacing w:val="-10"/>
          <w:w w:val="95"/>
          <w:sz w:val="21"/>
        </w:rPr>
        <w:t>。</w:t>
      </w:r>
    </w:p>
    <w:p>
      <w:pPr>
        <w:pStyle w:val="4"/>
        <w:spacing w:before="1"/>
        <w:rPr>
          <w:sz w:val="10"/>
        </w:rPr>
      </w:pPr>
    </w:p>
    <w:p>
      <w:pPr>
        <w:pStyle w:val="4"/>
        <w:spacing w:before="69"/>
        <w:ind w:left="2485"/>
      </w:pPr>
      <w:r>
        <w:rPr>
          <w:color w:val="000000"/>
          <w:w w:val="95"/>
          <w:shd w:val="clear" w:color="auto" w:fill="E4E4E4"/>
        </w:rPr>
        <w:t>非败血症引起的</w:t>
      </w:r>
      <w:r>
        <w:rPr>
          <w:color w:val="000000"/>
          <w:spacing w:val="18"/>
          <w:shd w:val="clear" w:color="auto" w:fill="E4E4E4"/>
        </w:rPr>
        <w:t xml:space="preserve"> </w:t>
      </w:r>
      <w:r>
        <w:rPr>
          <w:color w:val="000000"/>
          <w:w w:val="95"/>
          <w:shd w:val="clear" w:color="auto" w:fill="E4E4E4"/>
        </w:rPr>
        <w:t>MODS</w:t>
      </w:r>
      <w:r>
        <w:rPr>
          <w:color w:val="000000"/>
          <w:spacing w:val="17"/>
          <w:shd w:val="clear" w:color="auto" w:fill="E4E4E4"/>
        </w:rPr>
        <w:t xml:space="preserve"> </w:t>
      </w:r>
      <w:r>
        <w:rPr>
          <w:color w:val="000000"/>
          <w:spacing w:val="-2"/>
          <w:w w:val="95"/>
          <w:shd w:val="clear" w:color="auto" w:fill="E4E4E4"/>
        </w:rPr>
        <w:t>不在保障范围内。</w:t>
      </w:r>
    </w:p>
    <w:p>
      <w:pPr>
        <w:pStyle w:val="4"/>
        <w:spacing w:before="7"/>
        <w:rPr>
          <w:sz w:val="15"/>
        </w:rPr>
      </w:pPr>
    </w:p>
    <w:p>
      <w:pPr>
        <w:pStyle w:val="3"/>
        <w:numPr>
          <w:ilvl w:val="0"/>
          <w:numId w:val="14"/>
        </w:numPr>
        <w:tabs>
          <w:tab w:val="left" w:pos="3225"/>
        </w:tabs>
        <w:spacing w:before="0" w:after="0" w:line="240" w:lineRule="auto"/>
        <w:ind w:left="3224" w:right="0" w:hanging="740"/>
        <w:jc w:val="left"/>
      </w:pPr>
      <w:r>
        <w:rPr>
          <w:spacing w:val="-2"/>
          <w:w w:val="95"/>
        </w:rPr>
        <w:t>亚历山大病:</w:t>
      </w:r>
    </w:p>
    <w:p>
      <w:pPr>
        <w:pStyle w:val="4"/>
        <w:spacing w:before="7"/>
        <w:rPr>
          <w:b/>
          <w:sz w:val="15"/>
        </w:rPr>
      </w:pPr>
    </w:p>
    <w:p>
      <w:pPr>
        <w:pStyle w:val="4"/>
        <w:spacing w:line="278" w:lineRule="auto"/>
        <w:ind w:left="2485" w:right="338"/>
        <w:jc w:val="both"/>
      </w:pPr>
      <w:r>
        <w:rPr>
          <w:spacing w:val="-3"/>
          <w:w w:val="99"/>
        </w:rPr>
        <w:t>亚历山大病是一种遗传性中枢神经系统退行性病变，特点为脑白质营养不良。临床表现为惊厥发作、智力下降、球麻痹、共济失调、痉挛性瘫痪。亚历山大病必须被</w:t>
      </w:r>
      <w:r>
        <w:rPr>
          <w:spacing w:val="-1"/>
          <w:w w:val="99"/>
        </w:rPr>
        <w:t>明确诊断，并且造成永久性神经系统功能损害。被保险人自主生活能力完全丧失，</w:t>
      </w:r>
      <w:r>
        <w:rPr>
          <w:spacing w:val="-2"/>
          <w:w w:val="99"/>
        </w:rPr>
        <w:t>无法独立完成六项基本日常生活活动中的三项或三项以上，日常生活必须持续接受</w:t>
      </w:r>
      <w:r>
        <w:rPr>
          <w:spacing w:val="-1"/>
          <w:w w:val="99"/>
        </w:rPr>
        <w:t>他人护理。</w:t>
      </w:r>
    </w:p>
    <w:p>
      <w:pPr>
        <w:pStyle w:val="3"/>
        <w:numPr>
          <w:ilvl w:val="0"/>
          <w:numId w:val="14"/>
        </w:numPr>
        <w:tabs>
          <w:tab w:val="left" w:pos="3225"/>
        </w:tabs>
        <w:spacing w:before="155" w:after="0" w:line="240" w:lineRule="auto"/>
        <w:ind w:left="3224" w:right="0" w:hanging="740"/>
        <w:jc w:val="both"/>
      </w:pPr>
      <w:r>
        <w:rPr>
          <w:w w:val="95"/>
        </w:rPr>
        <w:t>严重心脏衰竭</w:t>
      </w:r>
      <w:r>
        <w:rPr>
          <w:spacing w:val="22"/>
        </w:rPr>
        <w:t xml:space="preserve"> </w:t>
      </w:r>
      <w:r>
        <w:rPr>
          <w:w w:val="95"/>
        </w:rPr>
        <w:t>CRT</w:t>
      </w:r>
      <w:r>
        <w:rPr>
          <w:spacing w:val="13"/>
        </w:rPr>
        <w:t xml:space="preserve"> </w:t>
      </w:r>
      <w:r>
        <w:rPr>
          <w:spacing w:val="-2"/>
          <w:w w:val="95"/>
        </w:rPr>
        <w:t>心脏再同步治疗:</w:t>
      </w:r>
    </w:p>
    <w:p>
      <w:pPr>
        <w:pStyle w:val="4"/>
        <w:spacing w:before="7"/>
        <w:rPr>
          <w:b/>
          <w:sz w:val="15"/>
        </w:rPr>
      </w:pPr>
    </w:p>
    <w:p>
      <w:pPr>
        <w:pStyle w:val="4"/>
        <w:spacing w:line="278" w:lineRule="auto"/>
        <w:ind w:left="2485" w:right="338"/>
        <w:jc w:val="both"/>
      </w:pPr>
      <w:r>
        <w:rPr>
          <w:spacing w:val="-1"/>
          <w:w w:val="99"/>
        </w:rPr>
        <w:t>指因缺血性心脏病或扩张性心肌病导致慢性严重心脏衰竭，实际接受了</w:t>
      </w:r>
      <w:r>
        <w:rPr>
          <w:spacing w:val="-50"/>
        </w:rPr>
        <w:t xml:space="preserve"> </w:t>
      </w:r>
      <w:r>
        <w:rPr>
          <w:spacing w:val="1"/>
          <w:w w:val="99"/>
        </w:rPr>
        <w:t>CR</w:t>
      </w:r>
      <w:r>
        <w:rPr>
          <w:w w:val="99"/>
        </w:rPr>
        <w:t>T</w:t>
      </w:r>
      <w:r>
        <w:rPr>
          <w:spacing w:val="-54"/>
        </w:rPr>
        <w:t xml:space="preserve"> </w:t>
      </w:r>
      <w:r>
        <w:rPr>
          <w:w w:val="99"/>
        </w:rPr>
        <w:t>治疗，</w:t>
      </w:r>
      <w:r>
        <w:rPr>
          <w:spacing w:val="-1"/>
          <w:w w:val="99"/>
        </w:rPr>
        <w:t>以矫正心室收缩不协调和改善心脏功能。接受治疗前须满足下列全部条件：</w:t>
      </w:r>
    </w:p>
    <w:p>
      <w:pPr>
        <w:pStyle w:val="9"/>
        <w:numPr>
          <w:ilvl w:val="0"/>
          <w:numId w:val="73"/>
        </w:numPr>
        <w:tabs>
          <w:tab w:val="left" w:pos="3205"/>
          <w:tab w:val="left" w:pos="3206"/>
        </w:tabs>
        <w:spacing w:before="156" w:after="0" w:line="240" w:lineRule="auto"/>
        <w:ind w:left="3205" w:right="0" w:hanging="721"/>
        <w:jc w:val="left"/>
        <w:rPr>
          <w:sz w:val="21"/>
        </w:rPr>
      </w:pPr>
      <w:r>
        <w:rPr>
          <w:spacing w:val="-1"/>
          <w:w w:val="95"/>
          <w:sz w:val="21"/>
        </w:rPr>
        <w:t>达到美国纽约心脏病学会心功能状态分级Ⅲ级或Ⅳ级；</w:t>
      </w:r>
    </w:p>
    <w:p>
      <w:pPr>
        <w:pStyle w:val="4"/>
        <w:spacing w:before="6"/>
        <w:rPr>
          <w:sz w:val="15"/>
        </w:rPr>
      </w:pPr>
    </w:p>
    <w:p>
      <w:pPr>
        <w:pStyle w:val="9"/>
        <w:numPr>
          <w:ilvl w:val="0"/>
          <w:numId w:val="73"/>
        </w:numPr>
        <w:tabs>
          <w:tab w:val="left" w:pos="3205"/>
          <w:tab w:val="left" w:pos="3206"/>
        </w:tabs>
        <w:spacing w:before="1" w:after="0" w:line="240" w:lineRule="auto"/>
        <w:ind w:left="3205" w:right="0" w:hanging="721"/>
        <w:jc w:val="left"/>
        <w:rPr>
          <w:sz w:val="21"/>
        </w:rPr>
      </w:pPr>
      <w:r>
        <w:rPr>
          <w:spacing w:val="-2"/>
          <w:sz w:val="21"/>
        </w:rPr>
        <w:t xml:space="preserve">左室射血分数低于 </w:t>
      </w:r>
      <w:r>
        <w:rPr>
          <w:spacing w:val="-4"/>
          <w:sz w:val="21"/>
        </w:rPr>
        <w:t>35％；</w:t>
      </w:r>
    </w:p>
    <w:p>
      <w:pPr>
        <w:pStyle w:val="4"/>
        <w:spacing w:before="6"/>
        <w:rPr>
          <w:sz w:val="15"/>
        </w:rPr>
      </w:pPr>
    </w:p>
    <w:p>
      <w:pPr>
        <w:pStyle w:val="9"/>
        <w:numPr>
          <w:ilvl w:val="0"/>
          <w:numId w:val="73"/>
        </w:numPr>
        <w:tabs>
          <w:tab w:val="left" w:pos="3205"/>
          <w:tab w:val="left" w:pos="3206"/>
        </w:tabs>
        <w:spacing w:before="0" w:after="0" w:line="240" w:lineRule="auto"/>
        <w:ind w:left="3205" w:right="0" w:hanging="721"/>
        <w:jc w:val="left"/>
        <w:rPr>
          <w:sz w:val="21"/>
        </w:rPr>
      </w:pPr>
      <w:r>
        <w:rPr>
          <w:spacing w:val="-1"/>
          <w:w w:val="95"/>
          <w:sz w:val="21"/>
        </w:rPr>
        <w:t>左室舒张末期内径≥</w:t>
      </w:r>
      <w:r>
        <w:rPr>
          <w:spacing w:val="-2"/>
          <w:w w:val="95"/>
          <w:sz w:val="21"/>
        </w:rPr>
        <w:t>55mm；</w:t>
      </w:r>
    </w:p>
    <w:p>
      <w:pPr>
        <w:pStyle w:val="4"/>
        <w:spacing w:before="7"/>
        <w:rPr>
          <w:sz w:val="15"/>
        </w:rPr>
      </w:pPr>
    </w:p>
    <w:p>
      <w:pPr>
        <w:pStyle w:val="9"/>
        <w:numPr>
          <w:ilvl w:val="0"/>
          <w:numId w:val="73"/>
        </w:numPr>
        <w:tabs>
          <w:tab w:val="left" w:pos="3205"/>
          <w:tab w:val="left" w:pos="3206"/>
        </w:tabs>
        <w:spacing w:before="0" w:after="0" w:line="240" w:lineRule="auto"/>
        <w:ind w:left="3205" w:right="0" w:hanging="721"/>
        <w:jc w:val="left"/>
        <w:rPr>
          <w:sz w:val="21"/>
        </w:rPr>
      </w:pPr>
      <w:r>
        <w:rPr>
          <w:sz w:val="21"/>
        </w:rPr>
        <w:t>QRS</w:t>
      </w:r>
      <w:r>
        <w:rPr>
          <w:spacing w:val="-2"/>
          <w:sz w:val="21"/>
        </w:rPr>
        <w:t xml:space="preserve"> 时间≥130msec；</w:t>
      </w:r>
    </w:p>
    <w:p>
      <w:pPr>
        <w:pStyle w:val="4"/>
        <w:spacing w:before="7"/>
        <w:rPr>
          <w:sz w:val="15"/>
        </w:rPr>
      </w:pPr>
    </w:p>
    <w:p>
      <w:pPr>
        <w:pStyle w:val="9"/>
        <w:numPr>
          <w:ilvl w:val="0"/>
          <w:numId w:val="73"/>
        </w:numPr>
        <w:tabs>
          <w:tab w:val="left" w:pos="3205"/>
          <w:tab w:val="left" w:pos="3206"/>
        </w:tabs>
        <w:spacing w:before="0" w:after="0" w:line="240" w:lineRule="auto"/>
        <w:ind w:left="3205" w:right="0" w:hanging="721"/>
        <w:jc w:val="left"/>
        <w:rPr>
          <w:sz w:val="21"/>
        </w:rPr>
      </w:pPr>
      <w:r>
        <w:rPr>
          <w:spacing w:val="-1"/>
          <w:w w:val="95"/>
          <w:sz w:val="21"/>
        </w:rPr>
        <w:t>药物治疗效果不佳，仍有症状。</w:t>
      </w:r>
    </w:p>
    <w:p>
      <w:pPr>
        <w:pStyle w:val="4"/>
        <w:spacing w:before="6"/>
        <w:rPr>
          <w:sz w:val="15"/>
        </w:rPr>
      </w:pPr>
    </w:p>
    <w:p>
      <w:pPr>
        <w:pStyle w:val="3"/>
        <w:numPr>
          <w:ilvl w:val="0"/>
          <w:numId w:val="14"/>
        </w:numPr>
        <w:tabs>
          <w:tab w:val="left" w:pos="3225"/>
        </w:tabs>
        <w:spacing w:before="1" w:after="0" w:line="240" w:lineRule="auto"/>
        <w:ind w:left="3224" w:right="0" w:hanging="740"/>
        <w:jc w:val="left"/>
      </w:pPr>
      <w:r>
        <w:rPr>
          <w:spacing w:val="-2"/>
          <w:w w:val="95"/>
        </w:rPr>
        <w:t>脊髓内肿瘤:</w:t>
      </w:r>
    </w:p>
    <w:p>
      <w:pPr>
        <w:pStyle w:val="4"/>
        <w:spacing w:before="6"/>
        <w:rPr>
          <w:b/>
          <w:sz w:val="15"/>
        </w:rPr>
      </w:pPr>
    </w:p>
    <w:p>
      <w:pPr>
        <w:pStyle w:val="4"/>
        <w:ind w:left="2485"/>
      </w:pPr>
      <w:r>
        <w:rPr>
          <w:w w:val="95"/>
        </w:rPr>
        <w:t>指脊髓内的良性肿瘤。肿瘤须导致脊髓损害并导致瘫痪，并须满足下列全部条件</w:t>
      </w:r>
      <w:r>
        <w:rPr>
          <w:spacing w:val="-10"/>
          <w:w w:val="95"/>
        </w:rPr>
        <w:t>：</w:t>
      </w:r>
    </w:p>
    <w:p>
      <w:pPr>
        <w:pStyle w:val="4"/>
        <w:spacing w:before="7"/>
        <w:rPr>
          <w:sz w:val="15"/>
        </w:rPr>
      </w:pPr>
    </w:p>
    <w:p>
      <w:pPr>
        <w:pStyle w:val="9"/>
        <w:numPr>
          <w:ilvl w:val="0"/>
          <w:numId w:val="74"/>
        </w:numPr>
        <w:tabs>
          <w:tab w:val="left" w:pos="3205"/>
          <w:tab w:val="left" w:pos="3206"/>
        </w:tabs>
        <w:spacing w:before="0" w:after="0" w:line="240" w:lineRule="auto"/>
        <w:ind w:left="3205" w:right="0" w:hanging="721"/>
        <w:jc w:val="left"/>
        <w:rPr>
          <w:sz w:val="21"/>
        </w:rPr>
      </w:pPr>
      <w:r>
        <w:rPr>
          <w:spacing w:val="-1"/>
          <w:w w:val="95"/>
          <w:sz w:val="21"/>
        </w:rPr>
        <w:t>实际接受了肿瘤切除的手术；</w:t>
      </w:r>
    </w:p>
    <w:p>
      <w:pPr>
        <w:pStyle w:val="4"/>
        <w:spacing w:before="7"/>
        <w:rPr>
          <w:sz w:val="15"/>
        </w:rPr>
      </w:pPr>
    </w:p>
    <w:p>
      <w:pPr>
        <w:pStyle w:val="9"/>
        <w:numPr>
          <w:ilvl w:val="0"/>
          <w:numId w:val="74"/>
        </w:numPr>
        <w:tabs>
          <w:tab w:val="left" w:pos="3205"/>
          <w:tab w:val="left" w:pos="3206"/>
        </w:tabs>
        <w:spacing w:before="0" w:after="0" w:line="278" w:lineRule="auto"/>
        <w:ind w:left="3205" w:right="350" w:hanging="720"/>
        <w:jc w:val="left"/>
        <w:rPr>
          <w:sz w:val="21"/>
        </w:rPr>
      </w:pPr>
      <w:r>
        <w:rPr>
          <w:spacing w:val="1"/>
          <w:w w:val="99"/>
          <w:sz w:val="21"/>
        </w:rPr>
        <w:t>手术</w:t>
      </w:r>
      <w:r>
        <w:rPr>
          <w:spacing w:val="-53"/>
          <w:sz w:val="21"/>
        </w:rPr>
        <w:t xml:space="preserve"> </w:t>
      </w:r>
      <w:r>
        <w:rPr>
          <w:spacing w:val="1"/>
          <w:w w:val="99"/>
          <w:sz w:val="21"/>
        </w:rPr>
        <w:t>18</w:t>
      </w:r>
      <w:r>
        <w:rPr>
          <w:w w:val="99"/>
          <w:sz w:val="21"/>
        </w:rPr>
        <w:t>0</w:t>
      </w:r>
      <w:r>
        <w:rPr>
          <w:spacing w:val="-54"/>
          <w:sz w:val="21"/>
        </w:rPr>
        <w:t xml:space="preserve"> </w:t>
      </w:r>
      <w:r>
        <w:rPr>
          <w:spacing w:val="-10"/>
          <w:w w:val="99"/>
          <w:sz w:val="21"/>
        </w:rPr>
        <w:t>日后仍遗留神经系统损害，无法独立完成下列基本日常生活活动之</w:t>
      </w:r>
      <w:r>
        <w:rPr>
          <w:spacing w:val="-1"/>
          <w:w w:val="99"/>
          <w:sz w:val="21"/>
        </w:rPr>
        <w:t>一：</w:t>
      </w:r>
    </w:p>
    <w:p>
      <w:pPr>
        <w:pStyle w:val="9"/>
        <w:numPr>
          <w:ilvl w:val="1"/>
          <w:numId w:val="74"/>
        </w:numPr>
        <w:tabs>
          <w:tab w:val="left" w:pos="3626"/>
        </w:tabs>
        <w:spacing w:before="156" w:after="0" w:line="240" w:lineRule="auto"/>
        <w:ind w:left="3625" w:right="0" w:hanging="421"/>
        <w:jc w:val="left"/>
        <w:rPr>
          <w:sz w:val="21"/>
        </w:rPr>
      </w:pPr>
      <w:r>
        <w:rPr>
          <w:spacing w:val="-1"/>
          <w:w w:val="95"/>
          <w:sz w:val="21"/>
        </w:rPr>
        <w:t>移动：自己从一个房间到另一个房间；</w:t>
      </w:r>
    </w:p>
    <w:p>
      <w:pPr>
        <w:pStyle w:val="4"/>
        <w:spacing w:before="6"/>
        <w:rPr>
          <w:sz w:val="15"/>
        </w:rPr>
      </w:pPr>
    </w:p>
    <w:p>
      <w:pPr>
        <w:pStyle w:val="9"/>
        <w:numPr>
          <w:ilvl w:val="1"/>
          <w:numId w:val="74"/>
        </w:numPr>
        <w:tabs>
          <w:tab w:val="left" w:pos="3626"/>
        </w:tabs>
        <w:spacing w:before="0" w:after="0" w:line="240" w:lineRule="auto"/>
        <w:ind w:left="3625" w:right="0" w:hanging="421"/>
        <w:jc w:val="left"/>
        <w:rPr>
          <w:sz w:val="21"/>
        </w:rPr>
      </w:pPr>
      <w:r>
        <w:rPr>
          <w:spacing w:val="-1"/>
          <w:w w:val="95"/>
          <w:sz w:val="21"/>
        </w:rPr>
        <w:t>进食：自己从已经准备好的碗或碟中取食物放入口中。</w:t>
      </w:r>
    </w:p>
    <w:p>
      <w:pPr>
        <w:pStyle w:val="4"/>
        <w:spacing w:before="1"/>
        <w:rPr>
          <w:sz w:val="10"/>
        </w:rPr>
      </w:pPr>
    </w:p>
    <w:p>
      <w:pPr>
        <w:pStyle w:val="4"/>
        <w:spacing w:before="70"/>
        <w:ind w:left="2485"/>
      </w:pPr>
      <w:r>
        <w:rPr>
          <w:color w:val="000000"/>
          <w:spacing w:val="-1"/>
          <w:w w:val="95"/>
          <w:shd w:val="clear" w:color="auto" w:fill="E4E4E4"/>
        </w:rPr>
        <w:t>非脊髓内的其他椎管内肿瘤、脊柱肿瘤、神经纤维瘤不在保障范围内。</w:t>
      </w:r>
    </w:p>
    <w:p>
      <w:pPr>
        <w:pStyle w:val="4"/>
        <w:spacing w:before="7"/>
        <w:rPr>
          <w:sz w:val="15"/>
        </w:rPr>
      </w:pPr>
    </w:p>
    <w:p>
      <w:pPr>
        <w:pStyle w:val="3"/>
        <w:numPr>
          <w:ilvl w:val="0"/>
          <w:numId w:val="14"/>
        </w:numPr>
        <w:tabs>
          <w:tab w:val="left" w:pos="3225"/>
        </w:tabs>
        <w:spacing w:before="0" w:after="0" w:line="240" w:lineRule="auto"/>
        <w:ind w:left="3224" w:right="0" w:hanging="740"/>
        <w:jc w:val="left"/>
      </w:pPr>
      <w:r>
        <w:rPr>
          <w:spacing w:val="-2"/>
          <w:w w:val="95"/>
        </w:rPr>
        <w:t>埃博拉病毒感染</w:t>
      </w:r>
    </w:p>
    <w:p>
      <w:pPr>
        <w:pStyle w:val="4"/>
        <w:spacing w:before="7"/>
        <w:rPr>
          <w:b/>
          <w:sz w:val="15"/>
        </w:rPr>
      </w:pPr>
    </w:p>
    <w:p>
      <w:pPr>
        <w:pStyle w:val="4"/>
        <w:ind w:left="2485"/>
      </w:pPr>
      <w:r>
        <w:rPr>
          <w:spacing w:val="-1"/>
          <w:w w:val="95"/>
        </w:rPr>
        <w:t>受埃博拉病毒感染导致出血性发热。埃博拉病毒必须经传染病专科医生确诊，并且</w:t>
      </w:r>
    </w:p>
    <w:p>
      <w:pPr>
        <w:spacing w:after="0"/>
        <w:sectPr>
          <w:pgSz w:w="11910" w:h="16840"/>
          <w:pgMar w:top="1400" w:right="660" w:bottom="860" w:left="860" w:header="0" w:footer="662" w:gutter="0"/>
          <w:cols w:space="720" w:num="1"/>
        </w:sectPr>
      </w:pPr>
    </w:p>
    <w:p>
      <w:pPr>
        <w:pStyle w:val="4"/>
        <w:spacing w:before="43" w:line="278" w:lineRule="auto"/>
        <w:ind w:left="2485" w:right="350"/>
      </w:pPr>
      <w:r>
        <w:rPr>
          <w:spacing w:val="-2"/>
          <w:w w:val="99"/>
        </w:rPr>
        <w:t>埃博拉病毒的存在必须经过实验室检查证实。该病必须从症状开始后三十天后持续</w:t>
      </w:r>
      <w:r>
        <w:rPr>
          <w:spacing w:val="-1"/>
          <w:w w:val="99"/>
        </w:rPr>
        <w:t>出现并发症。</w:t>
      </w:r>
    </w:p>
    <w:p>
      <w:pPr>
        <w:pStyle w:val="3"/>
        <w:numPr>
          <w:ilvl w:val="0"/>
          <w:numId w:val="14"/>
        </w:numPr>
        <w:tabs>
          <w:tab w:val="left" w:pos="3225"/>
        </w:tabs>
        <w:spacing w:before="156" w:after="0" w:line="240" w:lineRule="auto"/>
        <w:ind w:left="3224" w:right="0" w:hanging="740"/>
        <w:jc w:val="left"/>
      </w:pPr>
      <w:r>
        <w:rPr>
          <w:spacing w:val="-2"/>
          <w:w w:val="95"/>
        </w:rPr>
        <w:t>终末期肺病：</w:t>
      </w:r>
    </w:p>
    <w:p>
      <w:pPr>
        <w:pStyle w:val="4"/>
        <w:spacing w:before="6"/>
        <w:rPr>
          <w:b/>
          <w:sz w:val="15"/>
        </w:rPr>
      </w:pPr>
    </w:p>
    <w:p>
      <w:pPr>
        <w:pStyle w:val="4"/>
        <w:spacing w:before="1" w:line="278" w:lineRule="auto"/>
        <w:ind w:left="2485" w:right="350"/>
      </w:pPr>
      <w:r>
        <w:rPr>
          <w:spacing w:val="-2"/>
          <w:w w:val="99"/>
        </w:rPr>
        <w:t>慢性肺部疾病导致永久不可逆的慢性呼吸功能衰竭，必须由呼吸专科医师确认并符</w:t>
      </w:r>
      <w:r>
        <w:rPr>
          <w:spacing w:val="-1"/>
          <w:w w:val="99"/>
        </w:rPr>
        <w:t>合下列全部条件：</w:t>
      </w:r>
    </w:p>
    <w:p>
      <w:pPr>
        <w:pStyle w:val="9"/>
        <w:numPr>
          <w:ilvl w:val="0"/>
          <w:numId w:val="75"/>
        </w:numPr>
        <w:tabs>
          <w:tab w:val="left" w:pos="3205"/>
          <w:tab w:val="left" w:pos="3206"/>
        </w:tabs>
        <w:spacing w:before="155" w:after="0" w:line="240" w:lineRule="auto"/>
        <w:ind w:left="3205" w:right="0" w:hanging="721"/>
        <w:jc w:val="left"/>
        <w:rPr>
          <w:sz w:val="21"/>
        </w:rPr>
      </w:pPr>
      <w:r>
        <w:rPr>
          <w:spacing w:val="-2"/>
          <w:w w:val="95"/>
          <w:sz w:val="21"/>
        </w:rPr>
        <w:t xml:space="preserve">肺功能测试其 </w:t>
      </w:r>
      <w:r>
        <w:rPr>
          <w:w w:val="95"/>
          <w:sz w:val="21"/>
        </w:rPr>
        <w:t>FEV1</w:t>
      </w:r>
      <w:r>
        <w:rPr>
          <w:spacing w:val="-6"/>
          <w:w w:val="95"/>
          <w:sz w:val="21"/>
        </w:rPr>
        <w:t xml:space="preserve"> 持续低于 </w:t>
      </w:r>
      <w:r>
        <w:rPr>
          <w:w w:val="95"/>
          <w:sz w:val="21"/>
        </w:rPr>
        <w:t>0.75</w:t>
      </w:r>
      <w:r>
        <w:rPr>
          <w:spacing w:val="-8"/>
          <w:w w:val="95"/>
          <w:sz w:val="21"/>
        </w:rPr>
        <w:t xml:space="preserve"> 升；</w:t>
      </w:r>
    </w:p>
    <w:p>
      <w:pPr>
        <w:pStyle w:val="4"/>
        <w:spacing w:before="7"/>
        <w:rPr>
          <w:sz w:val="15"/>
        </w:rPr>
      </w:pPr>
    </w:p>
    <w:p>
      <w:pPr>
        <w:pStyle w:val="9"/>
        <w:numPr>
          <w:ilvl w:val="0"/>
          <w:numId w:val="75"/>
        </w:numPr>
        <w:tabs>
          <w:tab w:val="left" w:pos="3205"/>
          <w:tab w:val="left" w:pos="3206"/>
        </w:tabs>
        <w:spacing w:before="0" w:after="0" w:line="240" w:lineRule="auto"/>
        <w:ind w:left="3205" w:right="0" w:hanging="721"/>
        <w:jc w:val="left"/>
        <w:rPr>
          <w:sz w:val="21"/>
        </w:rPr>
      </w:pPr>
      <w:r>
        <w:rPr>
          <w:spacing w:val="-1"/>
          <w:w w:val="95"/>
          <w:sz w:val="21"/>
        </w:rPr>
        <w:t>病人缺氧，且必须广泛而持续地进行输氧治疗；</w:t>
      </w:r>
    </w:p>
    <w:p>
      <w:pPr>
        <w:pStyle w:val="4"/>
        <w:spacing w:before="7"/>
        <w:rPr>
          <w:sz w:val="15"/>
        </w:rPr>
      </w:pPr>
    </w:p>
    <w:p>
      <w:pPr>
        <w:pStyle w:val="9"/>
        <w:numPr>
          <w:ilvl w:val="0"/>
          <w:numId w:val="75"/>
        </w:numPr>
        <w:tabs>
          <w:tab w:val="left" w:pos="3205"/>
          <w:tab w:val="left" w:pos="3206"/>
        </w:tabs>
        <w:spacing w:before="0" w:after="0" w:line="240" w:lineRule="auto"/>
        <w:ind w:left="3205" w:right="0" w:hanging="721"/>
        <w:jc w:val="left"/>
        <w:rPr>
          <w:sz w:val="21"/>
        </w:rPr>
      </w:pPr>
      <w:r>
        <w:rPr>
          <w:w w:val="95"/>
          <w:sz w:val="21"/>
        </w:rPr>
        <w:t>动脉血气分析氧分压低于</w:t>
      </w:r>
      <w:r>
        <w:rPr>
          <w:spacing w:val="72"/>
          <w:sz w:val="21"/>
        </w:rPr>
        <w:t xml:space="preserve"> </w:t>
      </w:r>
      <w:r>
        <w:rPr>
          <w:w w:val="95"/>
          <w:sz w:val="21"/>
        </w:rPr>
        <w:t>55mmHg</w:t>
      </w:r>
      <w:r>
        <w:rPr>
          <w:spacing w:val="-10"/>
          <w:w w:val="95"/>
          <w:sz w:val="21"/>
        </w:rPr>
        <w:t>。</w:t>
      </w:r>
    </w:p>
    <w:p>
      <w:pPr>
        <w:pStyle w:val="4"/>
        <w:spacing w:before="1"/>
        <w:rPr>
          <w:sz w:val="10"/>
        </w:rPr>
      </w:pPr>
    </w:p>
    <w:p>
      <w:pPr>
        <w:pStyle w:val="4"/>
        <w:spacing w:before="70"/>
        <w:ind w:left="2485"/>
      </w:pPr>
      <w:r>
        <w:rPr>
          <w:color w:val="000000"/>
          <w:w w:val="95"/>
          <w:shd w:val="clear" w:color="auto" w:fill="E4E4E4"/>
        </w:rPr>
        <w:t>理赔时必须提供以上三项相应的证明文件或检查报告</w:t>
      </w:r>
      <w:r>
        <w:rPr>
          <w:color w:val="000000"/>
          <w:spacing w:val="-10"/>
          <w:w w:val="95"/>
          <w:shd w:val="clear" w:color="auto" w:fill="E4E4E4"/>
        </w:rPr>
        <w:t>。</w:t>
      </w:r>
    </w:p>
    <w:p>
      <w:pPr>
        <w:pStyle w:val="4"/>
        <w:spacing w:before="6"/>
        <w:rPr>
          <w:sz w:val="15"/>
        </w:rPr>
      </w:pPr>
    </w:p>
    <w:p>
      <w:pPr>
        <w:pStyle w:val="3"/>
        <w:numPr>
          <w:ilvl w:val="0"/>
          <w:numId w:val="14"/>
        </w:numPr>
        <w:tabs>
          <w:tab w:val="left" w:pos="3225"/>
        </w:tabs>
        <w:spacing w:before="0" w:after="0" w:line="240" w:lineRule="auto"/>
        <w:ind w:left="3224" w:right="0" w:hanging="740"/>
        <w:jc w:val="left"/>
      </w:pPr>
      <w:r>
        <w:rPr>
          <w:spacing w:val="-1"/>
          <w:w w:val="95"/>
        </w:rPr>
        <w:t>湿性年龄相关性黄斑变性：</w:t>
      </w:r>
    </w:p>
    <w:p>
      <w:pPr>
        <w:pStyle w:val="4"/>
        <w:spacing w:before="7"/>
        <w:rPr>
          <w:b/>
          <w:sz w:val="15"/>
        </w:rPr>
      </w:pPr>
    </w:p>
    <w:p>
      <w:pPr>
        <w:pStyle w:val="4"/>
        <w:spacing w:line="278" w:lineRule="auto"/>
        <w:ind w:left="2485" w:right="350"/>
        <w:jc w:val="both"/>
      </w:pPr>
      <w:r>
        <w:rPr>
          <w:spacing w:val="-3"/>
          <w:w w:val="99"/>
        </w:rPr>
        <w:t>又称为新生血管性年龄相关性黄斑变性或“渗出性”年龄相关性黄斑变性。指发生</w:t>
      </w:r>
      <w:r>
        <w:rPr>
          <w:spacing w:val="2"/>
          <w:w w:val="99"/>
        </w:rPr>
        <w:t>脉络膜新生血管（</w:t>
      </w:r>
      <w:r>
        <w:rPr>
          <w:spacing w:val="1"/>
          <w:w w:val="99"/>
        </w:rPr>
        <w:t>CNV</w:t>
      </w:r>
      <w:r>
        <w:rPr>
          <w:spacing w:val="4"/>
          <w:w w:val="99"/>
        </w:rPr>
        <w:t>）</w:t>
      </w:r>
      <w:r>
        <w:rPr>
          <w:spacing w:val="1"/>
          <w:w w:val="99"/>
        </w:rPr>
        <w:t>异常生长穿透玻璃膜进入视网膜，新生血管渗漏，渗出及</w:t>
      </w:r>
      <w:r>
        <w:rPr>
          <w:w w:val="99"/>
        </w:rPr>
        <w:t>出血。</w:t>
      </w:r>
    </w:p>
    <w:p>
      <w:pPr>
        <w:pStyle w:val="4"/>
        <w:spacing w:line="278" w:lineRule="auto"/>
        <w:ind w:left="2485" w:right="350"/>
      </w:pPr>
      <w:r>
        <w:rPr>
          <w:color w:val="000000"/>
          <w:spacing w:val="-2"/>
          <w:w w:val="95"/>
          <w:shd w:val="clear" w:color="auto" w:fill="E4E4E4"/>
        </w:rPr>
        <w:t>该病必须由荧光素眼底血管造影检查提示黄斑区新生血管形成，并且必须由医院的</w:t>
      </w:r>
      <w:r>
        <w:rPr>
          <w:color w:val="000000"/>
          <w:spacing w:val="80"/>
          <w:w w:val="150"/>
          <w:shd w:val="clear" w:color="auto" w:fill="E4E4E4"/>
        </w:rPr>
        <w:t xml:space="preserve">                                         </w:t>
      </w:r>
      <w:r>
        <w:rPr>
          <w:color w:val="000000"/>
          <w:spacing w:val="-2"/>
          <w:shd w:val="clear" w:color="auto" w:fill="E4E4E4"/>
        </w:rPr>
        <w:t>眼科专科医生确诊为湿性年龄相关性黄斑变性。</w:t>
      </w:r>
    </w:p>
    <w:p>
      <w:pPr>
        <w:pStyle w:val="4"/>
        <w:spacing w:line="278" w:lineRule="auto"/>
        <w:ind w:left="2485" w:right="350"/>
      </w:pPr>
      <w:r>
        <w:rPr>
          <w:color w:val="000000"/>
          <w:spacing w:val="-2"/>
          <w:w w:val="95"/>
          <w:shd w:val="clear" w:color="auto" w:fill="E4E4E4"/>
        </w:rPr>
        <w:t xml:space="preserve">被保险人申请理赔时须提供近 </w:t>
      </w:r>
      <w:r>
        <w:rPr>
          <w:color w:val="000000"/>
          <w:w w:val="95"/>
          <w:shd w:val="clear" w:color="auto" w:fill="E4E4E4"/>
        </w:rPr>
        <w:t>3</w:t>
      </w:r>
      <w:r>
        <w:rPr>
          <w:color w:val="000000"/>
          <w:spacing w:val="-4"/>
          <w:w w:val="95"/>
          <w:shd w:val="clear" w:color="auto" w:fill="E4E4E4"/>
        </w:rPr>
        <w:t xml:space="preserve"> 个月内视力改变显示病情恶化的相关检查报告、诊</w:t>
      </w:r>
      <w:r>
        <w:rPr>
          <w:color w:val="000000"/>
          <w:spacing w:val="80"/>
          <w:w w:val="150"/>
          <w:shd w:val="clear" w:color="auto" w:fill="E4E4E4"/>
        </w:rPr>
        <w:t xml:space="preserve">                                         </w:t>
      </w:r>
      <w:r>
        <w:rPr>
          <w:color w:val="000000"/>
          <w:spacing w:val="-2"/>
          <w:shd w:val="clear" w:color="auto" w:fill="E4E4E4"/>
        </w:rPr>
        <w:t>断证明及病理报告。</w:t>
      </w:r>
    </w:p>
    <w:p>
      <w:pPr>
        <w:pStyle w:val="3"/>
        <w:numPr>
          <w:ilvl w:val="0"/>
          <w:numId w:val="14"/>
        </w:numPr>
        <w:tabs>
          <w:tab w:val="left" w:pos="3225"/>
        </w:tabs>
        <w:spacing w:before="155" w:after="0" w:line="240" w:lineRule="auto"/>
        <w:ind w:left="3224" w:right="0" w:hanging="740"/>
        <w:jc w:val="left"/>
      </w:pPr>
      <w:r>
        <w:rPr>
          <w:spacing w:val="-2"/>
          <w:w w:val="95"/>
        </w:rPr>
        <w:t>肺孢子菌肺炎</w:t>
      </w:r>
    </w:p>
    <w:p>
      <w:pPr>
        <w:pStyle w:val="4"/>
        <w:spacing w:before="7"/>
        <w:rPr>
          <w:b/>
          <w:sz w:val="15"/>
        </w:rPr>
      </w:pPr>
    </w:p>
    <w:p>
      <w:pPr>
        <w:pStyle w:val="4"/>
        <w:ind w:left="2485"/>
      </w:pPr>
      <w:r>
        <w:rPr>
          <w:spacing w:val="-1"/>
          <w:w w:val="95"/>
        </w:rPr>
        <w:t>指由肺孢子菌引起的间质性浆细胞性肺炎，且满足下列全部条件：</w:t>
      </w:r>
    </w:p>
    <w:p>
      <w:pPr>
        <w:pStyle w:val="4"/>
        <w:spacing w:before="7"/>
        <w:rPr>
          <w:sz w:val="15"/>
        </w:rPr>
      </w:pPr>
    </w:p>
    <w:p>
      <w:pPr>
        <w:pStyle w:val="9"/>
        <w:numPr>
          <w:ilvl w:val="0"/>
          <w:numId w:val="76"/>
        </w:numPr>
        <w:tabs>
          <w:tab w:val="left" w:pos="3205"/>
          <w:tab w:val="left" w:pos="3206"/>
        </w:tabs>
        <w:spacing w:before="0" w:after="0" w:line="240" w:lineRule="auto"/>
        <w:ind w:left="3205" w:right="0" w:hanging="721"/>
        <w:jc w:val="left"/>
        <w:rPr>
          <w:sz w:val="21"/>
        </w:rPr>
      </w:pPr>
      <w:r>
        <w:rPr>
          <w:w w:val="95"/>
          <w:sz w:val="21"/>
        </w:rPr>
        <w:t>第一秒末用力呼气量（FEV1%）小于</w:t>
      </w:r>
      <w:r>
        <w:rPr>
          <w:spacing w:val="21"/>
          <w:sz w:val="21"/>
        </w:rPr>
        <w:t xml:space="preserve"> </w:t>
      </w:r>
      <w:r>
        <w:rPr>
          <w:w w:val="95"/>
          <w:sz w:val="21"/>
        </w:rPr>
        <w:t>1</w:t>
      </w:r>
      <w:r>
        <w:rPr>
          <w:spacing w:val="23"/>
          <w:sz w:val="21"/>
        </w:rPr>
        <w:t xml:space="preserve"> </w:t>
      </w:r>
      <w:r>
        <w:rPr>
          <w:spacing w:val="-5"/>
          <w:w w:val="95"/>
          <w:sz w:val="21"/>
        </w:rPr>
        <w:t>升；</w:t>
      </w:r>
    </w:p>
    <w:p>
      <w:pPr>
        <w:pStyle w:val="4"/>
        <w:spacing w:before="6"/>
        <w:rPr>
          <w:sz w:val="15"/>
        </w:rPr>
      </w:pPr>
    </w:p>
    <w:p>
      <w:pPr>
        <w:pStyle w:val="9"/>
        <w:numPr>
          <w:ilvl w:val="0"/>
          <w:numId w:val="76"/>
        </w:numPr>
        <w:tabs>
          <w:tab w:val="left" w:pos="3205"/>
          <w:tab w:val="left" w:pos="3206"/>
        </w:tabs>
        <w:spacing w:before="1" w:after="0" w:line="240" w:lineRule="auto"/>
        <w:ind w:left="3205" w:right="0" w:hanging="721"/>
        <w:jc w:val="left"/>
        <w:rPr>
          <w:sz w:val="21"/>
        </w:rPr>
      </w:pPr>
      <w:r>
        <w:rPr>
          <w:w w:val="95"/>
          <w:sz w:val="21"/>
        </w:rPr>
        <w:t>气道内阻力增加，至少达到</w:t>
      </w:r>
      <w:r>
        <w:rPr>
          <w:spacing w:val="54"/>
          <w:sz w:val="21"/>
        </w:rPr>
        <w:t xml:space="preserve"> </w:t>
      </w:r>
      <w:r>
        <w:rPr>
          <w:spacing w:val="-2"/>
          <w:w w:val="95"/>
          <w:sz w:val="21"/>
        </w:rPr>
        <w:t>0.5kPa/L/s；</w:t>
      </w:r>
    </w:p>
    <w:p>
      <w:pPr>
        <w:pStyle w:val="4"/>
        <w:spacing w:before="6"/>
        <w:rPr>
          <w:sz w:val="15"/>
        </w:rPr>
      </w:pPr>
    </w:p>
    <w:p>
      <w:pPr>
        <w:pStyle w:val="9"/>
        <w:numPr>
          <w:ilvl w:val="0"/>
          <w:numId w:val="76"/>
        </w:numPr>
        <w:tabs>
          <w:tab w:val="left" w:pos="3205"/>
          <w:tab w:val="left" w:pos="3206"/>
        </w:tabs>
        <w:spacing w:before="0" w:after="0" w:line="240" w:lineRule="auto"/>
        <w:ind w:left="3205" w:right="0" w:hanging="721"/>
        <w:jc w:val="left"/>
        <w:rPr>
          <w:sz w:val="21"/>
        </w:rPr>
      </w:pPr>
      <w:r>
        <w:rPr>
          <w:w w:val="95"/>
          <w:sz w:val="21"/>
        </w:rPr>
        <w:t>残气容积占肺总量（TLC）的</w:t>
      </w:r>
      <w:r>
        <w:rPr>
          <w:spacing w:val="37"/>
          <w:w w:val="150"/>
          <w:sz w:val="21"/>
        </w:rPr>
        <w:t xml:space="preserve"> </w:t>
      </w:r>
      <w:r>
        <w:rPr>
          <w:w w:val="95"/>
          <w:sz w:val="21"/>
        </w:rPr>
        <w:t>60</w:t>
      </w:r>
      <w:r>
        <w:rPr>
          <w:spacing w:val="-3"/>
          <w:w w:val="95"/>
          <w:sz w:val="21"/>
        </w:rPr>
        <w:t>%以上；</w:t>
      </w:r>
    </w:p>
    <w:p>
      <w:pPr>
        <w:pStyle w:val="4"/>
        <w:spacing w:before="7"/>
        <w:rPr>
          <w:sz w:val="15"/>
        </w:rPr>
      </w:pPr>
    </w:p>
    <w:p>
      <w:pPr>
        <w:pStyle w:val="9"/>
        <w:numPr>
          <w:ilvl w:val="0"/>
          <w:numId w:val="76"/>
        </w:numPr>
        <w:tabs>
          <w:tab w:val="left" w:pos="3205"/>
          <w:tab w:val="left" w:pos="3206"/>
        </w:tabs>
        <w:spacing w:before="0" w:after="0" w:line="240" w:lineRule="auto"/>
        <w:ind w:left="3205" w:right="0" w:hanging="721"/>
        <w:jc w:val="left"/>
        <w:rPr>
          <w:sz w:val="21"/>
        </w:rPr>
      </w:pPr>
      <w:r>
        <w:rPr>
          <w:w w:val="95"/>
          <w:sz w:val="21"/>
        </w:rPr>
        <w:t>胸内气体容积升高，超过基值的</w:t>
      </w:r>
      <w:r>
        <w:rPr>
          <w:spacing w:val="72"/>
          <w:sz w:val="21"/>
        </w:rPr>
        <w:t xml:space="preserve"> </w:t>
      </w:r>
      <w:r>
        <w:rPr>
          <w:spacing w:val="-2"/>
          <w:w w:val="95"/>
          <w:sz w:val="21"/>
        </w:rPr>
        <w:t>170%；</w:t>
      </w:r>
    </w:p>
    <w:p>
      <w:pPr>
        <w:pStyle w:val="4"/>
        <w:spacing w:before="7"/>
        <w:rPr>
          <w:sz w:val="15"/>
        </w:rPr>
      </w:pPr>
    </w:p>
    <w:p>
      <w:pPr>
        <w:pStyle w:val="9"/>
        <w:numPr>
          <w:ilvl w:val="0"/>
          <w:numId w:val="76"/>
        </w:numPr>
        <w:tabs>
          <w:tab w:val="left" w:pos="3205"/>
          <w:tab w:val="left" w:pos="3206"/>
        </w:tabs>
        <w:spacing w:before="0" w:after="0" w:line="240" w:lineRule="auto"/>
        <w:ind w:left="3205" w:right="0" w:hanging="721"/>
        <w:jc w:val="left"/>
        <w:rPr>
          <w:sz w:val="21"/>
        </w:rPr>
      </w:pPr>
      <w:r>
        <w:rPr>
          <w:w w:val="95"/>
          <w:sz w:val="21"/>
        </w:rPr>
        <w:t>PaO2＜60mmHg，PaCO2＞50mmHg</w:t>
      </w:r>
      <w:r>
        <w:rPr>
          <w:spacing w:val="-10"/>
          <w:sz w:val="21"/>
        </w:rPr>
        <w:t>。</w:t>
      </w:r>
    </w:p>
    <w:p>
      <w:pPr>
        <w:spacing w:after="0" w:line="240" w:lineRule="auto"/>
        <w:jc w:val="left"/>
        <w:rPr>
          <w:sz w:val="21"/>
        </w:rPr>
        <w:sectPr>
          <w:pgSz w:w="11910" w:h="16840"/>
          <w:pgMar w:top="1400" w:right="660" w:bottom="860" w:left="860" w:header="0" w:footer="662" w:gutter="0"/>
          <w:cols w:space="720" w:num="1"/>
        </w:sectPr>
      </w:pPr>
    </w:p>
    <w:p>
      <w:pPr>
        <w:pStyle w:val="3"/>
        <w:tabs>
          <w:tab w:val="left" w:pos="2485"/>
        </w:tabs>
        <w:spacing w:before="59"/>
        <w:ind w:left="220" w:firstLine="0"/>
      </w:pPr>
      <w:r>
        <w:t>附表二</w:t>
      </w:r>
      <w:r>
        <w:rPr>
          <w:spacing w:val="127"/>
        </w:rPr>
        <w:t xml:space="preserve"> </w:t>
      </w:r>
      <w:r>
        <w:t>中度疾</w:t>
      </w:r>
      <w:r>
        <w:rPr>
          <w:spacing w:val="-10"/>
        </w:rPr>
        <w:t>病</w:t>
      </w:r>
      <w:r>
        <w:tab/>
      </w:r>
      <w:r>
        <w:rPr>
          <w:w w:val="95"/>
          <w:position w:val="1"/>
        </w:rPr>
        <w:t>（1）中度严重克罗恩病</w:t>
      </w:r>
      <w:r>
        <w:rPr>
          <w:spacing w:val="-10"/>
          <w:w w:val="95"/>
          <w:position w:val="1"/>
        </w:rPr>
        <w:t>：</w:t>
      </w:r>
    </w:p>
    <w:p>
      <w:pPr>
        <w:pStyle w:val="4"/>
        <w:spacing w:before="189" w:line="278" w:lineRule="auto"/>
        <w:ind w:left="2485" w:right="350"/>
        <w:jc w:val="both"/>
      </w:pPr>
      <w:r>
        <w:rPr>
          <w:spacing w:val="2"/>
          <w:w w:val="99"/>
        </w:rPr>
        <w:t>指一种慢性肉芽肿性肠炎，具有特征性的克罗恩病（</w:t>
      </w:r>
      <w:r>
        <w:rPr>
          <w:spacing w:val="1"/>
          <w:w w:val="99"/>
        </w:rPr>
        <w:t>Cr</w:t>
      </w:r>
      <w:r>
        <w:rPr>
          <w:spacing w:val="-2"/>
          <w:w w:val="99"/>
        </w:rPr>
        <w:t>o</w:t>
      </w:r>
      <w:r>
        <w:rPr>
          <w:spacing w:val="1"/>
          <w:w w:val="99"/>
        </w:rPr>
        <w:t>h</w:t>
      </w:r>
      <w:r>
        <w:rPr>
          <w:w w:val="99"/>
        </w:rPr>
        <w:t>n</w:t>
      </w:r>
      <w:r>
        <w:rPr>
          <w:spacing w:val="-52"/>
        </w:rPr>
        <w:t xml:space="preserve"> </w:t>
      </w:r>
      <w:r>
        <w:rPr>
          <w:spacing w:val="2"/>
          <w:w w:val="99"/>
        </w:rPr>
        <w:t>病）</w:t>
      </w:r>
      <w:r>
        <w:rPr>
          <w:spacing w:val="1"/>
          <w:w w:val="99"/>
        </w:rPr>
        <w:t>病理组织学变化，</w:t>
      </w:r>
      <w:r>
        <w:rPr>
          <w:spacing w:val="-3"/>
          <w:w w:val="99"/>
        </w:rPr>
        <w:t>须根据组织病理学特点诊断，且已经造成瘘管形成，同时经专科医生以类固醇或免</w:t>
      </w:r>
      <w:r>
        <w:rPr>
          <w:spacing w:val="-1"/>
          <w:w w:val="99"/>
        </w:rPr>
        <w:t>疫抑制剂连续治疗三个月以上，方符合赔偿条件。</w:t>
      </w:r>
    </w:p>
    <w:p>
      <w:pPr>
        <w:pStyle w:val="3"/>
        <w:numPr>
          <w:ilvl w:val="0"/>
          <w:numId w:val="77"/>
        </w:numPr>
        <w:tabs>
          <w:tab w:val="left" w:pos="3014"/>
        </w:tabs>
        <w:spacing w:before="156" w:after="0" w:line="240" w:lineRule="auto"/>
        <w:ind w:left="3013" w:right="0" w:hanging="529"/>
        <w:jc w:val="left"/>
      </w:pPr>
      <w:r>
        <w:rPr>
          <w:spacing w:val="-1"/>
          <w:w w:val="95"/>
        </w:rPr>
        <w:t>中度肠道疾病并发症：</w:t>
      </w:r>
    </w:p>
    <w:p>
      <w:pPr>
        <w:pStyle w:val="4"/>
        <w:spacing w:before="6"/>
        <w:rPr>
          <w:b/>
          <w:sz w:val="15"/>
        </w:rPr>
      </w:pPr>
    </w:p>
    <w:p>
      <w:pPr>
        <w:pStyle w:val="4"/>
        <w:ind w:left="2485"/>
      </w:pPr>
      <w:r>
        <w:rPr>
          <w:spacing w:val="-1"/>
          <w:w w:val="95"/>
        </w:rPr>
        <w:t>严重肠道疾病或外伤导致小肠损害并发症，必须满足下列全部条件：</w:t>
      </w:r>
    </w:p>
    <w:p>
      <w:pPr>
        <w:pStyle w:val="4"/>
        <w:spacing w:before="7"/>
        <w:rPr>
          <w:sz w:val="15"/>
        </w:rPr>
      </w:pPr>
    </w:p>
    <w:p>
      <w:pPr>
        <w:pStyle w:val="9"/>
        <w:numPr>
          <w:ilvl w:val="0"/>
          <w:numId w:val="78"/>
        </w:numPr>
        <w:tabs>
          <w:tab w:val="left" w:pos="3205"/>
          <w:tab w:val="left" w:pos="3206"/>
        </w:tabs>
        <w:spacing w:before="0" w:after="0" w:line="240" w:lineRule="auto"/>
        <w:ind w:left="3205" w:right="0" w:hanging="721"/>
        <w:jc w:val="left"/>
        <w:rPr>
          <w:sz w:val="21"/>
        </w:rPr>
      </w:pPr>
      <w:r>
        <w:rPr>
          <w:spacing w:val="-1"/>
          <w:w w:val="95"/>
          <w:sz w:val="21"/>
        </w:rPr>
        <w:t>至少切除了二分之一小肠；</w:t>
      </w:r>
    </w:p>
    <w:p>
      <w:pPr>
        <w:pStyle w:val="4"/>
        <w:spacing w:before="7"/>
        <w:rPr>
          <w:sz w:val="15"/>
        </w:rPr>
      </w:pPr>
    </w:p>
    <w:p>
      <w:pPr>
        <w:pStyle w:val="9"/>
        <w:numPr>
          <w:ilvl w:val="0"/>
          <w:numId w:val="78"/>
        </w:numPr>
        <w:tabs>
          <w:tab w:val="left" w:pos="3205"/>
          <w:tab w:val="left" w:pos="3206"/>
        </w:tabs>
        <w:spacing w:before="0" w:after="0" w:line="240" w:lineRule="auto"/>
        <w:ind w:left="3205" w:right="0" w:hanging="721"/>
        <w:jc w:val="left"/>
        <w:rPr>
          <w:sz w:val="21"/>
        </w:rPr>
      </w:pPr>
      <w:r>
        <w:rPr>
          <w:spacing w:val="-1"/>
          <w:w w:val="95"/>
          <w:sz w:val="21"/>
        </w:rPr>
        <w:t>完全肠外营养支持两个月以上。</w:t>
      </w:r>
    </w:p>
    <w:p>
      <w:pPr>
        <w:pStyle w:val="4"/>
        <w:spacing w:before="1"/>
        <w:rPr>
          <w:sz w:val="10"/>
        </w:rPr>
      </w:pPr>
    </w:p>
    <w:p>
      <w:pPr>
        <w:pStyle w:val="4"/>
        <w:spacing w:before="70"/>
        <w:ind w:left="2485"/>
      </w:pPr>
      <w:r>
        <w:rPr>
          <w:color w:val="000000"/>
          <w:w w:val="95"/>
          <w:shd w:val="clear" w:color="auto" w:fill="E4E4E4"/>
        </w:rPr>
        <w:t>因“克罗恩病</w:t>
      </w:r>
      <w:r>
        <w:rPr>
          <w:color w:val="000000"/>
          <w:spacing w:val="-1"/>
          <w:w w:val="95"/>
          <w:shd w:val="clear" w:color="auto" w:fill="E4E4E4"/>
        </w:rPr>
        <w:t>”所致中度肠道疾病并发症不在本保障范围内。</w:t>
      </w:r>
    </w:p>
    <w:p>
      <w:pPr>
        <w:pStyle w:val="4"/>
        <w:spacing w:before="6"/>
        <w:rPr>
          <w:sz w:val="15"/>
        </w:rPr>
      </w:pPr>
    </w:p>
    <w:p>
      <w:pPr>
        <w:pStyle w:val="3"/>
        <w:numPr>
          <w:ilvl w:val="0"/>
          <w:numId w:val="77"/>
        </w:numPr>
        <w:tabs>
          <w:tab w:val="left" w:pos="3014"/>
        </w:tabs>
        <w:spacing w:before="1" w:after="0" w:line="240" w:lineRule="auto"/>
        <w:ind w:left="3013" w:right="0" w:hanging="529"/>
        <w:jc w:val="left"/>
      </w:pPr>
      <w:r>
        <w:rPr>
          <w:spacing w:val="-2"/>
          <w:w w:val="95"/>
        </w:rPr>
        <w:t>中度多发性硬化症：</w:t>
      </w:r>
    </w:p>
    <w:p>
      <w:pPr>
        <w:pStyle w:val="4"/>
        <w:spacing w:before="6"/>
        <w:rPr>
          <w:b/>
          <w:sz w:val="15"/>
        </w:rPr>
      </w:pPr>
    </w:p>
    <w:p>
      <w:pPr>
        <w:pStyle w:val="4"/>
        <w:spacing w:line="278" w:lineRule="auto"/>
        <w:ind w:left="2485" w:right="242"/>
      </w:pPr>
      <w:r>
        <w:rPr>
          <w:spacing w:val="-4"/>
          <w:w w:val="99"/>
        </w:rPr>
        <w:t>指被保险人因脑及脊髓内的脱髓鞘病变而出现神经系统多灶性</w:t>
      </w:r>
      <w:r>
        <w:rPr>
          <w:spacing w:val="-1"/>
          <w:w w:val="99"/>
        </w:rPr>
        <w:t>（多发性</w:t>
      </w:r>
      <w:r>
        <w:rPr>
          <w:spacing w:val="-73"/>
          <w:w w:val="99"/>
        </w:rPr>
        <w:t>）</w:t>
      </w:r>
      <w:r>
        <w:rPr>
          <w:spacing w:val="-25"/>
          <w:w w:val="99"/>
        </w:rPr>
        <w:t>多时相</w:t>
      </w:r>
      <w:r>
        <w:rPr>
          <w:spacing w:val="2"/>
          <w:w w:val="99"/>
        </w:rPr>
        <w:t>（</w:t>
      </w:r>
      <w:r>
        <w:rPr>
          <w:w w:val="99"/>
        </w:rPr>
        <w:t>至</w:t>
      </w:r>
      <w:r>
        <w:rPr>
          <w:spacing w:val="-9"/>
          <w:w w:val="99"/>
        </w:rPr>
        <w:t>少六个月以内有一次以上</w:t>
      </w:r>
      <w:r>
        <w:rPr>
          <w:spacing w:val="-3"/>
          <w:w w:val="99"/>
        </w:rPr>
        <w:t>（</w:t>
      </w:r>
      <w:r>
        <w:rPr>
          <w:spacing w:val="-1"/>
          <w:w w:val="99"/>
        </w:rPr>
        <w:t>不包含一次</w:t>
      </w:r>
      <w:r>
        <w:rPr>
          <w:spacing w:val="-87"/>
          <w:w w:val="99"/>
        </w:rPr>
        <w:t>）</w:t>
      </w:r>
      <w:r>
        <w:rPr>
          <w:w w:val="99"/>
        </w:rPr>
        <w:t>的发作</w:t>
      </w:r>
      <w:r>
        <w:rPr>
          <w:spacing w:val="-85"/>
          <w:w w:val="99"/>
        </w:rPr>
        <w:t>）</w:t>
      </w:r>
      <w:r>
        <w:rPr>
          <w:spacing w:val="-16"/>
          <w:w w:val="99"/>
        </w:rPr>
        <w:t>的病变，须由计算机断层扫描</w:t>
      </w:r>
      <w:r>
        <w:rPr>
          <w:spacing w:val="-3"/>
          <w:w w:val="99"/>
        </w:rPr>
        <w:t>（</w:t>
      </w:r>
      <w:r>
        <w:rPr>
          <w:spacing w:val="1"/>
          <w:w w:val="99"/>
        </w:rPr>
        <w:t>CT</w:t>
      </w:r>
      <w:r>
        <w:rPr>
          <w:spacing w:val="-104"/>
          <w:w w:val="99"/>
        </w:rPr>
        <w:t>）</w:t>
      </w:r>
      <w:r>
        <w:rPr>
          <w:w w:val="99"/>
        </w:rPr>
        <w:t>、</w:t>
      </w:r>
      <w:r>
        <w:rPr>
          <w:spacing w:val="-2"/>
          <w:w w:val="99"/>
        </w:rPr>
        <w:t>核磁共振检查</w:t>
      </w:r>
      <w:r>
        <w:rPr>
          <w:spacing w:val="2"/>
          <w:w w:val="99"/>
        </w:rPr>
        <w:t>（</w:t>
      </w:r>
      <w:r>
        <w:rPr>
          <w:spacing w:val="1"/>
          <w:w w:val="99"/>
        </w:rPr>
        <w:t>MR</w:t>
      </w:r>
      <w:r>
        <w:rPr>
          <w:spacing w:val="-2"/>
          <w:w w:val="99"/>
        </w:rPr>
        <w:t>I</w:t>
      </w:r>
      <w:r>
        <w:rPr>
          <w:spacing w:val="-1"/>
          <w:w w:val="99"/>
        </w:rPr>
        <w:t>）</w:t>
      </w:r>
      <w:r>
        <w:rPr>
          <w:spacing w:val="-2"/>
          <w:w w:val="99"/>
        </w:rPr>
        <w:t>或正电子发射断层扫描</w:t>
      </w:r>
      <w:r>
        <w:rPr>
          <w:spacing w:val="2"/>
          <w:w w:val="99"/>
        </w:rPr>
        <w:t>（</w:t>
      </w:r>
      <w:r>
        <w:rPr>
          <w:spacing w:val="1"/>
          <w:w w:val="99"/>
        </w:rPr>
        <w:t>PE</w:t>
      </w:r>
      <w:r>
        <w:rPr>
          <w:spacing w:val="-2"/>
          <w:w w:val="99"/>
        </w:rPr>
        <w:t>T</w:t>
      </w:r>
      <w:r>
        <w:rPr>
          <w:spacing w:val="-1"/>
          <w:w w:val="99"/>
        </w:rPr>
        <w:t>）等影像学检查证实，且已经造</w:t>
      </w:r>
      <w:r>
        <w:rPr>
          <w:spacing w:val="-2"/>
          <w:w w:val="99"/>
        </w:rPr>
        <w:t>成自主生活能力严重丧失，无法独立完成六项基本日常生活活动中的二项或二项以</w:t>
      </w:r>
      <w:r>
        <w:rPr>
          <w:spacing w:val="-1"/>
          <w:w w:val="99"/>
        </w:rPr>
        <w:t>上，持续至少</w:t>
      </w:r>
      <w:r>
        <w:rPr>
          <w:spacing w:val="-50"/>
        </w:rPr>
        <w:t xml:space="preserve"> </w:t>
      </w:r>
      <w:r>
        <w:rPr>
          <w:spacing w:val="1"/>
          <w:w w:val="99"/>
        </w:rPr>
        <w:t>18</w:t>
      </w:r>
      <w:r>
        <w:rPr>
          <w:w w:val="99"/>
        </w:rPr>
        <w:t>0</w:t>
      </w:r>
      <w:r>
        <w:rPr>
          <w:spacing w:val="-54"/>
        </w:rPr>
        <w:t xml:space="preserve"> </w:t>
      </w:r>
      <w:r>
        <w:rPr>
          <w:spacing w:val="-1"/>
          <w:w w:val="99"/>
        </w:rPr>
        <w:t>天。</w:t>
      </w:r>
    </w:p>
    <w:p>
      <w:pPr>
        <w:pStyle w:val="3"/>
        <w:numPr>
          <w:ilvl w:val="0"/>
          <w:numId w:val="77"/>
        </w:numPr>
        <w:tabs>
          <w:tab w:val="left" w:pos="3014"/>
        </w:tabs>
        <w:spacing w:before="156" w:after="0" w:line="240" w:lineRule="auto"/>
        <w:ind w:left="3013" w:right="0" w:hanging="529"/>
        <w:jc w:val="left"/>
      </w:pPr>
      <w:r>
        <w:rPr>
          <w:spacing w:val="-2"/>
          <w:w w:val="95"/>
        </w:rPr>
        <w:t>中度肌营养不良症：</w:t>
      </w:r>
    </w:p>
    <w:p>
      <w:pPr>
        <w:pStyle w:val="4"/>
        <w:spacing w:before="6"/>
        <w:rPr>
          <w:b/>
          <w:sz w:val="15"/>
        </w:rPr>
      </w:pPr>
    </w:p>
    <w:p>
      <w:pPr>
        <w:pStyle w:val="4"/>
        <w:spacing w:line="417" w:lineRule="auto"/>
        <w:ind w:left="2485" w:right="549"/>
      </w:pPr>
      <w:r>
        <w:rPr>
          <w:spacing w:val="-1"/>
          <w:w w:val="99"/>
        </w:rPr>
        <w:t>指一组原发于肌肉的遗传性疾病，临床表现为与神经系统无关的肌肉无力和肌肉萎缩。须满足下列全部条件：</w:t>
      </w:r>
    </w:p>
    <w:p>
      <w:pPr>
        <w:pStyle w:val="9"/>
        <w:numPr>
          <w:ilvl w:val="0"/>
          <w:numId w:val="79"/>
        </w:numPr>
        <w:tabs>
          <w:tab w:val="left" w:pos="3205"/>
          <w:tab w:val="left" w:pos="3206"/>
        </w:tabs>
        <w:spacing w:before="0" w:after="0" w:line="269" w:lineRule="exact"/>
        <w:ind w:left="3205" w:right="0" w:hanging="721"/>
        <w:jc w:val="left"/>
        <w:rPr>
          <w:sz w:val="21"/>
        </w:rPr>
      </w:pPr>
      <w:r>
        <w:rPr>
          <w:spacing w:val="-1"/>
          <w:w w:val="95"/>
          <w:sz w:val="21"/>
        </w:rPr>
        <w:t>肌肉组织活检结果满足肌营养不良症的肌肉细胞变性、坏死等阳性改变；</w:t>
      </w:r>
    </w:p>
    <w:p>
      <w:pPr>
        <w:pStyle w:val="4"/>
        <w:spacing w:before="7"/>
        <w:rPr>
          <w:sz w:val="15"/>
        </w:rPr>
      </w:pPr>
    </w:p>
    <w:p>
      <w:pPr>
        <w:pStyle w:val="9"/>
        <w:numPr>
          <w:ilvl w:val="0"/>
          <w:numId w:val="79"/>
        </w:numPr>
        <w:tabs>
          <w:tab w:val="left" w:pos="3205"/>
          <w:tab w:val="left" w:pos="3206"/>
        </w:tabs>
        <w:spacing w:before="0" w:after="0" w:line="278" w:lineRule="auto"/>
        <w:ind w:left="3205" w:right="350" w:hanging="720"/>
        <w:jc w:val="left"/>
        <w:rPr>
          <w:sz w:val="21"/>
        </w:rPr>
      </w:pPr>
      <w:r>
        <w:rPr>
          <w:spacing w:val="-10"/>
          <w:w w:val="99"/>
          <w:sz w:val="21"/>
        </w:rPr>
        <w:t>自主生活能力严重丧失，无法独立完成六项基本日常生活活动中的二项或二</w:t>
      </w:r>
      <w:r>
        <w:rPr>
          <w:spacing w:val="-1"/>
          <w:w w:val="99"/>
          <w:sz w:val="21"/>
        </w:rPr>
        <w:t>项以上。</w:t>
      </w:r>
    </w:p>
    <w:p>
      <w:pPr>
        <w:pStyle w:val="4"/>
        <w:spacing w:before="156" w:line="278" w:lineRule="auto"/>
        <w:ind w:left="2485" w:right="350"/>
      </w:pPr>
      <w:r>
        <w:rPr>
          <w:spacing w:val="-3"/>
          <w:w w:val="99"/>
        </w:rPr>
        <w:t>本公司承担本项疾病责任不受责任免除中“遗传性疾病、先天性畸形、变形或染色</w:t>
      </w:r>
      <w:r>
        <w:rPr>
          <w:spacing w:val="-1"/>
          <w:w w:val="99"/>
        </w:rPr>
        <w:t>体异常”的限制。</w:t>
      </w:r>
    </w:p>
    <w:p>
      <w:pPr>
        <w:pStyle w:val="3"/>
        <w:numPr>
          <w:ilvl w:val="0"/>
          <w:numId w:val="77"/>
        </w:numPr>
        <w:tabs>
          <w:tab w:val="left" w:pos="3014"/>
        </w:tabs>
        <w:spacing w:before="156" w:after="0" w:line="240" w:lineRule="auto"/>
        <w:ind w:left="3013" w:right="0" w:hanging="529"/>
        <w:jc w:val="left"/>
      </w:pPr>
      <w:r>
        <w:rPr>
          <w:spacing w:val="-1"/>
          <w:w w:val="95"/>
        </w:rPr>
        <w:t>中度进行性核上神经麻痹症：</w:t>
      </w:r>
    </w:p>
    <w:p>
      <w:pPr>
        <w:pStyle w:val="4"/>
        <w:spacing w:before="6"/>
        <w:rPr>
          <w:b/>
          <w:sz w:val="15"/>
        </w:rPr>
      </w:pPr>
    </w:p>
    <w:p>
      <w:pPr>
        <w:pStyle w:val="4"/>
        <w:spacing w:line="278" w:lineRule="auto"/>
        <w:ind w:left="2485" w:right="244"/>
      </w:pPr>
      <w:r>
        <w:rPr>
          <w:spacing w:val="-3"/>
          <w:w w:val="99"/>
        </w:rPr>
        <w:t>指一种少见的神经系统变性疾病，以假球麻痹、垂直性核上性眼肌麻痹、锥体外系</w:t>
      </w:r>
      <w:r>
        <w:rPr>
          <w:spacing w:val="-11"/>
          <w:w w:val="99"/>
        </w:rPr>
        <w:t>肌僵直、步态共济失调和轻度痴呆为主要临床特征。须满足自主生活能力严重丧失，</w:t>
      </w:r>
      <w:r>
        <w:rPr>
          <w:spacing w:val="-1"/>
          <w:w w:val="99"/>
        </w:rPr>
        <w:t>无法独立完成六项基本日常生活活动中的二项或二项以上。</w:t>
      </w:r>
    </w:p>
    <w:p>
      <w:pPr>
        <w:pStyle w:val="3"/>
        <w:numPr>
          <w:ilvl w:val="0"/>
          <w:numId w:val="77"/>
        </w:numPr>
        <w:tabs>
          <w:tab w:val="left" w:pos="3014"/>
        </w:tabs>
        <w:spacing w:before="156" w:after="0" w:line="240" w:lineRule="auto"/>
        <w:ind w:left="3013" w:right="0" w:hanging="529"/>
        <w:jc w:val="left"/>
      </w:pPr>
      <w:r>
        <w:rPr>
          <w:spacing w:val="-2"/>
          <w:w w:val="95"/>
        </w:rPr>
        <w:t>中度重症肌无力：</w:t>
      </w:r>
    </w:p>
    <w:p>
      <w:pPr>
        <w:pStyle w:val="4"/>
        <w:spacing w:before="7"/>
        <w:rPr>
          <w:b/>
          <w:sz w:val="15"/>
        </w:rPr>
      </w:pPr>
    </w:p>
    <w:p>
      <w:pPr>
        <w:pStyle w:val="4"/>
        <w:spacing w:line="278" w:lineRule="auto"/>
        <w:ind w:left="2485" w:right="350"/>
        <w:jc w:val="both"/>
      </w:pPr>
      <w:r>
        <w:rPr>
          <w:spacing w:val="-3"/>
          <w:w w:val="99"/>
        </w:rPr>
        <w:t>指一种神经肌肉接头传递障碍所致的疾病，表现为局部或全身骨骼肌</w:t>
      </w:r>
      <w:r>
        <w:rPr>
          <w:spacing w:val="-1"/>
          <w:w w:val="99"/>
        </w:rPr>
        <w:t>（特别是眼外</w:t>
      </w:r>
      <w:r>
        <w:rPr>
          <w:spacing w:val="2"/>
          <w:w w:val="99"/>
        </w:rPr>
        <w:t>肌</w:t>
      </w:r>
      <w:r>
        <w:rPr>
          <w:spacing w:val="-3"/>
          <w:w w:val="99"/>
        </w:rPr>
        <w:t>）极易疲劳。疾病可以累及呼吸肌、上肢或下肢的近端肌群或全身肌肉，必须满</w:t>
      </w:r>
      <w:r>
        <w:rPr>
          <w:spacing w:val="-1"/>
          <w:w w:val="99"/>
        </w:rPr>
        <w:t>足下列全部条件：</w:t>
      </w:r>
    </w:p>
    <w:p>
      <w:pPr>
        <w:pStyle w:val="9"/>
        <w:numPr>
          <w:ilvl w:val="0"/>
          <w:numId w:val="80"/>
        </w:numPr>
        <w:tabs>
          <w:tab w:val="left" w:pos="3206"/>
        </w:tabs>
        <w:spacing w:before="156" w:after="0" w:line="278" w:lineRule="auto"/>
        <w:ind w:left="3205" w:right="350" w:hanging="720"/>
        <w:jc w:val="both"/>
        <w:rPr>
          <w:sz w:val="21"/>
        </w:rPr>
      </w:pPr>
      <w:r>
        <w:rPr>
          <w:spacing w:val="-6"/>
          <w:w w:val="99"/>
          <w:sz w:val="21"/>
        </w:rPr>
        <w:t>经药物治疗或胸腺手术治疗一年以上无法控制病情，症状缓解、复发及恶化</w:t>
      </w:r>
      <w:r>
        <w:rPr>
          <w:spacing w:val="-1"/>
          <w:w w:val="99"/>
          <w:sz w:val="21"/>
        </w:rPr>
        <w:t>交替出现；</w:t>
      </w:r>
    </w:p>
    <w:p>
      <w:pPr>
        <w:pStyle w:val="9"/>
        <w:numPr>
          <w:ilvl w:val="0"/>
          <w:numId w:val="80"/>
        </w:numPr>
        <w:tabs>
          <w:tab w:val="left" w:pos="3206"/>
        </w:tabs>
        <w:spacing w:before="155" w:after="0" w:line="240" w:lineRule="auto"/>
        <w:ind w:left="3205" w:right="0" w:hanging="721"/>
        <w:jc w:val="both"/>
        <w:rPr>
          <w:sz w:val="21"/>
        </w:rPr>
      </w:pPr>
      <w:r>
        <w:rPr>
          <w:spacing w:val="-10"/>
          <w:w w:val="95"/>
          <w:sz w:val="21"/>
        </w:rPr>
        <w:t>自主生活能力严重丧失，无法独立完成六项基本日常生活活动中的二项或二</w:t>
      </w:r>
    </w:p>
    <w:p>
      <w:pPr>
        <w:spacing w:after="0" w:line="240" w:lineRule="auto"/>
        <w:jc w:val="both"/>
        <w:rPr>
          <w:sz w:val="21"/>
        </w:rPr>
        <w:sectPr>
          <w:pgSz w:w="11910" w:h="16840"/>
          <w:pgMar w:top="1540" w:right="660" w:bottom="860" w:left="860" w:header="0" w:footer="662" w:gutter="0"/>
          <w:cols w:space="720" w:num="1"/>
        </w:sectPr>
      </w:pPr>
    </w:p>
    <w:p>
      <w:pPr>
        <w:pStyle w:val="4"/>
        <w:spacing w:before="43"/>
        <w:ind w:left="3205"/>
      </w:pPr>
      <w:r>
        <w:rPr>
          <w:spacing w:val="-3"/>
          <w:w w:val="95"/>
        </w:rPr>
        <w:t>项以上。</w:t>
      </w:r>
    </w:p>
    <w:p>
      <w:pPr>
        <w:pStyle w:val="4"/>
        <w:spacing w:before="7"/>
        <w:rPr>
          <w:sz w:val="15"/>
        </w:rPr>
      </w:pPr>
    </w:p>
    <w:p>
      <w:pPr>
        <w:pStyle w:val="3"/>
        <w:numPr>
          <w:ilvl w:val="0"/>
          <w:numId w:val="77"/>
        </w:numPr>
        <w:tabs>
          <w:tab w:val="left" w:pos="3014"/>
        </w:tabs>
        <w:spacing w:before="0" w:after="0" w:line="240" w:lineRule="auto"/>
        <w:ind w:left="3013" w:right="0" w:hanging="529"/>
        <w:jc w:val="left"/>
      </w:pPr>
      <w:r>
        <w:rPr>
          <w:spacing w:val="-2"/>
          <w:w w:val="95"/>
        </w:rPr>
        <w:t>结核性脊髓炎：</w:t>
      </w:r>
    </w:p>
    <w:p>
      <w:pPr>
        <w:pStyle w:val="4"/>
        <w:spacing w:before="6"/>
        <w:rPr>
          <w:b/>
          <w:sz w:val="15"/>
        </w:rPr>
      </w:pPr>
    </w:p>
    <w:p>
      <w:pPr>
        <w:pStyle w:val="4"/>
        <w:spacing w:before="1" w:line="278" w:lineRule="auto"/>
        <w:ind w:left="2485" w:right="347"/>
      </w:pPr>
      <w:r>
        <w:rPr>
          <w:spacing w:val="-3"/>
          <w:w w:val="99"/>
        </w:rPr>
        <w:t>因结核杆菌引起的脊髓炎，导致永久性神经系统功能中度障碍，即：疾病确诊初次</w:t>
      </w:r>
      <w:r>
        <w:rPr>
          <w:spacing w:val="-1"/>
          <w:w w:val="99"/>
        </w:rPr>
        <w:t>发生</w:t>
      </w:r>
      <w:r>
        <w:rPr>
          <w:spacing w:val="-50"/>
        </w:rPr>
        <w:t xml:space="preserve"> </w:t>
      </w:r>
      <w:r>
        <w:rPr>
          <w:spacing w:val="1"/>
          <w:w w:val="99"/>
        </w:rPr>
        <w:t>18</w:t>
      </w:r>
      <w:r>
        <w:rPr>
          <w:w w:val="99"/>
        </w:rPr>
        <w:t>0</w:t>
      </w:r>
      <w:r>
        <w:rPr>
          <w:spacing w:val="-54"/>
        </w:rPr>
        <w:t xml:space="preserve"> </w:t>
      </w:r>
      <w:r>
        <w:rPr>
          <w:spacing w:val="-1"/>
          <w:w w:val="99"/>
        </w:rPr>
        <w:t>天后，仍遗留下列一种或一种以上障碍：</w:t>
      </w:r>
    </w:p>
    <w:p>
      <w:pPr>
        <w:pStyle w:val="9"/>
        <w:numPr>
          <w:ilvl w:val="0"/>
          <w:numId w:val="81"/>
        </w:numPr>
        <w:tabs>
          <w:tab w:val="left" w:pos="3205"/>
          <w:tab w:val="left" w:pos="3206"/>
        </w:tabs>
        <w:spacing w:before="155" w:after="0" w:line="240" w:lineRule="auto"/>
        <w:ind w:left="3205" w:right="0" w:hanging="721"/>
        <w:jc w:val="left"/>
        <w:rPr>
          <w:sz w:val="21"/>
        </w:rPr>
      </w:pPr>
      <w:r>
        <w:rPr>
          <w:w w:val="95"/>
          <w:sz w:val="21"/>
        </w:rPr>
        <w:t>一肢或一肢以上肢体肌力</w:t>
      </w:r>
      <w:r>
        <w:rPr>
          <w:spacing w:val="-2"/>
          <w:sz w:val="21"/>
        </w:rPr>
        <w:t xml:space="preserve"> </w:t>
      </w:r>
      <w:r>
        <w:rPr>
          <w:w w:val="95"/>
          <w:sz w:val="21"/>
        </w:rPr>
        <w:t>3</w:t>
      </w:r>
      <w:r>
        <w:rPr>
          <w:sz w:val="21"/>
        </w:rPr>
        <w:t xml:space="preserve"> </w:t>
      </w:r>
      <w:r>
        <w:rPr>
          <w:w w:val="95"/>
          <w:sz w:val="21"/>
        </w:rPr>
        <w:t>级或</w:t>
      </w:r>
      <w:r>
        <w:rPr>
          <w:spacing w:val="5"/>
          <w:sz w:val="21"/>
        </w:rPr>
        <w:t xml:space="preserve"> </w:t>
      </w:r>
      <w:r>
        <w:rPr>
          <w:w w:val="95"/>
          <w:sz w:val="21"/>
        </w:rPr>
        <w:t>3</w:t>
      </w:r>
      <w:r>
        <w:rPr>
          <w:sz w:val="21"/>
        </w:rPr>
        <w:t xml:space="preserve"> </w:t>
      </w:r>
      <w:r>
        <w:rPr>
          <w:spacing w:val="-1"/>
          <w:w w:val="95"/>
          <w:sz w:val="21"/>
        </w:rPr>
        <w:t>级以下的运动功能障碍。</w:t>
      </w:r>
    </w:p>
    <w:p>
      <w:pPr>
        <w:pStyle w:val="4"/>
        <w:spacing w:before="7"/>
        <w:rPr>
          <w:sz w:val="15"/>
        </w:rPr>
      </w:pPr>
    </w:p>
    <w:p>
      <w:pPr>
        <w:pStyle w:val="9"/>
        <w:numPr>
          <w:ilvl w:val="0"/>
          <w:numId w:val="81"/>
        </w:numPr>
        <w:tabs>
          <w:tab w:val="left" w:pos="3205"/>
          <w:tab w:val="left" w:pos="3206"/>
        </w:tabs>
        <w:spacing w:before="0" w:after="0" w:line="278" w:lineRule="auto"/>
        <w:ind w:left="3205" w:right="350" w:hanging="720"/>
        <w:jc w:val="left"/>
        <w:rPr>
          <w:sz w:val="21"/>
        </w:rPr>
      </w:pPr>
      <w:r>
        <w:rPr>
          <w:spacing w:val="-10"/>
          <w:w w:val="99"/>
          <w:sz w:val="21"/>
        </w:rPr>
        <w:t>自主生活能力部分丧失，无法独立完成六项基本日常生活活动中的二项或二</w:t>
      </w:r>
      <w:r>
        <w:rPr>
          <w:spacing w:val="-1"/>
          <w:w w:val="99"/>
          <w:sz w:val="21"/>
        </w:rPr>
        <w:t>项以上。</w:t>
      </w:r>
    </w:p>
    <w:p>
      <w:pPr>
        <w:pStyle w:val="4"/>
        <w:spacing w:before="1"/>
        <w:rPr>
          <w:sz w:val="10"/>
        </w:rPr>
      </w:pPr>
      <w:r>
        <w:pict>
          <v:shape id="docshape38" o:spid="_x0000_s1062" o:spt="202" type="#_x0000_t202" style="position:absolute;left:0pt;margin-left:167.3pt;margin-top:7.65pt;height:13.6pt;width:377.45pt;mso-position-horizontal-relative:page;mso-wrap-distance-bottom:0pt;mso-wrap-distance-top:0pt;z-index:-251632640;mso-width-relative:page;mso-height-relative:page;"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w w:val="95"/>
                    </w:rPr>
                    <w:t>该诊断必须由本本公司指定或认可的医疗机构的神经专科医生证实</w:t>
                  </w:r>
                  <w:r>
                    <w:rPr>
                      <w:color w:val="000000"/>
                      <w:spacing w:val="-2"/>
                      <w:w w:val="95"/>
                    </w:rPr>
                    <w:t>。并必须由适当</w:t>
                  </w:r>
                </w:p>
              </w:txbxContent>
            </v:textbox>
            <w10:wrap type="topAndBottom"/>
          </v:shape>
        </w:pict>
      </w:r>
    </w:p>
    <w:p>
      <w:pPr>
        <w:pStyle w:val="4"/>
        <w:spacing w:before="1"/>
        <w:rPr>
          <w:sz w:val="3"/>
        </w:rPr>
      </w:pPr>
    </w:p>
    <w:p>
      <w:pPr>
        <w:pStyle w:val="4"/>
        <w:ind w:left="2486"/>
        <w:rPr>
          <w:sz w:val="20"/>
        </w:rPr>
      </w:pPr>
      <w:r>
        <w:rPr>
          <w:sz w:val="20"/>
        </w:rPr>
        <w:pict>
          <v:shape id="docshape39" o:spid="_x0000_s1063" o:spt="202" type="#_x0000_t202" style="height:13.6pt;width:136.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的检查证明为结核性脊髓炎。</w:t>
                  </w:r>
                </w:p>
              </w:txbxContent>
            </v:textbox>
            <w10:wrap type="none"/>
            <w10:anchorlock/>
          </v:shape>
        </w:pict>
      </w:r>
    </w:p>
    <w:p>
      <w:pPr>
        <w:pStyle w:val="4"/>
        <w:spacing w:before="11"/>
        <w:rPr>
          <w:sz w:val="7"/>
        </w:rPr>
      </w:pPr>
    </w:p>
    <w:p>
      <w:pPr>
        <w:pStyle w:val="3"/>
        <w:numPr>
          <w:ilvl w:val="0"/>
          <w:numId w:val="77"/>
        </w:numPr>
        <w:tabs>
          <w:tab w:val="left" w:pos="3014"/>
        </w:tabs>
        <w:spacing w:before="70" w:after="0" w:line="240" w:lineRule="auto"/>
        <w:ind w:left="3013" w:right="0" w:hanging="529"/>
        <w:jc w:val="left"/>
      </w:pPr>
      <w:r>
        <w:rPr>
          <w:spacing w:val="-1"/>
          <w:w w:val="95"/>
        </w:rPr>
        <w:t>中度类风湿性关节炎：</w:t>
      </w:r>
    </w:p>
    <w:p>
      <w:pPr>
        <w:pStyle w:val="4"/>
        <w:spacing w:before="7"/>
        <w:rPr>
          <w:b/>
          <w:sz w:val="15"/>
        </w:rPr>
      </w:pPr>
    </w:p>
    <w:p>
      <w:pPr>
        <w:pStyle w:val="4"/>
        <w:spacing w:line="278" w:lineRule="auto"/>
        <w:ind w:left="2485" w:right="345"/>
        <w:jc w:val="both"/>
      </w:pPr>
      <w:r>
        <w:rPr>
          <w:spacing w:val="-3"/>
          <w:w w:val="99"/>
        </w:rPr>
        <w:t>类风湿性关节炎为广泛分布的慢性进行性多关节病变，表现为关节严重变形，侵犯</w:t>
      </w:r>
      <w:r>
        <w:rPr>
          <w:spacing w:val="-1"/>
          <w:w w:val="99"/>
        </w:rPr>
        <w:t>两个主要关节或关节组</w:t>
      </w:r>
      <w:r>
        <w:rPr>
          <w:spacing w:val="2"/>
          <w:w w:val="99"/>
        </w:rPr>
        <w:t>（</w:t>
      </w:r>
      <w:r>
        <w:rPr>
          <w:spacing w:val="-1"/>
          <w:w w:val="99"/>
        </w:rPr>
        <w:t>如：双手（</w:t>
      </w:r>
      <w:r>
        <w:rPr>
          <w:w w:val="99"/>
        </w:rPr>
        <w:t>多手指</w:t>
      </w:r>
      <w:r>
        <w:rPr>
          <w:spacing w:val="-1"/>
          <w:w w:val="99"/>
        </w:rPr>
        <w:t>）关节、双足（</w:t>
      </w:r>
      <w:r>
        <w:rPr>
          <w:w w:val="99"/>
        </w:rPr>
        <w:t>多足趾</w:t>
      </w:r>
      <w:r>
        <w:rPr>
          <w:spacing w:val="-1"/>
          <w:w w:val="99"/>
        </w:rPr>
        <w:t>）关节、双腕关</w:t>
      </w:r>
      <w:r>
        <w:rPr>
          <w:spacing w:val="2"/>
          <w:w w:val="99"/>
        </w:rPr>
        <w:t>节、双膝关节和双髋关节</w:t>
      </w:r>
      <w:r>
        <w:rPr>
          <w:spacing w:val="-101"/>
          <w:w w:val="99"/>
        </w:rPr>
        <w:t>）</w:t>
      </w:r>
      <w:r>
        <w:rPr>
          <w:spacing w:val="1"/>
          <w:w w:val="99"/>
        </w:rPr>
        <w:t>。且被保人满足至少</w:t>
      </w:r>
      <w:r>
        <w:rPr>
          <w:spacing w:val="-48"/>
        </w:rPr>
        <w:t xml:space="preserve"> </w:t>
      </w:r>
      <w:r>
        <w:rPr>
          <w:spacing w:val="1"/>
          <w:w w:val="99"/>
        </w:rPr>
        <w:t>18</w:t>
      </w:r>
      <w:r>
        <w:rPr>
          <w:w w:val="99"/>
        </w:rPr>
        <w:t>0</w:t>
      </w:r>
      <w:r>
        <w:rPr>
          <w:spacing w:val="-52"/>
        </w:rPr>
        <w:t xml:space="preserve"> </w:t>
      </w:r>
      <w:r>
        <w:rPr>
          <w:spacing w:val="1"/>
          <w:w w:val="99"/>
        </w:rPr>
        <w:t>天无法独立完成六项基本日常</w:t>
      </w:r>
      <w:r>
        <w:rPr>
          <w:spacing w:val="-1"/>
          <w:w w:val="99"/>
        </w:rPr>
        <w:t>生活活动中的二项或二项以上。</w:t>
      </w:r>
    </w:p>
    <w:p>
      <w:pPr>
        <w:pStyle w:val="3"/>
        <w:numPr>
          <w:ilvl w:val="0"/>
          <w:numId w:val="77"/>
        </w:numPr>
        <w:tabs>
          <w:tab w:val="left" w:pos="3014"/>
        </w:tabs>
        <w:spacing w:before="155" w:after="0" w:line="240" w:lineRule="auto"/>
        <w:ind w:left="3013" w:right="0" w:hanging="529"/>
        <w:jc w:val="left"/>
      </w:pPr>
      <w:r>
        <w:rPr>
          <w:spacing w:val="-1"/>
          <w:w w:val="95"/>
        </w:rPr>
        <w:t>中度原发性帕金森氏病：</w:t>
      </w:r>
    </w:p>
    <w:p>
      <w:pPr>
        <w:pStyle w:val="4"/>
        <w:spacing w:before="7"/>
        <w:rPr>
          <w:b/>
          <w:sz w:val="15"/>
        </w:rPr>
      </w:pPr>
    </w:p>
    <w:p>
      <w:pPr>
        <w:pStyle w:val="4"/>
        <w:spacing w:line="278" w:lineRule="auto"/>
        <w:ind w:left="2485" w:right="244"/>
      </w:pPr>
      <w:r>
        <w:rPr>
          <w:spacing w:val="-7"/>
          <w:w w:val="99"/>
        </w:rPr>
        <w:t>是一种中枢神经系统的退行性疾病，临床表现为运动迟缓、静止性震颤或肌强直等。</w:t>
      </w:r>
      <w:r>
        <w:rPr>
          <w:spacing w:val="-3"/>
          <w:w w:val="99"/>
        </w:rPr>
        <w:t>经相关专科医生确诊，须满足自主生活能力严重丧失，无法独立完成六项基本日常生活活动中的二项或二项以上，但未达到本合同所指重大疾病“严重原发性帕金森</w:t>
      </w:r>
      <w:r>
        <w:rPr>
          <w:spacing w:val="-1"/>
          <w:w w:val="99"/>
        </w:rPr>
        <w:t>病”的标准。</w:t>
      </w:r>
    </w:p>
    <w:p>
      <w:pPr>
        <w:pStyle w:val="4"/>
        <w:spacing w:before="50"/>
        <w:ind w:left="2485"/>
      </w:pPr>
      <w:r>
        <w:rPr>
          <w:color w:val="000000"/>
          <w:spacing w:val="-1"/>
          <w:w w:val="95"/>
          <w:shd w:val="clear" w:color="auto" w:fill="E4E4E4"/>
        </w:rPr>
        <w:t>继发性帕金森综合征、帕金森叠加综合征不在保障范围内。</w:t>
      </w:r>
    </w:p>
    <w:p>
      <w:pPr>
        <w:pStyle w:val="4"/>
        <w:spacing w:before="7"/>
        <w:rPr>
          <w:sz w:val="15"/>
        </w:rPr>
      </w:pPr>
    </w:p>
    <w:p>
      <w:pPr>
        <w:pStyle w:val="3"/>
        <w:numPr>
          <w:ilvl w:val="0"/>
          <w:numId w:val="77"/>
        </w:numPr>
        <w:tabs>
          <w:tab w:val="left" w:pos="3120"/>
        </w:tabs>
        <w:spacing w:before="0" w:after="0" w:line="240" w:lineRule="auto"/>
        <w:ind w:left="3119" w:right="0" w:hanging="635"/>
        <w:jc w:val="left"/>
      </w:pPr>
      <w:r>
        <w:rPr>
          <w:spacing w:val="-1"/>
          <w:w w:val="95"/>
        </w:rPr>
        <w:t>早期运动神经元疾病：</w:t>
      </w:r>
    </w:p>
    <w:p>
      <w:pPr>
        <w:pStyle w:val="4"/>
        <w:spacing w:before="6"/>
        <w:rPr>
          <w:b/>
          <w:sz w:val="15"/>
        </w:rPr>
      </w:pPr>
    </w:p>
    <w:p>
      <w:pPr>
        <w:pStyle w:val="4"/>
        <w:spacing w:line="278" w:lineRule="auto"/>
        <w:ind w:left="2485" w:right="347"/>
        <w:jc w:val="both"/>
      </w:pPr>
      <w:r>
        <w:rPr>
          <w:spacing w:val="-3"/>
          <w:w w:val="99"/>
        </w:rPr>
        <w:t>是一组中枢神经系统运动神经元的进行性变性疾病，包括进行性脊肌萎缩症、进行性延髓麻痹症、原发性侧索硬化症、肌萎缩性侧索硬化症。须满足自主生活能力严重丧失，无法独立完成六项基本日常生活活动中的二项或二项以上。但未达到本合</w:t>
      </w:r>
      <w:r>
        <w:rPr>
          <w:spacing w:val="-1"/>
          <w:w w:val="99"/>
        </w:rPr>
        <w:t>同所指重大疾病“严重运动神经元病”的标准。</w:t>
      </w:r>
    </w:p>
    <w:p>
      <w:pPr>
        <w:pStyle w:val="3"/>
        <w:numPr>
          <w:ilvl w:val="0"/>
          <w:numId w:val="77"/>
        </w:numPr>
        <w:tabs>
          <w:tab w:val="left" w:pos="3120"/>
        </w:tabs>
        <w:spacing w:before="156" w:after="0" w:line="240" w:lineRule="auto"/>
        <w:ind w:left="3119" w:right="0" w:hanging="635"/>
        <w:jc w:val="left"/>
      </w:pPr>
      <w:r>
        <w:rPr>
          <w:spacing w:val="-2"/>
          <w:w w:val="95"/>
        </w:rPr>
        <w:t>中度瘫痪：</w:t>
      </w:r>
    </w:p>
    <w:p>
      <w:pPr>
        <w:pStyle w:val="4"/>
        <w:spacing w:before="7"/>
        <w:rPr>
          <w:b/>
          <w:sz w:val="15"/>
        </w:rPr>
      </w:pPr>
    </w:p>
    <w:p>
      <w:pPr>
        <w:pStyle w:val="4"/>
        <w:spacing w:line="278" w:lineRule="auto"/>
        <w:ind w:left="2485" w:right="338"/>
        <w:jc w:val="both"/>
      </w:pPr>
      <w:r>
        <w:rPr>
          <w:spacing w:val="-1"/>
          <w:w w:val="99"/>
        </w:rPr>
        <w:t>指因疾病或者意外伤害导致一肢肢体机能永久完全丧失。肢体机能永久完全丧失，指疾病确诊</w:t>
      </w:r>
      <w:r>
        <w:rPr>
          <w:spacing w:val="-53"/>
        </w:rPr>
        <w:t xml:space="preserve"> </w:t>
      </w:r>
      <w:r>
        <w:rPr>
          <w:spacing w:val="1"/>
          <w:w w:val="99"/>
        </w:rPr>
        <w:t>18</w:t>
      </w:r>
      <w:r>
        <w:rPr>
          <w:w w:val="99"/>
        </w:rPr>
        <w:t>0</w:t>
      </w:r>
      <w:r>
        <w:rPr>
          <w:spacing w:val="-52"/>
        </w:rPr>
        <w:t xml:space="preserve"> </w:t>
      </w:r>
      <w:r>
        <w:rPr>
          <w:spacing w:val="-1"/>
          <w:w w:val="99"/>
        </w:rPr>
        <w:t>天后或意外伤害发生</w:t>
      </w:r>
      <w:r>
        <w:rPr>
          <w:spacing w:val="-53"/>
        </w:rPr>
        <w:t xml:space="preserve"> </w:t>
      </w:r>
      <w:r>
        <w:rPr>
          <w:spacing w:val="1"/>
          <w:w w:val="99"/>
        </w:rPr>
        <w:t>18</w:t>
      </w:r>
      <w:r>
        <w:rPr>
          <w:w w:val="99"/>
        </w:rPr>
        <w:t>0</w:t>
      </w:r>
      <w:r>
        <w:rPr>
          <w:spacing w:val="-54"/>
        </w:rPr>
        <w:t xml:space="preserve"> </w:t>
      </w:r>
      <w:r>
        <w:rPr>
          <w:spacing w:val="-2"/>
          <w:w w:val="99"/>
        </w:rPr>
        <w:t>天后，该肢三大关节中的两大关节仍然完</w:t>
      </w:r>
      <w:r>
        <w:rPr>
          <w:spacing w:val="-3"/>
          <w:w w:val="99"/>
        </w:rPr>
        <w:t>全僵硬，或不能随意识活动。肢体是指包括肩关节的整个上肢或包括髋关节的整个</w:t>
      </w:r>
      <w:r>
        <w:rPr>
          <w:w w:val="99"/>
        </w:rPr>
        <w:t>下肢。</w:t>
      </w:r>
    </w:p>
    <w:p>
      <w:pPr>
        <w:pStyle w:val="4"/>
        <w:spacing w:line="278" w:lineRule="auto"/>
        <w:ind w:left="2485" w:right="350"/>
      </w:pPr>
      <w:r>
        <w:rPr>
          <w:color w:val="000000"/>
          <w:spacing w:val="4"/>
          <w:w w:val="99"/>
          <w:shd w:val="clear" w:color="auto" w:fill="E4E4E4"/>
        </w:rPr>
        <w:t>自我伤害，病毒感染后的临时瘫痪或由于心理疾病造成的机能丧失不在保障范围</w:t>
      </w:r>
      <w:r>
        <w:rPr>
          <w:color w:val="000000"/>
          <w:spacing w:val="-1"/>
          <w:w w:val="99"/>
          <w:shd w:val="clear" w:color="auto" w:fill="E4E4E4"/>
        </w:rPr>
        <w:t>内。</w:t>
      </w:r>
    </w:p>
    <w:p>
      <w:pPr>
        <w:pStyle w:val="3"/>
        <w:numPr>
          <w:ilvl w:val="0"/>
          <w:numId w:val="77"/>
        </w:numPr>
        <w:tabs>
          <w:tab w:val="left" w:pos="3120"/>
        </w:tabs>
        <w:spacing w:before="155" w:after="0" w:line="240" w:lineRule="auto"/>
        <w:ind w:left="3119" w:right="0" w:hanging="635"/>
        <w:jc w:val="left"/>
      </w:pPr>
      <w:r>
        <w:rPr>
          <w:spacing w:val="-2"/>
          <w:w w:val="95"/>
        </w:rPr>
        <w:t>一肢缺失：</w:t>
      </w:r>
    </w:p>
    <w:p>
      <w:pPr>
        <w:pStyle w:val="4"/>
        <w:spacing w:before="7"/>
        <w:rPr>
          <w:b/>
          <w:sz w:val="15"/>
        </w:rPr>
      </w:pPr>
    </w:p>
    <w:p>
      <w:pPr>
        <w:pStyle w:val="4"/>
        <w:ind w:left="2485"/>
      </w:pPr>
      <w:r>
        <w:rPr>
          <w:spacing w:val="-3"/>
          <w:w w:val="95"/>
        </w:rPr>
        <w:t>指因疾病或意外导致一个肢体自腕关节或踝关节近端</w:t>
      </w:r>
      <w:r>
        <w:rPr>
          <w:w w:val="95"/>
        </w:rPr>
        <w:t>（靠近躯干端</w:t>
      </w:r>
      <w:r>
        <w:rPr>
          <w:spacing w:val="-56"/>
          <w:w w:val="95"/>
        </w:rPr>
        <w:t>）</w:t>
      </w:r>
      <w:r>
        <w:rPr>
          <w:spacing w:val="-2"/>
          <w:w w:val="95"/>
        </w:rPr>
        <w:t>以上完全断离。</w:t>
      </w:r>
    </w:p>
    <w:p>
      <w:pPr>
        <w:pStyle w:val="4"/>
        <w:spacing w:before="6"/>
        <w:rPr>
          <w:sz w:val="15"/>
        </w:rPr>
      </w:pPr>
    </w:p>
    <w:p>
      <w:pPr>
        <w:pStyle w:val="3"/>
        <w:numPr>
          <w:ilvl w:val="0"/>
          <w:numId w:val="77"/>
        </w:numPr>
        <w:tabs>
          <w:tab w:val="left" w:pos="3120"/>
        </w:tabs>
        <w:spacing w:before="1" w:after="0" w:line="240" w:lineRule="auto"/>
        <w:ind w:left="3119" w:right="0" w:hanging="635"/>
        <w:jc w:val="left"/>
      </w:pPr>
      <w:r>
        <w:rPr>
          <w:spacing w:val="-1"/>
          <w:w w:val="95"/>
        </w:rPr>
        <w:t>中度严重溃疡性结肠炎：</w:t>
      </w:r>
    </w:p>
    <w:p>
      <w:pPr>
        <w:pStyle w:val="4"/>
        <w:spacing w:before="6"/>
        <w:rPr>
          <w:b/>
          <w:sz w:val="15"/>
        </w:rPr>
      </w:pPr>
    </w:p>
    <w:p>
      <w:pPr>
        <w:pStyle w:val="4"/>
        <w:ind w:left="2485"/>
      </w:pPr>
      <w:r>
        <w:rPr>
          <w:w w:val="95"/>
        </w:rPr>
        <w:t>溃疡性结肠炎是指伴有致命性电解质紊乱及肠道肿胀及有肠破裂的风险的大肠（</w:t>
      </w:r>
      <w:r>
        <w:rPr>
          <w:spacing w:val="-10"/>
          <w:w w:val="95"/>
        </w:rPr>
        <w:t>结</w:t>
      </w:r>
    </w:p>
    <w:p>
      <w:pPr>
        <w:spacing w:after="0"/>
        <w:sectPr>
          <w:pgSz w:w="11910" w:h="16840"/>
          <w:pgMar w:top="1400" w:right="660" w:bottom="860" w:left="860" w:header="0" w:footer="662" w:gutter="0"/>
          <w:cols w:space="720" w:num="1"/>
        </w:sectPr>
      </w:pPr>
    </w:p>
    <w:p>
      <w:pPr>
        <w:pStyle w:val="4"/>
        <w:spacing w:before="43"/>
        <w:ind w:left="2485"/>
      </w:pPr>
      <w:r>
        <w:rPr>
          <w:w w:val="95"/>
        </w:rPr>
        <w:t>肠及直肠）</w:t>
      </w:r>
      <w:r>
        <w:rPr>
          <w:spacing w:val="-1"/>
          <w:w w:val="95"/>
        </w:rPr>
        <w:t>粘膜炎症。须满足下列全部条件：</w:t>
      </w:r>
    </w:p>
    <w:p>
      <w:pPr>
        <w:pStyle w:val="4"/>
        <w:spacing w:before="7"/>
        <w:rPr>
          <w:sz w:val="15"/>
        </w:rPr>
      </w:pPr>
    </w:p>
    <w:p>
      <w:pPr>
        <w:pStyle w:val="9"/>
        <w:numPr>
          <w:ilvl w:val="0"/>
          <w:numId w:val="82"/>
        </w:numPr>
        <w:tabs>
          <w:tab w:val="left" w:pos="3205"/>
          <w:tab w:val="left" w:pos="3206"/>
        </w:tabs>
        <w:spacing w:before="0" w:after="0" w:line="278" w:lineRule="auto"/>
        <w:ind w:left="3205" w:right="350" w:hanging="720"/>
        <w:jc w:val="left"/>
        <w:rPr>
          <w:sz w:val="21"/>
        </w:rPr>
      </w:pPr>
      <w:r>
        <w:rPr>
          <w:spacing w:val="-6"/>
          <w:w w:val="99"/>
          <w:sz w:val="21"/>
        </w:rPr>
        <w:t>须经由内窥镜检查证实该疾病侵犯全部结肠及直肠，并经病理学组织切片检</w:t>
      </w:r>
      <w:r>
        <w:rPr>
          <w:spacing w:val="-1"/>
          <w:w w:val="99"/>
          <w:sz w:val="21"/>
        </w:rPr>
        <w:t>查证实为溃疡性结肠炎；</w:t>
      </w:r>
    </w:p>
    <w:p>
      <w:pPr>
        <w:pStyle w:val="9"/>
        <w:numPr>
          <w:ilvl w:val="0"/>
          <w:numId w:val="82"/>
        </w:numPr>
        <w:tabs>
          <w:tab w:val="left" w:pos="3205"/>
          <w:tab w:val="left" w:pos="3206"/>
        </w:tabs>
        <w:spacing w:before="156" w:after="0" w:line="278" w:lineRule="auto"/>
        <w:ind w:left="3205" w:right="350" w:hanging="720"/>
        <w:jc w:val="left"/>
        <w:rPr>
          <w:sz w:val="21"/>
        </w:rPr>
      </w:pPr>
      <w:r>
        <w:rPr>
          <w:spacing w:val="-6"/>
          <w:w w:val="99"/>
          <w:sz w:val="21"/>
        </w:rPr>
        <w:t>经专科医生以类固醇或免疫抑制剂连续治疗六个月。诊断及治疗均须在本公</w:t>
      </w:r>
      <w:r>
        <w:rPr>
          <w:spacing w:val="-1"/>
          <w:w w:val="99"/>
          <w:sz w:val="21"/>
        </w:rPr>
        <w:t>司指定或认可的医疗机构内由专科医师认为是医疗必需的情况下进行。</w:t>
      </w:r>
    </w:p>
    <w:p>
      <w:pPr>
        <w:pStyle w:val="3"/>
        <w:numPr>
          <w:ilvl w:val="0"/>
          <w:numId w:val="77"/>
        </w:numPr>
        <w:tabs>
          <w:tab w:val="left" w:pos="3120"/>
        </w:tabs>
        <w:spacing w:before="155" w:after="0" w:line="240" w:lineRule="auto"/>
        <w:ind w:left="3119" w:right="0" w:hanging="635"/>
        <w:jc w:val="left"/>
      </w:pPr>
      <w:r>
        <w:rPr>
          <w:spacing w:val="-1"/>
          <w:w w:val="95"/>
        </w:rPr>
        <w:t>可逆性再生障碍性贫血：</w:t>
      </w:r>
    </w:p>
    <w:p>
      <w:pPr>
        <w:pStyle w:val="4"/>
        <w:spacing w:before="7"/>
        <w:rPr>
          <w:b/>
          <w:sz w:val="15"/>
        </w:rPr>
      </w:pPr>
    </w:p>
    <w:p>
      <w:pPr>
        <w:pStyle w:val="4"/>
        <w:spacing w:line="278" w:lineRule="auto"/>
        <w:ind w:left="2485" w:right="338"/>
      </w:pPr>
      <w:r>
        <w:rPr>
          <w:spacing w:val="-1"/>
          <w:w w:val="99"/>
        </w:rPr>
        <w:t>指因急性可逆性的骨髓造血功能衰竭而导致贫血、中性粒细胞减少和血小板减少，必须由血液科医生的诊断，且病历资料显示接受了下列任一治疗：</w:t>
      </w:r>
    </w:p>
    <w:p>
      <w:pPr>
        <w:pStyle w:val="9"/>
        <w:numPr>
          <w:ilvl w:val="0"/>
          <w:numId w:val="83"/>
        </w:numPr>
        <w:tabs>
          <w:tab w:val="left" w:pos="3205"/>
          <w:tab w:val="left" w:pos="3206"/>
        </w:tabs>
        <w:spacing w:before="156" w:after="0" w:line="240" w:lineRule="auto"/>
        <w:ind w:left="3205" w:right="0" w:hanging="721"/>
        <w:jc w:val="left"/>
        <w:rPr>
          <w:sz w:val="21"/>
        </w:rPr>
      </w:pPr>
      <w:r>
        <w:rPr>
          <w:spacing w:val="-1"/>
          <w:w w:val="95"/>
          <w:sz w:val="21"/>
        </w:rPr>
        <w:t>骨髓刺激疗法至少一个月；</w:t>
      </w:r>
    </w:p>
    <w:p>
      <w:pPr>
        <w:pStyle w:val="4"/>
        <w:spacing w:before="6"/>
        <w:rPr>
          <w:sz w:val="15"/>
        </w:rPr>
      </w:pPr>
    </w:p>
    <w:p>
      <w:pPr>
        <w:pStyle w:val="9"/>
        <w:numPr>
          <w:ilvl w:val="0"/>
          <w:numId w:val="83"/>
        </w:numPr>
        <w:tabs>
          <w:tab w:val="left" w:pos="3205"/>
          <w:tab w:val="left" w:pos="3206"/>
        </w:tabs>
        <w:spacing w:before="1" w:after="0" w:line="240" w:lineRule="auto"/>
        <w:ind w:left="3205" w:right="0" w:hanging="721"/>
        <w:jc w:val="left"/>
        <w:rPr>
          <w:sz w:val="21"/>
        </w:rPr>
      </w:pPr>
      <w:r>
        <w:rPr>
          <w:spacing w:val="-1"/>
          <w:w w:val="95"/>
          <w:sz w:val="21"/>
        </w:rPr>
        <w:t>免疫抑制剂治疗至少一个月；</w:t>
      </w:r>
    </w:p>
    <w:p>
      <w:pPr>
        <w:pStyle w:val="4"/>
        <w:spacing w:before="6"/>
        <w:rPr>
          <w:sz w:val="15"/>
        </w:rPr>
      </w:pPr>
    </w:p>
    <w:p>
      <w:pPr>
        <w:pStyle w:val="9"/>
        <w:numPr>
          <w:ilvl w:val="0"/>
          <w:numId w:val="83"/>
        </w:numPr>
        <w:tabs>
          <w:tab w:val="left" w:pos="3205"/>
          <w:tab w:val="left" w:pos="3206"/>
        </w:tabs>
        <w:spacing w:before="0" w:after="0" w:line="240" w:lineRule="auto"/>
        <w:ind w:left="3205" w:right="0" w:hanging="721"/>
        <w:jc w:val="left"/>
        <w:rPr>
          <w:sz w:val="21"/>
        </w:rPr>
      </w:pPr>
      <w:r>
        <w:rPr>
          <w:spacing w:val="-2"/>
          <w:w w:val="95"/>
          <w:sz w:val="21"/>
        </w:rPr>
        <w:t>接受了骨髓移植。</w:t>
      </w:r>
    </w:p>
    <w:p>
      <w:pPr>
        <w:pStyle w:val="4"/>
        <w:spacing w:before="7"/>
        <w:rPr>
          <w:sz w:val="15"/>
        </w:rPr>
      </w:pPr>
    </w:p>
    <w:p>
      <w:pPr>
        <w:pStyle w:val="3"/>
        <w:numPr>
          <w:ilvl w:val="0"/>
          <w:numId w:val="77"/>
        </w:numPr>
        <w:tabs>
          <w:tab w:val="left" w:pos="3120"/>
        </w:tabs>
        <w:spacing w:before="0" w:after="0" w:line="240" w:lineRule="auto"/>
        <w:ind w:left="3119" w:right="0" w:hanging="635"/>
        <w:jc w:val="left"/>
      </w:pPr>
      <w:r>
        <w:rPr>
          <w:spacing w:val="-2"/>
          <w:w w:val="95"/>
        </w:rPr>
        <w:t>单侧肺脏切除术：</w:t>
      </w:r>
    </w:p>
    <w:p>
      <w:pPr>
        <w:pStyle w:val="4"/>
        <w:spacing w:before="1"/>
        <w:rPr>
          <w:b/>
          <w:sz w:val="10"/>
        </w:rPr>
      </w:pPr>
    </w:p>
    <w:p>
      <w:pPr>
        <w:pStyle w:val="4"/>
        <w:spacing w:before="70" w:line="278" w:lineRule="auto"/>
        <w:ind w:left="2485" w:right="347"/>
      </w:pPr>
      <w:r>
        <w:rPr>
          <w:color w:val="000000"/>
          <w:spacing w:val="-2"/>
          <w:w w:val="95"/>
          <w:shd w:val="clear" w:color="auto" w:fill="E4E4E4"/>
        </w:rPr>
        <w:t>因疾病或意外事故实际实施的一侧肺脏切除术，恶性肿瘤、部分切除手术和肺脏捐</w:t>
      </w:r>
      <w:r>
        <w:rPr>
          <w:color w:val="000000"/>
          <w:spacing w:val="80"/>
          <w:w w:val="150"/>
          <w:shd w:val="clear" w:color="auto" w:fill="E4E4E4"/>
        </w:rPr>
        <w:t xml:space="preserve">                                         </w:t>
      </w:r>
      <w:r>
        <w:rPr>
          <w:color w:val="000000"/>
          <w:spacing w:val="-2"/>
          <w:shd w:val="clear" w:color="auto" w:fill="E4E4E4"/>
        </w:rPr>
        <w:t>献引起的手术不在保障范围内。</w:t>
      </w:r>
    </w:p>
    <w:p>
      <w:pPr>
        <w:pStyle w:val="3"/>
        <w:numPr>
          <w:ilvl w:val="0"/>
          <w:numId w:val="77"/>
        </w:numPr>
        <w:tabs>
          <w:tab w:val="left" w:pos="3120"/>
        </w:tabs>
        <w:spacing w:before="156" w:after="0" w:line="240" w:lineRule="auto"/>
        <w:ind w:left="3119" w:right="0" w:hanging="635"/>
        <w:jc w:val="left"/>
      </w:pPr>
      <w:r>
        <w:rPr>
          <w:spacing w:val="-1"/>
          <w:w w:val="95"/>
        </w:rPr>
        <w:t>轻度脑炎或脑膜炎后遗症：</w:t>
      </w:r>
    </w:p>
    <w:p>
      <w:pPr>
        <w:pStyle w:val="4"/>
        <w:spacing w:before="6"/>
        <w:rPr>
          <w:b/>
          <w:sz w:val="15"/>
        </w:rPr>
      </w:pPr>
    </w:p>
    <w:p>
      <w:pPr>
        <w:pStyle w:val="4"/>
        <w:spacing w:before="1" w:line="278" w:lineRule="auto"/>
        <w:ind w:left="2485" w:right="347"/>
        <w:jc w:val="both"/>
      </w:pPr>
      <w:r>
        <w:rPr>
          <w:spacing w:val="4"/>
          <w:w w:val="99"/>
        </w:rPr>
        <w:t>指因患脑炎或脑膜炎导致的神经系统的永久功能障碍。神经系统永久性的功能障</w:t>
      </w:r>
      <w:r>
        <w:rPr>
          <w:spacing w:val="-1"/>
          <w:w w:val="99"/>
        </w:rPr>
        <w:t>碍，指疾病确诊</w:t>
      </w:r>
      <w:r>
        <w:rPr>
          <w:spacing w:val="-50"/>
        </w:rPr>
        <w:t xml:space="preserve"> </w:t>
      </w:r>
      <w:r>
        <w:rPr>
          <w:spacing w:val="1"/>
          <w:w w:val="99"/>
        </w:rPr>
        <w:t>18</w:t>
      </w:r>
      <w:r>
        <w:rPr>
          <w:w w:val="99"/>
        </w:rPr>
        <w:t>0</w:t>
      </w:r>
      <w:r>
        <w:rPr>
          <w:spacing w:val="-54"/>
        </w:rPr>
        <w:t xml:space="preserve"> </w:t>
      </w:r>
      <w:r>
        <w:rPr>
          <w:spacing w:val="-2"/>
          <w:w w:val="99"/>
        </w:rPr>
        <w:t>天后，仍存在自主活动能力严重丧失，无法独立完成六项基本</w:t>
      </w:r>
      <w:r>
        <w:rPr>
          <w:spacing w:val="-1"/>
          <w:w w:val="99"/>
        </w:rPr>
        <w:t>日常生活活动中的二项或二项以上。</w:t>
      </w:r>
    </w:p>
    <w:p>
      <w:pPr>
        <w:pStyle w:val="3"/>
        <w:numPr>
          <w:ilvl w:val="0"/>
          <w:numId w:val="77"/>
        </w:numPr>
        <w:tabs>
          <w:tab w:val="left" w:pos="3120"/>
        </w:tabs>
        <w:spacing w:before="155" w:after="0" w:line="240" w:lineRule="auto"/>
        <w:ind w:left="3119" w:right="0" w:hanging="635"/>
        <w:jc w:val="left"/>
      </w:pPr>
      <w:r>
        <w:rPr>
          <w:spacing w:val="-2"/>
          <w:w w:val="95"/>
        </w:rPr>
        <w:t>轻度阿尔茨海默病：</w:t>
      </w:r>
    </w:p>
    <w:p>
      <w:pPr>
        <w:pStyle w:val="4"/>
        <w:spacing w:before="7"/>
        <w:rPr>
          <w:b/>
          <w:sz w:val="15"/>
        </w:rPr>
      </w:pPr>
    </w:p>
    <w:p>
      <w:pPr>
        <w:pStyle w:val="4"/>
        <w:spacing w:line="278" w:lineRule="auto"/>
        <w:ind w:left="2485" w:right="347"/>
        <w:jc w:val="both"/>
      </w:pPr>
      <w:r>
        <w:rPr>
          <w:spacing w:val="-3"/>
          <w:w w:val="99"/>
        </w:rPr>
        <w:t>指因大脑进行性、不可逆性改变导致智能严重衰退或丧失，临床表现为明显的认知能力障碍、行为异常和社交能力减退，其日常生活必须持续受到他人监护。须由头</w:t>
      </w:r>
      <w:r>
        <w:rPr>
          <w:spacing w:val="2"/>
          <w:w w:val="99"/>
        </w:rPr>
        <w:t>颅断层扫描</w:t>
      </w:r>
      <w:r>
        <w:rPr>
          <w:spacing w:val="4"/>
          <w:w w:val="99"/>
        </w:rPr>
        <w:t>（</w:t>
      </w:r>
      <w:r>
        <w:rPr>
          <w:spacing w:val="1"/>
          <w:w w:val="99"/>
        </w:rPr>
        <w:t>C</w:t>
      </w:r>
      <w:r>
        <w:rPr>
          <w:spacing w:val="3"/>
          <w:w w:val="99"/>
        </w:rPr>
        <w:t>T</w:t>
      </w:r>
      <w:r>
        <w:rPr>
          <w:spacing w:val="-101"/>
          <w:w w:val="99"/>
        </w:rPr>
        <w:t>）</w:t>
      </w:r>
      <w:r>
        <w:rPr>
          <w:spacing w:val="2"/>
          <w:w w:val="99"/>
        </w:rPr>
        <w:t>、核磁共振检查（</w:t>
      </w:r>
      <w:r>
        <w:rPr>
          <w:spacing w:val="1"/>
          <w:w w:val="99"/>
        </w:rPr>
        <w:t>MRI</w:t>
      </w:r>
      <w:r>
        <w:rPr>
          <w:spacing w:val="4"/>
          <w:w w:val="99"/>
        </w:rPr>
        <w:t>）</w:t>
      </w:r>
      <w:r>
        <w:rPr>
          <w:spacing w:val="2"/>
          <w:w w:val="99"/>
        </w:rPr>
        <w:t>或正电子发射断层扫描</w:t>
      </w:r>
      <w:r>
        <w:rPr>
          <w:spacing w:val="4"/>
          <w:w w:val="99"/>
        </w:rPr>
        <w:t>（</w:t>
      </w:r>
      <w:r>
        <w:rPr>
          <w:spacing w:val="1"/>
          <w:w w:val="99"/>
        </w:rPr>
        <w:t>PET</w:t>
      </w:r>
      <w:r>
        <w:rPr>
          <w:spacing w:val="4"/>
          <w:w w:val="99"/>
        </w:rPr>
        <w:t>）</w:t>
      </w:r>
      <w:r>
        <w:rPr>
          <w:spacing w:val="2"/>
          <w:w w:val="99"/>
        </w:rPr>
        <w:t>等影像学</w:t>
      </w:r>
      <w:r>
        <w:rPr>
          <w:spacing w:val="-3"/>
          <w:w w:val="99"/>
        </w:rPr>
        <w:t>检查证实，且自主生活能力严重丧失，无法独立完成六项基本日常生活活动中的二</w:t>
      </w:r>
      <w:r>
        <w:rPr>
          <w:spacing w:val="-1"/>
          <w:w w:val="99"/>
        </w:rPr>
        <w:t>项或二项以上。</w:t>
      </w:r>
    </w:p>
    <w:p>
      <w:pPr>
        <w:pStyle w:val="4"/>
        <w:spacing w:before="155"/>
        <w:ind w:left="2485"/>
      </w:pPr>
      <w:r>
        <w:rPr>
          <w:color w:val="000000"/>
          <w:spacing w:val="-1"/>
          <w:w w:val="95"/>
          <w:shd w:val="clear" w:color="auto" w:fill="E4E4E4"/>
        </w:rPr>
        <w:t>神经官能症和精神疾病不在保障范围内。</w:t>
      </w:r>
    </w:p>
    <w:p>
      <w:pPr>
        <w:pStyle w:val="4"/>
        <w:spacing w:before="7"/>
        <w:rPr>
          <w:sz w:val="15"/>
        </w:rPr>
      </w:pPr>
    </w:p>
    <w:p>
      <w:pPr>
        <w:pStyle w:val="3"/>
        <w:numPr>
          <w:ilvl w:val="0"/>
          <w:numId w:val="77"/>
        </w:numPr>
        <w:tabs>
          <w:tab w:val="left" w:pos="3120"/>
        </w:tabs>
        <w:spacing w:before="0" w:after="0" w:line="240" w:lineRule="auto"/>
        <w:ind w:left="3119" w:right="0" w:hanging="635"/>
        <w:jc w:val="left"/>
      </w:pPr>
      <w:r>
        <w:rPr>
          <w:spacing w:val="-2"/>
          <w:w w:val="95"/>
        </w:rPr>
        <w:t>出血性登革热：</w:t>
      </w:r>
    </w:p>
    <w:p>
      <w:pPr>
        <w:pStyle w:val="4"/>
        <w:spacing w:before="7"/>
        <w:rPr>
          <w:b/>
          <w:sz w:val="15"/>
        </w:rPr>
      </w:pPr>
    </w:p>
    <w:p>
      <w:pPr>
        <w:pStyle w:val="4"/>
        <w:spacing w:line="278" w:lineRule="auto"/>
        <w:ind w:left="2485" w:right="350"/>
        <w:jc w:val="both"/>
      </w:pPr>
      <w:r>
        <w:rPr>
          <w:spacing w:val="-12"/>
          <w:w w:val="99"/>
        </w:rPr>
        <w:t>出血性登革热须出现全部四种症状，包括发高烧、出血现象、肝肿大和循环衰竭</w:t>
      </w:r>
      <w:r>
        <w:rPr>
          <w:spacing w:val="-1"/>
          <w:w w:val="99"/>
        </w:rPr>
        <w:t>（</w:t>
      </w:r>
      <w:r>
        <w:rPr>
          <w:w w:val="99"/>
        </w:rPr>
        <w:t>登</w:t>
      </w:r>
      <w:r>
        <w:rPr>
          <w:spacing w:val="1"/>
          <w:w w:val="99"/>
        </w:rPr>
        <w:t>革热休克综合症即符合</w:t>
      </w:r>
      <w:r>
        <w:rPr>
          <w:spacing w:val="-50"/>
        </w:rPr>
        <w:t xml:space="preserve"> </w:t>
      </w:r>
      <w:r>
        <w:rPr>
          <w:spacing w:val="1"/>
          <w:w w:val="99"/>
        </w:rPr>
        <w:t>WH</w:t>
      </w:r>
      <w:r>
        <w:rPr>
          <w:w w:val="99"/>
        </w:rPr>
        <w:t>O</w:t>
      </w:r>
      <w:r>
        <w:rPr>
          <w:spacing w:val="-49"/>
        </w:rPr>
        <w:t xml:space="preserve"> </w:t>
      </w:r>
      <w:r>
        <w:rPr>
          <w:spacing w:val="2"/>
          <w:w w:val="99"/>
        </w:rPr>
        <w:t>登革热第Ⅲ级及第Ⅳ级</w:t>
      </w:r>
      <w:r>
        <w:rPr>
          <w:spacing w:val="-101"/>
          <w:w w:val="99"/>
        </w:rPr>
        <w:t>）</w:t>
      </w:r>
      <w:r>
        <w:rPr>
          <w:spacing w:val="1"/>
          <w:w w:val="99"/>
        </w:rPr>
        <w:t>。出血性登革热的诊断必须由</w:t>
      </w:r>
      <w:r>
        <w:rPr>
          <w:spacing w:val="-1"/>
          <w:w w:val="99"/>
        </w:rPr>
        <w:t>本公司指定或认可的医疗机构的专科医生证实。</w:t>
      </w:r>
    </w:p>
    <w:p>
      <w:pPr>
        <w:pStyle w:val="4"/>
        <w:spacing w:before="156"/>
        <w:ind w:left="2485"/>
      </w:pPr>
      <w:r>
        <w:rPr>
          <w:color w:val="000000"/>
          <w:spacing w:val="-1"/>
          <w:w w:val="95"/>
          <w:shd w:val="clear" w:color="auto" w:fill="E4E4E4"/>
        </w:rPr>
        <w:t>非出血性登革热不在保障范围内。</w:t>
      </w:r>
    </w:p>
    <w:p>
      <w:pPr>
        <w:pStyle w:val="4"/>
        <w:spacing w:before="6"/>
        <w:rPr>
          <w:sz w:val="15"/>
        </w:rPr>
      </w:pPr>
    </w:p>
    <w:p>
      <w:pPr>
        <w:pStyle w:val="3"/>
        <w:numPr>
          <w:ilvl w:val="0"/>
          <w:numId w:val="77"/>
        </w:numPr>
        <w:tabs>
          <w:tab w:val="left" w:pos="3120"/>
        </w:tabs>
        <w:spacing w:before="0" w:after="0" w:line="240" w:lineRule="auto"/>
        <w:ind w:left="3119" w:right="0" w:hanging="635"/>
        <w:jc w:val="left"/>
      </w:pPr>
      <w:r>
        <w:rPr>
          <w:spacing w:val="-1"/>
          <w:w w:val="95"/>
        </w:rPr>
        <w:t>全身中度面积Ⅲ度烧伤：</w:t>
      </w:r>
    </w:p>
    <w:p>
      <w:pPr>
        <w:pStyle w:val="4"/>
        <w:spacing w:before="7"/>
        <w:rPr>
          <w:b/>
          <w:sz w:val="15"/>
        </w:rPr>
      </w:pPr>
    </w:p>
    <w:p>
      <w:pPr>
        <w:pStyle w:val="4"/>
        <w:spacing w:line="278" w:lineRule="auto"/>
        <w:ind w:left="2485" w:right="347"/>
        <w:jc w:val="both"/>
      </w:pPr>
      <w:r>
        <w:rPr>
          <w:spacing w:val="-3"/>
          <w:w w:val="99"/>
        </w:rPr>
        <w:t>指烧伤程度为Ⅲ度，即全层皮肤烧伤，包括表皮、真皮和皮下组织，且Ⅲ度烧伤的</w:t>
      </w:r>
      <w:r>
        <w:rPr>
          <w:spacing w:val="1"/>
          <w:w w:val="99"/>
        </w:rPr>
        <w:t>面积达到全身体表面积的</w:t>
      </w:r>
      <w:r>
        <w:rPr>
          <w:spacing w:val="-48"/>
        </w:rPr>
        <w:t xml:space="preserve"> </w:t>
      </w:r>
      <w:r>
        <w:rPr>
          <w:spacing w:val="1"/>
          <w:w w:val="99"/>
        </w:rPr>
        <w:t>15%</w:t>
      </w:r>
      <w:r>
        <w:rPr>
          <w:w w:val="99"/>
        </w:rPr>
        <w:t>或</w:t>
      </w:r>
      <w:r>
        <w:rPr>
          <w:spacing w:val="-48"/>
        </w:rPr>
        <w:t xml:space="preserve"> </w:t>
      </w:r>
      <w:r>
        <w:rPr>
          <w:spacing w:val="1"/>
          <w:w w:val="99"/>
        </w:rPr>
        <w:t>15%以上，且未达到重大疾病“严重Ⅲ度烧伤”的</w:t>
      </w:r>
      <w:r>
        <w:rPr>
          <w:spacing w:val="-1"/>
          <w:w w:val="99"/>
        </w:rPr>
        <w:t>给付标准。体表面积根据《中国新九分法》计算。</w:t>
      </w:r>
    </w:p>
    <w:p>
      <w:pPr>
        <w:spacing w:after="0" w:line="278" w:lineRule="auto"/>
        <w:jc w:val="both"/>
        <w:sectPr>
          <w:pgSz w:w="11910" w:h="16840"/>
          <w:pgMar w:top="1400" w:right="660" w:bottom="860" w:left="860" w:header="0" w:footer="662" w:gutter="0"/>
          <w:cols w:space="720" w:num="1"/>
        </w:sectPr>
      </w:pPr>
    </w:p>
    <w:p>
      <w:pPr>
        <w:pStyle w:val="3"/>
        <w:numPr>
          <w:ilvl w:val="0"/>
          <w:numId w:val="77"/>
        </w:numPr>
        <w:tabs>
          <w:tab w:val="left" w:pos="3120"/>
        </w:tabs>
        <w:spacing w:before="43" w:after="0" w:line="240" w:lineRule="auto"/>
        <w:ind w:left="3119" w:right="0" w:hanging="635"/>
        <w:jc w:val="left"/>
      </w:pPr>
      <w:r>
        <w:rPr>
          <w:spacing w:val="-3"/>
          <w:w w:val="95"/>
        </w:rPr>
        <w:t xml:space="preserve">深度昏迷 </w:t>
      </w:r>
      <w:r>
        <w:rPr>
          <w:w w:val="95"/>
        </w:rPr>
        <w:t>72</w:t>
      </w:r>
      <w:r>
        <w:rPr>
          <w:spacing w:val="-7"/>
          <w:w w:val="95"/>
        </w:rPr>
        <w:t xml:space="preserve"> 小时：</w:t>
      </w:r>
    </w:p>
    <w:p>
      <w:pPr>
        <w:pStyle w:val="4"/>
        <w:spacing w:before="7"/>
        <w:rPr>
          <w:b/>
          <w:sz w:val="15"/>
        </w:rPr>
      </w:pPr>
    </w:p>
    <w:p>
      <w:pPr>
        <w:pStyle w:val="4"/>
        <w:spacing w:line="278" w:lineRule="auto"/>
        <w:ind w:left="2485" w:right="347"/>
        <w:jc w:val="both"/>
      </w:pPr>
      <w:r>
        <w:rPr>
          <w:spacing w:val="-3"/>
          <w:w w:val="99"/>
        </w:rPr>
        <w:t>处于昏迷的状态，对外界刺激或体内需求无反应，并已经使用插管和机械性呼吸的</w:t>
      </w:r>
      <w:r>
        <w:rPr>
          <w:spacing w:val="1"/>
          <w:w w:val="99"/>
        </w:rPr>
        <w:t>方法来维持生命</w:t>
      </w:r>
      <w:r>
        <w:rPr>
          <w:spacing w:val="-48"/>
        </w:rPr>
        <w:t xml:space="preserve"> </w:t>
      </w:r>
      <w:r>
        <w:rPr>
          <w:spacing w:val="1"/>
          <w:w w:val="99"/>
        </w:rPr>
        <w:t>7</w:t>
      </w:r>
      <w:r>
        <w:rPr>
          <w:w w:val="99"/>
        </w:rPr>
        <w:t>2</w:t>
      </w:r>
      <w:r>
        <w:rPr>
          <w:spacing w:val="-52"/>
        </w:rPr>
        <w:t xml:space="preserve"> </w:t>
      </w:r>
      <w:r>
        <w:rPr>
          <w:spacing w:val="1"/>
          <w:w w:val="99"/>
        </w:rPr>
        <w:t>个小时。昏迷的诊断及有关证明必须由本公司认可医院的神经</w:t>
      </w:r>
      <w:r>
        <w:rPr>
          <w:spacing w:val="-1"/>
          <w:w w:val="99"/>
        </w:rPr>
        <w:t>科专科医生确定，但未达到本合同所指重大疾病“深度昏迷”的标准。</w:t>
      </w:r>
    </w:p>
    <w:p>
      <w:pPr>
        <w:pStyle w:val="4"/>
        <w:spacing w:line="269" w:lineRule="exact"/>
        <w:ind w:left="2485"/>
      </w:pPr>
      <w:r>
        <w:rPr>
          <w:color w:val="000000"/>
          <w:spacing w:val="-1"/>
          <w:w w:val="95"/>
          <w:shd w:val="clear" w:color="auto" w:fill="E4E4E4"/>
        </w:rPr>
        <w:t>因酗酒或药物滥用导致的昏迷不在保障范围内。</w:t>
      </w:r>
    </w:p>
    <w:p>
      <w:pPr>
        <w:pStyle w:val="4"/>
        <w:spacing w:before="6"/>
        <w:rPr>
          <w:sz w:val="15"/>
        </w:rPr>
      </w:pPr>
    </w:p>
    <w:p>
      <w:pPr>
        <w:pStyle w:val="3"/>
        <w:numPr>
          <w:ilvl w:val="0"/>
          <w:numId w:val="77"/>
        </w:numPr>
        <w:tabs>
          <w:tab w:val="left" w:pos="3120"/>
        </w:tabs>
        <w:spacing w:before="1" w:after="0" w:line="240" w:lineRule="auto"/>
        <w:ind w:left="3119" w:right="0" w:hanging="635"/>
        <w:jc w:val="left"/>
      </w:pPr>
      <w:r>
        <w:rPr>
          <w:spacing w:val="-2"/>
          <w:w w:val="95"/>
        </w:rPr>
        <w:t>中度强直性脊柱炎：</w:t>
      </w:r>
    </w:p>
    <w:p>
      <w:pPr>
        <w:pStyle w:val="4"/>
        <w:spacing w:before="6"/>
        <w:rPr>
          <w:b/>
          <w:sz w:val="15"/>
        </w:rPr>
      </w:pPr>
    </w:p>
    <w:p>
      <w:pPr>
        <w:pStyle w:val="4"/>
        <w:spacing w:line="278" w:lineRule="auto"/>
        <w:ind w:left="2485" w:right="347"/>
      </w:pPr>
      <w:r>
        <w:rPr>
          <w:spacing w:val="-3"/>
          <w:w w:val="99"/>
        </w:rPr>
        <w:t>是一种慢性全身性炎性疾病，主要侵犯脊柱导致脊柱畸形。必须明确诊断并且满足</w:t>
      </w:r>
      <w:r>
        <w:rPr>
          <w:spacing w:val="-1"/>
          <w:w w:val="99"/>
        </w:rPr>
        <w:t>下列全部条件：</w:t>
      </w:r>
    </w:p>
    <w:p>
      <w:pPr>
        <w:pStyle w:val="9"/>
        <w:numPr>
          <w:ilvl w:val="0"/>
          <w:numId w:val="84"/>
        </w:numPr>
        <w:tabs>
          <w:tab w:val="left" w:pos="3205"/>
          <w:tab w:val="left" w:pos="3206"/>
        </w:tabs>
        <w:spacing w:before="156" w:after="0" w:line="240" w:lineRule="auto"/>
        <w:ind w:left="3205" w:right="0" w:hanging="721"/>
        <w:jc w:val="left"/>
        <w:rPr>
          <w:sz w:val="21"/>
        </w:rPr>
      </w:pPr>
      <w:r>
        <w:rPr>
          <w:spacing w:val="-2"/>
          <w:w w:val="95"/>
          <w:sz w:val="21"/>
        </w:rPr>
        <w:t>严重脊柱畸形；</w:t>
      </w:r>
    </w:p>
    <w:p>
      <w:pPr>
        <w:pStyle w:val="4"/>
        <w:spacing w:before="7"/>
        <w:rPr>
          <w:sz w:val="15"/>
        </w:rPr>
      </w:pPr>
    </w:p>
    <w:p>
      <w:pPr>
        <w:pStyle w:val="9"/>
        <w:numPr>
          <w:ilvl w:val="0"/>
          <w:numId w:val="84"/>
        </w:numPr>
        <w:tabs>
          <w:tab w:val="left" w:pos="3205"/>
          <w:tab w:val="left" w:pos="3206"/>
        </w:tabs>
        <w:spacing w:before="0" w:after="0" w:line="278" w:lineRule="auto"/>
        <w:ind w:left="3205" w:right="350" w:hanging="720"/>
        <w:jc w:val="left"/>
        <w:rPr>
          <w:sz w:val="21"/>
        </w:rPr>
      </w:pPr>
      <w:r>
        <w:rPr>
          <w:spacing w:val="-10"/>
          <w:w w:val="99"/>
          <w:sz w:val="21"/>
        </w:rPr>
        <w:t>自主生活能力严重丧失，无法独立完成六项基本日常生活活动中的二项或二</w:t>
      </w:r>
      <w:r>
        <w:rPr>
          <w:spacing w:val="-1"/>
          <w:w w:val="99"/>
          <w:sz w:val="21"/>
        </w:rPr>
        <w:t>项以上。</w:t>
      </w:r>
    </w:p>
    <w:p>
      <w:pPr>
        <w:pStyle w:val="3"/>
        <w:numPr>
          <w:ilvl w:val="0"/>
          <w:numId w:val="77"/>
        </w:numPr>
        <w:tabs>
          <w:tab w:val="left" w:pos="3120"/>
        </w:tabs>
        <w:spacing w:before="156" w:after="0" w:line="240" w:lineRule="auto"/>
        <w:ind w:left="3119" w:right="0" w:hanging="635"/>
        <w:jc w:val="left"/>
      </w:pPr>
      <w:r>
        <w:rPr>
          <w:spacing w:val="-1"/>
          <w:w w:val="95"/>
        </w:rPr>
        <w:t>中度严重脊髓灰质炎：</w:t>
      </w:r>
    </w:p>
    <w:p>
      <w:pPr>
        <w:pStyle w:val="4"/>
        <w:spacing w:before="6"/>
        <w:rPr>
          <w:b/>
          <w:sz w:val="15"/>
        </w:rPr>
      </w:pPr>
    </w:p>
    <w:p>
      <w:pPr>
        <w:pStyle w:val="4"/>
        <w:spacing w:line="278" w:lineRule="auto"/>
        <w:ind w:left="2485" w:right="350"/>
      </w:pPr>
      <w:r>
        <w:rPr>
          <w:spacing w:val="-2"/>
          <w:w w:val="99"/>
        </w:rPr>
        <w:t>脊髓灰质炎是由于脊髓灰质炎病毒感染所致的瘫痪性疾病，临床表现为运动功能损</w:t>
      </w:r>
      <w:r>
        <w:rPr>
          <w:spacing w:val="-1"/>
          <w:w w:val="99"/>
        </w:rPr>
        <w:t>害或呼吸无力。脊髓灰质炎必须明确诊断。</w:t>
      </w:r>
    </w:p>
    <w:p>
      <w:pPr>
        <w:pStyle w:val="4"/>
        <w:spacing w:line="278" w:lineRule="auto"/>
        <w:ind w:left="2485" w:right="350"/>
      </w:pPr>
      <w:r>
        <w:rPr>
          <w:spacing w:val="4"/>
          <w:w w:val="99"/>
        </w:rPr>
        <w:t>本合同仅对脊髓灰质炎造成的神经系统功能损害导致被保险人一肢或一肢以上肢</w:t>
      </w:r>
      <w:r>
        <w:rPr>
          <w:spacing w:val="-1"/>
          <w:w w:val="99"/>
        </w:rPr>
        <w:t>体机能永久完全丧失的情况予以理赔。</w:t>
      </w:r>
    </w:p>
    <w:p>
      <w:pPr>
        <w:pStyle w:val="4"/>
        <w:spacing w:line="278" w:lineRule="auto"/>
        <w:ind w:left="2485" w:right="350"/>
      </w:pPr>
      <w:r>
        <w:rPr>
          <w:spacing w:val="-2"/>
          <w:w w:val="99"/>
        </w:rPr>
        <w:t>肢体机能永久完全丧失，指疾病确诊</w:t>
      </w:r>
      <w:r>
        <w:rPr>
          <w:spacing w:val="-53"/>
        </w:rPr>
        <w:t xml:space="preserve"> </w:t>
      </w:r>
      <w:r>
        <w:rPr>
          <w:spacing w:val="1"/>
          <w:w w:val="99"/>
        </w:rPr>
        <w:t>18</w:t>
      </w:r>
      <w:r>
        <w:rPr>
          <w:w w:val="99"/>
        </w:rPr>
        <w:t>0</w:t>
      </w:r>
      <w:r>
        <w:rPr>
          <w:spacing w:val="-54"/>
        </w:rPr>
        <w:t xml:space="preserve"> </w:t>
      </w:r>
      <w:r>
        <w:rPr>
          <w:spacing w:val="-1"/>
          <w:w w:val="99"/>
        </w:rPr>
        <w:t>天后，每肢三大关节中的至少一个大关节仍然完全僵硬，或不能随意识活动。</w:t>
      </w:r>
    </w:p>
    <w:p>
      <w:pPr>
        <w:pStyle w:val="3"/>
        <w:numPr>
          <w:ilvl w:val="0"/>
          <w:numId w:val="77"/>
        </w:numPr>
        <w:tabs>
          <w:tab w:val="left" w:pos="3120"/>
        </w:tabs>
        <w:spacing w:before="156" w:after="0" w:line="240" w:lineRule="auto"/>
        <w:ind w:left="3119" w:right="0" w:hanging="635"/>
        <w:jc w:val="left"/>
      </w:pPr>
      <w:r>
        <w:rPr>
          <w:spacing w:val="-1"/>
          <w:w w:val="95"/>
        </w:rPr>
        <w:t>因肾上腺皮脂腺瘤切除肾上腺：</w:t>
      </w:r>
    </w:p>
    <w:p>
      <w:pPr>
        <w:pStyle w:val="4"/>
        <w:spacing w:before="6"/>
        <w:rPr>
          <w:b/>
          <w:sz w:val="15"/>
        </w:rPr>
      </w:pPr>
    </w:p>
    <w:p>
      <w:pPr>
        <w:pStyle w:val="4"/>
        <w:spacing w:line="278" w:lineRule="auto"/>
        <w:ind w:left="2485" w:right="350"/>
        <w:jc w:val="both"/>
      </w:pPr>
      <w:r>
        <w:rPr>
          <w:spacing w:val="4"/>
          <w:w w:val="99"/>
        </w:rPr>
        <w:t>因肾上腺皮脂腺瘤所导致的醛固酮分泌过多而产生的继发性恶性高血压而实际接</w:t>
      </w:r>
      <w:r>
        <w:rPr>
          <w:spacing w:val="-2"/>
          <w:w w:val="99"/>
        </w:rPr>
        <w:t>受了肾上腺切除术治疗。此诊断及治疗均须在本公司指定或认可的医疗机构内由专</w:t>
      </w:r>
      <w:r>
        <w:rPr>
          <w:spacing w:val="-1"/>
          <w:w w:val="99"/>
        </w:rPr>
        <w:t>科医生认为是医疗必需的情况下进行。</w:t>
      </w:r>
    </w:p>
    <w:p>
      <w:pPr>
        <w:pStyle w:val="3"/>
        <w:numPr>
          <w:ilvl w:val="0"/>
          <w:numId w:val="77"/>
        </w:numPr>
        <w:tabs>
          <w:tab w:val="left" w:pos="3120"/>
        </w:tabs>
        <w:spacing w:before="156" w:after="0" w:line="240" w:lineRule="auto"/>
        <w:ind w:left="3119" w:right="0" w:hanging="635"/>
        <w:jc w:val="left"/>
      </w:pPr>
      <w:r>
        <w:rPr>
          <w:spacing w:val="-2"/>
          <w:w w:val="95"/>
        </w:rPr>
        <w:t>中度脑损伤：</w:t>
      </w:r>
    </w:p>
    <w:p>
      <w:pPr>
        <w:pStyle w:val="4"/>
        <w:spacing w:before="7"/>
        <w:rPr>
          <w:b/>
          <w:sz w:val="15"/>
        </w:rPr>
      </w:pPr>
    </w:p>
    <w:p>
      <w:pPr>
        <w:pStyle w:val="4"/>
        <w:spacing w:line="278" w:lineRule="auto"/>
        <w:ind w:left="2485" w:right="244"/>
      </w:pPr>
      <w:r>
        <w:rPr>
          <w:spacing w:val="-9"/>
          <w:w w:val="99"/>
        </w:rPr>
        <w:t>指因头部遭受机械性外力，引起脑重要部位损伤，导致神经系统永久性的功能障碍。</w:t>
      </w:r>
      <w:r>
        <w:rPr>
          <w:spacing w:val="2"/>
          <w:w w:val="99"/>
        </w:rPr>
        <w:t>须由头颅断层扫描</w:t>
      </w:r>
      <w:r>
        <w:rPr>
          <w:spacing w:val="4"/>
          <w:w w:val="99"/>
        </w:rPr>
        <w:t>（</w:t>
      </w:r>
      <w:r>
        <w:rPr>
          <w:spacing w:val="1"/>
          <w:w w:val="99"/>
        </w:rPr>
        <w:t>CT</w:t>
      </w:r>
      <w:r>
        <w:rPr>
          <w:spacing w:val="-101"/>
          <w:w w:val="99"/>
        </w:rPr>
        <w:t>）</w:t>
      </w:r>
      <w:r>
        <w:rPr>
          <w:spacing w:val="2"/>
          <w:w w:val="99"/>
        </w:rPr>
        <w:t>、核磁共振检查</w:t>
      </w:r>
      <w:r>
        <w:rPr>
          <w:spacing w:val="4"/>
          <w:w w:val="99"/>
        </w:rPr>
        <w:t>（</w:t>
      </w:r>
      <w:r>
        <w:rPr>
          <w:spacing w:val="1"/>
          <w:w w:val="99"/>
        </w:rPr>
        <w:t>MRI</w:t>
      </w:r>
      <w:r>
        <w:rPr>
          <w:spacing w:val="4"/>
          <w:w w:val="99"/>
        </w:rPr>
        <w:t>）</w:t>
      </w:r>
      <w:r>
        <w:rPr>
          <w:spacing w:val="2"/>
          <w:w w:val="99"/>
        </w:rPr>
        <w:t>或正电子发射断层扫描</w:t>
      </w:r>
      <w:r>
        <w:rPr>
          <w:spacing w:val="4"/>
          <w:w w:val="99"/>
        </w:rPr>
        <w:t>（</w:t>
      </w:r>
      <w:r>
        <w:rPr>
          <w:spacing w:val="1"/>
          <w:w w:val="99"/>
        </w:rPr>
        <w:t>PET</w:t>
      </w:r>
      <w:r>
        <w:rPr>
          <w:spacing w:val="4"/>
          <w:w w:val="99"/>
        </w:rPr>
        <w:t>）</w:t>
      </w:r>
      <w:r>
        <w:rPr>
          <w:w w:val="99"/>
        </w:rPr>
        <w:t>等</w:t>
      </w:r>
      <w:r>
        <w:rPr>
          <w:spacing w:val="-1"/>
          <w:w w:val="99"/>
        </w:rPr>
        <w:t>影像学检查证实。</w:t>
      </w:r>
    </w:p>
    <w:p>
      <w:pPr>
        <w:pStyle w:val="4"/>
        <w:spacing w:line="278" w:lineRule="auto"/>
        <w:ind w:left="2485" w:right="347"/>
        <w:jc w:val="both"/>
      </w:pPr>
      <w:r>
        <w:rPr>
          <w:spacing w:val="1"/>
          <w:w w:val="99"/>
        </w:rPr>
        <w:t>神经系统永久性的功能障碍，指脑损伤</w:t>
      </w:r>
      <w:r>
        <w:rPr>
          <w:spacing w:val="7"/>
        </w:rPr>
        <w:t xml:space="preserve"> </w:t>
      </w:r>
      <w:r>
        <w:rPr>
          <w:spacing w:val="1"/>
          <w:w w:val="99"/>
        </w:rPr>
        <w:t>18</w:t>
      </w:r>
      <w:r>
        <w:rPr>
          <w:w w:val="99"/>
        </w:rPr>
        <w:t>0</w:t>
      </w:r>
      <w:r>
        <w:rPr>
          <w:spacing w:val="1"/>
        </w:rPr>
        <w:t xml:space="preserve"> </w:t>
      </w:r>
      <w:r>
        <w:rPr>
          <w:spacing w:val="1"/>
          <w:w w:val="99"/>
        </w:rPr>
        <w:t>天后，仍部分丧失自主生活能力，无</w:t>
      </w:r>
      <w:r>
        <w:rPr>
          <w:spacing w:val="-3"/>
          <w:w w:val="99"/>
        </w:rPr>
        <w:t>法独立完成六项基本日常生活活动中的二项或以上，但未达到重大疾病“严重脑损</w:t>
      </w:r>
      <w:r>
        <w:rPr>
          <w:spacing w:val="-1"/>
          <w:w w:val="99"/>
        </w:rPr>
        <w:t>伤”的给付标准。</w:t>
      </w:r>
    </w:p>
    <w:p>
      <w:pPr>
        <w:pStyle w:val="3"/>
        <w:numPr>
          <w:ilvl w:val="0"/>
          <w:numId w:val="77"/>
        </w:numPr>
        <w:tabs>
          <w:tab w:val="left" w:pos="3120"/>
        </w:tabs>
        <w:spacing w:before="155" w:after="0" w:line="240" w:lineRule="auto"/>
        <w:ind w:left="3119" w:right="0" w:hanging="635"/>
        <w:jc w:val="left"/>
      </w:pPr>
      <w:r>
        <w:rPr>
          <w:spacing w:val="-2"/>
          <w:w w:val="95"/>
        </w:rPr>
        <w:t>肺功能衰竭：</w:t>
      </w:r>
    </w:p>
    <w:p>
      <w:pPr>
        <w:pStyle w:val="4"/>
        <w:spacing w:before="7"/>
        <w:rPr>
          <w:b/>
          <w:sz w:val="15"/>
        </w:rPr>
      </w:pPr>
    </w:p>
    <w:p>
      <w:pPr>
        <w:pStyle w:val="4"/>
        <w:ind w:left="2485"/>
      </w:pPr>
      <w:r>
        <w:rPr>
          <w:spacing w:val="-1"/>
          <w:w w:val="95"/>
        </w:rPr>
        <w:t>指因慢性呼吸系统疾病导致呼吸功能衰竭，且诊断必须满足以下所有条件：</w:t>
      </w:r>
    </w:p>
    <w:p>
      <w:pPr>
        <w:pStyle w:val="9"/>
        <w:numPr>
          <w:ilvl w:val="0"/>
          <w:numId w:val="85"/>
        </w:numPr>
        <w:tabs>
          <w:tab w:val="left" w:pos="3205"/>
          <w:tab w:val="left" w:pos="3206"/>
        </w:tabs>
        <w:spacing w:before="93" w:after="0" w:line="240" w:lineRule="auto"/>
        <w:ind w:left="3205" w:right="0" w:hanging="721"/>
        <w:jc w:val="left"/>
        <w:rPr>
          <w:sz w:val="21"/>
        </w:rPr>
      </w:pPr>
      <w:r>
        <w:rPr>
          <w:sz w:val="21"/>
        </w:rPr>
        <w:t>第一秒末用力呼吸量（FEV1）</w:t>
      </w:r>
      <w:r>
        <w:rPr>
          <w:spacing w:val="-5"/>
          <w:sz w:val="21"/>
        </w:rPr>
        <w:t xml:space="preserve">小于 </w:t>
      </w:r>
      <w:r>
        <w:rPr>
          <w:sz w:val="21"/>
        </w:rPr>
        <w:t>1</w:t>
      </w:r>
      <w:r>
        <w:rPr>
          <w:spacing w:val="-8"/>
          <w:sz w:val="21"/>
        </w:rPr>
        <w:t xml:space="preserve"> 升；</w:t>
      </w:r>
    </w:p>
    <w:p>
      <w:pPr>
        <w:pStyle w:val="9"/>
        <w:numPr>
          <w:ilvl w:val="0"/>
          <w:numId w:val="85"/>
        </w:numPr>
        <w:tabs>
          <w:tab w:val="left" w:pos="3205"/>
          <w:tab w:val="left" w:pos="3206"/>
        </w:tabs>
        <w:spacing w:before="91" w:after="0" w:line="240" w:lineRule="auto"/>
        <w:ind w:left="3205" w:right="0" w:hanging="721"/>
        <w:jc w:val="left"/>
        <w:rPr>
          <w:sz w:val="21"/>
        </w:rPr>
      </w:pPr>
      <w:r>
        <w:rPr>
          <w:w w:val="95"/>
          <w:sz w:val="21"/>
        </w:rPr>
        <w:t>残气容积占肺总量（TLC）的</w:t>
      </w:r>
      <w:r>
        <w:rPr>
          <w:spacing w:val="18"/>
          <w:sz w:val="21"/>
        </w:rPr>
        <w:t xml:space="preserve">  </w:t>
      </w:r>
      <w:r>
        <w:rPr>
          <w:w w:val="95"/>
          <w:sz w:val="21"/>
        </w:rPr>
        <w:t>50</w:t>
      </w:r>
      <w:r>
        <w:rPr>
          <w:spacing w:val="-3"/>
          <w:w w:val="95"/>
          <w:sz w:val="21"/>
        </w:rPr>
        <w:t>%以上；</w:t>
      </w:r>
    </w:p>
    <w:p>
      <w:pPr>
        <w:pStyle w:val="9"/>
        <w:numPr>
          <w:ilvl w:val="0"/>
          <w:numId w:val="85"/>
        </w:numPr>
        <w:tabs>
          <w:tab w:val="left" w:pos="3205"/>
          <w:tab w:val="left" w:pos="3206"/>
        </w:tabs>
        <w:spacing w:before="94" w:after="0" w:line="240" w:lineRule="auto"/>
        <w:ind w:left="3205" w:right="0" w:hanging="721"/>
        <w:jc w:val="left"/>
        <w:rPr>
          <w:sz w:val="21"/>
        </w:rPr>
      </w:pPr>
      <w:r>
        <w:rPr>
          <w:w w:val="95"/>
          <w:sz w:val="21"/>
        </w:rPr>
        <w:t>PaO2＜60mmHg</w:t>
      </w:r>
      <w:r>
        <w:rPr>
          <w:spacing w:val="-10"/>
          <w:sz w:val="21"/>
        </w:rPr>
        <w:t>。</w:t>
      </w:r>
    </w:p>
    <w:p>
      <w:pPr>
        <w:spacing w:after="0" w:line="240" w:lineRule="auto"/>
        <w:jc w:val="left"/>
        <w:rPr>
          <w:sz w:val="21"/>
        </w:rPr>
        <w:sectPr>
          <w:pgSz w:w="11910" w:h="16840"/>
          <w:pgMar w:top="1400" w:right="660" w:bottom="860" w:left="860" w:header="0" w:footer="662" w:gutter="0"/>
          <w:cols w:space="720" w:num="1"/>
        </w:sectPr>
      </w:pPr>
    </w:p>
    <w:p>
      <w:pPr>
        <w:pStyle w:val="4"/>
        <w:tabs>
          <w:tab w:val="left" w:pos="2485"/>
        </w:tabs>
        <w:spacing w:before="59" w:line="268" w:lineRule="auto"/>
        <w:ind w:left="2485" w:right="350" w:hanging="2266"/>
      </w:pPr>
      <w:r>
        <w:rPr>
          <w:b/>
          <w:spacing w:val="2"/>
          <w:w w:val="99"/>
        </w:rPr>
        <w:t>附表</w:t>
      </w:r>
      <w:r>
        <w:rPr>
          <w:b/>
          <w:w w:val="99"/>
        </w:rPr>
        <w:t>三</w:t>
      </w:r>
      <w:r>
        <w:rPr>
          <w:b/>
        </w:rPr>
        <w:t xml:space="preserve"> </w:t>
      </w:r>
      <w:r>
        <w:rPr>
          <w:b/>
          <w:spacing w:val="25"/>
        </w:rPr>
        <w:t xml:space="preserve"> </w:t>
      </w:r>
      <w:r>
        <w:rPr>
          <w:b/>
          <w:spacing w:val="2"/>
          <w:w w:val="99"/>
        </w:rPr>
        <w:t>轻度疾</w:t>
      </w:r>
      <w:r>
        <w:rPr>
          <w:b/>
          <w:w w:val="99"/>
        </w:rPr>
        <w:t>病</w:t>
      </w:r>
      <w:r>
        <w:rPr>
          <w:b/>
        </w:rPr>
        <w:tab/>
      </w:r>
      <w:r>
        <w:rPr>
          <w:spacing w:val="-1"/>
          <w:w w:val="99"/>
          <w:position w:val="1"/>
        </w:rPr>
        <w:t>以</w:t>
      </w:r>
      <w:r>
        <w:rPr>
          <w:spacing w:val="2"/>
          <w:w w:val="99"/>
          <w:position w:val="1"/>
        </w:rPr>
        <w:t>下</w:t>
      </w:r>
      <w:r>
        <w:rPr>
          <w:spacing w:val="-1"/>
          <w:w w:val="99"/>
          <w:position w:val="1"/>
        </w:rPr>
        <w:t>第</w:t>
      </w:r>
      <w:r>
        <w:rPr>
          <w:spacing w:val="2"/>
          <w:w w:val="99"/>
          <w:position w:val="1"/>
        </w:rPr>
        <w:t>一</w:t>
      </w:r>
      <w:r>
        <w:rPr>
          <w:spacing w:val="-1"/>
          <w:w w:val="99"/>
          <w:position w:val="1"/>
        </w:rPr>
        <w:t>至</w:t>
      </w:r>
      <w:r>
        <w:rPr>
          <w:spacing w:val="2"/>
          <w:w w:val="99"/>
          <w:position w:val="1"/>
        </w:rPr>
        <w:t>三</w:t>
      </w:r>
      <w:r>
        <w:rPr>
          <w:spacing w:val="-1"/>
          <w:w w:val="99"/>
          <w:position w:val="1"/>
        </w:rPr>
        <w:t>种</w:t>
      </w:r>
      <w:r>
        <w:rPr>
          <w:spacing w:val="2"/>
          <w:w w:val="99"/>
          <w:position w:val="1"/>
        </w:rPr>
        <w:t>轻</w:t>
      </w:r>
      <w:r>
        <w:rPr>
          <w:spacing w:val="-1"/>
          <w:w w:val="99"/>
          <w:position w:val="1"/>
        </w:rPr>
        <w:t>度</w:t>
      </w:r>
      <w:r>
        <w:rPr>
          <w:spacing w:val="2"/>
          <w:w w:val="99"/>
          <w:position w:val="1"/>
        </w:rPr>
        <w:t>疾</w:t>
      </w:r>
      <w:r>
        <w:rPr>
          <w:spacing w:val="-1"/>
          <w:w w:val="99"/>
          <w:position w:val="1"/>
        </w:rPr>
        <w:t>病</w:t>
      </w:r>
      <w:r>
        <w:rPr>
          <w:spacing w:val="2"/>
          <w:w w:val="99"/>
          <w:position w:val="1"/>
        </w:rPr>
        <w:t>为</w:t>
      </w:r>
      <w:r>
        <w:rPr>
          <w:spacing w:val="-1"/>
          <w:w w:val="99"/>
          <w:position w:val="1"/>
        </w:rPr>
        <w:t>规</w:t>
      </w:r>
      <w:r>
        <w:rPr>
          <w:spacing w:val="2"/>
          <w:w w:val="99"/>
          <w:position w:val="1"/>
        </w:rPr>
        <w:t>范</w:t>
      </w:r>
      <w:r>
        <w:rPr>
          <w:spacing w:val="-1"/>
          <w:w w:val="99"/>
          <w:position w:val="1"/>
        </w:rPr>
        <w:t>定</w:t>
      </w:r>
      <w:r>
        <w:rPr>
          <w:spacing w:val="2"/>
          <w:w w:val="99"/>
          <w:position w:val="1"/>
        </w:rPr>
        <w:t>义</w:t>
      </w:r>
      <w:r>
        <w:rPr>
          <w:spacing w:val="-1"/>
          <w:w w:val="99"/>
          <w:position w:val="1"/>
        </w:rPr>
        <w:t>的</w:t>
      </w:r>
      <w:r>
        <w:rPr>
          <w:spacing w:val="2"/>
          <w:w w:val="99"/>
          <w:position w:val="1"/>
        </w:rPr>
        <w:t>轻</w:t>
      </w:r>
      <w:r>
        <w:rPr>
          <w:spacing w:val="-1"/>
          <w:w w:val="99"/>
          <w:position w:val="1"/>
        </w:rPr>
        <w:t>度</w:t>
      </w:r>
      <w:r>
        <w:rPr>
          <w:spacing w:val="2"/>
          <w:w w:val="99"/>
          <w:position w:val="1"/>
        </w:rPr>
        <w:t>疾病</w:t>
      </w:r>
      <w:r>
        <w:rPr>
          <w:spacing w:val="-10"/>
          <w:w w:val="99"/>
          <w:position w:val="1"/>
        </w:rPr>
        <w:t>，</w:t>
      </w:r>
      <w:r>
        <w:rPr>
          <w:spacing w:val="-1"/>
          <w:w w:val="99"/>
          <w:position w:val="1"/>
        </w:rPr>
        <w:t>第</w:t>
      </w:r>
      <w:r>
        <w:rPr>
          <w:spacing w:val="2"/>
          <w:w w:val="99"/>
          <w:position w:val="1"/>
        </w:rPr>
        <w:t>四</w:t>
      </w:r>
      <w:r>
        <w:rPr>
          <w:spacing w:val="-1"/>
          <w:w w:val="99"/>
          <w:position w:val="1"/>
        </w:rPr>
        <w:t>至</w:t>
      </w:r>
      <w:r>
        <w:rPr>
          <w:spacing w:val="2"/>
          <w:w w:val="99"/>
          <w:position w:val="1"/>
        </w:rPr>
        <w:t>五</w:t>
      </w:r>
      <w:r>
        <w:rPr>
          <w:spacing w:val="-1"/>
          <w:w w:val="99"/>
          <w:position w:val="1"/>
        </w:rPr>
        <w:t>十</w:t>
      </w:r>
      <w:r>
        <w:rPr>
          <w:spacing w:val="2"/>
          <w:w w:val="99"/>
          <w:position w:val="1"/>
        </w:rPr>
        <w:t>一</w:t>
      </w:r>
      <w:r>
        <w:rPr>
          <w:spacing w:val="-1"/>
          <w:w w:val="99"/>
          <w:position w:val="1"/>
        </w:rPr>
        <w:t>种</w:t>
      </w:r>
      <w:r>
        <w:rPr>
          <w:spacing w:val="2"/>
          <w:w w:val="99"/>
          <w:position w:val="1"/>
        </w:rPr>
        <w:t>轻</w:t>
      </w:r>
      <w:r>
        <w:rPr>
          <w:spacing w:val="-1"/>
          <w:w w:val="99"/>
          <w:position w:val="1"/>
        </w:rPr>
        <w:t>度</w:t>
      </w:r>
      <w:r>
        <w:rPr>
          <w:spacing w:val="2"/>
          <w:w w:val="99"/>
          <w:position w:val="1"/>
        </w:rPr>
        <w:t>疾</w:t>
      </w:r>
      <w:r>
        <w:rPr>
          <w:spacing w:val="-1"/>
          <w:w w:val="99"/>
          <w:position w:val="1"/>
        </w:rPr>
        <w:t>病</w:t>
      </w:r>
      <w:r>
        <w:rPr>
          <w:spacing w:val="2"/>
          <w:w w:val="99"/>
          <w:position w:val="1"/>
        </w:rPr>
        <w:t>为</w:t>
      </w:r>
      <w:r>
        <w:rPr>
          <w:spacing w:val="-1"/>
          <w:w w:val="99"/>
          <w:position w:val="1"/>
        </w:rPr>
        <w:t>规</w:t>
      </w:r>
      <w:r>
        <w:rPr>
          <w:w w:val="99"/>
          <w:position w:val="1"/>
        </w:rPr>
        <w:t>范</w:t>
      </w:r>
      <w:r>
        <w:rPr>
          <w:spacing w:val="-1"/>
          <w:w w:val="99"/>
        </w:rPr>
        <w:t>定</w:t>
      </w:r>
      <w:r>
        <w:rPr>
          <w:spacing w:val="2"/>
          <w:w w:val="99"/>
        </w:rPr>
        <w:t>义</w:t>
      </w:r>
      <w:r>
        <w:rPr>
          <w:spacing w:val="-1"/>
          <w:w w:val="99"/>
        </w:rPr>
        <w:t>的</w:t>
      </w:r>
      <w:r>
        <w:rPr>
          <w:spacing w:val="2"/>
          <w:w w:val="99"/>
        </w:rPr>
        <w:t>轻</w:t>
      </w:r>
      <w:r>
        <w:rPr>
          <w:spacing w:val="-1"/>
          <w:w w:val="99"/>
        </w:rPr>
        <w:t>度</w:t>
      </w:r>
      <w:r>
        <w:rPr>
          <w:spacing w:val="2"/>
          <w:w w:val="99"/>
        </w:rPr>
        <w:t>疾</w:t>
      </w:r>
      <w:r>
        <w:rPr>
          <w:spacing w:val="-1"/>
          <w:w w:val="99"/>
        </w:rPr>
        <w:t>病</w:t>
      </w:r>
      <w:r>
        <w:rPr>
          <w:spacing w:val="2"/>
          <w:w w:val="99"/>
        </w:rPr>
        <w:t>范</w:t>
      </w:r>
      <w:r>
        <w:rPr>
          <w:spacing w:val="-1"/>
          <w:w w:val="99"/>
        </w:rPr>
        <w:t>围</w:t>
      </w:r>
      <w:r>
        <w:rPr>
          <w:spacing w:val="2"/>
          <w:w w:val="99"/>
        </w:rPr>
        <w:t>之</w:t>
      </w:r>
      <w:r>
        <w:rPr>
          <w:spacing w:val="-1"/>
          <w:w w:val="99"/>
        </w:rPr>
        <w:t>外</w:t>
      </w:r>
      <w:r>
        <w:rPr>
          <w:spacing w:val="2"/>
          <w:w w:val="99"/>
        </w:rPr>
        <w:t>的</w:t>
      </w:r>
      <w:r>
        <w:rPr>
          <w:spacing w:val="-1"/>
          <w:w w:val="99"/>
        </w:rPr>
        <w:t>轻</w:t>
      </w:r>
      <w:r>
        <w:rPr>
          <w:spacing w:val="2"/>
          <w:w w:val="99"/>
        </w:rPr>
        <w:t>度</w:t>
      </w:r>
      <w:r>
        <w:rPr>
          <w:spacing w:val="-1"/>
          <w:w w:val="99"/>
        </w:rPr>
        <w:t>疾</w:t>
      </w:r>
      <w:r>
        <w:rPr>
          <w:spacing w:val="2"/>
          <w:w w:val="99"/>
        </w:rPr>
        <w:t>病</w:t>
      </w:r>
      <w:r>
        <w:rPr>
          <w:w w:val="99"/>
        </w:rPr>
        <w:t>。</w:t>
      </w:r>
    </w:p>
    <w:p>
      <w:pPr>
        <w:pStyle w:val="3"/>
        <w:numPr>
          <w:ilvl w:val="0"/>
          <w:numId w:val="86"/>
        </w:numPr>
        <w:tabs>
          <w:tab w:val="left" w:pos="3014"/>
        </w:tabs>
        <w:spacing w:before="167" w:after="0" w:line="240" w:lineRule="auto"/>
        <w:ind w:left="3013" w:right="0" w:hanging="529"/>
        <w:jc w:val="left"/>
      </w:pPr>
      <w:r>
        <w:rPr>
          <w:spacing w:val="-2"/>
          <w:w w:val="95"/>
        </w:rPr>
        <w:t>恶性肿瘤-轻度：</w:t>
      </w:r>
    </w:p>
    <w:p>
      <w:pPr>
        <w:pStyle w:val="4"/>
        <w:spacing w:before="7"/>
        <w:rPr>
          <w:b/>
          <w:sz w:val="15"/>
        </w:rPr>
      </w:pPr>
    </w:p>
    <w:p>
      <w:pPr>
        <w:pStyle w:val="4"/>
        <w:spacing w:line="278" w:lineRule="auto"/>
        <w:ind w:left="2485" w:right="237"/>
      </w:pPr>
      <w:r>
        <w:rPr>
          <w:spacing w:val="-6"/>
          <w:w w:val="99"/>
        </w:rPr>
        <w:t>指恶性细胞不受控制的进行性增长和扩散，浸润和破坏周围正常组织，可以经血管、</w:t>
      </w:r>
      <w:r>
        <w:rPr>
          <w:spacing w:val="-3"/>
          <w:w w:val="99"/>
        </w:rPr>
        <w:t>淋巴管和体腔扩散转移到身体其它部位，病灶经组织病理学检查</w:t>
      </w:r>
      <w:r>
        <w:rPr>
          <w:spacing w:val="-1"/>
          <w:w w:val="99"/>
        </w:rPr>
        <w:t>（涵盖骨髓病理学</w:t>
      </w:r>
      <w:r>
        <w:rPr>
          <w:spacing w:val="36"/>
          <w:w w:val="99"/>
        </w:rPr>
        <w:t>检查</w:t>
      </w:r>
      <w:r>
        <w:rPr>
          <w:w w:val="99"/>
        </w:rPr>
        <w:t>）</w:t>
      </w:r>
      <w:r>
        <w:rPr>
          <w:spacing w:val="-70"/>
        </w:rPr>
        <w:t xml:space="preserve"> </w:t>
      </w:r>
      <w:r>
        <w:rPr>
          <w:spacing w:val="30"/>
          <w:w w:val="99"/>
        </w:rPr>
        <w:t>结果明确诊断，</w:t>
      </w:r>
      <w:r>
        <w:rPr>
          <w:spacing w:val="-67"/>
        </w:rPr>
        <w:t xml:space="preserve"> </w:t>
      </w:r>
      <w:r>
        <w:rPr>
          <w:spacing w:val="35"/>
          <w:w w:val="99"/>
        </w:rPr>
        <w:t>临床诊断属于世界卫生组织</w:t>
      </w:r>
      <w:r>
        <w:rPr>
          <w:w w:val="99"/>
        </w:rPr>
        <w:t>（</w:t>
      </w:r>
      <w:r>
        <w:rPr>
          <w:spacing w:val="-67"/>
        </w:rPr>
        <w:t xml:space="preserve"> </w:t>
      </w:r>
      <w:r>
        <w:rPr>
          <w:spacing w:val="1"/>
          <w:w w:val="99"/>
        </w:rPr>
        <w:t>WH</w:t>
      </w:r>
      <w:r>
        <w:rPr>
          <w:w w:val="99"/>
        </w:rPr>
        <w:t>O</w:t>
      </w:r>
      <w:r>
        <w:rPr>
          <w:spacing w:val="-71"/>
        </w:rPr>
        <w:t xml:space="preserve"> </w:t>
      </w:r>
      <w:r>
        <w:rPr>
          <w:w w:val="99"/>
        </w:rPr>
        <w:t>，</w:t>
      </w:r>
      <w:r>
        <w:rPr>
          <w:spacing w:val="-67"/>
        </w:rPr>
        <w:t xml:space="preserve"> </w:t>
      </w:r>
      <w:r>
        <w:rPr>
          <w:spacing w:val="1"/>
          <w:w w:val="99"/>
        </w:rPr>
        <w:t>Wo</w:t>
      </w:r>
      <w:r>
        <w:rPr>
          <w:spacing w:val="-2"/>
          <w:w w:val="99"/>
        </w:rPr>
        <w:t>r</w:t>
      </w:r>
      <w:r>
        <w:rPr>
          <w:spacing w:val="1"/>
          <w:w w:val="99"/>
        </w:rPr>
        <w:t>l</w:t>
      </w:r>
      <w:r>
        <w:rPr>
          <w:w w:val="99"/>
        </w:rPr>
        <w:t>d</w:t>
      </w:r>
      <w:r>
        <w:rPr>
          <w:spacing w:val="35"/>
        </w:rPr>
        <w:t xml:space="preserve"> </w:t>
      </w:r>
      <w:r>
        <w:rPr>
          <w:spacing w:val="1"/>
          <w:w w:val="99"/>
        </w:rPr>
        <w:t>He</w:t>
      </w:r>
      <w:r>
        <w:rPr>
          <w:spacing w:val="-2"/>
          <w:w w:val="99"/>
        </w:rPr>
        <w:t>a</w:t>
      </w:r>
      <w:r>
        <w:rPr>
          <w:spacing w:val="1"/>
          <w:w w:val="99"/>
        </w:rPr>
        <w:t>lt</w:t>
      </w:r>
      <w:r>
        <w:rPr>
          <w:w w:val="99"/>
        </w:rPr>
        <w:t xml:space="preserve">h </w:t>
      </w:r>
      <w:r>
        <w:rPr>
          <w:spacing w:val="1"/>
          <w:w w:val="99"/>
        </w:rPr>
        <w:t>Org</w:t>
      </w:r>
      <w:r>
        <w:rPr>
          <w:spacing w:val="-2"/>
          <w:w w:val="99"/>
        </w:rPr>
        <w:t>a</w:t>
      </w:r>
      <w:r>
        <w:rPr>
          <w:spacing w:val="1"/>
          <w:w w:val="99"/>
        </w:rPr>
        <w:t>niz</w:t>
      </w:r>
      <w:r>
        <w:rPr>
          <w:spacing w:val="-2"/>
          <w:w w:val="99"/>
        </w:rPr>
        <w:t>a</w:t>
      </w:r>
      <w:r>
        <w:rPr>
          <w:spacing w:val="1"/>
          <w:w w:val="99"/>
        </w:rPr>
        <w:t>tion</w:t>
      </w:r>
      <w:r>
        <w:rPr>
          <w:spacing w:val="-101"/>
          <w:w w:val="99"/>
        </w:rPr>
        <w:t>）</w:t>
      </w:r>
      <w:r>
        <w:rPr>
          <w:spacing w:val="2"/>
          <w:w w:val="99"/>
        </w:rPr>
        <w:t>《疾病和有关健康问题的国际统计分类》第十次修订版</w:t>
      </w:r>
      <w:r>
        <w:rPr>
          <w:spacing w:val="4"/>
          <w:w w:val="99"/>
        </w:rPr>
        <w:t>（</w:t>
      </w:r>
      <w:r>
        <w:rPr>
          <w:spacing w:val="1"/>
          <w:w w:val="99"/>
        </w:rPr>
        <w:t>ICD</w:t>
      </w:r>
      <w:r>
        <w:rPr>
          <w:spacing w:val="-2"/>
          <w:w w:val="99"/>
        </w:rPr>
        <w:t>-</w:t>
      </w:r>
      <w:r>
        <w:rPr>
          <w:spacing w:val="1"/>
          <w:w w:val="99"/>
        </w:rPr>
        <w:t>1</w:t>
      </w:r>
      <w:r>
        <w:rPr>
          <w:spacing w:val="3"/>
          <w:w w:val="99"/>
        </w:rPr>
        <w:t>0</w:t>
      </w:r>
      <w:r>
        <w:rPr>
          <w:w w:val="99"/>
        </w:rPr>
        <w:t>）</w:t>
      </w:r>
      <w:r>
        <w:rPr>
          <w:spacing w:val="2"/>
          <w:w w:val="99"/>
        </w:rPr>
        <w:t>的恶性肿瘤类别及《国际疾病分类肿瘤学专辑》第三版</w:t>
      </w:r>
      <w:r>
        <w:rPr>
          <w:spacing w:val="4"/>
          <w:w w:val="99"/>
        </w:rPr>
        <w:t>（</w:t>
      </w:r>
      <w:r>
        <w:rPr>
          <w:spacing w:val="1"/>
          <w:w w:val="99"/>
        </w:rPr>
        <w:t>ICD</w:t>
      </w:r>
      <w:r>
        <w:rPr>
          <w:spacing w:val="-2"/>
          <w:w w:val="99"/>
        </w:rPr>
        <w:t>-</w:t>
      </w:r>
      <w:r>
        <w:rPr>
          <w:spacing w:val="1"/>
          <w:w w:val="99"/>
        </w:rPr>
        <w:t>O-</w:t>
      </w:r>
      <w:r>
        <w:rPr>
          <w:spacing w:val="3"/>
          <w:w w:val="99"/>
        </w:rPr>
        <w:t>3</w:t>
      </w:r>
      <w:r>
        <w:rPr>
          <w:spacing w:val="4"/>
          <w:w w:val="99"/>
        </w:rPr>
        <w:t>）</w:t>
      </w:r>
      <w:r>
        <w:rPr>
          <w:spacing w:val="1"/>
          <w:w w:val="99"/>
        </w:rPr>
        <w:t>的肿瘤形态学</w:t>
      </w:r>
      <w:r>
        <w:rPr>
          <w:w w:val="99"/>
        </w:rPr>
        <w:t>编码属于</w:t>
      </w:r>
      <w:r>
        <w:rPr>
          <w:spacing w:val="-53"/>
        </w:rPr>
        <w:t xml:space="preserve"> </w:t>
      </w:r>
      <w:r>
        <w:rPr>
          <w:spacing w:val="1"/>
          <w:w w:val="99"/>
        </w:rPr>
        <w:t>3</w:t>
      </w:r>
      <w:r>
        <w:rPr>
          <w:spacing w:val="-8"/>
          <w:w w:val="99"/>
        </w:rPr>
        <w:t>、</w:t>
      </w:r>
      <w:r>
        <w:rPr>
          <w:spacing w:val="-2"/>
          <w:w w:val="99"/>
        </w:rPr>
        <w:t>6</w:t>
      </w:r>
      <w:r>
        <w:rPr>
          <w:spacing w:val="-8"/>
          <w:w w:val="99"/>
        </w:rPr>
        <w:t>、</w:t>
      </w:r>
      <w:r>
        <w:rPr>
          <w:spacing w:val="-7"/>
          <w:w w:val="99"/>
        </w:rPr>
        <w:t>9</w:t>
      </w:r>
      <w:r>
        <w:rPr>
          <w:spacing w:val="-1"/>
          <w:w w:val="99"/>
        </w:rPr>
        <w:t>（恶性肿瘤</w:t>
      </w:r>
      <w:r>
        <w:rPr>
          <w:spacing w:val="-8"/>
          <w:w w:val="99"/>
        </w:rPr>
        <w:t>）</w:t>
      </w:r>
      <w:r>
        <w:rPr>
          <w:spacing w:val="-2"/>
          <w:w w:val="99"/>
        </w:rPr>
        <w:t>范畴，但不在</w:t>
      </w:r>
      <w:r>
        <w:rPr>
          <w:spacing w:val="-7"/>
        </w:rPr>
        <w:t xml:space="preserve"> </w:t>
      </w:r>
      <w:r>
        <w:rPr>
          <w:spacing w:val="-2"/>
          <w:w w:val="99"/>
        </w:rPr>
        <w:t>“恶性肿瘤-重度”保障范围的疾病。</w:t>
      </w:r>
      <w:r>
        <w:rPr>
          <w:spacing w:val="-1"/>
          <w:w w:val="99"/>
        </w:rPr>
        <w:t>且特指下列六项之一：</w:t>
      </w:r>
    </w:p>
    <w:p>
      <w:pPr>
        <w:pStyle w:val="9"/>
        <w:numPr>
          <w:ilvl w:val="0"/>
          <w:numId w:val="87"/>
        </w:numPr>
        <w:tabs>
          <w:tab w:val="left" w:pos="3205"/>
          <w:tab w:val="left" w:pos="3206"/>
        </w:tabs>
        <w:spacing w:before="155" w:after="0" w:line="240" w:lineRule="auto"/>
        <w:ind w:left="3205" w:right="0" w:hanging="721"/>
        <w:jc w:val="left"/>
        <w:rPr>
          <w:sz w:val="21"/>
        </w:rPr>
      </w:pPr>
      <w:r>
        <w:rPr>
          <w:w w:val="95"/>
          <w:sz w:val="21"/>
        </w:rPr>
        <w:t>TNM</w:t>
      </w:r>
      <w:r>
        <w:rPr>
          <w:spacing w:val="49"/>
          <w:sz w:val="21"/>
        </w:rPr>
        <w:t xml:space="preserve"> </w:t>
      </w:r>
      <w:r>
        <w:rPr>
          <w:spacing w:val="-1"/>
          <w:w w:val="95"/>
          <w:sz w:val="21"/>
        </w:rPr>
        <w:t>分期为Ⅰ期的甲状腺癌；</w:t>
      </w:r>
    </w:p>
    <w:p>
      <w:pPr>
        <w:pStyle w:val="4"/>
        <w:spacing w:before="7"/>
        <w:rPr>
          <w:sz w:val="15"/>
        </w:rPr>
      </w:pPr>
    </w:p>
    <w:p>
      <w:pPr>
        <w:pStyle w:val="9"/>
        <w:numPr>
          <w:ilvl w:val="0"/>
          <w:numId w:val="87"/>
        </w:numPr>
        <w:tabs>
          <w:tab w:val="left" w:pos="3205"/>
          <w:tab w:val="left" w:pos="3206"/>
        </w:tabs>
        <w:spacing w:before="0" w:after="0" w:line="240" w:lineRule="auto"/>
        <w:ind w:left="3205" w:right="0" w:hanging="721"/>
        <w:jc w:val="left"/>
        <w:rPr>
          <w:sz w:val="21"/>
        </w:rPr>
      </w:pPr>
      <w:r>
        <w:rPr>
          <w:w w:val="95"/>
          <w:sz w:val="21"/>
        </w:rPr>
        <w:t>TNM</w:t>
      </w:r>
      <w:r>
        <w:rPr>
          <w:spacing w:val="-3"/>
          <w:w w:val="95"/>
          <w:sz w:val="21"/>
        </w:rPr>
        <w:t xml:space="preserve"> 分期为 </w:t>
      </w:r>
      <w:r>
        <w:rPr>
          <w:w w:val="95"/>
          <w:sz w:val="21"/>
        </w:rPr>
        <w:t>T1N0M0</w:t>
      </w:r>
      <w:r>
        <w:rPr>
          <w:spacing w:val="-4"/>
          <w:w w:val="95"/>
          <w:sz w:val="21"/>
        </w:rPr>
        <w:t xml:space="preserve"> 期的前列腺癌；</w:t>
      </w:r>
    </w:p>
    <w:p>
      <w:pPr>
        <w:pStyle w:val="4"/>
        <w:spacing w:before="7"/>
        <w:rPr>
          <w:sz w:val="15"/>
        </w:rPr>
      </w:pPr>
    </w:p>
    <w:p>
      <w:pPr>
        <w:pStyle w:val="9"/>
        <w:numPr>
          <w:ilvl w:val="0"/>
          <w:numId w:val="87"/>
        </w:numPr>
        <w:tabs>
          <w:tab w:val="left" w:pos="3205"/>
          <w:tab w:val="left" w:pos="3206"/>
        </w:tabs>
        <w:spacing w:before="0" w:after="0" w:line="240" w:lineRule="auto"/>
        <w:ind w:left="3205" w:right="0" w:hanging="721"/>
        <w:jc w:val="left"/>
        <w:rPr>
          <w:sz w:val="21"/>
        </w:rPr>
      </w:pPr>
      <w:r>
        <w:rPr>
          <w:spacing w:val="-1"/>
          <w:w w:val="95"/>
          <w:sz w:val="21"/>
        </w:rPr>
        <w:t>黑色素瘤以外的未发生淋巴结和远处转移的皮肤恶性肿瘤；</w:t>
      </w:r>
    </w:p>
    <w:p>
      <w:pPr>
        <w:pStyle w:val="4"/>
        <w:spacing w:before="6"/>
        <w:rPr>
          <w:sz w:val="15"/>
        </w:rPr>
      </w:pPr>
    </w:p>
    <w:p>
      <w:pPr>
        <w:pStyle w:val="9"/>
        <w:numPr>
          <w:ilvl w:val="0"/>
          <w:numId w:val="87"/>
        </w:numPr>
        <w:tabs>
          <w:tab w:val="left" w:pos="3205"/>
          <w:tab w:val="left" w:pos="3206"/>
        </w:tabs>
        <w:spacing w:before="1" w:after="0" w:line="240" w:lineRule="auto"/>
        <w:ind w:left="3205" w:right="0" w:hanging="721"/>
        <w:jc w:val="left"/>
        <w:rPr>
          <w:sz w:val="21"/>
        </w:rPr>
      </w:pPr>
      <w:r>
        <w:rPr>
          <w:w w:val="95"/>
          <w:sz w:val="21"/>
        </w:rPr>
        <w:t>相当于</w:t>
      </w:r>
      <w:r>
        <w:rPr>
          <w:spacing w:val="-5"/>
          <w:sz w:val="21"/>
        </w:rPr>
        <w:t xml:space="preserve"> </w:t>
      </w:r>
      <w:r>
        <w:rPr>
          <w:w w:val="95"/>
          <w:sz w:val="21"/>
        </w:rPr>
        <w:t>Binet</w:t>
      </w:r>
      <w:r>
        <w:rPr>
          <w:spacing w:val="-2"/>
          <w:sz w:val="21"/>
        </w:rPr>
        <w:t xml:space="preserve"> </w:t>
      </w:r>
      <w:r>
        <w:rPr>
          <w:w w:val="95"/>
          <w:sz w:val="21"/>
        </w:rPr>
        <w:t>分期方案</w:t>
      </w:r>
      <w:r>
        <w:rPr>
          <w:spacing w:val="2"/>
          <w:sz w:val="21"/>
        </w:rPr>
        <w:t xml:space="preserve"> </w:t>
      </w:r>
      <w:r>
        <w:rPr>
          <w:w w:val="95"/>
          <w:sz w:val="21"/>
        </w:rPr>
        <w:t>A</w:t>
      </w:r>
      <w:r>
        <w:rPr>
          <w:spacing w:val="-2"/>
          <w:sz w:val="21"/>
        </w:rPr>
        <w:t xml:space="preserve"> </w:t>
      </w:r>
      <w:r>
        <w:rPr>
          <w:spacing w:val="-1"/>
          <w:w w:val="95"/>
          <w:sz w:val="21"/>
        </w:rPr>
        <w:t>期程度的慢性淋巴细胞白血病；</w:t>
      </w:r>
    </w:p>
    <w:p>
      <w:pPr>
        <w:pStyle w:val="4"/>
        <w:spacing w:before="6"/>
        <w:rPr>
          <w:sz w:val="15"/>
        </w:rPr>
      </w:pPr>
    </w:p>
    <w:p>
      <w:pPr>
        <w:pStyle w:val="9"/>
        <w:numPr>
          <w:ilvl w:val="0"/>
          <w:numId w:val="87"/>
        </w:numPr>
        <w:tabs>
          <w:tab w:val="left" w:pos="3205"/>
          <w:tab w:val="left" w:pos="3206"/>
        </w:tabs>
        <w:spacing w:before="0" w:after="0" w:line="240" w:lineRule="auto"/>
        <w:ind w:left="3205" w:right="0" w:hanging="721"/>
        <w:jc w:val="left"/>
        <w:rPr>
          <w:sz w:val="21"/>
        </w:rPr>
      </w:pPr>
      <w:r>
        <w:rPr>
          <w:spacing w:val="-1"/>
          <w:w w:val="95"/>
          <w:sz w:val="21"/>
        </w:rPr>
        <w:t xml:space="preserve">相当于 </w:t>
      </w:r>
      <w:r>
        <w:rPr>
          <w:w w:val="95"/>
          <w:sz w:val="21"/>
        </w:rPr>
        <w:t>Ann</w:t>
      </w:r>
      <w:r>
        <w:rPr>
          <w:spacing w:val="40"/>
          <w:w w:val="150"/>
          <w:sz w:val="21"/>
        </w:rPr>
        <w:t xml:space="preserve"> </w:t>
      </w:r>
      <w:r>
        <w:rPr>
          <w:w w:val="95"/>
          <w:sz w:val="21"/>
        </w:rPr>
        <w:t>Arbor</w:t>
      </w:r>
      <w:r>
        <w:rPr>
          <w:spacing w:val="-4"/>
          <w:sz w:val="21"/>
        </w:rPr>
        <w:t xml:space="preserve"> </w:t>
      </w:r>
      <w:r>
        <w:rPr>
          <w:spacing w:val="-1"/>
          <w:w w:val="95"/>
          <w:sz w:val="21"/>
        </w:rPr>
        <w:t>分期方案Ⅰ期程度的何杰金氏病；</w:t>
      </w:r>
    </w:p>
    <w:p>
      <w:pPr>
        <w:pStyle w:val="4"/>
        <w:spacing w:before="7"/>
        <w:rPr>
          <w:sz w:val="15"/>
        </w:rPr>
      </w:pPr>
    </w:p>
    <w:p>
      <w:pPr>
        <w:pStyle w:val="9"/>
        <w:numPr>
          <w:ilvl w:val="0"/>
          <w:numId w:val="87"/>
        </w:numPr>
        <w:tabs>
          <w:tab w:val="left" w:pos="3205"/>
          <w:tab w:val="left" w:pos="3206"/>
        </w:tabs>
        <w:spacing w:before="0" w:after="0" w:line="278" w:lineRule="auto"/>
        <w:ind w:left="3205" w:right="347" w:hanging="720"/>
        <w:jc w:val="left"/>
        <w:rPr>
          <w:sz w:val="21"/>
        </w:rPr>
      </w:pPr>
      <w:r>
        <w:rPr>
          <w:w w:val="95"/>
          <w:sz w:val="21"/>
        </w:rPr>
        <w:t xml:space="preserve">未发生淋巴结和远处转移且 WHO 分级为 G1 级别（核分裂像＜10/50HPF 和 </w:t>
      </w:r>
      <w:r>
        <w:rPr>
          <w:spacing w:val="-2"/>
          <w:sz w:val="21"/>
        </w:rPr>
        <w:t>ki-67≤2%）的神经内分泌肿瘤。</w:t>
      </w:r>
    </w:p>
    <w:p>
      <w:pPr>
        <w:pStyle w:val="4"/>
        <w:rPr>
          <w:sz w:val="12"/>
        </w:rPr>
      </w:pPr>
    </w:p>
    <w:tbl>
      <w:tblPr>
        <w:tblStyle w:val="6"/>
        <w:tblW w:w="0" w:type="auto"/>
        <w:tblInd w:w="24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30"/>
        <w:gridCol w:w="210"/>
        <w:gridCol w:w="1785"/>
        <w:gridCol w:w="2205"/>
        <w:gridCol w:w="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4725" w:type="dxa"/>
            <w:gridSpan w:val="3"/>
            <w:tcBorders>
              <w:bottom w:val="single" w:color="FFFFFF" w:sz="18" w:space="0"/>
            </w:tcBorders>
            <w:shd w:val="clear" w:color="auto" w:fill="E4E4E4"/>
          </w:tcPr>
          <w:p>
            <w:pPr>
              <w:pStyle w:val="10"/>
              <w:spacing w:before="2" w:line="247" w:lineRule="exact"/>
              <w:rPr>
                <w:sz w:val="21"/>
              </w:rPr>
            </w:pPr>
            <w:r>
              <w:rPr>
                <w:w w:val="95"/>
                <w:sz w:val="21"/>
              </w:rPr>
              <w:t>下列疾病不属于恶性肿瘤</w:t>
            </w:r>
            <w:r>
              <w:rPr>
                <w:spacing w:val="-1"/>
                <w:w w:val="95"/>
                <w:sz w:val="21"/>
              </w:rPr>
              <w:t>-轻度，不在保障范围内：</w:t>
            </w:r>
          </w:p>
        </w:tc>
        <w:tc>
          <w:tcPr>
            <w:tcW w:w="2826" w:type="dxa"/>
            <w:gridSpan w:val="2"/>
            <w:tcBorders>
              <w:bottom w:val="single" w:color="FFFFFF" w:sz="18" w:space="0"/>
            </w:tcBorders>
          </w:tcPr>
          <w:p>
            <w:pPr>
              <w:pStyle w:val="10"/>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551" w:type="dxa"/>
            <w:gridSpan w:val="5"/>
            <w:tcBorders>
              <w:top w:val="single" w:color="FFFFFF" w:sz="18" w:space="0"/>
              <w:bottom w:val="single" w:color="FFFFFF" w:sz="18" w:space="0"/>
            </w:tcBorders>
            <w:shd w:val="clear" w:color="auto" w:fill="E4E4E4"/>
          </w:tcPr>
          <w:p>
            <w:pPr>
              <w:pStyle w:val="10"/>
              <w:spacing w:line="247" w:lineRule="exact"/>
              <w:rPr>
                <w:sz w:val="21"/>
              </w:rPr>
            </w:pPr>
            <w:r>
              <w:rPr>
                <w:w w:val="95"/>
                <w:sz w:val="21"/>
              </w:rPr>
              <w:t>ICD-O-3</w:t>
            </w:r>
            <w:r>
              <w:rPr>
                <w:spacing w:val="16"/>
                <w:sz w:val="21"/>
              </w:rPr>
              <w:t xml:space="preserve">  </w:t>
            </w:r>
            <w:r>
              <w:rPr>
                <w:w w:val="95"/>
                <w:sz w:val="21"/>
              </w:rPr>
              <w:t>肿瘤形态学编码属于</w:t>
            </w:r>
            <w:r>
              <w:rPr>
                <w:spacing w:val="26"/>
                <w:sz w:val="21"/>
              </w:rPr>
              <w:t xml:space="preserve">  </w:t>
            </w:r>
            <w:r>
              <w:rPr>
                <w:w w:val="95"/>
                <w:sz w:val="21"/>
              </w:rPr>
              <w:t>0（良性肿瘤</w:t>
            </w:r>
            <w:r>
              <w:rPr>
                <w:spacing w:val="-101"/>
                <w:w w:val="95"/>
                <w:sz w:val="21"/>
              </w:rPr>
              <w:t>）</w:t>
            </w:r>
            <w:r>
              <w:rPr>
                <w:w w:val="95"/>
                <w:sz w:val="21"/>
              </w:rPr>
              <w:t>、1（动态未定性肿瘤</w:t>
            </w:r>
            <w:r>
              <w:rPr>
                <w:spacing w:val="-101"/>
                <w:w w:val="95"/>
                <w:sz w:val="21"/>
              </w:rPr>
              <w:t>）</w:t>
            </w:r>
            <w:r>
              <w:rPr>
                <w:w w:val="95"/>
                <w:sz w:val="21"/>
              </w:rPr>
              <w:t>、2（原位癌</w:t>
            </w:r>
            <w:r>
              <w:rPr>
                <w:spacing w:val="-10"/>
                <w:w w:val="95"/>
                <w:sz w:val="21"/>
              </w:rPr>
              <w:t>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2940" w:type="dxa"/>
            <w:gridSpan w:val="2"/>
            <w:tcBorders>
              <w:top w:val="single" w:color="FFFFFF" w:sz="18" w:space="0"/>
              <w:bottom w:val="single" w:color="FFFFFF" w:sz="18" w:space="0"/>
            </w:tcBorders>
            <w:shd w:val="clear" w:color="auto" w:fill="E4E4E4"/>
          </w:tcPr>
          <w:p>
            <w:pPr>
              <w:pStyle w:val="10"/>
              <w:spacing w:line="247" w:lineRule="exact"/>
              <w:rPr>
                <w:sz w:val="21"/>
              </w:rPr>
            </w:pPr>
            <w:r>
              <w:rPr>
                <w:w w:val="95"/>
                <w:sz w:val="21"/>
              </w:rPr>
              <w:t>非侵袭性癌）</w:t>
            </w:r>
            <w:r>
              <w:rPr>
                <w:spacing w:val="-2"/>
                <w:w w:val="95"/>
                <w:sz w:val="21"/>
              </w:rPr>
              <w:t>范畴的疾病，如：</w:t>
            </w:r>
          </w:p>
        </w:tc>
        <w:tc>
          <w:tcPr>
            <w:tcW w:w="4611" w:type="dxa"/>
            <w:gridSpan w:val="3"/>
            <w:tcBorders>
              <w:top w:val="single" w:color="FFFFFF" w:sz="18" w:space="0"/>
              <w:bottom w:val="single" w:color="FFFFFF" w:sz="18" w:space="0"/>
            </w:tcBorders>
          </w:tcPr>
          <w:p>
            <w:pPr>
              <w:pStyle w:val="10"/>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51" w:type="dxa"/>
            <w:gridSpan w:val="5"/>
            <w:tcBorders>
              <w:top w:val="single" w:color="FFFFFF" w:sz="18" w:space="0"/>
              <w:bottom w:val="single" w:color="FFFFFF" w:sz="18" w:space="0"/>
            </w:tcBorders>
            <w:shd w:val="clear" w:color="auto" w:fill="E4E4E4"/>
          </w:tcPr>
          <w:p>
            <w:pPr>
              <w:pStyle w:val="10"/>
              <w:spacing w:line="247" w:lineRule="exact"/>
              <w:rPr>
                <w:sz w:val="21"/>
              </w:rPr>
            </w:pPr>
            <w:r>
              <w:rPr>
                <w:w w:val="95"/>
                <w:sz w:val="21"/>
              </w:rPr>
              <w:t>a</w:t>
            </w:r>
            <w:r>
              <w:rPr>
                <w:spacing w:val="-1"/>
                <w:w w:val="95"/>
                <w:sz w:val="21"/>
              </w:rPr>
              <w:t>.原位癌，癌前病变，非浸润性癌，非侵袭性癌，肿瘤细胞未侵犯基底层，上皮内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2730" w:type="dxa"/>
            <w:tcBorders>
              <w:top w:val="single" w:color="FFFFFF" w:sz="18" w:space="0"/>
              <w:bottom w:val="single" w:color="FFFFFF" w:sz="18" w:space="0"/>
            </w:tcBorders>
            <w:shd w:val="clear" w:color="auto" w:fill="E4E4E4"/>
          </w:tcPr>
          <w:p>
            <w:pPr>
              <w:pStyle w:val="10"/>
              <w:spacing w:line="247" w:lineRule="exact"/>
              <w:rPr>
                <w:sz w:val="21"/>
              </w:rPr>
            </w:pPr>
            <w:r>
              <w:rPr>
                <w:spacing w:val="-1"/>
                <w:w w:val="95"/>
                <w:sz w:val="21"/>
              </w:rPr>
              <w:t>瘤变，细胞不典型性增生等；</w:t>
            </w:r>
          </w:p>
        </w:tc>
        <w:tc>
          <w:tcPr>
            <w:tcW w:w="4821" w:type="dxa"/>
            <w:gridSpan w:val="4"/>
            <w:tcBorders>
              <w:top w:val="single" w:color="FFFFFF" w:sz="18" w:space="0"/>
              <w:bottom w:val="single" w:color="FFFFFF" w:sz="18" w:space="0"/>
            </w:tcBorders>
          </w:tcPr>
          <w:p>
            <w:pPr>
              <w:pStyle w:val="10"/>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930" w:type="dxa"/>
            <w:gridSpan w:val="4"/>
            <w:tcBorders>
              <w:top w:val="single" w:color="FFFFFF" w:sz="18" w:space="0"/>
            </w:tcBorders>
            <w:shd w:val="clear" w:color="auto" w:fill="E4E4E4"/>
          </w:tcPr>
          <w:p>
            <w:pPr>
              <w:pStyle w:val="10"/>
              <w:spacing w:line="250" w:lineRule="exact"/>
              <w:rPr>
                <w:sz w:val="21"/>
              </w:rPr>
            </w:pPr>
            <w:r>
              <w:rPr>
                <w:w w:val="95"/>
                <w:sz w:val="21"/>
              </w:rPr>
              <w:t>b</w:t>
            </w:r>
            <w:r>
              <w:rPr>
                <w:spacing w:val="-1"/>
                <w:w w:val="95"/>
                <w:sz w:val="21"/>
              </w:rPr>
              <w:t>.交界性肿瘤，交界恶性肿瘤，肿瘤低度恶性潜能，潜在低度恶性肿瘤等。</w:t>
            </w:r>
          </w:p>
        </w:tc>
        <w:tc>
          <w:tcPr>
            <w:tcW w:w="621" w:type="dxa"/>
            <w:tcBorders>
              <w:top w:val="single" w:color="FFFFFF" w:sz="18" w:space="0"/>
            </w:tcBorders>
          </w:tcPr>
          <w:p>
            <w:pPr>
              <w:pStyle w:val="10"/>
              <w:ind w:left="0"/>
              <w:rPr>
                <w:rFonts w:ascii="Times New Roman"/>
                <w:sz w:val="18"/>
              </w:rPr>
            </w:pPr>
          </w:p>
        </w:tc>
      </w:tr>
    </w:tbl>
    <w:p>
      <w:pPr>
        <w:pStyle w:val="4"/>
        <w:spacing w:before="9"/>
        <w:rPr>
          <w:sz w:val="15"/>
        </w:rPr>
      </w:pPr>
    </w:p>
    <w:p>
      <w:pPr>
        <w:pStyle w:val="3"/>
        <w:numPr>
          <w:ilvl w:val="0"/>
          <w:numId w:val="86"/>
        </w:numPr>
        <w:tabs>
          <w:tab w:val="left" w:pos="3014"/>
        </w:tabs>
        <w:spacing w:before="0" w:after="0" w:line="240" w:lineRule="auto"/>
        <w:ind w:left="3013" w:right="0" w:hanging="529"/>
        <w:jc w:val="left"/>
      </w:pPr>
      <w:r>
        <w:rPr>
          <w:spacing w:val="-2"/>
          <w:w w:val="95"/>
        </w:rPr>
        <w:t>较轻急性心肌梗死：</w:t>
      </w:r>
    </w:p>
    <w:p>
      <w:pPr>
        <w:pStyle w:val="4"/>
        <w:spacing w:before="6"/>
        <w:rPr>
          <w:b/>
          <w:sz w:val="15"/>
        </w:rPr>
      </w:pPr>
    </w:p>
    <w:p>
      <w:pPr>
        <w:pStyle w:val="4"/>
        <w:spacing w:before="1" w:line="278" w:lineRule="auto"/>
        <w:ind w:left="2485" w:right="347"/>
        <w:jc w:val="both"/>
      </w:pPr>
      <w:r>
        <w:rPr>
          <w:spacing w:val="4"/>
          <w:w w:val="99"/>
        </w:rPr>
        <w:t>急性心肌梗死指由于冠状动脉闭塞或梗阻引起部分心肌严重的持久性缺血造成急</w:t>
      </w:r>
      <w:r>
        <w:rPr>
          <w:spacing w:val="2"/>
          <w:w w:val="99"/>
        </w:rPr>
        <w:t>性心肌坏死。急性心肌梗死的诊断必须依据国际国内诊断标准，符合（</w:t>
      </w:r>
      <w:r>
        <w:rPr>
          <w:spacing w:val="3"/>
          <w:w w:val="99"/>
        </w:rPr>
        <w:t>1</w:t>
      </w:r>
      <w:r>
        <w:rPr>
          <w:spacing w:val="4"/>
          <w:w w:val="99"/>
        </w:rPr>
        <w:t>）</w:t>
      </w:r>
      <w:r>
        <w:rPr>
          <w:spacing w:val="2"/>
          <w:w w:val="99"/>
        </w:rPr>
        <w:t>检测到肌酸激酶同工酶（</w:t>
      </w:r>
      <w:r>
        <w:rPr>
          <w:spacing w:val="1"/>
          <w:w w:val="99"/>
        </w:rPr>
        <w:t>CK-</w:t>
      </w:r>
      <w:r>
        <w:rPr>
          <w:spacing w:val="-2"/>
          <w:w w:val="99"/>
        </w:rPr>
        <w:t>M</w:t>
      </w:r>
      <w:r>
        <w:rPr>
          <w:spacing w:val="3"/>
          <w:w w:val="99"/>
        </w:rPr>
        <w:t>B</w:t>
      </w:r>
      <w:r>
        <w:rPr>
          <w:spacing w:val="4"/>
          <w:w w:val="99"/>
        </w:rPr>
        <w:t>）</w:t>
      </w:r>
      <w:r>
        <w:rPr>
          <w:spacing w:val="2"/>
          <w:w w:val="99"/>
        </w:rPr>
        <w:t>或肌钙蛋白</w:t>
      </w:r>
      <w:r>
        <w:rPr>
          <w:spacing w:val="4"/>
          <w:w w:val="99"/>
        </w:rPr>
        <w:t>（</w:t>
      </w:r>
      <w:r>
        <w:rPr>
          <w:spacing w:val="1"/>
          <w:w w:val="99"/>
        </w:rPr>
        <w:t>cT</w:t>
      </w:r>
      <w:r>
        <w:rPr>
          <w:spacing w:val="3"/>
          <w:w w:val="99"/>
        </w:rPr>
        <w:t>n</w:t>
      </w:r>
      <w:r>
        <w:rPr>
          <w:spacing w:val="4"/>
          <w:w w:val="99"/>
        </w:rPr>
        <w:t>）</w:t>
      </w:r>
      <w:r>
        <w:rPr>
          <w:spacing w:val="1"/>
          <w:w w:val="99"/>
        </w:rPr>
        <w:t>升高和/或降低的动态变化，至少一</w:t>
      </w:r>
      <w:r>
        <w:rPr>
          <w:spacing w:val="-7"/>
          <w:w w:val="99"/>
        </w:rPr>
        <w:t>次达到或超过心肌梗死的临床诊断标准；</w:t>
      </w:r>
      <w:r>
        <w:rPr>
          <w:spacing w:val="-1"/>
          <w:w w:val="99"/>
        </w:rPr>
        <w:t>（</w:t>
      </w:r>
      <w:r>
        <w:rPr>
          <w:spacing w:val="-2"/>
          <w:w w:val="99"/>
        </w:rPr>
        <w:t>2</w:t>
      </w:r>
      <w:r>
        <w:rPr>
          <w:spacing w:val="-1"/>
          <w:w w:val="99"/>
        </w:rPr>
        <w:t>）</w:t>
      </w:r>
      <w:r>
        <w:rPr>
          <w:spacing w:val="-3"/>
          <w:w w:val="99"/>
        </w:rPr>
        <w:t>同时存在下列之一的证据，包括：缺血性胸痛症状、新发生的缺血性心电图改变、新生成的病理性</w:t>
      </w:r>
      <w:r>
        <w:rPr>
          <w:spacing w:val="-50"/>
        </w:rPr>
        <w:t xml:space="preserve"> </w:t>
      </w:r>
      <w:r>
        <w:rPr>
          <w:w w:val="99"/>
        </w:rPr>
        <w:t>Q</w:t>
      </w:r>
      <w:r>
        <w:rPr>
          <w:spacing w:val="-52"/>
        </w:rPr>
        <w:t xml:space="preserve"> </w:t>
      </w:r>
      <w:r>
        <w:rPr>
          <w:spacing w:val="-1"/>
          <w:w w:val="99"/>
        </w:rPr>
        <w:t>波、影像学证据显</w:t>
      </w:r>
      <w:r>
        <w:rPr>
          <w:spacing w:val="-2"/>
          <w:w w:val="99"/>
        </w:rPr>
        <w:t>示有新出现的心肌活性丧失或新出现局部室壁运动异常、冠脉造影证实存在冠状动</w:t>
      </w:r>
      <w:r>
        <w:rPr>
          <w:spacing w:val="-1"/>
          <w:w w:val="99"/>
        </w:rPr>
        <w:t>脉血栓。</w:t>
      </w:r>
    </w:p>
    <w:p>
      <w:pPr>
        <w:pStyle w:val="4"/>
        <w:spacing w:line="278" w:lineRule="auto"/>
        <w:ind w:left="2485" w:right="350"/>
      </w:pPr>
      <w:r>
        <w:rPr>
          <w:spacing w:val="-3"/>
          <w:w w:val="99"/>
        </w:rPr>
        <w:t>较轻急性心肌梗死指依照上述标准被明确诊断为急性心肌梗死，但未达到“较重急</w:t>
      </w:r>
      <w:r>
        <w:rPr>
          <w:spacing w:val="-1"/>
          <w:w w:val="99"/>
        </w:rPr>
        <w:t>性心肌梗死”的给付标准。</w:t>
      </w:r>
    </w:p>
    <w:tbl>
      <w:tblPr>
        <w:tblStyle w:val="6"/>
        <w:tblW w:w="0" w:type="auto"/>
        <w:tblInd w:w="24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570"/>
        <w:gridCol w:w="3255"/>
        <w:gridCol w:w="7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825" w:type="dxa"/>
            <w:gridSpan w:val="2"/>
            <w:tcBorders>
              <w:bottom w:val="single" w:color="FFFFFF" w:sz="18" w:space="0"/>
            </w:tcBorders>
            <w:shd w:val="clear" w:color="auto" w:fill="E4E4E4"/>
          </w:tcPr>
          <w:p>
            <w:pPr>
              <w:pStyle w:val="10"/>
              <w:spacing w:line="250" w:lineRule="exact"/>
              <w:rPr>
                <w:sz w:val="21"/>
              </w:rPr>
            </w:pPr>
            <w:r>
              <w:rPr>
                <w:w w:val="95"/>
                <w:sz w:val="21"/>
              </w:rPr>
              <w:t>其他非冠状动脉阻塞性疾病引起的肌钙蛋白（cTn）</w:t>
            </w:r>
            <w:r>
              <w:rPr>
                <w:spacing w:val="-1"/>
                <w:w w:val="95"/>
                <w:sz w:val="21"/>
              </w:rPr>
              <w:t>升高不在保障范围内。</w:t>
            </w:r>
          </w:p>
        </w:tc>
        <w:tc>
          <w:tcPr>
            <w:tcW w:w="724" w:type="dxa"/>
            <w:tcBorders>
              <w:bottom w:val="single" w:color="FFFFFF" w:sz="18" w:space="0"/>
            </w:tcBorders>
          </w:tcPr>
          <w:p>
            <w:pPr>
              <w:pStyle w:val="10"/>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49" w:type="dxa"/>
            <w:gridSpan w:val="3"/>
            <w:tcBorders>
              <w:top w:val="single" w:color="FFFFFF" w:sz="18" w:space="0"/>
              <w:bottom w:val="single" w:color="FFFFFF" w:sz="18" w:space="0"/>
            </w:tcBorders>
            <w:shd w:val="clear" w:color="auto" w:fill="E4E4E4"/>
          </w:tcPr>
          <w:p>
            <w:pPr>
              <w:pStyle w:val="10"/>
              <w:spacing w:line="247" w:lineRule="exact"/>
              <w:rPr>
                <w:sz w:val="21"/>
              </w:rPr>
            </w:pPr>
            <w:r>
              <w:rPr>
                <w:w w:val="95"/>
                <w:sz w:val="21"/>
              </w:rPr>
              <w:t>本公司对“较轻急性心肌梗死</w:t>
            </w:r>
            <w:r>
              <w:rPr>
                <w:spacing w:val="-101"/>
                <w:w w:val="95"/>
                <w:sz w:val="21"/>
              </w:rPr>
              <w:t>”、</w:t>
            </w:r>
            <w:r>
              <w:rPr>
                <w:w w:val="95"/>
                <w:sz w:val="21"/>
              </w:rPr>
              <w:t>“冠状动脉介入手术（非切开心包手术</w:t>
            </w:r>
            <w:r>
              <w:rPr>
                <w:spacing w:val="-53"/>
                <w:w w:val="95"/>
                <w:sz w:val="21"/>
              </w:rPr>
              <w:t>）</w:t>
            </w:r>
            <w:r>
              <w:rPr>
                <w:spacing w:val="10"/>
                <w:w w:val="95"/>
                <w:sz w:val="21"/>
              </w:rPr>
              <w:t>”和“激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49" w:type="dxa"/>
            <w:gridSpan w:val="3"/>
            <w:tcBorders>
              <w:top w:val="single" w:color="FFFFFF" w:sz="18" w:space="0"/>
              <w:bottom w:val="single" w:color="FFFFFF" w:sz="18" w:space="0"/>
            </w:tcBorders>
            <w:shd w:val="clear" w:color="auto" w:fill="E4E4E4"/>
          </w:tcPr>
          <w:p>
            <w:pPr>
              <w:pStyle w:val="10"/>
              <w:spacing w:line="247" w:lineRule="exact"/>
              <w:rPr>
                <w:sz w:val="21"/>
              </w:rPr>
            </w:pPr>
            <w:r>
              <w:rPr>
                <w:spacing w:val="-1"/>
                <w:w w:val="95"/>
                <w:sz w:val="21"/>
              </w:rPr>
              <w:t>光心肌血运重建术”三项中的其中一项承担保险责任，给付其中一项保险金后，对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3570" w:type="dxa"/>
            <w:tcBorders>
              <w:top w:val="single" w:color="FFFFFF" w:sz="18" w:space="0"/>
            </w:tcBorders>
            <w:shd w:val="clear" w:color="auto" w:fill="E4E4E4"/>
          </w:tcPr>
          <w:p>
            <w:pPr>
              <w:pStyle w:val="10"/>
              <w:spacing w:line="250" w:lineRule="exact"/>
              <w:rPr>
                <w:sz w:val="21"/>
              </w:rPr>
            </w:pPr>
            <w:r>
              <w:rPr>
                <w:spacing w:val="-1"/>
                <w:w w:val="95"/>
                <w:sz w:val="21"/>
              </w:rPr>
              <w:t>其它两项轻度疾病保险责任同时终止。</w:t>
            </w:r>
          </w:p>
        </w:tc>
        <w:tc>
          <w:tcPr>
            <w:tcW w:w="3979" w:type="dxa"/>
            <w:gridSpan w:val="2"/>
            <w:tcBorders>
              <w:top w:val="single" w:color="FFFFFF" w:sz="18" w:space="0"/>
            </w:tcBorders>
          </w:tcPr>
          <w:p>
            <w:pPr>
              <w:pStyle w:val="10"/>
              <w:ind w:left="0"/>
              <w:rPr>
                <w:rFonts w:ascii="Times New Roman"/>
                <w:sz w:val="18"/>
              </w:rPr>
            </w:pPr>
          </w:p>
        </w:tc>
      </w:tr>
    </w:tbl>
    <w:p>
      <w:pPr>
        <w:spacing w:after="0"/>
        <w:rPr>
          <w:rFonts w:ascii="Times New Roman"/>
          <w:sz w:val="18"/>
        </w:rPr>
        <w:sectPr>
          <w:pgSz w:w="11910" w:h="16840"/>
          <w:pgMar w:top="1540" w:right="660" w:bottom="860" w:left="860" w:header="0" w:footer="662" w:gutter="0"/>
          <w:cols w:space="720" w:num="1"/>
        </w:sectPr>
      </w:pPr>
    </w:p>
    <w:p>
      <w:pPr>
        <w:pStyle w:val="3"/>
        <w:numPr>
          <w:ilvl w:val="0"/>
          <w:numId w:val="86"/>
        </w:numPr>
        <w:tabs>
          <w:tab w:val="left" w:pos="3014"/>
        </w:tabs>
        <w:spacing w:before="59" w:after="0" w:line="240" w:lineRule="auto"/>
        <w:ind w:left="3013" w:right="0" w:hanging="529"/>
        <w:jc w:val="left"/>
      </w:pPr>
      <w:r>
        <w:rPr>
          <w:spacing w:val="-2"/>
          <w:w w:val="95"/>
        </w:rPr>
        <w:t>轻度脑中风后遗症：</w:t>
      </w:r>
    </w:p>
    <w:p>
      <w:pPr>
        <w:pStyle w:val="4"/>
        <w:spacing w:before="7"/>
        <w:rPr>
          <w:b/>
          <w:sz w:val="15"/>
        </w:rPr>
      </w:pPr>
    </w:p>
    <w:p>
      <w:pPr>
        <w:pStyle w:val="4"/>
        <w:spacing w:line="278" w:lineRule="auto"/>
        <w:ind w:left="2485" w:right="350"/>
        <w:jc w:val="both"/>
      </w:pPr>
      <w:r>
        <w:rPr>
          <w:spacing w:val="2"/>
          <w:w w:val="99"/>
        </w:rPr>
        <w:t>指因脑血管的突发病变引起脑血管出血、栓塞或梗塞，须由头颅断层扫描（</w:t>
      </w:r>
      <w:r>
        <w:rPr>
          <w:spacing w:val="1"/>
          <w:w w:val="99"/>
        </w:rPr>
        <w:t>C</w:t>
      </w:r>
      <w:r>
        <w:rPr>
          <w:spacing w:val="3"/>
          <w:w w:val="99"/>
        </w:rPr>
        <w:t>T</w:t>
      </w:r>
      <w:r>
        <w:rPr>
          <w:spacing w:val="-101"/>
          <w:w w:val="99"/>
        </w:rPr>
        <w:t>）</w:t>
      </w:r>
      <w:r>
        <w:rPr>
          <w:w w:val="99"/>
        </w:rPr>
        <w:t>、</w:t>
      </w:r>
      <w:r>
        <w:rPr>
          <w:spacing w:val="2"/>
          <w:w w:val="99"/>
        </w:rPr>
        <w:t>核磁共振检查</w:t>
      </w:r>
      <w:r>
        <w:rPr>
          <w:spacing w:val="4"/>
          <w:w w:val="99"/>
        </w:rPr>
        <w:t>（</w:t>
      </w:r>
      <w:r>
        <w:rPr>
          <w:spacing w:val="1"/>
          <w:w w:val="99"/>
        </w:rPr>
        <w:t>MRI</w:t>
      </w:r>
      <w:r>
        <w:rPr>
          <w:spacing w:val="4"/>
          <w:w w:val="99"/>
        </w:rPr>
        <w:t>）</w:t>
      </w:r>
      <w:r>
        <w:rPr>
          <w:spacing w:val="1"/>
          <w:w w:val="99"/>
        </w:rPr>
        <w:t>等影像学检查证实，并导致神经系统永久性的功能障碍，但</w:t>
      </w:r>
      <w:r>
        <w:rPr>
          <w:spacing w:val="-1"/>
          <w:w w:val="99"/>
        </w:rPr>
        <w:t>未达到“严重脑中风后遗症”的给付标准：</w:t>
      </w:r>
    </w:p>
    <w:p>
      <w:pPr>
        <w:pStyle w:val="9"/>
        <w:numPr>
          <w:ilvl w:val="0"/>
          <w:numId w:val="88"/>
        </w:numPr>
        <w:tabs>
          <w:tab w:val="left" w:pos="3206"/>
        </w:tabs>
        <w:spacing w:before="156" w:after="0" w:line="240" w:lineRule="auto"/>
        <w:ind w:left="3205" w:right="0" w:hanging="721"/>
        <w:jc w:val="both"/>
        <w:rPr>
          <w:sz w:val="21"/>
        </w:rPr>
      </w:pPr>
      <w:r>
        <w:rPr>
          <w:w w:val="95"/>
          <w:sz w:val="21"/>
        </w:rPr>
        <w:t>一肢（含）以上肢体肌力为</w:t>
      </w:r>
      <w:r>
        <w:rPr>
          <w:spacing w:val="9"/>
          <w:sz w:val="21"/>
        </w:rPr>
        <w:t xml:space="preserve"> </w:t>
      </w:r>
      <w:r>
        <w:rPr>
          <w:w w:val="95"/>
          <w:sz w:val="21"/>
        </w:rPr>
        <w:t>3</w:t>
      </w:r>
      <w:r>
        <w:rPr>
          <w:spacing w:val="5"/>
          <w:sz w:val="21"/>
        </w:rPr>
        <w:t xml:space="preserve"> </w:t>
      </w:r>
      <w:r>
        <w:rPr>
          <w:spacing w:val="-5"/>
          <w:w w:val="95"/>
          <w:sz w:val="21"/>
        </w:rPr>
        <w:t>级；</w:t>
      </w:r>
    </w:p>
    <w:p>
      <w:pPr>
        <w:pStyle w:val="4"/>
        <w:spacing w:before="6"/>
        <w:rPr>
          <w:sz w:val="15"/>
        </w:rPr>
      </w:pPr>
    </w:p>
    <w:p>
      <w:pPr>
        <w:pStyle w:val="9"/>
        <w:numPr>
          <w:ilvl w:val="0"/>
          <w:numId w:val="88"/>
        </w:numPr>
        <w:tabs>
          <w:tab w:val="left" w:pos="3205"/>
          <w:tab w:val="left" w:pos="3206"/>
        </w:tabs>
        <w:spacing w:before="0" w:after="0" w:line="278" w:lineRule="auto"/>
        <w:ind w:left="3205" w:right="350" w:hanging="720"/>
        <w:jc w:val="left"/>
        <w:rPr>
          <w:sz w:val="21"/>
        </w:rPr>
      </w:pPr>
      <w:r>
        <w:rPr>
          <w:spacing w:val="-10"/>
          <w:w w:val="99"/>
          <w:sz w:val="21"/>
        </w:rPr>
        <w:t>自主生活能力部分丧失，无法独立完成六项基本日常生活活动中的二项或二</w:t>
      </w:r>
      <w:r>
        <w:rPr>
          <w:w w:val="99"/>
          <w:sz w:val="21"/>
        </w:rPr>
        <w:t>项以上。</w:t>
      </w:r>
    </w:p>
    <w:p>
      <w:pPr>
        <w:pStyle w:val="3"/>
        <w:numPr>
          <w:ilvl w:val="0"/>
          <w:numId w:val="86"/>
        </w:numPr>
        <w:tabs>
          <w:tab w:val="left" w:pos="3014"/>
        </w:tabs>
        <w:spacing w:before="156" w:after="0" w:line="240" w:lineRule="auto"/>
        <w:ind w:left="3013" w:right="0" w:hanging="529"/>
        <w:jc w:val="left"/>
      </w:pPr>
      <w:r>
        <w:rPr>
          <w:spacing w:val="-3"/>
          <w:w w:val="95"/>
        </w:rPr>
        <w:t>原位癌：</w:t>
      </w:r>
    </w:p>
    <w:p>
      <w:pPr>
        <w:pStyle w:val="4"/>
        <w:spacing w:before="7"/>
        <w:rPr>
          <w:b/>
          <w:sz w:val="15"/>
        </w:rPr>
      </w:pPr>
    </w:p>
    <w:p>
      <w:pPr>
        <w:pStyle w:val="4"/>
        <w:spacing w:line="278" w:lineRule="auto"/>
        <w:ind w:left="2485" w:right="347"/>
      </w:pPr>
      <w:r>
        <w:rPr>
          <w:spacing w:val="-4"/>
          <w:w w:val="99"/>
        </w:rPr>
        <w:t>指恶性肿瘤细胞未穿透基底膜的原位无浸润的恶性肿瘤，包括</w:t>
      </w:r>
      <w:r>
        <w:rPr>
          <w:spacing w:val="-53"/>
        </w:rPr>
        <w:t xml:space="preserve"> </w:t>
      </w:r>
      <w:r>
        <w:rPr>
          <w:spacing w:val="1"/>
          <w:w w:val="99"/>
        </w:rPr>
        <w:t>CI</w:t>
      </w:r>
      <w:r>
        <w:rPr>
          <w:spacing w:val="-2"/>
          <w:w w:val="99"/>
        </w:rPr>
        <w:t>N</w:t>
      </w:r>
      <w:r>
        <w:rPr>
          <w:spacing w:val="-1"/>
          <w:w w:val="99"/>
        </w:rPr>
        <w:t>Ⅲ-宫颈鳞状上皮</w:t>
      </w:r>
      <w:r>
        <w:rPr>
          <w:w w:val="99"/>
        </w:rPr>
        <w:t>病变。</w:t>
      </w:r>
      <w:r>
        <w:rPr>
          <w:color w:val="000000"/>
          <w:spacing w:val="-10"/>
          <w:w w:val="99"/>
          <w:shd w:val="clear" w:color="auto" w:fill="E4E4E4"/>
        </w:rPr>
        <w:t>感染艾滋病毒或患艾滋病期间所患原位癌不在本保障范围之内。</w:t>
      </w:r>
    </w:p>
    <w:p>
      <w:pPr>
        <w:pStyle w:val="3"/>
        <w:numPr>
          <w:ilvl w:val="0"/>
          <w:numId w:val="86"/>
        </w:numPr>
        <w:tabs>
          <w:tab w:val="left" w:pos="3014"/>
        </w:tabs>
        <w:spacing w:before="156" w:after="0" w:line="240" w:lineRule="auto"/>
        <w:ind w:left="3013" w:right="0" w:hanging="529"/>
        <w:jc w:val="left"/>
      </w:pPr>
      <w:r>
        <w:rPr>
          <w:w w:val="95"/>
        </w:rPr>
        <w:t>冠状动脉介入手术（非切开心包手术</w:t>
      </w:r>
      <w:r>
        <w:rPr>
          <w:spacing w:val="-109"/>
          <w:w w:val="95"/>
        </w:rPr>
        <w:t>）</w:t>
      </w:r>
      <w:r>
        <w:rPr>
          <w:spacing w:val="-5"/>
          <w:w w:val="95"/>
        </w:rPr>
        <w:t>：</w:t>
      </w:r>
    </w:p>
    <w:p>
      <w:pPr>
        <w:pStyle w:val="4"/>
        <w:spacing w:before="6"/>
        <w:rPr>
          <w:b/>
          <w:sz w:val="15"/>
        </w:rPr>
      </w:pPr>
    </w:p>
    <w:p>
      <w:pPr>
        <w:pStyle w:val="4"/>
        <w:spacing w:line="278" w:lineRule="auto"/>
        <w:ind w:left="2485" w:right="350"/>
        <w:jc w:val="both"/>
      </w:pPr>
      <w:r>
        <w:rPr>
          <w:spacing w:val="-2"/>
          <w:w w:val="99"/>
        </w:rPr>
        <w:t>为了治疗明显的冠状动脉狭窄性疾病，首次实际实施了非切开心包的冠状动脉介入手术，包括冠状动脉球囊扩张成形术、冠状动脉支架植入术、冠状动脉粥肿斑块切</w:t>
      </w:r>
      <w:r>
        <w:rPr>
          <w:spacing w:val="-1"/>
          <w:w w:val="99"/>
        </w:rPr>
        <w:t>除术或激光冠状动脉成形术。</w:t>
      </w:r>
    </w:p>
    <w:p>
      <w:pPr>
        <w:pStyle w:val="4"/>
        <w:spacing w:line="278" w:lineRule="auto"/>
        <w:ind w:left="2485" w:right="350"/>
        <w:jc w:val="both"/>
      </w:pPr>
      <w:r>
        <w:rPr>
          <w:color w:val="000000"/>
          <w:spacing w:val="-12"/>
          <w:w w:val="99"/>
          <w:shd w:val="clear" w:color="auto" w:fill="E4E4E4"/>
        </w:rPr>
        <w:t>本公司对“较轻急性心肌梗死”、“冠状动脉介入手术</w:t>
      </w:r>
      <w:r>
        <w:rPr>
          <w:color w:val="000000"/>
          <w:spacing w:val="2"/>
          <w:w w:val="99"/>
          <w:shd w:val="clear" w:color="auto" w:fill="E4E4E4"/>
        </w:rPr>
        <w:t>（非切开心包手术</w:t>
      </w:r>
      <w:r>
        <w:rPr>
          <w:color w:val="000000"/>
          <w:spacing w:val="-101"/>
          <w:w w:val="99"/>
          <w:shd w:val="clear" w:color="auto" w:fill="E4E4E4"/>
        </w:rPr>
        <w:t>）</w:t>
      </w:r>
      <w:r>
        <w:rPr>
          <w:color w:val="000000"/>
          <w:spacing w:val="2"/>
          <w:w w:val="99"/>
          <w:shd w:val="clear" w:color="auto" w:fill="E4E4E4"/>
        </w:rPr>
        <w:t xml:space="preserve">”和“激                                                                                                                                              </w:t>
      </w:r>
      <w:r>
        <w:rPr>
          <w:color w:val="000000"/>
          <w:spacing w:val="-3"/>
          <w:w w:val="99"/>
          <w:shd w:val="clear" w:color="auto" w:fill="E4E4E4"/>
        </w:rPr>
        <w:t>光心肌血运重建术”三项中的其中一项承担保险责任，给付其中一项保险金后，对</w:t>
      </w:r>
      <w:r>
        <w:rPr>
          <w:color w:val="000000"/>
          <w:spacing w:val="-1"/>
          <w:w w:val="99"/>
          <w:shd w:val="clear" w:color="auto" w:fill="E4E4E4"/>
        </w:rPr>
        <w:t>其它两项轻度疾病保险责任同时终止。</w:t>
      </w:r>
    </w:p>
    <w:p>
      <w:pPr>
        <w:pStyle w:val="3"/>
        <w:numPr>
          <w:ilvl w:val="0"/>
          <w:numId w:val="86"/>
        </w:numPr>
        <w:tabs>
          <w:tab w:val="left" w:pos="3014"/>
        </w:tabs>
        <w:spacing w:before="156" w:after="0" w:line="240" w:lineRule="auto"/>
        <w:ind w:left="3013" w:right="0" w:hanging="529"/>
        <w:jc w:val="left"/>
      </w:pPr>
      <w:r>
        <w:rPr>
          <w:spacing w:val="-2"/>
          <w:w w:val="95"/>
        </w:rPr>
        <w:t>慢性肾功能衰竭：</w:t>
      </w:r>
    </w:p>
    <w:p>
      <w:pPr>
        <w:pStyle w:val="4"/>
        <w:spacing w:before="6"/>
        <w:rPr>
          <w:b/>
          <w:sz w:val="15"/>
        </w:rPr>
      </w:pPr>
    </w:p>
    <w:p>
      <w:pPr>
        <w:pStyle w:val="4"/>
        <w:spacing w:line="278" w:lineRule="auto"/>
        <w:ind w:left="2485" w:right="347"/>
      </w:pPr>
      <w:r>
        <w:rPr>
          <w:spacing w:val="-3"/>
          <w:w w:val="99"/>
        </w:rPr>
        <w:t>指被保险人因双肾功能慢性不可逆性损害，达到肾功能衰竭期，诊断必须满足所有</w:t>
      </w:r>
      <w:r>
        <w:rPr>
          <w:spacing w:val="-1"/>
          <w:w w:val="99"/>
        </w:rPr>
        <w:t>以下标准。</w:t>
      </w:r>
    </w:p>
    <w:p>
      <w:pPr>
        <w:pStyle w:val="9"/>
        <w:numPr>
          <w:ilvl w:val="0"/>
          <w:numId w:val="89"/>
        </w:numPr>
        <w:tabs>
          <w:tab w:val="left" w:pos="3205"/>
          <w:tab w:val="left" w:pos="3206"/>
        </w:tabs>
        <w:spacing w:before="156" w:after="0" w:line="240" w:lineRule="auto"/>
        <w:ind w:left="3205" w:right="0" w:hanging="721"/>
        <w:jc w:val="left"/>
        <w:rPr>
          <w:sz w:val="21"/>
        </w:rPr>
      </w:pPr>
      <w:r>
        <w:rPr>
          <w:w w:val="95"/>
          <w:sz w:val="21"/>
        </w:rPr>
        <w:t>肾小球滤过率（GFR）＜25ml/min</w:t>
      </w:r>
      <w:r>
        <w:rPr>
          <w:spacing w:val="39"/>
          <w:sz w:val="21"/>
        </w:rPr>
        <w:t xml:space="preserve">  </w:t>
      </w:r>
      <w:r>
        <w:rPr>
          <w:w w:val="95"/>
          <w:sz w:val="21"/>
        </w:rPr>
        <w:t>或肌酐清除率</w:t>
      </w:r>
      <w:r>
        <w:rPr>
          <w:spacing w:val="-2"/>
          <w:w w:val="95"/>
          <w:sz w:val="21"/>
        </w:rPr>
        <w:t>（Ccr）＜25ml/min；</w:t>
      </w:r>
    </w:p>
    <w:p>
      <w:pPr>
        <w:pStyle w:val="4"/>
        <w:spacing w:before="7"/>
        <w:rPr>
          <w:sz w:val="15"/>
        </w:rPr>
      </w:pPr>
    </w:p>
    <w:p>
      <w:pPr>
        <w:pStyle w:val="9"/>
        <w:numPr>
          <w:ilvl w:val="0"/>
          <w:numId w:val="89"/>
        </w:numPr>
        <w:tabs>
          <w:tab w:val="left" w:pos="3205"/>
          <w:tab w:val="left" w:pos="3206"/>
        </w:tabs>
        <w:spacing w:before="0" w:after="0" w:line="240" w:lineRule="auto"/>
        <w:ind w:left="3205" w:right="0" w:hanging="721"/>
        <w:jc w:val="left"/>
        <w:rPr>
          <w:sz w:val="21"/>
        </w:rPr>
      </w:pPr>
      <w:r>
        <w:rPr>
          <w:w w:val="95"/>
          <w:sz w:val="21"/>
        </w:rPr>
        <w:t>血肌酐（Scr）＞5mg/dl</w:t>
      </w:r>
      <w:r>
        <w:rPr>
          <w:spacing w:val="48"/>
          <w:sz w:val="21"/>
        </w:rPr>
        <w:t xml:space="preserve"> </w:t>
      </w:r>
      <w:r>
        <w:rPr>
          <w:spacing w:val="-1"/>
          <w:w w:val="95"/>
          <w:sz w:val="21"/>
        </w:rPr>
        <w:t>或＞</w:t>
      </w:r>
      <w:r>
        <w:rPr>
          <w:spacing w:val="-2"/>
          <w:w w:val="95"/>
          <w:sz w:val="21"/>
        </w:rPr>
        <w:t>442μmol/L；</w:t>
      </w:r>
    </w:p>
    <w:p>
      <w:pPr>
        <w:pStyle w:val="4"/>
        <w:spacing w:before="6"/>
        <w:rPr>
          <w:sz w:val="15"/>
        </w:rPr>
      </w:pPr>
    </w:p>
    <w:p>
      <w:pPr>
        <w:pStyle w:val="9"/>
        <w:numPr>
          <w:ilvl w:val="0"/>
          <w:numId w:val="89"/>
        </w:numPr>
        <w:tabs>
          <w:tab w:val="left" w:pos="3205"/>
          <w:tab w:val="left" w:pos="3206"/>
        </w:tabs>
        <w:spacing w:before="1" w:after="0" w:line="240" w:lineRule="auto"/>
        <w:ind w:left="3205" w:right="0" w:hanging="721"/>
        <w:jc w:val="left"/>
        <w:rPr>
          <w:sz w:val="21"/>
        </w:rPr>
      </w:pPr>
      <w:r>
        <w:rPr>
          <w:w w:val="95"/>
          <w:sz w:val="21"/>
        </w:rPr>
        <w:t>肾功能衰竭期持续</w:t>
      </w:r>
      <w:r>
        <w:rPr>
          <w:spacing w:val="-3"/>
          <w:sz w:val="21"/>
        </w:rPr>
        <w:t xml:space="preserve"> </w:t>
      </w:r>
      <w:r>
        <w:rPr>
          <w:w w:val="95"/>
          <w:sz w:val="21"/>
        </w:rPr>
        <w:t>180</w:t>
      </w:r>
      <w:r>
        <w:rPr>
          <w:spacing w:val="-6"/>
          <w:w w:val="95"/>
          <w:sz w:val="21"/>
        </w:rPr>
        <w:t xml:space="preserve"> 天。</w:t>
      </w:r>
    </w:p>
    <w:p>
      <w:pPr>
        <w:pStyle w:val="4"/>
        <w:spacing w:before="6"/>
        <w:rPr>
          <w:sz w:val="15"/>
        </w:rPr>
      </w:pPr>
    </w:p>
    <w:p>
      <w:pPr>
        <w:pStyle w:val="3"/>
        <w:numPr>
          <w:ilvl w:val="0"/>
          <w:numId w:val="86"/>
        </w:numPr>
        <w:tabs>
          <w:tab w:val="left" w:pos="3014"/>
        </w:tabs>
        <w:spacing w:before="0" w:after="0" w:line="240" w:lineRule="auto"/>
        <w:ind w:left="3013" w:right="0" w:hanging="529"/>
        <w:jc w:val="left"/>
      </w:pPr>
      <w:r>
        <w:rPr>
          <w:spacing w:val="-2"/>
          <w:w w:val="95"/>
        </w:rPr>
        <w:t>慢性肝功能衰竭：</w:t>
      </w:r>
    </w:p>
    <w:p>
      <w:pPr>
        <w:pStyle w:val="4"/>
        <w:spacing w:before="7"/>
        <w:rPr>
          <w:b/>
          <w:sz w:val="15"/>
        </w:rPr>
      </w:pPr>
    </w:p>
    <w:p>
      <w:pPr>
        <w:pStyle w:val="4"/>
        <w:ind w:left="2485"/>
      </w:pPr>
      <w:r>
        <w:rPr>
          <w:w w:val="95"/>
        </w:rPr>
        <w:t>指因慢性肝脏疾病导致持续</w:t>
      </w:r>
      <w:r>
        <w:rPr>
          <w:spacing w:val="33"/>
          <w:w w:val="150"/>
        </w:rPr>
        <w:t xml:space="preserve"> </w:t>
      </w:r>
      <w:r>
        <w:rPr>
          <w:w w:val="95"/>
        </w:rPr>
        <w:t>180</w:t>
      </w:r>
      <w:r>
        <w:rPr>
          <w:spacing w:val="72"/>
        </w:rPr>
        <w:t xml:space="preserve"> </w:t>
      </w:r>
      <w:r>
        <w:rPr>
          <w:spacing w:val="-1"/>
          <w:w w:val="95"/>
        </w:rPr>
        <w:t>天肝功能衰竭，须满足下列全部条件：</w:t>
      </w:r>
    </w:p>
    <w:p>
      <w:pPr>
        <w:pStyle w:val="4"/>
        <w:spacing w:before="7"/>
        <w:rPr>
          <w:sz w:val="15"/>
        </w:rPr>
      </w:pPr>
    </w:p>
    <w:p>
      <w:pPr>
        <w:pStyle w:val="9"/>
        <w:numPr>
          <w:ilvl w:val="0"/>
          <w:numId w:val="90"/>
        </w:numPr>
        <w:tabs>
          <w:tab w:val="left" w:pos="3205"/>
          <w:tab w:val="left" w:pos="3206"/>
        </w:tabs>
        <w:spacing w:before="0" w:after="0" w:line="240" w:lineRule="auto"/>
        <w:ind w:left="3205" w:right="0" w:hanging="721"/>
        <w:jc w:val="left"/>
        <w:rPr>
          <w:sz w:val="21"/>
        </w:rPr>
      </w:pPr>
      <w:r>
        <w:rPr>
          <w:spacing w:val="-1"/>
          <w:w w:val="95"/>
          <w:sz w:val="21"/>
        </w:rPr>
        <w:t>持续性黄疸，胆红素＞</w:t>
      </w:r>
      <w:r>
        <w:rPr>
          <w:spacing w:val="-2"/>
          <w:w w:val="95"/>
          <w:sz w:val="21"/>
        </w:rPr>
        <w:t>50μmol/L；</w:t>
      </w:r>
    </w:p>
    <w:p>
      <w:pPr>
        <w:pStyle w:val="4"/>
        <w:spacing w:before="6"/>
        <w:rPr>
          <w:sz w:val="15"/>
        </w:rPr>
      </w:pPr>
    </w:p>
    <w:p>
      <w:pPr>
        <w:pStyle w:val="9"/>
        <w:numPr>
          <w:ilvl w:val="0"/>
          <w:numId w:val="90"/>
        </w:numPr>
        <w:tabs>
          <w:tab w:val="left" w:pos="3205"/>
          <w:tab w:val="left" w:pos="3206"/>
        </w:tabs>
        <w:spacing w:before="1" w:after="0" w:line="240" w:lineRule="auto"/>
        <w:ind w:left="3205" w:right="0" w:hanging="721"/>
        <w:jc w:val="left"/>
        <w:rPr>
          <w:sz w:val="21"/>
        </w:rPr>
      </w:pPr>
      <w:r>
        <w:rPr>
          <w:spacing w:val="-1"/>
          <w:w w:val="95"/>
          <w:sz w:val="21"/>
        </w:rPr>
        <w:t>白蛋白＜</w:t>
      </w:r>
      <w:r>
        <w:rPr>
          <w:spacing w:val="-2"/>
          <w:w w:val="95"/>
          <w:sz w:val="21"/>
        </w:rPr>
        <w:t>27g/L；</w:t>
      </w:r>
    </w:p>
    <w:p>
      <w:pPr>
        <w:pStyle w:val="4"/>
        <w:spacing w:before="6"/>
        <w:rPr>
          <w:sz w:val="15"/>
        </w:rPr>
      </w:pPr>
    </w:p>
    <w:p>
      <w:pPr>
        <w:pStyle w:val="9"/>
        <w:numPr>
          <w:ilvl w:val="0"/>
          <w:numId w:val="90"/>
        </w:numPr>
        <w:tabs>
          <w:tab w:val="left" w:pos="3205"/>
          <w:tab w:val="left" w:pos="3206"/>
        </w:tabs>
        <w:spacing w:before="0" w:after="0" w:line="240" w:lineRule="auto"/>
        <w:ind w:left="3205" w:right="0" w:hanging="721"/>
        <w:jc w:val="left"/>
        <w:rPr>
          <w:sz w:val="21"/>
        </w:rPr>
      </w:pPr>
      <w:r>
        <w:rPr>
          <w:w w:val="95"/>
          <w:sz w:val="21"/>
        </w:rPr>
        <w:t>凝血酶原时间延长＞4</w:t>
      </w:r>
      <w:r>
        <w:rPr>
          <w:spacing w:val="39"/>
          <w:sz w:val="21"/>
        </w:rPr>
        <w:t xml:space="preserve"> </w:t>
      </w:r>
      <w:r>
        <w:rPr>
          <w:spacing w:val="-5"/>
          <w:w w:val="95"/>
          <w:sz w:val="21"/>
        </w:rPr>
        <w:t>秒。</w:t>
      </w:r>
    </w:p>
    <w:p>
      <w:pPr>
        <w:pStyle w:val="4"/>
        <w:spacing w:before="1"/>
        <w:rPr>
          <w:sz w:val="10"/>
        </w:rPr>
      </w:pPr>
    </w:p>
    <w:p>
      <w:pPr>
        <w:pStyle w:val="4"/>
        <w:spacing w:before="70"/>
        <w:ind w:left="2485"/>
      </w:pPr>
      <w:r>
        <w:rPr>
          <w:color w:val="000000"/>
          <w:spacing w:val="-1"/>
          <w:w w:val="95"/>
          <w:shd w:val="clear" w:color="auto" w:fill="E4E4E4"/>
        </w:rPr>
        <w:t>因酗酒或药物滥用或肝硬化导致的肝功能衰竭不在保障范围内。</w:t>
      </w:r>
    </w:p>
    <w:p>
      <w:pPr>
        <w:pStyle w:val="4"/>
        <w:spacing w:before="43" w:line="278" w:lineRule="auto"/>
        <w:ind w:left="2485" w:right="350"/>
      </w:pPr>
      <w:r>
        <w:rPr>
          <w:color w:val="000000"/>
          <w:spacing w:val="-16"/>
          <w:w w:val="95"/>
          <w:shd w:val="clear" w:color="auto" w:fill="E4E4E4"/>
        </w:rPr>
        <w:t>本公司对“慢性肝功能衰竭”、“早期肝硬化”二项中的其中一项承担保险责任，给</w:t>
      </w:r>
      <w:r>
        <w:rPr>
          <w:color w:val="000000"/>
          <w:spacing w:val="80"/>
          <w:w w:val="150"/>
          <w:shd w:val="clear" w:color="auto" w:fill="E4E4E4"/>
        </w:rPr>
        <w:t xml:space="preserve">                                         </w:t>
      </w:r>
      <w:r>
        <w:rPr>
          <w:color w:val="000000"/>
          <w:spacing w:val="-2"/>
          <w:shd w:val="clear" w:color="auto" w:fill="E4E4E4"/>
        </w:rPr>
        <w:t>付其中一项保险金后，对另一项轻度疾病保险责任同时终止。</w:t>
      </w:r>
    </w:p>
    <w:p>
      <w:pPr>
        <w:pStyle w:val="3"/>
        <w:numPr>
          <w:ilvl w:val="0"/>
          <w:numId w:val="86"/>
        </w:numPr>
        <w:tabs>
          <w:tab w:val="left" w:pos="3014"/>
        </w:tabs>
        <w:spacing w:before="156" w:after="0" w:line="240" w:lineRule="auto"/>
        <w:ind w:left="3013" w:right="0" w:hanging="529"/>
        <w:jc w:val="left"/>
      </w:pPr>
      <w:r>
        <w:rPr>
          <w:spacing w:val="-3"/>
          <w:w w:val="95"/>
        </w:rPr>
        <w:t xml:space="preserve">深度昏迷 </w:t>
      </w:r>
      <w:r>
        <w:rPr>
          <w:w w:val="95"/>
        </w:rPr>
        <w:t>48</w:t>
      </w:r>
      <w:r>
        <w:rPr>
          <w:spacing w:val="-7"/>
          <w:w w:val="95"/>
        </w:rPr>
        <w:t xml:space="preserve"> 小时：</w:t>
      </w:r>
    </w:p>
    <w:p>
      <w:pPr>
        <w:pStyle w:val="4"/>
        <w:spacing w:before="6"/>
        <w:rPr>
          <w:b/>
          <w:sz w:val="15"/>
        </w:rPr>
      </w:pPr>
    </w:p>
    <w:p>
      <w:pPr>
        <w:pStyle w:val="4"/>
        <w:spacing w:before="1" w:line="278" w:lineRule="auto"/>
        <w:ind w:left="2485" w:right="340"/>
      </w:pPr>
      <w:r>
        <w:rPr>
          <w:spacing w:val="-6"/>
          <w:w w:val="99"/>
        </w:rPr>
        <w:t>指因疾病或意外伤害导致意识丧失,对外界刺激和体内需求均无反应,昏迷程度按照格</w:t>
      </w:r>
      <w:r>
        <w:rPr>
          <w:spacing w:val="-10"/>
          <w:w w:val="99"/>
        </w:rPr>
        <w:t>拉斯哥昏迷分级</w:t>
      </w:r>
      <w:r>
        <w:rPr>
          <w:spacing w:val="-8"/>
          <w:w w:val="99"/>
        </w:rPr>
        <w:t>（</w:t>
      </w:r>
      <w:r>
        <w:rPr>
          <w:spacing w:val="-2"/>
          <w:w w:val="99"/>
        </w:rPr>
        <w:t>G</w:t>
      </w:r>
      <w:r>
        <w:rPr>
          <w:spacing w:val="-4"/>
          <w:w w:val="99"/>
        </w:rPr>
        <w:t>l</w:t>
      </w:r>
      <w:r>
        <w:rPr>
          <w:spacing w:val="-7"/>
          <w:w w:val="99"/>
        </w:rPr>
        <w:t>a</w:t>
      </w:r>
      <w:r>
        <w:rPr>
          <w:spacing w:val="-4"/>
          <w:w w:val="99"/>
        </w:rPr>
        <w:t>sg</w:t>
      </w:r>
      <w:r>
        <w:rPr>
          <w:spacing w:val="-7"/>
          <w:w w:val="99"/>
        </w:rPr>
        <w:t>o</w:t>
      </w:r>
      <w:r>
        <w:rPr>
          <w:w w:val="99"/>
        </w:rPr>
        <w:t>w</w:t>
      </w:r>
      <w:r>
        <w:rPr>
          <w:spacing w:val="-40"/>
        </w:rPr>
        <w:t xml:space="preserve"> </w:t>
      </w:r>
      <w:r>
        <w:rPr>
          <w:spacing w:val="-2"/>
          <w:w w:val="99"/>
        </w:rPr>
        <w:t>c</w:t>
      </w:r>
      <w:r>
        <w:rPr>
          <w:spacing w:val="-4"/>
          <w:w w:val="99"/>
        </w:rPr>
        <w:t>o</w:t>
      </w:r>
      <w:r>
        <w:rPr>
          <w:spacing w:val="-7"/>
          <w:w w:val="99"/>
        </w:rPr>
        <w:t>m</w:t>
      </w:r>
      <w:r>
        <w:rPr>
          <w:w w:val="99"/>
        </w:rPr>
        <w:t>a</w:t>
      </w:r>
      <w:r>
        <w:rPr>
          <w:spacing w:val="-37"/>
        </w:rPr>
        <w:t xml:space="preserve"> </w:t>
      </w:r>
      <w:r>
        <w:rPr>
          <w:spacing w:val="-2"/>
          <w:w w:val="99"/>
        </w:rPr>
        <w:t>s</w:t>
      </w:r>
      <w:r>
        <w:rPr>
          <w:spacing w:val="-4"/>
          <w:w w:val="99"/>
        </w:rPr>
        <w:t>c</w:t>
      </w:r>
      <w:r>
        <w:rPr>
          <w:spacing w:val="-7"/>
          <w:w w:val="99"/>
        </w:rPr>
        <w:t>a</w:t>
      </w:r>
      <w:r>
        <w:rPr>
          <w:spacing w:val="-4"/>
          <w:w w:val="99"/>
        </w:rPr>
        <w:t>l</w:t>
      </w:r>
      <w:r>
        <w:rPr>
          <w:spacing w:val="-7"/>
          <w:w w:val="99"/>
        </w:rPr>
        <w:t>e</w:t>
      </w:r>
      <w:r>
        <w:rPr>
          <w:spacing w:val="-10"/>
          <w:w w:val="99"/>
        </w:rPr>
        <w:t>）</w:t>
      </w:r>
      <w:r>
        <w:rPr>
          <w:spacing w:val="-6"/>
          <w:w w:val="99"/>
        </w:rPr>
        <w:t>结果为</w:t>
      </w:r>
      <w:r>
        <w:rPr>
          <w:spacing w:val="-65"/>
        </w:rPr>
        <w:t xml:space="preserve"> </w:t>
      </w:r>
      <w:r>
        <w:rPr>
          <w:w w:val="99"/>
        </w:rPr>
        <w:t>5</w:t>
      </w:r>
      <w:r>
        <w:rPr>
          <w:spacing w:val="-61"/>
        </w:rPr>
        <w:t xml:space="preserve"> </w:t>
      </w:r>
      <w:r>
        <w:rPr>
          <w:spacing w:val="-5"/>
          <w:w w:val="99"/>
        </w:rPr>
        <w:t>分或</w:t>
      </w:r>
      <w:r>
        <w:rPr>
          <w:spacing w:val="-62"/>
        </w:rPr>
        <w:t xml:space="preserve"> </w:t>
      </w:r>
      <w:r>
        <w:rPr>
          <w:w w:val="99"/>
        </w:rPr>
        <w:t>5</w:t>
      </w:r>
      <w:r>
        <w:rPr>
          <w:spacing w:val="-61"/>
        </w:rPr>
        <w:t xml:space="preserve"> </w:t>
      </w:r>
      <w:r>
        <w:rPr>
          <w:spacing w:val="-10"/>
          <w:w w:val="99"/>
        </w:rPr>
        <w:t>分以下，且已经持续使用呼吸</w:t>
      </w:r>
    </w:p>
    <w:p>
      <w:pPr>
        <w:spacing w:after="0" w:line="278" w:lineRule="auto"/>
        <w:sectPr>
          <w:pgSz w:w="11910" w:h="16840"/>
          <w:pgMar w:top="1540" w:right="660" w:bottom="860" w:left="860" w:header="0" w:footer="662" w:gutter="0"/>
          <w:cols w:space="720" w:num="1"/>
        </w:sectPr>
      </w:pPr>
    </w:p>
    <w:p>
      <w:pPr>
        <w:pStyle w:val="4"/>
        <w:spacing w:before="43" w:line="278" w:lineRule="auto"/>
        <w:ind w:left="2485" w:right="340"/>
      </w:pPr>
      <w:r>
        <w:rPr>
          <w:w w:val="95"/>
        </w:rPr>
        <w:t>机及其它生命维持系</w:t>
      </w:r>
      <w:r>
        <w:rPr>
          <w:spacing w:val="-18"/>
          <w:w w:val="95"/>
        </w:rPr>
        <w:t xml:space="preserve">统 </w:t>
      </w:r>
      <w:r>
        <w:rPr>
          <w:w w:val="95"/>
        </w:rPr>
        <w:t>48</w:t>
      </w:r>
      <w:r>
        <w:rPr>
          <w:spacing w:val="-38"/>
          <w:w w:val="95"/>
        </w:rPr>
        <w:t xml:space="preserve"> </w:t>
      </w:r>
      <w:r>
        <w:rPr>
          <w:w w:val="95"/>
        </w:rPr>
        <w:t>小时以上。但未达到本合同所指重大疾病“深度昏迷”的标</w:t>
      </w:r>
      <w:r>
        <w:rPr>
          <w:spacing w:val="-6"/>
        </w:rPr>
        <w:t>准。</w:t>
      </w:r>
    </w:p>
    <w:p>
      <w:pPr>
        <w:pStyle w:val="4"/>
        <w:spacing w:line="269" w:lineRule="exact"/>
        <w:ind w:left="2485"/>
      </w:pPr>
      <w:r>
        <w:rPr>
          <w:color w:val="000000"/>
          <w:spacing w:val="-2"/>
          <w:w w:val="95"/>
          <w:shd w:val="clear" w:color="auto" w:fill="E4E4E4"/>
        </w:rPr>
        <w:t>因酗酒或药物滥用导致的昏迷不在保障范围</w:t>
      </w:r>
      <w:r>
        <w:rPr>
          <w:color w:val="000000"/>
          <w:spacing w:val="-6"/>
          <w:w w:val="95"/>
          <w:shd w:val="clear" w:color="auto" w:fill="E4E4E4"/>
        </w:rPr>
        <w:t>内。</w:t>
      </w:r>
    </w:p>
    <w:p>
      <w:pPr>
        <w:pStyle w:val="4"/>
        <w:spacing w:before="7"/>
        <w:rPr>
          <w:sz w:val="15"/>
        </w:rPr>
      </w:pPr>
    </w:p>
    <w:p>
      <w:pPr>
        <w:pStyle w:val="3"/>
        <w:numPr>
          <w:ilvl w:val="0"/>
          <w:numId w:val="86"/>
        </w:numPr>
        <w:tabs>
          <w:tab w:val="left" w:pos="3014"/>
        </w:tabs>
        <w:spacing w:before="0" w:after="0" w:line="240" w:lineRule="auto"/>
        <w:ind w:left="3013" w:right="0" w:hanging="529"/>
        <w:jc w:val="left"/>
      </w:pPr>
      <w:r>
        <w:rPr>
          <w:spacing w:val="-2"/>
          <w:w w:val="95"/>
        </w:rPr>
        <w:t>单耳失聪：</w:t>
      </w:r>
    </w:p>
    <w:p>
      <w:pPr>
        <w:pStyle w:val="4"/>
        <w:spacing w:before="6"/>
        <w:rPr>
          <w:b/>
          <w:sz w:val="15"/>
        </w:rPr>
      </w:pPr>
    </w:p>
    <w:p>
      <w:pPr>
        <w:pStyle w:val="4"/>
        <w:spacing w:before="1" w:line="278" w:lineRule="auto"/>
        <w:ind w:left="2485" w:right="347"/>
        <w:jc w:val="both"/>
      </w:pPr>
      <w:r>
        <w:t xml:space="preserve">指因疾病或者意外导致单耳听力永久不可逆性丧失，在 500 赫兹、1000 赫兹和 </w:t>
      </w:r>
      <w:r>
        <w:rPr>
          <w:w w:val="95"/>
        </w:rPr>
        <w:t>2000</w:t>
      </w:r>
      <w:r>
        <w:rPr>
          <w:spacing w:val="80"/>
        </w:rPr>
        <w:t xml:space="preserve"> </w:t>
      </w:r>
      <w:r>
        <w:rPr>
          <w:w w:val="95"/>
        </w:rPr>
        <w:t>赫兹语音频率下，平均听阈大于 90 分贝，且经纯音听力测试、声导抗检测或</w:t>
      </w:r>
      <w:r>
        <w:rPr>
          <w:spacing w:val="-2"/>
        </w:rPr>
        <w:t>者听觉诱发电位检测等证实。</w:t>
      </w:r>
    </w:p>
    <w:p>
      <w:pPr>
        <w:pStyle w:val="4"/>
        <w:spacing w:line="278" w:lineRule="auto"/>
        <w:ind w:left="2485" w:right="347"/>
        <w:jc w:val="both"/>
      </w:pPr>
      <w:r>
        <w:rPr>
          <w:w w:val="95"/>
        </w:rPr>
        <w:t>被保险人申请理赔时年龄必须在</w:t>
      </w:r>
      <w:r>
        <w:rPr>
          <w:spacing w:val="31"/>
        </w:rPr>
        <w:t xml:space="preserve"> </w:t>
      </w:r>
      <w:r>
        <w:rPr>
          <w:w w:val="95"/>
        </w:rPr>
        <w:t>3</w:t>
      </w:r>
      <w:r>
        <w:rPr>
          <w:spacing w:val="33"/>
        </w:rPr>
        <w:t xml:space="preserve"> </w:t>
      </w:r>
      <w:r>
        <w:rPr>
          <w:w w:val="95"/>
        </w:rPr>
        <w:t>周岁以上，并且提供理赔当时的听力丧失诊断及</w:t>
      </w:r>
      <w:r>
        <w:rPr>
          <w:spacing w:val="-2"/>
        </w:rPr>
        <w:t>检查证据。</w:t>
      </w:r>
    </w:p>
    <w:p>
      <w:pPr>
        <w:pStyle w:val="4"/>
        <w:spacing w:line="278" w:lineRule="auto"/>
        <w:ind w:left="2485" w:right="345"/>
        <w:jc w:val="both"/>
      </w:pPr>
      <w:r>
        <w:rPr>
          <w:color w:val="000000"/>
          <w:shd w:val="clear" w:color="auto" w:fill="E4E4E4"/>
        </w:rPr>
        <w:t>本公司对“听</w:t>
      </w:r>
      <w:r>
        <w:rPr>
          <w:color w:val="000000"/>
          <w:spacing w:val="-13"/>
          <w:shd w:val="clear" w:color="auto" w:fill="E4E4E4"/>
        </w:rPr>
        <w:t>力严重受损”、 “单耳失</w:t>
      </w:r>
      <w:r>
        <w:rPr>
          <w:color w:val="000000"/>
          <w:shd w:val="clear" w:color="auto" w:fill="E4E4E4"/>
        </w:rPr>
        <w:t>聪”二项中的其中一项承担保险责任，给付</w:t>
      </w:r>
      <w:r>
        <w:rPr>
          <w:color w:val="000000"/>
          <w:spacing w:val="40"/>
          <w:shd w:val="clear" w:color="auto" w:fill="E4E4E4"/>
        </w:rPr>
        <w:t xml:space="preserve"> </w:t>
      </w:r>
      <w:r>
        <w:rPr>
          <w:color w:val="000000"/>
          <w:spacing w:val="-2"/>
          <w:shd w:val="clear" w:color="auto" w:fill="E4E4E4"/>
        </w:rPr>
        <w:t>其中一项保险金后，对另一项轻度疾病保险责任同时终止。</w:t>
      </w:r>
    </w:p>
    <w:p>
      <w:pPr>
        <w:pStyle w:val="3"/>
        <w:numPr>
          <w:ilvl w:val="0"/>
          <w:numId w:val="86"/>
        </w:numPr>
        <w:tabs>
          <w:tab w:val="left" w:pos="3120"/>
        </w:tabs>
        <w:spacing w:before="155" w:after="0" w:line="240" w:lineRule="auto"/>
        <w:ind w:left="3119" w:right="0" w:hanging="635"/>
        <w:jc w:val="left"/>
      </w:pPr>
      <w:r>
        <w:rPr>
          <w:spacing w:val="-2"/>
          <w:w w:val="95"/>
        </w:rPr>
        <w:t>单眼失明：</w:t>
      </w:r>
    </w:p>
    <w:p>
      <w:pPr>
        <w:pStyle w:val="4"/>
        <w:spacing w:before="6"/>
        <w:rPr>
          <w:b/>
          <w:sz w:val="15"/>
        </w:rPr>
      </w:pPr>
    </w:p>
    <w:p>
      <w:pPr>
        <w:pStyle w:val="4"/>
        <w:spacing w:before="1"/>
        <w:ind w:left="2485"/>
      </w:pPr>
      <w:r>
        <w:rPr>
          <w:spacing w:val="-1"/>
          <w:w w:val="95"/>
        </w:rPr>
        <w:t>指因疾病或意外导致单眼视力永久不可逆性丧失，须满足下列至少一项条件：</w:t>
      </w:r>
    </w:p>
    <w:p>
      <w:pPr>
        <w:pStyle w:val="4"/>
        <w:spacing w:before="6"/>
        <w:rPr>
          <w:sz w:val="15"/>
        </w:rPr>
      </w:pPr>
    </w:p>
    <w:p>
      <w:pPr>
        <w:pStyle w:val="9"/>
        <w:numPr>
          <w:ilvl w:val="0"/>
          <w:numId w:val="91"/>
        </w:numPr>
        <w:tabs>
          <w:tab w:val="left" w:pos="3205"/>
          <w:tab w:val="left" w:pos="3206"/>
        </w:tabs>
        <w:spacing w:before="0" w:after="0" w:line="240" w:lineRule="auto"/>
        <w:ind w:left="3205" w:right="0" w:hanging="721"/>
        <w:jc w:val="left"/>
        <w:rPr>
          <w:sz w:val="21"/>
        </w:rPr>
      </w:pPr>
      <w:r>
        <w:rPr>
          <w:spacing w:val="-2"/>
          <w:w w:val="95"/>
          <w:sz w:val="21"/>
        </w:rPr>
        <w:t>眼球缺失或摘除；</w:t>
      </w:r>
    </w:p>
    <w:p>
      <w:pPr>
        <w:pStyle w:val="4"/>
        <w:spacing w:before="7"/>
        <w:rPr>
          <w:sz w:val="15"/>
        </w:rPr>
      </w:pPr>
    </w:p>
    <w:p>
      <w:pPr>
        <w:pStyle w:val="9"/>
        <w:numPr>
          <w:ilvl w:val="0"/>
          <w:numId w:val="91"/>
        </w:numPr>
        <w:tabs>
          <w:tab w:val="left" w:pos="3205"/>
          <w:tab w:val="left" w:pos="3206"/>
        </w:tabs>
        <w:spacing w:before="0" w:after="0" w:line="278" w:lineRule="auto"/>
        <w:ind w:left="3205" w:right="350" w:hanging="720"/>
        <w:jc w:val="left"/>
        <w:rPr>
          <w:sz w:val="21"/>
        </w:rPr>
      </w:pPr>
      <w:r>
        <w:rPr>
          <w:spacing w:val="1"/>
          <w:w w:val="99"/>
          <w:sz w:val="21"/>
        </w:rPr>
        <w:t>矫正视力低于</w:t>
      </w:r>
      <w:r>
        <w:rPr>
          <w:spacing w:val="-50"/>
          <w:sz w:val="21"/>
        </w:rPr>
        <w:t xml:space="preserve"> </w:t>
      </w:r>
      <w:r>
        <w:rPr>
          <w:spacing w:val="1"/>
          <w:w w:val="99"/>
          <w:sz w:val="21"/>
        </w:rPr>
        <w:t>0.02</w:t>
      </w:r>
      <w:r>
        <w:rPr>
          <w:spacing w:val="2"/>
          <w:w w:val="99"/>
          <w:sz w:val="21"/>
        </w:rPr>
        <w:t>（</w:t>
      </w:r>
      <w:r>
        <w:rPr>
          <w:spacing w:val="1"/>
          <w:w w:val="99"/>
          <w:sz w:val="21"/>
        </w:rPr>
        <w:t>采用国际标准视力表，如果使用其它视力表应进行换</w:t>
      </w:r>
      <w:r>
        <w:rPr>
          <w:spacing w:val="2"/>
          <w:w w:val="99"/>
          <w:sz w:val="21"/>
        </w:rPr>
        <w:t>算</w:t>
      </w:r>
      <w:r>
        <w:rPr>
          <w:spacing w:val="-106"/>
          <w:w w:val="99"/>
          <w:sz w:val="21"/>
        </w:rPr>
        <w:t>）</w:t>
      </w:r>
      <w:r>
        <w:rPr>
          <w:w w:val="99"/>
          <w:sz w:val="21"/>
        </w:rPr>
        <w:t>；</w:t>
      </w:r>
    </w:p>
    <w:p>
      <w:pPr>
        <w:pStyle w:val="9"/>
        <w:numPr>
          <w:ilvl w:val="0"/>
          <w:numId w:val="91"/>
        </w:numPr>
        <w:tabs>
          <w:tab w:val="left" w:pos="3205"/>
          <w:tab w:val="left" w:pos="3206"/>
        </w:tabs>
        <w:spacing w:before="156" w:after="0" w:line="240" w:lineRule="auto"/>
        <w:ind w:left="3205" w:right="0" w:hanging="721"/>
        <w:jc w:val="left"/>
        <w:rPr>
          <w:sz w:val="21"/>
        </w:rPr>
      </w:pPr>
      <w:r>
        <w:rPr>
          <w:spacing w:val="-2"/>
          <w:w w:val="95"/>
          <w:sz w:val="21"/>
        </w:rPr>
        <w:t xml:space="preserve">视野半径小于 </w:t>
      </w:r>
      <w:r>
        <w:rPr>
          <w:w w:val="95"/>
          <w:sz w:val="21"/>
        </w:rPr>
        <w:t>5</w:t>
      </w:r>
      <w:r>
        <w:rPr>
          <w:spacing w:val="-9"/>
          <w:w w:val="95"/>
          <w:sz w:val="21"/>
        </w:rPr>
        <w:t xml:space="preserve"> 度。</w:t>
      </w:r>
    </w:p>
    <w:p>
      <w:pPr>
        <w:pStyle w:val="4"/>
        <w:spacing w:before="1"/>
        <w:rPr>
          <w:sz w:val="10"/>
        </w:rPr>
      </w:pPr>
    </w:p>
    <w:p>
      <w:pPr>
        <w:pStyle w:val="4"/>
        <w:spacing w:before="70" w:line="278" w:lineRule="auto"/>
        <w:ind w:left="2485" w:right="350"/>
        <w:jc w:val="both"/>
      </w:pPr>
      <w:r>
        <w:rPr>
          <w:color w:val="000000"/>
          <w:spacing w:val="-27"/>
          <w:w w:val="99"/>
          <w:shd w:val="clear" w:color="auto" w:fill="E4E4E4"/>
        </w:rPr>
        <w:t xml:space="preserve">本公司对“视力严重受损”、“角膜移植”、“单眼失明”、“糖尿病视网膜晚期增生性                                                                                                                                              </w:t>
      </w:r>
      <w:r>
        <w:rPr>
          <w:color w:val="000000"/>
          <w:spacing w:val="-3"/>
          <w:w w:val="99"/>
          <w:shd w:val="clear" w:color="auto" w:fill="E4E4E4"/>
        </w:rPr>
        <w:t>病变”四项中的其中一项承担保险责任，给付其中一项保险金后，对其他三项轻度</w:t>
      </w:r>
      <w:r>
        <w:rPr>
          <w:color w:val="000000"/>
          <w:spacing w:val="-1"/>
          <w:w w:val="99"/>
          <w:shd w:val="clear" w:color="auto" w:fill="E4E4E4"/>
        </w:rPr>
        <w:t>疾病保险责任同时终止。</w:t>
      </w:r>
    </w:p>
    <w:p>
      <w:pPr>
        <w:pStyle w:val="3"/>
        <w:numPr>
          <w:ilvl w:val="0"/>
          <w:numId w:val="86"/>
        </w:numPr>
        <w:tabs>
          <w:tab w:val="left" w:pos="3120"/>
        </w:tabs>
        <w:spacing w:before="155" w:after="0" w:line="240" w:lineRule="auto"/>
        <w:ind w:left="3119" w:right="0" w:hanging="635"/>
        <w:jc w:val="left"/>
      </w:pPr>
      <w:r>
        <w:rPr>
          <w:spacing w:val="-2"/>
          <w:w w:val="95"/>
        </w:rPr>
        <w:t>较小面积Ⅲ度烧伤：</w:t>
      </w:r>
    </w:p>
    <w:p>
      <w:pPr>
        <w:pStyle w:val="4"/>
        <w:spacing w:before="7"/>
        <w:rPr>
          <w:b/>
          <w:sz w:val="15"/>
        </w:rPr>
      </w:pPr>
    </w:p>
    <w:p>
      <w:pPr>
        <w:pStyle w:val="4"/>
        <w:spacing w:line="278" w:lineRule="auto"/>
        <w:ind w:left="2485" w:right="338"/>
        <w:jc w:val="both"/>
      </w:pPr>
      <w:r>
        <w:rPr>
          <w:spacing w:val="1"/>
          <w:w w:val="99"/>
        </w:rPr>
        <w:t>指烧伤程度为Ⅲ度，且Ⅲ度烧伤面积为全身体表面积的</w:t>
      </w:r>
      <w:r>
        <w:rPr>
          <w:spacing w:val="-48"/>
        </w:rPr>
        <w:t xml:space="preserve"> </w:t>
      </w:r>
      <w:r>
        <w:rPr>
          <w:spacing w:val="1"/>
          <w:w w:val="99"/>
        </w:rPr>
        <w:t>10%</w:t>
      </w:r>
      <w:r>
        <w:rPr>
          <w:w w:val="99"/>
        </w:rPr>
        <w:t>或</w:t>
      </w:r>
      <w:r>
        <w:rPr>
          <w:spacing w:val="-50"/>
        </w:rPr>
        <w:t xml:space="preserve"> </w:t>
      </w:r>
      <w:r>
        <w:rPr>
          <w:spacing w:val="1"/>
          <w:w w:val="99"/>
        </w:rPr>
        <w:t>10%以上，且未达到</w:t>
      </w:r>
      <w:r>
        <w:rPr>
          <w:spacing w:val="-1"/>
          <w:w w:val="99"/>
        </w:rPr>
        <w:t>中度疾病“全身中度面积Ⅲ度烧伤”的给付标准。体表面积根据《中国新九分法》</w:t>
      </w:r>
      <w:r>
        <w:rPr>
          <w:w w:val="99"/>
        </w:rPr>
        <w:t>计算。</w:t>
      </w:r>
    </w:p>
    <w:p>
      <w:pPr>
        <w:pStyle w:val="3"/>
        <w:numPr>
          <w:ilvl w:val="0"/>
          <w:numId w:val="86"/>
        </w:numPr>
        <w:tabs>
          <w:tab w:val="left" w:pos="3120"/>
        </w:tabs>
        <w:spacing w:before="156" w:after="0" w:line="240" w:lineRule="auto"/>
        <w:ind w:left="3119" w:right="0" w:hanging="635"/>
        <w:jc w:val="left"/>
      </w:pPr>
      <w:r>
        <w:rPr>
          <w:w w:val="95"/>
        </w:rPr>
        <w:t>主动脉内手术（非开胸手术</w:t>
      </w:r>
      <w:r>
        <w:rPr>
          <w:spacing w:val="-109"/>
          <w:w w:val="95"/>
        </w:rPr>
        <w:t>）</w:t>
      </w:r>
      <w:r>
        <w:rPr>
          <w:spacing w:val="-5"/>
          <w:w w:val="95"/>
        </w:rPr>
        <w:t>：</w:t>
      </w:r>
    </w:p>
    <w:p>
      <w:pPr>
        <w:pStyle w:val="4"/>
        <w:spacing w:before="6"/>
        <w:rPr>
          <w:b/>
          <w:sz w:val="15"/>
        </w:rPr>
      </w:pPr>
    </w:p>
    <w:p>
      <w:pPr>
        <w:pStyle w:val="4"/>
        <w:spacing w:line="278" w:lineRule="auto"/>
        <w:ind w:left="2485" w:right="350"/>
      </w:pPr>
      <w:r>
        <w:rPr>
          <w:spacing w:val="-2"/>
          <w:w w:val="99"/>
        </w:rPr>
        <w:t>为了治疗主动脉疾病实际实施了经皮经导管进行的动脉内手术。主动脉指胸主动脉</w:t>
      </w:r>
      <w:r>
        <w:rPr>
          <w:spacing w:val="-1"/>
          <w:w w:val="99"/>
        </w:rPr>
        <w:t>和腹主动脉，</w:t>
      </w:r>
      <w:r>
        <w:rPr>
          <w:color w:val="000000"/>
          <w:spacing w:val="-1"/>
          <w:w w:val="99"/>
          <w:shd w:val="clear" w:color="auto" w:fill="E4E4E4"/>
        </w:rPr>
        <w:t>不包括胸主动脉和腹主动脉的分支血管</w:t>
      </w:r>
      <w:r>
        <w:rPr>
          <w:color w:val="000000"/>
          <w:w w:val="99"/>
        </w:rPr>
        <w:t>。</w:t>
      </w:r>
    </w:p>
    <w:p>
      <w:pPr>
        <w:pStyle w:val="3"/>
        <w:numPr>
          <w:ilvl w:val="0"/>
          <w:numId w:val="86"/>
        </w:numPr>
        <w:tabs>
          <w:tab w:val="left" w:pos="3120"/>
        </w:tabs>
        <w:spacing w:before="156" w:after="0" w:line="240" w:lineRule="auto"/>
        <w:ind w:left="3119" w:right="0" w:hanging="635"/>
        <w:jc w:val="left"/>
      </w:pPr>
      <w:r>
        <w:rPr>
          <w:spacing w:val="-1"/>
          <w:w w:val="95"/>
        </w:rPr>
        <w:t>糖尿病视网膜晚期增生性病变：</w:t>
      </w:r>
    </w:p>
    <w:p>
      <w:pPr>
        <w:pStyle w:val="4"/>
        <w:spacing w:before="7"/>
        <w:rPr>
          <w:b/>
          <w:sz w:val="15"/>
        </w:rPr>
      </w:pPr>
    </w:p>
    <w:p>
      <w:pPr>
        <w:pStyle w:val="4"/>
        <w:ind w:left="2485"/>
      </w:pPr>
      <w:r>
        <w:rPr>
          <w:spacing w:val="-1"/>
          <w:w w:val="95"/>
        </w:rPr>
        <w:t>因糖尿病而并发视网膜晚期增生性血管病变，并必须符合下列所有理赔条件：</w:t>
      </w:r>
    </w:p>
    <w:p>
      <w:pPr>
        <w:pStyle w:val="4"/>
        <w:spacing w:before="7"/>
        <w:rPr>
          <w:sz w:val="15"/>
        </w:rPr>
      </w:pPr>
    </w:p>
    <w:p>
      <w:pPr>
        <w:pStyle w:val="9"/>
        <w:numPr>
          <w:ilvl w:val="0"/>
          <w:numId w:val="92"/>
        </w:numPr>
        <w:tabs>
          <w:tab w:val="left" w:pos="3205"/>
          <w:tab w:val="left" w:pos="3206"/>
        </w:tabs>
        <w:spacing w:before="0" w:after="0" w:line="240" w:lineRule="auto"/>
        <w:ind w:left="3205" w:right="0" w:hanging="721"/>
        <w:jc w:val="left"/>
        <w:rPr>
          <w:sz w:val="21"/>
        </w:rPr>
      </w:pPr>
      <w:r>
        <w:rPr>
          <w:spacing w:val="-1"/>
          <w:w w:val="95"/>
          <w:sz w:val="21"/>
        </w:rPr>
        <w:t>确诊糖尿病视网膜病变时被保险人已患有糖尿病；</w:t>
      </w:r>
    </w:p>
    <w:p>
      <w:pPr>
        <w:pStyle w:val="4"/>
        <w:spacing w:before="6"/>
        <w:rPr>
          <w:sz w:val="15"/>
        </w:rPr>
      </w:pPr>
    </w:p>
    <w:p>
      <w:pPr>
        <w:pStyle w:val="9"/>
        <w:numPr>
          <w:ilvl w:val="0"/>
          <w:numId w:val="92"/>
        </w:numPr>
        <w:tabs>
          <w:tab w:val="left" w:pos="3205"/>
          <w:tab w:val="left" w:pos="3206"/>
        </w:tabs>
        <w:spacing w:before="0" w:after="0" w:line="278" w:lineRule="auto"/>
        <w:ind w:left="3205" w:right="347" w:hanging="720"/>
        <w:jc w:val="left"/>
        <w:rPr>
          <w:sz w:val="21"/>
        </w:rPr>
      </w:pPr>
      <w:r>
        <w:rPr>
          <w:spacing w:val="-1"/>
          <w:w w:val="99"/>
          <w:sz w:val="21"/>
        </w:rPr>
        <w:t>双眼最佳矫正视力低于</w:t>
      </w:r>
      <w:r>
        <w:rPr>
          <w:spacing w:val="-53"/>
          <w:sz w:val="21"/>
        </w:rPr>
        <w:t xml:space="preserve"> </w:t>
      </w:r>
      <w:r>
        <w:rPr>
          <w:spacing w:val="1"/>
          <w:w w:val="99"/>
          <w:sz w:val="21"/>
        </w:rPr>
        <w:t>0.</w:t>
      </w:r>
      <w:r>
        <w:rPr>
          <w:spacing w:val="-26"/>
          <w:w w:val="99"/>
          <w:sz w:val="21"/>
        </w:rPr>
        <w:t>3</w:t>
      </w:r>
      <w:r>
        <w:rPr>
          <w:spacing w:val="2"/>
          <w:w w:val="99"/>
          <w:sz w:val="21"/>
        </w:rPr>
        <w:t>（</w:t>
      </w:r>
      <w:r>
        <w:rPr>
          <w:spacing w:val="-4"/>
          <w:w w:val="99"/>
          <w:sz w:val="21"/>
        </w:rPr>
        <w:t>采用国际标准视力表，如果使用其他视力表应</w:t>
      </w:r>
      <w:r>
        <w:rPr>
          <w:spacing w:val="-1"/>
          <w:w w:val="99"/>
          <w:sz w:val="21"/>
        </w:rPr>
        <w:t>进行换算</w:t>
      </w:r>
      <w:r>
        <w:rPr>
          <w:spacing w:val="-104"/>
          <w:w w:val="99"/>
          <w:sz w:val="21"/>
        </w:rPr>
        <w:t>）</w:t>
      </w:r>
      <w:r>
        <w:rPr>
          <w:w w:val="99"/>
          <w:sz w:val="21"/>
        </w:rPr>
        <w:t>；</w:t>
      </w:r>
    </w:p>
    <w:p>
      <w:pPr>
        <w:pStyle w:val="9"/>
        <w:numPr>
          <w:ilvl w:val="0"/>
          <w:numId w:val="92"/>
        </w:numPr>
        <w:tabs>
          <w:tab w:val="left" w:pos="3205"/>
          <w:tab w:val="left" w:pos="3206"/>
        </w:tabs>
        <w:spacing w:before="156" w:after="0" w:line="240" w:lineRule="auto"/>
        <w:ind w:left="3205" w:right="0" w:hanging="721"/>
        <w:jc w:val="left"/>
        <w:rPr>
          <w:sz w:val="21"/>
        </w:rPr>
      </w:pPr>
      <w:r>
        <w:rPr>
          <w:spacing w:val="-1"/>
          <w:w w:val="95"/>
          <w:sz w:val="21"/>
        </w:rPr>
        <w:t>被保险人已确实进行了激光治疗等以改善视力障碍；</w:t>
      </w:r>
    </w:p>
    <w:p>
      <w:pPr>
        <w:pStyle w:val="4"/>
        <w:spacing w:before="7"/>
        <w:rPr>
          <w:sz w:val="15"/>
        </w:rPr>
      </w:pPr>
    </w:p>
    <w:p>
      <w:pPr>
        <w:pStyle w:val="9"/>
        <w:numPr>
          <w:ilvl w:val="0"/>
          <w:numId w:val="92"/>
        </w:numPr>
        <w:tabs>
          <w:tab w:val="left" w:pos="3205"/>
          <w:tab w:val="left" w:pos="3206"/>
        </w:tabs>
        <w:spacing w:before="0" w:after="0" w:line="278" w:lineRule="auto"/>
        <w:ind w:left="3205" w:right="350" w:hanging="720"/>
        <w:jc w:val="left"/>
        <w:rPr>
          <w:sz w:val="21"/>
        </w:rPr>
      </w:pPr>
      <w:r>
        <w:rPr>
          <w:spacing w:val="-10"/>
          <w:w w:val="99"/>
          <w:sz w:val="21"/>
        </w:rPr>
        <w:t>糖尿病视网膜病变的诊断、视力障碍的程度及治疗的医疗之必要性必须由本</w:t>
      </w:r>
      <w:r>
        <w:rPr>
          <w:spacing w:val="-1"/>
          <w:w w:val="99"/>
          <w:sz w:val="21"/>
        </w:rPr>
        <w:t>公司认可的医疗机构的眼科专科医生确定。</w:t>
      </w:r>
    </w:p>
    <w:p>
      <w:pPr>
        <w:spacing w:after="0" w:line="278" w:lineRule="auto"/>
        <w:jc w:val="left"/>
        <w:rPr>
          <w:sz w:val="21"/>
        </w:rPr>
        <w:sectPr>
          <w:pgSz w:w="11910" w:h="16840"/>
          <w:pgMar w:top="1400" w:right="660" w:bottom="860" w:left="860" w:header="0" w:footer="662" w:gutter="0"/>
          <w:cols w:space="720" w:num="1"/>
        </w:sectPr>
      </w:pPr>
    </w:p>
    <w:p>
      <w:pPr>
        <w:pStyle w:val="4"/>
        <w:ind w:left="2486"/>
        <w:rPr>
          <w:sz w:val="20"/>
        </w:rPr>
      </w:pPr>
      <w:r>
        <w:rPr>
          <w:sz w:val="20"/>
        </w:rPr>
        <w:pict>
          <v:shape id="docshape40" o:spid="_x0000_s1064" o:spt="202" type="#_x0000_t202" style="height:13.6pt;width:377.4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28"/>
                      <w:w w:val="95"/>
                    </w:rPr>
                    <w:t>本公司对“视力严重受损”、“角膜移植”、“单眼失明”、“糖尿病视网膜晚期增生性</w:t>
                  </w:r>
                </w:p>
              </w:txbxContent>
            </v:textbox>
            <w10:wrap type="none"/>
            <w10:anchorlock/>
          </v:shape>
        </w:pict>
      </w:r>
    </w:p>
    <w:p>
      <w:pPr>
        <w:pStyle w:val="4"/>
        <w:ind w:left="2486"/>
        <w:rPr>
          <w:sz w:val="20"/>
        </w:rPr>
      </w:pPr>
      <w:r>
        <w:rPr>
          <w:sz w:val="20"/>
        </w:rPr>
        <w:pict>
          <v:shape id="docshape41" o:spid="_x0000_s1065" o:spt="202" type="#_x0000_t202" style="height:13.6pt;width:377.4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病变”四项中的其中一项承担保险责任，给付其中一项保险金后，对其他三项轻度</w:t>
                  </w:r>
                </w:p>
              </w:txbxContent>
            </v:textbox>
            <w10:wrap type="none"/>
            <w10:anchorlock/>
          </v:shape>
        </w:pict>
      </w:r>
    </w:p>
    <w:p>
      <w:pPr>
        <w:pStyle w:val="4"/>
        <w:ind w:left="2486"/>
        <w:rPr>
          <w:sz w:val="20"/>
        </w:rPr>
      </w:pPr>
      <w:r>
        <w:rPr>
          <w:sz w:val="20"/>
        </w:rPr>
        <w:pict>
          <v:shape id="docshape42" o:spid="_x0000_s1066" o:spt="202" type="#_x0000_t202" style="height:13.6pt;width:115.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疾病保险责任同时终止。</w:t>
                  </w:r>
                </w:p>
              </w:txbxContent>
            </v:textbox>
            <w10:wrap type="none"/>
            <w10:anchorlock/>
          </v:shape>
        </w:pict>
      </w:r>
    </w:p>
    <w:p>
      <w:pPr>
        <w:pStyle w:val="4"/>
        <w:spacing w:before="9"/>
        <w:rPr>
          <w:sz w:val="9"/>
        </w:rPr>
      </w:pPr>
    </w:p>
    <w:p>
      <w:pPr>
        <w:pStyle w:val="3"/>
        <w:numPr>
          <w:ilvl w:val="0"/>
          <w:numId w:val="86"/>
        </w:numPr>
        <w:tabs>
          <w:tab w:val="left" w:pos="3120"/>
        </w:tabs>
        <w:spacing w:before="70" w:after="0" w:line="240" w:lineRule="auto"/>
        <w:ind w:left="3119" w:right="0" w:hanging="635"/>
        <w:jc w:val="left"/>
      </w:pPr>
      <w:r>
        <w:rPr>
          <w:spacing w:val="-1"/>
          <w:w w:val="95"/>
        </w:rPr>
        <w:t>急性坏死性胰腺炎腹腔镜手术：</w:t>
      </w:r>
    </w:p>
    <w:p>
      <w:pPr>
        <w:pStyle w:val="4"/>
        <w:spacing w:before="6"/>
        <w:rPr>
          <w:b/>
          <w:sz w:val="15"/>
        </w:rPr>
      </w:pPr>
    </w:p>
    <w:p>
      <w:pPr>
        <w:pStyle w:val="4"/>
        <w:spacing w:before="1" w:line="278" w:lineRule="auto"/>
        <w:ind w:left="2485" w:right="347"/>
      </w:pPr>
      <w:r>
        <w:rPr>
          <w:spacing w:val="-3"/>
          <w:w w:val="99"/>
        </w:rPr>
        <w:t>指被保险人被确诊为急性坏死性胰腺炎，并实际接受了腹腔镜手术治疗，以进行坏</w:t>
      </w:r>
      <w:r>
        <w:rPr>
          <w:spacing w:val="-1"/>
          <w:w w:val="99"/>
        </w:rPr>
        <w:t>死组织清除、坏死病灶切除或胰腺切除。</w:t>
      </w:r>
    </w:p>
    <w:p>
      <w:pPr>
        <w:pStyle w:val="4"/>
        <w:spacing w:before="155"/>
        <w:ind w:left="2485"/>
      </w:pPr>
      <w:r>
        <w:rPr>
          <w:color w:val="000000"/>
          <w:spacing w:val="-1"/>
          <w:w w:val="95"/>
          <w:shd w:val="clear" w:color="auto" w:fill="E4E4E4"/>
        </w:rPr>
        <w:t>因酗酒或饮酒过量所致的急性坏死性胰腺炎不在保障范围内。</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1"/>
          <w:w w:val="95"/>
        </w:rPr>
        <w:t>肺泡蛋白沉积症肺灌流治疗：</w:t>
      </w:r>
    </w:p>
    <w:p>
      <w:pPr>
        <w:pStyle w:val="4"/>
        <w:spacing w:before="7"/>
        <w:rPr>
          <w:b/>
          <w:sz w:val="15"/>
        </w:rPr>
      </w:pPr>
    </w:p>
    <w:p>
      <w:pPr>
        <w:pStyle w:val="4"/>
        <w:spacing w:line="278" w:lineRule="auto"/>
        <w:ind w:left="2485" w:right="350"/>
      </w:pPr>
      <w:r>
        <w:rPr>
          <w:spacing w:val="-2"/>
          <w:w w:val="99"/>
        </w:rPr>
        <w:t>肺泡蛋白质沉积症是一种弥漫性肺部疾病，其组织学特征为肺泡腔内及终末细支气</w:t>
      </w:r>
      <w:r>
        <w:rPr>
          <w:spacing w:val="-1"/>
          <w:w w:val="99"/>
        </w:rPr>
        <w:t>管内堆积过量的磷脂蛋白样物质。必须满足下列所有条件：</w:t>
      </w:r>
    </w:p>
    <w:p>
      <w:pPr>
        <w:pStyle w:val="9"/>
        <w:numPr>
          <w:ilvl w:val="0"/>
          <w:numId w:val="93"/>
        </w:numPr>
        <w:tabs>
          <w:tab w:val="left" w:pos="3205"/>
          <w:tab w:val="left" w:pos="3206"/>
        </w:tabs>
        <w:spacing w:before="156" w:after="0" w:line="240" w:lineRule="auto"/>
        <w:ind w:left="3205" w:right="0" w:hanging="721"/>
        <w:jc w:val="left"/>
        <w:rPr>
          <w:sz w:val="21"/>
        </w:rPr>
      </w:pPr>
      <w:r>
        <w:rPr>
          <w:spacing w:val="-1"/>
          <w:w w:val="95"/>
          <w:sz w:val="21"/>
        </w:rPr>
        <w:t>经组织病理学检查明确诊断；</w:t>
      </w:r>
    </w:p>
    <w:p>
      <w:pPr>
        <w:pStyle w:val="4"/>
        <w:spacing w:before="6"/>
        <w:rPr>
          <w:sz w:val="15"/>
        </w:rPr>
      </w:pPr>
    </w:p>
    <w:p>
      <w:pPr>
        <w:pStyle w:val="9"/>
        <w:numPr>
          <w:ilvl w:val="0"/>
          <w:numId w:val="93"/>
        </w:numPr>
        <w:tabs>
          <w:tab w:val="left" w:pos="3205"/>
          <w:tab w:val="left" w:pos="3206"/>
        </w:tabs>
        <w:spacing w:before="0" w:after="0" w:line="240" w:lineRule="auto"/>
        <w:ind w:left="3205" w:right="0" w:hanging="721"/>
        <w:jc w:val="left"/>
        <w:rPr>
          <w:sz w:val="21"/>
        </w:rPr>
      </w:pPr>
      <w:r>
        <w:rPr>
          <w:w w:val="95"/>
          <w:sz w:val="21"/>
        </w:rPr>
        <w:t>实际接受了至少</w:t>
      </w:r>
      <w:r>
        <w:rPr>
          <w:spacing w:val="23"/>
          <w:sz w:val="21"/>
        </w:rPr>
        <w:t xml:space="preserve"> </w:t>
      </w:r>
      <w:r>
        <w:rPr>
          <w:w w:val="95"/>
          <w:sz w:val="21"/>
        </w:rPr>
        <w:t>2</w:t>
      </w:r>
      <w:r>
        <w:rPr>
          <w:spacing w:val="27"/>
          <w:sz w:val="21"/>
        </w:rPr>
        <w:t xml:space="preserve"> </w:t>
      </w:r>
      <w:r>
        <w:rPr>
          <w:spacing w:val="-1"/>
          <w:w w:val="95"/>
          <w:sz w:val="21"/>
        </w:rPr>
        <w:t>次支气管肺泡灌洗治疗。</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2"/>
          <w:w w:val="95"/>
        </w:rPr>
        <w:t>早期原发性心肌病：</w:t>
      </w:r>
    </w:p>
    <w:p>
      <w:pPr>
        <w:pStyle w:val="4"/>
        <w:spacing w:before="7"/>
        <w:rPr>
          <w:b/>
          <w:sz w:val="15"/>
        </w:rPr>
      </w:pPr>
    </w:p>
    <w:p>
      <w:pPr>
        <w:pStyle w:val="4"/>
        <w:ind w:left="2485"/>
      </w:pPr>
      <w:r>
        <w:rPr>
          <w:spacing w:val="-1"/>
          <w:w w:val="95"/>
        </w:rPr>
        <w:t>被诊断为原发性心肌病，并符合下列全部条件：</w:t>
      </w:r>
    </w:p>
    <w:p>
      <w:pPr>
        <w:pStyle w:val="4"/>
        <w:spacing w:before="6"/>
        <w:rPr>
          <w:sz w:val="15"/>
        </w:rPr>
      </w:pPr>
    </w:p>
    <w:p>
      <w:pPr>
        <w:pStyle w:val="9"/>
        <w:numPr>
          <w:ilvl w:val="0"/>
          <w:numId w:val="94"/>
        </w:numPr>
        <w:tabs>
          <w:tab w:val="left" w:pos="3206"/>
        </w:tabs>
        <w:spacing w:before="1" w:after="0" w:line="278" w:lineRule="auto"/>
        <w:ind w:left="3205" w:right="345" w:hanging="720"/>
        <w:jc w:val="both"/>
        <w:rPr>
          <w:sz w:val="21"/>
        </w:rPr>
      </w:pPr>
      <w:r>
        <w:rPr>
          <w:spacing w:val="-10"/>
          <w:w w:val="99"/>
          <w:sz w:val="21"/>
        </w:rPr>
        <w:t>导致心室功能受损，其受损程度达到美国纽约心脏病学会心脏功能分级第Ⅲ</w:t>
      </w:r>
      <w:r>
        <w:rPr>
          <w:spacing w:val="-9"/>
          <w:w w:val="99"/>
          <w:sz w:val="21"/>
        </w:rPr>
        <w:t>级，或其同等级別，即：体力活动明显受限，休息时无症状，轻于日常的活</w:t>
      </w:r>
      <w:r>
        <w:rPr>
          <w:spacing w:val="-1"/>
          <w:w w:val="99"/>
          <w:sz w:val="21"/>
        </w:rPr>
        <w:t>动即可引起充血性心力衰竭的症状；</w:t>
      </w:r>
    </w:p>
    <w:p>
      <w:pPr>
        <w:pStyle w:val="9"/>
        <w:numPr>
          <w:ilvl w:val="0"/>
          <w:numId w:val="94"/>
        </w:numPr>
        <w:tabs>
          <w:tab w:val="left" w:pos="3206"/>
        </w:tabs>
        <w:spacing w:before="155" w:after="0" w:line="240" w:lineRule="auto"/>
        <w:ind w:left="3205" w:right="0" w:hanging="721"/>
        <w:jc w:val="both"/>
        <w:rPr>
          <w:sz w:val="21"/>
        </w:rPr>
      </w:pPr>
      <w:r>
        <w:rPr>
          <w:w w:val="95"/>
          <w:sz w:val="21"/>
        </w:rPr>
        <w:t>左室射血分数</w:t>
      </w:r>
      <w:r>
        <w:rPr>
          <w:spacing w:val="1"/>
          <w:sz w:val="21"/>
        </w:rPr>
        <w:t xml:space="preserve"> </w:t>
      </w:r>
      <w:r>
        <w:rPr>
          <w:spacing w:val="-2"/>
          <w:w w:val="95"/>
          <w:sz w:val="21"/>
        </w:rPr>
        <w:t>LVEF＜35%；</w:t>
      </w:r>
    </w:p>
    <w:p>
      <w:pPr>
        <w:pStyle w:val="4"/>
        <w:spacing w:before="7"/>
        <w:rPr>
          <w:sz w:val="15"/>
        </w:rPr>
      </w:pPr>
    </w:p>
    <w:p>
      <w:pPr>
        <w:pStyle w:val="9"/>
        <w:numPr>
          <w:ilvl w:val="0"/>
          <w:numId w:val="94"/>
        </w:numPr>
        <w:tabs>
          <w:tab w:val="left" w:pos="3205"/>
          <w:tab w:val="left" w:pos="3206"/>
        </w:tabs>
        <w:spacing w:before="0" w:after="0" w:line="278" w:lineRule="auto"/>
        <w:ind w:left="3205" w:right="350" w:hanging="720"/>
        <w:jc w:val="left"/>
        <w:rPr>
          <w:sz w:val="21"/>
        </w:rPr>
      </w:pPr>
      <w:r>
        <w:rPr>
          <w:spacing w:val="-5"/>
          <w:w w:val="99"/>
          <w:sz w:val="21"/>
        </w:rPr>
        <w:t>原发性心肌病的诊断必须由本公司认可医院的心脏专科医生确认，并提供心</w:t>
      </w:r>
      <w:r>
        <w:rPr>
          <w:spacing w:val="-1"/>
          <w:w w:val="99"/>
          <w:sz w:val="21"/>
        </w:rPr>
        <w:t>脏超声检查结果报告。</w:t>
      </w:r>
    </w:p>
    <w:p>
      <w:pPr>
        <w:pStyle w:val="4"/>
        <w:spacing w:before="156"/>
        <w:ind w:left="2485"/>
      </w:pPr>
      <w:r>
        <w:rPr>
          <w:spacing w:val="-1"/>
          <w:w w:val="95"/>
        </w:rPr>
        <w:t>本保障范围内的心肌病包括扩张型心肌病、肥厚型心肌病及限制型心肌病。</w:t>
      </w:r>
    </w:p>
    <w:p>
      <w:pPr>
        <w:pStyle w:val="4"/>
        <w:spacing w:before="6"/>
        <w:rPr>
          <w:sz w:val="15"/>
        </w:rPr>
      </w:pPr>
    </w:p>
    <w:p>
      <w:pPr>
        <w:pStyle w:val="3"/>
        <w:numPr>
          <w:ilvl w:val="0"/>
          <w:numId w:val="86"/>
        </w:numPr>
        <w:tabs>
          <w:tab w:val="left" w:pos="3120"/>
        </w:tabs>
        <w:spacing w:before="1" w:after="0" w:line="240" w:lineRule="auto"/>
        <w:ind w:left="3119" w:right="0" w:hanging="635"/>
        <w:jc w:val="left"/>
      </w:pPr>
      <w:r>
        <w:rPr>
          <w:spacing w:val="-1"/>
          <w:w w:val="95"/>
        </w:rPr>
        <w:t>脑动脉瘤及脑血管瘤：</w:t>
      </w:r>
    </w:p>
    <w:p>
      <w:pPr>
        <w:pStyle w:val="4"/>
        <w:spacing w:before="6"/>
        <w:rPr>
          <w:b/>
          <w:sz w:val="15"/>
        </w:rPr>
      </w:pPr>
    </w:p>
    <w:p>
      <w:pPr>
        <w:pStyle w:val="4"/>
        <w:spacing w:line="278" w:lineRule="auto"/>
        <w:ind w:left="2485" w:right="338"/>
      </w:pPr>
      <w:r>
        <w:rPr>
          <w:spacing w:val="-1"/>
          <w:w w:val="99"/>
        </w:rPr>
        <w:t>指经头颅断层扫描</w:t>
      </w:r>
      <w:r>
        <w:rPr>
          <w:spacing w:val="2"/>
          <w:w w:val="99"/>
        </w:rPr>
        <w:t>（</w:t>
      </w:r>
      <w:r>
        <w:rPr>
          <w:spacing w:val="1"/>
          <w:w w:val="99"/>
        </w:rPr>
        <w:t>C</w:t>
      </w:r>
      <w:r>
        <w:rPr>
          <w:spacing w:val="-2"/>
          <w:w w:val="99"/>
        </w:rPr>
        <w:t>T</w:t>
      </w:r>
      <w:r>
        <w:rPr>
          <w:spacing w:val="-104"/>
          <w:w w:val="99"/>
        </w:rPr>
        <w:t>）</w:t>
      </w:r>
      <w:r>
        <w:rPr>
          <w:spacing w:val="-1"/>
          <w:w w:val="99"/>
        </w:rPr>
        <w:t>、核磁共振</w:t>
      </w:r>
      <w:r>
        <w:rPr>
          <w:spacing w:val="2"/>
          <w:w w:val="99"/>
        </w:rPr>
        <w:t>（</w:t>
      </w:r>
      <w:r>
        <w:rPr>
          <w:spacing w:val="1"/>
          <w:w w:val="99"/>
        </w:rPr>
        <w:t>MR</w:t>
      </w:r>
      <w:r>
        <w:rPr>
          <w:spacing w:val="-2"/>
          <w:w w:val="99"/>
        </w:rPr>
        <w:t>I</w:t>
      </w:r>
      <w:r>
        <w:rPr>
          <w:spacing w:val="-1"/>
          <w:w w:val="99"/>
        </w:rPr>
        <w:t>）或其他影像学检查被确诊为脑动脉瘤、脑血管瘤，并实际接受了手术或放射治疗。</w:t>
      </w:r>
    </w:p>
    <w:p>
      <w:pPr>
        <w:pStyle w:val="3"/>
        <w:numPr>
          <w:ilvl w:val="0"/>
          <w:numId w:val="86"/>
        </w:numPr>
        <w:tabs>
          <w:tab w:val="left" w:pos="3120"/>
        </w:tabs>
        <w:spacing w:before="156" w:after="0" w:line="240" w:lineRule="auto"/>
        <w:ind w:left="3119" w:right="0" w:hanging="635"/>
        <w:jc w:val="left"/>
      </w:pPr>
      <w:r>
        <w:rPr>
          <w:spacing w:val="-2"/>
          <w:w w:val="95"/>
        </w:rPr>
        <w:t>轻度面部烧伤：</w:t>
      </w:r>
    </w:p>
    <w:p>
      <w:pPr>
        <w:pStyle w:val="4"/>
        <w:spacing w:before="7"/>
        <w:rPr>
          <w:b/>
          <w:sz w:val="15"/>
        </w:rPr>
      </w:pPr>
    </w:p>
    <w:p>
      <w:pPr>
        <w:pStyle w:val="4"/>
        <w:spacing w:line="278" w:lineRule="auto"/>
        <w:ind w:left="2485" w:right="338"/>
      </w:pPr>
      <w:r>
        <w:rPr>
          <w:spacing w:val="1"/>
          <w:w w:val="99"/>
        </w:rPr>
        <w:t>指面部Ⅲ度烧伤且烧伤面积达到面部表面积的</w:t>
      </w:r>
      <w:r>
        <w:rPr>
          <w:spacing w:val="-50"/>
        </w:rPr>
        <w:t xml:space="preserve"> </w:t>
      </w:r>
      <w:r>
        <w:rPr>
          <w:spacing w:val="1"/>
          <w:w w:val="99"/>
        </w:rPr>
        <w:t>1/</w:t>
      </w:r>
      <w:r>
        <w:rPr>
          <w:w w:val="99"/>
        </w:rPr>
        <w:t>3</w:t>
      </w:r>
      <w:r>
        <w:rPr>
          <w:spacing w:val="-52"/>
        </w:rPr>
        <w:t xml:space="preserve"> </w:t>
      </w:r>
      <w:r>
        <w:rPr>
          <w:spacing w:val="1"/>
          <w:w w:val="99"/>
        </w:rPr>
        <w:t>或全身体表面积的</w:t>
      </w:r>
      <w:r>
        <w:rPr>
          <w:spacing w:val="-50"/>
        </w:rPr>
        <w:t xml:space="preserve"> </w:t>
      </w:r>
      <w:r>
        <w:rPr>
          <w:spacing w:val="1"/>
          <w:w w:val="99"/>
        </w:rPr>
        <w:t>1％；且未达</w:t>
      </w:r>
      <w:r>
        <w:rPr>
          <w:spacing w:val="-1"/>
          <w:w w:val="99"/>
        </w:rPr>
        <w:t>到重大疾病“严重面部烧伤”的给付标准。体表面积根据《中国新九分法》计算。</w:t>
      </w:r>
    </w:p>
    <w:p>
      <w:pPr>
        <w:pStyle w:val="3"/>
        <w:numPr>
          <w:ilvl w:val="0"/>
          <w:numId w:val="86"/>
        </w:numPr>
        <w:tabs>
          <w:tab w:val="left" w:pos="3120"/>
        </w:tabs>
        <w:spacing w:before="156" w:after="0" w:line="240" w:lineRule="auto"/>
        <w:ind w:left="3119" w:right="0" w:hanging="635"/>
        <w:jc w:val="left"/>
      </w:pPr>
      <w:r>
        <w:rPr>
          <w:spacing w:val="-2"/>
          <w:w w:val="95"/>
        </w:rPr>
        <w:t>系统性红斑狼疮：</w:t>
      </w:r>
    </w:p>
    <w:p>
      <w:pPr>
        <w:pStyle w:val="4"/>
        <w:spacing w:before="6"/>
        <w:rPr>
          <w:b/>
          <w:sz w:val="15"/>
        </w:rPr>
      </w:pPr>
    </w:p>
    <w:p>
      <w:pPr>
        <w:pStyle w:val="4"/>
        <w:ind w:left="2485"/>
      </w:pPr>
      <w:r>
        <w:rPr>
          <w:spacing w:val="-1"/>
          <w:w w:val="95"/>
        </w:rPr>
        <w:t>本保障所指的系统性红斑狼疮必须符合下列全部理赔条件：</w:t>
      </w:r>
    </w:p>
    <w:p>
      <w:pPr>
        <w:pStyle w:val="4"/>
        <w:spacing w:before="7"/>
        <w:rPr>
          <w:sz w:val="15"/>
        </w:rPr>
      </w:pPr>
    </w:p>
    <w:p>
      <w:pPr>
        <w:pStyle w:val="9"/>
        <w:numPr>
          <w:ilvl w:val="0"/>
          <w:numId w:val="95"/>
        </w:numPr>
        <w:tabs>
          <w:tab w:val="left" w:pos="3206"/>
        </w:tabs>
        <w:spacing w:before="0" w:after="0" w:line="240" w:lineRule="auto"/>
        <w:ind w:left="3205" w:right="0" w:hanging="721"/>
        <w:jc w:val="both"/>
        <w:rPr>
          <w:sz w:val="21"/>
        </w:rPr>
      </w:pPr>
      <w:r>
        <w:rPr>
          <w:spacing w:val="-1"/>
          <w:w w:val="95"/>
          <w:sz w:val="21"/>
        </w:rPr>
        <w:t>在下列五项情况中出现最少三项：</w:t>
      </w:r>
    </w:p>
    <w:p>
      <w:pPr>
        <w:pStyle w:val="4"/>
        <w:spacing w:before="7"/>
        <w:rPr>
          <w:sz w:val="15"/>
        </w:rPr>
      </w:pPr>
    </w:p>
    <w:p>
      <w:pPr>
        <w:pStyle w:val="9"/>
        <w:numPr>
          <w:ilvl w:val="1"/>
          <w:numId w:val="95"/>
        </w:numPr>
        <w:tabs>
          <w:tab w:val="left" w:pos="3626"/>
        </w:tabs>
        <w:spacing w:before="0" w:after="0" w:line="240" w:lineRule="auto"/>
        <w:ind w:left="3625" w:right="0" w:hanging="421"/>
        <w:jc w:val="left"/>
        <w:rPr>
          <w:sz w:val="21"/>
        </w:rPr>
      </w:pPr>
      <w:r>
        <w:rPr>
          <w:spacing w:val="-1"/>
          <w:w w:val="95"/>
          <w:sz w:val="21"/>
        </w:rPr>
        <w:t>关节炎：非磨损性关节炎，需涉及两个或以上关节；</w:t>
      </w:r>
    </w:p>
    <w:p>
      <w:pPr>
        <w:pStyle w:val="4"/>
        <w:spacing w:before="6"/>
        <w:rPr>
          <w:sz w:val="15"/>
        </w:rPr>
      </w:pPr>
    </w:p>
    <w:p>
      <w:pPr>
        <w:pStyle w:val="9"/>
        <w:numPr>
          <w:ilvl w:val="1"/>
          <w:numId w:val="95"/>
        </w:numPr>
        <w:tabs>
          <w:tab w:val="left" w:pos="3626"/>
        </w:tabs>
        <w:spacing w:before="1" w:after="0" w:line="240" w:lineRule="auto"/>
        <w:ind w:left="3625" w:right="0" w:hanging="421"/>
        <w:jc w:val="left"/>
        <w:rPr>
          <w:sz w:val="21"/>
        </w:rPr>
      </w:pPr>
      <w:r>
        <w:rPr>
          <w:spacing w:val="-1"/>
          <w:w w:val="95"/>
          <w:sz w:val="21"/>
        </w:rPr>
        <w:t>浆膜炎：胸膜炎或心包炎；</w:t>
      </w:r>
    </w:p>
    <w:p>
      <w:pPr>
        <w:spacing w:after="0" w:line="240" w:lineRule="auto"/>
        <w:jc w:val="left"/>
        <w:rPr>
          <w:sz w:val="21"/>
        </w:rPr>
        <w:sectPr>
          <w:pgSz w:w="11910" w:h="16840"/>
          <w:pgMar w:top="1440" w:right="660" w:bottom="860" w:left="860" w:header="0" w:footer="662" w:gutter="0"/>
          <w:cols w:space="720" w:num="1"/>
        </w:sectPr>
      </w:pPr>
    </w:p>
    <w:p>
      <w:pPr>
        <w:pStyle w:val="9"/>
        <w:numPr>
          <w:ilvl w:val="1"/>
          <w:numId w:val="95"/>
        </w:numPr>
        <w:tabs>
          <w:tab w:val="left" w:pos="3626"/>
        </w:tabs>
        <w:spacing w:before="43" w:after="0" w:line="240" w:lineRule="auto"/>
        <w:ind w:left="3625" w:right="0" w:hanging="421"/>
        <w:jc w:val="left"/>
        <w:rPr>
          <w:sz w:val="21"/>
        </w:rPr>
      </w:pPr>
      <w:r>
        <w:rPr>
          <w:w w:val="95"/>
          <w:sz w:val="21"/>
        </w:rPr>
        <w:t>肾病：24</w:t>
      </w:r>
      <w:r>
        <w:rPr>
          <w:spacing w:val="27"/>
          <w:sz w:val="21"/>
        </w:rPr>
        <w:t xml:space="preserve"> </w:t>
      </w:r>
      <w:r>
        <w:rPr>
          <w:w w:val="95"/>
          <w:sz w:val="21"/>
        </w:rPr>
        <w:t>小时尿蛋白定量达到</w:t>
      </w:r>
      <w:r>
        <w:rPr>
          <w:spacing w:val="30"/>
          <w:sz w:val="21"/>
        </w:rPr>
        <w:t xml:space="preserve"> </w:t>
      </w:r>
      <w:r>
        <w:rPr>
          <w:w w:val="95"/>
          <w:sz w:val="21"/>
        </w:rPr>
        <w:t>0.5</w:t>
      </w:r>
      <w:r>
        <w:rPr>
          <w:spacing w:val="28"/>
          <w:sz w:val="21"/>
        </w:rPr>
        <w:t xml:space="preserve"> </w:t>
      </w:r>
      <w:r>
        <w:rPr>
          <w:spacing w:val="-1"/>
          <w:w w:val="95"/>
          <w:sz w:val="21"/>
        </w:rPr>
        <w:t>克，或尿液检查出现细胞管型；</w:t>
      </w:r>
    </w:p>
    <w:p>
      <w:pPr>
        <w:pStyle w:val="4"/>
        <w:spacing w:before="7"/>
        <w:rPr>
          <w:sz w:val="15"/>
        </w:rPr>
      </w:pPr>
    </w:p>
    <w:p>
      <w:pPr>
        <w:pStyle w:val="9"/>
        <w:numPr>
          <w:ilvl w:val="1"/>
          <w:numId w:val="95"/>
        </w:numPr>
        <w:tabs>
          <w:tab w:val="left" w:pos="3626"/>
        </w:tabs>
        <w:spacing w:before="0" w:after="0" w:line="240" w:lineRule="auto"/>
        <w:ind w:left="3625" w:right="0" w:hanging="421"/>
        <w:jc w:val="left"/>
        <w:rPr>
          <w:sz w:val="21"/>
        </w:rPr>
      </w:pPr>
      <w:r>
        <w:rPr>
          <w:spacing w:val="-1"/>
          <w:w w:val="95"/>
          <w:sz w:val="21"/>
        </w:rPr>
        <w:t>血液学异常：溶血性贫血、白细胞减少、或血小板减少；</w:t>
      </w:r>
    </w:p>
    <w:p>
      <w:pPr>
        <w:pStyle w:val="4"/>
        <w:spacing w:before="6"/>
        <w:rPr>
          <w:sz w:val="15"/>
        </w:rPr>
      </w:pPr>
    </w:p>
    <w:p>
      <w:pPr>
        <w:pStyle w:val="9"/>
        <w:numPr>
          <w:ilvl w:val="1"/>
          <w:numId w:val="95"/>
        </w:numPr>
        <w:tabs>
          <w:tab w:val="left" w:pos="3626"/>
        </w:tabs>
        <w:spacing w:before="1" w:after="0" w:line="240" w:lineRule="auto"/>
        <w:ind w:left="3625" w:right="0" w:hanging="421"/>
        <w:jc w:val="left"/>
        <w:rPr>
          <w:sz w:val="21"/>
        </w:rPr>
      </w:pPr>
      <w:r>
        <w:rPr>
          <w:w w:val="95"/>
          <w:sz w:val="21"/>
        </w:rPr>
        <w:t>抗核抗体阳性、或抗</w:t>
      </w:r>
      <w:r>
        <w:rPr>
          <w:spacing w:val="-3"/>
          <w:sz w:val="21"/>
        </w:rPr>
        <w:t xml:space="preserve"> </w:t>
      </w:r>
      <w:r>
        <w:rPr>
          <w:w w:val="95"/>
          <w:sz w:val="21"/>
        </w:rPr>
        <w:t>dsDNA</w:t>
      </w:r>
      <w:r>
        <w:rPr>
          <w:spacing w:val="-1"/>
          <w:sz w:val="21"/>
        </w:rPr>
        <w:t xml:space="preserve"> </w:t>
      </w:r>
      <w:r>
        <w:rPr>
          <w:w w:val="95"/>
          <w:sz w:val="21"/>
        </w:rPr>
        <w:t>阳性，或抗</w:t>
      </w:r>
      <w:r>
        <w:rPr>
          <w:spacing w:val="-3"/>
          <w:sz w:val="21"/>
        </w:rPr>
        <w:t xml:space="preserve"> </w:t>
      </w:r>
      <w:r>
        <w:rPr>
          <w:w w:val="95"/>
          <w:sz w:val="21"/>
        </w:rPr>
        <w:t>Smith</w:t>
      </w:r>
      <w:r>
        <w:rPr>
          <w:sz w:val="21"/>
        </w:rPr>
        <w:t xml:space="preserve"> </w:t>
      </w:r>
      <w:r>
        <w:rPr>
          <w:spacing w:val="-2"/>
          <w:w w:val="95"/>
          <w:sz w:val="21"/>
        </w:rPr>
        <w:t>抗体阳性。</w:t>
      </w:r>
    </w:p>
    <w:p>
      <w:pPr>
        <w:pStyle w:val="4"/>
        <w:spacing w:before="6"/>
        <w:rPr>
          <w:sz w:val="15"/>
        </w:rPr>
      </w:pPr>
    </w:p>
    <w:p>
      <w:pPr>
        <w:pStyle w:val="9"/>
        <w:numPr>
          <w:ilvl w:val="0"/>
          <w:numId w:val="95"/>
        </w:numPr>
        <w:tabs>
          <w:tab w:val="left" w:pos="3205"/>
          <w:tab w:val="left" w:pos="3206"/>
        </w:tabs>
        <w:spacing w:before="0" w:after="0" w:line="278" w:lineRule="auto"/>
        <w:ind w:left="3205" w:right="350" w:hanging="720"/>
        <w:jc w:val="left"/>
        <w:rPr>
          <w:sz w:val="21"/>
        </w:rPr>
      </w:pPr>
      <w:r>
        <w:rPr>
          <w:spacing w:val="2"/>
          <w:w w:val="99"/>
          <w:sz w:val="21"/>
        </w:rPr>
        <w:t>系统性红斑狼疮的诊断必须由本公司认可医院的风湿科或免疫系统专科医</w:t>
      </w:r>
      <w:r>
        <w:rPr>
          <w:spacing w:val="-1"/>
          <w:w w:val="99"/>
          <w:sz w:val="21"/>
        </w:rPr>
        <w:t>生确定。</w:t>
      </w:r>
    </w:p>
    <w:p>
      <w:pPr>
        <w:pStyle w:val="3"/>
        <w:numPr>
          <w:ilvl w:val="0"/>
          <w:numId w:val="86"/>
        </w:numPr>
        <w:tabs>
          <w:tab w:val="left" w:pos="3120"/>
        </w:tabs>
        <w:spacing w:before="156" w:after="0" w:line="240" w:lineRule="auto"/>
        <w:ind w:left="3119" w:right="0" w:hanging="635"/>
        <w:jc w:val="left"/>
      </w:pPr>
      <w:r>
        <w:rPr>
          <w:spacing w:val="-2"/>
          <w:w w:val="95"/>
        </w:rPr>
        <w:t>早期象皮病：</w:t>
      </w:r>
    </w:p>
    <w:p>
      <w:pPr>
        <w:pStyle w:val="4"/>
        <w:spacing w:before="7"/>
        <w:rPr>
          <w:b/>
          <w:sz w:val="15"/>
        </w:rPr>
      </w:pPr>
    </w:p>
    <w:p>
      <w:pPr>
        <w:pStyle w:val="4"/>
        <w:spacing w:line="278" w:lineRule="auto"/>
        <w:ind w:left="2485" w:right="350"/>
      </w:pPr>
      <w:r>
        <w:rPr>
          <w:spacing w:val="-2"/>
          <w:w w:val="99"/>
        </w:rPr>
        <w:t>指因丝虫感染导致淋巴管阻塞而造成身体组织出现严重淋巴水肿。此病症须经本公</w:t>
      </w:r>
      <w:r>
        <w:rPr>
          <w:spacing w:val="-1"/>
          <w:w w:val="99"/>
        </w:rPr>
        <w:t>司指定或认可的医疗机构的专科医生根据临床表现和微丝蚴的化验结果确诊。</w:t>
      </w:r>
    </w:p>
    <w:p>
      <w:pPr>
        <w:pStyle w:val="4"/>
        <w:spacing w:line="269" w:lineRule="exact"/>
        <w:ind w:left="2485"/>
      </w:pPr>
      <w:r>
        <w:rPr>
          <w:color w:val="000000"/>
          <w:spacing w:val="-1"/>
          <w:w w:val="95"/>
          <w:shd w:val="clear" w:color="auto" w:fill="E4E4E4"/>
        </w:rPr>
        <w:t>急性淋巴管炎或其它原因引起的淋巴水肿并不在保障范围內。</w:t>
      </w:r>
    </w:p>
    <w:p>
      <w:pPr>
        <w:pStyle w:val="4"/>
        <w:spacing w:before="6"/>
        <w:rPr>
          <w:sz w:val="15"/>
        </w:rPr>
      </w:pPr>
    </w:p>
    <w:p>
      <w:pPr>
        <w:pStyle w:val="3"/>
        <w:numPr>
          <w:ilvl w:val="0"/>
          <w:numId w:val="86"/>
        </w:numPr>
        <w:tabs>
          <w:tab w:val="left" w:pos="3120"/>
        </w:tabs>
        <w:spacing w:before="1" w:after="0" w:line="240" w:lineRule="auto"/>
        <w:ind w:left="3119" w:right="0" w:hanging="635"/>
        <w:jc w:val="left"/>
      </w:pPr>
      <w:r>
        <w:rPr>
          <w:spacing w:val="-2"/>
          <w:w w:val="95"/>
        </w:rPr>
        <w:t>微创颅脑手术：</w:t>
      </w:r>
    </w:p>
    <w:p>
      <w:pPr>
        <w:pStyle w:val="4"/>
        <w:spacing w:before="6"/>
        <w:rPr>
          <w:b/>
          <w:sz w:val="15"/>
        </w:rPr>
      </w:pPr>
    </w:p>
    <w:p>
      <w:pPr>
        <w:pStyle w:val="4"/>
        <w:spacing w:line="278" w:lineRule="auto"/>
        <w:ind w:left="2485" w:right="350"/>
      </w:pPr>
      <w:r>
        <w:rPr>
          <w:spacing w:val="-2"/>
          <w:w w:val="99"/>
        </w:rPr>
        <w:t>因疾病被保险人确已实施全麻下的颅骨钻孔手术或者经鼻蝶窦入颅手术。因外伤而</w:t>
      </w:r>
      <w:r>
        <w:rPr>
          <w:spacing w:val="-1"/>
          <w:w w:val="99"/>
        </w:rPr>
        <w:t>实施的脑外科手术不在保障范围内。</w:t>
      </w:r>
    </w:p>
    <w:p>
      <w:pPr>
        <w:pStyle w:val="4"/>
        <w:spacing w:line="278" w:lineRule="auto"/>
        <w:ind w:left="2485" w:right="350"/>
      </w:pPr>
      <w:r>
        <w:rPr>
          <w:color w:val="000000"/>
          <w:spacing w:val="-2"/>
          <w:w w:val="95"/>
          <w:shd w:val="clear" w:color="auto" w:fill="E4E4E4"/>
        </w:rPr>
        <w:t>因“脑动脉瘤及脑血管瘤</w:t>
      </w:r>
      <w:r>
        <w:rPr>
          <w:color w:val="000000"/>
          <w:spacing w:val="-25"/>
          <w:w w:val="95"/>
          <w:shd w:val="clear" w:color="auto" w:fill="E4E4E4"/>
        </w:rPr>
        <w:t>”、“脑垂体瘤”、“脑囊肿”所引起的微创颅脑手术不在本</w:t>
      </w:r>
      <w:r>
        <w:rPr>
          <w:color w:val="000000"/>
          <w:spacing w:val="80"/>
          <w:w w:val="150"/>
          <w:shd w:val="clear" w:color="auto" w:fill="E4E4E4"/>
        </w:rPr>
        <w:t xml:space="preserve">                                         </w:t>
      </w:r>
      <w:r>
        <w:rPr>
          <w:color w:val="000000"/>
          <w:spacing w:val="-2"/>
          <w:shd w:val="clear" w:color="auto" w:fill="E4E4E4"/>
        </w:rPr>
        <w:t>保障范围内。</w:t>
      </w:r>
    </w:p>
    <w:p>
      <w:pPr>
        <w:pStyle w:val="4"/>
        <w:spacing w:line="278" w:lineRule="auto"/>
        <w:ind w:left="2485" w:right="350"/>
      </w:pPr>
      <w:r>
        <w:rPr>
          <w:color w:val="000000"/>
          <w:spacing w:val="-2"/>
          <w:w w:val="95"/>
          <w:shd w:val="clear" w:color="auto" w:fill="E4E4E4"/>
        </w:rPr>
        <w:t>本公司对“微创颅脑手术”及“植入大脑内分流器”二项中的其中一项承担保险责</w:t>
      </w:r>
      <w:r>
        <w:rPr>
          <w:color w:val="000000"/>
          <w:spacing w:val="80"/>
          <w:w w:val="150"/>
          <w:shd w:val="clear" w:color="auto" w:fill="E4E4E4"/>
        </w:rPr>
        <w:t xml:space="preserve">                                         </w:t>
      </w:r>
      <w:r>
        <w:rPr>
          <w:color w:val="000000"/>
          <w:spacing w:val="-2"/>
          <w:shd w:val="clear" w:color="auto" w:fill="E4E4E4"/>
        </w:rPr>
        <w:t>任，给付其中一项保险金后，对另一项轻度疾病保险责任同时终止。</w:t>
      </w:r>
    </w:p>
    <w:p>
      <w:pPr>
        <w:pStyle w:val="3"/>
        <w:numPr>
          <w:ilvl w:val="0"/>
          <w:numId w:val="86"/>
        </w:numPr>
        <w:tabs>
          <w:tab w:val="left" w:pos="3120"/>
        </w:tabs>
        <w:spacing w:before="156" w:after="0" w:line="240" w:lineRule="auto"/>
        <w:ind w:left="3119" w:right="0" w:hanging="635"/>
        <w:jc w:val="left"/>
      </w:pPr>
      <w:r>
        <w:rPr>
          <w:spacing w:val="-1"/>
          <w:w w:val="95"/>
        </w:rPr>
        <w:t>强直性脊柱炎的特定手术治疗：</w:t>
      </w:r>
    </w:p>
    <w:p>
      <w:pPr>
        <w:pStyle w:val="4"/>
        <w:spacing w:before="6"/>
        <w:rPr>
          <w:b/>
          <w:sz w:val="15"/>
        </w:rPr>
      </w:pPr>
    </w:p>
    <w:p>
      <w:pPr>
        <w:pStyle w:val="4"/>
        <w:ind w:left="2485"/>
      </w:pPr>
      <w:r>
        <w:rPr>
          <w:spacing w:val="-1"/>
          <w:w w:val="95"/>
        </w:rPr>
        <w:t>指诊断为强直性脊柱炎，且满足下列全部条件：</w:t>
      </w:r>
    </w:p>
    <w:p>
      <w:pPr>
        <w:pStyle w:val="4"/>
        <w:spacing w:before="7"/>
        <w:rPr>
          <w:sz w:val="15"/>
        </w:rPr>
      </w:pPr>
    </w:p>
    <w:p>
      <w:pPr>
        <w:pStyle w:val="9"/>
        <w:numPr>
          <w:ilvl w:val="0"/>
          <w:numId w:val="96"/>
        </w:numPr>
        <w:tabs>
          <w:tab w:val="left" w:pos="3205"/>
          <w:tab w:val="left" w:pos="3206"/>
        </w:tabs>
        <w:spacing w:before="0" w:after="0" w:line="240" w:lineRule="auto"/>
        <w:ind w:left="3205" w:right="0" w:hanging="721"/>
        <w:jc w:val="left"/>
        <w:rPr>
          <w:sz w:val="21"/>
        </w:rPr>
      </w:pPr>
      <w:r>
        <w:rPr>
          <w:spacing w:val="-1"/>
          <w:w w:val="95"/>
          <w:sz w:val="21"/>
        </w:rPr>
        <w:t>脊柱、髋、膝关节疼痛活动受限；</w:t>
      </w:r>
    </w:p>
    <w:p>
      <w:pPr>
        <w:pStyle w:val="4"/>
        <w:spacing w:before="7"/>
        <w:rPr>
          <w:sz w:val="15"/>
        </w:rPr>
      </w:pPr>
    </w:p>
    <w:p>
      <w:pPr>
        <w:pStyle w:val="9"/>
        <w:numPr>
          <w:ilvl w:val="0"/>
          <w:numId w:val="96"/>
        </w:numPr>
        <w:tabs>
          <w:tab w:val="left" w:pos="3205"/>
          <w:tab w:val="left" w:pos="3206"/>
        </w:tabs>
        <w:spacing w:before="0" w:after="0" w:line="240" w:lineRule="auto"/>
        <w:ind w:left="3205" w:right="0" w:hanging="721"/>
        <w:jc w:val="left"/>
        <w:rPr>
          <w:sz w:val="21"/>
        </w:rPr>
      </w:pPr>
      <w:r>
        <w:rPr>
          <w:spacing w:val="-1"/>
          <w:w w:val="95"/>
          <w:sz w:val="21"/>
        </w:rPr>
        <w:t>脊柱后凸畸形，髋、膝关节强直；</w:t>
      </w:r>
    </w:p>
    <w:p>
      <w:pPr>
        <w:pStyle w:val="4"/>
        <w:spacing w:before="6"/>
        <w:rPr>
          <w:sz w:val="15"/>
        </w:rPr>
      </w:pPr>
    </w:p>
    <w:p>
      <w:pPr>
        <w:pStyle w:val="9"/>
        <w:numPr>
          <w:ilvl w:val="0"/>
          <w:numId w:val="96"/>
        </w:numPr>
        <w:tabs>
          <w:tab w:val="left" w:pos="3205"/>
          <w:tab w:val="left" w:pos="3206"/>
        </w:tabs>
        <w:spacing w:before="1" w:after="0" w:line="240" w:lineRule="auto"/>
        <w:ind w:left="3205" w:right="0" w:hanging="721"/>
        <w:jc w:val="left"/>
        <w:rPr>
          <w:sz w:val="21"/>
        </w:rPr>
      </w:pPr>
      <w:r>
        <w:rPr>
          <w:w w:val="95"/>
          <w:sz w:val="21"/>
        </w:rPr>
        <w:t>X</w:t>
      </w:r>
      <w:r>
        <w:rPr>
          <w:spacing w:val="30"/>
          <w:sz w:val="21"/>
        </w:rPr>
        <w:t xml:space="preserve"> </w:t>
      </w:r>
      <w:r>
        <w:rPr>
          <w:spacing w:val="-1"/>
          <w:w w:val="95"/>
          <w:sz w:val="21"/>
        </w:rPr>
        <w:t>线关节结构破坏征象；</w:t>
      </w:r>
    </w:p>
    <w:p>
      <w:pPr>
        <w:pStyle w:val="4"/>
        <w:spacing w:before="6"/>
        <w:rPr>
          <w:sz w:val="15"/>
        </w:rPr>
      </w:pPr>
    </w:p>
    <w:p>
      <w:pPr>
        <w:pStyle w:val="9"/>
        <w:numPr>
          <w:ilvl w:val="0"/>
          <w:numId w:val="96"/>
        </w:numPr>
        <w:tabs>
          <w:tab w:val="left" w:pos="3205"/>
          <w:tab w:val="left" w:pos="3206"/>
        </w:tabs>
        <w:spacing w:before="0" w:after="0" w:line="240" w:lineRule="auto"/>
        <w:ind w:left="3205" w:right="0" w:hanging="721"/>
        <w:jc w:val="left"/>
        <w:rPr>
          <w:sz w:val="21"/>
        </w:rPr>
      </w:pPr>
      <w:r>
        <w:rPr>
          <w:spacing w:val="-1"/>
          <w:w w:val="95"/>
          <w:sz w:val="21"/>
        </w:rPr>
        <w:t>实际实施了下列手术治疗的一项或多项：</w:t>
      </w:r>
    </w:p>
    <w:p>
      <w:pPr>
        <w:pStyle w:val="4"/>
        <w:spacing w:before="7"/>
        <w:rPr>
          <w:sz w:val="15"/>
        </w:rPr>
      </w:pPr>
    </w:p>
    <w:p>
      <w:pPr>
        <w:pStyle w:val="9"/>
        <w:numPr>
          <w:ilvl w:val="1"/>
          <w:numId w:val="96"/>
        </w:numPr>
        <w:tabs>
          <w:tab w:val="left" w:pos="3626"/>
        </w:tabs>
        <w:spacing w:before="0" w:after="0" w:line="240" w:lineRule="auto"/>
        <w:ind w:left="3625" w:right="0" w:hanging="421"/>
        <w:jc w:val="left"/>
        <w:rPr>
          <w:sz w:val="21"/>
        </w:rPr>
      </w:pPr>
      <w:r>
        <w:rPr>
          <w:spacing w:val="-2"/>
          <w:w w:val="95"/>
          <w:sz w:val="21"/>
        </w:rPr>
        <w:t>脊柱截骨手术；</w:t>
      </w:r>
    </w:p>
    <w:p>
      <w:pPr>
        <w:pStyle w:val="4"/>
        <w:spacing w:before="7"/>
        <w:rPr>
          <w:sz w:val="15"/>
        </w:rPr>
      </w:pPr>
    </w:p>
    <w:p>
      <w:pPr>
        <w:pStyle w:val="9"/>
        <w:numPr>
          <w:ilvl w:val="1"/>
          <w:numId w:val="96"/>
        </w:numPr>
        <w:tabs>
          <w:tab w:val="left" w:pos="3626"/>
        </w:tabs>
        <w:spacing w:before="0" w:after="0" w:line="240" w:lineRule="auto"/>
        <w:ind w:left="3625" w:right="0" w:hanging="421"/>
        <w:jc w:val="left"/>
        <w:rPr>
          <w:sz w:val="21"/>
        </w:rPr>
      </w:pPr>
      <w:r>
        <w:rPr>
          <w:spacing w:val="-2"/>
          <w:w w:val="95"/>
          <w:sz w:val="21"/>
        </w:rPr>
        <w:t>全髋关节置换手术；</w:t>
      </w:r>
    </w:p>
    <w:p>
      <w:pPr>
        <w:pStyle w:val="4"/>
        <w:spacing w:before="6"/>
        <w:rPr>
          <w:sz w:val="15"/>
        </w:rPr>
      </w:pPr>
    </w:p>
    <w:p>
      <w:pPr>
        <w:pStyle w:val="9"/>
        <w:numPr>
          <w:ilvl w:val="1"/>
          <w:numId w:val="96"/>
        </w:numPr>
        <w:tabs>
          <w:tab w:val="left" w:pos="3626"/>
        </w:tabs>
        <w:spacing w:before="1" w:after="0" w:line="240" w:lineRule="auto"/>
        <w:ind w:left="3625" w:right="0" w:hanging="421"/>
        <w:jc w:val="left"/>
        <w:rPr>
          <w:sz w:val="21"/>
        </w:rPr>
      </w:pPr>
      <w:r>
        <w:rPr>
          <w:spacing w:val="-2"/>
          <w:w w:val="95"/>
          <w:sz w:val="21"/>
        </w:rPr>
        <w:t>膝关节置换手术。</w:t>
      </w:r>
    </w:p>
    <w:p>
      <w:pPr>
        <w:pStyle w:val="4"/>
        <w:spacing w:before="6"/>
        <w:rPr>
          <w:sz w:val="15"/>
        </w:rPr>
      </w:pPr>
    </w:p>
    <w:p>
      <w:pPr>
        <w:pStyle w:val="3"/>
        <w:numPr>
          <w:ilvl w:val="0"/>
          <w:numId w:val="86"/>
        </w:numPr>
        <w:tabs>
          <w:tab w:val="left" w:pos="3120"/>
        </w:tabs>
        <w:spacing w:before="0" w:after="0" w:line="240" w:lineRule="auto"/>
        <w:ind w:left="3119" w:right="0" w:hanging="635"/>
        <w:jc w:val="left"/>
      </w:pPr>
      <w:r>
        <w:rPr>
          <w:spacing w:val="-1"/>
          <w:w w:val="95"/>
        </w:rPr>
        <w:t>急性重型肝炎人工肝治疗：</w:t>
      </w:r>
    </w:p>
    <w:p>
      <w:pPr>
        <w:pStyle w:val="4"/>
        <w:spacing w:before="7"/>
        <w:rPr>
          <w:b/>
          <w:sz w:val="15"/>
        </w:rPr>
      </w:pPr>
    </w:p>
    <w:p>
      <w:pPr>
        <w:pStyle w:val="4"/>
        <w:spacing w:line="278" w:lineRule="auto"/>
        <w:ind w:left="2485" w:right="338"/>
      </w:pPr>
      <w:r>
        <w:rPr>
          <w:spacing w:val="-1"/>
          <w:w w:val="99"/>
        </w:rPr>
        <w:t>指被保险人被明确诊断为急性重型肝炎，并且实际接受了人工肝支持系统</w:t>
      </w:r>
      <w:r>
        <w:rPr>
          <w:spacing w:val="2"/>
          <w:w w:val="99"/>
        </w:rPr>
        <w:t>（</w:t>
      </w:r>
      <w:r>
        <w:rPr>
          <w:spacing w:val="1"/>
          <w:w w:val="99"/>
        </w:rPr>
        <w:t>AL</w:t>
      </w:r>
      <w:r>
        <w:rPr>
          <w:spacing w:val="-2"/>
          <w:w w:val="99"/>
        </w:rPr>
        <w:t>S</w:t>
      </w:r>
      <w:r>
        <w:rPr>
          <w:spacing w:val="1"/>
          <w:w w:val="99"/>
        </w:rPr>
        <w:t>S</w:t>
      </w:r>
      <w:r>
        <w:rPr>
          <w:w w:val="99"/>
        </w:rPr>
        <w:t>）治疗。</w:t>
      </w:r>
    </w:p>
    <w:p>
      <w:pPr>
        <w:pStyle w:val="4"/>
        <w:spacing w:line="278" w:lineRule="auto"/>
        <w:ind w:left="2485" w:right="350"/>
      </w:pPr>
      <w:r>
        <w:rPr>
          <w:spacing w:val="1"/>
          <w:w w:val="99"/>
        </w:rPr>
        <w:t>ALS</w:t>
      </w:r>
      <w:r>
        <w:rPr>
          <w:w w:val="99"/>
        </w:rPr>
        <w:t>S</w:t>
      </w:r>
      <w:r>
        <w:rPr>
          <w:spacing w:val="-54"/>
        </w:rPr>
        <w:t xml:space="preserve"> </w:t>
      </w:r>
      <w:r>
        <w:rPr>
          <w:spacing w:val="-6"/>
          <w:w w:val="99"/>
        </w:rPr>
        <w:t>又称体外肝脏支持装置，指借助体外机械、化学或生物性装置暂时部分替代肝</w:t>
      </w:r>
      <w:r>
        <w:rPr>
          <w:spacing w:val="-1"/>
          <w:w w:val="99"/>
        </w:rPr>
        <w:t>脏功能，协助治疗肝脏功能不全或相关疾病的治疗方法。</w:t>
      </w:r>
    </w:p>
    <w:p>
      <w:pPr>
        <w:pStyle w:val="4"/>
        <w:spacing w:line="269" w:lineRule="exact"/>
        <w:ind w:left="2485"/>
      </w:pPr>
      <w:r>
        <w:rPr>
          <w:color w:val="000000"/>
          <w:w w:val="95"/>
          <w:shd w:val="clear" w:color="auto" w:fill="E4E4E4"/>
        </w:rPr>
        <w:t>慢性重型肝炎</w:t>
      </w:r>
      <w:r>
        <w:rPr>
          <w:color w:val="000000"/>
          <w:spacing w:val="27"/>
          <w:shd w:val="clear" w:color="auto" w:fill="E4E4E4"/>
        </w:rPr>
        <w:t xml:space="preserve"> </w:t>
      </w:r>
      <w:r>
        <w:rPr>
          <w:color w:val="000000"/>
          <w:w w:val="95"/>
          <w:shd w:val="clear" w:color="auto" w:fill="E4E4E4"/>
        </w:rPr>
        <w:t>ALSS</w:t>
      </w:r>
      <w:r>
        <w:rPr>
          <w:color w:val="000000"/>
          <w:spacing w:val="18"/>
          <w:shd w:val="clear" w:color="auto" w:fill="E4E4E4"/>
        </w:rPr>
        <w:t xml:space="preserve"> </w:t>
      </w:r>
      <w:r>
        <w:rPr>
          <w:color w:val="000000"/>
          <w:spacing w:val="-1"/>
          <w:w w:val="95"/>
          <w:shd w:val="clear" w:color="auto" w:fill="E4E4E4"/>
        </w:rPr>
        <w:t>治疗不在保障范围内。</w:t>
      </w:r>
    </w:p>
    <w:p>
      <w:pPr>
        <w:pStyle w:val="4"/>
        <w:spacing w:before="7"/>
        <w:rPr>
          <w:sz w:val="15"/>
        </w:rPr>
      </w:pPr>
    </w:p>
    <w:p>
      <w:pPr>
        <w:pStyle w:val="9"/>
        <w:numPr>
          <w:ilvl w:val="0"/>
          <w:numId w:val="86"/>
        </w:numPr>
        <w:tabs>
          <w:tab w:val="left" w:pos="3120"/>
        </w:tabs>
        <w:spacing w:before="0" w:after="0" w:line="417" w:lineRule="auto"/>
        <w:ind w:left="2485" w:right="4526" w:firstLine="0"/>
        <w:jc w:val="left"/>
        <w:rPr>
          <w:sz w:val="21"/>
        </w:rPr>
      </w:pPr>
      <w:r>
        <w:rPr>
          <w:b/>
          <w:spacing w:val="-2"/>
          <w:w w:val="95"/>
          <w:sz w:val="21"/>
        </w:rPr>
        <w:t>风湿热导致的心脏瓣膜疾病：</w:t>
      </w:r>
      <w:r>
        <w:rPr>
          <w:spacing w:val="-2"/>
          <w:sz w:val="21"/>
        </w:rPr>
        <w:t>本保障须满足下列全部条件：</w:t>
      </w:r>
    </w:p>
    <w:p>
      <w:pPr>
        <w:pStyle w:val="9"/>
        <w:numPr>
          <w:ilvl w:val="0"/>
          <w:numId w:val="97"/>
        </w:numPr>
        <w:tabs>
          <w:tab w:val="left" w:pos="3205"/>
          <w:tab w:val="left" w:pos="3206"/>
        </w:tabs>
        <w:spacing w:before="0" w:after="0" w:line="269" w:lineRule="exact"/>
        <w:ind w:left="3205" w:right="0" w:hanging="721"/>
        <w:jc w:val="left"/>
        <w:rPr>
          <w:sz w:val="21"/>
        </w:rPr>
      </w:pPr>
      <w:r>
        <w:rPr>
          <w:w w:val="95"/>
          <w:sz w:val="21"/>
        </w:rPr>
        <w:t>经由本公司认可的儿科专科医生根据已修订的</w:t>
      </w:r>
      <w:r>
        <w:rPr>
          <w:spacing w:val="79"/>
          <w:w w:val="150"/>
          <w:sz w:val="21"/>
        </w:rPr>
        <w:t xml:space="preserve"> </w:t>
      </w:r>
      <w:r>
        <w:rPr>
          <w:w w:val="95"/>
          <w:sz w:val="21"/>
        </w:rPr>
        <w:t>Jones</w:t>
      </w:r>
      <w:r>
        <w:rPr>
          <w:spacing w:val="20"/>
          <w:sz w:val="21"/>
        </w:rPr>
        <w:t xml:space="preserve">  </w:t>
      </w:r>
      <w:r>
        <w:rPr>
          <w:spacing w:val="-2"/>
          <w:w w:val="95"/>
          <w:sz w:val="21"/>
        </w:rPr>
        <w:t>标准诊断证实罹患急</w:t>
      </w:r>
    </w:p>
    <w:p>
      <w:pPr>
        <w:spacing w:after="0" w:line="269" w:lineRule="exact"/>
        <w:jc w:val="left"/>
        <w:rPr>
          <w:sz w:val="21"/>
        </w:rPr>
        <w:sectPr>
          <w:pgSz w:w="11910" w:h="16840"/>
          <w:pgMar w:top="1400" w:right="660" w:bottom="860" w:left="860" w:header="0" w:footer="662" w:gutter="0"/>
          <w:cols w:space="720" w:num="1"/>
        </w:sectPr>
      </w:pPr>
    </w:p>
    <w:p>
      <w:pPr>
        <w:pStyle w:val="4"/>
        <w:spacing w:before="43"/>
        <w:ind w:left="3205"/>
      </w:pPr>
      <w:r>
        <w:rPr>
          <w:spacing w:val="-2"/>
          <w:w w:val="95"/>
        </w:rPr>
        <w:t>性风湿热；</w:t>
      </w:r>
    </w:p>
    <w:p>
      <w:pPr>
        <w:pStyle w:val="4"/>
        <w:spacing w:before="7"/>
        <w:rPr>
          <w:sz w:val="15"/>
        </w:rPr>
      </w:pPr>
    </w:p>
    <w:p>
      <w:pPr>
        <w:pStyle w:val="9"/>
        <w:numPr>
          <w:ilvl w:val="0"/>
          <w:numId w:val="97"/>
        </w:numPr>
        <w:tabs>
          <w:tab w:val="left" w:pos="3205"/>
          <w:tab w:val="left" w:pos="3206"/>
        </w:tabs>
        <w:spacing w:before="0" w:after="0" w:line="278" w:lineRule="auto"/>
        <w:ind w:left="3205" w:right="249" w:hanging="720"/>
        <w:jc w:val="left"/>
        <w:rPr>
          <w:sz w:val="21"/>
        </w:rPr>
      </w:pPr>
      <w:r>
        <w:rPr>
          <w:spacing w:val="-1"/>
          <w:w w:val="99"/>
          <w:sz w:val="21"/>
        </w:rPr>
        <w:t>因风湿热所导致一个或以上最少轻度心脏瓣膜关闭不全或狭窄的心瓣损伤。</w:t>
      </w:r>
      <w:r>
        <w:rPr>
          <w:spacing w:val="2"/>
          <w:w w:val="99"/>
          <w:sz w:val="21"/>
        </w:rPr>
        <w:t>有关诊断必须由本公司认可医院的心脏专科医生根据心瓣功能的定量检查</w:t>
      </w:r>
      <w:r>
        <w:rPr>
          <w:w w:val="99"/>
          <w:sz w:val="21"/>
        </w:rPr>
        <w:t>证实。</w:t>
      </w:r>
    </w:p>
    <w:p>
      <w:pPr>
        <w:pStyle w:val="3"/>
        <w:numPr>
          <w:ilvl w:val="0"/>
          <w:numId w:val="86"/>
        </w:numPr>
        <w:tabs>
          <w:tab w:val="left" w:pos="3120"/>
        </w:tabs>
        <w:spacing w:before="156" w:after="0" w:line="240" w:lineRule="auto"/>
        <w:ind w:left="3119" w:right="0" w:hanging="635"/>
        <w:jc w:val="left"/>
      </w:pPr>
      <w:r>
        <w:rPr>
          <w:spacing w:val="-2"/>
          <w:w w:val="95"/>
        </w:rPr>
        <w:t>早期肝硬化：</w:t>
      </w:r>
    </w:p>
    <w:p>
      <w:pPr>
        <w:pStyle w:val="4"/>
        <w:spacing w:before="6"/>
        <w:rPr>
          <w:b/>
          <w:sz w:val="15"/>
        </w:rPr>
      </w:pPr>
    </w:p>
    <w:p>
      <w:pPr>
        <w:pStyle w:val="4"/>
        <w:spacing w:line="278" w:lineRule="auto"/>
        <w:ind w:left="2485" w:right="350"/>
      </w:pPr>
      <w:r>
        <w:rPr>
          <w:spacing w:val="-2"/>
          <w:w w:val="99"/>
        </w:rPr>
        <w:t>肝硬化须由专科医生明确诊断。必须由活检证实有再生的肝细胞结节和典型的肝组</w:t>
      </w:r>
      <w:r>
        <w:rPr>
          <w:spacing w:val="-1"/>
          <w:w w:val="99"/>
        </w:rPr>
        <w:t>织纤维化。下列条件必须全部满足并至少持续一年：</w:t>
      </w:r>
    </w:p>
    <w:p>
      <w:pPr>
        <w:pStyle w:val="9"/>
        <w:numPr>
          <w:ilvl w:val="0"/>
          <w:numId w:val="98"/>
        </w:numPr>
        <w:tabs>
          <w:tab w:val="left" w:pos="3205"/>
          <w:tab w:val="left" w:pos="3206"/>
        </w:tabs>
        <w:spacing w:before="156" w:after="0" w:line="240" w:lineRule="auto"/>
        <w:ind w:left="3205" w:right="0" w:hanging="721"/>
        <w:jc w:val="left"/>
        <w:rPr>
          <w:sz w:val="21"/>
        </w:rPr>
      </w:pPr>
      <w:r>
        <w:rPr>
          <w:w w:val="95"/>
          <w:sz w:val="21"/>
        </w:rPr>
        <w:t>持续性黄疸，胆红素水平升高超过</w:t>
      </w:r>
      <w:r>
        <w:rPr>
          <w:spacing w:val="78"/>
          <w:sz w:val="21"/>
        </w:rPr>
        <w:t xml:space="preserve"> </w:t>
      </w:r>
      <w:r>
        <w:rPr>
          <w:spacing w:val="-2"/>
          <w:w w:val="95"/>
          <w:sz w:val="21"/>
        </w:rPr>
        <w:t>50μmol/L；</w:t>
      </w:r>
    </w:p>
    <w:p>
      <w:pPr>
        <w:pStyle w:val="4"/>
        <w:spacing w:before="7"/>
        <w:rPr>
          <w:sz w:val="15"/>
        </w:rPr>
      </w:pPr>
    </w:p>
    <w:p>
      <w:pPr>
        <w:pStyle w:val="9"/>
        <w:numPr>
          <w:ilvl w:val="0"/>
          <w:numId w:val="98"/>
        </w:numPr>
        <w:tabs>
          <w:tab w:val="left" w:pos="3205"/>
          <w:tab w:val="left" w:pos="3206"/>
        </w:tabs>
        <w:spacing w:before="0" w:after="0" w:line="240" w:lineRule="auto"/>
        <w:ind w:left="3205" w:right="0" w:hanging="721"/>
        <w:jc w:val="left"/>
        <w:rPr>
          <w:sz w:val="21"/>
        </w:rPr>
      </w:pPr>
      <w:r>
        <w:rPr>
          <w:w w:val="95"/>
          <w:sz w:val="21"/>
        </w:rPr>
        <w:t>蛋白质合成异常，白蛋白水平低于</w:t>
      </w:r>
      <w:r>
        <w:rPr>
          <w:spacing w:val="78"/>
          <w:sz w:val="21"/>
        </w:rPr>
        <w:t xml:space="preserve"> </w:t>
      </w:r>
      <w:r>
        <w:rPr>
          <w:spacing w:val="-2"/>
          <w:w w:val="95"/>
          <w:sz w:val="21"/>
        </w:rPr>
        <w:t>27g/L；</w:t>
      </w:r>
    </w:p>
    <w:p>
      <w:pPr>
        <w:pStyle w:val="4"/>
        <w:spacing w:before="6"/>
        <w:rPr>
          <w:sz w:val="15"/>
        </w:rPr>
      </w:pPr>
    </w:p>
    <w:p>
      <w:pPr>
        <w:pStyle w:val="9"/>
        <w:numPr>
          <w:ilvl w:val="0"/>
          <w:numId w:val="98"/>
        </w:numPr>
        <w:tabs>
          <w:tab w:val="left" w:pos="3205"/>
          <w:tab w:val="left" w:pos="3206"/>
        </w:tabs>
        <w:spacing w:before="1" w:after="0" w:line="278" w:lineRule="auto"/>
        <w:ind w:left="3205" w:right="350" w:hanging="720"/>
        <w:jc w:val="left"/>
        <w:rPr>
          <w:sz w:val="21"/>
        </w:rPr>
      </w:pPr>
      <w:r>
        <w:rPr>
          <w:spacing w:val="-7"/>
          <w:w w:val="99"/>
          <w:sz w:val="21"/>
        </w:rPr>
        <w:t>异常凝血功能，凝血酶原时间超过正常上限的</w:t>
      </w:r>
      <w:r>
        <w:rPr>
          <w:spacing w:val="-50"/>
          <w:sz w:val="21"/>
        </w:rPr>
        <w:t xml:space="preserve"> </w:t>
      </w:r>
      <w:r>
        <w:rPr>
          <w:w w:val="99"/>
          <w:sz w:val="21"/>
        </w:rPr>
        <w:t>2</w:t>
      </w:r>
      <w:r>
        <w:rPr>
          <w:spacing w:val="-52"/>
          <w:sz w:val="21"/>
        </w:rPr>
        <w:t xml:space="preserve"> </w:t>
      </w:r>
      <w:r>
        <w:rPr>
          <w:spacing w:val="-7"/>
          <w:w w:val="99"/>
          <w:sz w:val="21"/>
        </w:rPr>
        <w:t>倍或以上，或者国际正常化</w:t>
      </w:r>
      <w:r>
        <w:rPr>
          <w:w w:val="99"/>
          <w:sz w:val="21"/>
        </w:rPr>
        <w:t>比率</w:t>
      </w:r>
      <w:r>
        <w:rPr>
          <w:spacing w:val="2"/>
          <w:w w:val="99"/>
          <w:sz w:val="21"/>
        </w:rPr>
        <w:t>（</w:t>
      </w:r>
      <w:r>
        <w:rPr>
          <w:spacing w:val="1"/>
          <w:w w:val="99"/>
          <w:sz w:val="21"/>
        </w:rPr>
        <w:t>IN</w:t>
      </w:r>
      <w:r>
        <w:rPr>
          <w:spacing w:val="-2"/>
          <w:w w:val="99"/>
          <w:sz w:val="21"/>
        </w:rPr>
        <w:t>R</w:t>
      </w:r>
      <w:r>
        <w:rPr>
          <w:spacing w:val="-1"/>
          <w:w w:val="99"/>
          <w:sz w:val="21"/>
        </w:rPr>
        <w:t>）</w:t>
      </w:r>
      <w:r>
        <w:rPr>
          <w:w w:val="99"/>
          <w:sz w:val="21"/>
        </w:rPr>
        <w:t>在</w:t>
      </w:r>
      <w:r>
        <w:rPr>
          <w:spacing w:val="-50"/>
          <w:sz w:val="21"/>
        </w:rPr>
        <w:t xml:space="preserve"> </w:t>
      </w:r>
      <w:r>
        <w:rPr>
          <w:spacing w:val="1"/>
          <w:w w:val="99"/>
          <w:sz w:val="21"/>
        </w:rPr>
        <w:t>2.</w:t>
      </w:r>
      <w:r>
        <w:rPr>
          <w:w w:val="99"/>
          <w:sz w:val="21"/>
        </w:rPr>
        <w:t>0</w:t>
      </w:r>
      <w:r>
        <w:rPr>
          <w:spacing w:val="-54"/>
          <w:sz w:val="21"/>
        </w:rPr>
        <w:t xml:space="preserve"> </w:t>
      </w:r>
      <w:r>
        <w:rPr>
          <w:w w:val="99"/>
          <w:sz w:val="21"/>
        </w:rPr>
        <w:t>以上。</w:t>
      </w:r>
    </w:p>
    <w:p>
      <w:pPr>
        <w:pStyle w:val="4"/>
        <w:spacing w:before="1"/>
        <w:rPr>
          <w:sz w:val="10"/>
        </w:rPr>
      </w:pPr>
      <w:r>
        <w:pict>
          <v:shape id="docshape43" o:spid="_x0000_s1067" o:spt="202" type="#_x0000_t202" style="position:absolute;left:0pt;margin-left:167.3pt;margin-top:7.65pt;height:13.6pt;width:377.45pt;mso-position-horizontal-relative:page;mso-wrap-distance-bottom:0pt;mso-wrap-distance-top:0pt;z-index:-251631616;mso-width-relative:page;mso-height-relative:page;"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14"/>
                      <w:w w:val="95"/>
                    </w:rPr>
                    <w:t>本公司对“慢性肝功能衰竭”、“早期肝硬化”二项中的其中一项承担保险责任，给</w:t>
                  </w:r>
                </w:p>
              </w:txbxContent>
            </v:textbox>
            <w10:wrap type="topAndBottom"/>
          </v:shape>
        </w:pict>
      </w:r>
    </w:p>
    <w:p>
      <w:pPr>
        <w:pStyle w:val="4"/>
        <w:spacing w:before="1"/>
        <w:rPr>
          <w:sz w:val="3"/>
        </w:rPr>
      </w:pPr>
    </w:p>
    <w:p>
      <w:pPr>
        <w:pStyle w:val="4"/>
        <w:ind w:left="2486"/>
        <w:rPr>
          <w:sz w:val="20"/>
        </w:rPr>
      </w:pPr>
      <w:r>
        <w:rPr>
          <w:sz w:val="20"/>
        </w:rPr>
        <w:pict>
          <v:shape id="docshape44" o:spid="_x0000_s1068" o:spt="202" type="#_x0000_t202" style="height:13.6pt;width:283.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付其中一项保险金后，对另一项轻度疾病保险责任同时终止。</w:t>
                  </w:r>
                </w:p>
              </w:txbxContent>
            </v:textbox>
            <w10:wrap type="none"/>
            <w10:anchorlock/>
          </v:shape>
        </w:pict>
      </w:r>
    </w:p>
    <w:p>
      <w:pPr>
        <w:pStyle w:val="4"/>
        <w:spacing w:before="11"/>
        <w:rPr>
          <w:sz w:val="7"/>
        </w:rPr>
      </w:pPr>
    </w:p>
    <w:p>
      <w:pPr>
        <w:pStyle w:val="3"/>
        <w:numPr>
          <w:ilvl w:val="0"/>
          <w:numId w:val="86"/>
        </w:numPr>
        <w:tabs>
          <w:tab w:val="left" w:pos="3120"/>
        </w:tabs>
        <w:spacing w:before="70" w:after="0" w:line="240" w:lineRule="auto"/>
        <w:ind w:left="3119" w:right="0" w:hanging="635"/>
        <w:jc w:val="left"/>
      </w:pPr>
      <w:r>
        <w:rPr>
          <w:spacing w:val="-2"/>
          <w:w w:val="95"/>
        </w:rPr>
        <w:t>脑垂体瘤、脑囊肿</w:t>
      </w:r>
    </w:p>
    <w:p>
      <w:pPr>
        <w:pStyle w:val="4"/>
        <w:spacing w:before="7"/>
        <w:rPr>
          <w:b/>
          <w:sz w:val="15"/>
        </w:rPr>
      </w:pPr>
    </w:p>
    <w:p>
      <w:pPr>
        <w:pStyle w:val="4"/>
        <w:spacing w:line="278" w:lineRule="auto"/>
        <w:ind w:left="2485" w:right="338"/>
      </w:pPr>
      <w:r>
        <w:rPr>
          <w:spacing w:val="-1"/>
          <w:w w:val="99"/>
        </w:rPr>
        <w:t>指经头颅断层扫描</w:t>
      </w:r>
      <w:r>
        <w:rPr>
          <w:spacing w:val="2"/>
          <w:w w:val="99"/>
        </w:rPr>
        <w:t>（</w:t>
      </w:r>
      <w:r>
        <w:rPr>
          <w:spacing w:val="1"/>
          <w:w w:val="99"/>
        </w:rPr>
        <w:t>C</w:t>
      </w:r>
      <w:r>
        <w:rPr>
          <w:spacing w:val="-2"/>
          <w:w w:val="99"/>
        </w:rPr>
        <w:t>T</w:t>
      </w:r>
      <w:r>
        <w:rPr>
          <w:spacing w:val="-104"/>
          <w:w w:val="99"/>
        </w:rPr>
        <w:t>）</w:t>
      </w:r>
      <w:r>
        <w:rPr>
          <w:spacing w:val="-1"/>
          <w:w w:val="99"/>
        </w:rPr>
        <w:t>、核磁共振</w:t>
      </w:r>
      <w:r>
        <w:rPr>
          <w:spacing w:val="2"/>
          <w:w w:val="99"/>
        </w:rPr>
        <w:t>（</w:t>
      </w:r>
      <w:r>
        <w:rPr>
          <w:spacing w:val="1"/>
          <w:w w:val="99"/>
        </w:rPr>
        <w:t>MR</w:t>
      </w:r>
      <w:r>
        <w:rPr>
          <w:spacing w:val="-2"/>
          <w:w w:val="99"/>
        </w:rPr>
        <w:t>I</w:t>
      </w:r>
      <w:r>
        <w:rPr>
          <w:spacing w:val="-1"/>
          <w:w w:val="99"/>
        </w:rPr>
        <w:t>）或其他影像学检查被确诊为下列病变，并实际接受了手术或放射治疗。</w:t>
      </w:r>
    </w:p>
    <w:p>
      <w:pPr>
        <w:pStyle w:val="9"/>
        <w:numPr>
          <w:ilvl w:val="0"/>
          <w:numId w:val="99"/>
        </w:numPr>
        <w:tabs>
          <w:tab w:val="left" w:pos="3205"/>
          <w:tab w:val="left" w:pos="3206"/>
        </w:tabs>
        <w:spacing w:before="155" w:after="0" w:line="240" w:lineRule="auto"/>
        <w:ind w:left="3205" w:right="0" w:hanging="721"/>
        <w:jc w:val="left"/>
        <w:rPr>
          <w:sz w:val="21"/>
        </w:rPr>
      </w:pPr>
      <w:r>
        <w:rPr>
          <w:spacing w:val="-2"/>
          <w:w w:val="95"/>
          <w:sz w:val="21"/>
        </w:rPr>
        <w:t>脑垂体瘤；</w:t>
      </w:r>
    </w:p>
    <w:p>
      <w:pPr>
        <w:pStyle w:val="4"/>
        <w:spacing w:before="7"/>
        <w:rPr>
          <w:sz w:val="15"/>
        </w:rPr>
      </w:pPr>
    </w:p>
    <w:p>
      <w:pPr>
        <w:pStyle w:val="9"/>
        <w:numPr>
          <w:ilvl w:val="0"/>
          <w:numId w:val="99"/>
        </w:numPr>
        <w:tabs>
          <w:tab w:val="left" w:pos="3205"/>
          <w:tab w:val="left" w:pos="3206"/>
        </w:tabs>
        <w:spacing w:before="0" w:after="0" w:line="240" w:lineRule="auto"/>
        <w:ind w:left="3205" w:right="0" w:hanging="721"/>
        <w:jc w:val="left"/>
        <w:rPr>
          <w:sz w:val="21"/>
        </w:rPr>
      </w:pPr>
      <w:r>
        <w:rPr>
          <w:spacing w:val="-3"/>
          <w:w w:val="95"/>
          <w:sz w:val="21"/>
        </w:rPr>
        <w:t>脑囊肿。</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2"/>
          <w:w w:val="95"/>
        </w:rPr>
        <w:t>视力严重受损：</w:t>
      </w:r>
    </w:p>
    <w:p>
      <w:pPr>
        <w:pStyle w:val="4"/>
        <w:spacing w:before="7"/>
        <w:rPr>
          <w:b/>
          <w:sz w:val="15"/>
        </w:rPr>
      </w:pPr>
    </w:p>
    <w:p>
      <w:pPr>
        <w:pStyle w:val="4"/>
        <w:spacing w:line="278" w:lineRule="auto"/>
        <w:ind w:left="2485" w:right="350"/>
      </w:pPr>
      <w:r>
        <w:rPr>
          <w:spacing w:val="-2"/>
          <w:w w:val="99"/>
        </w:rPr>
        <w:t>指被保险人因疾病或意外伤害导致双目视力永久不可逆性丧失，虽然未达到重大疾</w:t>
      </w:r>
      <w:r>
        <w:rPr>
          <w:spacing w:val="-1"/>
          <w:w w:val="99"/>
        </w:rPr>
        <w:t>病“双目失明”的给付标准，但满足下列条件之一：</w:t>
      </w:r>
    </w:p>
    <w:p>
      <w:pPr>
        <w:pStyle w:val="9"/>
        <w:numPr>
          <w:ilvl w:val="0"/>
          <w:numId w:val="100"/>
        </w:numPr>
        <w:tabs>
          <w:tab w:val="left" w:pos="3205"/>
          <w:tab w:val="left" w:pos="3206"/>
        </w:tabs>
        <w:spacing w:before="156" w:after="0" w:line="278" w:lineRule="auto"/>
        <w:ind w:left="3205" w:right="347" w:hanging="720"/>
        <w:jc w:val="left"/>
        <w:rPr>
          <w:sz w:val="21"/>
        </w:rPr>
      </w:pPr>
      <w:r>
        <w:rPr>
          <w:spacing w:val="-1"/>
          <w:w w:val="99"/>
          <w:sz w:val="21"/>
        </w:rPr>
        <w:t>双眼中较好眼矫正视力低于</w:t>
      </w:r>
      <w:r>
        <w:rPr>
          <w:spacing w:val="-53"/>
          <w:sz w:val="21"/>
        </w:rPr>
        <w:t xml:space="preserve"> </w:t>
      </w:r>
      <w:r>
        <w:rPr>
          <w:spacing w:val="1"/>
          <w:w w:val="99"/>
          <w:sz w:val="21"/>
        </w:rPr>
        <w:t>0.</w:t>
      </w:r>
      <w:r>
        <w:rPr>
          <w:spacing w:val="-26"/>
          <w:w w:val="99"/>
          <w:sz w:val="21"/>
        </w:rPr>
        <w:t>1</w:t>
      </w:r>
      <w:r>
        <w:rPr>
          <w:spacing w:val="2"/>
          <w:w w:val="99"/>
          <w:sz w:val="21"/>
        </w:rPr>
        <w:t>（</w:t>
      </w:r>
      <w:r>
        <w:rPr>
          <w:spacing w:val="-4"/>
          <w:w w:val="99"/>
          <w:sz w:val="21"/>
        </w:rPr>
        <w:t>采用国际标准视力表，如果使用其他视力</w:t>
      </w:r>
      <w:r>
        <w:rPr>
          <w:spacing w:val="-1"/>
          <w:w w:val="99"/>
          <w:sz w:val="21"/>
        </w:rPr>
        <w:t>表应进行换算</w:t>
      </w:r>
      <w:r>
        <w:rPr>
          <w:spacing w:val="-104"/>
          <w:w w:val="99"/>
          <w:sz w:val="21"/>
        </w:rPr>
        <w:t>）</w:t>
      </w:r>
      <w:r>
        <w:rPr>
          <w:w w:val="99"/>
          <w:sz w:val="21"/>
        </w:rPr>
        <w:t>；</w:t>
      </w:r>
    </w:p>
    <w:p>
      <w:pPr>
        <w:pStyle w:val="9"/>
        <w:numPr>
          <w:ilvl w:val="0"/>
          <w:numId w:val="100"/>
        </w:numPr>
        <w:tabs>
          <w:tab w:val="left" w:pos="3205"/>
          <w:tab w:val="left" w:pos="3206"/>
        </w:tabs>
        <w:spacing w:before="155" w:after="0" w:line="240" w:lineRule="auto"/>
        <w:ind w:left="3205" w:right="0" w:hanging="721"/>
        <w:jc w:val="left"/>
        <w:rPr>
          <w:sz w:val="21"/>
        </w:rPr>
      </w:pPr>
      <w:r>
        <w:rPr>
          <w:w w:val="95"/>
          <w:sz w:val="21"/>
        </w:rPr>
        <w:t>双眼中较好眼视野半径小于</w:t>
      </w:r>
      <w:r>
        <w:rPr>
          <w:spacing w:val="13"/>
          <w:sz w:val="21"/>
        </w:rPr>
        <w:t xml:space="preserve"> </w:t>
      </w:r>
      <w:r>
        <w:rPr>
          <w:w w:val="95"/>
          <w:sz w:val="21"/>
        </w:rPr>
        <w:t>20</w:t>
      </w:r>
      <w:r>
        <w:rPr>
          <w:spacing w:val="4"/>
          <w:sz w:val="21"/>
        </w:rPr>
        <w:t xml:space="preserve"> </w:t>
      </w:r>
      <w:r>
        <w:rPr>
          <w:spacing w:val="-5"/>
          <w:w w:val="95"/>
          <w:sz w:val="21"/>
        </w:rPr>
        <w:t>度。</w:t>
      </w:r>
    </w:p>
    <w:p>
      <w:pPr>
        <w:pStyle w:val="4"/>
        <w:spacing w:before="7"/>
        <w:rPr>
          <w:sz w:val="15"/>
        </w:rPr>
      </w:pPr>
    </w:p>
    <w:p>
      <w:pPr>
        <w:pStyle w:val="4"/>
        <w:spacing w:line="278" w:lineRule="auto"/>
        <w:ind w:left="2485" w:right="350"/>
      </w:pPr>
      <w:r>
        <w:rPr>
          <w:spacing w:val="-2"/>
          <w:w w:val="99"/>
        </w:rPr>
        <w:t>被保险人申请理赔时年龄必须在三周岁以上，并且提供理赔当时的视力丧失诊断及</w:t>
      </w:r>
      <w:r>
        <w:rPr>
          <w:spacing w:val="-1"/>
          <w:w w:val="99"/>
        </w:rPr>
        <w:t>检查证据。</w:t>
      </w:r>
    </w:p>
    <w:p>
      <w:pPr>
        <w:pStyle w:val="4"/>
        <w:ind w:left="2486"/>
        <w:rPr>
          <w:sz w:val="20"/>
        </w:rPr>
      </w:pPr>
      <w:r>
        <w:rPr>
          <w:sz w:val="20"/>
        </w:rPr>
        <w:pict>
          <v:shape id="docshape45" o:spid="_x0000_s1069" o:spt="202" type="#_x0000_t202" style="height:13.6pt;width:377.4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28"/>
                      <w:w w:val="95"/>
                    </w:rPr>
                    <w:t>本公司对“视力严重受损”、“角膜移植”、“单眼失明”、“糖尿病视网膜晚期增生性</w:t>
                  </w:r>
                </w:p>
              </w:txbxContent>
            </v:textbox>
            <w10:wrap type="none"/>
            <w10:anchorlock/>
          </v:shape>
        </w:pict>
      </w:r>
    </w:p>
    <w:p>
      <w:pPr>
        <w:pStyle w:val="4"/>
        <w:ind w:left="2486"/>
        <w:rPr>
          <w:sz w:val="20"/>
        </w:rPr>
      </w:pPr>
      <w:r>
        <w:rPr>
          <w:sz w:val="20"/>
        </w:rPr>
        <w:pict>
          <v:shape id="docshape46" o:spid="_x0000_s1070" o:spt="202" type="#_x0000_t202" style="height:13.6pt;width:377.4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病变”四项中的其中一项承担保险责任，给付其中一项保险金后，对其他三项轻度</w:t>
                  </w:r>
                </w:p>
              </w:txbxContent>
            </v:textbox>
            <w10:wrap type="none"/>
            <w10:anchorlock/>
          </v:shape>
        </w:pict>
      </w:r>
    </w:p>
    <w:p>
      <w:pPr>
        <w:pStyle w:val="4"/>
        <w:ind w:left="2486"/>
        <w:rPr>
          <w:sz w:val="20"/>
        </w:rPr>
      </w:pPr>
      <w:r>
        <w:rPr>
          <w:sz w:val="20"/>
        </w:rPr>
        <w:pict>
          <v:shape id="docshape47" o:spid="_x0000_s1071" o:spt="202" type="#_x0000_t202" style="height:13.6pt;width:115.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疾病保险责任同时终止。</w:t>
                  </w:r>
                </w:p>
              </w:txbxContent>
            </v:textbox>
            <w10:wrap type="none"/>
            <w10:anchorlock/>
          </v:shape>
        </w:pict>
      </w:r>
    </w:p>
    <w:p>
      <w:pPr>
        <w:pStyle w:val="4"/>
        <w:spacing w:before="7"/>
        <w:rPr>
          <w:sz w:val="9"/>
        </w:rPr>
      </w:pPr>
    </w:p>
    <w:p>
      <w:pPr>
        <w:pStyle w:val="3"/>
        <w:numPr>
          <w:ilvl w:val="0"/>
          <w:numId w:val="86"/>
        </w:numPr>
        <w:tabs>
          <w:tab w:val="left" w:pos="3120"/>
        </w:tabs>
        <w:spacing w:before="69" w:after="0" w:line="240" w:lineRule="auto"/>
        <w:ind w:left="3119" w:right="0" w:hanging="635"/>
        <w:jc w:val="left"/>
      </w:pPr>
      <w:r>
        <w:rPr>
          <w:spacing w:val="-2"/>
          <w:w w:val="95"/>
        </w:rPr>
        <w:t>肝脏手术：</w:t>
      </w:r>
    </w:p>
    <w:p>
      <w:pPr>
        <w:pStyle w:val="4"/>
        <w:spacing w:before="7"/>
        <w:rPr>
          <w:b/>
          <w:sz w:val="15"/>
        </w:rPr>
      </w:pPr>
    </w:p>
    <w:p>
      <w:pPr>
        <w:pStyle w:val="4"/>
        <w:spacing w:line="278" w:lineRule="auto"/>
        <w:ind w:left="2485" w:right="350"/>
      </w:pPr>
      <w:r>
        <w:rPr>
          <w:spacing w:val="-2"/>
          <w:w w:val="99"/>
        </w:rPr>
        <w:t>指因疾病或意外事故实际实施的肝脏部分切除术，手术须有至少一个完整的肝叶切</w:t>
      </w:r>
      <w:r>
        <w:rPr>
          <w:spacing w:val="-1"/>
          <w:w w:val="99"/>
        </w:rPr>
        <w:t>除。</w:t>
      </w:r>
    </w:p>
    <w:p>
      <w:pPr>
        <w:pStyle w:val="3"/>
        <w:numPr>
          <w:ilvl w:val="0"/>
          <w:numId w:val="86"/>
        </w:numPr>
        <w:tabs>
          <w:tab w:val="left" w:pos="3120"/>
        </w:tabs>
        <w:spacing w:before="156" w:after="0" w:line="240" w:lineRule="auto"/>
        <w:ind w:left="3119" w:right="0" w:hanging="635"/>
        <w:jc w:val="left"/>
      </w:pPr>
      <w:r>
        <w:rPr>
          <w:spacing w:val="-2"/>
          <w:w w:val="95"/>
        </w:rPr>
        <w:t>听力严重受损：</w:t>
      </w:r>
    </w:p>
    <w:p>
      <w:pPr>
        <w:pStyle w:val="4"/>
        <w:spacing w:before="7"/>
        <w:rPr>
          <w:b/>
          <w:sz w:val="15"/>
        </w:rPr>
      </w:pPr>
    </w:p>
    <w:p>
      <w:pPr>
        <w:pStyle w:val="4"/>
        <w:ind w:left="2485"/>
      </w:pPr>
      <w:r>
        <w:rPr>
          <w:w w:val="95"/>
        </w:rPr>
        <w:t>指因疾病或意外导致双耳听力永久不可逆性丧失，在</w:t>
      </w:r>
      <w:r>
        <w:rPr>
          <w:spacing w:val="48"/>
        </w:rPr>
        <w:t xml:space="preserve"> </w:t>
      </w:r>
      <w:r>
        <w:rPr>
          <w:w w:val="95"/>
        </w:rPr>
        <w:t>500</w:t>
      </w:r>
      <w:r>
        <w:rPr>
          <w:spacing w:val="37"/>
        </w:rPr>
        <w:t xml:space="preserve"> </w:t>
      </w:r>
      <w:r>
        <w:rPr>
          <w:w w:val="95"/>
        </w:rPr>
        <w:t>赫兹、1000</w:t>
      </w:r>
      <w:r>
        <w:rPr>
          <w:spacing w:val="46"/>
        </w:rPr>
        <w:t xml:space="preserve"> </w:t>
      </w:r>
      <w:r>
        <w:rPr>
          <w:w w:val="95"/>
        </w:rPr>
        <w:t>赫兹和</w:t>
      </w:r>
      <w:r>
        <w:rPr>
          <w:spacing w:val="43"/>
        </w:rPr>
        <w:t xml:space="preserve"> </w:t>
      </w:r>
      <w:r>
        <w:rPr>
          <w:spacing w:val="-4"/>
          <w:w w:val="95"/>
        </w:rPr>
        <w:t>2000</w:t>
      </w:r>
    </w:p>
    <w:p>
      <w:pPr>
        <w:spacing w:after="0"/>
        <w:sectPr>
          <w:pgSz w:w="11910" w:h="16840"/>
          <w:pgMar w:top="1400" w:right="660" w:bottom="860" w:left="860" w:header="0" w:footer="662" w:gutter="0"/>
          <w:cols w:space="720" w:num="1"/>
        </w:sectPr>
      </w:pPr>
    </w:p>
    <w:p>
      <w:pPr>
        <w:pStyle w:val="4"/>
        <w:spacing w:before="43" w:line="278" w:lineRule="auto"/>
        <w:ind w:left="2485" w:right="350"/>
      </w:pPr>
      <w:r>
        <w:rPr>
          <w:spacing w:val="1"/>
          <w:w w:val="99"/>
        </w:rPr>
        <w:t>赫兹语音频率下，平均听阈大于</w:t>
      </w:r>
      <w:r>
        <w:rPr>
          <w:spacing w:val="-50"/>
        </w:rPr>
        <w:t xml:space="preserve"> </w:t>
      </w:r>
      <w:r>
        <w:rPr>
          <w:spacing w:val="1"/>
          <w:w w:val="99"/>
        </w:rPr>
        <w:t>7</w:t>
      </w:r>
      <w:r>
        <w:rPr>
          <w:w w:val="99"/>
        </w:rPr>
        <w:t>0</w:t>
      </w:r>
      <w:r>
        <w:rPr>
          <w:spacing w:val="-52"/>
        </w:rPr>
        <w:t xml:space="preserve"> </w:t>
      </w:r>
      <w:r>
        <w:rPr>
          <w:spacing w:val="1"/>
          <w:w w:val="99"/>
        </w:rPr>
        <w:t>分贝，且经纯音听力测试、声导抗检测或听觉</w:t>
      </w:r>
      <w:r>
        <w:rPr>
          <w:spacing w:val="-1"/>
          <w:w w:val="99"/>
        </w:rPr>
        <w:t>诱发电位检测等证实。</w:t>
      </w:r>
    </w:p>
    <w:p>
      <w:pPr>
        <w:pStyle w:val="4"/>
        <w:spacing w:line="278" w:lineRule="auto"/>
        <w:ind w:left="2485" w:right="347"/>
      </w:pPr>
      <w:r>
        <w:rPr>
          <w:spacing w:val="-1"/>
          <w:w w:val="99"/>
        </w:rPr>
        <w:t>被保险人申请理赔时年龄必须在</w:t>
      </w:r>
      <w:r>
        <w:rPr>
          <w:spacing w:val="-53"/>
        </w:rPr>
        <w:t xml:space="preserve"> </w:t>
      </w:r>
      <w:r>
        <w:rPr>
          <w:w w:val="99"/>
        </w:rPr>
        <w:t>3</w:t>
      </w:r>
      <w:r>
        <w:rPr>
          <w:spacing w:val="-52"/>
        </w:rPr>
        <w:t xml:space="preserve"> </w:t>
      </w:r>
      <w:r>
        <w:rPr>
          <w:spacing w:val="-3"/>
          <w:w w:val="99"/>
        </w:rPr>
        <w:t>周岁以上，并且提供理赔当时的听力丧失诊断及</w:t>
      </w:r>
      <w:r>
        <w:rPr>
          <w:spacing w:val="-1"/>
          <w:w w:val="99"/>
        </w:rPr>
        <w:t>检查证据。</w:t>
      </w:r>
    </w:p>
    <w:p>
      <w:pPr>
        <w:pStyle w:val="4"/>
        <w:ind w:left="2486"/>
        <w:rPr>
          <w:sz w:val="20"/>
        </w:rPr>
      </w:pPr>
      <w:r>
        <w:rPr>
          <w:sz w:val="20"/>
        </w:rPr>
        <w:pict>
          <v:shape id="docshape48" o:spid="_x0000_s1072" o:spt="202" type="#_x0000_t202" style="height:13.6pt;width:377.6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w w:val="95"/>
                    </w:rPr>
                    <w:t>本公司对“听力严重受损”、</w:t>
                  </w:r>
                  <w:r>
                    <w:rPr>
                      <w:color w:val="000000"/>
                      <w:spacing w:val="39"/>
                    </w:rPr>
                    <w:t xml:space="preserve">  </w:t>
                  </w:r>
                  <w:r>
                    <w:rPr>
                      <w:color w:val="000000"/>
                      <w:spacing w:val="-1"/>
                      <w:w w:val="95"/>
                    </w:rPr>
                    <w:t>“单耳失聪”二项中的其中一项承担保险责任，给付</w:t>
                  </w:r>
                </w:p>
              </w:txbxContent>
            </v:textbox>
            <w10:wrap type="none"/>
            <w10:anchorlock/>
          </v:shape>
        </w:pict>
      </w:r>
    </w:p>
    <w:p>
      <w:pPr>
        <w:pStyle w:val="4"/>
        <w:ind w:left="2486"/>
        <w:rPr>
          <w:sz w:val="20"/>
        </w:rPr>
      </w:pPr>
      <w:r>
        <w:rPr>
          <w:sz w:val="20"/>
        </w:rPr>
        <w:pict>
          <v:shape id="docshape49" o:spid="_x0000_s1073" o:spt="202" type="#_x0000_t202" style="height:13.6pt;width:273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其中一项保险金后，对另一项轻度疾病保险责任同时终止。</w:t>
                  </w:r>
                </w:p>
              </w:txbxContent>
            </v:textbox>
            <w10:wrap type="none"/>
            <w10:anchorlock/>
          </v:shape>
        </w:pict>
      </w:r>
    </w:p>
    <w:p>
      <w:pPr>
        <w:pStyle w:val="4"/>
        <w:spacing w:before="7"/>
        <w:rPr>
          <w:sz w:val="8"/>
        </w:rPr>
      </w:pPr>
    </w:p>
    <w:p>
      <w:pPr>
        <w:pStyle w:val="3"/>
        <w:numPr>
          <w:ilvl w:val="0"/>
          <w:numId w:val="86"/>
        </w:numPr>
        <w:tabs>
          <w:tab w:val="left" w:pos="3120"/>
        </w:tabs>
        <w:spacing w:before="70" w:after="0" w:line="240" w:lineRule="auto"/>
        <w:ind w:left="3119" w:right="0" w:hanging="635"/>
        <w:jc w:val="left"/>
      </w:pPr>
      <w:r>
        <w:rPr>
          <w:spacing w:val="-1"/>
          <w:w w:val="95"/>
        </w:rPr>
        <w:t>心脏起搏器或除颤器植入：</w:t>
      </w:r>
    </w:p>
    <w:p>
      <w:pPr>
        <w:pStyle w:val="4"/>
        <w:spacing w:before="7"/>
        <w:rPr>
          <w:b/>
          <w:sz w:val="15"/>
        </w:rPr>
      </w:pPr>
    </w:p>
    <w:p>
      <w:pPr>
        <w:pStyle w:val="4"/>
        <w:spacing w:line="278" w:lineRule="auto"/>
        <w:ind w:left="2485" w:right="350"/>
        <w:jc w:val="both"/>
      </w:pPr>
      <w:r>
        <w:rPr>
          <w:spacing w:val="-2"/>
          <w:w w:val="99"/>
        </w:rPr>
        <w:t>因严重心律失常而确实已行植入永久性心脏起搏器或除颤器的手术。理赔时须提供完整病历资料及手术记录以证实此严重心律失常并不能以其他方法治疗。诊断及治</w:t>
      </w:r>
      <w:r>
        <w:rPr>
          <w:spacing w:val="4"/>
          <w:w w:val="99"/>
        </w:rPr>
        <w:t>疗均须在本公司指定或认可的医疗机构内由专科医生认为是医疗必须的情况下进</w:t>
      </w:r>
      <w:r>
        <w:rPr>
          <w:spacing w:val="-1"/>
          <w:w w:val="99"/>
        </w:rPr>
        <w:t>行。</w:t>
      </w:r>
    </w:p>
    <w:p>
      <w:pPr>
        <w:pStyle w:val="4"/>
        <w:ind w:left="2486"/>
        <w:rPr>
          <w:sz w:val="20"/>
        </w:rPr>
      </w:pPr>
      <w:r>
        <w:rPr>
          <w:sz w:val="20"/>
        </w:rPr>
        <w:pict>
          <v:shape id="docshape50" o:spid="_x0000_s1074" o:spt="202" type="#_x0000_t202" style="height:13.6pt;width:377.4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2"/>
                      <w:w w:val="95"/>
                    </w:rPr>
                    <w:t>体外心脏电复律（心脏电除颤</w:t>
                  </w:r>
                  <w:r>
                    <w:rPr>
                      <w:color w:val="000000"/>
                      <w:spacing w:val="-101"/>
                      <w:w w:val="95"/>
                    </w:rPr>
                    <w:t>）</w:t>
                  </w:r>
                  <w:r>
                    <w:rPr>
                      <w:color w:val="000000"/>
                      <w:spacing w:val="-3"/>
                      <w:w w:val="95"/>
                    </w:rPr>
                    <w:t>、临时心脏起搏器及临时性埋藏式心脏复律除颤器</w:t>
                  </w:r>
                </w:p>
              </w:txbxContent>
            </v:textbox>
            <w10:wrap type="none"/>
            <w10:anchorlock/>
          </v:shape>
        </w:pict>
      </w:r>
    </w:p>
    <w:p>
      <w:pPr>
        <w:pStyle w:val="4"/>
        <w:ind w:left="2486"/>
        <w:rPr>
          <w:sz w:val="20"/>
        </w:rPr>
      </w:pPr>
      <w:r>
        <w:rPr>
          <w:sz w:val="20"/>
        </w:rPr>
        <w:pict>
          <v:shape id="docshape51" o:spid="_x0000_s1075" o:spt="202" type="#_x0000_t202" style="height:13.6pt;width:52.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4"/>
                      <w:w w:val="95"/>
                    </w:rPr>
                    <w:t>安装除外。</w:t>
                  </w:r>
                </w:p>
              </w:txbxContent>
            </v:textbox>
            <w10:wrap type="none"/>
            <w10:anchorlock/>
          </v:shape>
        </w:pict>
      </w:r>
    </w:p>
    <w:p>
      <w:pPr>
        <w:pStyle w:val="4"/>
        <w:spacing w:before="7"/>
        <w:rPr>
          <w:sz w:val="8"/>
        </w:rPr>
      </w:pPr>
    </w:p>
    <w:p>
      <w:pPr>
        <w:pStyle w:val="3"/>
        <w:numPr>
          <w:ilvl w:val="0"/>
          <w:numId w:val="86"/>
        </w:numPr>
        <w:tabs>
          <w:tab w:val="left" w:pos="3120"/>
        </w:tabs>
        <w:spacing w:before="70" w:after="0" w:line="240" w:lineRule="auto"/>
        <w:ind w:left="3119" w:right="0" w:hanging="635"/>
        <w:jc w:val="left"/>
      </w:pPr>
      <w:r>
        <w:rPr>
          <w:spacing w:val="-2"/>
          <w:w w:val="95"/>
        </w:rPr>
        <w:t>严重的骨质疏松：</w:t>
      </w:r>
    </w:p>
    <w:p>
      <w:pPr>
        <w:pStyle w:val="4"/>
        <w:spacing w:before="6"/>
        <w:rPr>
          <w:b/>
          <w:sz w:val="15"/>
        </w:rPr>
      </w:pPr>
    </w:p>
    <w:p>
      <w:pPr>
        <w:pStyle w:val="4"/>
        <w:spacing w:before="1" w:line="278" w:lineRule="auto"/>
        <w:ind w:left="2485" w:right="347"/>
        <w:jc w:val="both"/>
      </w:pPr>
      <w:r>
        <w:rPr>
          <w:spacing w:val="-2"/>
          <w:w w:val="99"/>
        </w:rPr>
        <w:t>严重的骨质疏松，并因此而直接导致脊椎、骨盆、桡骨、尺骨、肱骨、胫骨、股骨骨折。骨质疏松的诊断必须由本公司认可医院合格的专科医生做出，并符合世界卫</w:t>
      </w:r>
      <w:r>
        <w:rPr>
          <w:spacing w:val="-1"/>
          <w:w w:val="99"/>
        </w:rPr>
        <w:t>生组织关于骨质疏松的诊断标准</w:t>
      </w:r>
      <w:r>
        <w:rPr>
          <w:spacing w:val="2"/>
        </w:rPr>
        <w:t xml:space="preserve"> </w:t>
      </w:r>
      <w:r>
        <w:rPr>
          <w:w w:val="99"/>
        </w:rPr>
        <w:t>。</w:t>
      </w:r>
    </w:p>
    <w:p>
      <w:pPr>
        <w:pStyle w:val="3"/>
        <w:numPr>
          <w:ilvl w:val="0"/>
          <w:numId w:val="86"/>
        </w:numPr>
        <w:tabs>
          <w:tab w:val="left" w:pos="3120"/>
        </w:tabs>
        <w:spacing w:before="155" w:after="0" w:line="240" w:lineRule="auto"/>
        <w:ind w:left="3119" w:right="0" w:hanging="635"/>
        <w:jc w:val="left"/>
      </w:pPr>
      <w:r>
        <w:rPr>
          <w:spacing w:val="-2"/>
          <w:w w:val="95"/>
        </w:rPr>
        <w:t>双侧睾丸切除术：</w:t>
      </w:r>
    </w:p>
    <w:p>
      <w:pPr>
        <w:pStyle w:val="4"/>
        <w:spacing w:before="7"/>
        <w:rPr>
          <w:b/>
          <w:sz w:val="15"/>
        </w:rPr>
      </w:pPr>
    </w:p>
    <w:p>
      <w:pPr>
        <w:pStyle w:val="4"/>
        <w:spacing w:line="278" w:lineRule="auto"/>
        <w:ind w:left="2485" w:right="760"/>
      </w:pPr>
      <w:r>
        <w:rPr>
          <w:spacing w:val="-1"/>
          <w:w w:val="99"/>
        </w:rPr>
        <w:t>指为治疗疾病实际接受了经腹部切开或腹腔镜进行的双侧睾丸完全切除手术。</w:t>
      </w:r>
      <w:r>
        <w:rPr>
          <w:color w:val="000000"/>
          <w:spacing w:val="-1"/>
          <w:w w:val="99"/>
          <w:shd w:val="clear" w:color="auto" w:fill="E4E4E4"/>
        </w:rPr>
        <w:t>下列情况不在保障范围内：</w:t>
      </w:r>
    </w:p>
    <w:p>
      <w:pPr>
        <w:pStyle w:val="9"/>
        <w:numPr>
          <w:ilvl w:val="0"/>
          <w:numId w:val="101"/>
        </w:numPr>
        <w:tabs>
          <w:tab w:val="left" w:pos="3205"/>
          <w:tab w:val="left" w:pos="3206"/>
        </w:tabs>
        <w:spacing w:before="156" w:after="0" w:line="240" w:lineRule="auto"/>
        <w:ind w:left="3205" w:right="0" w:hanging="721"/>
        <w:jc w:val="left"/>
        <w:rPr>
          <w:sz w:val="21"/>
        </w:rPr>
      </w:pPr>
      <w:r>
        <w:rPr>
          <w:color w:val="000000"/>
          <w:spacing w:val="-2"/>
          <w:w w:val="95"/>
          <w:sz w:val="21"/>
          <w:shd w:val="clear" w:color="auto" w:fill="E4E4E4"/>
        </w:rPr>
        <w:t>部分睾丸切除；</w:t>
      </w:r>
    </w:p>
    <w:p>
      <w:pPr>
        <w:pStyle w:val="4"/>
        <w:spacing w:before="6"/>
        <w:rPr>
          <w:sz w:val="15"/>
        </w:rPr>
      </w:pPr>
    </w:p>
    <w:p>
      <w:pPr>
        <w:pStyle w:val="9"/>
        <w:numPr>
          <w:ilvl w:val="0"/>
          <w:numId w:val="101"/>
        </w:numPr>
        <w:tabs>
          <w:tab w:val="left" w:pos="3205"/>
          <w:tab w:val="left" w:pos="3206"/>
        </w:tabs>
        <w:spacing w:before="1" w:after="0" w:line="240" w:lineRule="auto"/>
        <w:ind w:left="3205" w:right="0" w:hanging="721"/>
        <w:jc w:val="left"/>
        <w:rPr>
          <w:sz w:val="21"/>
        </w:rPr>
      </w:pPr>
      <w:r>
        <w:rPr>
          <w:color w:val="000000"/>
          <w:spacing w:val="-1"/>
          <w:w w:val="95"/>
          <w:sz w:val="21"/>
          <w:shd w:val="clear" w:color="auto" w:fill="E4E4E4"/>
        </w:rPr>
        <w:t>因恶性肿瘤进行的睾丸切除术；</w:t>
      </w:r>
    </w:p>
    <w:p>
      <w:pPr>
        <w:pStyle w:val="4"/>
        <w:spacing w:before="6"/>
        <w:rPr>
          <w:sz w:val="15"/>
        </w:rPr>
      </w:pPr>
    </w:p>
    <w:p>
      <w:pPr>
        <w:pStyle w:val="9"/>
        <w:numPr>
          <w:ilvl w:val="0"/>
          <w:numId w:val="101"/>
        </w:numPr>
        <w:tabs>
          <w:tab w:val="left" w:pos="3205"/>
          <w:tab w:val="left" w:pos="3206"/>
        </w:tabs>
        <w:spacing w:before="0" w:after="0" w:line="240" w:lineRule="auto"/>
        <w:ind w:left="3205" w:right="0" w:hanging="721"/>
        <w:jc w:val="left"/>
        <w:rPr>
          <w:sz w:val="21"/>
        </w:rPr>
      </w:pPr>
      <w:r>
        <w:rPr>
          <w:color w:val="000000"/>
          <w:spacing w:val="-2"/>
          <w:w w:val="95"/>
          <w:sz w:val="21"/>
          <w:shd w:val="clear" w:color="auto" w:fill="E4E4E4"/>
        </w:rPr>
        <w:t>预防性睾丸切除；</w:t>
      </w:r>
    </w:p>
    <w:p>
      <w:pPr>
        <w:pStyle w:val="4"/>
        <w:spacing w:before="7"/>
        <w:rPr>
          <w:sz w:val="15"/>
        </w:rPr>
      </w:pPr>
    </w:p>
    <w:p>
      <w:pPr>
        <w:pStyle w:val="9"/>
        <w:numPr>
          <w:ilvl w:val="0"/>
          <w:numId w:val="101"/>
        </w:numPr>
        <w:tabs>
          <w:tab w:val="left" w:pos="3205"/>
          <w:tab w:val="left" w:pos="3206"/>
        </w:tabs>
        <w:spacing w:before="0" w:after="0" w:line="240" w:lineRule="auto"/>
        <w:ind w:left="3205" w:right="0" w:hanging="721"/>
        <w:jc w:val="left"/>
        <w:rPr>
          <w:sz w:val="21"/>
        </w:rPr>
      </w:pPr>
      <w:r>
        <w:rPr>
          <w:color w:val="000000"/>
          <w:spacing w:val="-2"/>
          <w:w w:val="95"/>
          <w:sz w:val="21"/>
          <w:shd w:val="clear" w:color="auto" w:fill="E4E4E4"/>
        </w:rPr>
        <w:t>变性手术。</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2"/>
          <w:w w:val="95"/>
        </w:rPr>
        <w:t>双侧卵巢切除术：</w:t>
      </w:r>
    </w:p>
    <w:p>
      <w:pPr>
        <w:pStyle w:val="4"/>
        <w:spacing w:before="6"/>
        <w:rPr>
          <w:b/>
          <w:sz w:val="15"/>
        </w:rPr>
      </w:pPr>
    </w:p>
    <w:p>
      <w:pPr>
        <w:pStyle w:val="4"/>
        <w:spacing w:before="1"/>
        <w:ind w:left="2485"/>
      </w:pPr>
      <w:r>
        <w:rPr>
          <w:spacing w:val="-1"/>
          <w:w w:val="95"/>
        </w:rPr>
        <w:t>指为治疗疾病实际接受了经腹部切开或腹腔镜进行的双侧卵巢完全切除手术。</w:t>
      </w:r>
    </w:p>
    <w:p>
      <w:pPr>
        <w:pStyle w:val="4"/>
        <w:spacing w:before="1"/>
        <w:rPr>
          <w:sz w:val="10"/>
        </w:rPr>
      </w:pPr>
    </w:p>
    <w:p>
      <w:pPr>
        <w:pStyle w:val="4"/>
        <w:spacing w:before="69"/>
        <w:ind w:left="2485"/>
      </w:pPr>
      <w:r>
        <w:rPr>
          <w:color w:val="000000"/>
          <w:spacing w:val="-1"/>
          <w:w w:val="95"/>
          <w:shd w:val="clear" w:color="auto" w:fill="E4E4E4"/>
        </w:rPr>
        <w:t>下列情况不在保障范围内：</w:t>
      </w:r>
    </w:p>
    <w:p>
      <w:pPr>
        <w:pStyle w:val="4"/>
        <w:spacing w:before="7"/>
        <w:rPr>
          <w:sz w:val="15"/>
        </w:rPr>
      </w:pPr>
    </w:p>
    <w:p>
      <w:pPr>
        <w:pStyle w:val="9"/>
        <w:numPr>
          <w:ilvl w:val="0"/>
          <w:numId w:val="102"/>
        </w:numPr>
        <w:tabs>
          <w:tab w:val="left" w:pos="3205"/>
          <w:tab w:val="left" w:pos="3206"/>
        </w:tabs>
        <w:spacing w:before="0" w:after="0" w:line="240" w:lineRule="auto"/>
        <w:ind w:left="3205" w:right="0" w:hanging="721"/>
        <w:jc w:val="left"/>
        <w:rPr>
          <w:sz w:val="21"/>
        </w:rPr>
      </w:pPr>
      <w:r>
        <w:rPr>
          <w:color w:val="000000"/>
          <w:spacing w:val="-2"/>
          <w:w w:val="95"/>
          <w:sz w:val="21"/>
          <w:shd w:val="clear" w:color="auto" w:fill="E4E4E4"/>
        </w:rPr>
        <w:t>部分卵巢切除；</w:t>
      </w:r>
    </w:p>
    <w:p>
      <w:pPr>
        <w:pStyle w:val="4"/>
        <w:spacing w:before="7"/>
        <w:rPr>
          <w:sz w:val="15"/>
        </w:rPr>
      </w:pPr>
    </w:p>
    <w:p>
      <w:pPr>
        <w:pStyle w:val="9"/>
        <w:numPr>
          <w:ilvl w:val="0"/>
          <w:numId w:val="102"/>
        </w:numPr>
        <w:tabs>
          <w:tab w:val="left" w:pos="3205"/>
          <w:tab w:val="left" w:pos="3206"/>
        </w:tabs>
        <w:spacing w:before="0" w:after="0" w:line="240" w:lineRule="auto"/>
        <w:ind w:left="3205" w:right="0" w:hanging="721"/>
        <w:jc w:val="left"/>
        <w:rPr>
          <w:sz w:val="21"/>
        </w:rPr>
      </w:pPr>
      <w:r>
        <w:rPr>
          <w:color w:val="000000"/>
          <w:spacing w:val="-1"/>
          <w:w w:val="95"/>
          <w:sz w:val="21"/>
          <w:shd w:val="clear" w:color="auto" w:fill="E4E4E4"/>
        </w:rPr>
        <w:t>因恶性肿瘤进行的卵巢切除术；</w:t>
      </w:r>
    </w:p>
    <w:p>
      <w:pPr>
        <w:pStyle w:val="4"/>
        <w:spacing w:before="6"/>
        <w:rPr>
          <w:sz w:val="15"/>
        </w:rPr>
      </w:pPr>
    </w:p>
    <w:p>
      <w:pPr>
        <w:pStyle w:val="9"/>
        <w:numPr>
          <w:ilvl w:val="0"/>
          <w:numId w:val="102"/>
        </w:numPr>
        <w:tabs>
          <w:tab w:val="left" w:pos="3205"/>
          <w:tab w:val="left" w:pos="3206"/>
        </w:tabs>
        <w:spacing w:before="1" w:after="0" w:line="240" w:lineRule="auto"/>
        <w:ind w:left="3205" w:right="0" w:hanging="721"/>
        <w:jc w:val="left"/>
        <w:rPr>
          <w:sz w:val="21"/>
        </w:rPr>
      </w:pPr>
      <w:r>
        <w:rPr>
          <w:color w:val="000000"/>
          <w:spacing w:val="-2"/>
          <w:w w:val="95"/>
          <w:sz w:val="21"/>
          <w:shd w:val="clear" w:color="auto" w:fill="E4E4E4"/>
        </w:rPr>
        <w:t>预防性卵巢切除；</w:t>
      </w:r>
    </w:p>
    <w:p>
      <w:pPr>
        <w:pStyle w:val="4"/>
        <w:spacing w:before="6"/>
        <w:rPr>
          <w:sz w:val="15"/>
        </w:rPr>
      </w:pPr>
    </w:p>
    <w:p>
      <w:pPr>
        <w:pStyle w:val="9"/>
        <w:numPr>
          <w:ilvl w:val="0"/>
          <w:numId w:val="102"/>
        </w:numPr>
        <w:tabs>
          <w:tab w:val="left" w:pos="3205"/>
          <w:tab w:val="left" w:pos="3206"/>
        </w:tabs>
        <w:spacing w:before="0" w:after="0" w:line="240" w:lineRule="auto"/>
        <w:ind w:left="3205" w:right="0" w:hanging="721"/>
        <w:jc w:val="left"/>
        <w:rPr>
          <w:sz w:val="21"/>
        </w:rPr>
      </w:pPr>
      <w:r>
        <w:rPr>
          <w:color w:val="000000"/>
          <w:spacing w:val="-2"/>
          <w:w w:val="95"/>
          <w:sz w:val="21"/>
          <w:shd w:val="clear" w:color="auto" w:fill="E4E4E4"/>
        </w:rPr>
        <w:t>变性手术。</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2"/>
          <w:w w:val="95"/>
        </w:rPr>
        <w:t>单侧肾脏切除：</w:t>
      </w:r>
    </w:p>
    <w:p>
      <w:pPr>
        <w:pStyle w:val="4"/>
        <w:spacing w:before="7"/>
        <w:rPr>
          <w:b/>
          <w:sz w:val="15"/>
        </w:rPr>
      </w:pPr>
    </w:p>
    <w:p>
      <w:pPr>
        <w:pStyle w:val="4"/>
        <w:spacing w:line="278" w:lineRule="auto"/>
        <w:ind w:left="2485" w:right="350"/>
      </w:pPr>
      <w:r>
        <w:rPr>
          <w:spacing w:val="-2"/>
          <w:w w:val="99"/>
        </w:rPr>
        <w:t>因肾脏疾病或外伤而确实已经接受手术完全切除左肾或右肾。手术必须被本公司指</w:t>
      </w:r>
      <w:r>
        <w:rPr>
          <w:spacing w:val="-1"/>
          <w:w w:val="99"/>
        </w:rPr>
        <w:t>定或认可的医疗机构的专科医生视为必要的。</w:t>
      </w:r>
    </w:p>
    <w:p>
      <w:pPr>
        <w:pStyle w:val="4"/>
        <w:spacing w:line="269" w:lineRule="exact"/>
        <w:ind w:left="2485"/>
      </w:pPr>
      <w:r>
        <w:rPr>
          <w:color w:val="000000"/>
          <w:spacing w:val="-1"/>
          <w:w w:val="95"/>
          <w:shd w:val="clear" w:color="auto" w:fill="E4E4E4"/>
        </w:rPr>
        <w:t>恶性肿瘤、肾脏部分切除手术和肾脏捐献引起的手术不在保障范围内。</w:t>
      </w:r>
    </w:p>
    <w:p>
      <w:pPr>
        <w:spacing w:after="0" w:line="269" w:lineRule="exact"/>
        <w:sectPr>
          <w:pgSz w:w="11910" w:h="16840"/>
          <w:pgMar w:top="1400" w:right="660" w:bottom="860" w:left="860" w:header="0" w:footer="662" w:gutter="0"/>
          <w:cols w:space="720" w:num="1"/>
        </w:sectPr>
      </w:pPr>
    </w:p>
    <w:p>
      <w:pPr>
        <w:pStyle w:val="3"/>
        <w:numPr>
          <w:ilvl w:val="0"/>
          <w:numId w:val="86"/>
        </w:numPr>
        <w:tabs>
          <w:tab w:val="left" w:pos="3120"/>
        </w:tabs>
        <w:spacing w:before="59" w:after="0" w:line="240" w:lineRule="auto"/>
        <w:ind w:left="3119" w:right="0" w:hanging="635"/>
        <w:jc w:val="left"/>
      </w:pPr>
      <w:r>
        <w:rPr>
          <w:spacing w:val="-1"/>
          <w:w w:val="95"/>
        </w:rPr>
        <w:t>于颈动脉进行血管成形术或内膜切除术：</w:t>
      </w:r>
    </w:p>
    <w:p>
      <w:pPr>
        <w:pStyle w:val="4"/>
        <w:spacing w:before="7"/>
        <w:rPr>
          <w:b/>
          <w:sz w:val="15"/>
        </w:rPr>
      </w:pPr>
    </w:p>
    <w:p>
      <w:pPr>
        <w:pStyle w:val="4"/>
        <w:spacing w:line="278" w:lineRule="auto"/>
        <w:ind w:left="2485" w:right="350"/>
        <w:jc w:val="both"/>
      </w:pPr>
      <w:r>
        <w:rPr>
          <w:spacing w:val="-3"/>
          <w:w w:val="99"/>
        </w:rPr>
        <w:t>指根据颈动脉造影检查结果，确诊一条或以上颈动脉存在严重狭窄性病变</w:t>
      </w:r>
      <w:r>
        <w:rPr>
          <w:spacing w:val="-1"/>
          <w:w w:val="99"/>
        </w:rPr>
        <w:t>（</w:t>
      </w:r>
      <w:r>
        <w:rPr>
          <w:w w:val="99"/>
        </w:rPr>
        <w:t>至少一</w:t>
      </w:r>
      <w:r>
        <w:rPr>
          <w:spacing w:val="1"/>
          <w:w w:val="99"/>
        </w:rPr>
        <w:t>支血管管腔直径减少</w:t>
      </w:r>
      <w:r>
        <w:rPr>
          <w:spacing w:val="-50"/>
        </w:rPr>
        <w:t xml:space="preserve"> </w:t>
      </w:r>
      <w:r>
        <w:rPr>
          <w:spacing w:val="1"/>
          <w:w w:val="99"/>
        </w:rPr>
        <w:t>50</w:t>
      </w:r>
      <w:r>
        <w:rPr>
          <w:spacing w:val="2"/>
          <w:w w:val="99"/>
        </w:rPr>
        <w:t>％以上</w:t>
      </w:r>
      <w:r>
        <w:rPr>
          <w:spacing w:val="-104"/>
          <w:w w:val="99"/>
        </w:rPr>
        <w:t>）</w:t>
      </w:r>
      <w:r>
        <w:rPr>
          <w:spacing w:val="1"/>
          <w:w w:val="99"/>
        </w:rPr>
        <w:t>。本病须经国家机关认可的有合法资质的专科医生</w:t>
      </w:r>
      <w:r>
        <w:rPr>
          <w:spacing w:val="-1"/>
          <w:w w:val="99"/>
        </w:rPr>
        <w:t>明确诊断，同时必须已经采取以下手术之一以减轻症状：</w:t>
      </w:r>
    </w:p>
    <w:p>
      <w:pPr>
        <w:pStyle w:val="9"/>
        <w:numPr>
          <w:ilvl w:val="0"/>
          <w:numId w:val="103"/>
        </w:numPr>
        <w:tabs>
          <w:tab w:val="left" w:pos="3206"/>
        </w:tabs>
        <w:spacing w:before="156" w:after="0" w:line="240" w:lineRule="auto"/>
        <w:ind w:left="3205" w:right="0" w:hanging="721"/>
        <w:jc w:val="both"/>
        <w:rPr>
          <w:sz w:val="21"/>
        </w:rPr>
      </w:pPr>
      <w:r>
        <w:rPr>
          <w:spacing w:val="-1"/>
          <w:w w:val="95"/>
          <w:sz w:val="21"/>
        </w:rPr>
        <w:t>确实进行动脉内膜切除术；</w:t>
      </w:r>
    </w:p>
    <w:p>
      <w:pPr>
        <w:pStyle w:val="4"/>
        <w:spacing w:before="6"/>
        <w:rPr>
          <w:sz w:val="15"/>
        </w:rPr>
      </w:pPr>
    </w:p>
    <w:p>
      <w:pPr>
        <w:pStyle w:val="9"/>
        <w:numPr>
          <w:ilvl w:val="0"/>
          <w:numId w:val="103"/>
        </w:numPr>
        <w:tabs>
          <w:tab w:val="left" w:pos="3205"/>
          <w:tab w:val="left" w:pos="3206"/>
        </w:tabs>
        <w:spacing w:before="0" w:after="0" w:line="278" w:lineRule="auto"/>
        <w:ind w:left="3205" w:right="350" w:hanging="720"/>
        <w:jc w:val="left"/>
        <w:rPr>
          <w:sz w:val="21"/>
        </w:rPr>
      </w:pPr>
      <w:r>
        <w:rPr>
          <w:spacing w:val="-1"/>
          <w:w w:val="99"/>
          <w:sz w:val="21"/>
        </w:rPr>
        <w:t>确实进行血管介入治疗，例如血管成形术及/或进行植入支架或动脉粥样瘤清除手术。</w:t>
      </w:r>
    </w:p>
    <w:p>
      <w:pPr>
        <w:pStyle w:val="3"/>
        <w:numPr>
          <w:ilvl w:val="0"/>
          <w:numId w:val="86"/>
        </w:numPr>
        <w:tabs>
          <w:tab w:val="left" w:pos="3120"/>
        </w:tabs>
        <w:spacing w:before="156" w:after="0" w:line="240" w:lineRule="auto"/>
        <w:ind w:left="3119" w:right="0" w:hanging="635"/>
        <w:jc w:val="left"/>
      </w:pPr>
      <w:r>
        <w:rPr>
          <w:spacing w:val="-2"/>
          <w:w w:val="95"/>
        </w:rPr>
        <w:t>心包膜切除术：</w:t>
      </w:r>
    </w:p>
    <w:p>
      <w:pPr>
        <w:pStyle w:val="4"/>
        <w:spacing w:before="7"/>
        <w:rPr>
          <w:b/>
          <w:sz w:val="15"/>
        </w:rPr>
      </w:pPr>
    </w:p>
    <w:p>
      <w:pPr>
        <w:pStyle w:val="4"/>
        <w:spacing w:line="278" w:lineRule="auto"/>
        <w:ind w:left="2485" w:right="338"/>
      </w:pPr>
      <w:r>
        <w:rPr>
          <w:spacing w:val="-1"/>
          <w:w w:val="99"/>
        </w:rPr>
        <w:t>因心包膜疾病导致已接受心包膜切除术或已进行任何需要心脏小切口技术的手术。手术必须在心脏科医生认为是医学上必需的情况下进行。</w:t>
      </w:r>
    </w:p>
    <w:p>
      <w:pPr>
        <w:pStyle w:val="3"/>
        <w:numPr>
          <w:ilvl w:val="0"/>
          <w:numId w:val="86"/>
        </w:numPr>
        <w:tabs>
          <w:tab w:val="left" w:pos="3120"/>
        </w:tabs>
        <w:spacing w:before="156" w:after="0" w:line="240" w:lineRule="auto"/>
        <w:ind w:left="3119" w:right="0" w:hanging="635"/>
        <w:jc w:val="left"/>
      </w:pPr>
      <w:r>
        <w:rPr>
          <w:spacing w:val="-2"/>
          <w:w w:val="95"/>
        </w:rPr>
        <w:t>硬脑膜下血肿手术：</w:t>
      </w:r>
    </w:p>
    <w:p>
      <w:pPr>
        <w:pStyle w:val="4"/>
        <w:spacing w:before="6"/>
        <w:rPr>
          <w:b/>
          <w:sz w:val="15"/>
        </w:rPr>
      </w:pPr>
    </w:p>
    <w:p>
      <w:pPr>
        <w:pStyle w:val="4"/>
        <w:spacing w:line="278" w:lineRule="auto"/>
        <w:ind w:left="2485" w:right="350"/>
      </w:pPr>
      <w:r>
        <w:rPr>
          <w:spacing w:val="-3"/>
          <w:w w:val="99"/>
        </w:rPr>
        <w:t>为清除或引流因意外导致的血肿，需于头部进行开颅或钻孔手术。开颅或钻孔手术</w:t>
      </w:r>
      <w:r>
        <w:rPr>
          <w:spacing w:val="-1"/>
          <w:w w:val="99"/>
        </w:rPr>
        <w:t>必须由专科医生认为是医学上必需的情况下进行。</w:t>
      </w:r>
    </w:p>
    <w:p>
      <w:pPr>
        <w:pStyle w:val="3"/>
        <w:numPr>
          <w:ilvl w:val="0"/>
          <w:numId w:val="86"/>
        </w:numPr>
        <w:tabs>
          <w:tab w:val="left" w:pos="3120"/>
        </w:tabs>
        <w:spacing w:before="156" w:after="0" w:line="240" w:lineRule="auto"/>
        <w:ind w:left="3119" w:right="0" w:hanging="635"/>
        <w:jc w:val="left"/>
      </w:pPr>
      <w:r>
        <w:rPr>
          <w:spacing w:val="-1"/>
          <w:w w:val="95"/>
        </w:rPr>
        <w:t>特定周围动脉疾病的血管介入治疗：</w:t>
      </w:r>
    </w:p>
    <w:p>
      <w:pPr>
        <w:pStyle w:val="4"/>
        <w:spacing w:before="7"/>
        <w:rPr>
          <w:b/>
          <w:sz w:val="15"/>
        </w:rPr>
      </w:pPr>
    </w:p>
    <w:p>
      <w:pPr>
        <w:pStyle w:val="4"/>
        <w:ind w:left="2485"/>
      </w:pPr>
      <w:r>
        <w:rPr>
          <w:spacing w:val="-1"/>
          <w:w w:val="95"/>
        </w:rPr>
        <w:t>指为治疗一条或者一条以上的下列动脉狭窄而实施的血管介入治疗：</w:t>
      </w:r>
    </w:p>
    <w:p>
      <w:pPr>
        <w:pStyle w:val="4"/>
        <w:spacing w:before="6"/>
        <w:rPr>
          <w:sz w:val="15"/>
        </w:rPr>
      </w:pPr>
    </w:p>
    <w:p>
      <w:pPr>
        <w:pStyle w:val="9"/>
        <w:numPr>
          <w:ilvl w:val="0"/>
          <w:numId w:val="104"/>
        </w:numPr>
        <w:tabs>
          <w:tab w:val="left" w:pos="3206"/>
        </w:tabs>
        <w:spacing w:before="1" w:after="0" w:line="240" w:lineRule="auto"/>
        <w:ind w:left="3205" w:right="0" w:hanging="721"/>
        <w:jc w:val="both"/>
        <w:rPr>
          <w:sz w:val="21"/>
        </w:rPr>
      </w:pPr>
      <w:r>
        <w:rPr>
          <w:spacing w:val="-1"/>
          <w:w w:val="95"/>
          <w:sz w:val="21"/>
        </w:rPr>
        <w:t>为下肢或者上肢供血的动脉；</w:t>
      </w:r>
    </w:p>
    <w:p>
      <w:pPr>
        <w:pStyle w:val="4"/>
        <w:spacing w:before="6"/>
        <w:rPr>
          <w:sz w:val="15"/>
        </w:rPr>
      </w:pPr>
    </w:p>
    <w:p>
      <w:pPr>
        <w:pStyle w:val="9"/>
        <w:numPr>
          <w:ilvl w:val="0"/>
          <w:numId w:val="104"/>
        </w:numPr>
        <w:tabs>
          <w:tab w:val="left" w:pos="3205"/>
          <w:tab w:val="left" w:pos="3206"/>
        </w:tabs>
        <w:spacing w:before="0" w:after="0" w:line="240" w:lineRule="auto"/>
        <w:ind w:left="3205" w:right="0" w:hanging="721"/>
        <w:jc w:val="left"/>
        <w:rPr>
          <w:sz w:val="21"/>
        </w:rPr>
      </w:pPr>
      <w:r>
        <w:rPr>
          <w:spacing w:val="-3"/>
          <w:w w:val="95"/>
          <w:sz w:val="21"/>
        </w:rPr>
        <w:t>肾动脉；</w:t>
      </w:r>
    </w:p>
    <w:p>
      <w:pPr>
        <w:pStyle w:val="4"/>
        <w:spacing w:before="7"/>
        <w:rPr>
          <w:sz w:val="15"/>
        </w:rPr>
      </w:pPr>
    </w:p>
    <w:p>
      <w:pPr>
        <w:pStyle w:val="9"/>
        <w:numPr>
          <w:ilvl w:val="0"/>
          <w:numId w:val="104"/>
        </w:numPr>
        <w:tabs>
          <w:tab w:val="left" w:pos="3205"/>
          <w:tab w:val="left" w:pos="3206"/>
        </w:tabs>
        <w:spacing w:before="0" w:after="0" w:line="417" w:lineRule="auto"/>
        <w:ind w:left="2485" w:right="5800" w:firstLine="0"/>
        <w:jc w:val="left"/>
        <w:rPr>
          <w:sz w:val="21"/>
        </w:rPr>
      </w:pPr>
      <w:r>
        <w:rPr>
          <w:spacing w:val="-2"/>
          <w:sz w:val="21"/>
        </w:rPr>
        <w:t>肠系膜动脉。须满足下列全部条件：</w:t>
      </w:r>
    </w:p>
    <w:p>
      <w:pPr>
        <w:pStyle w:val="9"/>
        <w:numPr>
          <w:ilvl w:val="0"/>
          <w:numId w:val="105"/>
        </w:numPr>
        <w:tabs>
          <w:tab w:val="left" w:pos="3205"/>
          <w:tab w:val="left" w:pos="3206"/>
        </w:tabs>
        <w:spacing w:before="0" w:after="0" w:line="269" w:lineRule="exact"/>
        <w:ind w:left="3205" w:right="0" w:hanging="721"/>
        <w:jc w:val="left"/>
        <w:rPr>
          <w:sz w:val="21"/>
        </w:rPr>
      </w:pPr>
      <w:r>
        <w:rPr>
          <w:w w:val="95"/>
          <w:sz w:val="21"/>
        </w:rPr>
        <w:t>经血管造影术证实一条或者一条以上的上述动脉狭窄达到</w:t>
      </w:r>
      <w:r>
        <w:rPr>
          <w:spacing w:val="57"/>
          <w:sz w:val="21"/>
        </w:rPr>
        <w:t xml:space="preserve">  </w:t>
      </w:r>
      <w:r>
        <w:rPr>
          <w:w w:val="95"/>
          <w:sz w:val="21"/>
        </w:rPr>
        <w:t>50</w:t>
      </w:r>
      <w:r>
        <w:rPr>
          <w:spacing w:val="-2"/>
          <w:w w:val="95"/>
          <w:sz w:val="21"/>
        </w:rPr>
        <w:t>%或者以上；</w:t>
      </w:r>
    </w:p>
    <w:p>
      <w:pPr>
        <w:pStyle w:val="4"/>
        <w:spacing w:before="7"/>
        <w:rPr>
          <w:sz w:val="15"/>
        </w:rPr>
      </w:pPr>
    </w:p>
    <w:p>
      <w:pPr>
        <w:pStyle w:val="9"/>
        <w:numPr>
          <w:ilvl w:val="0"/>
          <w:numId w:val="105"/>
        </w:numPr>
        <w:tabs>
          <w:tab w:val="left" w:pos="3205"/>
          <w:tab w:val="left" w:pos="3206"/>
        </w:tabs>
        <w:spacing w:before="0" w:after="0" w:line="278" w:lineRule="auto"/>
        <w:ind w:left="3205" w:right="350" w:hanging="720"/>
        <w:jc w:val="left"/>
        <w:rPr>
          <w:sz w:val="21"/>
        </w:rPr>
      </w:pPr>
      <w:r>
        <w:rPr>
          <w:spacing w:val="-1"/>
          <w:w w:val="99"/>
          <w:sz w:val="21"/>
        </w:rPr>
        <w:t>对一条或者一条以上的上述动脉施行了血管介入治疗，如血管成形术及/或者进行植入支架或者动脉粥样瘤清除手术。</w:t>
      </w:r>
    </w:p>
    <w:p>
      <w:pPr>
        <w:pStyle w:val="4"/>
        <w:spacing w:before="156" w:line="278" w:lineRule="auto"/>
        <w:ind w:left="2485" w:right="350"/>
      </w:pPr>
      <w:r>
        <w:rPr>
          <w:spacing w:val="4"/>
          <w:w w:val="99"/>
        </w:rPr>
        <w:t>此诊断及治疗均须在本公司指定或认可的医疗机构内由血管疾病的专科医生认为</w:t>
      </w:r>
      <w:r>
        <w:rPr>
          <w:spacing w:val="-1"/>
          <w:w w:val="99"/>
        </w:rPr>
        <w:t>是医疗必须的情况下进行。</w:t>
      </w:r>
    </w:p>
    <w:p>
      <w:pPr>
        <w:pStyle w:val="3"/>
        <w:numPr>
          <w:ilvl w:val="0"/>
          <w:numId w:val="86"/>
        </w:numPr>
        <w:tabs>
          <w:tab w:val="left" w:pos="3120"/>
        </w:tabs>
        <w:spacing w:before="155" w:after="0" w:line="240" w:lineRule="auto"/>
        <w:ind w:left="3119" w:right="0" w:hanging="635"/>
        <w:jc w:val="left"/>
      </w:pPr>
      <w:r>
        <w:rPr>
          <w:spacing w:val="-2"/>
          <w:w w:val="95"/>
        </w:rPr>
        <w:t>植入腔静脉过滤器：</w:t>
      </w:r>
    </w:p>
    <w:p>
      <w:pPr>
        <w:pStyle w:val="4"/>
        <w:spacing w:before="7"/>
        <w:rPr>
          <w:b/>
          <w:sz w:val="15"/>
        </w:rPr>
      </w:pPr>
    </w:p>
    <w:p>
      <w:pPr>
        <w:pStyle w:val="4"/>
        <w:spacing w:line="278" w:lineRule="auto"/>
        <w:ind w:left="2485" w:right="350"/>
      </w:pPr>
      <w:r>
        <w:rPr>
          <w:spacing w:val="-3"/>
          <w:w w:val="99"/>
        </w:rPr>
        <w:t>指患者因反复肺栓塞发作，抗凝血疗法无效而接受手术植入腔静脉过滤器。此手术</w:t>
      </w:r>
      <w:r>
        <w:rPr>
          <w:spacing w:val="-1"/>
          <w:w w:val="99"/>
        </w:rPr>
        <w:t>须在本公司指定或认可的医疗机构内由专科医生认为是医疗必须的情况下进行。</w:t>
      </w:r>
    </w:p>
    <w:p>
      <w:pPr>
        <w:pStyle w:val="3"/>
        <w:numPr>
          <w:ilvl w:val="0"/>
          <w:numId w:val="86"/>
        </w:numPr>
        <w:tabs>
          <w:tab w:val="left" w:pos="3120"/>
        </w:tabs>
        <w:spacing w:before="156" w:after="0" w:line="240" w:lineRule="auto"/>
        <w:ind w:left="3119" w:right="0" w:hanging="635"/>
        <w:jc w:val="left"/>
      </w:pPr>
      <w:r>
        <w:rPr>
          <w:spacing w:val="-2"/>
          <w:w w:val="95"/>
        </w:rPr>
        <w:t>席汉氏综合症：</w:t>
      </w:r>
    </w:p>
    <w:p>
      <w:pPr>
        <w:pStyle w:val="4"/>
        <w:spacing w:before="6"/>
        <w:rPr>
          <w:b/>
          <w:sz w:val="15"/>
        </w:rPr>
      </w:pPr>
    </w:p>
    <w:p>
      <w:pPr>
        <w:pStyle w:val="4"/>
        <w:spacing w:before="1" w:line="278" w:lineRule="auto"/>
        <w:ind w:left="2485" w:right="350"/>
        <w:jc w:val="both"/>
      </w:pPr>
      <w:r>
        <w:rPr>
          <w:spacing w:val="-3"/>
          <w:w w:val="99"/>
        </w:rPr>
        <w:t>指因产后大出血并发休克、全身循环衰竭、弥漫性血管内凝血导致脑垂体缺血坏死和垂体分泌激素不足，造成性腺、甲状腺、肾上腺皮质功能减退。必须满足下列全</w:t>
      </w:r>
      <w:r>
        <w:rPr>
          <w:spacing w:val="-1"/>
          <w:w w:val="99"/>
        </w:rPr>
        <w:t>部条件：</w:t>
      </w:r>
    </w:p>
    <w:p>
      <w:pPr>
        <w:pStyle w:val="9"/>
        <w:numPr>
          <w:ilvl w:val="0"/>
          <w:numId w:val="106"/>
        </w:numPr>
        <w:tabs>
          <w:tab w:val="left" w:pos="3206"/>
        </w:tabs>
        <w:spacing w:before="155" w:after="0" w:line="240" w:lineRule="auto"/>
        <w:ind w:left="3205" w:right="0" w:hanging="721"/>
        <w:jc w:val="both"/>
        <w:rPr>
          <w:sz w:val="21"/>
        </w:rPr>
      </w:pPr>
      <w:r>
        <w:rPr>
          <w:spacing w:val="-1"/>
          <w:w w:val="95"/>
          <w:sz w:val="21"/>
        </w:rPr>
        <w:t>产后大出血休克病史；</w:t>
      </w:r>
    </w:p>
    <w:p>
      <w:pPr>
        <w:spacing w:after="0" w:line="240" w:lineRule="auto"/>
        <w:jc w:val="both"/>
        <w:rPr>
          <w:sz w:val="21"/>
        </w:rPr>
        <w:sectPr>
          <w:pgSz w:w="11910" w:h="16840"/>
          <w:pgMar w:top="1540" w:right="660" w:bottom="860" w:left="860" w:header="0" w:footer="662" w:gutter="0"/>
          <w:cols w:space="720" w:num="1"/>
        </w:sectPr>
      </w:pPr>
    </w:p>
    <w:p>
      <w:pPr>
        <w:pStyle w:val="9"/>
        <w:numPr>
          <w:ilvl w:val="0"/>
          <w:numId w:val="106"/>
        </w:numPr>
        <w:tabs>
          <w:tab w:val="left" w:pos="3205"/>
          <w:tab w:val="left" w:pos="3206"/>
        </w:tabs>
        <w:spacing w:before="43" w:after="0" w:line="240" w:lineRule="auto"/>
        <w:ind w:left="3205" w:right="0" w:hanging="721"/>
        <w:jc w:val="left"/>
        <w:rPr>
          <w:sz w:val="21"/>
        </w:rPr>
      </w:pPr>
      <w:r>
        <w:rPr>
          <w:spacing w:val="-1"/>
          <w:w w:val="95"/>
          <w:sz w:val="21"/>
        </w:rPr>
        <w:t>严重腺垂体功能破坏，破坏程度＞</w:t>
      </w:r>
      <w:r>
        <w:rPr>
          <w:spacing w:val="-2"/>
          <w:w w:val="95"/>
          <w:sz w:val="21"/>
        </w:rPr>
        <w:t>95%；</w:t>
      </w:r>
    </w:p>
    <w:p>
      <w:pPr>
        <w:pStyle w:val="4"/>
        <w:spacing w:before="7"/>
        <w:rPr>
          <w:sz w:val="15"/>
        </w:rPr>
      </w:pPr>
    </w:p>
    <w:p>
      <w:pPr>
        <w:pStyle w:val="9"/>
        <w:numPr>
          <w:ilvl w:val="0"/>
          <w:numId w:val="106"/>
        </w:numPr>
        <w:tabs>
          <w:tab w:val="left" w:pos="3205"/>
          <w:tab w:val="left" w:pos="3206"/>
        </w:tabs>
        <w:spacing w:before="0" w:after="0" w:line="240" w:lineRule="auto"/>
        <w:ind w:left="3205" w:right="0" w:hanging="721"/>
        <w:jc w:val="left"/>
        <w:rPr>
          <w:sz w:val="21"/>
        </w:rPr>
      </w:pPr>
      <w:r>
        <w:rPr>
          <w:spacing w:val="-1"/>
          <w:w w:val="95"/>
          <w:sz w:val="21"/>
        </w:rPr>
        <w:t>影像学检查显示脑垂体严重萎缩或消失；</w:t>
      </w:r>
    </w:p>
    <w:p>
      <w:pPr>
        <w:pStyle w:val="4"/>
        <w:spacing w:before="6"/>
        <w:rPr>
          <w:sz w:val="15"/>
        </w:rPr>
      </w:pPr>
    </w:p>
    <w:p>
      <w:pPr>
        <w:pStyle w:val="9"/>
        <w:numPr>
          <w:ilvl w:val="0"/>
          <w:numId w:val="106"/>
        </w:numPr>
        <w:tabs>
          <w:tab w:val="left" w:pos="3206"/>
        </w:tabs>
        <w:spacing w:before="1" w:after="0" w:line="278" w:lineRule="auto"/>
        <w:ind w:left="3205" w:right="347" w:hanging="720"/>
        <w:jc w:val="both"/>
        <w:rPr>
          <w:sz w:val="21"/>
        </w:rPr>
      </w:pPr>
      <w:r>
        <w:rPr>
          <w:spacing w:val="-6"/>
          <w:w w:val="99"/>
          <w:sz w:val="21"/>
        </w:rPr>
        <w:t>实验室检查显示：垂体前叶激素全面低下</w:t>
      </w:r>
      <w:r>
        <w:rPr>
          <w:spacing w:val="-1"/>
          <w:w w:val="99"/>
          <w:sz w:val="21"/>
        </w:rPr>
        <w:t>（</w:t>
      </w:r>
      <w:r>
        <w:rPr>
          <w:spacing w:val="-7"/>
          <w:w w:val="99"/>
          <w:sz w:val="21"/>
        </w:rPr>
        <w:t>包括生长激素、促甲状腺素、促</w:t>
      </w:r>
      <w:r>
        <w:rPr>
          <w:spacing w:val="-4"/>
          <w:w w:val="99"/>
          <w:sz w:val="21"/>
        </w:rPr>
        <w:t>肾上腺皮质激素、卵泡刺激素和黄体生成素</w:t>
      </w:r>
      <w:r>
        <w:rPr>
          <w:spacing w:val="-25"/>
          <w:w w:val="99"/>
          <w:sz w:val="21"/>
        </w:rPr>
        <w:t>）</w:t>
      </w:r>
      <w:r>
        <w:rPr>
          <w:spacing w:val="-7"/>
          <w:w w:val="99"/>
          <w:sz w:val="21"/>
        </w:rPr>
        <w:t>和性激素、甲状腺素、肾上腺</w:t>
      </w:r>
      <w:r>
        <w:rPr>
          <w:spacing w:val="-1"/>
          <w:w w:val="99"/>
          <w:sz w:val="21"/>
        </w:rPr>
        <w:t>皮质激素全面低下；</w:t>
      </w:r>
    </w:p>
    <w:p>
      <w:pPr>
        <w:pStyle w:val="9"/>
        <w:numPr>
          <w:ilvl w:val="0"/>
          <w:numId w:val="106"/>
        </w:numPr>
        <w:tabs>
          <w:tab w:val="left" w:pos="3206"/>
        </w:tabs>
        <w:spacing w:before="155" w:after="0" w:line="240" w:lineRule="auto"/>
        <w:ind w:left="3205" w:right="0" w:hanging="721"/>
        <w:jc w:val="both"/>
        <w:rPr>
          <w:sz w:val="21"/>
        </w:rPr>
      </w:pPr>
      <w:r>
        <w:rPr>
          <w:spacing w:val="-1"/>
          <w:w w:val="95"/>
          <w:sz w:val="21"/>
        </w:rPr>
        <w:t>需要终身激素替代治疗以维持身体功能，持续服用各种替代激素超过一年。</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1"/>
          <w:w w:val="95"/>
        </w:rPr>
        <w:t>严重阻塞性睡眠窒息症：</w:t>
      </w:r>
    </w:p>
    <w:p>
      <w:pPr>
        <w:pStyle w:val="4"/>
        <w:spacing w:before="7"/>
        <w:rPr>
          <w:b/>
          <w:sz w:val="15"/>
        </w:rPr>
      </w:pPr>
    </w:p>
    <w:p>
      <w:pPr>
        <w:pStyle w:val="4"/>
        <w:spacing w:line="278" w:lineRule="auto"/>
        <w:ind w:left="2485" w:right="350"/>
      </w:pPr>
      <w:r>
        <w:rPr>
          <w:spacing w:val="-2"/>
          <w:w w:val="99"/>
        </w:rPr>
        <w:t>须由相关医学范畴的注册专科医生，经多导睡眠监测仪检查明确诊断为严重阻塞性</w:t>
      </w:r>
      <w:r>
        <w:rPr>
          <w:spacing w:val="-1"/>
          <w:w w:val="99"/>
        </w:rPr>
        <w:t>睡眠呼吸暂停综合征</w:t>
      </w:r>
      <w:r>
        <w:rPr>
          <w:spacing w:val="2"/>
          <w:w w:val="99"/>
        </w:rPr>
        <w:t>（</w:t>
      </w:r>
      <w:r>
        <w:rPr>
          <w:spacing w:val="1"/>
          <w:w w:val="99"/>
        </w:rPr>
        <w:t>OS</w:t>
      </w:r>
      <w:r>
        <w:rPr>
          <w:spacing w:val="-2"/>
          <w:w w:val="99"/>
        </w:rPr>
        <w:t>A</w:t>
      </w:r>
      <w:r>
        <w:rPr>
          <w:spacing w:val="-104"/>
          <w:w w:val="99"/>
        </w:rPr>
        <w:t>）</w:t>
      </w:r>
      <w:r>
        <w:rPr>
          <w:spacing w:val="-1"/>
          <w:w w:val="99"/>
        </w:rPr>
        <w:t>，并必须符合以下全部条件：</w:t>
      </w:r>
    </w:p>
    <w:p>
      <w:pPr>
        <w:pStyle w:val="9"/>
        <w:numPr>
          <w:ilvl w:val="0"/>
          <w:numId w:val="107"/>
        </w:numPr>
        <w:tabs>
          <w:tab w:val="left" w:pos="3205"/>
          <w:tab w:val="left" w:pos="3206"/>
        </w:tabs>
        <w:spacing w:before="156" w:after="0" w:line="240" w:lineRule="auto"/>
        <w:ind w:left="3205" w:right="0" w:hanging="721"/>
        <w:jc w:val="left"/>
        <w:rPr>
          <w:sz w:val="21"/>
        </w:rPr>
      </w:pPr>
      <w:r>
        <w:rPr>
          <w:w w:val="95"/>
          <w:sz w:val="21"/>
        </w:rPr>
        <w:t>受保人必须现正接受持续气道正压呼吸器（CPAP）</w:t>
      </w:r>
      <w:r>
        <w:rPr>
          <w:spacing w:val="-2"/>
          <w:w w:val="95"/>
          <w:sz w:val="21"/>
        </w:rPr>
        <w:t>之夜间治疗；</w:t>
      </w:r>
    </w:p>
    <w:p>
      <w:pPr>
        <w:pStyle w:val="4"/>
        <w:spacing w:before="6"/>
        <w:rPr>
          <w:sz w:val="15"/>
        </w:rPr>
      </w:pPr>
    </w:p>
    <w:p>
      <w:pPr>
        <w:pStyle w:val="9"/>
        <w:numPr>
          <w:ilvl w:val="0"/>
          <w:numId w:val="107"/>
        </w:numPr>
        <w:tabs>
          <w:tab w:val="left" w:pos="3206"/>
        </w:tabs>
        <w:spacing w:before="0" w:after="0" w:line="240" w:lineRule="auto"/>
        <w:ind w:left="3205" w:right="0" w:hanging="721"/>
        <w:jc w:val="both"/>
        <w:rPr>
          <w:sz w:val="21"/>
        </w:rPr>
      </w:pPr>
      <w:r>
        <w:rPr>
          <w:w w:val="95"/>
          <w:sz w:val="21"/>
        </w:rPr>
        <w:t>必须提供睡眠测试的文件证明，显示</w:t>
      </w:r>
      <w:r>
        <w:rPr>
          <w:spacing w:val="42"/>
          <w:w w:val="150"/>
          <w:sz w:val="21"/>
        </w:rPr>
        <w:t xml:space="preserve"> </w:t>
      </w:r>
      <w:r>
        <w:rPr>
          <w:w w:val="95"/>
          <w:sz w:val="21"/>
        </w:rPr>
        <w:t>AHI＞30</w:t>
      </w:r>
      <w:r>
        <w:rPr>
          <w:spacing w:val="28"/>
          <w:w w:val="150"/>
          <w:sz w:val="21"/>
        </w:rPr>
        <w:t xml:space="preserve"> </w:t>
      </w:r>
      <w:r>
        <w:rPr>
          <w:w w:val="95"/>
          <w:sz w:val="21"/>
        </w:rPr>
        <w:t>及夜间血氧饱和平均值＜85</w:t>
      </w:r>
      <w:r>
        <w:rPr>
          <w:spacing w:val="-10"/>
          <w:w w:val="95"/>
          <w:sz w:val="21"/>
        </w:rPr>
        <w:t>。</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1"/>
          <w:w w:val="95"/>
        </w:rPr>
        <w:t>无颅内压增高的微小良性脑肿瘤：</w:t>
      </w:r>
    </w:p>
    <w:p>
      <w:pPr>
        <w:pStyle w:val="4"/>
        <w:spacing w:before="7"/>
        <w:rPr>
          <w:b/>
          <w:sz w:val="15"/>
        </w:rPr>
      </w:pPr>
    </w:p>
    <w:p>
      <w:pPr>
        <w:pStyle w:val="4"/>
        <w:spacing w:line="278" w:lineRule="auto"/>
        <w:ind w:left="2485" w:right="244"/>
      </w:pPr>
      <w:r>
        <w:rPr>
          <w:spacing w:val="-1"/>
          <w:w w:val="99"/>
        </w:rPr>
        <w:t>指直径小于</w:t>
      </w:r>
      <w:r>
        <w:rPr>
          <w:spacing w:val="-53"/>
        </w:rPr>
        <w:t xml:space="preserve"> </w:t>
      </w:r>
      <w:r>
        <w:rPr>
          <w:spacing w:val="1"/>
          <w:w w:val="99"/>
        </w:rPr>
        <w:t>2c</w:t>
      </w:r>
      <w:r>
        <w:rPr>
          <w:w w:val="99"/>
        </w:rPr>
        <w:t>m</w:t>
      </w:r>
      <w:r>
        <w:rPr>
          <w:spacing w:val="-52"/>
        </w:rPr>
        <w:t xml:space="preserve"> </w:t>
      </w:r>
      <w:r>
        <w:rPr>
          <w:spacing w:val="-10"/>
          <w:w w:val="99"/>
        </w:rPr>
        <w:t>的脑的微小良性肿瘤，临床上无颅内压升高表现，无危及生命征象。</w:t>
      </w:r>
      <w:r>
        <w:rPr>
          <w:spacing w:val="-2"/>
          <w:w w:val="99"/>
        </w:rPr>
        <w:t>微小良性脑肿瘤由头颅断层扫描</w:t>
      </w:r>
      <w:r>
        <w:rPr>
          <w:spacing w:val="-1"/>
          <w:w w:val="99"/>
        </w:rPr>
        <w:t>（</w:t>
      </w:r>
      <w:r>
        <w:rPr>
          <w:spacing w:val="1"/>
          <w:w w:val="99"/>
        </w:rPr>
        <w:t>CT</w:t>
      </w:r>
      <w:r>
        <w:rPr>
          <w:spacing w:val="-104"/>
          <w:w w:val="99"/>
        </w:rPr>
        <w:t>）</w:t>
      </w:r>
      <w:r>
        <w:rPr>
          <w:spacing w:val="-2"/>
          <w:w w:val="99"/>
        </w:rPr>
        <w:t>、核磁共振检查</w:t>
      </w:r>
      <w:r>
        <w:rPr>
          <w:spacing w:val="2"/>
          <w:w w:val="99"/>
        </w:rPr>
        <w:t>（</w:t>
      </w:r>
      <w:r>
        <w:rPr>
          <w:spacing w:val="1"/>
          <w:w w:val="99"/>
        </w:rPr>
        <w:t>MR</w:t>
      </w:r>
      <w:r>
        <w:rPr>
          <w:spacing w:val="-2"/>
          <w:w w:val="99"/>
        </w:rPr>
        <w:t>I</w:t>
      </w:r>
      <w:r>
        <w:rPr>
          <w:spacing w:val="-3"/>
          <w:w w:val="99"/>
        </w:rPr>
        <w:t>）</w:t>
      </w:r>
      <w:r>
        <w:rPr>
          <w:spacing w:val="-1"/>
          <w:w w:val="99"/>
        </w:rPr>
        <w:t>或正电子发射断层扫</w:t>
      </w:r>
      <w:r>
        <w:rPr>
          <w:spacing w:val="4"/>
          <w:w w:val="99"/>
        </w:rPr>
        <w:t>描</w:t>
      </w:r>
      <w:r>
        <w:rPr>
          <w:spacing w:val="2"/>
          <w:w w:val="99"/>
        </w:rPr>
        <w:t>（</w:t>
      </w:r>
      <w:r>
        <w:rPr>
          <w:spacing w:val="1"/>
          <w:w w:val="99"/>
        </w:rPr>
        <w:t>PE</w:t>
      </w:r>
      <w:r>
        <w:rPr>
          <w:spacing w:val="3"/>
          <w:w w:val="99"/>
        </w:rPr>
        <w:t>T</w:t>
      </w:r>
      <w:r>
        <w:rPr>
          <w:spacing w:val="4"/>
          <w:w w:val="99"/>
        </w:rPr>
        <w:t>）</w:t>
      </w:r>
      <w:r>
        <w:rPr>
          <w:spacing w:val="1"/>
          <w:w w:val="99"/>
        </w:rPr>
        <w:t>等影像学检查证实，未实施开颅或微创切除肿瘤的手术治疗，仅接受了</w:t>
      </w:r>
      <w:r>
        <w:rPr>
          <w:spacing w:val="-1"/>
          <w:w w:val="99"/>
        </w:rPr>
        <w:t>针对该脑肿瘤的放射治疗。</w:t>
      </w:r>
    </w:p>
    <w:p>
      <w:pPr>
        <w:pStyle w:val="4"/>
        <w:spacing w:line="269" w:lineRule="exact"/>
        <w:ind w:left="2485"/>
      </w:pPr>
      <w:r>
        <w:rPr>
          <w:color w:val="000000"/>
          <w:spacing w:val="-1"/>
          <w:w w:val="95"/>
          <w:shd w:val="clear" w:color="auto" w:fill="E4E4E4"/>
        </w:rPr>
        <w:t>脑垂体瘤、脑囊肿、脑动脉瘤及脑血管瘤不在本保障范围。</w:t>
      </w:r>
    </w:p>
    <w:p>
      <w:pPr>
        <w:pStyle w:val="4"/>
        <w:spacing w:before="6"/>
        <w:rPr>
          <w:sz w:val="15"/>
        </w:rPr>
      </w:pPr>
    </w:p>
    <w:p>
      <w:pPr>
        <w:pStyle w:val="3"/>
        <w:numPr>
          <w:ilvl w:val="0"/>
          <w:numId w:val="86"/>
        </w:numPr>
        <w:tabs>
          <w:tab w:val="left" w:pos="3120"/>
        </w:tabs>
        <w:spacing w:before="1" w:after="0" w:line="240" w:lineRule="auto"/>
        <w:ind w:left="3119" w:right="0" w:hanging="635"/>
        <w:jc w:val="left"/>
      </w:pPr>
      <w:r>
        <w:rPr>
          <w:spacing w:val="-1"/>
          <w:w w:val="95"/>
        </w:rPr>
        <w:t>头臂动脉型大动脉炎非开胸旁路移植手术：</w:t>
      </w:r>
    </w:p>
    <w:p>
      <w:pPr>
        <w:pStyle w:val="4"/>
        <w:spacing w:before="6"/>
        <w:rPr>
          <w:b/>
          <w:sz w:val="15"/>
        </w:rPr>
      </w:pPr>
    </w:p>
    <w:p>
      <w:pPr>
        <w:pStyle w:val="4"/>
        <w:spacing w:line="278" w:lineRule="auto"/>
        <w:ind w:left="2485" w:right="347"/>
        <w:jc w:val="both"/>
      </w:pPr>
      <w:r>
        <w:rPr>
          <w:spacing w:val="-2"/>
          <w:w w:val="99"/>
        </w:rPr>
        <w:t>多发性大动脉炎</w:t>
      </w:r>
      <w:r>
        <w:rPr>
          <w:spacing w:val="-1"/>
          <w:w w:val="99"/>
        </w:rPr>
        <w:t>（高安氏动脉炎</w:t>
      </w:r>
      <w:r>
        <w:rPr>
          <w:spacing w:val="-5"/>
          <w:w w:val="99"/>
        </w:rPr>
        <w:t>）</w:t>
      </w:r>
      <w:r>
        <w:rPr>
          <w:spacing w:val="-1"/>
          <w:w w:val="99"/>
        </w:rPr>
        <w:t>是一种发生在主动脉和其主要分支的慢性炎症性</w:t>
      </w:r>
      <w:r>
        <w:rPr>
          <w:spacing w:val="-3"/>
          <w:w w:val="99"/>
        </w:rPr>
        <w:t>动脉疾病，表现为受累动脉狭窄或闭塞。头臂动脉型多发性大动脉炎是指多发性大</w:t>
      </w:r>
      <w:r>
        <w:rPr>
          <w:spacing w:val="-4"/>
          <w:w w:val="99"/>
        </w:rPr>
        <w:t>动脉炎头臂动脉型</w:t>
      </w:r>
      <w:r>
        <w:rPr>
          <w:spacing w:val="2"/>
          <w:w w:val="99"/>
        </w:rPr>
        <w:t>（</w:t>
      </w:r>
      <w:r>
        <w:rPr>
          <w:w w:val="99"/>
        </w:rPr>
        <w:t>I</w:t>
      </w:r>
      <w:r>
        <w:rPr>
          <w:spacing w:val="-52"/>
        </w:rPr>
        <w:t xml:space="preserve"> </w:t>
      </w:r>
      <w:r>
        <w:rPr>
          <w:spacing w:val="-1"/>
          <w:w w:val="99"/>
        </w:rPr>
        <w:t>型</w:t>
      </w:r>
      <w:r>
        <w:rPr>
          <w:spacing w:val="-104"/>
          <w:w w:val="99"/>
        </w:rPr>
        <w:t>）</w:t>
      </w:r>
      <w:r>
        <w:rPr>
          <w:spacing w:val="-6"/>
          <w:w w:val="99"/>
        </w:rPr>
        <w:t>，又称为无脉症。被保险人被明确诊断为头臂动脉型多发</w:t>
      </w:r>
      <w:r>
        <w:rPr>
          <w:spacing w:val="2"/>
          <w:w w:val="99"/>
        </w:rPr>
        <w:t>性大动脉炎并且实际接受了非开胸的无名动脉</w:t>
      </w:r>
      <w:r>
        <w:rPr>
          <w:spacing w:val="4"/>
          <w:w w:val="99"/>
        </w:rPr>
        <w:t>（</w:t>
      </w:r>
      <w:r>
        <w:rPr>
          <w:spacing w:val="3"/>
          <w:w w:val="99"/>
        </w:rPr>
        <w:t>头臂干</w:t>
      </w:r>
      <w:r>
        <w:rPr>
          <w:spacing w:val="-102"/>
          <w:w w:val="99"/>
        </w:rPr>
        <w:t>）</w:t>
      </w:r>
      <w:r>
        <w:rPr>
          <w:spacing w:val="1"/>
          <w:w w:val="99"/>
        </w:rPr>
        <w:t>、颈总动脉、锁骨下动脉</w:t>
      </w:r>
      <w:r>
        <w:rPr>
          <w:spacing w:val="-1"/>
          <w:w w:val="99"/>
        </w:rPr>
        <w:t>旁路移植手术。</w:t>
      </w:r>
    </w:p>
    <w:p>
      <w:pPr>
        <w:pStyle w:val="4"/>
        <w:spacing w:line="269" w:lineRule="exact"/>
        <w:ind w:left="2485"/>
      </w:pPr>
      <w:r>
        <w:rPr>
          <w:color w:val="000000"/>
          <w:spacing w:val="-1"/>
          <w:w w:val="95"/>
          <w:shd w:val="clear" w:color="auto" w:fill="E4E4E4"/>
        </w:rPr>
        <w:t>经导管血管内手术不在本保障范围内。</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2"/>
          <w:w w:val="95"/>
        </w:rPr>
        <w:t>多发肋骨骨折：</w:t>
      </w:r>
    </w:p>
    <w:p>
      <w:pPr>
        <w:pStyle w:val="4"/>
        <w:spacing w:before="1"/>
        <w:rPr>
          <w:b/>
          <w:sz w:val="10"/>
        </w:rPr>
      </w:pPr>
    </w:p>
    <w:p>
      <w:pPr>
        <w:pStyle w:val="4"/>
        <w:spacing w:before="70" w:line="278" w:lineRule="auto"/>
        <w:ind w:left="2485" w:right="350"/>
      </w:pPr>
      <w:r>
        <w:rPr>
          <w:spacing w:val="1"/>
          <w:w w:val="99"/>
        </w:rPr>
        <w:t>因一次意外伤害事故导致胸部损伤同时大于等于</w:t>
      </w:r>
      <w:r>
        <w:rPr>
          <w:spacing w:val="-48"/>
        </w:rPr>
        <w:t xml:space="preserve"> </w:t>
      </w:r>
      <w:r>
        <w:rPr>
          <w:spacing w:val="1"/>
          <w:w w:val="99"/>
        </w:rPr>
        <w:t>1</w:t>
      </w:r>
      <w:r>
        <w:rPr>
          <w:w w:val="99"/>
        </w:rPr>
        <w:t>2</w:t>
      </w:r>
      <w:r>
        <w:rPr>
          <w:spacing w:val="-52"/>
        </w:rPr>
        <w:t xml:space="preserve"> </w:t>
      </w:r>
      <w:r>
        <w:rPr>
          <w:spacing w:val="2"/>
          <w:w w:val="99"/>
        </w:rPr>
        <w:t>根肋骨骨折，</w:t>
      </w:r>
      <w:r>
        <w:rPr>
          <w:color w:val="000000"/>
          <w:spacing w:val="1"/>
          <w:w w:val="99"/>
          <w:shd w:val="clear" w:color="auto" w:fill="E4E4E4"/>
        </w:rPr>
        <w:t>陈旧性骨折不在</w:t>
      </w:r>
      <w:r>
        <w:rPr>
          <w:color w:val="000000"/>
          <w:spacing w:val="-1"/>
          <w:w w:val="99"/>
          <w:shd w:val="clear" w:color="auto" w:fill="E4E4E4"/>
        </w:rPr>
        <w:t>保障范围之内</w:t>
      </w:r>
      <w:r>
        <w:rPr>
          <w:color w:val="000000"/>
          <w:w w:val="99"/>
        </w:rPr>
        <w:t>。</w:t>
      </w:r>
    </w:p>
    <w:p>
      <w:pPr>
        <w:pStyle w:val="3"/>
        <w:numPr>
          <w:ilvl w:val="0"/>
          <w:numId w:val="86"/>
        </w:numPr>
        <w:tabs>
          <w:tab w:val="left" w:pos="3120"/>
        </w:tabs>
        <w:spacing w:before="156" w:after="0" w:line="240" w:lineRule="auto"/>
        <w:ind w:left="3119" w:right="0" w:hanging="635"/>
        <w:jc w:val="left"/>
      </w:pPr>
      <w:r>
        <w:rPr>
          <w:spacing w:val="-1"/>
          <w:w w:val="95"/>
        </w:rPr>
        <w:t>激光心肌血运重建术：</w:t>
      </w:r>
    </w:p>
    <w:p>
      <w:pPr>
        <w:pStyle w:val="4"/>
        <w:spacing w:before="6"/>
        <w:rPr>
          <w:b/>
          <w:sz w:val="15"/>
        </w:rPr>
      </w:pPr>
    </w:p>
    <w:p>
      <w:pPr>
        <w:pStyle w:val="4"/>
        <w:spacing w:line="278" w:lineRule="auto"/>
        <w:ind w:left="2485" w:right="347"/>
        <w:jc w:val="both"/>
      </w:pPr>
      <w:r>
        <w:rPr>
          <w:spacing w:val="-3"/>
          <w:w w:val="99"/>
        </w:rPr>
        <w:t>指患有顽固性心绞痛，经持续药物治疗后无改善，冠状动脉搭桥手术及经皮血管成</w:t>
      </w:r>
      <w:r>
        <w:rPr>
          <w:spacing w:val="-2"/>
          <w:w w:val="99"/>
        </w:rPr>
        <w:t>形手术已失败或者被认为不适合。在本公司认可医院内实际进行了开胸手术下或者</w:t>
      </w:r>
      <w:r>
        <w:rPr>
          <w:spacing w:val="-1"/>
          <w:w w:val="99"/>
        </w:rPr>
        <w:t>胸腔镜下的激光心肌血运重建术。</w:t>
      </w:r>
    </w:p>
    <w:p>
      <w:pPr>
        <w:pStyle w:val="4"/>
        <w:spacing w:line="278" w:lineRule="auto"/>
        <w:ind w:left="2485" w:right="350"/>
        <w:jc w:val="both"/>
      </w:pPr>
      <w:r>
        <w:rPr>
          <w:color w:val="000000"/>
          <w:spacing w:val="-12"/>
          <w:w w:val="99"/>
          <w:shd w:val="clear" w:color="auto" w:fill="E4E4E4"/>
        </w:rPr>
        <w:t>本公司对“较轻急性心肌梗死”、“冠状动脉介入手术</w:t>
      </w:r>
      <w:r>
        <w:rPr>
          <w:color w:val="000000"/>
          <w:spacing w:val="2"/>
          <w:w w:val="99"/>
          <w:shd w:val="clear" w:color="auto" w:fill="E4E4E4"/>
        </w:rPr>
        <w:t>（非切开心包手术</w:t>
      </w:r>
      <w:r>
        <w:rPr>
          <w:color w:val="000000"/>
          <w:spacing w:val="-101"/>
          <w:w w:val="99"/>
          <w:shd w:val="clear" w:color="auto" w:fill="E4E4E4"/>
        </w:rPr>
        <w:t>）</w:t>
      </w:r>
      <w:r>
        <w:rPr>
          <w:color w:val="000000"/>
          <w:spacing w:val="2"/>
          <w:w w:val="99"/>
          <w:shd w:val="clear" w:color="auto" w:fill="E4E4E4"/>
        </w:rPr>
        <w:t xml:space="preserve">”和“激                                                                                                                                              </w:t>
      </w:r>
      <w:r>
        <w:rPr>
          <w:color w:val="000000"/>
          <w:spacing w:val="-3"/>
          <w:w w:val="99"/>
          <w:shd w:val="clear" w:color="auto" w:fill="E4E4E4"/>
        </w:rPr>
        <w:t>光心肌血运重建术”三项中的其中一项承担保险责任，给付其中一项保险金后，对</w:t>
      </w:r>
      <w:r>
        <w:rPr>
          <w:color w:val="000000"/>
          <w:spacing w:val="-1"/>
          <w:w w:val="99"/>
          <w:shd w:val="clear" w:color="auto" w:fill="E4E4E4"/>
        </w:rPr>
        <w:t>其它两项轻度疾病保险责任同时终止。</w:t>
      </w:r>
    </w:p>
    <w:p>
      <w:pPr>
        <w:pStyle w:val="3"/>
        <w:numPr>
          <w:ilvl w:val="0"/>
          <w:numId w:val="86"/>
        </w:numPr>
        <w:tabs>
          <w:tab w:val="left" w:pos="3120"/>
        </w:tabs>
        <w:spacing w:before="156" w:after="0" w:line="240" w:lineRule="auto"/>
        <w:ind w:left="3119" w:right="0" w:hanging="635"/>
        <w:jc w:val="left"/>
      </w:pPr>
      <w:r>
        <w:rPr>
          <w:spacing w:val="-2"/>
          <w:w w:val="95"/>
        </w:rPr>
        <w:t>角膜移植：</w:t>
      </w:r>
    </w:p>
    <w:p>
      <w:pPr>
        <w:pStyle w:val="4"/>
        <w:spacing w:before="6"/>
        <w:rPr>
          <w:b/>
          <w:sz w:val="15"/>
        </w:rPr>
      </w:pPr>
    </w:p>
    <w:p>
      <w:pPr>
        <w:pStyle w:val="4"/>
        <w:ind w:left="2485"/>
      </w:pPr>
      <w:r>
        <w:rPr>
          <w:spacing w:val="-1"/>
          <w:w w:val="95"/>
        </w:rPr>
        <w:t>指为增进视力或治疗某些角膜疾患，已经实施了异体的角膜移植手术。此手术必须</w:t>
      </w:r>
    </w:p>
    <w:p>
      <w:pPr>
        <w:spacing w:after="0"/>
        <w:sectPr>
          <w:pgSz w:w="11910" w:h="16840"/>
          <w:pgMar w:top="1400" w:right="660" w:bottom="860" w:left="860" w:header="0" w:footer="662" w:gutter="0"/>
          <w:cols w:space="720" w:num="1"/>
        </w:sectPr>
      </w:pPr>
    </w:p>
    <w:p>
      <w:pPr>
        <w:pStyle w:val="4"/>
        <w:spacing w:before="43"/>
        <w:ind w:left="2485"/>
      </w:pPr>
      <w:r>
        <w:rPr>
          <w:spacing w:val="-1"/>
          <w:w w:val="95"/>
        </w:rPr>
        <w:t>在本公司指定或认可的医疗机构内由专科医生认为是医疗必需的情况下进行。</w:t>
      </w:r>
    </w:p>
    <w:p>
      <w:pPr>
        <w:pStyle w:val="4"/>
        <w:spacing w:before="7"/>
        <w:rPr>
          <w:sz w:val="15"/>
        </w:rPr>
      </w:pPr>
    </w:p>
    <w:p>
      <w:pPr>
        <w:pStyle w:val="3"/>
        <w:numPr>
          <w:ilvl w:val="0"/>
          <w:numId w:val="86"/>
        </w:numPr>
        <w:tabs>
          <w:tab w:val="left" w:pos="3120"/>
        </w:tabs>
        <w:spacing w:before="0" w:after="0" w:line="240" w:lineRule="auto"/>
        <w:ind w:left="3119" w:right="0" w:hanging="635"/>
        <w:jc w:val="left"/>
      </w:pPr>
      <w:r>
        <w:rPr>
          <w:spacing w:val="-2"/>
          <w:w w:val="95"/>
        </w:rPr>
        <w:t>植入大脑内分流器：</w:t>
      </w:r>
    </w:p>
    <w:p>
      <w:pPr>
        <w:pStyle w:val="4"/>
        <w:spacing w:before="6"/>
        <w:rPr>
          <w:b/>
          <w:sz w:val="15"/>
        </w:rPr>
      </w:pPr>
    </w:p>
    <w:p>
      <w:pPr>
        <w:pStyle w:val="4"/>
        <w:spacing w:before="1" w:line="278" w:lineRule="auto"/>
        <w:ind w:left="2485" w:right="350"/>
      </w:pPr>
      <w:r>
        <w:rPr>
          <w:spacing w:val="4"/>
          <w:w w:val="99"/>
        </w:rPr>
        <w:t>植入大脑内分流器是指确实在脑室进行分流器植入手术，以缓解升高的脑脊液压</w:t>
      </w:r>
      <w:r>
        <w:rPr>
          <w:spacing w:val="-1"/>
          <w:w w:val="99"/>
        </w:rPr>
        <w:t>力。必须由脑神经专科医生证实植入分流器为医疗所需。</w:t>
      </w:r>
    </w:p>
    <w:tbl>
      <w:tblPr>
        <w:tblStyle w:val="6"/>
        <w:tblW w:w="0" w:type="auto"/>
        <w:tblInd w:w="24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50"/>
        <w:gridCol w:w="1680"/>
        <w:gridCol w:w="1470"/>
        <w:gridCol w:w="12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3150" w:type="dxa"/>
            <w:tcBorders>
              <w:bottom w:val="single" w:color="FFFFFF" w:sz="18" w:space="0"/>
            </w:tcBorders>
            <w:shd w:val="clear" w:color="auto" w:fill="E4E4E4"/>
          </w:tcPr>
          <w:p>
            <w:pPr>
              <w:pStyle w:val="10"/>
              <w:spacing w:line="250" w:lineRule="exact"/>
              <w:rPr>
                <w:sz w:val="21"/>
              </w:rPr>
            </w:pPr>
            <w:r>
              <w:rPr>
                <w:spacing w:val="-1"/>
                <w:w w:val="95"/>
                <w:sz w:val="21"/>
              </w:rPr>
              <w:t>先天性脑积水不在本保障范围内。</w:t>
            </w:r>
          </w:p>
        </w:tc>
        <w:tc>
          <w:tcPr>
            <w:tcW w:w="4399" w:type="dxa"/>
            <w:gridSpan w:val="3"/>
            <w:tcBorders>
              <w:bottom w:val="single" w:color="FFFFFF" w:sz="18" w:space="0"/>
            </w:tcBorders>
          </w:tcPr>
          <w:p>
            <w:pPr>
              <w:pStyle w:val="10"/>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49" w:type="dxa"/>
            <w:gridSpan w:val="4"/>
            <w:tcBorders>
              <w:top w:val="single" w:color="FFFFFF" w:sz="18" w:space="0"/>
              <w:bottom w:val="single" w:color="FFFFFF" w:sz="18" w:space="0"/>
            </w:tcBorders>
            <w:shd w:val="clear" w:color="auto" w:fill="E4E4E4"/>
          </w:tcPr>
          <w:p>
            <w:pPr>
              <w:pStyle w:val="10"/>
              <w:spacing w:line="247" w:lineRule="exact"/>
              <w:ind w:right="-15"/>
              <w:rPr>
                <w:sz w:val="21"/>
              </w:rPr>
            </w:pPr>
            <w:r>
              <w:rPr>
                <w:w w:val="95"/>
                <w:sz w:val="21"/>
              </w:rPr>
              <w:t>因治疗</w:t>
            </w:r>
            <w:r>
              <w:rPr>
                <w:spacing w:val="-11"/>
                <w:w w:val="95"/>
                <w:sz w:val="21"/>
              </w:rPr>
              <w:t>“脑垂体瘤、脑囊肿、脑动脉瘤及脑血管瘤”、“</w:t>
            </w:r>
            <w:r>
              <w:rPr>
                <w:w w:val="95"/>
                <w:sz w:val="21"/>
              </w:rPr>
              <w:t>无</w:t>
            </w:r>
            <w:r>
              <w:rPr>
                <w:spacing w:val="-1"/>
                <w:w w:val="95"/>
                <w:sz w:val="21"/>
              </w:rPr>
              <w:t>颅内压增高的微小良性脑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4830" w:type="dxa"/>
            <w:gridSpan w:val="2"/>
            <w:tcBorders>
              <w:top w:val="single" w:color="FFFFFF" w:sz="18" w:space="0"/>
              <w:bottom w:val="single" w:color="FFFFFF" w:sz="18" w:space="0"/>
            </w:tcBorders>
            <w:shd w:val="clear" w:color="auto" w:fill="E4E4E4"/>
          </w:tcPr>
          <w:p>
            <w:pPr>
              <w:pStyle w:val="10"/>
              <w:spacing w:line="247" w:lineRule="exact"/>
              <w:rPr>
                <w:sz w:val="21"/>
              </w:rPr>
            </w:pPr>
            <w:r>
              <w:rPr>
                <w:w w:val="95"/>
                <w:sz w:val="21"/>
              </w:rPr>
              <w:t>肿瘤</w:t>
            </w:r>
            <w:r>
              <w:rPr>
                <w:spacing w:val="-1"/>
                <w:w w:val="95"/>
                <w:sz w:val="21"/>
              </w:rPr>
              <w:t>”所致植入大脑内分流器不在本保障范围之内。</w:t>
            </w:r>
          </w:p>
        </w:tc>
        <w:tc>
          <w:tcPr>
            <w:tcW w:w="2719" w:type="dxa"/>
            <w:gridSpan w:val="2"/>
            <w:tcBorders>
              <w:top w:val="single" w:color="FFFFFF" w:sz="18" w:space="0"/>
              <w:bottom w:val="single" w:color="FFFFFF" w:sz="18" w:space="0"/>
            </w:tcBorders>
          </w:tcPr>
          <w:p>
            <w:pPr>
              <w:pStyle w:val="10"/>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549" w:type="dxa"/>
            <w:gridSpan w:val="4"/>
            <w:tcBorders>
              <w:top w:val="single" w:color="FFFFFF" w:sz="18" w:space="0"/>
              <w:bottom w:val="single" w:color="FFFFFF" w:sz="18" w:space="0"/>
            </w:tcBorders>
            <w:shd w:val="clear" w:color="auto" w:fill="E4E4E4"/>
          </w:tcPr>
          <w:p>
            <w:pPr>
              <w:pStyle w:val="10"/>
              <w:spacing w:line="247" w:lineRule="exact"/>
              <w:rPr>
                <w:sz w:val="21"/>
              </w:rPr>
            </w:pPr>
            <w:r>
              <w:rPr>
                <w:w w:val="95"/>
                <w:sz w:val="21"/>
              </w:rPr>
              <w:t>本公司对“微创颅脑手术”及“植</w:t>
            </w:r>
            <w:r>
              <w:rPr>
                <w:spacing w:val="-1"/>
                <w:w w:val="95"/>
                <w:sz w:val="21"/>
              </w:rPr>
              <w:t>入大脑内分流器”二项中的其中一项承担保险责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00" w:type="dxa"/>
            <w:gridSpan w:val="3"/>
            <w:tcBorders>
              <w:top w:val="single" w:color="FFFFFF" w:sz="18" w:space="0"/>
            </w:tcBorders>
            <w:shd w:val="clear" w:color="auto" w:fill="E4E4E4"/>
          </w:tcPr>
          <w:p>
            <w:pPr>
              <w:pStyle w:val="10"/>
              <w:spacing w:line="249" w:lineRule="exact"/>
              <w:rPr>
                <w:sz w:val="21"/>
              </w:rPr>
            </w:pPr>
            <w:r>
              <w:rPr>
                <w:spacing w:val="-1"/>
                <w:w w:val="95"/>
                <w:sz w:val="21"/>
              </w:rPr>
              <w:t>任，给付其中一项保险金后，对另一项轻度疾病保险责任同时终止。</w:t>
            </w:r>
          </w:p>
        </w:tc>
        <w:tc>
          <w:tcPr>
            <w:tcW w:w="1249" w:type="dxa"/>
            <w:tcBorders>
              <w:top w:val="single" w:color="FFFFFF" w:sz="18" w:space="0"/>
            </w:tcBorders>
          </w:tcPr>
          <w:p>
            <w:pPr>
              <w:pStyle w:val="10"/>
              <w:ind w:left="0"/>
              <w:rPr>
                <w:rFonts w:ascii="Times New Roman"/>
                <w:sz w:val="18"/>
              </w:rPr>
            </w:pPr>
          </w:p>
        </w:tc>
      </w:tr>
    </w:tbl>
    <w:p>
      <w:pPr>
        <w:pStyle w:val="4"/>
        <w:spacing w:before="5"/>
        <w:rPr>
          <w:sz w:val="15"/>
        </w:rPr>
      </w:pPr>
    </w:p>
    <w:p>
      <w:pPr>
        <w:pStyle w:val="3"/>
        <w:numPr>
          <w:ilvl w:val="0"/>
          <w:numId w:val="86"/>
        </w:numPr>
        <w:tabs>
          <w:tab w:val="left" w:pos="3120"/>
        </w:tabs>
        <w:spacing w:before="0" w:after="0" w:line="240" w:lineRule="auto"/>
        <w:ind w:left="3119" w:right="0" w:hanging="635"/>
        <w:jc w:val="left"/>
      </w:pPr>
      <w:r>
        <w:rPr>
          <w:spacing w:val="-1"/>
          <w:w w:val="95"/>
        </w:rPr>
        <w:t>急性肾衰竭肾脏透析治疗：</w:t>
      </w:r>
    </w:p>
    <w:p>
      <w:pPr>
        <w:pStyle w:val="4"/>
        <w:spacing w:before="7"/>
        <w:rPr>
          <w:b/>
          <w:sz w:val="15"/>
        </w:rPr>
      </w:pPr>
    </w:p>
    <w:p>
      <w:pPr>
        <w:pStyle w:val="4"/>
        <w:spacing w:line="278" w:lineRule="auto"/>
        <w:ind w:left="2485" w:right="347"/>
        <w:jc w:val="both"/>
      </w:pPr>
      <w:r>
        <w:rPr>
          <w:spacing w:val="2"/>
          <w:w w:val="99"/>
        </w:rPr>
        <w:t>急性肾衰竭</w:t>
      </w:r>
      <w:r>
        <w:rPr>
          <w:spacing w:val="4"/>
          <w:w w:val="99"/>
        </w:rPr>
        <w:t>（</w:t>
      </w:r>
      <w:r>
        <w:rPr>
          <w:spacing w:val="1"/>
          <w:w w:val="99"/>
        </w:rPr>
        <w:t>ARF</w:t>
      </w:r>
      <w:r>
        <w:rPr>
          <w:spacing w:val="4"/>
          <w:w w:val="99"/>
        </w:rPr>
        <w:t>）</w:t>
      </w:r>
      <w:r>
        <w:rPr>
          <w:spacing w:val="2"/>
          <w:w w:val="99"/>
        </w:rPr>
        <w:t>是指各种病因引起的肾功能在短期内</w:t>
      </w:r>
      <w:r>
        <w:rPr>
          <w:spacing w:val="4"/>
          <w:w w:val="99"/>
        </w:rPr>
        <w:t>（</w:t>
      </w:r>
      <w:r>
        <w:rPr>
          <w:spacing w:val="2"/>
          <w:w w:val="99"/>
        </w:rPr>
        <w:t>数小时或数周）急剧进</w:t>
      </w:r>
      <w:r>
        <w:rPr>
          <w:spacing w:val="-3"/>
          <w:w w:val="99"/>
        </w:rPr>
        <w:t>行性下降，导致体内氮质产物潴留而出现的临床综合征，国际上近年来改称为急性</w:t>
      </w:r>
      <w:r>
        <w:rPr>
          <w:spacing w:val="-1"/>
          <w:w w:val="99"/>
        </w:rPr>
        <w:t>肾损伤（</w:t>
      </w:r>
      <w:r>
        <w:rPr>
          <w:spacing w:val="1"/>
          <w:w w:val="99"/>
        </w:rPr>
        <w:t>AKI</w:t>
      </w:r>
      <w:r>
        <w:rPr>
          <w:spacing w:val="-106"/>
          <w:w w:val="99"/>
        </w:rPr>
        <w:t>）</w:t>
      </w:r>
      <w:r>
        <w:rPr>
          <w:spacing w:val="-2"/>
          <w:w w:val="99"/>
        </w:rPr>
        <w:t>。急性肾衰竭肾脏透析治疗指诊断为急性肾衰竭，且满足下列全部条</w:t>
      </w:r>
      <w:r>
        <w:rPr>
          <w:spacing w:val="-1"/>
          <w:w w:val="99"/>
        </w:rPr>
        <w:t>件：</w:t>
      </w:r>
    </w:p>
    <w:p>
      <w:pPr>
        <w:pStyle w:val="9"/>
        <w:numPr>
          <w:ilvl w:val="0"/>
          <w:numId w:val="108"/>
        </w:numPr>
        <w:tabs>
          <w:tab w:val="left" w:pos="3206"/>
        </w:tabs>
        <w:spacing w:before="155" w:after="0" w:line="240" w:lineRule="auto"/>
        <w:ind w:left="3205" w:right="0" w:hanging="721"/>
        <w:jc w:val="both"/>
        <w:rPr>
          <w:sz w:val="21"/>
        </w:rPr>
      </w:pPr>
      <w:r>
        <w:rPr>
          <w:spacing w:val="-2"/>
          <w:w w:val="95"/>
          <w:sz w:val="21"/>
        </w:rPr>
        <w:t xml:space="preserve">少尿或无尿 </w:t>
      </w:r>
      <w:r>
        <w:rPr>
          <w:w w:val="95"/>
          <w:sz w:val="21"/>
        </w:rPr>
        <w:t>2</w:t>
      </w:r>
      <w:r>
        <w:rPr>
          <w:spacing w:val="-5"/>
          <w:w w:val="95"/>
          <w:sz w:val="21"/>
        </w:rPr>
        <w:t xml:space="preserve"> 天以上；</w:t>
      </w:r>
    </w:p>
    <w:p>
      <w:pPr>
        <w:pStyle w:val="4"/>
        <w:spacing w:before="7"/>
        <w:rPr>
          <w:sz w:val="15"/>
        </w:rPr>
      </w:pPr>
    </w:p>
    <w:p>
      <w:pPr>
        <w:pStyle w:val="9"/>
        <w:numPr>
          <w:ilvl w:val="0"/>
          <w:numId w:val="108"/>
        </w:numPr>
        <w:tabs>
          <w:tab w:val="left" w:pos="3206"/>
        </w:tabs>
        <w:spacing w:before="0" w:after="0" w:line="240" w:lineRule="auto"/>
        <w:ind w:left="3205" w:right="0" w:hanging="721"/>
        <w:jc w:val="both"/>
        <w:rPr>
          <w:sz w:val="21"/>
        </w:rPr>
      </w:pPr>
      <w:r>
        <w:rPr>
          <w:w w:val="95"/>
          <w:sz w:val="21"/>
        </w:rPr>
        <w:t>血肌酐（Scr）＞5mg/dl</w:t>
      </w:r>
      <w:r>
        <w:rPr>
          <w:spacing w:val="48"/>
          <w:sz w:val="21"/>
        </w:rPr>
        <w:t xml:space="preserve"> </w:t>
      </w:r>
      <w:r>
        <w:rPr>
          <w:spacing w:val="-1"/>
          <w:w w:val="95"/>
          <w:sz w:val="21"/>
        </w:rPr>
        <w:t>或＞</w:t>
      </w:r>
      <w:r>
        <w:rPr>
          <w:spacing w:val="-2"/>
          <w:w w:val="95"/>
          <w:sz w:val="21"/>
        </w:rPr>
        <w:t>442umol/L；</w:t>
      </w:r>
    </w:p>
    <w:p>
      <w:pPr>
        <w:pStyle w:val="4"/>
        <w:spacing w:before="7"/>
        <w:rPr>
          <w:sz w:val="15"/>
        </w:rPr>
      </w:pPr>
    </w:p>
    <w:p>
      <w:pPr>
        <w:pStyle w:val="9"/>
        <w:numPr>
          <w:ilvl w:val="0"/>
          <w:numId w:val="108"/>
        </w:numPr>
        <w:tabs>
          <w:tab w:val="left" w:pos="3206"/>
        </w:tabs>
        <w:spacing w:before="0" w:after="0" w:line="240" w:lineRule="auto"/>
        <w:ind w:left="3205" w:right="0" w:hanging="721"/>
        <w:jc w:val="both"/>
        <w:rPr>
          <w:sz w:val="21"/>
        </w:rPr>
      </w:pPr>
      <w:r>
        <w:rPr>
          <w:spacing w:val="-1"/>
          <w:w w:val="95"/>
          <w:sz w:val="21"/>
        </w:rPr>
        <w:t>血钾＞</w:t>
      </w:r>
      <w:r>
        <w:rPr>
          <w:spacing w:val="-2"/>
          <w:w w:val="95"/>
          <w:sz w:val="21"/>
        </w:rPr>
        <w:t>6.5mmol/L；</w:t>
      </w:r>
    </w:p>
    <w:p>
      <w:pPr>
        <w:pStyle w:val="4"/>
        <w:spacing w:before="7"/>
        <w:rPr>
          <w:sz w:val="15"/>
        </w:rPr>
      </w:pPr>
    </w:p>
    <w:p>
      <w:pPr>
        <w:pStyle w:val="9"/>
        <w:numPr>
          <w:ilvl w:val="0"/>
          <w:numId w:val="108"/>
        </w:numPr>
        <w:tabs>
          <w:tab w:val="left" w:pos="3206"/>
        </w:tabs>
        <w:spacing w:before="0" w:after="0" w:line="240" w:lineRule="auto"/>
        <w:ind w:left="3205" w:right="0" w:hanging="721"/>
        <w:jc w:val="both"/>
        <w:rPr>
          <w:sz w:val="21"/>
        </w:rPr>
      </w:pPr>
      <w:r>
        <w:rPr>
          <w:spacing w:val="-1"/>
          <w:w w:val="95"/>
          <w:sz w:val="21"/>
        </w:rPr>
        <w:t>接受了血液透析治疗。</w:t>
      </w:r>
    </w:p>
    <w:p>
      <w:pPr>
        <w:pStyle w:val="4"/>
        <w:spacing w:before="6"/>
        <w:rPr>
          <w:sz w:val="15"/>
        </w:rPr>
      </w:pPr>
    </w:p>
    <w:p>
      <w:pPr>
        <w:pStyle w:val="3"/>
        <w:numPr>
          <w:ilvl w:val="0"/>
          <w:numId w:val="86"/>
        </w:numPr>
        <w:tabs>
          <w:tab w:val="left" w:pos="3120"/>
        </w:tabs>
        <w:spacing w:before="0" w:after="0" w:line="240" w:lineRule="auto"/>
        <w:ind w:left="3119" w:right="0" w:hanging="635"/>
        <w:jc w:val="left"/>
      </w:pPr>
      <w:r>
        <w:rPr>
          <w:spacing w:val="-1"/>
          <w:w w:val="95"/>
        </w:rPr>
        <w:t>轻度特发性肺动脉高压：</w:t>
      </w:r>
    </w:p>
    <w:p>
      <w:pPr>
        <w:pStyle w:val="4"/>
        <w:spacing w:before="7"/>
        <w:rPr>
          <w:b/>
          <w:sz w:val="15"/>
        </w:rPr>
      </w:pPr>
    </w:p>
    <w:p>
      <w:pPr>
        <w:pStyle w:val="4"/>
        <w:spacing w:line="278" w:lineRule="auto"/>
        <w:ind w:left="2485" w:right="309"/>
        <w:jc w:val="both"/>
      </w:pPr>
      <w:r>
        <w:rPr>
          <w:spacing w:val="-3"/>
          <w:w w:val="99"/>
        </w:rPr>
        <w:t>指不明原因的肺动脉压力持续性增高，进行性发展而导致的慢性疾病，已经造成永</w:t>
      </w:r>
      <w:r>
        <w:rPr>
          <w:spacing w:val="-1"/>
          <w:w w:val="99"/>
        </w:rPr>
        <w:t>久不可逆性的体力活动能力受限，达到</w:t>
      </w:r>
      <w:r>
        <w:rPr>
          <w:b/>
          <w:spacing w:val="2"/>
          <w:w w:val="99"/>
        </w:rPr>
        <w:t>美国纽约心脏病学会心功能状态分级Ⅲ级</w:t>
      </w:r>
      <w:r>
        <w:rPr>
          <w:w w:val="99"/>
        </w:rPr>
        <w:t>，</w:t>
      </w:r>
      <w:r>
        <w:rPr>
          <w:spacing w:val="-1"/>
          <w:w w:val="99"/>
        </w:rPr>
        <w:t>且静息状态下肺动脉平均压超过</w:t>
      </w:r>
      <w:r>
        <w:rPr>
          <w:spacing w:val="-53"/>
        </w:rPr>
        <w:t xml:space="preserve"> </w:t>
      </w:r>
      <w:r>
        <w:rPr>
          <w:spacing w:val="1"/>
          <w:w w:val="99"/>
        </w:rPr>
        <w:t>25m</w:t>
      </w:r>
      <w:r>
        <w:rPr>
          <w:spacing w:val="-2"/>
          <w:w w:val="99"/>
        </w:rPr>
        <w:t>m</w:t>
      </w:r>
      <w:r>
        <w:rPr>
          <w:spacing w:val="1"/>
          <w:w w:val="99"/>
        </w:rPr>
        <w:t>H</w:t>
      </w:r>
      <w:r>
        <w:rPr>
          <w:spacing w:val="-2"/>
          <w:w w:val="99"/>
        </w:rPr>
        <w:t>g</w:t>
      </w:r>
      <w:r>
        <w:rPr>
          <w:spacing w:val="-7"/>
          <w:w w:val="99"/>
        </w:rPr>
        <w:t>，但未达到本合同所指重大疾病“严重特发</w:t>
      </w:r>
      <w:r>
        <w:rPr>
          <w:spacing w:val="-1"/>
          <w:w w:val="99"/>
        </w:rPr>
        <w:t>性肺动脉高压”的标准。</w:t>
      </w:r>
    </w:p>
    <w:p>
      <w:pPr>
        <w:pStyle w:val="3"/>
        <w:numPr>
          <w:ilvl w:val="0"/>
          <w:numId w:val="86"/>
        </w:numPr>
        <w:tabs>
          <w:tab w:val="left" w:pos="3120"/>
        </w:tabs>
        <w:spacing w:before="156" w:after="0" w:line="240" w:lineRule="auto"/>
        <w:ind w:left="3119" w:right="0" w:hanging="635"/>
        <w:jc w:val="left"/>
      </w:pPr>
      <w:r>
        <w:rPr>
          <w:spacing w:val="-2"/>
          <w:w w:val="95"/>
        </w:rPr>
        <w:t>早期系统性硬皮病：</w:t>
      </w:r>
    </w:p>
    <w:p>
      <w:pPr>
        <w:pStyle w:val="4"/>
        <w:spacing w:before="6"/>
        <w:rPr>
          <w:b/>
          <w:sz w:val="15"/>
        </w:rPr>
      </w:pPr>
    </w:p>
    <w:p>
      <w:pPr>
        <w:pStyle w:val="4"/>
        <w:spacing w:before="1" w:line="278" w:lineRule="auto"/>
        <w:ind w:left="2485" w:right="350"/>
        <w:jc w:val="both"/>
      </w:pPr>
      <w:r>
        <w:t>指一种以局限性或弥漫性皮肤增厚和皮肤、血管、内脏器官 异常纤维化为特征的</w:t>
      </w:r>
      <w:r>
        <w:rPr>
          <w:spacing w:val="-2"/>
        </w:rPr>
        <w:t>结缔组织病。本病须经专科医生明确诊断，并须满足下列所有条件：</w:t>
      </w:r>
    </w:p>
    <w:p>
      <w:pPr>
        <w:pStyle w:val="9"/>
        <w:numPr>
          <w:ilvl w:val="0"/>
          <w:numId w:val="109"/>
        </w:numPr>
        <w:tabs>
          <w:tab w:val="left" w:pos="3206"/>
        </w:tabs>
        <w:spacing w:before="155" w:after="0" w:line="278" w:lineRule="auto"/>
        <w:ind w:left="3205" w:right="350" w:hanging="720"/>
        <w:jc w:val="both"/>
        <w:rPr>
          <w:sz w:val="21"/>
        </w:rPr>
      </w:pPr>
      <w:r>
        <w:rPr>
          <w:spacing w:val="-1"/>
          <w:w w:val="99"/>
          <w:sz w:val="21"/>
        </w:rPr>
        <w:t>必须是经由本公司认可医院的风湿学专科医生根据美国风湿病学会</w:t>
      </w:r>
      <w:r>
        <w:rPr>
          <w:w w:val="99"/>
          <w:sz w:val="21"/>
        </w:rPr>
        <w:t>（</w:t>
      </w:r>
      <w:r>
        <w:rPr>
          <w:spacing w:val="1"/>
          <w:w w:val="99"/>
          <w:sz w:val="21"/>
        </w:rPr>
        <w:t>ACR</w:t>
      </w:r>
      <w:r>
        <w:rPr>
          <w:w w:val="99"/>
          <w:sz w:val="21"/>
        </w:rPr>
        <w:t>）及欧洲抗</w:t>
      </w:r>
      <w:r>
        <w:rPr>
          <w:sz w:val="21"/>
        </w:rPr>
        <w:t xml:space="preserve"> </w:t>
      </w:r>
      <w:r>
        <w:rPr>
          <w:spacing w:val="-11"/>
          <w:w w:val="99"/>
          <w:sz w:val="21"/>
        </w:rPr>
        <w:t>风湿病联盟</w:t>
      </w:r>
      <w:r>
        <w:rPr>
          <w:spacing w:val="-1"/>
          <w:w w:val="99"/>
          <w:sz w:val="21"/>
        </w:rPr>
        <w:t>（</w:t>
      </w:r>
      <w:r>
        <w:rPr>
          <w:spacing w:val="1"/>
          <w:w w:val="99"/>
          <w:sz w:val="21"/>
        </w:rPr>
        <w:t>EU</w:t>
      </w:r>
      <w:r>
        <w:rPr>
          <w:spacing w:val="-2"/>
          <w:w w:val="99"/>
          <w:sz w:val="21"/>
        </w:rPr>
        <w:t>L</w:t>
      </w:r>
      <w:r>
        <w:rPr>
          <w:spacing w:val="1"/>
          <w:w w:val="99"/>
          <w:sz w:val="21"/>
        </w:rPr>
        <w:t>A</w:t>
      </w:r>
      <w:r>
        <w:rPr>
          <w:spacing w:val="-2"/>
          <w:w w:val="99"/>
          <w:sz w:val="21"/>
        </w:rPr>
        <w:t>R</w:t>
      </w:r>
      <w:r>
        <w:rPr>
          <w:spacing w:val="-49"/>
          <w:w w:val="99"/>
          <w:sz w:val="21"/>
        </w:rPr>
        <w:t>）</w:t>
      </w:r>
      <w:r>
        <w:rPr>
          <w:w w:val="99"/>
          <w:sz w:val="21"/>
        </w:rPr>
        <w:t>在</w:t>
      </w:r>
      <w:r>
        <w:rPr>
          <w:sz w:val="21"/>
        </w:rPr>
        <w:t xml:space="preserve"> </w:t>
      </w:r>
      <w:r>
        <w:rPr>
          <w:spacing w:val="1"/>
          <w:w w:val="99"/>
          <w:sz w:val="21"/>
        </w:rPr>
        <w:t>201</w:t>
      </w:r>
      <w:r>
        <w:rPr>
          <w:w w:val="99"/>
          <w:sz w:val="21"/>
        </w:rPr>
        <w:t>3</w:t>
      </w:r>
      <w:r>
        <w:rPr>
          <w:spacing w:val="-1"/>
          <w:sz w:val="21"/>
        </w:rPr>
        <w:t xml:space="preserve"> </w:t>
      </w:r>
      <w:r>
        <w:rPr>
          <w:spacing w:val="-1"/>
          <w:w w:val="99"/>
          <w:sz w:val="21"/>
        </w:rPr>
        <w:t>年发布的系统性硬皮病诊断标准确认达到确诊标准（</w:t>
      </w:r>
      <w:r>
        <w:rPr>
          <w:w w:val="99"/>
          <w:sz w:val="21"/>
        </w:rPr>
        <w:t>总分值由</w:t>
      </w:r>
      <w:r>
        <w:rPr>
          <w:sz w:val="21"/>
        </w:rPr>
        <w:t xml:space="preserve"> </w:t>
      </w:r>
      <w:r>
        <w:rPr>
          <w:spacing w:val="-1"/>
          <w:w w:val="99"/>
          <w:sz w:val="21"/>
        </w:rPr>
        <w:t>每一个分类中的最高比重</w:t>
      </w:r>
      <w:r>
        <w:rPr>
          <w:spacing w:val="2"/>
          <w:w w:val="99"/>
          <w:sz w:val="21"/>
        </w:rPr>
        <w:t>（</w:t>
      </w:r>
      <w:r>
        <w:rPr>
          <w:w w:val="99"/>
          <w:sz w:val="21"/>
        </w:rPr>
        <w:t>分值</w:t>
      </w:r>
      <w:r>
        <w:rPr>
          <w:spacing w:val="-1"/>
          <w:w w:val="99"/>
          <w:sz w:val="21"/>
        </w:rPr>
        <w:t>）相加而成，</w:t>
      </w:r>
      <w:r>
        <w:rPr>
          <w:w w:val="99"/>
          <w:sz w:val="21"/>
        </w:rPr>
        <w:t>总分≥9</w:t>
      </w:r>
      <w:r>
        <w:rPr>
          <w:spacing w:val="-1"/>
          <w:sz w:val="21"/>
        </w:rPr>
        <w:t xml:space="preserve"> </w:t>
      </w:r>
      <w:r>
        <w:rPr>
          <w:spacing w:val="-1"/>
          <w:w w:val="99"/>
          <w:sz w:val="21"/>
        </w:rPr>
        <w:t>分的患者被分类为系统性硬皮病</w:t>
      </w:r>
      <w:r>
        <w:rPr>
          <w:spacing w:val="-104"/>
          <w:w w:val="99"/>
          <w:sz w:val="21"/>
        </w:rPr>
        <w:t>）</w:t>
      </w:r>
      <w:r>
        <w:rPr>
          <w:w w:val="99"/>
          <w:sz w:val="21"/>
        </w:rPr>
        <w:t>；</w:t>
      </w:r>
    </w:p>
    <w:p>
      <w:pPr>
        <w:pStyle w:val="9"/>
        <w:numPr>
          <w:ilvl w:val="0"/>
          <w:numId w:val="109"/>
        </w:numPr>
        <w:tabs>
          <w:tab w:val="left" w:pos="3206"/>
        </w:tabs>
        <w:spacing w:before="156" w:after="0" w:line="240" w:lineRule="auto"/>
        <w:ind w:left="3205" w:right="0" w:hanging="721"/>
        <w:jc w:val="both"/>
        <w:rPr>
          <w:sz w:val="21"/>
        </w:rPr>
      </w:pPr>
      <w:r>
        <w:rPr>
          <w:spacing w:val="-1"/>
          <w:w w:val="95"/>
          <w:sz w:val="21"/>
        </w:rPr>
        <w:t>须提供明确的病理活检及自身抗体免疫血清学证据支持。</w:t>
      </w:r>
    </w:p>
    <w:p>
      <w:pPr>
        <w:pStyle w:val="4"/>
        <w:spacing w:before="6"/>
        <w:rPr>
          <w:sz w:val="15"/>
        </w:rPr>
      </w:pPr>
    </w:p>
    <w:p>
      <w:pPr>
        <w:pStyle w:val="3"/>
        <w:numPr>
          <w:ilvl w:val="0"/>
          <w:numId w:val="86"/>
        </w:numPr>
        <w:tabs>
          <w:tab w:val="left" w:pos="3120"/>
        </w:tabs>
        <w:spacing w:before="1" w:after="0" w:line="240" w:lineRule="auto"/>
        <w:ind w:left="3119" w:right="0" w:hanging="635"/>
        <w:jc w:val="left"/>
      </w:pPr>
      <w:r>
        <w:rPr>
          <w:w w:val="95"/>
        </w:rPr>
        <w:t>心脏瓣膜介入手术（非切开心脏手术</w:t>
      </w:r>
      <w:r>
        <w:rPr>
          <w:spacing w:val="-109"/>
          <w:w w:val="95"/>
        </w:rPr>
        <w:t>）</w:t>
      </w:r>
      <w:r>
        <w:rPr>
          <w:spacing w:val="-5"/>
          <w:w w:val="95"/>
        </w:rPr>
        <w:t>：</w:t>
      </w:r>
    </w:p>
    <w:p>
      <w:pPr>
        <w:pStyle w:val="4"/>
        <w:spacing w:before="6"/>
        <w:rPr>
          <w:b/>
          <w:sz w:val="15"/>
        </w:rPr>
      </w:pPr>
    </w:p>
    <w:p>
      <w:pPr>
        <w:pStyle w:val="4"/>
        <w:spacing w:line="278" w:lineRule="auto"/>
        <w:ind w:left="2485" w:right="350"/>
      </w:pPr>
      <w:r>
        <w:rPr>
          <w:spacing w:val="-2"/>
          <w:w w:val="99"/>
        </w:rPr>
        <w:t>指为了治疗心脏瓣膜疾病，被保险人实际接受了非切开心脏的心脏瓣膜置换或修复</w:t>
      </w:r>
      <w:r>
        <w:rPr>
          <w:w w:val="99"/>
        </w:rPr>
        <w:t>手术。</w:t>
      </w:r>
    </w:p>
    <w:p>
      <w:pPr>
        <w:spacing w:after="0" w:line="278" w:lineRule="auto"/>
        <w:sectPr>
          <w:pgSz w:w="11910" w:h="16840"/>
          <w:pgMar w:top="1400" w:right="660" w:bottom="860" w:left="860" w:header="0" w:footer="662" w:gutter="0"/>
          <w:cols w:space="720" w:num="1"/>
        </w:sectPr>
      </w:pPr>
    </w:p>
    <w:p>
      <w:pPr>
        <w:pStyle w:val="4"/>
        <w:rPr>
          <w:sz w:val="20"/>
        </w:rPr>
      </w:pPr>
    </w:p>
    <w:p>
      <w:pPr>
        <w:pStyle w:val="4"/>
        <w:rPr>
          <w:sz w:val="20"/>
        </w:rPr>
      </w:pPr>
    </w:p>
    <w:p>
      <w:pPr>
        <w:spacing w:after="0"/>
        <w:rPr>
          <w:sz w:val="20"/>
        </w:rPr>
        <w:sectPr>
          <w:pgSz w:w="11910" w:h="16840"/>
          <w:pgMar w:top="1580" w:right="660" w:bottom="860" w:left="860" w:header="0" w:footer="662" w:gutter="0"/>
          <w:cols w:space="720" w:num="1"/>
        </w:sectPr>
      </w:pPr>
    </w:p>
    <w:p>
      <w:pPr>
        <w:pStyle w:val="4"/>
        <w:spacing w:before="6"/>
        <w:rPr>
          <w:sz w:val="17"/>
        </w:rPr>
      </w:pPr>
    </w:p>
    <w:p>
      <w:pPr>
        <w:pStyle w:val="3"/>
        <w:ind w:left="220" w:firstLine="0"/>
      </w:pPr>
      <w:r>
        <w:t>附表四</w:t>
      </w:r>
      <w:r>
        <w:rPr>
          <w:spacing w:val="66"/>
          <w:w w:val="150"/>
        </w:rPr>
        <w:t xml:space="preserve"> </w:t>
      </w:r>
      <w:r>
        <w:rPr>
          <w:spacing w:val="24"/>
        </w:rPr>
        <w:t>少儿特定疾</w:t>
      </w:r>
    </w:p>
    <w:p>
      <w:pPr>
        <w:spacing w:before="31" w:line="266" w:lineRule="auto"/>
        <w:ind w:left="1088" w:right="0" w:firstLine="0"/>
        <w:jc w:val="left"/>
        <w:rPr>
          <w:b/>
          <w:sz w:val="21"/>
        </w:rPr>
      </w:pPr>
      <w:r>
        <w:rPr>
          <w:b/>
          <w:spacing w:val="23"/>
          <w:sz w:val="21"/>
        </w:rPr>
        <w:t>病和少儿罕</w:t>
      </w:r>
      <w:r>
        <w:rPr>
          <w:b/>
          <w:spacing w:val="-6"/>
          <w:sz w:val="21"/>
        </w:rPr>
        <w:t>见病</w:t>
      </w:r>
    </w:p>
    <w:p>
      <w:pPr>
        <w:spacing w:before="9" w:line="240" w:lineRule="auto"/>
        <w:rPr>
          <w:b/>
          <w:sz w:val="16"/>
        </w:rPr>
      </w:pPr>
      <w:r>
        <w:br w:type="column"/>
      </w:r>
    </w:p>
    <w:p>
      <w:pPr>
        <w:pStyle w:val="3"/>
        <w:numPr>
          <w:ilvl w:val="0"/>
          <w:numId w:val="110"/>
        </w:numPr>
        <w:tabs>
          <w:tab w:val="left" w:pos="491"/>
        </w:tabs>
        <w:spacing w:before="1" w:after="0" w:line="240" w:lineRule="auto"/>
        <w:ind w:left="490" w:right="0" w:hanging="318"/>
        <w:jc w:val="left"/>
      </w:pPr>
      <w:r>
        <w:rPr>
          <w:spacing w:val="-2"/>
          <w:w w:val="95"/>
        </w:rPr>
        <w:t>少儿特定疾病</w:t>
      </w:r>
    </w:p>
    <w:p>
      <w:pPr>
        <w:pStyle w:val="4"/>
        <w:spacing w:before="6"/>
        <w:rPr>
          <w:b/>
          <w:sz w:val="15"/>
        </w:rPr>
      </w:pPr>
    </w:p>
    <w:p>
      <w:pPr>
        <w:spacing w:before="0"/>
        <w:ind w:left="173" w:right="0" w:firstLine="0"/>
        <w:jc w:val="left"/>
        <w:rPr>
          <w:b/>
          <w:sz w:val="21"/>
        </w:rPr>
      </w:pPr>
      <w:r>
        <w:rPr>
          <w:b/>
          <w:w w:val="95"/>
          <w:sz w:val="21"/>
        </w:rPr>
        <w:t>（1）</w:t>
      </w:r>
      <w:r>
        <w:rPr>
          <w:b/>
          <w:spacing w:val="-3"/>
          <w:w w:val="95"/>
          <w:sz w:val="21"/>
        </w:rPr>
        <w:t>白血病：</w:t>
      </w:r>
    </w:p>
    <w:p>
      <w:pPr>
        <w:pStyle w:val="4"/>
        <w:spacing w:before="7"/>
        <w:rPr>
          <w:b/>
          <w:sz w:val="15"/>
        </w:rPr>
      </w:pPr>
    </w:p>
    <w:p>
      <w:pPr>
        <w:pStyle w:val="4"/>
        <w:spacing w:line="278" w:lineRule="auto"/>
        <w:ind w:left="173" w:right="347"/>
        <w:jc w:val="both"/>
      </w:pPr>
      <w:r>
        <w:rPr>
          <w:spacing w:val="-2"/>
          <w:w w:val="99"/>
        </w:rPr>
        <w:t>指一种造血系统的恶性肿瘤，其主要表现为白血病细胞在骨髓或其他造血组织中大</w:t>
      </w:r>
      <w:r>
        <w:rPr>
          <w:spacing w:val="-3"/>
          <w:w w:val="99"/>
        </w:rPr>
        <w:t>量克隆、异常增生，大量聚集的白细胞抑制正常造血并浸润全身器官和组织。周围白细胞有质和量的变化，出现相应临床表现。被保险人所患白血病必须根据骨髓的</w:t>
      </w:r>
      <w:r>
        <w:rPr>
          <w:spacing w:val="-1"/>
          <w:w w:val="99"/>
        </w:rPr>
        <w:t>活组织检查和周围血象由专科</w:t>
      </w:r>
      <w:r>
        <w:rPr>
          <w:spacing w:val="2"/>
          <w:w w:val="99"/>
        </w:rPr>
        <w:t>（</w:t>
      </w:r>
      <w:r>
        <w:rPr>
          <w:spacing w:val="-1"/>
          <w:w w:val="99"/>
        </w:rPr>
        <w:t>儿科、血液科或肿瘤科）医生确诊。</w:t>
      </w:r>
    </w:p>
    <w:p>
      <w:pPr>
        <w:pStyle w:val="4"/>
        <w:spacing w:line="269" w:lineRule="exact"/>
        <w:ind w:left="173"/>
      </w:pPr>
      <w:r>
        <w:rPr>
          <w:color w:val="000000"/>
          <w:spacing w:val="-1"/>
          <w:w w:val="95"/>
          <w:shd w:val="clear" w:color="auto" w:fill="E4E4E4"/>
        </w:rPr>
        <w:t>下列疾病不在保障范围内：</w:t>
      </w:r>
    </w:p>
    <w:p>
      <w:pPr>
        <w:pStyle w:val="4"/>
        <w:spacing w:before="7"/>
        <w:rPr>
          <w:sz w:val="15"/>
        </w:rPr>
      </w:pPr>
    </w:p>
    <w:p>
      <w:pPr>
        <w:pStyle w:val="9"/>
        <w:numPr>
          <w:ilvl w:val="0"/>
          <w:numId w:val="111"/>
        </w:numPr>
        <w:tabs>
          <w:tab w:val="left" w:pos="893"/>
          <w:tab w:val="left" w:pos="894"/>
        </w:tabs>
        <w:spacing w:before="0" w:after="0" w:line="240" w:lineRule="auto"/>
        <w:ind w:left="893" w:right="0" w:hanging="721"/>
        <w:jc w:val="left"/>
        <w:rPr>
          <w:sz w:val="21"/>
        </w:rPr>
      </w:pPr>
      <w:r>
        <w:rPr>
          <w:color w:val="000000"/>
          <w:spacing w:val="-3"/>
          <w:w w:val="95"/>
          <w:sz w:val="21"/>
          <w:shd w:val="clear" w:color="auto" w:fill="E4E4E4"/>
        </w:rPr>
        <w:t>原位癌；</w:t>
      </w:r>
    </w:p>
    <w:p>
      <w:pPr>
        <w:pStyle w:val="4"/>
        <w:spacing w:before="6"/>
        <w:rPr>
          <w:sz w:val="15"/>
        </w:rPr>
      </w:pPr>
    </w:p>
    <w:p>
      <w:pPr>
        <w:pStyle w:val="9"/>
        <w:numPr>
          <w:ilvl w:val="0"/>
          <w:numId w:val="111"/>
        </w:numPr>
        <w:tabs>
          <w:tab w:val="left" w:pos="893"/>
          <w:tab w:val="left" w:pos="894"/>
        </w:tabs>
        <w:spacing w:before="1" w:after="0" w:line="240" w:lineRule="auto"/>
        <w:ind w:left="893" w:right="0" w:hanging="721"/>
        <w:jc w:val="left"/>
        <w:rPr>
          <w:sz w:val="21"/>
        </w:rPr>
      </w:pPr>
      <w:r>
        <w:rPr>
          <w:color w:val="000000"/>
          <w:w w:val="95"/>
          <w:sz w:val="21"/>
          <w:shd w:val="clear" w:color="auto" w:fill="E4E4E4"/>
        </w:rPr>
        <w:t>相当于</w:t>
      </w:r>
      <w:r>
        <w:rPr>
          <w:color w:val="000000"/>
          <w:spacing w:val="-5"/>
          <w:sz w:val="21"/>
          <w:shd w:val="clear" w:color="auto" w:fill="E4E4E4"/>
        </w:rPr>
        <w:t xml:space="preserve"> </w:t>
      </w:r>
      <w:r>
        <w:rPr>
          <w:color w:val="000000"/>
          <w:w w:val="95"/>
          <w:sz w:val="21"/>
          <w:shd w:val="clear" w:color="auto" w:fill="E4E4E4"/>
        </w:rPr>
        <w:t>Binet</w:t>
      </w:r>
      <w:r>
        <w:rPr>
          <w:color w:val="000000"/>
          <w:spacing w:val="-2"/>
          <w:sz w:val="21"/>
          <w:shd w:val="clear" w:color="auto" w:fill="E4E4E4"/>
        </w:rPr>
        <w:t xml:space="preserve"> </w:t>
      </w:r>
      <w:r>
        <w:rPr>
          <w:color w:val="000000"/>
          <w:w w:val="95"/>
          <w:sz w:val="21"/>
          <w:shd w:val="clear" w:color="auto" w:fill="E4E4E4"/>
        </w:rPr>
        <w:t>分期方案</w:t>
      </w:r>
      <w:r>
        <w:rPr>
          <w:color w:val="000000"/>
          <w:spacing w:val="2"/>
          <w:sz w:val="21"/>
          <w:shd w:val="clear" w:color="auto" w:fill="E4E4E4"/>
        </w:rPr>
        <w:t xml:space="preserve"> </w:t>
      </w:r>
      <w:r>
        <w:rPr>
          <w:color w:val="000000"/>
          <w:w w:val="95"/>
          <w:sz w:val="21"/>
          <w:shd w:val="clear" w:color="auto" w:fill="E4E4E4"/>
        </w:rPr>
        <w:t>A</w:t>
      </w:r>
      <w:r>
        <w:rPr>
          <w:color w:val="000000"/>
          <w:spacing w:val="-2"/>
          <w:sz w:val="21"/>
          <w:shd w:val="clear" w:color="auto" w:fill="E4E4E4"/>
        </w:rPr>
        <w:t xml:space="preserve"> </w:t>
      </w:r>
      <w:r>
        <w:rPr>
          <w:color w:val="000000"/>
          <w:spacing w:val="-1"/>
          <w:w w:val="95"/>
          <w:sz w:val="21"/>
          <w:shd w:val="clear" w:color="auto" w:fill="E4E4E4"/>
        </w:rPr>
        <w:t>期程度的慢性淋巴细胞白血病；</w:t>
      </w:r>
    </w:p>
    <w:p>
      <w:pPr>
        <w:pStyle w:val="4"/>
        <w:spacing w:before="6"/>
        <w:rPr>
          <w:sz w:val="15"/>
        </w:rPr>
      </w:pPr>
    </w:p>
    <w:p>
      <w:pPr>
        <w:pStyle w:val="9"/>
        <w:numPr>
          <w:ilvl w:val="0"/>
          <w:numId w:val="111"/>
        </w:numPr>
        <w:tabs>
          <w:tab w:val="left" w:pos="893"/>
          <w:tab w:val="left" w:pos="894"/>
        </w:tabs>
        <w:spacing w:before="0" w:after="0" w:line="240" w:lineRule="auto"/>
        <w:ind w:left="893" w:right="0" w:hanging="721"/>
        <w:jc w:val="left"/>
        <w:rPr>
          <w:sz w:val="21"/>
        </w:rPr>
      </w:pPr>
      <w:r>
        <w:rPr>
          <w:color w:val="000000"/>
          <w:spacing w:val="-1"/>
          <w:w w:val="95"/>
          <w:sz w:val="21"/>
          <w:shd w:val="clear" w:color="auto" w:fill="E4E4E4"/>
        </w:rPr>
        <w:t>感染艾滋病病毒或患艾滋病期间所患恶性肿瘤。</w:t>
      </w:r>
    </w:p>
    <w:p>
      <w:pPr>
        <w:pStyle w:val="4"/>
        <w:spacing w:before="7"/>
        <w:rPr>
          <w:sz w:val="15"/>
        </w:rPr>
      </w:pPr>
    </w:p>
    <w:p>
      <w:pPr>
        <w:pStyle w:val="3"/>
        <w:ind w:left="279" w:firstLine="0"/>
        <w:rPr>
          <w:b w:val="0"/>
        </w:rPr>
      </w:pPr>
      <w:r>
        <w:rPr>
          <w:w w:val="95"/>
        </w:rPr>
        <w:t>（2）淋巴瘤</w:t>
      </w:r>
      <w:r>
        <w:rPr>
          <w:b w:val="0"/>
          <w:spacing w:val="-10"/>
          <w:w w:val="95"/>
        </w:rPr>
        <w:t>：</w:t>
      </w:r>
    </w:p>
    <w:p>
      <w:pPr>
        <w:pStyle w:val="4"/>
        <w:spacing w:before="7"/>
        <w:rPr>
          <w:sz w:val="15"/>
        </w:rPr>
      </w:pPr>
    </w:p>
    <w:p>
      <w:pPr>
        <w:pStyle w:val="4"/>
        <w:spacing w:line="278" w:lineRule="auto"/>
        <w:ind w:left="173" w:right="344"/>
      </w:pPr>
      <w:r>
        <w:rPr>
          <w:spacing w:val="2"/>
          <w:w w:val="99"/>
        </w:rPr>
        <w:t>指原发于淋巴组织的恶性肿瘤，恶性肿瘤释义参考</w:t>
      </w:r>
      <w:r>
        <w:rPr>
          <w:b/>
          <w:spacing w:val="3"/>
          <w:w w:val="99"/>
        </w:rPr>
        <w:t>附表一重大疾病</w:t>
      </w:r>
      <w:r>
        <w:rPr>
          <w:spacing w:val="1"/>
          <w:w w:val="99"/>
        </w:rPr>
        <w:t>中的恶性肿瘤-</w:t>
      </w:r>
      <w:r>
        <w:rPr>
          <w:spacing w:val="-1"/>
          <w:w w:val="99"/>
        </w:rPr>
        <w:t>重度释义。</w:t>
      </w:r>
    </w:p>
    <w:p>
      <w:pPr>
        <w:pStyle w:val="4"/>
        <w:spacing w:line="269" w:lineRule="exact"/>
        <w:ind w:left="173"/>
      </w:pPr>
      <w:r>
        <w:rPr>
          <w:color w:val="000000"/>
          <w:spacing w:val="-1"/>
          <w:w w:val="95"/>
          <w:shd w:val="clear" w:color="auto" w:fill="E4E4E4"/>
        </w:rPr>
        <w:t>下列疾病不在保障范围内：</w:t>
      </w:r>
    </w:p>
    <w:p>
      <w:pPr>
        <w:pStyle w:val="4"/>
        <w:spacing w:before="6"/>
        <w:rPr>
          <w:sz w:val="15"/>
        </w:rPr>
      </w:pPr>
    </w:p>
    <w:p>
      <w:pPr>
        <w:pStyle w:val="9"/>
        <w:numPr>
          <w:ilvl w:val="0"/>
          <w:numId w:val="112"/>
        </w:numPr>
        <w:tabs>
          <w:tab w:val="left" w:pos="893"/>
          <w:tab w:val="left" w:pos="894"/>
        </w:tabs>
        <w:spacing w:before="1" w:after="0" w:line="240" w:lineRule="auto"/>
        <w:ind w:left="893" w:right="0" w:hanging="721"/>
        <w:jc w:val="left"/>
        <w:rPr>
          <w:sz w:val="21"/>
        </w:rPr>
      </w:pPr>
      <w:r>
        <w:rPr>
          <w:color w:val="000000"/>
          <w:spacing w:val="-3"/>
          <w:w w:val="95"/>
          <w:sz w:val="21"/>
          <w:shd w:val="clear" w:color="auto" w:fill="E4E4E4"/>
        </w:rPr>
        <w:t>原位癌；</w:t>
      </w:r>
    </w:p>
    <w:p>
      <w:pPr>
        <w:pStyle w:val="4"/>
        <w:spacing w:before="6"/>
        <w:rPr>
          <w:sz w:val="15"/>
        </w:rPr>
      </w:pPr>
    </w:p>
    <w:p>
      <w:pPr>
        <w:pStyle w:val="9"/>
        <w:numPr>
          <w:ilvl w:val="0"/>
          <w:numId w:val="112"/>
        </w:numPr>
        <w:tabs>
          <w:tab w:val="left" w:pos="893"/>
          <w:tab w:val="left" w:pos="894"/>
        </w:tabs>
        <w:spacing w:before="0" w:after="0" w:line="240" w:lineRule="auto"/>
        <w:ind w:left="893" w:right="0" w:hanging="721"/>
        <w:jc w:val="left"/>
        <w:rPr>
          <w:sz w:val="21"/>
        </w:rPr>
      </w:pPr>
      <w:r>
        <w:rPr>
          <w:color w:val="000000"/>
          <w:w w:val="95"/>
          <w:sz w:val="21"/>
          <w:shd w:val="clear" w:color="auto" w:fill="E4E4E4"/>
        </w:rPr>
        <w:t>相当于</w:t>
      </w:r>
      <w:r>
        <w:rPr>
          <w:color w:val="000000"/>
          <w:spacing w:val="-5"/>
          <w:sz w:val="21"/>
          <w:shd w:val="clear" w:color="auto" w:fill="E4E4E4"/>
        </w:rPr>
        <w:t xml:space="preserve"> </w:t>
      </w:r>
      <w:r>
        <w:rPr>
          <w:color w:val="000000"/>
          <w:w w:val="95"/>
          <w:sz w:val="21"/>
          <w:shd w:val="clear" w:color="auto" w:fill="E4E4E4"/>
        </w:rPr>
        <w:t>Binet</w:t>
      </w:r>
      <w:r>
        <w:rPr>
          <w:color w:val="000000"/>
          <w:spacing w:val="-2"/>
          <w:sz w:val="21"/>
          <w:shd w:val="clear" w:color="auto" w:fill="E4E4E4"/>
        </w:rPr>
        <w:t xml:space="preserve"> </w:t>
      </w:r>
      <w:r>
        <w:rPr>
          <w:color w:val="000000"/>
          <w:w w:val="95"/>
          <w:sz w:val="21"/>
          <w:shd w:val="clear" w:color="auto" w:fill="E4E4E4"/>
        </w:rPr>
        <w:t>分期方案</w:t>
      </w:r>
      <w:r>
        <w:rPr>
          <w:color w:val="000000"/>
          <w:spacing w:val="2"/>
          <w:sz w:val="21"/>
          <w:shd w:val="clear" w:color="auto" w:fill="E4E4E4"/>
        </w:rPr>
        <w:t xml:space="preserve"> </w:t>
      </w:r>
      <w:r>
        <w:rPr>
          <w:color w:val="000000"/>
          <w:w w:val="95"/>
          <w:sz w:val="21"/>
          <w:shd w:val="clear" w:color="auto" w:fill="E4E4E4"/>
        </w:rPr>
        <w:t>A</w:t>
      </w:r>
      <w:r>
        <w:rPr>
          <w:color w:val="000000"/>
          <w:spacing w:val="-2"/>
          <w:sz w:val="21"/>
          <w:shd w:val="clear" w:color="auto" w:fill="E4E4E4"/>
        </w:rPr>
        <w:t xml:space="preserve"> </w:t>
      </w:r>
      <w:r>
        <w:rPr>
          <w:color w:val="000000"/>
          <w:spacing w:val="-1"/>
          <w:w w:val="95"/>
          <w:sz w:val="21"/>
          <w:shd w:val="clear" w:color="auto" w:fill="E4E4E4"/>
        </w:rPr>
        <w:t>期程度的慢性淋巴细胞白血病；</w:t>
      </w:r>
    </w:p>
    <w:p>
      <w:pPr>
        <w:pStyle w:val="4"/>
        <w:spacing w:before="7"/>
        <w:rPr>
          <w:sz w:val="15"/>
        </w:rPr>
      </w:pPr>
    </w:p>
    <w:p>
      <w:pPr>
        <w:pStyle w:val="9"/>
        <w:numPr>
          <w:ilvl w:val="0"/>
          <w:numId w:val="112"/>
        </w:numPr>
        <w:tabs>
          <w:tab w:val="left" w:pos="893"/>
          <w:tab w:val="left" w:pos="894"/>
        </w:tabs>
        <w:spacing w:before="0" w:after="0" w:line="240" w:lineRule="auto"/>
        <w:ind w:left="893" w:right="0" w:hanging="721"/>
        <w:jc w:val="left"/>
        <w:rPr>
          <w:sz w:val="21"/>
        </w:rPr>
      </w:pPr>
      <w:r>
        <w:rPr>
          <w:color w:val="000000"/>
          <w:spacing w:val="-5"/>
          <w:w w:val="95"/>
          <w:sz w:val="21"/>
          <w:shd w:val="clear" w:color="auto" w:fill="E4E4E4"/>
        </w:rPr>
        <w:t xml:space="preserve">相当于 </w:t>
      </w:r>
      <w:r>
        <w:rPr>
          <w:color w:val="000000"/>
          <w:w w:val="95"/>
          <w:sz w:val="21"/>
          <w:shd w:val="clear" w:color="auto" w:fill="E4E4E4"/>
        </w:rPr>
        <w:t>Ann</w:t>
      </w:r>
      <w:r>
        <w:rPr>
          <w:color w:val="000000"/>
          <w:spacing w:val="58"/>
          <w:sz w:val="21"/>
          <w:shd w:val="clear" w:color="auto" w:fill="E4E4E4"/>
        </w:rPr>
        <w:t xml:space="preserve"> </w:t>
      </w:r>
      <w:r>
        <w:rPr>
          <w:color w:val="000000"/>
          <w:w w:val="95"/>
          <w:sz w:val="21"/>
          <w:shd w:val="clear" w:color="auto" w:fill="E4E4E4"/>
        </w:rPr>
        <w:t>Arbor</w:t>
      </w:r>
      <w:r>
        <w:rPr>
          <w:color w:val="000000"/>
          <w:spacing w:val="-6"/>
          <w:w w:val="95"/>
          <w:sz w:val="21"/>
          <w:shd w:val="clear" w:color="auto" w:fill="E4E4E4"/>
        </w:rPr>
        <w:t xml:space="preserve"> 分期方案 </w:t>
      </w:r>
      <w:r>
        <w:rPr>
          <w:color w:val="000000"/>
          <w:w w:val="95"/>
          <w:sz w:val="21"/>
          <w:shd w:val="clear" w:color="auto" w:fill="E4E4E4"/>
        </w:rPr>
        <w:t>I</w:t>
      </w:r>
      <w:r>
        <w:rPr>
          <w:color w:val="000000"/>
          <w:spacing w:val="-5"/>
          <w:w w:val="95"/>
          <w:sz w:val="21"/>
          <w:shd w:val="clear" w:color="auto" w:fill="E4E4E4"/>
        </w:rPr>
        <w:t xml:space="preserve"> 期程度的何杰金氏病；</w:t>
      </w:r>
    </w:p>
    <w:p>
      <w:pPr>
        <w:pStyle w:val="4"/>
        <w:spacing w:before="7"/>
        <w:rPr>
          <w:sz w:val="15"/>
        </w:rPr>
      </w:pPr>
    </w:p>
    <w:p>
      <w:pPr>
        <w:pStyle w:val="9"/>
        <w:numPr>
          <w:ilvl w:val="0"/>
          <w:numId w:val="112"/>
        </w:numPr>
        <w:tabs>
          <w:tab w:val="left" w:pos="893"/>
          <w:tab w:val="left" w:pos="894"/>
        </w:tabs>
        <w:spacing w:before="0" w:after="0" w:line="240" w:lineRule="auto"/>
        <w:ind w:left="893" w:right="0" w:hanging="721"/>
        <w:jc w:val="left"/>
        <w:rPr>
          <w:sz w:val="21"/>
        </w:rPr>
      </w:pPr>
      <w:r>
        <w:rPr>
          <w:color w:val="000000"/>
          <w:spacing w:val="-1"/>
          <w:w w:val="95"/>
          <w:sz w:val="21"/>
          <w:shd w:val="clear" w:color="auto" w:fill="E4E4E4"/>
        </w:rPr>
        <w:t>感染艾滋病病毒或患艾滋病期间所患恶性肿瘤。</w:t>
      </w:r>
    </w:p>
    <w:p>
      <w:pPr>
        <w:pStyle w:val="4"/>
        <w:spacing w:before="6"/>
        <w:rPr>
          <w:sz w:val="15"/>
        </w:rPr>
      </w:pPr>
    </w:p>
    <w:p>
      <w:pPr>
        <w:pStyle w:val="3"/>
        <w:numPr>
          <w:ilvl w:val="0"/>
          <w:numId w:val="113"/>
        </w:numPr>
        <w:tabs>
          <w:tab w:val="left" w:pos="702"/>
        </w:tabs>
        <w:spacing w:before="1" w:after="0" w:line="240" w:lineRule="auto"/>
        <w:ind w:left="701" w:right="0" w:hanging="529"/>
        <w:jc w:val="left"/>
      </w:pPr>
      <w:r>
        <w:rPr>
          <w:spacing w:val="-2"/>
          <w:w w:val="95"/>
        </w:rPr>
        <w:t>神经母细胞瘤：</w:t>
      </w:r>
    </w:p>
    <w:p>
      <w:pPr>
        <w:pStyle w:val="4"/>
        <w:spacing w:before="6"/>
        <w:rPr>
          <w:b/>
          <w:sz w:val="15"/>
        </w:rPr>
      </w:pPr>
    </w:p>
    <w:p>
      <w:pPr>
        <w:pStyle w:val="4"/>
        <w:ind w:left="173"/>
      </w:pPr>
      <w:r>
        <w:rPr>
          <w:w w:val="95"/>
        </w:rPr>
        <w:t>指原发于神经母细胞的恶性肿瘤，恶性肿瘤释义参考</w:t>
      </w:r>
      <w:r>
        <w:rPr>
          <w:b/>
          <w:w w:val="95"/>
        </w:rPr>
        <w:t>附表一重大疾病</w:t>
      </w:r>
      <w:r>
        <w:rPr>
          <w:spacing w:val="-2"/>
          <w:w w:val="95"/>
        </w:rPr>
        <w:t>中的恶性肿瘤</w:t>
      </w:r>
    </w:p>
    <w:p>
      <w:pPr>
        <w:pStyle w:val="4"/>
        <w:spacing w:before="43"/>
        <w:ind w:left="173"/>
      </w:pPr>
      <w:r>
        <w:rPr>
          <w:spacing w:val="-2"/>
          <w:w w:val="95"/>
        </w:rPr>
        <w:t>-重度释义。</w:t>
      </w:r>
    </w:p>
    <w:p>
      <w:pPr>
        <w:pStyle w:val="4"/>
        <w:spacing w:before="43"/>
        <w:ind w:left="173"/>
      </w:pPr>
      <w:r>
        <w:rPr>
          <w:color w:val="000000"/>
          <w:spacing w:val="-1"/>
          <w:w w:val="95"/>
          <w:shd w:val="clear" w:color="auto" w:fill="E4E4E4"/>
        </w:rPr>
        <w:t>下列疾病不在保障范围内：</w:t>
      </w:r>
    </w:p>
    <w:p>
      <w:pPr>
        <w:pStyle w:val="4"/>
        <w:spacing w:before="7"/>
        <w:rPr>
          <w:sz w:val="15"/>
        </w:rPr>
      </w:pPr>
    </w:p>
    <w:p>
      <w:pPr>
        <w:pStyle w:val="9"/>
        <w:numPr>
          <w:ilvl w:val="0"/>
          <w:numId w:val="114"/>
        </w:numPr>
        <w:tabs>
          <w:tab w:val="left" w:pos="893"/>
          <w:tab w:val="left" w:pos="894"/>
        </w:tabs>
        <w:spacing w:before="0" w:after="0" w:line="240" w:lineRule="auto"/>
        <w:ind w:left="893" w:right="0" w:hanging="721"/>
        <w:jc w:val="left"/>
        <w:rPr>
          <w:sz w:val="21"/>
        </w:rPr>
      </w:pPr>
      <w:r>
        <w:rPr>
          <w:color w:val="000000"/>
          <w:spacing w:val="-3"/>
          <w:w w:val="95"/>
          <w:sz w:val="21"/>
          <w:shd w:val="clear" w:color="auto" w:fill="E4E4E4"/>
        </w:rPr>
        <w:t>原位癌；</w:t>
      </w:r>
    </w:p>
    <w:p>
      <w:pPr>
        <w:pStyle w:val="4"/>
        <w:spacing w:before="7"/>
        <w:rPr>
          <w:sz w:val="15"/>
        </w:rPr>
      </w:pPr>
    </w:p>
    <w:p>
      <w:pPr>
        <w:pStyle w:val="9"/>
        <w:numPr>
          <w:ilvl w:val="0"/>
          <w:numId w:val="114"/>
        </w:numPr>
        <w:tabs>
          <w:tab w:val="left" w:pos="893"/>
          <w:tab w:val="left" w:pos="894"/>
        </w:tabs>
        <w:spacing w:before="0" w:after="0" w:line="240" w:lineRule="auto"/>
        <w:ind w:left="893" w:right="0" w:hanging="721"/>
        <w:jc w:val="left"/>
        <w:rPr>
          <w:sz w:val="21"/>
        </w:rPr>
      </w:pPr>
      <w:r>
        <w:rPr>
          <w:color w:val="000000"/>
          <w:spacing w:val="-1"/>
          <w:w w:val="95"/>
          <w:sz w:val="21"/>
          <w:shd w:val="clear" w:color="auto" w:fill="E4E4E4"/>
        </w:rPr>
        <w:t>感染艾滋病病毒或患艾滋病期间所患恶性肿瘤。</w:t>
      </w:r>
    </w:p>
    <w:p>
      <w:pPr>
        <w:pStyle w:val="4"/>
        <w:spacing w:before="6"/>
        <w:rPr>
          <w:sz w:val="15"/>
        </w:rPr>
      </w:pPr>
    </w:p>
    <w:p>
      <w:pPr>
        <w:pStyle w:val="3"/>
        <w:numPr>
          <w:ilvl w:val="0"/>
          <w:numId w:val="113"/>
        </w:numPr>
        <w:tabs>
          <w:tab w:val="left" w:pos="702"/>
        </w:tabs>
        <w:spacing w:before="0" w:after="0" w:line="240" w:lineRule="auto"/>
        <w:ind w:left="701" w:right="0" w:hanging="529"/>
        <w:jc w:val="left"/>
      </w:pPr>
      <w:r>
        <w:rPr>
          <w:spacing w:val="-2"/>
          <w:w w:val="95"/>
        </w:rPr>
        <w:t>肾母细胞瘤：</w:t>
      </w:r>
    </w:p>
    <w:p>
      <w:pPr>
        <w:pStyle w:val="4"/>
        <w:spacing w:before="7"/>
        <w:rPr>
          <w:b/>
          <w:sz w:val="15"/>
        </w:rPr>
      </w:pPr>
    </w:p>
    <w:p>
      <w:pPr>
        <w:pStyle w:val="4"/>
        <w:spacing w:line="278" w:lineRule="auto"/>
        <w:ind w:left="173" w:right="344"/>
      </w:pPr>
      <w:r>
        <w:rPr>
          <w:spacing w:val="2"/>
          <w:w w:val="99"/>
        </w:rPr>
        <w:t>指原发于肾母细胞的恶性肿瘤，恶性肿瘤释义参考</w:t>
      </w:r>
      <w:r>
        <w:rPr>
          <w:b/>
          <w:spacing w:val="3"/>
          <w:w w:val="99"/>
        </w:rPr>
        <w:t>附表一重大疾病</w:t>
      </w:r>
      <w:r>
        <w:rPr>
          <w:spacing w:val="1"/>
          <w:w w:val="99"/>
        </w:rPr>
        <w:t>中的恶性肿瘤-</w:t>
      </w:r>
      <w:r>
        <w:rPr>
          <w:spacing w:val="-1"/>
          <w:w w:val="99"/>
        </w:rPr>
        <w:t>重度释义。</w:t>
      </w:r>
    </w:p>
    <w:p>
      <w:pPr>
        <w:pStyle w:val="4"/>
        <w:spacing w:line="269" w:lineRule="exact"/>
        <w:ind w:left="173"/>
      </w:pPr>
      <w:r>
        <w:rPr>
          <w:color w:val="000000"/>
          <w:spacing w:val="-1"/>
          <w:w w:val="95"/>
          <w:shd w:val="clear" w:color="auto" w:fill="E4E4E4"/>
        </w:rPr>
        <w:t>下列疾病不在保障范围内：</w:t>
      </w:r>
    </w:p>
    <w:p>
      <w:pPr>
        <w:pStyle w:val="4"/>
        <w:spacing w:before="7"/>
        <w:rPr>
          <w:sz w:val="15"/>
        </w:rPr>
      </w:pPr>
    </w:p>
    <w:p>
      <w:pPr>
        <w:pStyle w:val="9"/>
        <w:numPr>
          <w:ilvl w:val="0"/>
          <w:numId w:val="115"/>
        </w:numPr>
        <w:tabs>
          <w:tab w:val="left" w:pos="893"/>
          <w:tab w:val="left" w:pos="894"/>
        </w:tabs>
        <w:spacing w:before="0" w:after="0" w:line="240" w:lineRule="auto"/>
        <w:ind w:left="893" w:right="0" w:hanging="721"/>
        <w:jc w:val="left"/>
        <w:rPr>
          <w:sz w:val="21"/>
        </w:rPr>
      </w:pPr>
      <w:r>
        <w:rPr>
          <w:color w:val="000000"/>
          <w:spacing w:val="-3"/>
          <w:w w:val="95"/>
          <w:sz w:val="21"/>
          <w:shd w:val="clear" w:color="auto" w:fill="E4E4E4"/>
        </w:rPr>
        <w:t>原位癌；</w:t>
      </w:r>
    </w:p>
    <w:p>
      <w:pPr>
        <w:pStyle w:val="4"/>
        <w:spacing w:before="7"/>
        <w:rPr>
          <w:sz w:val="15"/>
        </w:rPr>
      </w:pPr>
    </w:p>
    <w:p>
      <w:pPr>
        <w:pStyle w:val="9"/>
        <w:numPr>
          <w:ilvl w:val="0"/>
          <w:numId w:val="115"/>
        </w:numPr>
        <w:tabs>
          <w:tab w:val="left" w:pos="893"/>
          <w:tab w:val="left" w:pos="894"/>
        </w:tabs>
        <w:spacing w:before="0" w:after="0" w:line="240" w:lineRule="auto"/>
        <w:ind w:left="893" w:right="0" w:hanging="721"/>
        <w:jc w:val="left"/>
        <w:rPr>
          <w:sz w:val="21"/>
        </w:rPr>
      </w:pPr>
      <w:r>
        <w:rPr>
          <w:color w:val="000000"/>
          <w:spacing w:val="-1"/>
          <w:w w:val="95"/>
          <w:sz w:val="21"/>
          <w:shd w:val="clear" w:color="auto" w:fill="E4E4E4"/>
        </w:rPr>
        <w:t>感染艾滋病病毒或患艾滋病期间所患恶性肿瘤。</w:t>
      </w:r>
    </w:p>
    <w:p>
      <w:pPr>
        <w:pStyle w:val="4"/>
        <w:spacing w:before="6"/>
        <w:rPr>
          <w:sz w:val="15"/>
        </w:rPr>
      </w:pPr>
    </w:p>
    <w:p>
      <w:pPr>
        <w:pStyle w:val="3"/>
        <w:numPr>
          <w:ilvl w:val="0"/>
          <w:numId w:val="113"/>
        </w:numPr>
        <w:tabs>
          <w:tab w:val="left" w:pos="702"/>
        </w:tabs>
        <w:spacing w:before="0" w:after="0" w:line="240" w:lineRule="auto"/>
        <w:ind w:left="701" w:right="0" w:hanging="529"/>
        <w:jc w:val="left"/>
      </w:pPr>
      <w:r>
        <w:rPr>
          <w:spacing w:val="-7"/>
          <w:w w:val="95"/>
        </w:rPr>
        <w:t xml:space="preserve">严重 </w:t>
      </w:r>
      <w:r>
        <w:rPr>
          <w:w w:val="95"/>
        </w:rPr>
        <w:t>I</w:t>
      </w:r>
      <w:r>
        <w:rPr>
          <w:spacing w:val="-5"/>
          <w:w w:val="95"/>
        </w:rPr>
        <w:t xml:space="preserve"> 型糖尿病：</w:t>
      </w:r>
    </w:p>
    <w:p>
      <w:pPr>
        <w:spacing w:after="0" w:line="240" w:lineRule="auto"/>
        <w:jc w:val="left"/>
        <w:sectPr>
          <w:type w:val="continuous"/>
          <w:pgSz w:w="11910" w:h="16840"/>
          <w:pgMar w:top="480" w:right="660" w:bottom="280" w:left="860" w:header="0" w:footer="662" w:gutter="0"/>
          <w:cols w:equalWidth="0" w:num="2">
            <w:col w:w="2273" w:space="40"/>
            <w:col w:w="8077"/>
          </w:cols>
        </w:sectPr>
      </w:pPr>
    </w:p>
    <w:p>
      <w:pPr>
        <w:pStyle w:val="4"/>
        <w:spacing w:before="43" w:line="278" w:lineRule="auto"/>
        <w:ind w:left="2485" w:right="242"/>
      </w:pPr>
      <w:r>
        <w:rPr>
          <w:spacing w:val="-8"/>
        </w:rPr>
        <w:t xml:space="preserve">严重 </w:t>
      </w:r>
      <w:r>
        <w:t>I</w:t>
      </w:r>
      <w:r>
        <w:rPr>
          <w:spacing w:val="-5"/>
        </w:rPr>
        <w:t xml:space="preserve"> 型糖尿病为由于胰岛素分泌绝对不足引起的慢性血糖</w:t>
      </w:r>
      <w:r>
        <w:t>升高，且已经持续性地</w:t>
      </w:r>
      <w:r>
        <w:rPr>
          <w:spacing w:val="-1"/>
          <w:w w:val="95"/>
        </w:rPr>
        <w:t xml:space="preserve">依赖外源性胰岛素维持 </w:t>
      </w:r>
      <w:r>
        <w:rPr>
          <w:w w:val="95"/>
        </w:rPr>
        <w:t>180</w:t>
      </w:r>
      <w:r>
        <w:rPr>
          <w:spacing w:val="-13"/>
          <w:w w:val="95"/>
        </w:rPr>
        <w:t xml:space="preserve"> 日以上。须经血胰岛素测定、血 </w:t>
      </w:r>
      <w:r>
        <w:rPr>
          <w:w w:val="95"/>
        </w:rPr>
        <w:t>C</w:t>
      </w:r>
      <w:r>
        <w:rPr>
          <w:spacing w:val="-1"/>
          <w:w w:val="95"/>
        </w:rPr>
        <w:t xml:space="preserve"> 肽测定或尿 </w:t>
      </w:r>
      <w:r>
        <w:rPr>
          <w:w w:val="95"/>
        </w:rPr>
        <w:t>C</w:t>
      </w:r>
      <w:r>
        <w:rPr>
          <w:spacing w:val="-2"/>
          <w:w w:val="95"/>
        </w:rPr>
        <w:t xml:space="preserve"> 肽测定，</w:t>
      </w:r>
      <w:r>
        <w:rPr>
          <w:spacing w:val="-2"/>
        </w:rPr>
        <w:t>结果异常，并由内分泌科专科医生明确诊断。</w:t>
      </w:r>
    </w:p>
    <w:p>
      <w:pPr>
        <w:pStyle w:val="4"/>
        <w:spacing w:line="269" w:lineRule="exact"/>
        <w:ind w:left="2485"/>
      </w:pPr>
      <w:r>
        <w:rPr>
          <w:spacing w:val="-1"/>
          <w:w w:val="95"/>
        </w:rPr>
        <w:t>并须在本合同有效期内，满足下述二个及以上条件：</w:t>
      </w:r>
    </w:p>
    <w:p>
      <w:pPr>
        <w:pStyle w:val="4"/>
        <w:spacing w:before="7"/>
        <w:rPr>
          <w:sz w:val="15"/>
        </w:rPr>
      </w:pPr>
    </w:p>
    <w:p>
      <w:pPr>
        <w:pStyle w:val="9"/>
        <w:numPr>
          <w:ilvl w:val="1"/>
          <w:numId w:val="113"/>
        </w:numPr>
        <w:tabs>
          <w:tab w:val="left" w:pos="3205"/>
          <w:tab w:val="left" w:pos="3206"/>
        </w:tabs>
        <w:spacing w:before="0" w:after="0" w:line="240" w:lineRule="auto"/>
        <w:ind w:left="3205" w:right="0" w:hanging="721"/>
        <w:jc w:val="left"/>
        <w:rPr>
          <w:sz w:val="21"/>
        </w:rPr>
      </w:pPr>
      <w:r>
        <w:rPr>
          <w:spacing w:val="-1"/>
          <w:w w:val="95"/>
          <w:sz w:val="21"/>
        </w:rPr>
        <w:t>已出现增生性视网膜病变；</w:t>
      </w:r>
    </w:p>
    <w:p>
      <w:pPr>
        <w:pStyle w:val="4"/>
        <w:spacing w:before="6"/>
        <w:rPr>
          <w:sz w:val="15"/>
        </w:rPr>
      </w:pPr>
    </w:p>
    <w:p>
      <w:pPr>
        <w:pStyle w:val="9"/>
        <w:numPr>
          <w:ilvl w:val="1"/>
          <w:numId w:val="113"/>
        </w:numPr>
        <w:tabs>
          <w:tab w:val="left" w:pos="3205"/>
          <w:tab w:val="left" w:pos="3206"/>
        </w:tabs>
        <w:spacing w:before="1" w:after="0" w:line="240" w:lineRule="auto"/>
        <w:ind w:left="3205" w:right="0" w:hanging="721"/>
        <w:jc w:val="left"/>
        <w:rPr>
          <w:sz w:val="21"/>
        </w:rPr>
      </w:pPr>
      <w:r>
        <w:rPr>
          <w:spacing w:val="-1"/>
          <w:w w:val="95"/>
          <w:sz w:val="21"/>
        </w:rPr>
        <w:t>须植入心脏起搏器治疗心脏病；</w:t>
      </w:r>
    </w:p>
    <w:p>
      <w:pPr>
        <w:pStyle w:val="4"/>
        <w:spacing w:before="6"/>
        <w:rPr>
          <w:sz w:val="15"/>
        </w:rPr>
      </w:pPr>
    </w:p>
    <w:p>
      <w:pPr>
        <w:pStyle w:val="9"/>
        <w:numPr>
          <w:ilvl w:val="1"/>
          <w:numId w:val="113"/>
        </w:numPr>
        <w:tabs>
          <w:tab w:val="left" w:pos="3205"/>
          <w:tab w:val="left" w:pos="3206"/>
        </w:tabs>
        <w:spacing w:before="0" w:after="0" w:line="278" w:lineRule="auto"/>
        <w:ind w:left="3205" w:right="350" w:hanging="720"/>
        <w:jc w:val="left"/>
        <w:rPr>
          <w:sz w:val="21"/>
        </w:rPr>
      </w:pPr>
      <w:r>
        <w:rPr>
          <w:spacing w:val="2"/>
          <w:w w:val="99"/>
          <w:sz w:val="21"/>
        </w:rPr>
        <w:t>在本公司认可医院内已经进行了医疗必需的由足踝或以上位置的单足截除</w:t>
      </w:r>
      <w:r>
        <w:rPr>
          <w:w w:val="99"/>
          <w:sz w:val="21"/>
        </w:rPr>
        <w:t>手术。</w:t>
      </w:r>
    </w:p>
    <w:p>
      <w:pPr>
        <w:pStyle w:val="3"/>
        <w:numPr>
          <w:ilvl w:val="0"/>
          <w:numId w:val="113"/>
        </w:numPr>
        <w:tabs>
          <w:tab w:val="left" w:pos="3014"/>
        </w:tabs>
        <w:spacing w:before="156" w:after="0" w:line="240" w:lineRule="auto"/>
        <w:ind w:left="3013" w:right="0" w:hanging="529"/>
        <w:jc w:val="left"/>
      </w:pPr>
      <w:r>
        <w:rPr>
          <w:spacing w:val="-1"/>
          <w:w w:val="95"/>
        </w:rPr>
        <w:t>重型再生障碍性贫血：</w:t>
      </w:r>
    </w:p>
    <w:p>
      <w:pPr>
        <w:pStyle w:val="4"/>
        <w:spacing w:before="93" w:line="278" w:lineRule="auto"/>
        <w:ind w:left="2485" w:right="350"/>
      </w:pPr>
      <w:r>
        <w:rPr>
          <w:spacing w:val="-3"/>
          <w:w w:val="99"/>
        </w:rPr>
        <w:t>指因骨髓造血功能慢性持续性衰竭导致的贫血、中性粒细胞减少及血小板减少。须</w:t>
      </w:r>
      <w:r>
        <w:rPr>
          <w:spacing w:val="-1"/>
          <w:w w:val="99"/>
        </w:rPr>
        <w:t>满足下列全部条件：</w:t>
      </w:r>
    </w:p>
    <w:p>
      <w:pPr>
        <w:pStyle w:val="9"/>
        <w:numPr>
          <w:ilvl w:val="0"/>
          <w:numId w:val="116"/>
        </w:numPr>
        <w:tabs>
          <w:tab w:val="left" w:pos="3205"/>
          <w:tab w:val="left" w:pos="3206"/>
        </w:tabs>
        <w:spacing w:before="156" w:after="0" w:line="278" w:lineRule="auto"/>
        <w:ind w:left="3205" w:right="302" w:hanging="720"/>
        <w:jc w:val="left"/>
        <w:rPr>
          <w:sz w:val="21"/>
        </w:rPr>
      </w:pPr>
      <w:r>
        <w:rPr>
          <w:spacing w:val="-1"/>
          <w:w w:val="99"/>
          <w:sz w:val="21"/>
        </w:rPr>
        <w:t>骨髓穿刺检查或骨髓活检结果支持诊断：骨髓细胞增生程度＜正常的</w:t>
      </w:r>
      <w:r>
        <w:rPr>
          <w:spacing w:val="-53"/>
          <w:sz w:val="21"/>
        </w:rPr>
        <w:t xml:space="preserve"> </w:t>
      </w:r>
      <w:r>
        <w:rPr>
          <w:spacing w:val="1"/>
          <w:w w:val="99"/>
          <w:sz w:val="21"/>
        </w:rPr>
        <w:t>25</w:t>
      </w:r>
      <w:r>
        <w:rPr>
          <w:spacing w:val="-1"/>
          <w:w w:val="99"/>
          <w:sz w:val="21"/>
        </w:rPr>
        <w:t>%；如≥正常的</w:t>
      </w:r>
      <w:r>
        <w:rPr>
          <w:spacing w:val="-53"/>
          <w:sz w:val="21"/>
        </w:rPr>
        <w:t xml:space="preserve"> </w:t>
      </w:r>
      <w:r>
        <w:rPr>
          <w:spacing w:val="1"/>
          <w:w w:val="99"/>
          <w:sz w:val="21"/>
        </w:rPr>
        <w:t>25</w:t>
      </w:r>
      <w:r>
        <w:rPr>
          <w:w w:val="99"/>
          <w:sz w:val="21"/>
        </w:rPr>
        <w:t>%但＜</w:t>
      </w:r>
      <w:r>
        <w:rPr>
          <w:spacing w:val="1"/>
          <w:w w:val="99"/>
          <w:sz w:val="21"/>
        </w:rPr>
        <w:t>50</w:t>
      </w:r>
      <w:r>
        <w:rPr>
          <w:spacing w:val="-1"/>
          <w:w w:val="99"/>
          <w:sz w:val="21"/>
        </w:rPr>
        <w:t>%，则残存的造血细胞应＜</w:t>
      </w:r>
      <w:r>
        <w:rPr>
          <w:spacing w:val="1"/>
          <w:w w:val="99"/>
          <w:sz w:val="21"/>
        </w:rPr>
        <w:t>30</w:t>
      </w:r>
      <w:r>
        <w:rPr>
          <w:w w:val="99"/>
          <w:sz w:val="21"/>
        </w:rPr>
        <w:t>%；</w:t>
      </w:r>
    </w:p>
    <w:p>
      <w:pPr>
        <w:pStyle w:val="9"/>
        <w:numPr>
          <w:ilvl w:val="0"/>
          <w:numId w:val="116"/>
        </w:numPr>
        <w:tabs>
          <w:tab w:val="left" w:pos="3205"/>
          <w:tab w:val="left" w:pos="3206"/>
        </w:tabs>
        <w:spacing w:before="156" w:after="0" w:line="240" w:lineRule="auto"/>
        <w:ind w:left="3205" w:right="0" w:hanging="721"/>
        <w:jc w:val="left"/>
        <w:rPr>
          <w:sz w:val="21"/>
        </w:rPr>
      </w:pPr>
      <w:r>
        <w:rPr>
          <w:spacing w:val="-1"/>
          <w:w w:val="95"/>
          <w:sz w:val="21"/>
        </w:rPr>
        <w:t>外周血象须具备以下三项条件中的两项：</w:t>
      </w:r>
    </w:p>
    <w:p>
      <w:pPr>
        <w:pStyle w:val="4"/>
        <w:spacing w:before="7"/>
        <w:rPr>
          <w:sz w:val="15"/>
        </w:rPr>
      </w:pPr>
    </w:p>
    <w:p>
      <w:pPr>
        <w:pStyle w:val="9"/>
        <w:numPr>
          <w:ilvl w:val="1"/>
          <w:numId w:val="116"/>
        </w:numPr>
        <w:tabs>
          <w:tab w:val="left" w:pos="3626"/>
        </w:tabs>
        <w:spacing w:before="0" w:after="0" w:line="240" w:lineRule="auto"/>
        <w:ind w:left="3625" w:right="0" w:hanging="421"/>
        <w:jc w:val="left"/>
        <w:rPr>
          <w:sz w:val="21"/>
        </w:rPr>
      </w:pPr>
      <w:r>
        <w:rPr>
          <w:spacing w:val="-1"/>
          <w:w w:val="95"/>
          <w:sz w:val="21"/>
        </w:rPr>
        <w:t>中性粒细胞绝对值＜</w:t>
      </w:r>
      <w:r>
        <w:rPr>
          <w:spacing w:val="-2"/>
          <w:w w:val="95"/>
          <w:sz w:val="21"/>
        </w:rPr>
        <w:t>0.5×10</w:t>
      </w:r>
      <w:r>
        <w:rPr>
          <w:spacing w:val="-2"/>
          <w:w w:val="95"/>
          <w:position w:val="11"/>
          <w:sz w:val="10"/>
        </w:rPr>
        <w:t>9</w:t>
      </w:r>
      <w:r>
        <w:rPr>
          <w:spacing w:val="-2"/>
          <w:w w:val="95"/>
          <w:sz w:val="21"/>
        </w:rPr>
        <w:t>/L；</w:t>
      </w:r>
    </w:p>
    <w:p>
      <w:pPr>
        <w:pStyle w:val="4"/>
        <w:spacing w:before="6"/>
        <w:rPr>
          <w:sz w:val="15"/>
        </w:rPr>
      </w:pPr>
    </w:p>
    <w:p>
      <w:pPr>
        <w:pStyle w:val="9"/>
        <w:numPr>
          <w:ilvl w:val="1"/>
          <w:numId w:val="116"/>
        </w:numPr>
        <w:tabs>
          <w:tab w:val="left" w:pos="3626"/>
        </w:tabs>
        <w:spacing w:before="1" w:after="0" w:line="240" w:lineRule="auto"/>
        <w:ind w:left="3625" w:right="0" w:hanging="421"/>
        <w:jc w:val="left"/>
        <w:rPr>
          <w:sz w:val="21"/>
        </w:rPr>
      </w:pPr>
      <w:r>
        <w:rPr>
          <w:spacing w:val="-1"/>
          <w:w w:val="95"/>
          <w:sz w:val="21"/>
        </w:rPr>
        <w:t>网织红细胞计数＜</w:t>
      </w:r>
      <w:r>
        <w:rPr>
          <w:spacing w:val="-2"/>
          <w:w w:val="95"/>
          <w:sz w:val="21"/>
        </w:rPr>
        <w:t>20×10</w:t>
      </w:r>
      <w:r>
        <w:rPr>
          <w:spacing w:val="-2"/>
          <w:w w:val="95"/>
          <w:position w:val="11"/>
          <w:sz w:val="10"/>
        </w:rPr>
        <w:t>9</w:t>
      </w:r>
      <w:r>
        <w:rPr>
          <w:spacing w:val="-2"/>
          <w:w w:val="95"/>
          <w:sz w:val="21"/>
        </w:rPr>
        <w:t>/L；</w:t>
      </w:r>
    </w:p>
    <w:p>
      <w:pPr>
        <w:pStyle w:val="4"/>
        <w:spacing w:before="6"/>
        <w:rPr>
          <w:sz w:val="15"/>
        </w:rPr>
      </w:pPr>
    </w:p>
    <w:p>
      <w:pPr>
        <w:pStyle w:val="9"/>
        <w:numPr>
          <w:ilvl w:val="1"/>
          <w:numId w:val="116"/>
        </w:numPr>
        <w:tabs>
          <w:tab w:val="left" w:pos="3626"/>
        </w:tabs>
        <w:spacing w:before="0" w:after="0" w:line="240" w:lineRule="auto"/>
        <w:ind w:left="3625" w:right="0" w:hanging="421"/>
        <w:jc w:val="left"/>
        <w:rPr>
          <w:sz w:val="21"/>
        </w:rPr>
      </w:pPr>
      <w:r>
        <w:rPr>
          <w:w w:val="95"/>
          <w:sz w:val="21"/>
        </w:rPr>
        <w:t>血小板绝对值＜20×10</w:t>
      </w:r>
      <w:r>
        <w:rPr>
          <w:w w:val="95"/>
          <w:position w:val="11"/>
          <w:sz w:val="10"/>
        </w:rPr>
        <w:t>9</w:t>
      </w:r>
      <w:r>
        <w:rPr>
          <w:w w:val="95"/>
          <w:sz w:val="21"/>
        </w:rPr>
        <w:t>/L</w:t>
      </w:r>
      <w:r>
        <w:rPr>
          <w:spacing w:val="-10"/>
          <w:w w:val="95"/>
          <w:sz w:val="21"/>
        </w:rPr>
        <w:t>。</w:t>
      </w:r>
    </w:p>
    <w:p>
      <w:pPr>
        <w:pStyle w:val="4"/>
        <w:spacing w:before="7"/>
        <w:rPr>
          <w:sz w:val="15"/>
        </w:rPr>
      </w:pPr>
    </w:p>
    <w:p>
      <w:pPr>
        <w:pStyle w:val="3"/>
        <w:numPr>
          <w:ilvl w:val="0"/>
          <w:numId w:val="113"/>
        </w:numPr>
        <w:tabs>
          <w:tab w:val="left" w:pos="3014"/>
        </w:tabs>
        <w:spacing w:before="0" w:after="0" w:line="240" w:lineRule="auto"/>
        <w:ind w:left="3013" w:right="0" w:hanging="529"/>
        <w:jc w:val="left"/>
      </w:pPr>
      <w:r>
        <w:rPr>
          <w:spacing w:val="-2"/>
          <w:w w:val="95"/>
        </w:rPr>
        <w:t>严重哮喘：</w:t>
      </w:r>
    </w:p>
    <w:p>
      <w:pPr>
        <w:pStyle w:val="4"/>
        <w:spacing w:before="7"/>
        <w:rPr>
          <w:b/>
          <w:sz w:val="15"/>
        </w:rPr>
      </w:pPr>
    </w:p>
    <w:p>
      <w:pPr>
        <w:pStyle w:val="4"/>
        <w:spacing w:line="278" w:lineRule="auto"/>
        <w:ind w:left="2485" w:right="350"/>
      </w:pPr>
      <w:r>
        <w:rPr>
          <w:spacing w:val="-3"/>
          <w:w w:val="99"/>
        </w:rPr>
        <w:t>指一种反复发作的严重支气管阻塞性疾病，经本公司认可的专科医生确诊，且必须</w:t>
      </w:r>
      <w:r>
        <w:rPr>
          <w:spacing w:val="-1"/>
          <w:w w:val="99"/>
        </w:rPr>
        <w:t>同时符合下列标准：</w:t>
      </w:r>
    </w:p>
    <w:p>
      <w:pPr>
        <w:pStyle w:val="9"/>
        <w:numPr>
          <w:ilvl w:val="0"/>
          <w:numId w:val="117"/>
        </w:numPr>
        <w:tabs>
          <w:tab w:val="left" w:pos="3205"/>
          <w:tab w:val="left" w:pos="3206"/>
        </w:tabs>
        <w:spacing w:before="156" w:after="0" w:line="240" w:lineRule="auto"/>
        <w:ind w:left="3205" w:right="0" w:hanging="721"/>
        <w:jc w:val="left"/>
        <w:rPr>
          <w:sz w:val="21"/>
        </w:rPr>
      </w:pPr>
      <w:r>
        <w:rPr>
          <w:spacing w:val="-1"/>
          <w:w w:val="95"/>
          <w:sz w:val="21"/>
        </w:rPr>
        <w:t>过去两年中曾因哮喘持续状态住院治疗，并提供完整住院记录；</w:t>
      </w:r>
    </w:p>
    <w:p>
      <w:pPr>
        <w:pStyle w:val="4"/>
        <w:spacing w:before="6"/>
        <w:rPr>
          <w:sz w:val="15"/>
        </w:rPr>
      </w:pPr>
    </w:p>
    <w:p>
      <w:pPr>
        <w:pStyle w:val="9"/>
        <w:numPr>
          <w:ilvl w:val="0"/>
          <w:numId w:val="117"/>
        </w:numPr>
        <w:tabs>
          <w:tab w:val="left" w:pos="3205"/>
          <w:tab w:val="left" w:pos="3206"/>
        </w:tabs>
        <w:spacing w:before="0" w:after="0" w:line="240" w:lineRule="auto"/>
        <w:ind w:left="3205" w:right="0" w:hanging="721"/>
        <w:jc w:val="left"/>
        <w:rPr>
          <w:sz w:val="21"/>
        </w:rPr>
      </w:pPr>
      <w:r>
        <w:rPr>
          <w:spacing w:val="-1"/>
          <w:w w:val="95"/>
          <w:sz w:val="21"/>
        </w:rPr>
        <w:t>因慢性过度换气导致胸廓畸形；</w:t>
      </w:r>
    </w:p>
    <w:p>
      <w:pPr>
        <w:pStyle w:val="4"/>
        <w:spacing w:before="7"/>
        <w:rPr>
          <w:sz w:val="15"/>
        </w:rPr>
      </w:pPr>
    </w:p>
    <w:p>
      <w:pPr>
        <w:pStyle w:val="9"/>
        <w:numPr>
          <w:ilvl w:val="0"/>
          <w:numId w:val="117"/>
        </w:numPr>
        <w:tabs>
          <w:tab w:val="left" w:pos="3205"/>
          <w:tab w:val="left" w:pos="3206"/>
        </w:tabs>
        <w:spacing w:before="0" w:after="0" w:line="240" w:lineRule="auto"/>
        <w:ind w:left="3205" w:right="0" w:hanging="721"/>
        <w:jc w:val="left"/>
        <w:rPr>
          <w:sz w:val="21"/>
        </w:rPr>
      </w:pPr>
      <w:r>
        <w:rPr>
          <w:spacing w:val="-1"/>
          <w:w w:val="95"/>
          <w:sz w:val="21"/>
        </w:rPr>
        <w:t>在家中需要医生处方的氧气治疗法；</w:t>
      </w:r>
    </w:p>
    <w:p>
      <w:pPr>
        <w:pStyle w:val="4"/>
        <w:spacing w:before="7"/>
        <w:rPr>
          <w:sz w:val="15"/>
        </w:rPr>
      </w:pPr>
    </w:p>
    <w:p>
      <w:pPr>
        <w:pStyle w:val="9"/>
        <w:numPr>
          <w:ilvl w:val="0"/>
          <w:numId w:val="117"/>
        </w:numPr>
        <w:tabs>
          <w:tab w:val="left" w:pos="3205"/>
          <w:tab w:val="left" w:pos="3206"/>
        </w:tabs>
        <w:spacing w:before="0" w:after="0" w:line="240" w:lineRule="auto"/>
        <w:ind w:left="3205" w:right="0" w:hanging="721"/>
        <w:jc w:val="left"/>
        <w:rPr>
          <w:sz w:val="21"/>
        </w:rPr>
      </w:pPr>
      <w:r>
        <w:rPr>
          <w:spacing w:val="-1"/>
          <w:w w:val="95"/>
          <w:sz w:val="21"/>
        </w:rPr>
        <w:t>持续日常服用口服类固醇激素治疗持续至少六个月。</w:t>
      </w:r>
    </w:p>
    <w:p>
      <w:pPr>
        <w:pStyle w:val="4"/>
        <w:spacing w:before="6"/>
        <w:rPr>
          <w:sz w:val="15"/>
        </w:rPr>
      </w:pPr>
    </w:p>
    <w:p>
      <w:pPr>
        <w:pStyle w:val="3"/>
        <w:numPr>
          <w:ilvl w:val="0"/>
          <w:numId w:val="113"/>
        </w:numPr>
        <w:tabs>
          <w:tab w:val="left" w:pos="3014"/>
        </w:tabs>
        <w:spacing w:before="1" w:after="0" w:line="240" w:lineRule="auto"/>
        <w:ind w:left="3013" w:right="0" w:hanging="529"/>
        <w:jc w:val="left"/>
      </w:pPr>
      <w:r>
        <w:rPr>
          <w:spacing w:val="-2"/>
          <w:w w:val="95"/>
        </w:rPr>
        <w:t>严重心肌炎：</w:t>
      </w:r>
    </w:p>
    <w:p>
      <w:pPr>
        <w:pStyle w:val="4"/>
        <w:spacing w:before="6"/>
        <w:rPr>
          <w:b/>
          <w:sz w:val="15"/>
        </w:rPr>
      </w:pPr>
    </w:p>
    <w:p>
      <w:pPr>
        <w:pStyle w:val="4"/>
        <w:spacing w:line="278" w:lineRule="auto"/>
        <w:ind w:left="2485" w:right="350"/>
      </w:pPr>
      <w:r>
        <w:rPr>
          <w:spacing w:val="4"/>
          <w:w w:val="99"/>
        </w:rPr>
        <w:t>指被保险人因严重心肌炎性病变导致心功能损害造成持续的永久不可逆性的心功</w:t>
      </w:r>
      <w:r>
        <w:rPr>
          <w:spacing w:val="-1"/>
          <w:w w:val="99"/>
        </w:rPr>
        <w:t>能衰竭。必须满足下列全部条件：</w:t>
      </w:r>
    </w:p>
    <w:p>
      <w:pPr>
        <w:pStyle w:val="9"/>
        <w:numPr>
          <w:ilvl w:val="0"/>
          <w:numId w:val="118"/>
        </w:numPr>
        <w:tabs>
          <w:tab w:val="left" w:pos="3205"/>
          <w:tab w:val="left" w:pos="3206"/>
        </w:tabs>
        <w:spacing w:before="156" w:after="0" w:line="278" w:lineRule="auto"/>
        <w:ind w:left="3205" w:right="350" w:hanging="720"/>
        <w:jc w:val="left"/>
        <w:rPr>
          <w:sz w:val="21"/>
        </w:rPr>
      </w:pPr>
      <w:r>
        <w:rPr>
          <w:spacing w:val="-5"/>
          <w:w w:val="99"/>
          <w:sz w:val="21"/>
        </w:rPr>
        <w:t>心功能衰竭程度达到美国纽约心脏病学会心功能状态分级Ⅳ级，或左室射血</w:t>
      </w:r>
      <w:r>
        <w:rPr>
          <w:spacing w:val="-1"/>
          <w:w w:val="99"/>
          <w:sz w:val="21"/>
        </w:rPr>
        <w:t>分数低于</w:t>
      </w:r>
      <w:r>
        <w:rPr>
          <w:spacing w:val="-50"/>
          <w:sz w:val="21"/>
        </w:rPr>
        <w:t xml:space="preserve"> </w:t>
      </w:r>
      <w:r>
        <w:rPr>
          <w:spacing w:val="1"/>
          <w:w w:val="99"/>
          <w:sz w:val="21"/>
        </w:rPr>
        <w:t>30</w:t>
      </w:r>
      <w:r>
        <w:rPr>
          <w:spacing w:val="-1"/>
          <w:w w:val="99"/>
          <w:sz w:val="21"/>
        </w:rPr>
        <w:t>%；</w:t>
      </w:r>
    </w:p>
    <w:p>
      <w:pPr>
        <w:pStyle w:val="9"/>
        <w:numPr>
          <w:ilvl w:val="0"/>
          <w:numId w:val="118"/>
        </w:numPr>
        <w:tabs>
          <w:tab w:val="left" w:pos="3205"/>
          <w:tab w:val="left" w:pos="3206"/>
        </w:tabs>
        <w:spacing w:before="156" w:after="0" w:line="240" w:lineRule="auto"/>
        <w:ind w:left="3205" w:right="0" w:hanging="721"/>
        <w:jc w:val="left"/>
        <w:rPr>
          <w:sz w:val="21"/>
        </w:rPr>
      </w:pPr>
      <w:r>
        <w:rPr>
          <w:spacing w:val="-2"/>
          <w:w w:val="95"/>
          <w:sz w:val="21"/>
        </w:rPr>
        <w:t xml:space="preserve">持续不间断 </w:t>
      </w:r>
      <w:r>
        <w:rPr>
          <w:w w:val="95"/>
          <w:sz w:val="21"/>
        </w:rPr>
        <w:t>180</w:t>
      </w:r>
      <w:r>
        <w:rPr>
          <w:spacing w:val="-4"/>
          <w:w w:val="95"/>
          <w:sz w:val="21"/>
        </w:rPr>
        <w:t xml:space="preserve"> 天以上；</w:t>
      </w:r>
    </w:p>
    <w:p>
      <w:pPr>
        <w:pStyle w:val="4"/>
        <w:spacing w:before="6"/>
        <w:rPr>
          <w:sz w:val="15"/>
        </w:rPr>
      </w:pPr>
    </w:p>
    <w:p>
      <w:pPr>
        <w:pStyle w:val="9"/>
        <w:numPr>
          <w:ilvl w:val="0"/>
          <w:numId w:val="118"/>
        </w:numPr>
        <w:tabs>
          <w:tab w:val="left" w:pos="3205"/>
          <w:tab w:val="left" w:pos="3206"/>
        </w:tabs>
        <w:spacing w:before="1" w:after="0" w:line="240" w:lineRule="auto"/>
        <w:ind w:left="3205" w:right="0" w:hanging="721"/>
        <w:jc w:val="left"/>
        <w:rPr>
          <w:sz w:val="21"/>
        </w:rPr>
      </w:pPr>
      <w:r>
        <w:rPr>
          <w:spacing w:val="-1"/>
          <w:w w:val="95"/>
          <w:sz w:val="21"/>
        </w:rPr>
        <w:t>被保险人永久不可逆性的体力活动能力受限，不能从事任何体力活动。</w:t>
      </w:r>
    </w:p>
    <w:p>
      <w:pPr>
        <w:pStyle w:val="4"/>
        <w:spacing w:before="6"/>
        <w:rPr>
          <w:sz w:val="15"/>
        </w:rPr>
      </w:pPr>
    </w:p>
    <w:p>
      <w:pPr>
        <w:pStyle w:val="3"/>
        <w:numPr>
          <w:ilvl w:val="0"/>
          <w:numId w:val="113"/>
        </w:numPr>
        <w:tabs>
          <w:tab w:val="left" w:pos="3014"/>
        </w:tabs>
        <w:spacing w:before="0" w:after="0" w:line="240" w:lineRule="auto"/>
        <w:ind w:left="3013" w:right="0" w:hanging="529"/>
        <w:jc w:val="left"/>
      </w:pPr>
      <w:r>
        <w:rPr>
          <w:spacing w:val="-2"/>
          <w:w w:val="95"/>
        </w:rPr>
        <w:t>严重心肌病：</w:t>
      </w:r>
    </w:p>
    <w:p>
      <w:pPr>
        <w:pStyle w:val="4"/>
        <w:spacing w:before="7"/>
        <w:rPr>
          <w:b/>
          <w:sz w:val="15"/>
        </w:rPr>
      </w:pPr>
    </w:p>
    <w:p>
      <w:pPr>
        <w:pStyle w:val="4"/>
        <w:ind w:left="2485"/>
      </w:pPr>
      <w:r>
        <w:rPr>
          <w:spacing w:val="-1"/>
          <w:w w:val="95"/>
        </w:rPr>
        <w:t>指被保险人因心肌病导致慢性心功能损害造成永久不可逆性的心功能衰竭。心功能</w:t>
      </w:r>
    </w:p>
    <w:p>
      <w:pPr>
        <w:spacing w:after="0"/>
        <w:sectPr>
          <w:pgSz w:w="11910" w:h="16840"/>
          <w:pgMar w:top="1400" w:right="660" w:bottom="860" w:left="860" w:header="0" w:footer="662" w:gutter="0"/>
          <w:cols w:space="720" w:num="1"/>
        </w:sectPr>
      </w:pPr>
    </w:p>
    <w:p>
      <w:pPr>
        <w:pStyle w:val="4"/>
        <w:spacing w:before="43" w:line="278" w:lineRule="auto"/>
        <w:ind w:left="2485" w:right="350"/>
      </w:pPr>
      <w:r>
        <w:rPr>
          <w:spacing w:val="-2"/>
          <w:w w:val="99"/>
        </w:rPr>
        <w:t>衰竭程度达到美国纽约心脏病学会心功能状态分级Ⅳ级。被保险人永久不可逆性的</w:t>
      </w:r>
      <w:r>
        <w:rPr>
          <w:spacing w:val="-1"/>
          <w:w w:val="99"/>
        </w:rPr>
        <w:t>体力活动能力受限，不能从事任何体力活动。</w:t>
      </w:r>
    </w:p>
    <w:p>
      <w:pPr>
        <w:pStyle w:val="3"/>
        <w:numPr>
          <w:ilvl w:val="0"/>
          <w:numId w:val="113"/>
        </w:numPr>
        <w:tabs>
          <w:tab w:val="left" w:pos="3120"/>
        </w:tabs>
        <w:spacing w:before="156" w:after="0" w:line="240" w:lineRule="auto"/>
        <w:ind w:left="3119" w:right="0" w:hanging="635"/>
        <w:jc w:val="left"/>
      </w:pPr>
      <w:r>
        <w:rPr>
          <w:spacing w:val="-2"/>
          <w:w w:val="95"/>
        </w:rPr>
        <w:t>严重川崎病：</w:t>
      </w:r>
    </w:p>
    <w:p>
      <w:pPr>
        <w:pStyle w:val="4"/>
        <w:spacing w:before="6"/>
        <w:rPr>
          <w:b/>
          <w:sz w:val="15"/>
        </w:rPr>
      </w:pPr>
    </w:p>
    <w:p>
      <w:pPr>
        <w:pStyle w:val="4"/>
        <w:spacing w:before="1" w:line="278" w:lineRule="auto"/>
        <w:ind w:left="2485" w:right="350"/>
        <w:jc w:val="both"/>
      </w:pPr>
      <w:r>
        <w:rPr>
          <w:spacing w:val="-3"/>
          <w:w w:val="99"/>
        </w:rPr>
        <w:t>指一种原因未明的血管炎综合征，临床表现为急性发热，皮肤粘膜病损和淋巴结肿大。本病必须经专科医生明确诊断，且必须由血管造影或超声心动图检查证实，满</w:t>
      </w:r>
      <w:r>
        <w:rPr>
          <w:spacing w:val="-1"/>
          <w:w w:val="99"/>
        </w:rPr>
        <w:t>足下列至少一项条件：</w:t>
      </w:r>
    </w:p>
    <w:p>
      <w:pPr>
        <w:pStyle w:val="9"/>
        <w:numPr>
          <w:ilvl w:val="0"/>
          <w:numId w:val="119"/>
        </w:numPr>
        <w:tabs>
          <w:tab w:val="left" w:pos="3206"/>
        </w:tabs>
        <w:spacing w:before="155" w:after="0" w:line="240" w:lineRule="auto"/>
        <w:ind w:left="3205" w:right="0" w:hanging="721"/>
        <w:jc w:val="both"/>
        <w:rPr>
          <w:sz w:val="21"/>
        </w:rPr>
      </w:pPr>
      <w:r>
        <w:rPr>
          <w:spacing w:val="-1"/>
          <w:w w:val="95"/>
          <w:sz w:val="21"/>
        </w:rPr>
        <w:t>伴有冠状动脉瘤，且冠状动脉瘤于最初急性发病后持续至少一百八十天；</w:t>
      </w:r>
    </w:p>
    <w:p>
      <w:pPr>
        <w:pStyle w:val="4"/>
        <w:spacing w:before="7"/>
        <w:rPr>
          <w:sz w:val="15"/>
        </w:rPr>
      </w:pPr>
    </w:p>
    <w:p>
      <w:pPr>
        <w:pStyle w:val="9"/>
        <w:numPr>
          <w:ilvl w:val="0"/>
          <w:numId w:val="119"/>
        </w:numPr>
        <w:tabs>
          <w:tab w:val="left" w:pos="3206"/>
        </w:tabs>
        <w:spacing w:before="0" w:after="0" w:line="240" w:lineRule="auto"/>
        <w:ind w:left="3205" w:right="0" w:hanging="721"/>
        <w:jc w:val="both"/>
        <w:rPr>
          <w:sz w:val="21"/>
        </w:rPr>
      </w:pPr>
      <w:r>
        <w:rPr>
          <w:spacing w:val="-1"/>
          <w:w w:val="95"/>
          <w:sz w:val="21"/>
        </w:rPr>
        <w:t>伴有冠状动脉瘤，且实际接受了对冠状动脉瘤进行的手术治疗。</w:t>
      </w:r>
    </w:p>
    <w:p>
      <w:pPr>
        <w:pStyle w:val="4"/>
        <w:spacing w:before="7"/>
        <w:rPr>
          <w:sz w:val="15"/>
        </w:rPr>
      </w:pPr>
    </w:p>
    <w:p>
      <w:pPr>
        <w:pStyle w:val="3"/>
        <w:numPr>
          <w:ilvl w:val="0"/>
          <w:numId w:val="113"/>
        </w:numPr>
        <w:tabs>
          <w:tab w:val="left" w:pos="3120"/>
        </w:tabs>
        <w:spacing w:before="0" w:after="0" w:line="240" w:lineRule="auto"/>
        <w:ind w:left="3119" w:right="0" w:hanging="635"/>
        <w:jc w:val="left"/>
      </w:pPr>
      <w:r>
        <w:rPr>
          <w:spacing w:val="-2"/>
          <w:w w:val="95"/>
        </w:rPr>
        <w:t>严重脑损伤：</w:t>
      </w:r>
    </w:p>
    <w:p>
      <w:pPr>
        <w:pStyle w:val="4"/>
        <w:spacing w:before="6"/>
        <w:rPr>
          <w:b/>
          <w:sz w:val="15"/>
        </w:rPr>
      </w:pPr>
    </w:p>
    <w:p>
      <w:pPr>
        <w:pStyle w:val="4"/>
        <w:spacing w:before="1" w:line="278" w:lineRule="auto"/>
        <w:ind w:left="2485" w:right="244"/>
      </w:pPr>
      <w:r>
        <w:rPr>
          <w:spacing w:val="-9"/>
          <w:w w:val="99"/>
        </w:rPr>
        <w:t>指因头部遭受机械性外力，引起脑重要部位损伤，导致神经系统永久性的功能障碍。</w:t>
      </w:r>
      <w:r>
        <w:rPr>
          <w:spacing w:val="2"/>
          <w:w w:val="99"/>
        </w:rPr>
        <w:t>须由头颅断层扫描</w:t>
      </w:r>
      <w:r>
        <w:rPr>
          <w:spacing w:val="4"/>
          <w:w w:val="99"/>
        </w:rPr>
        <w:t>（</w:t>
      </w:r>
      <w:r>
        <w:rPr>
          <w:spacing w:val="1"/>
          <w:w w:val="99"/>
        </w:rPr>
        <w:t>CT</w:t>
      </w:r>
      <w:r>
        <w:rPr>
          <w:spacing w:val="-101"/>
          <w:w w:val="99"/>
        </w:rPr>
        <w:t>）</w:t>
      </w:r>
      <w:r>
        <w:rPr>
          <w:spacing w:val="2"/>
          <w:w w:val="99"/>
        </w:rPr>
        <w:t>、核磁共振检查</w:t>
      </w:r>
      <w:r>
        <w:rPr>
          <w:spacing w:val="4"/>
          <w:w w:val="99"/>
        </w:rPr>
        <w:t>（</w:t>
      </w:r>
      <w:r>
        <w:rPr>
          <w:spacing w:val="1"/>
          <w:w w:val="99"/>
        </w:rPr>
        <w:t>MRI</w:t>
      </w:r>
      <w:r>
        <w:rPr>
          <w:spacing w:val="4"/>
          <w:w w:val="99"/>
        </w:rPr>
        <w:t>）</w:t>
      </w:r>
      <w:r>
        <w:rPr>
          <w:spacing w:val="2"/>
          <w:w w:val="99"/>
        </w:rPr>
        <w:t>或正电子发射断层扫描</w:t>
      </w:r>
      <w:r>
        <w:rPr>
          <w:spacing w:val="4"/>
          <w:w w:val="99"/>
        </w:rPr>
        <w:t>（</w:t>
      </w:r>
      <w:r>
        <w:rPr>
          <w:spacing w:val="1"/>
          <w:w w:val="99"/>
        </w:rPr>
        <w:t>PET</w:t>
      </w:r>
      <w:r>
        <w:rPr>
          <w:spacing w:val="4"/>
          <w:w w:val="99"/>
        </w:rPr>
        <w:t>）</w:t>
      </w:r>
      <w:r>
        <w:rPr>
          <w:w w:val="99"/>
        </w:rPr>
        <w:t>等</w:t>
      </w:r>
      <w:r>
        <w:rPr>
          <w:spacing w:val="-3"/>
          <w:w w:val="99"/>
        </w:rPr>
        <w:t>影像学检查证实。神经系统永久性的功能障碍，指脑损伤</w:t>
      </w:r>
      <w:r>
        <w:rPr>
          <w:spacing w:val="-53"/>
        </w:rPr>
        <w:t xml:space="preserve"> </w:t>
      </w:r>
      <w:r>
        <w:rPr>
          <w:spacing w:val="1"/>
          <w:w w:val="99"/>
        </w:rPr>
        <w:t>18</w:t>
      </w:r>
      <w:r>
        <w:rPr>
          <w:w w:val="99"/>
        </w:rPr>
        <w:t>0</w:t>
      </w:r>
      <w:r>
        <w:rPr>
          <w:spacing w:val="-54"/>
        </w:rPr>
        <w:t xml:space="preserve"> </w:t>
      </w:r>
      <w:r>
        <w:rPr>
          <w:spacing w:val="-1"/>
          <w:w w:val="99"/>
        </w:rPr>
        <w:t>天后，仍遗留下列至少一种障碍：</w:t>
      </w:r>
    </w:p>
    <w:p>
      <w:pPr>
        <w:pStyle w:val="9"/>
        <w:numPr>
          <w:ilvl w:val="0"/>
          <w:numId w:val="120"/>
        </w:numPr>
        <w:tabs>
          <w:tab w:val="left" w:pos="3205"/>
          <w:tab w:val="left" w:pos="3206"/>
        </w:tabs>
        <w:spacing w:before="155" w:after="0" w:line="240" w:lineRule="auto"/>
        <w:ind w:left="3205" w:right="0" w:hanging="721"/>
        <w:jc w:val="left"/>
        <w:rPr>
          <w:sz w:val="21"/>
        </w:rPr>
      </w:pPr>
      <w:r>
        <w:rPr>
          <w:w w:val="95"/>
          <w:sz w:val="21"/>
        </w:rPr>
        <w:t>一肢（含）以上肢体肌力</w:t>
      </w:r>
      <w:r>
        <w:rPr>
          <w:spacing w:val="23"/>
          <w:sz w:val="21"/>
        </w:rPr>
        <w:t xml:space="preserve"> </w:t>
      </w:r>
      <w:r>
        <w:rPr>
          <w:w w:val="95"/>
          <w:sz w:val="21"/>
        </w:rPr>
        <w:t>2</w:t>
      </w:r>
      <w:r>
        <w:rPr>
          <w:spacing w:val="27"/>
          <w:sz w:val="21"/>
        </w:rPr>
        <w:t xml:space="preserve"> </w:t>
      </w:r>
      <w:r>
        <w:rPr>
          <w:w w:val="95"/>
          <w:sz w:val="21"/>
        </w:rPr>
        <w:t>级（含）</w:t>
      </w:r>
      <w:r>
        <w:rPr>
          <w:spacing w:val="-4"/>
          <w:w w:val="95"/>
          <w:sz w:val="21"/>
        </w:rPr>
        <w:t>以下；</w:t>
      </w:r>
    </w:p>
    <w:p>
      <w:pPr>
        <w:pStyle w:val="4"/>
        <w:spacing w:before="7"/>
        <w:rPr>
          <w:sz w:val="15"/>
        </w:rPr>
      </w:pPr>
    </w:p>
    <w:p>
      <w:pPr>
        <w:pStyle w:val="9"/>
        <w:numPr>
          <w:ilvl w:val="0"/>
          <w:numId w:val="120"/>
        </w:numPr>
        <w:tabs>
          <w:tab w:val="left" w:pos="3205"/>
          <w:tab w:val="left" w:pos="3206"/>
        </w:tabs>
        <w:spacing w:before="0" w:after="0" w:line="240" w:lineRule="auto"/>
        <w:ind w:left="3205" w:right="0" w:hanging="721"/>
        <w:jc w:val="left"/>
        <w:rPr>
          <w:sz w:val="21"/>
        </w:rPr>
      </w:pPr>
      <w:r>
        <w:rPr>
          <w:spacing w:val="-1"/>
          <w:w w:val="95"/>
          <w:sz w:val="21"/>
        </w:rPr>
        <w:t>语言能力完全丧失，或严重咀嚼吞咽功能障碍；</w:t>
      </w:r>
    </w:p>
    <w:p>
      <w:pPr>
        <w:pStyle w:val="4"/>
        <w:spacing w:before="6"/>
        <w:rPr>
          <w:sz w:val="15"/>
        </w:rPr>
      </w:pPr>
    </w:p>
    <w:p>
      <w:pPr>
        <w:pStyle w:val="9"/>
        <w:numPr>
          <w:ilvl w:val="0"/>
          <w:numId w:val="120"/>
        </w:numPr>
        <w:tabs>
          <w:tab w:val="left" w:pos="3205"/>
          <w:tab w:val="left" w:pos="3206"/>
        </w:tabs>
        <w:spacing w:before="1" w:after="0" w:line="278" w:lineRule="auto"/>
        <w:ind w:left="3205" w:right="350" w:hanging="720"/>
        <w:jc w:val="left"/>
        <w:rPr>
          <w:sz w:val="21"/>
        </w:rPr>
      </w:pPr>
      <w:r>
        <w:rPr>
          <w:spacing w:val="-10"/>
          <w:w w:val="99"/>
          <w:sz w:val="21"/>
        </w:rPr>
        <w:t>自主生活能力完全丧失，无法独立完成六项基本日常生活活动中的三项或三</w:t>
      </w:r>
      <w:r>
        <w:rPr>
          <w:spacing w:val="-1"/>
          <w:w w:val="99"/>
          <w:sz w:val="21"/>
        </w:rPr>
        <w:t>项以上。</w:t>
      </w:r>
    </w:p>
    <w:p>
      <w:pPr>
        <w:pStyle w:val="3"/>
        <w:numPr>
          <w:ilvl w:val="0"/>
          <w:numId w:val="113"/>
        </w:numPr>
        <w:tabs>
          <w:tab w:val="left" w:pos="3120"/>
        </w:tabs>
        <w:spacing w:before="155" w:after="0" w:line="240" w:lineRule="auto"/>
        <w:ind w:left="3119" w:right="0" w:hanging="635"/>
        <w:jc w:val="left"/>
      </w:pPr>
      <w:r>
        <w:rPr>
          <w:spacing w:val="-2"/>
          <w:w w:val="95"/>
        </w:rPr>
        <w:t>重症肌无力：</w:t>
      </w:r>
    </w:p>
    <w:p>
      <w:pPr>
        <w:pStyle w:val="4"/>
        <w:spacing w:before="7"/>
        <w:rPr>
          <w:b/>
          <w:sz w:val="15"/>
        </w:rPr>
      </w:pPr>
    </w:p>
    <w:p>
      <w:pPr>
        <w:pStyle w:val="4"/>
        <w:spacing w:line="278" w:lineRule="auto"/>
        <w:ind w:left="2485" w:right="350"/>
        <w:jc w:val="both"/>
      </w:pPr>
      <w:r>
        <w:rPr>
          <w:spacing w:val="-3"/>
          <w:w w:val="99"/>
        </w:rPr>
        <w:t>指一种神经肌肉接头传递障碍所致的疾病，表现为局部或全身骨骼肌</w:t>
      </w:r>
      <w:r>
        <w:rPr>
          <w:spacing w:val="-1"/>
          <w:w w:val="99"/>
        </w:rPr>
        <w:t>（特别是眼外</w:t>
      </w:r>
      <w:r>
        <w:rPr>
          <w:spacing w:val="2"/>
          <w:w w:val="99"/>
        </w:rPr>
        <w:t>肌</w:t>
      </w:r>
      <w:r>
        <w:rPr>
          <w:spacing w:val="-3"/>
          <w:w w:val="99"/>
        </w:rPr>
        <w:t>）极易疲劳。疾病可以累及呼吸肌、上肢或下肢的近端肌群或全身肌肉，必须满</w:t>
      </w:r>
      <w:r>
        <w:rPr>
          <w:spacing w:val="-1"/>
          <w:w w:val="99"/>
        </w:rPr>
        <w:t>足下列全部条件：</w:t>
      </w:r>
    </w:p>
    <w:p>
      <w:pPr>
        <w:pStyle w:val="9"/>
        <w:numPr>
          <w:ilvl w:val="0"/>
          <w:numId w:val="121"/>
        </w:numPr>
        <w:tabs>
          <w:tab w:val="left" w:pos="3206"/>
        </w:tabs>
        <w:spacing w:before="156" w:after="0" w:line="240" w:lineRule="auto"/>
        <w:ind w:left="3205" w:right="0" w:hanging="721"/>
        <w:jc w:val="both"/>
        <w:rPr>
          <w:sz w:val="21"/>
        </w:rPr>
      </w:pPr>
      <w:r>
        <w:rPr>
          <w:spacing w:val="-1"/>
          <w:w w:val="95"/>
          <w:sz w:val="21"/>
        </w:rPr>
        <w:t>经药物治疗和胸腺切除治疗一年以上仍无法控制病情；</w:t>
      </w:r>
    </w:p>
    <w:p>
      <w:pPr>
        <w:pStyle w:val="4"/>
        <w:spacing w:before="6"/>
        <w:rPr>
          <w:sz w:val="15"/>
        </w:rPr>
      </w:pPr>
    </w:p>
    <w:p>
      <w:pPr>
        <w:pStyle w:val="9"/>
        <w:numPr>
          <w:ilvl w:val="0"/>
          <w:numId w:val="121"/>
        </w:numPr>
        <w:tabs>
          <w:tab w:val="left" w:pos="3205"/>
          <w:tab w:val="left" w:pos="3206"/>
        </w:tabs>
        <w:spacing w:before="1" w:after="0" w:line="278" w:lineRule="auto"/>
        <w:ind w:left="3205" w:right="350" w:hanging="720"/>
        <w:jc w:val="left"/>
        <w:rPr>
          <w:sz w:val="21"/>
        </w:rPr>
      </w:pPr>
      <w:r>
        <w:rPr>
          <w:spacing w:val="-10"/>
          <w:w w:val="99"/>
          <w:sz w:val="21"/>
        </w:rPr>
        <w:t>自主生活能力完全丧失，无法独立完成六项基本日常生活活动中的三项或三</w:t>
      </w:r>
      <w:r>
        <w:rPr>
          <w:spacing w:val="-1"/>
          <w:w w:val="99"/>
          <w:sz w:val="21"/>
        </w:rPr>
        <w:t>项以上。</w:t>
      </w:r>
    </w:p>
    <w:p>
      <w:pPr>
        <w:pStyle w:val="3"/>
        <w:numPr>
          <w:ilvl w:val="0"/>
          <w:numId w:val="113"/>
        </w:numPr>
        <w:tabs>
          <w:tab w:val="left" w:pos="3120"/>
        </w:tabs>
        <w:spacing w:before="155" w:after="0" w:line="240" w:lineRule="auto"/>
        <w:ind w:left="3119" w:right="0" w:hanging="635"/>
        <w:jc w:val="left"/>
      </w:pPr>
      <w:r>
        <w:rPr>
          <w:spacing w:val="-2"/>
          <w:w w:val="95"/>
        </w:rPr>
        <w:t>重症手足口病：</w:t>
      </w:r>
    </w:p>
    <w:p>
      <w:pPr>
        <w:pStyle w:val="4"/>
        <w:spacing w:before="7"/>
        <w:rPr>
          <w:b/>
          <w:sz w:val="15"/>
        </w:rPr>
      </w:pPr>
    </w:p>
    <w:p>
      <w:pPr>
        <w:pStyle w:val="4"/>
        <w:spacing w:line="278" w:lineRule="auto"/>
        <w:ind w:left="2485" w:right="338"/>
        <w:jc w:val="both"/>
      </w:pPr>
      <w:r>
        <w:rPr>
          <w:spacing w:val="-1"/>
          <w:w w:val="99"/>
        </w:rPr>
        <w:t>指由肠道病毒引起的急性传染病，主要症状表现为手、足、口腔等部位的斑丘疹、</w:t>
      </w:r>
      <w:r>
        <w:rPr>
          <w:spacing w:val="-2"/>
          <w:w w:val="99"/>
        </w:rPr>
        <w:t>疱疹。经本公司指定或认可的医疗机构的专科医生确诊患有手足口病，并伴有下列</w:t>
      </w:r>
      <w:r>
        <w:rPr>
          <w:spacing w:val="-1"/>
          <w:w w:val="99"/>
        </w:rPr>
        <w:t>三项中的任意一项并发症：</w:t>
      </w:r>
    </w:p>
    <w:p>
      <w:pPr>
        <w:pStyle w:val="9"/>
        <w:numPr>
          <w:ilvl w:val="0"/>
          <w:numId w:val="122"/>
        </w:numPr>
        <w:tabs>
          <w:tab w:val="left" w:pos="3206"/>
        </w:tabs>
        <w:spacing w:before="156" w:after="0" w:line="278" w:lineRule="auto"/>
        <w:ind w:left="3205" w:right="350" w:hanging="720"/>
        <w:jc w:val="both"/>
        <w:rPr>
          <w:sz w:val="21"/>
        </w:rPr>
      </w:pPr>
      <w:r>
        <w:rPr>
          <w:spacing w:val="-10"/>
          <w:w w:val="99"/>
          <w:sz w:val="21"/>
        </w:rPr>
        <w:t>有脑膜炎或脑炎并发症，且导致意识障碍或瘫痪的临床表现及实验室检查证</w:t>
      </w:r>
      <w:r>
        <w:rPr>
          <w:spacing w:val="-1"/>
          <w:w w:val="99"/>
          <w:sz w:val="21"/>
        </w:rPr>
        <w:t>据；</w:t>
      </w:r>
    </w:p>
    <w:p>
      <w:pPr>
        <w:pStyle w:val="9"/>
        <w:numPr>
          <w:ilvl w:val="0"/>
          <w:numId w:val="122"/>
        </w:numPr>
        <w:tabs>
          <w:tab w:val="left" w:pos="3206"/>
        </w:tabs>
        <w:spacing w:before="155" w:after="0" w:line="240" w:lineRule="auto"/>
        <w:ind w:left="3205" w:right="0" w:hanging="721"/>
        <w:jc w:val="both"/>
        <w:rPr>
          <w:sz w:val="21"/>
        </w:rPr>
      </w:pPr>
      <w:r>
        <w:rPr>
          <w:spacing w:val="-1"/>
          <w:w w:val="95"/>
          <w:sz w:val="21"/>
        </w:rPr>
        <w:t>有肺炎或肺水肿并发症，且导致呼吸衰竭的临床表现及实验室检查证据；</w:t>
      </w:r>
    </w:p>
    <w:p>
      <w:pPr>
        <w:pStyle w:val="4"/>
        <w:spacing w:before="7"/>
        <w:rPr>
          <w:sz w:val="15"/>
        </w:rPr>
      </w:pPr>
    </w:p>
    <w:p>
      <w:pPr>
        <w:pStyle w:val="9"/>
        <w:numPr>
          <w:ilvl w:val="0"/>
          <w:numId w:val="122"/>
        </w:numPr>
        <w:tabs>
          <w:tab w:val="left" w:pos="3205"/>
          <w:tab w:val="left" w:pos="3206"/>
        </w:tabs>
        <w:spacing w:before="0" w:after="0" w:line="278" w:lineRule="auto"/>
        <w:ind w:left="3205" w:right="350" w:hanging="720"/>
        <w:jc w:val="left"/>
        <w:rPr>
          <w:sz w:val="21"/>
        </w:rPr>
      </w:pPr>
      <w:r>
        <w:rPr>
          <w:spacing w:val="2"/>
          <w:w w:val="99"/>
          <w:sz w:val="21"/>
        </w:rPr>
        <w:t>有心肌炎并发症，且导致心脏扩大或心力衰竭的临床表现及实验室检查证</w:t>
      </w:r>
      <w:r>
        <w:rPr>
          <w:spacing w:val="-1"/>
          <w:w w:val="99"/>
          <w:sz w:val="21"/>
        </w:rPr>
        <w:t>据。</w:t>
      </w:r>
    </w:p>
    <w:p>
      <w:pPr>
        <w:pStyle w:val="3"/>
        <w:numPr>
          <w:ilvl w:val="0"/>
          <w:numId w:val="113"/>
        </w:numPr>
        <w:tabs>
          <w:tab w:val="left" w:pos="3120"/>
        </w:tabs>
        <w:spacing w:before="156" w:after="0" w:line="240" w:lineRule="auto"/>
        <w:ind w:left="3119" w:right="0" w:hanging="635"/>
        <w:jc w:val="left"/>
      </w:pPr>
      <w:r>
        <w:rPr>
          <w:spacing w:val="-2"/>
          <w:w w:val="95"/>
        </w:rPr>
        <w:t>严重瑞氏综合症：</w:t>
      </w:r>
    </w:p>
    <w:p>
      <w:pPr>
        <w:spacing w:after="0" w:line="240" w:lineRule="auto"/>
        <w:jc w:val="left"/>
        <w:sectPr>
          <w:pgSz w:w="11910" w:h="16840"/>
          <w:pgMar w:top="1400" w:right="660" w:bottom="860" w:left="860" w:header="0" w:footer="662" w:gutter="0"/>
          <w:cols w:space="720" w:num="1"/>
        </w:sectPr>
      </w:pPr>
    </w:p>
    <w:p>
      <w:pPr>
        <w:pStyle w:val="4"/>
        <w:spacing w:before="43" w:line="278" w:lineRule="auto"/>
        <w:ind w:left="2485" w:right="347"/>
        <w:jc w:val="both"/>
      </w:pPr>
      <w:r>
        <w:rPr>
          <w:spacing w:val="-3"/>
          <w:w w:val="99"/>
        </w:rPr>
        <w:t>瑞氏综合症是线粒体功能障碍性疾病。导致脂肪代谢障碍，引起短链脂肪酸、血氨</w:t>
      </w:r>
      <w:r>
        <w:rPr>
          <w:spacing w:val="-2"/>
          <w:w w:val="99"/>
        </w:rPr>
        <w:t>升高，造成脑水肿。主要临床表现为急性发热、反复呕吐、惊厥及意识障碍等。肝脏活检是确诊的重要手段。瑞氏综合症需由本公司指定或认可的医疗机构的专科医</w:t>
      </w:r>
      <w:r>
        <w:rPr>
          <w:spacing w:val="-1"/>
          <w:w w:val="99"/>
        </w:rPr>
        <w:t>生确诊，并符合下列全部条件：</w:t>
      </w:r>
    </w:p>
    <w:p>
      <w:pPr>
        <w:pStyle w:val="9"/>
        <w:numPr>
          <w:ilvl w:val="0"/>
          <w:numId w:val="123"/>
        </w:numPr>
        <w:tabs>
          <w:tab w:val="left" w:pos="3206"/>
        </w:tabs>
        <w:spacing w:before="156" w:after="0" w:line="240" w:lineRule="auto"/>
        <w:ind w:left="3205" w:right="0" w:hanging="721"/>
        <w:jc w:val="both"/>
        <w:rPr>
          <w:sz w:val="21"/>
        </w:rPr>
      </w:pPr>
      <w:r>
        <w:rPr>
          <w:spacing w:val="-1"/>
          <w:w w:val="95"/>
          <w:sz w:val="21"/>
        </w:rPr>
        <w:t>有脑水肿和颅内压升高的脑脊液检查和影像学检查证据；</w:t>
      </w:r>
    </w:p>
    <w:p>
      <w:pPr>
        <w:pStyle w:val="4"/>
        <w:spacing w:before="6"/>
        <w:rPr>
          <w:sz w:val="15"/>
        </w:rPr>
      </w:pPr>
    </w:p>
    <w:p>
      <w:pPr>
        <w:pStyle w:val="9"/>
        <w:numPr>
          <w:ilvl w:val="0"/>
          <w:numId w:val="123"/>
        </w:numPr>
        <w:tabs>
          <w:tab w:val="left" w:pos="3206"/>
        </w:tabs>
        <w:spacing w:before="0" w:after="0" w:line="240" w:lineRule="auto"/>
        <w:ind w:left="3205" w:right="0" w:hanging="721"/>
        <w:jc w:val="both"/>
        <w:rPr>
          <w:sz w:val="21"/>
        </w:rPr>
      </w:pPr>
      <w:r>
        <w:rPr>
          <w:spacing w:val="-1"/>
          <w:w w:val="95"/>
          <w:sz w:val="21"/>
        </w:rPr>
        <w:t xml:space="preserve">血氨超过正常值的 </w:t>
      </w:r>
      <w:r>
        <w:rPr>
          <w:w w:val="95"/>
          <w:sz w:val="21"/>
        </w:rPr>
        <w:t>3</w:t>
      </w:r>
      <w:r>
        <w:rPr>
          <w:spacing w:val="-6"/>
          <w:w w:val="95"/>
          <w:sz w:val="21"/>
        </w:rPr>
        <w:t xml:space="preserve"> 倍；</w:t>
      </w:r>
    </w:p>
    <w:p>
      <w:pPr>
        <w:pStyle w:val="4"/>
        <w:spacing w:before="7"/>
        <w:rPr>
          <w:sz w:val="15"/>
        </w:rPr>
      </w:pPr>
    </w:p>
    <w:p>
      <w:pPr>
        <w:pStyle w:val="9"/>
        <w:numPr>
          <w:ilvl w:val="0"/>
          <w:numId w:val="123"/>
        </w:numPr>
        <w:tabs>
          <w:tab w:val="left" w:pos="3206"/>
        </w:tabs>
        <w:spacing w:before="0" w:after="0" w:line="240" w:lineRule="auto"/>
        <w:ind w:left="3205" w:right="0" w:hanging="721"/>
        <w:jc w:val="both"/>
        <w:rPr>
          <w:sz w:val="21"/>
        </w:rPr>
      </w:pPr>
      <w:r>
        <w:rPr>
          <w:spacing w:val="-1"/>
          <w:w w:val="95"/>
          <w:sz w:val="21"/>
        </w:rPr>
        <w:t>临床出现昏迷，病程至少达到疾病分期第Ⅲ期。</w:t>
      </w:r>
    </w:p>
    <w:p>
      <w:pPr>
        <w:pStyle w:val="4"/>
        <w:spacing w:before="7"/>
        <w:rPr>
          <w:sz w:val="15"/>
        </w:rPr>
      </w:pPr>
    </w:p>
    <w:p>
      <w:pPr>
        <w:pStyle w:val="3"/>
        <w:numPr>
          <w:ilvl w:val="0"/>
          <w:numId w:val="113"/>
        </w:numPr>
        <w:tabs>
          <w:tab w:val="left" w:pos="3120"/>
        </w:tabs>
        <w:spacing w:before="0" w:after="0" w:line="240" w:lineRule="auto"/>
        <w:ind w:left="3119" w:right="0" w:hanging="635"/>
        <w:jc w:val="left"/>
      </w:pPr>
      <w:r>
        <w:rPr>
          <w:spacing w:val="-2"/>
          <w:w w:val="95"/>
        </w:rPr>
        <w:t>严重肌营养不良症：</w:t>
      </w:r>
    </w:p>
    <w:p>
      <w:pPr>
        <w:pStyle w:val="4"/>
        <w:spacing w:before="6"/>
        <w:rPr>
          <w:b/>
          <w:sz w:val="15"/>
        </w:rPr>
      </w:pPr>
    </w:p>
    <w:p>
      <w:pPr>
        <w:pStyle w:val="4"/>
        <w:spacing w:before="1" w:line="278" w:lineRule="auto"/>
        <w:ind w:left="2485" w:right="350"/>
      </w:pPr>
      <w:r>
        <w:rPr>
          <w:spacing w:val="-2"/>
          <w:w w:val="99"/>
        </w:rPr>
        <w:t>指一组遗传性肌肉变性病变，临床特征为与神经系统无关的骨骼肌肉对称地进行性</w:t>
      </w:r>
      <w:r>
        <w:rPr>
          <w:spacing w:val="-1"/>
          <w:w w:val="99"/>
        </w:rPr>
        <w:t>无力和萎缩。其诊断需满足下列全部条件：</w:t>
      </w:r>
    </w:p>
    <w:p>
      <w:pPr>
        <w:pStyle w:val="9"/>
        <w:numPr>
          <w:ilvl w:val="0"/>
          <w:numId w:val="124"/>
        </w:numPr>
        <w:tabs>
          <w:tab w:val="left" w:pos="3205"/>
          <w:tab w:val="left" w:pos="3206"/>
        </w:tabs>
        <w:spacing w:before="155" w:after="0" w:line="240" w:lineRule="auto"/>
        <w:ind w:left="3205" w:right="0" w:hanging="721"/>
        <w:jc w:val="left"/>
        <w:rPr>
          <w:sz w:val="21"/>
        </w:rPr>
      </w:pPr>
      <w:r>
        <w:rPr>
          <w:spacing w:val="-1"/>
          <w:w w:val="95"/>
          <w:sz w:val="21"/>
        </w:rPr>
        <w:t>肌电图显示典型肌营养不良症的阳性改变；</w:t>
      </w:r>
    </w:p>
    <w:p>
      <w:pPr>
        <w:pStyle w:val="4"/>
        <w:spacing w:before="7"/>
        <w:rPr>
          <w:sz w:val="15"/>
        </w:rPr>
      </w:pPr>
    </w:p>
    <w:p>
      <w:pPr>
        <w:pStyle w:val="9"/>
        <w:numPr>
          <w:ilvl w:val="0"/>
          <w:numId w:val="124"/>
        </w:numPr>
        <w:tabs>
          <w:tab w:val="left" w:pos="3205"/>
          <w:tab w:val="left" w:pos="3206"/>
        </w:tabs>
        <w:spacing w:before="0" w:after="0" w:line="278" w:lineRule="auto"/>
        <w:ind w:left="3205" w:right="350" w:hanging="720"/>
        <w:jc w:val="left"/>
        <w:rPr>
          <w:sz w:val="21"/>
        </w:rPr>
      </w:pPr>
      <w:r>
        <w:rPr>
          <w:spacing w:val="2"/>
          <w:w w:val="99"/>
          <w:sz w:val="21"/>
        </w:rPr>
        <w:t>肌肉活检的病理学诊断符合肌营养不良症的肌肉细胞变性、坏死等阳性改</w:t>
      </w:r>
      <w:r>
        <w:rPr>
          <w:spacing w:val="-1"/>
          <w:w w:val="99"/>
          <w:sz w:val="21"/>
        </w:rPr>
        <w:t>变；</w:t>
      </w:r>
    </w:p>
    <w:p>
      <w:pPr>
        <w:pStyle w:val="9"/>
        <w:numPr>
          <w:ilvl w:val="0"/>
          <w:numId w:val="124"/>
        </w:numPr>
        <w:tabs>
          <w:tab w:val="left" w:pos="3205"/>
          <w:tab w:val="left" w:pos="3206"/>
        </w:tabs>
        <w:spacing w:before="156" w:after="0" w:line="278" w:lineRule="auto"/>
        <w:ind w:left="3205" w:right="350" w:hanging="720"/>
        <w:jc w:val="left"/>
        <w:rPr>
          <w:sz w:val="21"/>
        </w:rPr>
      </w:pPr>
      <w:r>
        <w:rPr>
          <w:spacing w:val="2"/>
          <w:w w:val="99"/>
          <w:sz w:val="21"/>
        </w:rPr>
        <w:t>已导致被保险人持续超过三个月无法独立完成六项基本日常生活活动中的</w:t>
      </w:r>
      <w:r>
        <w:rPr>
          <w:spacing w:val="-1"/>
          <w:w w:val="99"/>
          <w:sz w:val="21"/>
        </w:rPr>
        <w:t>三项或三项以上。</w:t>
      </w:r>
    </w:p>
    <w:p>
      <w:pPr>
        <w:pStyle w:val="4"/>
        <w:spacing w:before="156" w:line="278" w:lineRule="auto"/>
        <w:ind w:left="2485" w:right="347"/>
      </w:pPr>
      <w:r>
        <w:rPr>
          <w:color w:val="000000"/>
          <w:spacing w:val="-2"/>
          <w:w w:val="95"/>
          <w:shd w:val="clear" w:color="auto" w:fill="E4E4E4"/>
        </w:rPr>
        <w:t>本公司承担本项疾病责任不受本合同责任免除中“遗传性疾病、先天性畸形、变形</w:t>
      </w:r>
      <w:r>
        <w:rPr>
          <w:color w:val="000000"/>
          <w:spacing w:val="80"/>
          <w:w w:val="150"/>
          <w:shd w:val="clear" w:color="auto" w:fill="E4E4E4"/>
        </w:rPr>
        <w:t xml:space="preserve">                                         </w:t>
      </w:r>
      <w:r>
        <w:rPr>
          <w:color w:val="000000"/>
          <w:spacing w:val="-2"/>
          <w:shd w:val="clear" w:color="auto" w:fill="E4E4E4"/>
        </w:rPr>
        <w:t>或染色体异常”的限制。</w:t>
      </w:r>
    </w:p>
    <w:p>
      <w:pPr>
        <w:pStyle w:val="3"/>
        <w:numPr>
          <w:ilvl w:val="0"/>
          <w:numId w:val="113"/>
        </w:numPr>
        <w:tabs>
          <w:tab w:val="left" w:pos="3120"/>
        </w:tabs>
        <w:spacing w:before="155" w:after="0" w:line="240" w:lineRule="auto"/>
        <w:ind w:left="3119" w:right="0" w:hanging="635"/>
        <w:jc w:val="left"/>
      </w:pPr>
      <w:r>
        <w:rPr>
          <w:spacing w:val="-2"/>
          <w:w w:val="95"/>
        </w:rPr>
        <w:t>Ⅲ型成骨不全症：</w:t>
      </w:r>
    </w:p>
    <w:p>
      <w:pPr>
        <w:pStyle w:val="4"/>
        <w:spacing w:before="7"/>
        <w:rPr>
          <w:b/>
          <w:sz w:val="15"/>
        </w:rPr>
      </w:pPr>
    </w:p>
    <w:p>
      <w:pPr>
        <w:pStyle w:val="4"/>
        <w:spacing w:line="278" w:lineRule="auto"/>
        <w:ind w:left="2485" w:right="244"/>
      </w:pPr>
      <w:r>
        <w:rPr>
          <w:spacing w:val="-9"/>
          <w:w w:val="99"/>
        </w:rPr>
        <w:t>指一种胶原病，特征为骨易碎，骨质疏松和易骨折。主要临床特点包括：发展迟缓、</w:t>
      </w:r>
      <w:r>
        <w:rPr>
          <w:spacing w:val="-3"/>
          <w:w w:val="99"/>
        </w:rPr>
        <w:t>多发性骨折、进行性脊柱后侧凸及听力损害。该病种的检查必须依据身体检查，家</w:t>
      </w:r>
      <w:r>
        <w:rPr>
          <w:spacing w:val="2"/>
          <w:w w:val="99"/>
        </w:rPr>
        <w:t>族史，</w:t>
      </w:r>
      <w:r>
        <w:rPr>
          <w:w w:val="99"/>
        </w:rPr>
        <w:t>X</w:t>
      </w:r>
      <w:r>
        <w:rPr>
          <w:spacing w:val="-52"/>
        </w:rPr>
        <w:t xml:space="preserve"> </w:t>
      </w:r>
      <w:r>
        <w:rPr>
          <w:spacing w:val="1"/>
          <w:w w:val="99"/>
        </w:rPr>
        <w:t>线检查和皮肤活检报告资料确诊。成骨不全症第Ⅲ型须同时符合下列所有</w:t>
      </w:r>
      <w:r>
        <w:rPr>
          <w:w w:val="99"/>
        </w:rPr>
        <w:t>条件：</w:t>
      </w:r>
    </w:p>
    <w:p>
      <w:pPr>
        <w:pStyle w:val="9"/>
        <w:numPr>
          <w:ilvl w:val="0"/>
          <w:numId w:val="125"/>
        </w:numPr>
        <w:tabs>
          <w:tab w:val="left" w:pos="3205"/>
          <w:tab w:val="left" w:pos="3206"/>
        </w:tabs>
        <w:spacing w:before="50" w:after="0" w:line="240" w:lineRule="auto"/>
        <w:ind w:left="3205" w:right="0" w:hanging="721"/>
        <w:jc w:val="left"/>
        <w:rPr>
          <w:sz w:val="21"/>
        </w:rPr>
      </w:pPr>
      <w:r>
        <w:rPr>
          <w:spacing w:val="-1"/>
          <w:w w:val="95"/>
          <w:sz w:val="21"/>
        </w:rPr>
        <w:t>就成骨不全症第Ⅲ型之诊断进行的皮肤切片的病理检查结果为阳性；</w:t>
      </w:r>
    </w:p>
    <w:p>
      <w:pPr>
        <w:pStyle w:val="4"/>
        <w:spacing w:before="7"/>
        <w:rPr>
          <w:sz w:val="15"/>
        </w:rPr>
      </w:pPr>
    </w:p>
    <w:p>
      <w:pPr>
        <w:pStyle w:val="9"/>
        <w:numPr>
          <w:ilvl w:val="0"/>
          <w:numId w:val="125"/>
        </w:numPr>
        <w:tabs>
          <w:tab w:val="left" w:pos="3205"/>
          <w:tab w:val="left" w:pos="3206"/>
        </w:tabs>
        <w:spacing w:before="0" w:after="0" w:line="240" w:lineRule="auto"/>
        <w:ind w:left="3205" w:right="0" w:hanging="721"/>
        <w:jc w:val="left"/>
        <w:rPr>
          <w:sz w:val="21"/>
        </w:rPr>
      </w:pPr>
      <w:r>
        <w:rPr>
          <w:w w:val="95"/>
          <w:sz w:val="21"/>
        </w:rPr>
        <w:t>X</w:t>
      </w:r>
      <w:r>
        <w:rPr>
          <w:spacing w:val="77"/>
          <w:w w:val="150"/>
          <w:sz w:val="21"/>
        </w:rPr>
        <w:t xml:space="preserve"> </w:t>
      </w:r>
      <w:r>
        <w:rPr>
          <w:spacing w:val="-1"/>
          <w:w w:val="95"/>
          <w:sz w:val="21"/>
        </w:rPr>
        <w:t>光片结果显示多处骨折及逐步脊柱后侧凸畸形；</w:t>
      </w:r>
    </w:p>
    <w:p>
      <w:pPr>
        <w:pStyle w:val="4"/>
        <w:spacing w:before="7"/>
        <w:rPr>
          <w:sz w:val="15"/>
        </w:rPr>
      </w:pPr>
    </w:p>
    <w:p>
      <w:pPr>
        <w:pStyle w:val="9"/>
        <w:numPr>
          <w:ilvl w:val="0"/>
          <w:numId w:val="125"/>
        </w:numPr>
        <w:tabs>
          <w:tab w:val="left" w:pos="3205"/>
          <w:tab w:val="left" w:pos="3206"/>
        </w:tabs>
        <w:spacing w:before="0" w:after="0" w:line="240" w:lineRule="auto"/>
        <w:ind w:left="3205" w:right="0" w:hanging="721"/>
        <w:jc w:val="left"/>
        <w:rPr>
          <w:sz w:val="21"/>
        </w:rPr>
      </w:pPr>
      <w:r>
        <w:rPr>
          <w:spacing w:val="-1"/>
          <w:w w:val="95"/>
          <w:sz w:val="21"/>
        </w:rPr>
        <w:t>有证明是因此疾病引致发育迟缓及听力损伤；</w:t>
      </w:r>
    </w:p>
    <w:p>
      <w:pPr>
        <w:pStyle w:val="4"/>
        <w:spacing w:before="6"/>
        <w:rPr>
          <w:sz w:val="15"/>
        </w:rPr>
      </w:pPr>
    </w:p>
    <w:p>
      <w:pPr>
        <w:pStyle w:val="9"/>
        <w:numPr>
          <w:ilvl w:val="0"/>
          <w:numId w:val="125"/>
        </w:numPr>
        <w:tabs>
          <w:tab w:val="left" w:pos="3205"/>
          <w:tab w:val="left" w:pos="3206"/>
        </w:tabs>
        <w:spacing w:before="0" w:after="0" w:line="240" w:lineRule="auto"/>
        <w:ind w:left="3205" w:right="0" w:hanging="721"/>
        <w:jc w:val="left"/>
        <w:rPr>
          <w:sz w:val="21"/>
        </w:rPr>
      </w:pPr>
      <w:r>
        <w:rPr>
          <w:spacing w:val="-1"/>
          <w:w w:val="95"/>
          <w:sz w:val="21"/>
        </w:rPr>
        <w:t>由本公司认可医院的儿科专科医生明确诊断。</w:t>
      </w:r>
    </w:p>
    <w:p>
      <w:pPr>
        <w:pStyle w:val="4"/>
        <w:spacing w:before="1"/>
        <w:rPr>
          <w:sz w:val="10"/>
        </w:rPr>
      </w:pPr>
    </w:p>
    <w:p>
      <w:pPr>
        <w:pStyle w:val="4"/>
        <w:spacing w:before="70"/>
        <w:ind w:left="2485"/>
      </w:pPr>
      <w:r>
        <w:rPr>
          <w:color w:val="000000"/>
          <w:w w:val="95"/>
          <w:shd w:val="clear" w:color="auto" w:fill="E4E4E4"/>
        </w:rPr>
        <w:t>本公司仅对被保险人年满</w:t>
      </w:r>
      <w:r>
        <w:rPr>
          <w:color w:val="000000"/>
          <w:spacing w:val="65"/>
          <w:shd w:val="clear" w:color="auto" w:fill="E4E4E4"/>
        </w:rPr>
        <w:t xml:space="preserve"> </w:t>
      </w:r>
      <w:r>
        <w:rPr>
          <w:color w:val="000000"/>
          <w:w w:val="95"/>
          <w:shd w:val="clear" w:color="auto" w:fill="E4E4E4"/>
        </w:rPr>
        <w:t>18</w:t>
      </w:r>
      <w:r>
        <w:rPr>
          <w:color w:val="000000"/>
          <w:spacing w:val="68"/>
          <w:shd w:val="clear" w:color="auto" w:fill="E4E4E4"/>
        </w:rPr>
        <w:t xml:space="preserve"> </w:t>
      </w:r>
      <w:r>
        <w:rPr>
          <w:color w:val="000000"/>
          <w:spacing w:val="-1"/>
          <w:w w:val="95"/>
          <w:shd w:val="clear" w:color="auto" w:fill="E4E4E4"/>
        </w:rPr>
        <w:t>周岁前确诊本项疾病承担保险责任。</w:t>
      </w:r>
    </w:p>
    <w:p>
      <w:pPr>
        <w:pStyle w:val="4"/>
        <w:spacing w:before="7"/>
        <w:rPr>
          <w:sz w:val="15"/>
        </w:rPr>
      </w:pPr>
    </w:p>
    <w:p>
      <w:pPr>
        <w:pStyle w:val="3"/>
        <w:numPr>
          <w:ilvl w:val="0"/>
          <w:numId w:val="113"/>
        </w:numPr>
        <w:tabs>
          <w:tab w:val="left" w:pos="3120"/>
        </w:tabs>
        <w:spacing w:before="0" w:after="0" w:line="240" w:lineRule="auto"/>
        <w:ind w:left="3119" w:right="0" w:hanging="635"/>
        <w:jc w:val="left"/>
      </w:pPr>
      <w:r>
        <w:rPr>
          <w:spacing w:val="-2"/>
          <w:w w:val="95"/>
        </w:rPr>
        <w:t>严重癫痫：</w:t>
      </w:r>
    </w:p>
    <w:p>
      <w:pPr>
        <w:pStyle w:val="4"/>
        <w:spacing w:before="7"/>
        <w:rPr>
          <w:b/>
          <w:sz w:val="15"/>
        </w:rPr>
      </w:pPr>
    </w:p>
    <w:p>
      <w:pPr>
        <w:pStyle w:val="4"/>
        <w:spacing w:line="278" w:lineRule="auto"/>
        <w:ind w:left="2485" w:right="244"/>
      </w:pPr>
      <w:r>
        <w:rPr>
          <w:spacing w:val="4"/>
          <w:w w:val="99"/>
        </w:rPr>
        <w:t>本病的诊断须由神经科或儿科专科医生根据典型临床症状和脑电图及头颅断层扫</w:t>
      </w:r>
      <w:r>
        <w:rPr>
          <w:spacing w:val="-1"/>
          <w:w w:val="99"/>
        </w:rPr>
        <w:t>描（</w:t>
      </w:r>
      <w:r>
        <w:rPr>
          <w:spacing w:val="1"/>
          <w:w w:val="99"/>
        </w:rPr>
        <w:t>CT</w:t>
      </w:r>
      <w:r>
        <w:rPr>
          <w:spacing w:val="-104"/>
          <w:w w:val="99"/>
        </w:rPr>
        <w:t>）</w:t>
      </w:r>
      <w:r>
        <w:rPr>
          <w:spacing w:val="-1"/>
          <w:w w:val="99"/>
        </w:rPr>
        <w:t>、核磁共振检查（</w:t>
      </w:r>
      <w:r>
        <w:rPr>
          <w:spacing w:val="1"/>
          <w:w w:val="99"/>
        </w:rPr>
        <w:t>MR</w:t>
      </w:r>
      <w:r>
        <w:rPr>
          <w:spacing w:val="-2"/>
          <w:w w:val="99"/>
        </w:rPr>
        <w:t>I</w:t>
      </w:r>
      <w:r>
        <w:rPr>
          <w:spacing w:val="-1"/>
          <w:w w:val="99"/>
        </w:rPr>
        <w:t>）或正电子发射断层扫描（</w:t>
      </w:r>
      <w:r>
        <w:rPr>
          <w:spacing w:val="1"/>
          <w:w w:val="99"/>
        </w:rPr>
        <w:t>PE</w:t>
      </w:r>
      <w:r>
        <w:rPr>
          <w:spacing w:val="-2"/>
          <w:w w:val="99"/>
        </w:rPr>
        <w:t>T</w:t>
      </w:r>
      <w:r>
        <w:rPr>
          <w:spacing w:val="-1"/>
          <w:w w:val="99"/>
        </w:rPr>
        <w:t>）等影相学检查做出。</w:t>
      </w:r>
      <w:r>
        <w:rPr>
          <w:spacing w:val="4"/>
          <w:w w:val="99"/>
        </w:rPr>
        <w:t>理赔时必须提供六个月以上的相关病历记录证明被保险人存在经抗癫痫药物治疗</w:t>
      </w:r>
      <w:r>
        <w:rPr>
          <w:spacing w:val="-2"/>
          <w:w w:val="99"/>
        </w:rPr>
        <w:t>无效而反复发作的强直阵挛性发作或癫痫大发作，且已行神经外科手术以治疗反复</w:t>
      </w:r>
      <w:r>
        <w:rPr>
          <w:spacing w:val="-1"/>
          <w:w w:val="99"/>
        </w:rPr>
        <w:t>发作的癫痫。</w:t>
      </w:r>
    </w:p>
    <w:p>
      <w:pPr>
        <w:pStyle w:val="4"/>
        <w:spacing w:line="268" w:lineRule="exact"/>
        <w:ind w:left="2485"/>
      </w:pPr>
      <w:r>
        <w:rPr>
          <w:color w:val="000000"/>
          <w:w w:val="95"/>
          <w:shd w:val="clear" w:color="auto" w:fill="E4E4E4"/>
        </w:rPr>
        <w:t>发热性惊厥以及没有全身性发作的失神发作（癫痫小发作）</w:t>
      </w:r>
      <w:r>
        <w:rPr>
          <w:color w:val="000000"/>
          <w:spacing w:val="-2"/>
          <w:w w:val="95"/>
          <w:shd w:val="clear" w:color="auto" w:fill="E4E4E4"/>
        </w:rPr>
        <w:t>不在本保障范围内。</w:t>
      </w:r>
    </w:p>
    <w:p>
      <w:pPr>
        <w:pStyle w:val="4"/>
        <w:spacing w:before="6"/>
        <w:rPr>
          <w:sz w:val="15"/>
        </w:rPr>
      </w:pPr>
    </w:p>
    <w:p>
      <w:pPr>
        <w:pStyle w:val="3"/>
        <w:numPr>
          <w:ilvl w:val="0"/>
          <w:numId w:val="113"/>
        </w:numPr>
        <w:tabs>
          <w:tab w:val="left" w:pos="3120"/>
        </w:tabs>
        <w:spacing w:before="1" w:after="0" w:line="240" w:lineRule="auto"/>
        <w:ind w:left="3119" w:right="0" w:hanging="635"/>
        <w:jc w:val="left"/>
      </w:pPr>
      <w:r>
        <w:rPr>
          <w:spacing w:val="-1"/>
          <w:w w:val="95"/>
        </w:rPr>
        <w:t>严重幼年性类风湿性关节炎：</w:t>
      </w:r>
    </w:p>
    <w:p>
      <w:pPr>
        <w:spacing w:after="0" w:line="240" w:lineRule="auto"/>
        <w:jc w:val="left"/>
        <w:sectPr>
          <w:pgSz w:w="11910" w:h="16840"/>
          <w:pgMar w:top="1400" w:right="660" w:bottom="860" w:left="860" w:header="0" w:footer="662" w:gutter="0"/>
          <w:cols w:space="720" w:num="1"/>
        </w:sectPr>
      </w:pPr>
    </w:p>
    <w:p>
      <w:pPr>
        <w:pStyle w:val="4"/>
        <w:spacing w:before="43" w:line="278" w:lineRule="auto"/>
        <w:ind w:left="2485" w:right="347"/>
        <w:jc w:val="both"/>
      </w:pPr>
      <w:r>
        <w:rPr>
          <w:spacing w:val="-3"/>
          <w:w w:val="99"/>
        </w:rPr>
        <w:t>指一种少儿的结缔组织病，以慢性关节炎为其主要特点，并伴有全身多个系统的受</w:t>
      </w:r>
      <w:r>
        <w:rPr>
          <w:spacing w:val="-2"/>
          <w:w w:val="99"/>
        </w:rPr>
        <w:t>累，包括关节、肌肉、肝、脾、淋巴结等。本病须经专科医生明确诊断，同时须已</w:t>
      </w:r>
      <w:r>
        <w:rPr>
          <w:spacing w:val="-1"/>
          <w:w w:val="99"/>
        </w:rPr>
        <w:t>经实施膝关节或髋关节置换手术。</w:t>
      </w:r>
    </w:p>
    <w:p>
      <w:pPr>
        <w:pStyle w:val="3"/>
        <w:numPr>
          <w:ilvl w:val="0"/>
          <w:numId w:val="113"/>
        </w:numPr>
        <w:tabs>
          <w:tab w:val="left" w:pos="3120"/>
        </w:tabs>
        <w:spacing w:before="156" w:after="0" w:line="240" w:lineRule="auto"/>
        <w:ind w:left="3119" w:right="0" w:hanging="635"/>
        <w:jc w:val="left"/>
      </w:pPr>
      <w:r>
        <w:rPr>
          <w:spacing w:val="-1"/>
          <w:w w:val="95"/>
        </w:rPr>
        <w:t>严重甲型及乙型血友病：</w:t>
      </w:r>
    </w:p>
    <w:p>
      <w:pPr>
        <w:pStyle w:val="4"/>
        <w:spacing w:before="6"/>
        <w:rPr>
          <w:b/>
          <w:sz w:val="15"/>
        </w:rPr>
      </w:pPr>
    </w:p>
    <w:p>
      <w:pPr>
        <w:pStyle w:val="4"/>
        <w:spacing w:before="1" w:line="278" w:lineRule="auto"/>
        <w:ind w:left="2485" w:right="347"/>
        <w:jc w:val="both"/>
      </w:pPr>
      <w:r>
        <w:rPr>
          <w:spacing w:val="-2"/>
          <w:w w:val="95"/>
        </w:rPr>
        <w:t>被保险人必须是患上严重甲型血友病（缺乏Ⅷ凝血因子）或严重乙型血友病（缺乏</w:t>
      </w:r>
      <w:r>
        <w:rPr>
          <w:spacing w:val="40"/>
        </w:rPr>
        <w:t xml:space="preserve">  </w:t>
      </w:r>
      <w:r>
        <w:t>IX</w:t>
      </w:r>
      <w:r>
        <w:rPr>
          <w:spacing w:val="-4"/>
        </w:rPr>
        <w:t xml:space="preserve"> 凝血因子</w:t>
      </w:r>
      <w:r>
        <w:rPr>
          <w:spacing w:val="-55"/>
        </w:rPr>
        <w:t>）</w:t>
      </w:r>
      <w:r>
        <w:rPr>
          <w:spacing w:val="-9"/>
        </w:rPr>
        <w:t xml:space="preserve">，而凝血因子Ⅷ或凝血因子 </w:t>
      </w:r>
      <w:r>
        <w:t>IX</w:t>
      </w:r>
      <w:r>
        <w:rPr>
          <w:spacing w:val="-4"/>
        </w:rPr>
        <w:t xml:space="preserve"> 的活性水平少于百分之一。诊断必须</w:t>
      </w:r>
      <w:r>
        <w:rPr>
          <w:spacing w:val="-2"/>
        </w:rPr>
        <w:t>由本公司指定或认可的医疗机构的血液病专科医生确认。</w:t>
      </w:r>
    </w:p>
    <w:p>
      <w:pPr>
        <w:pStyle w:val="4"/>
        <w:spacing w:line="278" w:lineRule="auto"/>
        <w:ind w:left="2485" w:right="347"/>
      </w:pPr>
      <w:r>
        <w:rPr>
          <w:color w:val="000000"/>
          <w:spacing w:val="-2"/>
          <w:w w:val="95"/>
          <w:shd w:val="clear" w:color="auto" w:fill="E4E4E4"/>
        </w:rPr>
        <w:t>本公司承担本项疾病责任不受本合同责任免除中“遗传性疾病、先天性畸形、变形</w:t>
      </w:r>
      <w:r>
        <w:rPr>
          <w:color w:val="000000"/>
          <w:spacing w:val="80"/>
          <w:w w:val="150"/>
          <w:shd w:val="clear" w:color="auto" w:fill="E4E4E4"/>
        </w:rPr>
        <w:t xml:space="preserve">                                         </w:t>
      </w:r>
      <w:r>
        <w:rPr>
          <w:color w:val="000000"/>
          <w:spacing w:val="-2"/>
          <w:shd w:val="clear" w:color="auto" w:fill="E4E4E4"/>
        </w:rPr>
        <w:t>或染色体异常”的限制。</w:t>
      </w:r>
    </w:p>
    <w:p>
      <w:pPr>
        <w:pStyle w:val="3"/>
        <w:numPr>
          <w:ilvl w:val="0"/>
          <w:numId w:val="113"/>
        </w:numPr>
        <w:tabs>
          <w:tab w:val="left" w:pos="3120"/>
        </w:tabs>
        <w:spacing w:before="155" w:after="0" w:line="240" w:lineRule="auto"/>
        <w:ind w:left="3119" w:right="0" w:hanging="635"/>
        <w:jc w:val="left"/>
      </w:pPr>
      <w:r>
        <w:rPr>
          <w:spacing w:val="-2"/>
          <w:w w:val="95"/>
        </w:rPr>
        <w:t>脑恶性肿瘤：</w:t>
      </w:r>
    </w:p>
    <w:p>
      <w:pPr>
        <w:pStyle w:val="4"/>
        <w:spacing w:before="7"/>
        <w:rPr>
          <w:b/>
          <w:sz w:val="15"/>
        </w:rPr>
      </w:pPr>
    </w:p>
    <w:p>
      <w:pPr>
        <w:pStyle w:val="4"/>
        <w:spacing w:line="278" w:lineRule="auto"/>
        <w:ind w:left="2485" w:right="350"/>
        <w:jc w:val="both"/>
      </w:pPr>
      <w:r>
        <w:rPr>
          <w:spacing w:val="-3"/>
          <w:w w:val="99"/>
        </w:rPr>
        <w:t>指符合行业恶性肿瘤定义标准，经病理学检查结果明确诊断，临床诊断属于世界卫生组织《疾病和有关健康问题的国际统计分类》</w:t>
      </w:r>
      <w:r>
        <w:rPr>
          <w:spacing w:val="2"/>
          <w:w w:val="99"/>
        </w:rPr>
        <w:t>（</w:t>
      </w:r>
      <w:r>
        <w:rPr>
          <w:spacing w:val="1"/>
          <w:w w:val="99"/>
        </w:rPr>
        <w:t>ICD</w:t>
      </w:r>
      <w:r>
        <w:rPr>
          <w:spacing w:val="-2"/>
          <w:w w:val="99"/>
        </w:rPr>
        <w:t>-</w:t>
      </w:r>
      <w:r>
        <w:rPr>
          <w:spacing w:val="1"/>
          <w:w w:val="99"/>
        </w:rPr>
        <w:t>1</w:t>
      </w:r>
      <w:r>
        <w:rPr>
          <w:spacing w:val="3"/>
          <w:w w:val="99"/>
        </w:rPr>
        <w:t>0</w:t>
      </w:r>
      <w:r>
        <w:rPr>
          <w:spacing w:val="4"/>
          <w:w w:val="99"/>
        </w:rPr>
        <w:t>）</w:t>
      </w:r>
      <w:r>
        <w:rPr>
          <w:spacing w:val="2"/>
          <w:w w:val="99"/>
        </w:rPr>
        <w:t>的恶性肿瘤</w:t>
      </w:r>
      <w:r>
        <w:rPr>
          <w:spacing w:val="-50"/>
        </w:rPr>
        <w:t xml:space="preserve"> </w:t>
      </w:r>
      <w:r>
        <w:rPr>
          <w:spacing w:val="1"/>
          <w:w w:val="99"/>
        </w:rPr>
        <w:t>C7</w:t>
      </w:r>
      <w:r>
        <w:rPr>
          <w:w w:val="99"/>
        </w:rPr>
        <w:t>1</w:t>
      </w:r>
      <w:r>
        <w:rPr>
          <w:spacing w:val="-49"/>
        </w:rPr>
        <w:t xml:space="preserve"> </w:t>
      </w:r>
      <w:r>
        <w:rPr>
          <w:spacing w:val="2"/>
          <w:w w:val="99"/>
        </w:rPr>
        <w:t>范畴。</w:t>
      </w:r>
      <w:r>
        <w:rPr>
          <w:spacing w:val="-1"/>
          <w:w w:val="99"/>
        </w:rPr>
        <w:t>恶性肿瘤释义参考</w:t>
      </w:r>
      <w:r>
        <w:rPr>
          <w:b/>
          <w:spacing w:val="1"/>
          <w:w w:val="99"/>
        </w:rPr>
        <w:t>附表一重大疾病</w:t>
      </w:r>
      <w:r>
        <w:rPr>
          <w:spacing w:val="-2"/>
          <w:w w:val="99"/>
        </w:rPr>
        <w:t>中的恶性肿瘤-重度释义。</w:t>
      </w:r>
    </w:p>
    <w:p>
      <w:pPr>
        <w:pStyle w:val="4"/>
        <w:spacing w:line="269" w:lineRule="exact"/>
        <w:ind w:left="2485"/>
      </w:pPr>
      <w:r>
        <w:rPr>
          <w:color w:val="000000"/>
          <w:spacing w:val="-1"/>
          <w:w w:val="95"/>
          <w:shd w:val="clear" w:color="auto" w:fill="E4E4E4"/>
        </w:rPr>
        <w:t>下列疾病不在保障范围内：</w:t>
      </w:r>
    </w:p>
    <w:p>
      <w:pPr>
        <w:pStyle w:val="4"/>
        <w:spacing w:before="6"/>
        <w:rPr>
          <w:sz w:val="15"/>
        </w:rPr>
      </w:pPr>
    </w:p>
    <w:p>
      <w:pPr>
        <w:pStyle w:val="9"/>
        <w:numPr>
          <w:ilvl w:val="0"/>
          <w:numId w:val="126"/>
        </w:numPr>
        <w:tabs>
          <w:tab w:val="left" w:pos="3205"/>
          <w:tab w:val="left" w:pos="3206"/>
        </w:tabs>
        <w:spacing w:before="0" w:after="0" w:line="240" w:lineRule="auto"/>
        <w:ind w:left="3205" w:right="0" w:hanging="721"/>
        <w:jc w:val="left"/>
        <w:rPr>
          <w:sz w:val="21"/>
        </w:rPr>
      </w:pPr>
      <w:r>
        <w:rPr>
          <w:color w:val="000000"/>
          <w:spacing w:val="-3"/>
          <w:w w:val="95"/>
          <w:sz w:val="21"/>
          <w:shd w:val="clear" w:color="auto" w:fill="E4E4E4"/>
        </w:rPr>
        <w:t>原位癌；</w:t>
      </w:r>
    </w:p>
    <w:p>
      <w:pPr>
        <w:pStyle w:val="4"/>
        <w:spacing w:before="7"/>
        <w:rPr>
          <w:sz w:val="15"/>
        </w:rPr>
      </w:pPr>
    </w:p>
    <w:p>
      <w:pPr>
        <w:pStyle w:val="9"/>
        <w:numPr>
          <w:ilvl w:val="0"/>
          <w:numId w:val="126"/>
        </w:numPr>
        <w:tabs>
          <w:tab w:val="left" w:pos="3205"/>
          <w:tab w:val="left" w:pos="3206"/>
        </w:tabs>
        <w:spacing w:before="0" w:after="0" w:line="240" w:lineRule="auto"/>
        <w:ind w:left="3205" w:right="0" w:hanging="721"/>
        <w:jc w:val="left"/>
        <w:rPr>
          <w:sz w:val="21"/>
        </w:rPr>
      </w:pPr>
      <w:r>
        <w:rPr>
          <w:color w:val="000000"/>
          <w:w w:val="95"/>
          <w:sz w:val="21"/>
          <w:shd w:val="clear" w:color="auto" w:fill="E4E4E4"/>
        </w:rPr>
        <w:t>继发性（转移性）</w:t>
      </w:r>
      <w:r>
        <w:rPr>
          <w:color w:val="000000"/>
          <w:spacing w:val="-2"/>
          <w:w w:val="95"/>
          <w:sz w:val="21"/>
          <w:shd w:val="clear" w:color="auto" w:fill="E4E4E4"/>
        </w:rPr>
        <w:t>恶性肿瘤；</w:t>
      </w:r>
    </w:p>
    <w:p>
      <w:pPr>
        <w:pStyle w:val="4"/>
        <w:spacing w:before="7"/>
        <w:rPr>
          <w:sz w:val="15"/>
        </w:rPr>
      </w:pPr>
    </w:p>
    <w:p>
      <w:pPr>
        <w:pStyle w:val="9"/>
        <w:numPr>
          <w:ilvl w:val="0"/>
          <w:numId w:val="126"/>
        </w:numPr>
        <w:tabs>
          <w:tab w:val="left" w:pos="3205"/>
          <w:tab w:val="left" w:pos="3206"/>
        </w:tabs>
        <w:spacing w:before="0" w:after="0" w:line="240" w:lineRule="auto"/>
        <w:ind w:left="3205" w:right="0" w:hanging="721"/>
        <w:jc w:val="left"/>
        <w:rPr>
          <w:sz w:val="21"/>
        </w:rPr>
      </w:pPr>
      <w:r>
        <w:rPr>
          <w:color w:val="000000"/>
          <w:w w:val="95"/>
          <w:sz w:val="21"/>
          <w:shd w:val="clear" w:color="auto" w:fill="E4E4E4"/>
        </w:rPr>
        <w:t>颅神经恶性肿瘤（ICD-10</w:t>
      </w:r>
      <w:r>
        <w:rPr>
          <w:color w:val="000000"/>
          <w:spacing w:val="19"/>
          <w:sz w:val="21"/>
          <w:shd w:val="clear" w:color="auto" w:fill="E4E4E4"/>
        </w:rPr>
        <w:t xml:space="preserve"> </w:t>
      </w:r>
      <w:r>
        <w:rPr>
          <w:color w:val="000000"/>
          <w:w w:val="95"/>
          <w:sz w:val="21"/>
          <w:shd w:val="clear" w:color="auto" w:fill="E4E4E4"/>
        </w:rPr>
        <w:t>编码为</w:t>
      </w:r>
      <w:r>
        <w:rPr>
          <w:color w:val="000000"/>
          <w:spacing w:val="29"/>
          <w:sz w:val="21"/>
          <w:shd w:val="clear" w:color="auto" w:fill="E4E4E4"/>
        </w:rPr>
        <w:t xml:space="preserve"> </w:t>
      </w:r>
      <w:r>
        <w:rPr>
          <w:color w:val="000000"/>
          <w:w w:val="95"/>
          <w:sz w:val="21"/>
          <w:shd w:val="clear" w:color="auto" w:fill="E4E4E4"/>
        </w:rPr>
        <w:t>C72.2-</w:t>
      </w:r>
      <w:r>
        <w:rPr>
          <w:color w:val="000000"/>
          <w:spacing w:val="14"/>
          <w:w w:val="95"/>
          <w:sz w:val="21"/>
          <w:shd w:val="clear" w:color="auto" w:fill="E4E4E4"/>
        </w:rPr>
        <w:t>C</w:t>
      </w:r>
      <w:r>
        <w:rPr>
          <w:color w:val="000000"/>
          <w:spacing w:val="11"/>
          <w:w w:val="95"/>
          <w:sz w:val="21"/>
          <w:shd w:val="clear" w:color="auto" w:fill="E4E4E4"/>
        </w:rPr>
        <w:t>7</w:t>
      </w:r>
      <w:r>
        <w:rPr>
          <w:color w:val="000000"/>
          <w:spacing w:val="14"/>
          <w:w w:val="95"/>
          <w:sz w:val="21"/>
          <w:shd w:val="clear" w:color="auto" w:fill="E4E4E4"/>
        </w:rPr>
        <w:t>2.</w:t>
      </w:r>
      <w:r>
        <w:rPr>
          <w:color w:val="000000"/>
          <w:spacing w:val="11"/>
          <w:w w:val="95"/>
          <w:sz w:val="21"/>
          <w:shd w:val="clear" w:color="auto" w:fill="E4E4E4"/>
        </w:rPr>
        <w:t>5</w:t>
      </w:r>
      <w:r>
        <w:rPr>
          <w:color w:val="000000"/>
          <w:spacing w:val="-91"/>
          <w:w w:val="95"/>
          <w:sz w:val="21"/>
          <w:shd w:val="clear" w:color="auto" w:fill="E4E4E4"/>
        </w:rPr>
        <w:t>）</w:t>
      </w:r>
      <w:r>
        <w:rPr>
          <w:color w:val="000000"/>
          <w:spacing w:val="13"/>
          <w:w w:val="95"/>
          <w:sz w:val="21"/>
          <w:shd w:val="clear" w:color="auto" w:fill="E4E4E4"/>
        </w:rPr>
        <w:t>；</w:t>
      </w:r>
    </w:p>
    <w:p>
      <w:pPr>
        <w:pStyle w:val="4"/>
        <w:spacing w:before="7"/>
        <w:rPr>
          <w:sz w:val="15"/>
        </w:rPr>
      </w:pPr>
    </w:p>
    <w:p>
      <w:pPr>
        <w:pStyle w:val="9"/>
        <w:numPr>
          <w:ilvl w:val="0"/>
          <w:numId w:val="126"/>
        </w:numPr>
        <w:tabs>
          <w:tab w:val="left" w:pos="3205"/>
          <w:tab w:val="left" w:pos="3206"/>
        </w:tabs>
        <w:spacing w:before="0" w:after="0" w:line="240" w:lineRule="auto"/>
        <w:ind w:left="3205" w:right="0" w:hanging="721"/>
        <w:jc w:val="left"/>
        <w:rPr>
          <w:sz w:val="21"/>
        </w:rPr>
      </w:pPr>
      <w:r>
        <w:rPr>
          <w:color w:val="000000"/>
          <w:w w:val="95"/>
          <w:sz w:val="21"/>
          <w:shd w:val="clear" w:color="auto" w:fill="E4E4E4"/>
        </w:rPr>
        <w:t>球后组织恶性肿瘤（ICD-10</w:t>
      </w:r>
      <w:r>
        <w:rPr>
          <w:color w:val="000000"/>
          <w:spacing w:val="10"/>
          <w:sz w:val="21"/>
          <w:shd w:val="clear" w:color="auto" w:fill="E4E4E4"/>
        </w:rPr>
        <w:t xml:space="preserve"> </w:t>
      </w:r>
      <w:r>
        <w:rPr>
          <w:color w:val="000000"/>
          <w:w w:val="95"/>
          <w:sz w:val="21"/>
          <w:shd w:val="clear" w:color="auto" w:fill="E4E4E4"/>
        </w:rPr>
        <w:t>编码为</w:t>
      </w:r>
      <w:r>
        <w:rPr>
          <w:color w:val="000000"/>
          <w:spacing w:val="16"/>
          <w:sz w:val="21"/>
          <w:shd w:val="clear" w:color="auto" w:fill="E4E4E4"/>
        </w:rPr>
        <w:t xml:space="preserve"> </w:t>
      </w:r>
      <w:r>
        <w:rPr>
          <w:color w:val="000000"/>
          <w:spacing w:val="13"/>
          <w:w w:val="95"/>
          <w:sz w:val="21"/>
          <w:shd w:val="clear" w:color="auto" w:fill="E4E4E4"/>
        </w:rPr>
        <w:t>C69</w:t>
      </w:r>
      <w:r>
        <w:rPr>
          <w:color w:val="000000"/>
          <w:spacing w:val="10"/>
          <w:w w:val="95"/>
          <w:sz w:val="21"/>
          <w:shd w:val="clear" w:color="auto" w:fill="E4E4E4"/>
        </w:rPr>
        <w:t>.</w:t>
      </w:r>
      <w:r>
        <w:rPr>
          <w:color w:val="000000"/>
          <w:spacing w:val="13"/>
          <w:w w:val="95"/>
          <w:sz w:val="21"/>
          <w:shd w:val="clear" w:color="auto" w:fill="E4E4E4"/>
        </w:rPr>
        <w:t>6</w:t>
      </w:r>
      <w:r>
        <w:rPr>
          <w:color w:val="000000"/>
          <w:spacing w:val="-92"/>
          <w:w w:val="95"/>
          <w:sz w:val="21"/>
          <w:shd w:val="clear" w:color="auto" w:fill="E4E4E4"/>
        </w:rPr>
        <w:t>）</w:t>
      </w:r>
      <w:r>
        <w:rPr>
          <w:color w:val="000000"/>
          <w:spacing w:val="12"/>
          <w:w w:val="95"/>
          <w:sz w:val="21"/>
          <w:shd w:val="clear" w:color="auto" w:fill="E4E4E4"/>
        </w:rPr>
        <w:t>；</w:t>
      </w:r>
    </w:p>
    <w:p>
      <w:pPr>
        <w:pStyle w:val="4"/>
        <w:spacing w:before="6"/>
        <w:rPr>
          <w:sz w:val="15"/>
        </w:rPr>
      </w:pPr>
    </w:p>
    <w:p>
      <w:pPr>
        <w:pStyle w:val="9"/>
        <w:numPr>
          <w:ilvl w:val="0"/>
          <w:numId w:val="126"/>
        </w:numPr>
        <w:tabs>
          <w:tab w:val="left" w:pos="3205"/>
          <w:tab w:val="left" w:pos="3206"/>
        </w:tabs>
        <w:spacing w:before="0" w:after="0" w:line="240" w:lineRule="auto"/>
        <w:ind w:left="3205" w:right="0" w:hanging="721"/>
        <w:jc w:val="left"/>
        <w:rPr>
          <w:sz w:val="21"/>
        </w:rPr>
      </w:pPr>
      <w:r>
        <w:rPr>
          <w:color w:val="000000"/>
          <w:spacing w:val="-1"/>
          <w:w w:val="95"/>
          <w:sz w:val="21"/>
          <w:shd w:val="clear" w:color="auto" w:fill="E4E4E4"/>
        </w:rPr>
        <w:t>感染艾滋病病毒或患艾滋病期间所患恶性肿瘤。</w:t>
      </w:r>
    </w:p>
    <w:p>
      <w:pPr>
        <w:pStyle w:val="4"/>
        <w:spacing w:before="7"/>
        <w:rPr>
          <w:sz w:val="15"/>
        </w:rPr>
      </w:pPr>
    </w:p>
    <w:p>
      <w:pPr>
        <w:pStyle w:val="3"/>
        <w:numPr>
          <w:ilvl w:val="0"/>
          <w:numId w:val="110"/>
        </w:numPr>
        <w:tabs>
          <w:tab w:val="left" w:pos="2803"/>
        </w:tabs>
        <w:spacing w:before="0" w:after="0" w:line="240" w:lineRule="auto"/>
        <w:ind w:left="2802" w:right="0" w:hanging="318"/>
        <w:jc w:val="left"/>
      </w:pPr>
      <w:r>
        <w:rPr>
          <w:spacing w:val="-2"/>
          <w:w w:val="95"/>
        </w:rPr>
        <w:t>少儿罕见疾病</w:t>
      </w:r>
    </w:p>
    <w:p>
      <w:pPr>
        <w:pStyle w:val="4"/>
        <w:spacing w:before="7"/>
        <w:rPr>
          <w:b/>
          <w:sz w:val="15"/>
        </w:rPr>
      </w:pPr>
    </w:p>
    <w:p>
      <w:pPr>
        <w:pStyle w:val="9"/>
        <w:numPr>
          <w:ilvl w:val="0"/>
          <w:numId w:val="127"/>
        </w:numPr>
        <w:tabs>
          <w:tab w:val="left" w:pos="3014"/>
        </w:tabs>
        <w:spacing w:before="0" w:after="0" w:line="240" w:lineRule="auto"/>
        <w:ind w:left="3013" w:right="0" w:hanging="529"/>
        <w:jc w:val="left"/>
        <w:rPr>
          <w:b/>
          <w:sz w:val="21"/>
        </w:rPr>
      </w:pPr>
      <w:r>
        <w:rPr>
          <w:b/>
          <w:spacing w:val="-2"/>
          <w:w w:val="95"/>
          <w:sz w:val="21"/>
        </w:rPr>
        <w:t>肺淋巴管肌瘤病：</w:t>
      </w:r>
    </w:p>
    <w:p>
      <w:pPr>
        <w:pStyle w:val="4"/>
        <w:spacing w:before="7"/>
        <w:rPr>
          <w:b/>
          <w:sz w:val="15"/>
        </w:rPr>
      </w:pPr>
    </w:p>
    <w:p>
      <w:pPr>
        <w:pStyle w:val="4"/>
        <w:spacing w:line="278" w:lineRule="auto"/>
        <w:ind w:left="2485" w:right="350"/>
      </w:pPr>
      <w:r>
        <w:rPr>
          <w:spacing w:val="-3"/>
          <w:w w:val="99"/>
        </w:rPr>
        <w:t>肺淋巴管肌瘤病是一种弥漫性肺部疾病，主要病理改变为肺间质、支气管、血管和</w:t>
      </w:r>
      <w:r>
        <w:rPr>
          <w:spacing w:val="-1"/>
          <w:w w:val="99"/>
        </w:rPr>
        <w:t>淋巴管内出现未成熟的平滑肌异常增生，同时须满足下列全部条件：</w:t>
      </w:r>
    </w:p>
    <w:p>
      <w:pPr>
        <w:pStyle w:val="9"/>
        <w:numPr>
          <w:ilvl w:val="0"/>
          <w:numId w:val="128"/>
        </w:numPr>
        <w:tabs>
          <w:tab w:val="left" w:pos="3205"/>
          <w:tab w:val="left" w:pos="3206"/>
        </w:tabs>
        <w:spacing w:before="155" w:after="0" w:line="240" w:lineRule="auto"/>
        <w:ind w:left="3205" w:right="0" w:hanging="721"/>
        <w:jc w:val="left"/>
        <w:rPr>
          <w:sz w:val="21"/>
        </w:rPr>
      </w:pPr>
      <w:r>
        <w:rPr>
          <w:spacing w:val="-2"/>
          <w:w w:val="95"/>
          <w:sz w:val="21"/>
        </w:rPr>
        <w:t>经组织病理学诊断；</w:t>
      </w:r>
    </w:p>
    <w:p>
      <w:pPr>
        <w:pStyle w:val="4"/>
        <w:spacing w:before="7"/>
        <w:rPr>
          <w:sz w:val="15"/>
        </w:rPr>
      </w:pPr>
    </w:p>
    <w:p>
      <w:pPr>
        <w:pStyle w:val="9"/>
        <w:numPr>
          <w:ilvl w:val="0"/>
          <w:numId w:val="128"/>
        </w:numPr>
        <w:tabs>
          <w:tab w:val="left" w:pos="3205"/>
          <w:tab w:val="left" w:pos="3206"/>
        </w:tabs>
        <w:spacing w:before="0" w:after="0" w:line="240" w:lineRule="auto"/>
        <w:ind w:left="3205" w:right="0" w:hanging="721"/>
        <w:jc w:val="left"/>
        <w:rPr>
          <w:sz w:val="21"/>
        </w:rPr>
      </w:pPr>
      <w:r>
        <w:rPr>
          <w:sz w:val="21"/>
        </w:rPr>
        <w:t>CT</w:t>
      </w:r>
      <w:r>
        <w:rPr>
          <w:spacing w:val="-6"/>
          <w:sz w:val="21"/>
        </w:rPr>
        <w:t xml:space="preserve"> 显示双肺弥漫性囊性改变；</w:t>
      </w:r>
    </w:p>
    <w:p>
      <w:pPr>
        <w:pStyle w:val="4"/>
        <w:spacing w:before="7"/>
        <w:rPr>
          <w:sz w:val="15"/>
        </w:rPr>
      </w:pPr>
    </w:p>
    <w:p>
      <w:pPr>
        <w:pStyle w:val="9"/>
        <w:numPr>
          <w:ilvl w:val="0"/>
          <w:numId w:val="128"/>
        </w:numPr>
        <w:tabs>
          <w:tab w:val="left" w:pos="3205"/>
          <w:tab w:val="left" w:pos="3206"/>
        </w:tabs>
        <w:spacing w:before="0" w:after="0" w:line="240" w:lineRule="auto"/>
        <w:ind w:left="3205" w:right="0" w:hanging="721"/>
        <w:jc w:val="left"/>
        <w:rPr>
          <w:sz w:val="21"/>
        </w:rPr>
      </w:pPr>
      <w:r>
        <w:rPr>
          <w:spacing w:val="-2"/>
          <w:w w:val="95"/>
          <w:sz w:val="21"/>
        </w:rPr>
        <w:t>血气提示低氧血症。</w:t>
      </w:r>
    </w:p>
    <w:p>
      <w:pPr>
        <w:pStyle w:val="4"/>
        <w:spacing w:before="7"/>
        <w:rPr>
          <w:sz w:val="15"/>
        </w:rPr>
      </w:pPr>
    </w:p>
    <w:p>
      <w:pPr>
        <w:pStyle w:val="3"/>
        <w:numPr>
          <w:ilvl w:val="0"/>
          <w:numId w:val="127"/>
        </w:numPr>
        <w:tabs>
          <w:tab w:val="left" w:pos="3014"/>
        </w:tabs>
        <w:spacing w:before="0" w:after="0" w:line="240" w:lineRule="auto"/>
        <w:ind w:left="3013" w:right="0" w:hanging="529"/>
        <w:jc w:val="left"/>
      </w:pPr>
      <w:r>
        <w:rPr>
          <w:w w:val="95"/>
        </w:rPr>
        <w:t>肝豆状核变性（Wilson</w:t>
      </w:r>
      <w:r>
        <w:rPr>
          <w:spacing w:val="51"/>
        </w:rPr>
        <w:t xml:space="preserve"> </w:t>
      </w:r>
      <w:r>
        <w:rPr>
          <w:w w:val="95"/>
        </w:rPr>
        <w:t>病</w:t>
      </w:r>
      <w:r>
        <w:rPr>
          <w:spacing w:val="-109"/>
          <w:w w:val="95"/>
        </w:rPr>
        <w:t>）</w:t>
      </w:r>
      <w:r>
        <w:rPr>
          <w:spacing w:val="-5"/>
          <w:w w:val="95"/>
        </w:rPr>
        <w:t>：</w:t>
      </w:r>
    </w:p>
    <w:p>
      <w:pPr>
        <w:pStyle w:val="4"/>
        <w:spacing w:before="6"/>
        <w:rPr>
          <w:b/>
          <w:sz w:val="15"/>
        </w:rPr>
      </w:pPr>
    </w:p>
    <w:p>
      <w:pPr>
        <w:pStyle w:val="4"/>
        <w:spacing w:line="278" w:lineRule="auto"/>
        <w:ind w:left="2485" w:right="350"/>
      </w:pPr>
      <w:r>
        <w:rPr>
          <w:spacing w:val="-3"/>
          <w:w w:val="99"/>
        </w:rPr>
        <w:t>指一种常染色体隐性遗传的铜代谢缺陷病，以不同程度的肝细胞损害、脑退行性病</w:t>
      </w:r>
      <w:r>
        <w:rPr>
          <w:spacing w:val="-1"/>
          <w:w w:val="99"/>
        </w:rPr>
        <w:t>变和角膜边缘有铜盐沉着环为其临床特征，并须满足下列全部条件：</w:t>
      </w:r>
    </w:p>
    <w:p>
      <w:pPr>
        <w:pStyle w:val="9"/>
        <w:numPr>
          <w:ilvl w:val="0"/>
          <w:numId w:val="129"/>
        </w:numPr>
        <w:tabs>
          <w:tab w:val="left" w:pos="3205"/>
          <w:tab w:val="left" w:pos="3206"/>
        </w:tabs>
        <w:spacing w:before="156" w:after="0" w:line="240" w:lineRule="auto"/>
        <w:ind w:left="3205" w:right="0" w:hanging="721"/>
        <w:jc w:val="left"/>
        <w:rPr>
          <w:sz w:val="21"/>
        </w:rPr>
      </w:pPr>
      <w:r>
        <w:rPr>
          <w:spacing w:val="-2"/>
          <w:w w:val="95"/>
          <w:sz w:val="21"/>
        </w:rPr>
        <w:t>典型症状；</w:t>
      </w:r>
    </w:p>
    <w:p>
      <w:pPr>
        <w:pStyle w:val="4"/>
        <w:spacing w:before="7"/>
        <w:rPr>
          <w:sz w:val="15"/>
        </w:rPr>
      </w:pPr>
    </w:p>
    <w:p>
      <w:pPr>
        <w:pStyle w:val="9"/>
        <w:numPr>
          <w:ilvl w:val="0"/>
          <w:numId w:val="129"/>
        </w:numPr>
        <w:tabs>
          <w:tab w:val="left" w:pos="3205"/>
          <w:tab w:val="left" w:pos="3206"/>
        </w:tabs>
        <w:spacing w:before="0" w:after="0" w:line="240" w:lineRule="auto"/>
        <w:ind w:left="3205" w:right="0" w:hanging="721"/>
        <w:jc w:val="left"/>
        <w:rPr>
          <w:sz w:val="21"/>
        </w:rPr>
      </w:pPr>
      <w:r>
        <w:rPr>
          <w:w w:val="95"/>
          <w:sz w:val="21"/>
        </w:rPr>
        <w:t>角膜色素环（K-F</w:t>
      </w:r>
      <w:r>
        <w:rPr>
          <w:spacing w:val="24"/>
          <w:sz w:val="21"/>
        </w:rPr>
        <w:t xml:space="preserve"> </w:t>
      </w:r>
      <w:r>
        <w:rPr>
          <w:w w:val="95"/>
          <w:sz w:val="21"/>
        </w:rPr>
        <w:t>环</w:t>
      </w:r>
      <w:r>
        <w:rPr>
          <w:spacing w:val="-111"/>
          <w:w w:val="95"/>
          <w:sz w:val="21"/>
        </w:rPr>
        <w:t>）</w:t>
      </w:r>
      <w:r>
        <w:rPr>
          <w:spacing w:val="-5"/>
          <w:w w:val="95"/>
          <w:sz w:val="21"/>
        </w:rPr>
        <w:t>；</w:t>
      </w:r>
    </w:p>
    <w:p>
      <w:pPr>
        <w:pStyle w:val="4"/>
        <w:spacing w:before="7"/>
        <w:rPr>
          <w:sz w:val="15"/>
        </w:rPr>
      </w:pPr>
    </w:p>
    <w:p>
      <w:pPr>
        <w:pStyle w:val="9"/>
        <w:numPr>
          <w:ilvl w:val="0"/>
          <w:numId w:val="129"/>
        </w:numPr>
        <w:tabs>
          <w:tab w:val="left" w:pos="3205"/>
          <w:tab w:val="left" w:pos="3206"/>
        </w:tabs>
        <w:spacing w:before="0" w:after="0" w:line="240" w:lineRule="auto"/>
        <w:ind w:left="3205" w:right="0" w:hanging="721"/>
        <w:jc w:val="left"/>
        <w:rPr>
          <w:sz w:val="21"/>
        </w:rPr>
      </w:pPr>
      <w:r>
        <w:rPr>
          <w:spacing w:val="-1"/>
          <w:w w:val="95"/>
          <w:sz w:val="21"/>
        </w:rPr>
        <w:t>血清铜和血清铜蛋白降低，尿铜增加；</w:t>
      </w:r>
    </w:p>
    <w:p>
      <w:pPr>
        <w:pStyle w:val="4"/>
        <w:spacing w:before="6"/>
        <w:rPr>
          <w:sz w:val="15"/>
        </w:rPr>
      </w:pPr>
    </w:p>
    <w:p>
      <w:pPr>
        <w:pStyle w:val="9"/>
        <w:numPr>
          <w:ilvl w:val="0"/>
          <w:numId w:val="129"/>
        </w:numPr>
        <w:tabs>
          <w:tab w:val="left" w:pos="3205"/>
          <w:tab w:val="left" w:pos="3206"/>
        </w:tabs>
        <w:spacing w:before="0" w:after="0" w:line="240" w:lineRule="auto"/>
        <w:ind w:left="3205" w:right="0" w:hanging="721"/>
        <w:jc w:val="left"/>
        <w:rPr>
          <w:sz w:val="21"/>
        </w:rPr>
      </w:pPr>
      <w:r>
        <w:rPr>
          <w:spacing w:val="-1"/>
          <w:w w:val="95"/>
          <w:sz w:val="21"/>
        </w:rPr>
        <w:t>经皮做肝脏活检来定量分析肝脏铜的含量。</w:t>
      </w:r>
    </w:p>
    <w:p>
      <w:pPr>
        <w:spacing w:after="0" w:line="240" w:lineRule="auto"/>
        <w:jc w:val="left"/>
        <w:rPr>
          <w:sz w:val="21"/>
        </w:rPr>
        <w:sectPr>
          <w:pgSz w:w="11910" w:h="16840"/>
          <w:pgMar w:top="1400" w:right="660" w:bottom="860" w:left="860" w:header="0" w:footer="662" w:gutter="0"/>
          <w:cols w:space="720" w:num="1"/>
        </w:sectPr>
      </w:pPr>
    </w:p>
    <w:p>
      <w:pPr>
        <w:pStyle w:val="4"/>
        <w:rPr>
          <w:sz w:val="10"/>
        </w:rPr>
      </w:pPr>
    </w:p>
    <w:p>
      <w:pPr>
        <w:pStyle w:val="3"/>
        <w:numPr>
          <w:ilvl w:val="0"/>
          <w:numId w:val="127"/>
        </w:numPr>
        <w:tabs>
          <w:tab w:val="left" w:pos="3014"/>
        </w:tabs>
        <w:spacing w:before="70" w:after="0" w:line="240" w:lineRule="auto"/>
        <w:ind w:left="3013" w:right="0" w:hanging="529"/>
        <w:jc w:val="left"/>
      </w:pPr>
      <w:r>
        <w:drawing>
          <wp:anchor distT="0" distB="0" distL="0" distR="0" simplePos="0" relativeHeight="251674624" behindDoc="1" locked="0" layoutInCell="1" allowOverlap="1">
            <wp:simplePos x="0" y="0"/>
            <wp:positionH relativeFrom="page">
              <wp:posOffset>2124710</wp:posOffset>
            </wp:positionH>
            <wp:positionV relativeFrom="paragraph">
              <wp:posOffset>-452120</wp:posOffset>
            </wp:positionV>
            <wp:extent cx="4793615" cy="172720"/>
            <wp:effectExtent l="0" t="0" r="0" b="0"/>
            <wp:wrapNone/>
            <wp:docPr id="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png"/>
                    <pic:cNvPicPr>
                      <a:picLocks noChangeAspect="1"/>
                    </pic:cNvPicPr>
                  </pic:nvPicPr>
                  <pic:blipFill>
                    <a:blip r:embed="rId13" cstate="print"/>
                    <a:stretch>
                      <a:fillRect/>
                    </a:stretch>
                  </pic:blipFill>
                  <pic:spPr>
                    <a:xfrm>
                      <a:off x="0" y="0"/>
                      <a:ext cx="4793615" cy="172719"/>
                    </a:xfrm>
                    <a:prstGeom prst="rect">
                      <a:avLst/>
                    </a:prstGeom>
                  </pic:spPr>
                </pic:pic>
              </a:graphicData>
            </a:graphic>
          </wp:anchor>
        </w:drawing>
      </w:r>
      <w:r>
        <w:pict>
          <v:shape id="docshape52" o:spid="_x0000_s1076" o:spt="202" type="#_x0000_t202" style="position:absolute;left:0pt;margin-left:167.25pt;margin-top:-35.6pt;height:13.6pt;width:382.7pt;mso-position-horizontal-relative:page;z-index:-251640832;mso-width-relative:page;mso-height-relative:page;" filled="f" stroked="f" coordsize="21600,21600">
            <v:path/>
            <v:fill on="f" focussize="0,0"/>
            <v:stroke on="f" joinstyle="miter"/>
            <v:imagedata o:title=""/>
            <o:lock v:ext="edit"/>
            <v:textbox inset="0mm,0mm,0mm,0mm">
              <w:txbxContent>
                <w:p>
                  <w:pPr>
                    <w:pStyle w:val="4"/>
                    <w:spacing w:before="2"/>
                  </w:pPr>
                  <w:r>
                    <w:rPr>
                      <w:w w:val="95"/>
                    </w:rPr>
                    <w:t>本项疾病责任不受合同责任免除中“遗传性疾病</w:t>
                  </w:r>
                  <w:r>
                    <w:rPr>
                      <w:spacing w:val="-1"/>
                      <w:w w:val="95"/>
                    </w:rPr>
                    <w:t>，先天性畸形、变形或染色体异常”</w:t>
                  </w:r>
                </w:p>
              </w:txbxContent>
            </v:textbox>
          </v:shape>
        </w:pict>
      </w:r>
      <w:r>
        <w:pict>
          <v:shape id="docshape53" o:spid="_x0000_s1077" o:spt="202" type="#_x0000_t202" style="position:absolute;left:0pt;margin-left:167.3pt;margin-top:-20pt;height:13.6pt;width:42pt;mso-position-horizontal-relative:page;z-index:-251640832;mso-width-relative:page;mso-height-relative:page;"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的限制。</w:t>
                  </w:r>
                </w:p>
              </w:txbxContent>
            </v:textbox>
          </v:shape>
        </w:pict>
      </w:r>
      <w:r>
        <w:rPr>
          <w:spacing w:val="-1"/>
          <w:w w:val="95"/>
        </w:rPr>
        <w:t>婴儿进行性脊肌萎缩症：</w:t>
      </w:r>
    </w:p>
    <w:p>
      <w:pPr>
        <w:pStyle w:val="4"/>
        <w:spacing w:before="7"/>
        <w:rPr>
          <w:b/>
          <w:sz w:val="15"/>
        </w:rPr>
      </w:pPr>
    </w:p>
    <w:p>
      <w:pPr>
        <w:pStyle w:val="4"/>
        <w:spacing w:line="278" w:lineRule="auto"/>
        <w:ind w:left="2485" w:right="338"/>
      </w:pPr>
      <w:r>
        <w:rPr>
          <w:spacing w:val="-2"/>
        </w:rPr>
        <w:t>该病是累及脊髓前角细胞及延髓运动核的神经元退行性变性病。在出生后两年内出</w:t>
      </w:r>
      <w:r>
        <w:rPr>
          <w:w w:val="95"/>
        </w:rPr>
        <w:t>现的脊髓和脑干颅神经前角细胞进行性机能障碍，伴随肌肉无力和延髓机能障碍</w:t>
      </w:r>
      <w:r>
        <w:rPr>
          <w:spacing w:val="-10"/>
          <w:w w:val="95"/>
        </w:rPr>
        <w:t>。</w:t>
      </w:r>
    </w:p>
    <w:p>
      <w:pPr>
        <w:pStyle w:val="4"/>
        <w:ind w:left="2486"/>
        <w:rPr>
          <w:sz w:val="20"/>
        </w:rPr>
      </w:pPr>
      <w:r>
        <w:rPr>
          <w:sz w:val="20"/>
        </w:rPr>
        <w:pict>
          <v:shape id="docshape54" o:spid="_x0000_s1078" o:spt="202" type="#_x0000_t202" style="height:13.6pt;width:377.45pt;" fillcolor="#E4E4E4" filled="t" stroked="f" coordsize="21600,21600">
            <v:path/>
            <v:fill on="t" focussize="0,0"/>
            <v:stroke on="f" joinstyle="miter"/>
            <v:imagedata o:title=""/>
            <o:lock v:ext="edit"/>
            <v:textbox inset="0mm,0mm,0mm,0mm">
              <w:txbxContent>
                <w:p>
                  <w:pPr>
                    <w:pStyle w:val="4"/>
                    <w:spacing w:before="2"/>
                    <w:ind w:left="-1" w:right="-15"/>
                    <w:rPr>
                      <w:color w:val="000000"/>
                    </w:rPr>
                  </w:pPr>
                  <w:r>
                    <w:rPr>
                      <w:color w:val="000000"/>
                      <w:spacing w:val="-3"/>
                      <w:w w:val="95"/>
                    </w:rPr>
                    <w:t>本公司承担本项疾病责任不受本合同责任免除中“遗传性疾病，先天性畸形、变形</w:t>
                  </w:r>
                </w:p>
              </w:txbxContent>
            </v:textbox>
            <w10:wrap type="none"/>
            <w10:anchorlock/>
          </v:shape>
        </w:pict>
      </w:r>
    </w:p>
    <w:p>
      <w:pPr>
        <w:pStyle w:val="4"/>
        <w:ind w:left="2486"/>
        <w:rPr>
          <w:sz w:val="20"/>
        </w:rPr>
      </w:pPr>
      <w:r>
        <w:rPr>
          <w:sz w:val="20"/>
        </w:rPr>
        <w:pict>
          <v:shape id="docshape55" o:spid="_x0000_s1079" o:spt="202" type="#_x0000_t202" style="height:13.6pt;width:115.5pt;" fillcolor="#E4E4E4" filled="t" stroked="f" coordsize="21600,21600">
            <v:path/>
            <v:fill on="t" focussize="0,0"/>
            <v:stroke on="f" joinstyle="miter"/>
            <v:imagedata o:title=""/>
            <o:lock v:ext="edit"/>
            <v:textbox inset="0mm,0mm,0mm,0mm">
              <w:txbxContent>
                <w:p>
                  <w:pPr>
                    <w:pStyle w:val="4"/>
                    <w:spacing w:before="2"/>
                    <w:ind w:left="-1"/>
                    <w:rPr>
                      <w:color w:val="000000"/>
                    </w:rPr>
                  </w:pPr>
                  <w:r>
                    <w:rPr>
                      <w:color w:val="000000"/>
                      <w:spacing w:val="-3"/>
                      <w:w w:val="95"/>
                    </w:rPr>
                    <w:t>或染色体异常”的限制。</w:t>
                  </w:r>
                </w:p>
              </w:txbxContent>
            </v:textbox>
            <w10:wrap type="none"/>
            <w10:anchorlock/>
          </v:shape>
        </w:pict>
      </w:r>
    </w:p>
    <w:p>
      <w:pPr>
        <w:pStyle w:val="4"/>
        <w:spacing w:before="7"/>
        <w:rPr>
          <w:sz w:val="8"/>
        </w:rPr>
      </w:pPr>
    </w:p>
    <w:p>
      <w:pPr>
        <w:pStyle w:val="3"/>
        <w:numPr>
          <w:ilvl w:val="0"/>
          <w:numId w:val="127"/>
        </w:numPr>
        <w:tabs>
          <w:tab w:val="left" w:pos="3014"/>
        </w:tabs>
        <w:spacing w:before="70" w:after="0" w:line="240" w:lineRule="auto"/>
        <w:ind w:left="3013" w:right="0" w:hanging="529"/>
        <w:jc w:val="left"/>
      </w:pPr>
      <w:r>
        <w:rPr>
          <w:spacing w:val="-2"/>
          <w:w w:val="95"/>
        </w:rPr>
        <w:t>肺泡蛋白质沉积症：</w:t>
      </w:r>
    </w:p>
    <w:p>
      <w:pPr>
        <w:pStyle w:val="4"/>
        <w:spacing w:before="7"/>
        <w:rPr>
          <w:b/>
          <w:sz w:val="15"/>
        </w:rPr>
      </w:pPr>
    </w:p>
    <w:p>
      <w:pPr>
        <w:pStyle w:val="4"/>
        <w:spacing w:line="278" w:lineRule="auto"/>
        <w:ind w:left="2485" w:right="244"/>
      </w:pPr>
      <w:r>
        <w:rPr>
          <w:spacing w:val="-2"/>
          <w:w w:val="99"/>
        </w:rPr>
        <w:t>指肺泡和细支气管腔内充满不可溶性富磷脂蛋白的疾病，胸部</w:t>
      </w:r>
      <w:r>
        <w:rPr>
          <w:spacing w:val="-53"/>
        </w:rPr>
        <w:t xml:space="preserve"> </w:t>
      </w:r>
      <w:r>
        <w:rPr>
          <w:w w:val="99"/>
        </w:rPr>
        <w:t>X</w:t>
      </w:r>
      <w:r>
        <w:rPr>
          <w:spacing w:val="-52"/>
        </w:rPr>
        <w:t xml:space="preserve"> </w:t>
      </w:r>
      <w:r>
        <w:rPr>
          <w:spacing w:val="-1"/>
          <w:w w:val="99"/>
        </w:rPr>
        <w:t>线呈双肺弥漫性肺</w:t>
      </w:r>
      <w:r>
        <w:rPr>
          <w:spacing w:val="-3"/>
          <w:w w:val="99"/>
        </w:rPr>
        <w:t>部磨玻璃影，病理学检查肺泡内充满有过碘酸雪夫</w:t>
      </w:r>
      <w:r>
        <w:rPr>
          <w:spacing w:val="2"/>
          <w:w w:val="99"/>
        </w:rPr>
        <w:t>（</w:t>
      </w:r>
      <w:r>
        <w:rPr>
          <w:spacing w:val="1"/>
          <w:w w:val="99"/>
        </w:rPr>
        <w:t>PA</w:t>
      </w:r>
      <w:r>
        <w:rPr>
          <w:spacing w:val="-2"/>
          <w:w w:val="99"/>
        </w:rPr>
        <w:t>S</w:t>
      </w:r>
      <w:r>
        <w:rPr>
          <w:spacing w:val="-3"/>
          <w:w w:val="99"/>
        </w:rPr>
        <w:t>）</w:t>
      </w:r>
      <w:r>
        <w:rPr>
          <w:spacing w:val="-1"/>
          <w:w w:val="99"/>
        </w:rPr>
        <w:t>染色阳性的蛋白样物质，并且接受了肺灌洗治疗。</w:t>
      </w:r>
    </w:p>
    <w:p>
      <w:pPr>
        <w:pStyle w:val="3"/>
        <w:numPr>
          <w:ilvl w:val="0"/>
          <w:numId w:val="127"/>
        </w:numPr>
        <w:tabs>
          <w:tab w:val="left" w:pos="3014"/>
        </w:tabs>
        <w:spacing w:before="155" w:after="0" w:line="240" w:lineRule="auto"/>
        <w:ind w:left="3013" w:right="0" w:hanging="529"/>
        <w:jc w:val="left"/>
      </w:pPr>
      <w:r>
        <w:rPr>
          <w:spacing w:val="-2"/>
          <w:w w:val="95"/>
        </w:rPr>
        <w:t>严重多发性硬化：</w:t>
      </w:r>
    </w:p>
    <w:p>
      <w:pPr>
        <w:pStyle w:val="4"/>
        <w:spacing w:before="7"/>
        <w:rPr>
          <w:b/>
          <w:sz w:val="15"/>
        </w:rPr>
      </w:pPr>
    </w:p>
    <w:p>
      <w:pPr>
        <w:pStyle w:val="4"/>
        <w:spacing w:line="278" w:lineRule="auto"/>
        <w:ind w:left="2485" w:right="347"/>
        <w:jc w:val="both"/>
      </w:pPr>
      <w:r>
        <w:rPr>
          <w:spacing w:val="-3"/>
          <w:w w:val="99"/>
        </w:rPr>
        <w:t>多发性硬化为中枢神经系统白质多灶性脱髓鞘病变，病变有时累及灰质。多发性硬化必须明确诊断，并且已经造成永久不可逆的神经系统功能损害。永久不可逆的神</w:t>
      </w:r>
      <w:r>
        <w:rPr>
          <w:spacing w:val="-1"/>
          <w:w w:val="99"/>
        </w:rPr>
        <w:t>经系统损害指被保险人持续</w:t>
      </w:r>
      <w:r>
        <w:rPr>
          <w:spacing w:val="-50"/>
        </w:rPr>
        <w:t xml:space="preserve"> </w:t>
      </w:r>
      <w:r>
        <w:rPr>
          <w:spacing w:val="1"/>
          <w:w w:val="99"/>
        </w:rPr>
        <w:t>18</w:t>
      </w:r>
      <w:r>
        <w:rPr>
          <w:w w:val="99"/>
        </w:rPr>
        <w:t>0</w:t>
      </w:r>
      <w:r>
        <w:rPr>
          <w:spacing w:val="-54"/>
        </w:rPr>
        <w:t xml:space="preserve"> </w:t>
      </w:r>
      <w:r>
        <w:rPr>
          <w:spacing w:val="-1"/>
          <w:w w:val="99"/>
        </w:rPr>
        <w:t>天无法独立完成下列基本日常生活活动之一：</w:t>
      </w:r>
    </w:p>
    <w:p>
      <w:pPr>
        <w:pStyle w:val="9"/>
        <w:numPr>
          <w:ilvl w:val="0"/>
          <w:numId w:val="130"/>
        </w:numPr>
        <w:tabs>
          <w:tab w:val="left" w:pos="3206"/>
        </w:tabs>
        <w:spacing w:before="156" w:after="0" w:line="240" w:lineRule="auto"/>
        <w:ind w:left="3205" w:right="0" w:hanging="721"/>
        <w:jc w:val="both"/>
        <w:rPr>
          <w:sz w:val="21"/>
        </w:rPr>
      </w:pPr>
      <w:r>
        <w:rPr>
          <w:spacing w:val="-1"/>
          <w:w w:val="95"/>
          <w:sz w:val="21"/>
        </w:rPr>
        <w:t>移动：自己从一个房间到另一个房间；</w:t>
      </w:r>
    </w:p>
    <w:p>
      <w:pPr>
        <w:pStyle w:val="4"/>
        <w:spacing w:before="6"/>
        <w:rPr>
          <w:sz w:val="15"/>
        </w:rPr>
      </w:pPr>
    </w:p>
    <w:p>
      <w:pPr>
        <w:pStyle w:val="9"/>
        <w:numPr>
          <w:ilvl w:val="0"/>
          <w:numId w:val="130"/>
        </w:numPr>
        <w:tabs>
          <w:tab w:val="left" w:pos="3206"/>
        </w:tabs>
        <w:spacing w:before="1" w:after="0" w:line="240" w:lineRule="auto"/>
        <w:ind w:left="3205" w:right="0" w:hanging="721"/>
        <w:jc w:val="both"/>
        <w:rPr>
          <w:sz w:val="21"/>
        </w:rPr>
      </w:pPr>
      <w:r>
        <w:rPr>
          <w:spacing w:val="-1"/>
          <w:w w:val="95"/>
          <w:sz w:val="21"/>
        </w:rPr>
        <w:t>进食：自己从已准备好的碗或碟中取食物放入口中。</w:t>
      </w:r>
    </w:p>
    <w:sectPr>
      <w:pgSz w:w="11910" w:h="16840"/>
      <w:pgMar w:top="1440" w:right="660" w:bottom="860" w:left="860" w:header="0" w:footer="66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Dotum">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90.15pt;margin-top:797.75pt;height:12pt;width:16.1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
    <w:nsid w:val="825EC3C5"/>
    <w:multiLevelType w:val="multilevel"/>
    <w:tmpl w:val="825EC3C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
    <w:nsid w:val="8461FADE"/>
    <w:multiLevelType w:val="multilevel"/>
    <w:tmpl w:val="8461FADE"/>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3013" w:hanging="528"/>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3756" w:hanging="528"/>
      </w:pPr>
      <w:rPr>
        <w:rFonts w:hint="default"/>
        <w:lang w:val="en-US" w:eastAsia="zh-CN" w:bidi="ar-SA"/>
      </w:rPr>
    </w:lvl>
    <w:lvl w:ilvl="2" w:tentative="0">
      <w:start w:val="0"/>
      <w:numFmt w:val="bullet"/>
      <w:lvlText w:val="•"/>
      <w:lvlJc w:val="left"/>
      <w:pPr>
        <w:ind w:left="4493" w:hanging="528"/>
      </w:pPr>
      <w:rPr>
        <w:rFonts w:hint="default"/>
        <w:lang w:val="en-US" w:eastAsia="zh-CN" w:bidi="ar-SA"/>
      </w:rPr>
    </w:lvl>
    <w:lvl w:ilvl="3" w:tentative="0">
      <w:start w:val="0"/>
      <w:numFmt w:val="bullet"/>
      <w:lvlText w:val="•"/>
      <w:lvlJc w:val="left"/>
      <w:pPr>
        <w:ind w:left="5229" w:hanging="528"/>
      </w:pPr>
      <w:rPr>
        <w:rFonts w:hint="default"/>
        <w:lang w:val="en-US" w:eastAsia="zh-CN" w:bidi="ar-SA"/>
      </w:rPr>
    </w:lvl>
    <w:lvl w:ilvl="4" w:tentative="0">
      <w:start w:val="0"/>
      <w:numFmt w:val="bullet"/>
      <w:lvlText w:val="•"/>
      <w:lvlJc w:val="left"/>
      <w:pPr>
        <w:ind w:left="5966" w:hanging="528"/>
      </w:pPr>
      <w:rPr>
        <w:rFonts w:hint="default"/>
        <w:lang w:val="en-US" w:eastAsia="zh-CN" w:bidi="ar-SA"/>
      </w:rPr>
    </w:lvl>
    <w:lvl w:ilvl="5" w:tentative="0">
      <w:start w:val="0"/>
      <w:numFmt w:val="bullet"/>
      <w:lvlText w:val="•"/>
      <w:lvlJc w:val="left"/>
      <w:pPr>
        <w:ind w:left="6703" w:hanging="528"/>
      </w:pPr>
      <w:rPr>
        <w:rFonts w:hint="default"/>
        <w:lang w:val="en-US" w:eastAsia="zh-CN" w:bidi="ar-SA"/>
      </w:rPr>
    </w:lvl>
    <w:lvl w:ilvl="6" w:tentative="0">
      <w:start w:val="0"/>
      <w:numFmt w:val="bullet"/>
      <w:lvlText w:val="•"/>
      <w:lvlJc w:val="left"/>
      <w:pPr>
        <w:ind w:left="7439" w:hanging="528"/>
      </w:pPr>
      <w:rPr>
        <w:rFonts w:hint="default"/>
        <w:lang w:val="en-US" w:eastAsia="zh-CN" w:bidi="ar-SA"/>
      </w:rPr>
    </w:lvl>
    <w:lvl w:ilvl="7" w:tentative="0">
      <w:start w:val="0"/>
      <w:numFmt w:val="bullet"/>
      <w:lvlText w:val="•"/>
      <w:lvlJc w:val="left"/>
      <w:pPr>
        <w:ind w:left="8176" w:hanging="528"/>
      </w:pPr>
      <w:rPr>
        <w:rFonts w:hint="default"/>
        <w:lang w:val="en-US" w:eastAsia="zh-CN" w:bidi="ar-SA"/>
      </w:rPr>
    </w:lvl>
    <w:lvl w:ilvl="8" w:tentative="0">
      <w:start w:val="0"/>
      <w:numFmt w:val="bullet"/>
      <w:lvlText w:val="•"/>
      <w:lvlJc w:val="left"/>
      <w:pPr>
        <w:ind w:left="8912" w:hanging="528"/>
      </w:pPr>
      <w:rPr>
        <w:rFonts w:hint="default"/>
        <w:lang w:val="en-US" w:eastAsia="zh-CN" w:bidi="ar-SA"/>
      </w:rPr>
    </w:lvl>
  </w:abstractNum>
  <w:abstractNum w:abstractNumId="9">
    <w:nsid w:val="9239341B"/>
    <w:multiLevelType w:val="multilevel"/>
    <w:tmpl w:val="9239341B"/>
    <w:lvl w:ilvl="0" w:tentative="0">
      <w:start w:val="1"/>
      <w:numFmt w:val="decimal"/>
      <w:lvlText w:val="（%1）"/>
      <w:lvlJc w:val="left"/>
      <w:pPr>
        <w:ind w:left="37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4404" w:hanging="720"/>
      </w:pPr>
      <w:rPr>
        <w:rFonts w:hint="default"/>
        <w:lang w:val="en-US" w:eastAsia="zh-CN" w:bidi="ar-SA"/>
      </w:rPr>
    </w:lvl>
    <w:lvl w:ilvl="2" w:tentative="0">
      <w:start w:val="0"/>
      <w:numFmt w:val="bullet"/>
      <w:lvlText w:val="•"/>
      <w:lvlJc w:val="left"/>
      <w:pPr>
        <w:ind w:left="5069" w:hanging="720"/>
      </w:pPr>
      <w:rPr>
        <w:rFonts w:hint="default"/>
        <w:lang w:val="en-US" w:eastAsia="zh-CN" w:bidi="ar-SA"/>
      </w:rPr>
    </w:lvl>
    <w:lvl w:ilvl="3" w:tentative="0">
      <w:start w:val="0"/>
      <w:numFmt w:val="bullet"/>
      <w:lvlText w:val="•"/>
      <w:lvlJc w:val="left"/>
      <w:pPr>
        <w:ind w:left="5733" w:hanging="720"/>
      </w:pPr>
      <w:rPr>
        <w:rFonts w:hint="default"/>
        <w:lang w:val="en-US" w:eastAsia="zh-CN" w:bidi="ar-SA"/>
      </w:rPr>
    </w:lvl>
    <w:lvl w:ilvl="4" w:tentative="0">
      <w:start w:val="0"/>
      <w:numFmt w:val="bullet"/>
      <w:lvlText w:val="•"/>
      <w:lvlJc w:val="left"/>
      <w:pPr>
        <w:ind w:left="6398" w:hanging="720"/>
      </w:pPr>
      <w:rPr>
        <w:rFonts w:hint="default"/>
        <w:lang w:val="en-US" w:eastAsia="zh-CN" w:bidi="ar-SA"/>
      </w:rPr>
    </w:lvl>
    <w:lvl w:ilvl="5" w:tentative="0">
      <w:start w:val="0"/>
      <w:numFmt w:val="bullet"/>
      <w:lvlText w:val="•"/>
      <w:lvlJc w:val="left"/>
      <w:pPr>
        <w:ind w:left="7063" w:hanging="720"/>
      </w:pPr>
      <w:rPr>
        <w:rFonts w:hint="default"/>
        <w:lang w:val="en-US" w:eastAsia="zh-CN" w:bidi="ar-SA"/>
      </w:rPr>
    </w:lvl>
    <w:lvl w:ilvl="6" w:tentative="0">
      <w:start w:val="0"/>
      <w:numFmt w:val="bullet"/>
      <w:lvlText w:val="•"/>
      <w:lvlJc w:val="left"/>
      <w:pPr>
        <w:ind w:left="7727" w:hanging="720"/>
      </w:pPr>
      <w:rPr>
        <w:rFonts w:hint="default"/>
        <w:lang w:val="en-US" w:eastAsia="zh-CN" w:bidi="ar-SA"/>
      </w:rPr>
    </w:lvl>
    <w:lvl w:ilvl="7" w:tentative="0">
      <w:start w:val="0"/>
      <w:numFmt w:val="bullet"/>
      <w:lvlText w:val="•"/>
      <w:lvlJc w:val="left"/>
      <w:pPr>
        <w:ind w:left="8392" w:hanging="720"/>
      </w:pPr>
      <w:rPr>
        <w:rFonts w:hint="default"/>
        <w:lang w:val="en-US" w:eastAsia="zh-CN" w:bidi="ar-SA"/>
      </w:rPr>
    </w:lvl>
    <w:lvl w:ilvl="8" w:tentative="0">
      <w:start w:val="0"/>
      <w:numFmt w:val="bullet"/>
      <w:lvlText w:val="•"/>
      <w:lvlJc w:val="left"/>
      <w:pPr>
        <w:ind w:left="9056" w:hanging="720"/>
      </w:pPr>
      <w:rPr>
        <w:rFonts w:hint="default"/>
        <w:lang w:val="en-US" w:eastAsia="zh-CN" w:bidi="ar-SA"/>
      </w:rPr>
    </w:lvl>
  </w:abstractNum>
  <w:abstractNum w:abstractNumId="10">
    <w:nsid w:val="9288B902"/>
    <w:multiLevelType w:val="multilevel"/>
    <w:tmpl w:val="9288B902"/>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
    <w:nsid w:val="9377BC45"/>
    <w:multiLevelType w:val="multilevel"/>
    <w:tmpl w:val="9377BC4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
    <w:nsid w:val="98CD717A"/>
    <w:multiLevelType w:val="multilevel"/>
    <w:tmpl w:val="98CD717A"/>
    <w:lvl w:ilvl="0" w:tentative="0">
      <w:start w:val="1"/>
      <w:numFmt w:val="decimal"/>
      <w:lvlText w:val="%1)"/>
      <w:lvlJc w:val="left"/>
      <w:pPr>
        <w:ind w:left="893"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1617" w:hanging="720"/>
      </w:pPr>
      <w:rPr>
        <w:rFonts w:hint="default"/>
        <w:lang w:val="en-US" w:eastAsia="zh-CN" w:bidi="ar-SA"/>
      </w:rPr>
    </w:lvl>
    <w:lvl w:ilvl="2" w:tentative="0">
      <w:start w:val="0"/>
      <w:numFmt w:val="bullet"/>
      <w:lvlText w:val="•"/>
      <w:lvlJc w:val="left"/>
      <w:pPr>
        <w:ind w:left="2334" w:hanging="720"/>
      </w:pPr>
      <w:rPr>
        <w:rFonts w:hint="default"/>
        <w:lang w:val="en-US" w:eastAsia="zh-CN" w:bidi="ar-SA"/>
      </w:rPr>
    </w:lvl>
    <w:lvl w:ilvl="3" w:tentative="0">
      <w:start w:val="0"/>
      <w:numFmt w:val="bullet"/>
      <w:lvlText w:val="•"/>
      <w:lvlJc w:val="left"/>
      <w:pPr>
        <w:ind w:left="3052" w:hanging="720"/>
      </w:pPr>
      <w:rPr>
        <w:rFonts w:hint="default"/>
        <w:lang w:val="en-US" w:eastAsia="zh-CN" w:bidi="ar-SA"/>
      </w:rPr>
    </w:lvl>
    <w:lvl w:ilvl="4" w:tentative="0">
      <w:start w:val="0"/>
      <w:numFmt w:val="bullet"/>
      <w:lvlText w:val="•"/>
      <w:lvlJc w:val="left"/>
      <w:pPr>
        <w:ind w:left="3769" w:hanging="720"/>
      </w:pPr>
      <w:rPr>
        <w:rFonts w:hint="default"/>
        <w:lang w:val="en-US" w:eastAsia="zh-CN" w:bidi="ar-SA"/>
      </w:rPr>
    </w:lvl>
    <w:lvl w:ilvl="5" w:tentative="0">
      <w:start w:val="0"/>
      <w:numFmt w:val="bullet"/>
      <w:lvlText w:val="•"/>
      <w:lvlJc w:val="left"/>
      <w:pPr>
        <w:ind w:left="4486" w:hanging="720"/>
      </w:pPr>
      <w:rPr>
        <w:rFonts w:hint="default"/>
        <w:lang w:val="en-US" w:eastAsia="zh-CN" w:bidi="ar-SA"/>
      </w:rPr>
    </w:lvl>
    <w:lvl w:ilvl="6" w:tentative="0">
      <w:start w:val="0"/>
      <w:numFmt w:val="bullet"/>
      <w:lvlText w:val="•"/>
      <w:lvlJc w:val="left"/>
      <w:pPr>
        <w:ind w:left="5204" w:hanging="720"/>
      </w:pPr>
      <w:rPr>
        <w:rFonts w:hint="default"/>
        <w:lang w:val="en-US" w:eastAsia="zh-CN" w:bidi="ar-SA"/>
      </w:rPr>
    </w:lvl>
    <w:lvl w:ilvl="7" w:tentative="0">
      <w:start w:val="0"/>
      <w:numFmt w:val="bullet"/>
      <w:lvlText w:val="•"/>
      <w:lvlJc w:val="left"/>
      <w:pPr>
        <w:ind w:left="5921" w:hanging="720"/>
      </w:pPr>
      <w:rPr>
        <w:rFonts w:hint="default"/>
        <w:lang w:val="en-US" w:eastAsia="zh-CN" w:bidi="ar-SA"/>
      </w:rPr>
    </w:lvl>
    <w:lvl w:ilvl="8" w:tentative="0">
      <w:start w:val="0"/>
      <w:numFmt w:val="bullet"/>
      <w:lvlText w:val="•"/>
      <w:lvlJc w:val="left"/>
      <w:pPr>
        <w:ind w:left="6639" w:hanging="720"/>
      </w:pPr>
      <w:rPr>
        <w:rFonts w:hint="default"/>
        <w:lang w:val="en-US" w:eastAsia="zh-CN" w:bidi="ar-SA"/>
      </w:rPr>
    </w:lvl>
  </w:abstractNum>
  <w:abstractNum w:abstractNumId="13">
    <w:nsid w:val="9ACF65A0"/>
    <w:multiLevelType w:val="multilevel"/>
    <w:tmpl w:val="9ACF65A0"/>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4">
    <w:nsid w:val="9C11E984"/>
    <w:multiLevelType w:val="multilevel"/>
    <w:tmpl w:val="9C11E98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5">
    <w:nsid w:val="9C7198AA"/>
    <w:multiLevelType w:val="multilevel"/>
    <w:tmpl w:val="9C7198A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6">
    <w:nsid w:val="9C8AC8EF"/>
    <w:multiLevelType w:val="multilevel"/>
    <w:tmpl w:val="9C8AC8EF"/>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205" w:hanging="212"/>
        <w:jc w:val="left"/>
      </w:pPr>
      <w:rPr>
        <w:rFonts w:hint="default" w:ascii="宋体" w:hAnsi="宋体" w:eastAsia="宋体" w:cs="宋体"/>
        <w:b w:val="0"/>
        <w:bCs w:val="0"/>
        <w:i w:val="0"/>
        <w:iCs w:val="0"/>
        <w:spacing w:val="1"/>
        <w:w w:val="99"/>
        <w:sz w:val="19"/>
        <w:szCs w:val="19"/>
        <w:shd w:val="clear" w:color="auto" w:fill="E4E4E4"/>
        <w:lang w:val="en-US" w:eastAsia="zh-CN" w:bidi="ar-SA"/>
      </w:rPr>
    </w:lvl>
    <w:lvl w:ilvl="2" w:tentative="0">
      <w:start w:val="0"/>
      <w:numFmt w:val="bullet"/>
      <w:lvlText w:val="•"/>
      <w:lvlJc w:val="left"/>
      <w:pPr>
        <w:ind w:left="4637" w:hanging="212"/>
      </w:pPr>
      <w:rPr>
        <w:rFonts w:hint="default"/>
        <w:lang w:val="en-US" w:eastAsia="zh-CN" w:bidi="ar-SA"/>
      </w:rPr>
    </w:lvl>
    <w:lvl w:ilvl="3" w:tentative="0">
      <w:start w:val="0"/>
      <w:numFmt w:val="bullet"/>
      <w:lvlText w:val="•"/>
      <w:lvlJc w:val="left"/>
      <w:pPr>
        <w:ind w:left="5355" w:hanging="212"/>
      </w:pPr>
      <w:rPr>
        <w:rFonts w:hint="default"/>
        <w:lang w:val="en-US" w:eastAsia="zh-CN" w:bidi="ar-SA"/>
      </w:rPr>
    </w:lvl>
    <w:lvl w:ilvl="4" w:tentative="0">
      <w:start w:val="0"/>
      <w:numFmt w:val="bullet"/>
      <w:lvlText w:val="•"/>
      <w:lvlJc w:val="left"/>
      <w:pPr>
        <w:ind w:left="6074" w:hanging="212"/>
      </w:pPr>
      <w:rPr>
        <w:rFonts w:hint="default"/>
        <w:lang w:val="en-US" w:eastAsia="zh-CN" w:bidi="ar-SA"/>
      </w:rPr>
    </w:lvl>
    <w:lvl w:ilvl="5" w:tentative="0">
      <w:start w:val="0"/>
      <w:numFmt w:val="bullet"/>
      <w:lvlText w:val="•"/>
      <w:lvlJc w:val="left"/>
      <w:pPr>
        <w:ind w:left="6793" w:hanging="212"/>
      </w:pPr>
      <w:rPr>
        <w:rFonts w:hint="default"/>
        <w:lang w:val="en-US" w:eastAsia="zh-CN" w:bidi="ar-SA"/>
      </w:rPr>
    </w:lvl>
    <w:lvl w:ilvl="6" w:tentative="0">
      <w:start w:val="0"/>
      <w:numFmt w:val="bullet"/>
      <w:lvlText w:val="•"/>
      <w:lvlJc w:val="left"/>
      <w:pPr>
        <w:ind w:left="7511" w:hanging="212"/>
      </w:pPr>
      <w:rPr>
        <w:rFonts w:hint="default"/>
        <w:lang w:val="en-US" w:eastAsia="zh-CN" w:bidi="ar-SA"/>
      </w:rPr>
    </w:lvl>
    <w:lvl w:ilvl="7" w:tentative="0">
      <w:start w:val="0"/>
      <w:numFmt w:val="bullet"/>
      <w:lvlText w:val="•"/>
      <w:lvlJc w:val="left"/>
      <w:pPr>
        <w:ind w:left="8230" w:hanging="212"/>
      </w:pPr>
      <w:rPr>
        <w:rFonts w:hint="default"/>
        <w:lang w:val="en-US" w:eastAsia="zh-CN" w:bidi="ar-SA"/>
      </w:rPr>
    </w:lvl>
    <w:lvl w:ilvl="8" w:tentative="0">
      <w:start w:val="0"/>
      <w:numFmt w:val="bullet"/>
      <w:lvlText w:val="•"/>
      <w:lvlJc w:val="left"/>
      <w:pPr>
        <w:ind w:left="8948" w:hanging="212"/>
      </w:pPr>
      <w:rPr>
        <w:rFonts w:hint="default"/>
        <w:lang w:val="en-US" w:eastAsia="zh-CN" w:bidi="ar-SA"/>
      </w:rPr>
    </w:lvl>
  </w:abstractNum>
  <w:abstractNum w:abstractNumId="17">
    <w:nsid w:val="9D5D7490"/>
    <w:multiLevelType w:val="multilevel"/>
    <w:tmpl w:val="9D5D7490"/>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8">
    <w:nsid w:val="9D7EB8E6"/>
    <w:multiLevelType w:val="multilevel"/>
    <w:tmpl w:val="9D7EB8E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9">
    <w:nsid w:val="9DFC6F65"/>
    <w:multiLevelType w:val="multilevel"/>
    <w:tmpl w:val="9DFC6F6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625"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371" w:hanging="420"/>
      </w:pPr>
      <w:rPr>
        <w:rFonts w:hint="default"/>
        <w:lang w:val="en-US" w:eastAsia="zh-CN" w:bidi="ar-SA"/>
      </w:rPr>
    </w:lvl>
    <w:lvl w:ilvl="3" w:tentative="0">
      <w:start w:val="0"/>
      <w:numFmt w:val="bullet"/>
      <w:lvlText w:val="•"/>
      <w:lvlJc w:val="left"/>
      <w:pPr>
        <w:ind w:left="5123" w:hanging="420"/>
      </w:pPr>
      <w:rPr>
        <w:rFonts w:hint="default"/>
        <w:lang w:val="en-US" w:eastAsia="zh-CN" w:bidi="ar-SA"/>
      </w:rPr>
    </w:lvl>
    <w:lvl w:ilvl="4" w:tentative="0">
      <w:start w:val="0"/>
      <w:numFmt w:val="bullet"/>
      <w:lvlText w:val="•"/>
      <w:lvlJc w:val="left"/>
      <w:pPr>
        <w:ind w:left="5875" w:hanging="420"/>
      </w:pPr>
      <w:rPr>
        <w:rFonts w:hint="default"/>
        <w:lang w:val="en-US" w:eastAsia="zh-CN" w:bidi="ar-SA"/>
      </w:rPr>
    </w:lvl>
    <w:lvl w:ilvl="5" w:tentative="0">
      <w:start w:val="0"/>
      <w:numFmt w:val="bullet"/>
      <w:lvlText w:val="•"/>
      <w:lvlJc w:val="left"/>
      <w:pPr>
        <w:ind w:left="6627" w:hanging="420"/>
      </w:pPr>
      <w:rPr>
        <w:rFonts w:hint="default"/>
        <w:lang w:val="en-US" w:eastAsia="zh-CN" w:bidi="ar-SA"/>
      </w:rPr>
    </w:lvl>
    <w:lvl w:ilvl="6" w:tentative="0">
      <w:start w:val="0"/>
      <w:numFmt w:val="bullet"/>
      <w:lvlText w:val="•"/>
      <w:lvlJc w:val="left"/>
      <w:pPr>
        <w:ind w:left="7378" w:hanging="420"/>
      </w:pPr>
      <w:rPr>
        <w:rFonts w:hint="default"/>
        <w:lang w:val="en-US" w:eastAsia="zh-CN" w:bidi="ar-SA"/>
      </w:rPr>
    </w:lvl>
    <w:lvl w:ilvl="7" w:tentative="0">
      <w:start w:val="0"/>
      <w:numFmt w:val="bullet"/>
      <w:lvlText w:val="•"/>
      <w:lvlJc w:val="left"/>
      <w:pPr>
        <w:ind w:left="8130" w:hanging="420"/>
      </w:pPr>
      <w:rPr>
        <w:rFonts w:hint="default"/>
        <w:lang w:val="en-US" w:eastAsia="zh-CN" w:bidi="ar-SA"/>
      </w:rPr>
    </w:lvl>
    <w:lvl w:ilvl="8" w:tentative="0">
      <w:start w:val="0"/>
      <w:numFmt w:val="bullet"/>
      <w:lvlText w:val="•"/>
      <w:lvlJc w:val="left"/>
      <w:pPr>
        <w:ind w:left="8882" w:hanging="420"/>
      </w:pPr>
      <w:rPr>
        <w:rFonts w:hint="default"/>
        <w:lang w:val="en-US" w:eastAsia="zh-CN" w:bidi="ar-SA"/>
      </w:rPr>
    </w:lvl>
  </w:abstractNum>
  <w:abstractNum w:abstractNumId="20">
    <w:nsid w:val="9F81B9F9"/>
    <w:multiLevelType w:val="multilevel"/>
    <w:tmpl w:val="9F81B9F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1">
    <w:nsid w:val="A0C93552"/>
    <w:multiLevelType w:val="multilevel"/>
    <w:tmpl w:val="A0C93552"/>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2">
    <w:nsid w:val="A0F05207"/>
    <w:multiLevelType w:val="multilevel"/>
    <w:tmpl w:val="A0F05207"/>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3">
    <w:nsid w:val="A9AC3AA7"/>
    <w:multiLevelType w:val="multilevel"/>
    <w:tmpl w:val="A9AC3AA7"/>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4">
    <w:nsid w:val="AAF3F3FA"/>
    <w:multiLevelType w:val="multilevel"/>
    <w:tmpl w:val="AAF3F3F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5">
    <w:nsid w:val="B0ED9BEA"/>
    <w:multiLevelType w:val="multilevel"/>
    <w:tmpl w:val="B0ED9BE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6">
    <w:nsid w:val="B0F1ACD9"/>
    <w:multiLevelType w:val="multilevel"/>
    <w:tmpl w:val="B0F1ACD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7">
    <w:nsid w:val="B23A94A9"/>
    <w:multiLevelType w:val="multilevel"/>
    <w:tmpl w:val="B23A94A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8">
    <w:nsid w:val="B53F3350"/>
    <w:multiLevelType w:val="multilevel"/>
    <w:tmpl w:val="B53F3350"/>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29">
    <w:nsid w:val="B5E306ED"/>
    <w:multiLevelType w:val="multilevel"/>
    <w:tmpl w:val="B5E306ED"/>
    <w:lvl w:ilvl="0" w:tentative="0">
      <w:start w:val="0"/>
      <w:numFmt w:val="bullet"/>
      <w:lvlText w:val=""/>
      <w:lvlJc w:val="left"/>
      <w:pPr>
        <w:ind w:left="1105" w:hanging="420"/>
      </w:pPr>
      <w:rPr>
        <w:rFonts w:hint="default" w:ascii="Wingdings" w:hAnsi="Wingdings" w:eastAsia="Wingdings" w:cs="Wingdings"/>
        <w:b w:val="0"/>
        <w:bCs w:val="0"/>
        <w:i w:val="0"/>
        <w:iCs w:val="0"/>
        <w:w w:val="99"/>
        <w:sz w:val="21"/>
        <w:szCs w:val="21"/>
        <w:lang w:val="en-US" w:eastAsia="zh-CN" w:bidi="ar-SA"/>
      </w:rPr>
    </w:lvl>
    <w:lvl w:ilvl="1" w:tentative="0">
      <w:start w:val="1"/>
      <w:numFmt w:val="decimal"/>
      <w:lvlText w:val="%2."/>
      <w:lvlJc w:val="left"/>
      <w:pPr>
        <w:ind w:left="2406" w:hanging="212"/>
        <w:jc w:val="right"/>
      </w:pPr>
      <w:rPr>
        <w:rFonts w:hint="default" w:ascii="宋体" w:hAnsi="宋体" w:eastAsia="宋体" w:cs="宋体"/>
        <w:b/>
        <w:bCs/>
        <w:i w:val="0"/>
        <w:iCs w:val="0"/>
        <w:spacing w:val="1"/>
        <w:w w:val="98"/>
        <w:sz w:val="19"/>
        <w:szCs w:val="19"/>
        <w:lang w:val="en-US" w:eastAsia="zh-CN" w:bidi="ar-SA"/>
      </w:rPr>
    </w:lvl>
    <w:lvl w:ilvl="2" w:tentative="0">
      <w:start w:val="1"/>
      <w:numFmt w:val="decimal"/>
      <w:lvlText w:val="%2.%3"/>
      <w:lvlJc w:val="left"/>
      <w:pPr>
        <w:ind w:left="2800" w:hanging="401"/>
        <w:jc w:val="left"/>
      </w:pPr>
      <w:rPr>
        <w:rFonts w:hint="default" w:ascii="宋体" w:hAnsi="宋体" w:eastAsia="宋体" w:cs="宋体"/>
        <w:b w:val="0"/>
        <w:bCs w:val="0"/>
        <w:i w:val="0"/>
        <w:iCs w:val="0"/>
        <w:spacing w:val="0"/>
        <w:w w:val="99"/>
        <w:sz w:val="20"/>
        <w:szCs w:val="20"/>
        <w:lang w:val="en-US" w:eastAsia="zh-CN" w:bidi="ar-SA"/>
      </w:rPr>
    </w:lvl>
    <w:lvl w:ilvl="3" w:tentative="0">
      <w:start w:val="0"/>
      <w:numFmt w:val="bullet"/>
      <w:lvlText w:val="•"/>
      <w:lvlJc w:val="left"/>
      <w:pPr>
        <w:ind w:left="2800" w:hanging="401"/>
      </w:pPr>
      <w:rPr>
        <w:rFonts w:hint="default"/>
        <w:lang w:val="en-US" w:eastAsia="zh-CN" w:bidi="ar-SA"/>
      </w:rPr>
    </w:lvl>
    <w:lvl w:ilvl="4" w:tentative="0">
      <w:start w:val="0"/>
      <w:numFmt w:val="bullet"/>
      <w:lvlText w:val="•"/>
      <w:lvlJc w:val="left"/>
      <w:pPr>
        <w:ind w:left="2820" w:hanging="401"/>
      </w:pPr>
      <w:rPr>
        <w:rFonts w:hint="default"/>
        <w:lang w:val="en-US" w:eastAsia="zh-CN" w:bidi="ar-SA"/>
      </w:rPr>
    </w:lvl>
    <w:lvl w:ilvl="5" w:tentative="0">
      <w:start w:val="0"/>
      <w:numFmt w:val="bullet"/>
      <w:lvlText w:val="•"/>
      <w:lvlJc w:val="left"/>
      <w:pPr>
        <w:ind w:left="2343" w:hanging="401"/>
      </w:pPr>
      <w:rPr>
        <w:rFonts w:hint="default"/>
        <w:lang w:val="en-US" w:eastAsia="zh-CN" w:bidi="ar-SA"/>
      </w:rPr>
    </w:lvl>
    <w:lvl w:ilvl="6" w:tentative="0">
      <w:start w:val="0"/>
      <w:numFmt w:val="bullet"/>
      <w:lvlText w:val="•"/>
      <w:lvlJc w:val="left"/>
      <w:pPr>
        <w:ind w:left="1866" w:hanging="401"/>
      </w:pPr>
      <w:rPr>
        <w:rFonts w:hint="default"/>
        <w:lang w:val="en-US" w:eastAsia="zh-CN" w:bidi="ar-SA"/>
      </w:rPr>
    </w:lvl>
    <w:lvl w:ilvl="7" w:tentative="0">
      <w:start w:val="0"/>
      <w:numFmt w:val="bullet"/>
      <w:lvlText w:val="•"/>
      <w:lvlJc w:val="left"/>
      <w:pPr>
        <w:ind w:left="1390" w:hanging="401"/>
      </w:pPr>
      <w:rPr>
        <w:rFonts w:hint="default"/>
        <w:lang w:val="en-US" w:eastAsia="zh-CN" w:bidi="ar-SA"/>
      </w:rPr>
    </w:lvl>
    <w:lvl w:ilvl="8" w:tentative="0">
      <w:start w:val="0"/>
      <w:numFmt w:val="bullet"/>
      <w:lvlText w:val="•"/>
      <w:lvlJc w:val="left"/>
      <w:pPr>
        <w:ind w:left="913" w:hanging="401"/>
      </w:pPr>
      <w:rPr>
        <w:rFonts w:hint="default"/>
        <w:lang w:val="en-US" w:eastAsia="zh-CN" w:bidi="ar-SA"/>
      </w:rPr>
    </w:lvl>
  </w:abstractNum>
  <w:abstractNum w:abstractNumId="30">
    <w:nsid w:val="B88D21A8"/>
    <w:multiLevelType w:val="multilevel"/>
    <w:tmpl w:val="B88D21A8"/>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1">
    <w:nsid w:val="B8CEF35B"/>
    <w:multiLevelType w:val="multilevel"/>
    <w:tmpl w:val="B8CEF35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2">
    <w:nsid w:val="BB64CFA9"/>
    <w:multiLevelType w:val="multilevel"/>
    <w:tmpl w:val="BB64CFA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3">
    <w:nsid w:val="BCECA0B4"/>
    <w:multiLevelType w:val="multilevel"/>
    <w:tmpl w:val="BCECA0B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4">
    <w:nsid w:val="BDA1395C"/>
    <w:multiLevelType w:val="multilevel"/>
    <w:tmpl w:val="BDA1395C"/>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5">
    <w:nsid w:val="BE8A4F4C"/>
    <w:multiLevelType w:val="multilevel"/>
    <w:tmpl w:val="BE8A4F4C"/>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6">
    <w:nsid w:val="BE923771"/>
    <w:multiLevelType w:val="multilevel"/>
    <w:tmpl w:val="BE923771"/>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7">
    <w:nsid w:val="BF50FE6B"/>
    <w:multiLevelType w:val="multilevel"/>
    <w:tmpl w:val="BF50FE6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8">
    <w:nsid w:val="C0915F4F"/>
    <w:multiLevelType w:val="multilevel"/>
    <w:tmpl w:val="C0915F4F"/>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39">
    <w:nsid w:val="C4E0D24A"/>
    <w:multiLevelType w:val="multilevel"/>
    <w:tmpl w:val="C4E0D24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0">
    <w:nsid w:val="C8879AEF"/>
    <w:multiLevelType w:val="multilevel"/>
    <w:tmpl w:val="C8879AEF"/>
    <w:lvl w:ilvl="0" w:tentative="0">
      <w:start w:val="1"/>
      <w:numFmt w:val="decimal"/>
      <w:lvlText w:val="（%1）"/>
      <w:lvlJc w:val="left"/>
      <w:pPr>
        <w:ind w:left="9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1604" w:hanging="720"/>
      </w:pPr>
      <w:rPr>
        <w:rFonts w:hint="default"/>
        <w:lang w:val="en-US" w:eastAsia="zh-CN" w:bidi="ar-SA"/>
      </w:rPr>
    </w:lvl>
    <w:lvl w:ilvl="2" w:tentative="0">
      <w:start w:val="0"/>
      <w:numFmt w:val="bullet"/>
      <w:lvlText w:val="•"/>
      <w:lvlJc w:val="left"/>
      <w:pPr>
        <w:ind w:left="2269" w:hanging="720"/>
      </w:pPr>
      <w:rPr>
        <w:rFonts w:hint="default"/>
        <w:lang w:val="en-US" w:eastAsia="zh-CN" w:bidi="ar-SA"/>
      </w:rPr>
    </w:lvl>
    <w:lvl w:ilvl="3" w:tentative="0">
      <w:start w:val="0"/>
      <w:numFmt w:val="bullet"/>
      <w:lvlText w:val="•"/>
      <w:lvlJc w:val="left"/>
      <w:pPr>
        <w:ind w:left="2933" w:hanging="720"/>
      </w:pPr>
      <w:rPr>
        <w:rFonts w:hint="default"/>
        <w:lang w:val="en-US" w:eastAsia="zh-CN" w:bidi="ar-SA"/>
      </w:rPr>
    </w:lvl>
    <w:lvl w:ilvl="4" w:tentative="0">
      <w:start w:val="0"/>
      <w:numFmt w:val="bullet"/>
      <w:lvlText w:val="•"/>
      <w:lvlJc w:val="left"/>
      <w:pPr>
        <w:ind w:left="3598" w:hanging="720"/>
      </w:pPr>
      <w:rPr>
        <w:rFonts w:hint="default"/>
        <w:lang w:val="en-US" w:eastAsia="zh-CN" w:bidi="ar-SA"/>
      </w:rPr>
    </w:lvl>
    <w:lvl w:ilvl="5" w:tentative="0">
      <w:start w:val="0"/>
      <w:numFmt w:val="bullet"/>
      <w:lvlText w:val="•"/>
      <w:lvlJc w:val="left"/>
      <w:pPr>
        <w:ind w:left="4262" w:hanging="720"/>
      </w:pPr>
      <w:rPr>
        <w:rFonts w:hint="default"/>
        <w:lang w:val="en-US" w:eastAsia="zh-CN" w:bidi="ar-SA"/>
      </w:rPr>
    </w:lvl>
    <w:lvl w:ilvl="6" w:tentative="0">
      <w:start w:val="0"/>
      <w:numFmt w:val="bullet"/>
      <w:lvlText w:val="•"/>
      <w:lvlJc w:val="left"/>
      <w:pPr>
        <w:ind w:left="4927" w:hanging="720"/>
      </w:pPr>
      <w:rPr>
        <w:rFonts w:hint="default"/>
        <w:lang w:val="en-US" w:eastAsia="zh-CN" w:bidi="ar-SA"/>
      </w:rPr>
    </w:lvl>
    <w:lvl w:ilvl="7" w:tentative="0">
      <w:start w:val="0"/>
      <w:numFmt w:val="bullet"/>
      <w:lvlText w:val="•"/>
      <w:lvlJc w:val="left"/>
      <w:pPr>
        <w:ind w:left="5591" w:hanging="720"/>
      </w:pPr>
      <w:rPr>
        <w:rFonts w:hint="default"/>
        <w:lang w:val="en-US" w:eastAsia="zh-CN" w:bidi="ar-SA"/>
      </w:rPr>
    </w:lvl>
    <w:lvl w:ilvl="8" w:tentative="0">
      <w:start w:val="0"/>
      <w:numFmt w:val="bullet"/>
      <w:lvlText w:val="•"/>
      <w:lvlJc w:val="left"/>
      <w:pPr>
        <w:ind w:left="6256" w:hanging="720"/>
      </w:pPr>
      <w:rPr>
        <w:rFonts w:hint="default"/>
        <w:lang w:val="en-US" w:eastAsia="zh-CN" w:bidi="ar-SA"/>
      </w:rPr>
    </w:lvl>
  </w:abstractNum>
  <w:abstractNum w:abstractNumId="41">
    <w:nsid w:val="C90D1B09"/>
    <w:multiLevelType w:val="multilevel"/>
    <w:tmpl w:val="C90D1B0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2">
    <w:nsid w:val="CD699D1D"/>
    <w:multiLevelType w:val="multilevel"/>
    <w:tmpl w:val="CD699D1D"/>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3">
    <w:nsid w:val="D1EB1714"/>
    <w:multiLevelType w:val="multilevel"/>
    <w:tmpl w:val="D1EB171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4">
    <w:nsid w:val="D7D140E4"/>
    <w:multiLevelType w:val="multilevel"/>
    <w:tmpl w:val="D7D140E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5">
    <w:nsid w:val="D7F9FE59"/>
    <w:multiLevelType w:val="multilevel"/>
    <w:tmpl w:val="D7F9FE59"/>
    <w:lvl w:ilvl="0" w:tentative="0">
      <w:start w:val="1"/>
      <w:numFmt w:val="decimal"/>
      <w:lvlText w:val="（%1）"/>
      <w:lvlJc w:val="left"/>
      <w:pPr>
        <w:ind w:left="3013" w:hanging="528"/>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3756" w:hanging="528"/>
      </w:pPr>
      <w:rPr>
        <w:rFonts w:hint="default"/>
        <w:lang w:val="en-US" w:eastAsia="zh-CN" w:bidi="ar-SA"/>
      </w:rPr>
    </w:lvl>
    <w:lvl w:ilvl="2" w:tentative="0">
      <w:start w:val="0"/>
      <w:numFmt w:val="bullet"/>
      <w:lvlText w:val="•"/>
      <w:lvlJc w:val="left"/>
      <w:pPr>
        <w:ind w:left="4493" w:hanging="528"/>
      </w:pPr>
      <w:rPr>
        <w:rFonts w:hint="default"/>
        <w:lang w:val="en-US" w:eastAsia="zh-CN" w:bidi="ar-SA"/>
      </w:rPr>
    </w:lvl>
    <w:lvl w:ilvl="3" w:tentative="0">
      <w:start w:val="0"/>
      <w:numFmt w:val="bullet"/>
      <w:lvlText w:val="•"/>
      <w:lvlJc w:val="left"/>
      <w:pPr>
        <w:ind w:left="5229" w:hanging="528"/>
      </w:pPr>
      <w:rPr>
        <w:rFonts w:hint="default"/>
        <w:lang w:val="en-US" w:eastAsia="zh-CN" w:bidi="ar-SA"/>
      </w:rPr>
    </w:lvl>
    <w:lvl w:ilvl="4" w:tentative="0">
      <w:start w:val="0"/>
      <w:numFmt w:val="bullet"/>
      <w:lvlText w:val="•"/>
      <w:lvlJc w:val="left"/>
      <w:pPr>
        <w:ind w:left="5966" w:hanging="528"/>
      </w:pPr>
      <w:rPr>
        <w:rFonts w:hint="default"/>
        <w:lang w:val="en-US" w:eastAsia="zh-CN" w:bidi="ar-SA"/>
      </w:rPr>
    </w:lvl>
    <w:lvl w:ilvl="5" w:tentative="0">
      <w:start w:val="0"/>
      <w:numFmt w:val="bullet"/>
      <w:lvlText w:val="•"/>
      <w:lvlJc w:val="left"/>
      <w:pPr>
        <w:ind w:left="6703" w:hanging="528"/>
      </w:pPr>
      <w:rPr>
        <w:rFonts w:hint="default"/>
        <w:lang w:val="en-US" w:eastAsia="zh-CN" w:bidi="ar-SA"/>
      </w:rPr>
    </w:lvl>
    <w:lvl w:ilvl="6" w:tentative="0">
      <w:start w:val="0"/>
      <w:numFmt w:val="bullet"/>
      <w:lvlText w:val="•"/>
      <w:lvlJc w:val="left"/>
      <w:pPr>
        <w:ind w:left="7439" w:hanging="528"/>
      </w:pPr>
      <w:rPr>
        <w:rFonts w:hint="default"/>
        <w:lang w:val="en-US" w:eastAsia="zh-CN" w:bidi="ar-SA"/>
      </w:rPr>
    </w:lvl>
    <w:lvl w:ilvl="7" w:tentative="0">
      <w:start w:val="0"/>
      <w:numFmt w:val="bullet"/>
      <w:lvlText w:val="•"/>
      <w:lvlJc w:val="left"/>
      <w:pPr>
        <w:ind w:left="8176" w:hanging="528"/>
      </w:pPr>
      <w:rPr>
        <w:rFonts w:hint="default"/>
        <w:lang w:val="en-US" w:eastAsia="zh-CN" w:bidi="ar-SA"/>
      </w:rPr>
    </w:lvl>
    <w:lvl w:ilvl="8" w:tentative="0">
      <w:start w:val="0"/>
      <w:numFmt w:val="bullet"/>
      <w:lvlText w:val="•"/>
      <w:lvlJc w:val="left"/>
      <w:pPr>
        <w:ind w:left="8912" w:hanging="528"/>
      </w:pPr>
      <w:rPr>
        <w:rFonts w:hint="default"/>
        <w:lang w:val="en-US" w:eastAsia="zh-CN" w:bidi="ar-SA"/>
      </w:rPr>
    </w:lvl>
  </w:abstractNum>
  <w:abstractNum w:abstractNumId="46">
    <w:nsid w:val="DAD3A854"/>
    <w:multiLevelType w:val="multilevel"/>
    <w:tmpl w:val="DAD3A85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7">
    <w:nsid w:val="DCBA6B53"/>
    <w:multiLevelType w:val="multilevel"/>
    <w:tmpl w:val="DCBA6B53"/>
    <w:lvl w:ilvl="0" w:tentative="0">
      <w:start w:val="1"/>
      <w:numFmt w:val="decimal"/>
      <w:lvlText w:val="（%1）"/>
      <w:lvlJc w:val="left"/>
      <w:pPr>
        <w:ind w:left="37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4404" w:hanging="720"/>
      </w:pPr>
      <w:rPr>
        <w:rFonts w:hint="default"/>
        <w:lang w:val="en-US" w:eastAsia="zh-CN" w:bidi="ar-SA"/>
      </w:rPr>
    </w:lvl>
    <w:lvl w:ilvl="2" w:tentative="0">
      <w:start w:val="0"/>
      <w:numFmt w:val="bullet"/>
      <w:lvlText w:val="•"/>
      <w:lvlJc w:val="left"/>
      <w:pPr>
        <w:ind w:left="5069" w:hanging="720"/>
      </w:pPr>
      <w:rPr>
        <w:rFonts w:hint="default"/>
        <w:lang w:val="en-US" w:eastAsia="zh-CN" w:bidi="ar-SA"/>
      </w:rPr>
    </w:lvl>
    <w:lvl w:ilvl="3" w:tentative="0">
      <w:start w:val="0"/>
      <w:numFmt w:val="bullet"/>
      <w:lvlText w:val="•"/>
      <w:lvlJc w:val="left"/>
      <w:pPr>
        <w:ind w:left="5733" w:hanging="720"/>
      </w:pPr>
      <w:rPr>
        <w:rFonts w:hint="default"/>
        <w:lang w:val="en-US" w:eastAsia="zh-CN" w:bidi="ar-SA"/>
      </w:rPr>
    </w:lvl>
    <w:lvl w:ilvl="4" w:tentative="0">
      <w:start w:val="0"/>
      <w:numFmt w:val="bullet"/>
      <w:lvlText w:val="•"/>
      <w:lvlJc w:val="left"/>
      <w:pPr>
        <w:ind w:left="6398" w:hanging="720"/>
      </w:pPr>
      <w:rPr>
        <w:rFonts w:hint="default"/>
        <w:lang w:val="en-US" w:eastAsia="zh-CN" w:bidi="ar-SA"/>
      </w:rPr>
    </w:lvl>
    <w:lvl w:ilvl="5" w:tentative="0">
      <w:start w:val="0"/>
      <w:numFmt w:val="bullet"/>
      <w:lvlText w:val="•"/>
      <w:lvlJc w:val="left"/>
      <w:pPr>
        <w:ind w:left="7063" w:hanging="720"/>
      </w:pPr>
      <w:rPr>
        <w:rFonts w:hint="default"/>
        <w:lang w:val="en-US" w:eastAsia="zh-CN" w:bidi="ar-SA"/>
      </w:rPr>
    </w:lvl>
    <w:lvl w:ilvl="6" w:tentative="0">
      <w:start w:val="0"/>
      <w:numFmt w:val="bullet"/>
      <w:lvlText w:val="•"/>
      <w:lvlJc w:val="left"/>
      <w:pPr>
        <w:ind w:left="7727" w:hanging="720"/>
      </w:pPr>
      <w:rPr>
        <w:rFonts w:hint="default"/>
        <w:lang w:val="en-US" w:eastAsia="zh-CN" w:bidi="ar-SA"/>
      </w:rPr>
    </w:lvl>
    <w:lvl w:ilvl="7" w:tentative="0">
      <w:start w:val="0"/>
      <w:numFmt w:val="bullet"/>
      <w:lvlText w:val="•"/>
      <w:lvlJc w:val="left"/>
      <w:pPr>
        <w:ind w:left="8392" w:hanging="720"/>
      </w:pPr>
      <w:rPr>
        <w:rFonts w:hint="default"/>
        <w:lang w:val="en-US" w:eastAsia="zh-CN" w:bidi="ar-SA"/>
      </w:rPr>
    </w:lvl>
    <w:lvl w:ilvl="8" w:tentative="0">
      <w:start w:val="0"/>
      <w:numFmt w:val="bullet"/>
      <w:lvlText w:val="•"/>
      <w:lvlJc w:val="left"/>
      <w:pPr>
        <w:ind w:left="9056" w:hanging="720"/>
      </w:pPr>
      <w:rPr>
        <w:rFonts w:hint="default"/>
        <w:lang w:val="en-US" w:eastAsia="zh-CN" w:bidi="ar-SA"/>
      </w:rPr>
    </w:lvl>
  </w:abstractNum>
  <w:abstractNum w:abstractNumId="48">
    <w:nsid w:val="E0294EC7"/>
    <w:multiLevelType w:val="multilevel"/>
    <w:tmpl w:val="E0294EC7"/>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49">
    <w:nsid w:val="E093A4B0"/>
    <w:multiLevelType w:val="multilevel"/>
    <w:tmpl w:val="E093A4B0"/>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0">
    <w:nsid w:val="E504947C"/>
    <w:multiLevelType w:val="multilevel"/>
    <w:tmpl w:val="E504947C"/>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1">
    <w:nsid w:val="E52D9448"/>
    <w:multiLevelType w:val="multilevel"/>
    <w:tmpl w:val="E52D9448"/>
    <w:lvl w:ilvl="0" w:tentative="0">
      <w:start w:val="1"/>
      <w:numFmt w:val="decimal"/>
      <w:lvlText w:val="（%1）"/>
      <w:lvlJc w:val="left"/>
      <w:pPr>
        <w:ind w:left="3013" w:hanging="528"/>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3756" w:hanging="528"/>
      </w:pPr>
      <w:rPr>
        <w:rFonts w:hint="default"/>
        <w:lang w:val="en-US" w:eastAsia="zh-CN" w:bidi="ar-SA"/>
      </w:rPr>
    </w:lvl>
    <w:lvl w:ilvl="2" w:tentative="0">
      <w:start w:val="0"/>
      <w:numFmt w:val="bullet"/>
      <w:lvlText w:val="•"/>
      <w:lvlJc w:val="left"/>
      <w:pPr>
        <w:ind w:left="4493" w:hanging="528"/>
      </w:pPr>
      <w:rPr>
        <w:rFonts w:hint="default"/>
        <w:lang w:val="en-US" w:eastAsia="zh-CN" w:bidi="ar-SA"/>
      </w:rPr>
    </w:lvl>
    <w:lvl w:ilvl="3" w:tentative="0">
      <w:start w:val="0"/>
      <w:numFmt w:val="bullet"/>
      <w:lvlText w:val="•"/>
      <w:lvlJc w:val="left"/>
      <w:pPr>
        <w:ind w:left="5229" w:hanging="528"/>
      </w:pPr>
      <w:rPr>
        <w:rFonts w:hint="default"/>
        <w:lang w:val="en-US" w:eastAsia="zh-CN" w:bidi="ar-SA"/>
      </w:rPr>
    </w:lvl>
    <w:lvl w:ilvl="4" w:tentative="0">
      <w:start w:val="0"/>
      <w:numFmt w:val="bullet"/>
      <w:lvlText w:val="•"/>
      <w:lvlJc w:val="left"/>
      <w:pPr>
        <w:ind w:left="5966" w:hanging="528"/>
      </w:pPr>
      <w:rPr>
        <w:rFonts w:hint="default"/>
        <w:lang w:val="en-US" w:eastAsia="zh-CN" w:bidi="ar-SA"/>
      </w:rPr>
    </w:lvl>
    <w:lvl w:ilvl="5" w:tentative="0">
      <w:start w:val="0"/>
      <w:numFmt w:val="bullet"/>
      <w:lvlText w:val="•"/>
      <w:lvlJc w:val="left"/>
      <w:pPr>
        <w:ind w:left="6703" w:hanging="528"/>
      </w:pPr>
      <w:rPr>
        <w:rFonts w:hint="default"/>
        <w:lang w:val="en-US" w:eastAsia="zh-CN" w:bidi="ar-SA"/>
      </w:rPr>
    </w:lvl>
    <w:lvl w:ilvl="6" w:tentative="0">
      <w:start w:val="0"/>
      <w:numFmt w:val="bullet"/>
      <w:lvlText w:val="•"/>
      <w:lvlJc w:val="left"/>
      <w:pPr>
        <w:ind w:left="7439" w:hanging="528"/>
      </w:pPr>
      <w:rPr>
        <w:rFonts w:hint="default"/>
        <w:lang w:val="en-US" w:eastAsia="zh-CN" w:bidi="ar-SA"/>
      </w:rPr>
    </w:lvl>
    <w:lvl w:ilvl="7" w:tentative="0">
      <w:start w:val="0"/>
      <w:numFmt w:val="bullet"/>
      <w:lvlText w:val="•"/>
      <w:lvlJc w:val="left"/>
      <w:pPr>
        <w:ind w:left="8176" w:hanging="528"/>
      </w:pPr>
      <w:rPr>
        <w:rFonts w:hint="default"/>
        <w:lang w:val="en-US" w:eastAsia="zh-CN" w:bidi="ar-SA"/>
      </w:rPr>
    </w:lvl>
    <w:lvl w:ilvl="8" w:tentative="0">
      <w:start w:val="0"/>
      <w:numFmt w:val="bullet"/>
      <w:lvlText w:val="•"/>
      <w:lvlJc w:val="left"/>
      <w:pPr>
        <w:ind w:left="8912" w:hanging="528"/>
      </w:pPr>
      <w:rPr>
        <w:rFonts w:hint="default"/>
        <w:lang w:val="en-US" w:eastAsia="zh-CN" w:bidi="ar-SA"/>
      </w:rPr>
    </w:lvl>
  </w:abstractNum>
  <w:abstractNum w:abstractNumId="52">
    <w:nsid w:val="E7B27C5B"/>
    <w:multiLevelType w:val="multilevel"/>
    <w:tmpl w:val="E7B27C5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3">
    <w:nsid w:val="F0E89278"/>
    <w:multiLevelType w:val="multilevel"/>
    <w:tmpl w:val="F0E89278"/>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4">
    <w:nsid w:val="F3A33954"/>
    <w:multiLevelType w:val="multilevel"/>
    <w:tmpl w:val="F3A33954"/>
    <w:lvl w:ilvl="0" w:tentative="0">
      <w:start w:val="1"/>
      <w:numFmt w:val="decimal"/>
      <w:lvlText w:val="%1)"/>
      <w:lvlJc w:val="left"/>
      <w:pPr>
        <w:ind w:left="893"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1617" w:hanging="720"/>
      </w:pPr>
      <w:rPr>
        <w:rFonts w:hint="default"/>
        <w:lang w:val="en-US" w:eastAsia="zh-CN" w:bidi="ar-SA"/>
      </w:rPr>
    </w:lvl>
    <w:lvl w:ilvl="2" w:tentative="0">
      <w:start w:val="0"/>
      <w:numFmt w:val="bullet"/>
      <w:lvlText w:val="•"/>
      <w:lvlJc w:val="left"/>
      <w:pPr>
        <w:ind w:left="2334" w:hanging="720"/>
      </w:pPr>
      <w:rPr>
        <w:rFonts w:hint="default"/>
        <w:lang w:val="en-US" w:eastAsia="zh-CN" w:bidi="ar-SA"/>
      </w:rPr>
    </w:lvl>
    <w:lvl w:ilvl="3" w:tentative="0">
      <w:start w:val="0"/>
      <w:numFmt w:val="bullet"/>
      <w:lvlText w:val="•"/>
      <w:lvlJc w:val="left"/>
      <w:pPr>
        <w:ind w:left="3052" w:hanging="720"/>
      </w:pPr>
      <w:rPr>
        <w:rFonts w:hint="default"/>
        <w:lang w:val="en-US" w:eastAsia="zh-CN" w:bidi="ar-SA"/>
      </w:rPr>
    </w:lvl>
    <w:lvl w:ilvl="4" w:tentative="0">
      <w:start w:val="0"/>
      <w:numFmt w:val="bullet"/>
      <w:lvlText w:val="•"/>
      <w:lvlJc w:val="left"/>
      <w:pPr>
        <w:ind w:left="3769" w:hanging="720"/>
      </w:pPr>
      <w:rPr>
        <w:rFonts w:hint="default"/>
        <w:lang w:val="en-US" w:eastAsia="zh-CN" w:bidi="ar-SA"/>
      </w:rPr>
    </w:lvl>
    <w:lvl w:ilvl="5" w:tentative="0">
      <w:start w:val="0"/>
      <w:numFmt w:val="bullet"/>
      <w:lvlText w:val="•"/>
      <w:lvlJc w:val="left"/>
      <w:pPr>
        <w:ind w:left="4486" w:hanging="720"/>
      </w:pPr>
      <w:rPr>
        <w:rFonts w:hint="default"/>
        <w:lang w:val="en-US" w:eastAsia="zh-CN" w:bidi="ar-SA"/>
      </w:rPr>
    </w:lvl>
    <w:lvl w:ilvl="6" w:tentative="0">
      <w:start w:val="0"/>
      <w:numFmt w:val="bullet"/>
      <w:lvlText w:val="•"/>
      <w:lvlJc w:val="left"/>
      <w:pPr>
        <w:ind w:left="5204" w:hanging="720"/>
      </w:pPr>
      <w:rPr>
        <w:rFonts w:hint="default"/>
        <w:lang w:val="en-US" w:eastAsia="zh-CN" w:bidi="ar-SA"/>
      </w:rPr>
    </w:lvl>
    <w:lvl w:ilvl="7" w:tentative="0">
      <w:start w:val="0"/>
      <w:numFmt w:val="bullet"/>
      <w:lvlText w:val="•"/>
      <w:lvlJc w:val="left"/>
      <w:pPr>
        <w:ind w:left="5921" w:hanging="720"/>
      </w:pPr>
      <w:rPr>
        <w:rFonts w:hint="default"/>
        <w:lang w:val="en-US" w:eastAsia="zh-CN" w:bidi="ar-SA"/>
      </w:rPr>
    </w:lvl>
    <w:lvl w:ilvl="8" w:tentative="0">
      <w:start w:val="0"/>
      <w:numFmt w:val="bullet"/>
      <w:lvlText w:val="•"/>
      <w:lvlJc w:val="left"/>
      <w:pPr>
        <w:ind w:left="6639" w:hanging="720"/>
      </w:pPr>
      <w:rPr>
        <w:rFonts w:hint="default"/>
        <w:lang w:val="en-US" w:eastAsia="zh-CN" w:bidi="ar-SA"/>
      </w:rPr>
    </w:lvl>
  </w:abstractNum>
  <w:abstractNum w:abstractNumId="55">
    <w:nsid w:val="F4A942FE"/>
    <w:multiLevelType w:val="multilevel"/>
    <w:tmpl w:val="F4A942FE"/>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6">
    <w:nsid w:val="F4B5D9F5"/>
    <w:multiLevelType w:val="multilevel"/>
    <w:tmpl w:val="F4B5D9F5"/>
    <w:lvl w:ilvl="0" w:tentative="0">
      <w:start w:val="1"/>
      <w:numFmt w:val="decimal"/>
      <w:lvlText w:val="（%1）"/>
      <w:lvlJc w:val="left"/>
      <w:pPr>
        <w:ind w:left="746" w:hanging="527"/>
        <w:jc w:val="righ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24" w:hanging="527"/>
      </w:pPr>
      <w:rPr>
        <w:rFonts w:hint="default"/>
        <w:lang w:val="en-US" w:eastAsia="zh-CN" w:bidi="ar-SA"/>
      </w:rPr>
    </w:lvl>
    <w:lvl w:ilvl="2" w:tentative="0">
      <w:start w:val="0"/>
      <w:numFmt w:val="bullet"/>
      <w:lvlText w:val="•"/>
      <w:lvlJc w:val="left"/>
      <w:pPr>
        <w:ind w:left="2109" w:hanging="527"/>
      </w:pPr>
      <w:rPr>
        <w:rFonts w:hint="default"/>
        <w:lang w:val="en-US" w:eastAsia="zh-CN" w:bidi="ar-SA"/>
      </w:rPr>
    </w:lvl>
    <w:lvl w:ilvl="3" w:tentative="0">
      <w:start w:val="0"/>
      <w:numFmt w:val="bullet"/>
      <w:lvlText w:val="•"/>
      <w:lvlJc w:val="left"/>
      <w:pPr>
        <w:ind w:left="2793" w:hanging="527"/>
      </w:pPr>
      <w:rPr>
        <w:rFonts w:hint="default"/>
        <w:lang w:val="en-US" w:eastAsia="zh-CN" w:bidi="ar-SA"/>
      </w:rPr>
    </w:lvl>
    <w:lvl w:ilvl="4" w:tentative="0">
      <w:start w:val="0"/>
      <w:numFmt w:val="bullet"/>
      <w:lvlText w:val="•"/>
      <w:lvlJc w:val="left"/>
      <w:pPr>
        <w:ind w:left="3478" w:hanging="527"/>
      </w:pPr>
      <w:rPr>
        <w:rFonts w:hint="default"/>
        <w:lang w:val="en-US" w:eastAsia="zh-CN" w:bidi="ar-SA"/>
      </w:rPr>
    </w:lvl>
    <w:lvl w:ilvl="5" w:tentative="0">
      <w:start w:val="0"/>
      <w:numFmt w:val="bullet"/>
      <w:lvlText w:val="•"/>
      <w:lvlJc w:val="left"/>
      <w:pPr>
        <w:ind w:left="4162" w:hanging="527"/>
      </w:pPr>
      <w:rPr>
        <w:rFonts w:hint="default"/>
        <w:lang w:val="en-US" w:eastAsia="zh-CN" w:bidi="ar-SA"/>
      </w:rPr>
    </w:lvl>
    <w:lvl w:ilvl="6" w:tentative="0">
      <w:start w:val="0"/>
      <w:numFmt w:val="bullet"/>
      <w:lvlText w:val="•"/>
      <w:lvlJc w:val="left"/>
      <w:pPr>
        <w:ind w:left="4847" w:hanging="527"/>
      </w:pPr>
      <w:rPr>
        <w:rFonts w:hint="default"/>
        <w:lang w:val="en-US" w:eastAsia="zh-CN" w:bidi="ar-SA"/>
      </w:rPr>
    </w:lvl>
    <w:lvl w:ilvl="7" w:tentative="0">
      <w:start w:val="0"/>
      <w:numFmt w:val="bullet"/>
      <w:lvlText w:val="•"/>
      <w:lvlJc w:val="left"/>
      <w:pPr>
        <w:ind w:left="5531" w:hanging="527"/>
      </w:pPr>
      <w:rPr>
        <w:rFonts w:hint="default"/>
        <w:lang w:val="en-US" w:eastAsia="zh-CN" w:bidi="ar-SA"/>
      </w:rPr>
    </w:lvl>
    <w:lvl w:ilvl="8" w:tentative="0">
      <w:start w:val="0"/>
      <w:numFmt w:val="bullet"/>
      <w:lvlText w:val="•"/>
      <w:lvlJc w:val="left"/>
      <w:pPr>
        <w:ind w:left="6216" w:hanging="527"/>
      </w:pPr>
      <w:rPr>
        <w:rFonts w:hint="default"/>
        <w:lang w:val="en-US" w:eastAsia="zh-CN" w:bidi="ar-SA"/>
      </w:rPr>
    </w:lvl>
  </w:abstractNum>
  <w:abstractNum w:abstractNumId="57">
    <w:nsid w:val="F585BF25"/>
    <w:multiLevelType w:val="multilevel"/>
    <w:tmpl w:val="F585BF2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8">
    <w:nsid w:val="F689643B"/>
    <w:multiLevelType w:val="multilevel"/>
    <w:tmpl w:val="F689643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59">
    <w:nsid w:val="F7735DC9"/>
    <w:multiLevelType w:val="multilevel"/>
    <w:tmpl w:val="F7735DC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0">
    <w:nsid w:val="FEC2EA36"/>
    <w:multiLevelType w:val="multilevel"/>
    <w:tmpl w:val="FEC2EA3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1">
    <w:nsid w:val="01836A6D"/>
    <w:multiLevelType w:val="multilevel"/>
    <w:tmpl w:val="01836A6D"/>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2">
    <w:nsid w:val="0248C179"/>
    <w:multiLevelType w:val="multilevel"/>
    <w:tmpl w:val="0248C179"/>
    <w:lvl w:ilvl="0" w:tentative="0">
      <w:start w:val="1"/>
      <w:numFmt w:val="decimal"/>
      <w:lvlText w:val="（%1）"/>
      <w:lvlJc w:val="left"/>
      <w:pPr>
        <w:ind w:left="9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2"/>
      <w:numFmt w:val="decimal"/>
      <w:lvlText w:val="（%2）"/>
      <w:lvlJc w:val="left"/>
      <w:pPr>
        <w:ind w:left="3740" w:hanging="7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167" w:hanging="720"/>
      </w:pPr>
      <w:rPr>
        <w:rFonts w:hint="default"/>
        <w:lang w:val="en-US" w:eastAsia="zh-CN" w:bidi="ar-SA"/>
      </w:rPr>
    </w:lvl>
    <w:lvl w:ilvl="3" w:tentative="0">
      <w:start w:val="0"/>
      <w:numFmt w:val="bullet"/>
      <w:lvlText w:val="•"/>
      <w:lvlJc w:val="left"/>
      <w:pPr>
        <w:ind w:left="4594" w:hanging="720"/>
      </w:pPr>
      <w:rPr>
        <w:rFonts w:hint="default"/>
        <w:lang w:val="en-US" w:eastAsia="zh-CN" w:bidi="ar-SA"/>
      </w:rPr>
    </w:lvl>
    <w:lvl w:ilvl="4" w:tentative="0">
      <w:start w:val="0"/>
      <w:numFmt w:val="bullet"/>
      <w:lvlText w:val="•"/>
      <w:lvlJc w:val="left"/>
      <w:pPr>
        <w:ind w:left="5021" w:hanging="720"/>
      </w:pPr>
      <w:rPr>
        <w:rFonts w:hint="default"/>
        <w:lang w:val="en-US" w:eastAsia="zh-CN" w:bidi="ar-SA"/>
      </w:rPr>
    </w:lvl>
    <w:lvl w:ilvl="5" w:tentative="0">
      <w:start w:val="0"/>
      <w:numFmt w:val="bullet"/>
      <w:lvlText w:val="•"/>
      <w:lvlJc w:val="left"/>
      <w:pPr>
        <w:ind w:left="5448" w:hanging="720"/>
      </w:pPr>
      <w:rPr>
        <w:rFonts w:hint="default"/>
        <w:lang w:val="en-US" w:eastAsia="zh-CN" w:bidi="ar-SA"/>
      </w:rPr>
    </w:lvl>
    <w:lvl w:ilvl="6" w:tentative="0">
      <w:start w:val="0"/>
      <w:numFmt w:val="bullet"/>
      <w:lvlText w:val="•"/>
      <w:lvlJc w:val="left"/>
      <w:pPr>
        <w:ind w:left="5876" w:hanging="720"/>
      </w:pPr>
      <w:rPr>
        <w:rFonts w:hint="default"/>
        <w:lang w:val="en-US" w:eastAsia="zh-CN" w:bidi="ar-SA"/>
      </w:rPr>
    </w:lvl>
    <w:lvl w:ilvl="7" w:tentative="0">
      <w:start w:val="0"/>
      <w:numFmt w:val="bullet"/>
      <w:lvlText w:val="•"/>
      <w:lvlJc w:val="left"/>
      <w:pPr>
        <w:ind w:left="6303" w:hanging="720"/>
      </w:pPr>
      <w:rPr>
        <w:rFonts w:hint="default"/>
        <w:lang w:val="en-US" w:eastAsia="zh-CN" w:bidi="ar-SA"/>
      </w:rPr>
    </w:lvl>
    <w:lvl w:ilvl="8" w:tentative="0">
      <w:start w:val="0"/>
      <w:numFmt w:val="bullet"/>
      <w:lvlText w:val="•"/>
      <w:lvlJc w:val="left"/>
      <w:pPr>
        <w:ind w:left="6730" w:hanging="720"/>
      </w:pPr>
      <w:rPr>
        <w:rFonts w:hint="default"/>
        <w:lang w:val="en-US" w:eastAsia="zh-CN" w:bidi="ar-SA"/>
      </w:rPr>
    </w:lvl>
  </w:abstractNum>
  <w:abstractNum w:abstractNumId="63">
    <w:nsid w:val="03A63A41"/>
    <w:multiLevelType w:val="multilevel"/>
    <w:tmpl w:val="03A63A41"/>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4">
    <w:nsid w:val="03C240C0"/>
    <w:multiLevelType w:val="multilevel"/>
    <w:tmpl w:val="03C240C0"/>
    <w:lvl w:ilvl="0" w:tentative="0">
      <w:start w:val="1"/>
      <w:numFmt w:val="decimal"/>
      <w:lvlText w:val="%1)"/>
      <w:lvlJc w:val="left"/>
      <w:pPr>
        <w:ind w:left="893"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1617" w:hanging="720"/>
      </w:pPr>
      <w:rPr>
        <w:rFonts w:hint="default"/>
        <w:lang w:val="en-US" w:eastAsia="zh-CN" w:bidi="ar-SA"/>
      </w:rPr>
    </w:lvl>
    <w:lvl w:ilvl="2" w:tentative="0">
      <w:start w:val="0"/>
      <w:numFmt w:val="bullet"/>
      <w:lvlText w:val="•"/>
      <w:lvlJc w:val="left"/>
      <w:pPr>
        <w:ind w:left="2334" w:hanging="720"/>
      </w:pPr>
      <w:rPr>
        <w:rFonts w:hint="default"/>
        <w:lang w:val="en-US" w:eastAsia="zh-CN" w:bidi="ar-SA"/>
      </w:rPr>
    </w:lvl>
    <w:lvl w:ilvl="3" w:tentative="0">
      <w:start w:val="0"/>
      <w:numFmt w:val="bullet"/>
      <w:lvlText w:val="•"/>
      <w:lvlJc w:val="left"/>
      <w:pPr>
        <w:ind w:left="3052" w:hanging="720"/>
      </w:pPr>
      <w:rPr>
        <w:rFonts w:hint="default"/>
        <w:lang w:val="en-US" w:eastAsia="zh-CN" w:bidi="ar-SA"/>
      </w:rPr>
    </w:lvl>
    <w:lvl w:ilvl="4" w:tentative="0">
      <w:start w:val="0"/>
      <w:numFmt w:val="bullet"/>
      <w:lvlText w:val="•"/>
      <w:lvlJc w:val="left"/>
      <w:pPr>
        <w:ind w:left="3769" w:hanging="720"/>
      </w:pPr>
      <w:rPr>
        <w:rFonts w:hint="default"/>
        <w:lang w:val="en-US" w:eastAsia="zh-CN" w:bidi="ar-SA"/>
      </w:rPr>
    </w:lvl>
    <w:lvl w:ilvl="5" w:tentative="0">
      <w:start w:val="0"/>
      <w:numFmt w:val="bullet"/>
      <w:lvlText w:val="•"/>
      <w:lvlJc w:val="left"/>
      <w:pPr>
        <w:ind w:left="4486" w:hanging="720"/>
      </w:pPr>
      <w:rPr>
        <w:rFonts w:hint="default"/>
        <w:lang w:val="en-US" w:eastAsia="zh-CN" w:bidi="ar-SA"/>
      </w:rPr>
    </w:lvl>
    <w:lvl w:ilvl="6" w:tentative="0">
      <w:start w:val="0"/>
      <w:numFmt w:val="bullet"/>
      <w:lvlText w:val="•"/>
      <w:lvlJc w:val="left"/>
      <w:pPr>
        <w:ind w:left="5204" w:hanging="720"/>
      </w:pPr>
      <w:rPr>
        <w:rFonts w:hint="default"/>
        <w:lang w:val="en-US" w:eastAsia="zh-CN" w:bidi="ar-SA"/>
      </w:rPr>
    </w:lvl>
    <w:lvl w:ilvl="7" w:tentative="0">
      <w:start w:val="0"/>
      <w:numFmt w:val="bullet"/>
      <w:lvlText w:val="•"/>
      <w:lvlJc w:val="left"/>
      <w:pPr>
        <w:ind w:left="5921" w:hanging="720"/>
      </w:pPr>
      <w:rPr>
        <w:rFonts w:hint="default"/>
        <w:lang w:val="en-US" w:eastAsia="zh-CN" w:bidi="ar-SA"/>
      </w:rPr>
    </w:lvl>
    <w:lvl w:ilvl="8" w:tentative="0">
      <w:start w:val="0"/>
      <w:numFmt w:val="bullet"/>
      <w:lvlText w:val="•"/>
      <w:lvlJc w:val="left"/>
      <w:pPr>
        <w:ind w:left="6639" w:hanging="720"/>
      </w:pPr>
      <w:rPr>
        <w:rFonts w:hint="default"/>
        <w:lang w:val="en-US" w:eastAsia="zh-CN" w:bidi="ar-SA"/>
      </w:rPr>
    </w:lvl>
  </w:abstractNum>
  <w:abstractNum w:abstractNumId="65">
    <w:nsid w:val="03D62ECE"/>
    <w:multiLevelType w:val="multilevel"/>
    <w:tmpl w:val="03D62ECE"/>
    <w:lvl w:ilvl="0" w:tentative="0">
      <w:start w:val="1"/>
      <w:numFmt w:val="decimal"/>
      <w:lvlText w:val="%1"/>
      <w:lvlJc w:val="left"/>
      <w:pPr>
        <w:ind w:left="1321" w:hanging="1102"/>
        <w:jc w:val="left"/>
      </w:pPr>
      <w:rPr>
        <w:rFonts w:hint="default" w:ascii="宋体" w:hAnsi="宋体" w:eastAsia="宋体" w:cs="宋体"/>
        <w:b/>
        <w:bCs/>
        <w:i w:val="0"/>
        <w:iCs w:val="0"/>
        <w:w w:val="99"/>
        <w:position w:val="-6"/>
        <w:sz w:val="48"/>
        <w:szCs w:val="48"/>
        <w:lang w:val="en-US" w:eastAsia="zh-CN" w:bidi="ar-SA"/>
      </w:rPr>
    </w:lvl>
    <w:lvl w:ilvl="1" w:tentative="0">
      <w:start w:val="1"/>
      <w:numFmt w:val="decimal"/>
      <w:lvlText w:val="%1.%2"/>
      <w:lvlJc w:val="left"/>
      <w:pPr>
        <w:ind w:left="3020" w:hanging="1102"/>
        <w:jc w:val="left"/>
      </w:pPr>
      <w:rPr>
        <w:rFonts w:hint="default" w:ascii="宋体" w:hAnsi="宋体" w:eastAsia="宋体" w:cs="宋体"/>
        <w:b/>
        <w:bCs/>
        <w:i w:val="0"/>
        <w:iCs w:val="0"/>
        <w:spacing w:val="0"/>
        <w:w w:val="98"/>
        <w:position w:val="1"/>
        <w:sz w:val="21"/>
        <w:szCs w:val="21"/>
        <w:lang w:val="en-US" w:eastAsia="zh-CN" w:bidi="ar-SA"/>
      </w:rPr>
    </w:lvl>
    <w:lvl w:ilvl="2" w:tentative="0">
      <w:start w:val="1"/>
      <w:numFmt w:val="decimal"/>
      <w:lvlText w:val="%1.%2.%3"/>
      <w:lvlJc w:val="left"/>
      <w:pPr>
        <w:ind w:left="1321" w:hanging="1102"/>
        <w:jc w:val="left"/>
      </w:pPr>
      <w:rPr>
        <w:rFonts w:hint="default" w:ascii="宋体" w:hAnsi="宋体" w:eastAsia="宋体" w:cs="宋体"/>
        <w:b/>
        <w:bCs/>
        <w:i w:val="0"/>
        <w:iCs w:val="0"/>
        <w:spacing w:val="0"/>
        <w:w w:val="98"/>
        <w:sz w:val="21"/>
        <w:szCs w:val="21"/>
        <w:lang w:val="en-US" w:eastAsia="zh-CN" w:bidi="ar-SA"/>
      </w:rPr>
    </w:lvl>
    <w:lvl w:ilvl="3" w:tentative="0">
      <w:start w:val="1"/>
      <w:numFmt w:val="decimal"/>
      <w:lvlText w:val="%1.%2.%3.%4"/>
      <w:lvlJc w:val="left"/>
      <w:pPr>
        <w:ind w:left="1321" w:hanging="1102"/>
        <w:jc w:val="left"/>
      </w:pPr>
      <w:rPr>
        <w:rFonts w:hint="default"/>
        <w:spacing w:val="0"/>
        <w:w w:val="98"/>
        <w:lang w:val="en-US" w:eastAsia="zh-CN" w:bidi="ar-SA"/>
      </w:rPr>
    </w:lvl>
    <w:lvl w:ilvl="4" w:tentative="0">
      <w:start w:val="1"/>
      <w:numFmt w:val="decimal"/>
      <w:lvlText w:val="（%5）"/>
      <w:lvlJc w:val="left"/>
      <w:pPr>
        <w:ind w:left="3740" w:hanging="1102"/>
        <w:jc w:val="left"/>
      </w:pPr>
      <w:rPr>
        <w:rFonts w:hint="default" w:ascii="宋体" w:hAnsi="宋体" w:eastAsia="宋体" w:cs="宋体"/>
        <w:b w:val="0"/>
        <w:bCs w:val="0"/>
        <w:i w:val="0"/>
        <w:iCs w:val="0"/>
        <w:spacing w:val="0"/>
        <w:w w:val="99"/>
        <w:sz w:val="21"/>
        <w:szCs w:val="21"/>
        <w:lang w:val="en-US" w:eastAsia="zh-CN" w:bidi="ar-SA"/>
      </w:rPr>
    </w:lvl>
    <w:lvl w:ilvl="5" w:tentative="0">
      <w:start w:val="0"/>
      <w:numFmt w:val="bullet"/>
      <w:lvlText w:val="•"/>
      <w:lvlJc w:val="left"/>
      <w:pPr>
        <w:ind w:left="3321" w:hanging="1102"/>
      </w:pPr>
      <w:rPr>
        <w:rFonts w:hint="default"/>
        <w:lang w:val="en-US" w:eastAsia="zh-CN" w:bidi="ar-SA"/>
      </w:rPr>
    </w:lvl>
    <w:lvl w:ilvl="6" w:tentative="0">
      <w:start w:val="0"/>
      <w:numFmt w:val="bullet"/>
      <w:lvlText w:val="•"/>
      <w:lvlJc w:val="left"/>
      <w:pPr>
        <w:ind w:left="3182" w:hanging="1102"/>
      </w:pPr>
      <w:rPr>
        <w:rFonts w:hint="default"/>
        <w:lang w:val="en-US" w:eastAsia="zh-CN" w:bidi="ar-SA"/>
      </w:rPr>
    </w:lvl>
    <w:lvl w:ilvl="7" w:tentative="0">
      <w:start w:val="0"/>
      <w:numFmt w:val="bullet"/>
      <w:lvlText w:val="•"/>
      <w:lvlJc w:val="left"/>
      <w:pPr>
        <w:ind w:left="3042" w:hanging="1102"/>
      </w:pPr>
      <w:rPr>
        <w:rFonts w:hint="default"/>
        <w:lang w:val="en-US" w:eastAsia="zh-CN" w:bidi="ar-SA"/>
      </w:rPr>
    </w:lvl>
    <w:lvl w:ilvl="8" w:tentative="0">
      <w:start w:val="0"/>
      <w:numFmt w:val="bullet"/>
      <w:lvlText w:val="•"/>
      <w:lvlJc w:val="left"/>
      <w:pPr>
        <w:ind w:left="2903" w:hanging="1102"/>
      </w:pPr>
      <w:rPr>
        <w:rFonts w:hint="default"/>
        <w:lang w:val="en-US" w:eastAsia="zh-CN" w:bidi="ar-SA"/>
      </w:rPr>
    </w:lvl>
  </w:abstractNum>
  <w:abstractNum w:abstractNumId="66">
    <w:nsid w:val="0709FD3E"/>
    <w:multiLevelType w:val="multilevel"/>
    <w:tmpl w:val="0709FD3E"/>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7">
    <w:nsid w:val="0CEF100B"/>
    <w:multiLevelType w:val="multilevel"/>
    <w:tmpl w:val="0CEF100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8">
    <w:nsid w:val="0E640482"/>
    <w:multiLevelType w:val="multilevel"/>
    <w:tmpl w:val="0E640482"/>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69">
    <w:nsid w:val="0F9F9CCA"/>
    <w:multiLevelType w:val="multilevel"/>
    <w:tmpl w:val="0F9F9CC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0">
    <w:nsid w:val="10D591E5"/>
    <w:multiLevelType w:val="multilevel"/>
    <w:tmpl w:val="10D591E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625"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371" w:hanging="420"/>
      </w:pPr>
      <w:rPr>
        <w:rFonts w:hint="default"/>
        <w:lang w:val="en-US" w:eastAsia="zh-CN" w:bidi="ar-SA"/>
      </w:rPr>
    </w:lvl>
    <w:lvl w:ilvl="3" w:tentative="0">
      <w:start w:val="0"/>
      <w:numFmt w:val="bullet"/>
      <w:lvlText w:val="•"/>
      <w:lvlJc w:val="left"/>
      <w:pPr>
        <w:ind w:left="5123" w:hanging="420"/>
      </w:pPr>
      <w:rPr>
        <w:rFonts w:hint="default"/>
        <w:lang w:val="en-US" w:eastAsia="zh-CN" w:bidi="ar-SA"/>
      </w:rPr>
    </w:lvl>
    <w:lvl w:ilvl="4" w:tentative="0">
      <w:start w:val="0"/>
      <w:numFmt w:val="bullet"/>
      <w:lvlText w:val="•"/>
      <w:lvlJc w:val="left"/>
      <w:pPr>
        <w:ind w:left="5875" w:hanging="420"/>
      </w:pPr>
      <w:rPr>
        <w:rFonts w:hint="default"/>
        <w:lang w:val="en-US" w:eastAsia="zh-CN" w:bidi="ar-SA"/>
      </w:rPr>
    </w:lvl>
    <w:lvl w:ilvl="5" w:tentative="0">
      <w:start w:val="0"/>
      <w:numFmt w:val="bullet"/>
      <w:lvlText w:val="•"/>
      <w:lvlJc w:val="left"/>
      <w:pPr>
        <w:ind w:left="6627" w:hanging="420"/>
      </w:pPr>
      <w:rPr>
        <w:rFonts w:hint="default"/>
        <w:lang w:val="en-US" w:eastAsia="zh-CN" w:bidi="ar-SA"/>
      </w:rPr>
    </w:lvl>
    <w:lvl w:ilvl="6" w:tentative="0">
      <w:start w:val="0"/>
      <w:numFmt w:val="bullet"/>
      <w:lvlText w:val="•"/>
      <w:lvlJc w:val="left"/>
      <w:pPr>
        <w:ind w:left="7378" w:hanging="420"/>
      </w:pPr>
      <w:rPr>
        <w:rFonts w:hint="default"/>
        <w:lang w:val="en-US" w:eastAsia="zh-CN" w:bidi="ar-SA"/>
      </w:rPr>
    </w:lvl>
    <w:lvl w:ilvl="7" w:tentative="0">
      <w:start w:val="0"/>
      <w:numFmt w:val="bullet"/>
      <w:lvlText w:val="•"/>
      <w:lvlJc w:val="left"/>
      <w:pPr>
        <w:ind w:left="8130" w:hanging="420"/>
      </w:pPr>
      <w:rPr>
        <w:rFonts w:hint="default"/>
        <w:lang w:val="en-US" w:eastAsia="zh-CN" w:bidi="ar-SA"/>
      </w:rPr>
    </w:lvl>
    <w:lvl w:ilvl="8" w:tentative="0">
      <w:start w:val="0"/>
      <w:numFmt w:val="bullet"/>
      <w:lvlText w:val="•"/>
      <w:lvlJc w:val="left"/>
      <w:pPr>
        <w:ind w:left="8882" w:hanging="420"/>
      </w:pPr>
      <w:rPr>
        <w:rFonts w:hint="default"/>
        <w:lang w:val="en-US" w:eastAsia="zh-CN" w:bidi="ar-SA"/>
      </w:rPr>
    </w:lvl>
  </w:abstractNum>
  <w:abstractNum w:abstractNumId="71">
    <w:nsid w:val="10F0DB0B"/>
    <w:multiLevelType w:val="multilevel"/>
    <w:tmpl w:val="10F0DB0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2">
    <w:nsid w:val="12EADF99"/>
    <w:multiLevelType w:val="multilevel"/>
    <w:tmpl w:val="12EADF9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3">
    <w:nsid w:val="1450273B"/>
    <w:multiLevelType w:val="multilevel"/>
    <w:tmpl w:val="1450273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4">
    <w:nsid w:val="18F74015"/>
    <w:multiLevelType w:val="multilevel"/>
    <w:tmpl w:val="18F7401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5">
    <w:nsid w:val="1ACDE60F"/>
    <w:multiLevelType w:val="multilevel"/>
    <w:tmpl w:val="1ACDE60F"/>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6">
    <w:nsid w:val="1AD50295"/>
    <w:multiLevelType w:val="multilevel"/>
    <w:tmpl w:val="1AD5029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7">
    <w:nsid w:val="1BCBBCF0"/>
    <w:multiLevelType w:val="multilevel"/>
    <w:tmpl w:val="1BCBBCF0"/>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8">
    <w:nsid w:val="1C257C7B"/>
    <w:multiLevelType w:val="multilevel"/>
    <w:tmpl w:val="1C257C7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79">
    <w:nsid w:val="21B3B1B1"/>
    <w:multiLevelType w:val="multilevel"/>
    <w:tmpl w:val="21B3B1B1"/>
    <w:lvl w:ilvl="0" w:tentative="0">
      <w:start w:val="3"/>
      <w:numFmt w:val="decimal"/>
      <w:lvlText w:val="（%1）"/>
      <w:lvlJc w:val="left"/>
      <w:pPr>
        <w:ind w:left="701" w:hanging="528"/>
        <w:jc w:val="right"/>
      </w:pPr>
      <w:rPr>
        <w:rFonts w:hint="default" w:ascii="宋体" w:hAnsi="宋体" w:eastAsia="宋体" w:cs="宋体"/>
        <w:b/>
        <w:bCs/>
        <w:i w:val="0"/>
        <w:iCs w:val="0"/>
        <w:spacing w:val="1"/>
        <w:w w:val="98"/>
        <w:sz w:val="19"/>
        <w:szCs w:val="19"/>
        <w:lang w:val="en-US" w:eastAsia="zh-CN" w:bidi="ar-SA"/>
      </w:rPr>
    </w:lvl>
    <w:lvl w:ilvl="1" w:tentative="0">
      <w:start w:val="1"/>
      <w:numFmt w:val="decimal"/>
      <w:lvlText w:val="%2)"/>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3741" w:hanging="720"/>
      </w:pPr>
      <w:rPr>
        <w:rFonts w:hint="default"/>
        <w:lang w:val="en-US" w:eastAsia="zh-CN" w:bidi="ar-SA"/>
      </w:rPr>
    </w:lvl>
    <w:lvl w:ilvl="3" w:tentative="0">
      <w:start w:val="0"/>
      <w:numFmt w:val="bullet"/>
      <w:lvlText w:val="•"/>
      <w:lvlJc w:val="left"/>
      <w:pPr>
        <w:ind w:left="4283" w:hanging="720"/>
      </w:pPr>
      <w:rPr>
        <w:rFonts w:hint="default"/>
        <w:lang w:val="en-US" w:eastAsia="zh-CN" w:bidi="ar-SA"/>
      </w:rPr>
    </w:lvl>
    <w:lvl w:ilvl="4" w:tentative="0">
      <w:start w:val="0"/>
      <w:numFmt w:val="bullet"/>
      <w:lvlText w:val="•"/>
      <w:lvlJc w:val="left"/>
      <w:pPr>
        <w:ind w:left="4824" w:hanging="720"/>
      </w:pPr>
      <w:rPr>
        <w:rFonts w:hint="default"/>
        <w:lang w:val="en-US" w:eastAsia="zh-CN" w:bidi="ar-SA"/>
      </w:rPr>
    </w:lvl>
    <w:lvl w:ilvl="5" w:tentative="0">
      <w:start w:val="0"/>
      <w:numFmt w:val="bullet"/>
      <w:lvlText w:val="•"/>
      <w:lvlJc w:val="left"/>
      <w:pPr>
        <w:ind w:left="5366" w:hanging="720"/>
      </w:pPr>
      <w:rPr>
        <w:rFonts w:hint="default"/>
        <w:lang w:val="en-US" w:eastAsia="zh-CN" w:bidi="ar-SA"/>
      </w:rPr>
    </w:lvl>
    <w:lvl w:ilvl="6" w:tentative="0">
      <w:start w:val="0"/>
      <w:numFmt w:val="bullet"/>
      <w:lvlText w:val="•"/>
      <w:lvlJc w:val="left"/>
      <w:pPr>
        <w:ind w:left="5907" w:hanging="720"/>
      </w:pPr>
      <w:rPr>
        <w:rFonts w:hint="default"/>
        <w:lang w:val="en-US" w:eastAsia="zh-CN" w:bidi="ar-SA"/>
      </w:rPr>
    </w:lvl>
    <w:lvl w:ilvl="7" w:tentative="0">
      <w:start w:val="0"/>
      <w:numFmt w:val="bullet"/>
      <w:lvlText w:val="•"/>
      <w:lvlJc w:val="left"/>
      <w:pPr>
        <w:ind w:left="6449" w:hanging="720"/>
      </w:pPr>
      <w:rPr>
        <w:rFonts w:hint="default"/>
        <w:lang w:val="en-US" w:eastAsia="zh-CN" w:bidi="ar-SA"/>
      </w:rPr>
    </w:lvl>
    <w:lvl w:ilvl="8" w:tentative="0">
      <w:start w:val="0"/>
      <w:numFmt w:val="bullet"/>
      <w:lvlText w:val="•"/>
      <w:lvlJc w:val="left"/>
      <w:pPr>
        <w:ind w:left="6990" w:hanging="720"/>
      </w:pPr>
      <w:rPr>
        <w:rFonts w:hint="default"/>
        <w:lang w:val="en-US" w:eastAsia="zh-CN" w:bidi="ar-SA"/>
      </w:rPr>
    </w:lvl>
  </w:abstractNum>
  <w:abstractNum w:abstractNumId="80">
    <w:nsid w:val="227C9188"/>
    <w:multiLevelType w:val="multilevel"/>
    <w:tmpl w:val="227C9188"/>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81">
    <w:nsid w:val="23E97754"/>
    <w:multiLevelType w:val="multilevel"/>
    <w:tmpl w:val="23E9775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82">
    <w:nsid w:val="243FCF68"/>
    <w:multiLevelType w:val="multilevel"/>
    <w:tmpl w:val="243FCF68"/>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83">
    <w:nsid w:val="2470EC97"/>
    <w:multiLevelType w:val="multilevel"/>
    <w:tmpl w:val="2470EC97"/>
    <w:lvl w:ilvl="0" w:tentative="0">
      <w:start w:val="8"/>
      <w:numFmt w:val="decimal"/>
      <w:lvlText w:val="%1"/>
      <w:lvlJc w:val="left"/>
      <w:pPr>
        <w:ind w:left="3020" w:hanging="1102"/>
        <w:jc w:val="left"/>
      </w:pPr>
      <w:rPr>
        <w:rFonts w:hint="default"/>
        <w:lang w:val="en-US" w:eastAsia="zh-CN" w:bidi="ar-SA"/>
      </w:rPr>
    </w:lvl>
    <w:lvl w:ilvl="1" w:tentative="0">
      <w:start w:val="3"/>
      <w:numFmt w:val="decimal"/>
      <w:lvlText w:val="%1.%2"/>
      <w:lvlJc w:val="left"/>
      <w:pPr>
        <w:ind w:left="3020" w:hanging="1102"/>
        <w:jc w:val="left"/>
      </w:pPr>
      <w:rPr>
        <w:rFonts w:hint="default" w:ascii="宋体" w:hAnsi="宋体" w:eastAsia="宋体" w:cs="宋体"/>
        <w:b/>
        <w:bCs/>
        <w:i w:val="0"/>
        <w:iCs w:val="0"/>
        <w:spacing w:val="0"/>
        <w:w w:val="98"/>
        <w:position w:val="1"/>
        <w:sz w:val="21"/>
        <w:szCs w:val="21"/>
        <w:lang w:val="en-US" w:eastAsia="zh-CN" w:bidi="ar-SA"/>
      </w:rPr>
    </w:lvl>
    <w:lvl w:ilvl="2" w:tentative="0">
      <w:start w:val="1"/>
      <w:numFmt w:val="decimal"/>
      <w:lvlText w:val="（%3）"/>
      <w:lvlJc w:val="left"/>
      <w:pPr>
        <w:ind w:left="3740" w:hanging="720"/>
        <w:jc w:val="left"/>
      </w:pPr>
      <w:rPr>
        <w:rFonts w:hint="default"/>
        <w:spacing w:val="0"/>
        <w:w w:val="99"/>
        <w:lang w:val="en-US" w:eastAsia="zh-CN" w:bidi="ar-SA"/>
      </w:rPr>
    </w:lvl>
    <w:lvl w:ilvl="3" w:tentative="0">
      <w:start w:val="0"/>
      <w:numFmt w:val="bullet"/>
      <w:lvlText w:val="•"/>
      <w:lvlJc w:val="left"/>
      <w:pPr>
        <w:ind w:left="5216" w:hanging="720"/>
      </w:pPr>
      <w:rPr>
        <w:rFonts w:hint="default"/>
        <w:lang w:val="en-US" w:eastAsia="zh-CN" w:bidi="ar-SA"/>
      </w:rPr>
    </w:lvl>
    <w:lvl w:ilvl="4" w:tentative="0">
      <w:start w:val="0"/>
      <w:numFmt w:val="bullet"/>
      <w:lvlText w:val="•"/>
      <w:lvlJc w:val="left"/>
      <w:pPr>
        <w:ind w:left="5955" w:hanging="720"/>
      </w:pPr>
      <w:rPr>
        <w:rFonts w:hint="default"/>
        <w:lang w:val="en-US" w:eastAsia="zh-CN" w:bidi="ar-SA"/>
      </w:rPr>
    </w:lvl>
    <w:lvl w:ilvl="5" w:tentative="0">
      <w:start w:val="0"/>
      <w:numFmt w:val="bullet"/>
      <w:lvlText w:val="•"/>
      <w:lvlJc w:val="left"/>
      <w:pPr>
        <w:ind w:left="6693" w:hanging="720"/>
      </w:pPr>
      <w:rPr>
        <w:rFonts w:hint="default"/>
        <w:lang w:val="en-US" w:eastAsia="zh-CN" w:bidi="ar-SA"/>
      </w:rPr>
    </w:lvl>
    <w:lvl w:ilvl="6" w:tentative="0">
      <w:start w:val="0"/>
      <w:numFmt w:val="bullet"/>
      <w:lvlText w:val="•"/>
      <w:lvlJc w:val="left"/>
      <w:pPr>
        <w:ind w:left="7432" w:hanging="720"/>
      </w:pPr>
      <w:rPr>
        <w:rFonts w:hint="default"/>
        <w:lang w:val="en-US" w:eastAsia="zh-CN" w:bidi="ar-SA"/>
      </w:rPr>
    </w:lvl>
    <w:lvl w:ilvl="7" w:tentative="0">
      <w:start w:val="0"/>
      <w:numFmt w:val="bullet"/>
      <w:lvlText w:val="•"/>
      <w:lvlJc w:val="left"/>
      <w:pPr>
        <w:ind w:left="8170" w:hanging="720"/>
      </w:pPr>
      <w:rPr>
        <w:rFonts w:hint="default"/>
        <w:lang w:val="en-US" w:eastAsia="zh-CN" w:bidi="ar-SA"/>
      </w:rPr>
    </w:lvl>
    <w:lvl w:ilvl="8" w:tentative="0">
      <w:start w:val="0"/>
      <w:numFmt w:val="bullet"/>
      <w:lvlText w:val="•"/>
      <w:lvlJc w:val="left"/>
      <w:pPr>
        <w:ind w:left="8909" w:hanging="720"/>
      </w:pPr>
      <w:rPr>
        <w:rFonts w:hint="default"/>
        <w:lang w:val="en-US" w:eastAsia="zh-CN" w:bidi="ar-SA"/>
      </w:rPr>
    </w:lvl>
  </w:abstractNum>
  <w:abstractNum w:abstractNumId="84">
    <w:nsid w:val="251342A6"/>
    <w:multiLevelType w:val="multilevel"/>
    <w:tmpl w:val="251342A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85">
    <w:nsid w:val="25B654F3"/>
    <w:multiLevelType w:val="multilevel"/>
    <w:tmpl w:val="25B654F3"/>
    <w:lvl w:ilvl="0" w:tentative="0">
      <w:start w:val="1"/>
      <w:numFmt w:val="decimal"/>
      <w:lvlText w:val="（%1）"/>
      <w:lvlJc w:val="left"/>
      <w:pPr>
        <w:ind w:left="669" w:hanging="450"/>
        <w:jc w:val="left"/>
      </w:pPr>
      <w:rPr>
        <w:rFonts w:hint="default" w:ascii="楷体" w:hAnsi="楷体" w:eastAsia="楷体" w:cs="楷体"/>
        <w:b w:val="0"/>
        <w:bCs w:val="0"/>
        <w:i w:val="0"/>
        <w:iCs w:val="0"/>
        <w:spacing w:val="-2"/>
        <w:w w:val="100"/>
        <w:sz w:val="16"/>
        <w:szCs w:val="16"/>
        <w:lang w:val="en-US" w:eastAsia="zh-CN" w:bidi="ar-SA"/>
      </w:rPr>
    </w:lvl>
    <w:lvl w:ilvl="1" w:tentative="0">
      <w:start w:val="1"/>
      <w:numFmt w:val="decimal"/>
      <w:lvlText w:val="（%2）"/>
      <w:lvlJc w:val="left"/>
      <w:pPr>
        <w:ind w:left="3740" w:hanging="7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478" w:hanging="720"/>
      </w:pPr>
      <w:rPr>
        <w:rFonts w:hint="default"/>
        <w:lang w:val="en-US" w:eastAsia="zh-CN" w:bidi="ar-SA"/>
      </w:rPr>
    </w:lvl>
    <w:lvl w:ilvl="3" w:tentative="0">
      <w:start w:val="0"/>
      <w:numFmt w:val="bullet"/>
      <w:lvlText w:val="•"/>
      <w:lvlJc w:val="left"/>
      <w:pPr>
        <w:ind w:left="5216" w:hanging="720"/>
      </w:pPr>
      <w:rPr>
        <w:rFonts w:hint="default"/>
        <w:lang w:val="en-US" w:eastAsia="zh-CN" w:bidi="ar-SA"/>
      </w:rPr>
    </w:lvl>
    <w:lvl w:ilvl="4" w:tentative="0">
      <w:start w:val="0"/>
      <w:numFmt w:val="bullet"/>
      <w:lvlText w:val="•"/>
      <w:lvlJc w:val="left"/>
      <w:pPr>
        <w:ind w:left="5955" w:hanging="720"/>
      </w:pPr>
      <w:rPr>
        <w:rFonts w:hint="default"/>
        <w:lang w:val="en-US" w:eastAsia="zh-CN" w:bidi="ar-SA"/>
      </w:rPr>
    </w:lvl>
    <w:lvl w:ilvl="5" w:tentative="0">
      <w:start w:val="0"/>
      <w:numFmt w:val="bullet"/>
      <w:lvlText w:val="•"/>
      <w:lvlJc w:val="left"/>
      <w:pPr>
        <w:ind w:left="6693" w:hanging="720"/>
      </w:pPr>
      <w:rPr>
        <w:rFonts w:hint="default"/>
        <w:lang w:val="en-US" w:eastAsia="zh-CN" w:bidi="ar-SA"/>
      </w:rPr>
    </w:lvl>
    <w:lvl w:ilvl="6" w:tentative="0">
      <w:start w:val="0"/>
      <w:numFmt w:val="bullet"/>
      <w:lvlText w:val="•"/>
      <w:lvlJc w:val="left"/>
      <w:pPr>
        <w:ind w:left="7432" w:hanging="720"/>
      </w:pPr>
      <w:rPr>
        <w:rFonts w:hint="default"/>
        <w:lang w:val="en-US" w:eastAsia="zh-CN" w:bidi="ar-SA"/>
      </w:rPr>
    </w:lvl>
    <w:lvl w:ilvl="7" w:tentative="0">
      <w:start w:val="0"/>
      <w:numFmt w:val="bullet"/>
      <w:lvlText w:val="•"/>
      <w:lvlJc w:val="left"/>
      <w:pPr>
        <w:ind w:left="8170" w:hanging="720"/>
      </w:pPr>
      <w:rPr>
        <w:rFonts w:hint="default"/>
        <w:lang w:val="en-US" w:eastAsia="zh-CN" w:bidi="ar-SA"/>
      </w:rPr>
    </w:lvl>
    <w:lvl w:ilvl="8" w:tentative="0">
      <w:start w:val="0"/>
      <w:numFmt w:val="bullet"/>
      <w:lvlText w:val="•"/>
      <w:lvlJc w:val="left"/>
      <w:pPr>
        <w:ind w:left="8909" w:hanging="720"/>
      </w:pPr>
      <w:rPr>
        <w:rFonts w:hint="default"/>
        <w:lang w:val="en-US" w:eastAsia="zh-CN" w:bidi="ar-SA"/>
      </w:rPr>
    </w:lvl>
  </w:abstractNum>
  <w:abstractNum w:abstractNumId="86">
    <w:nsid w:val="2A8F537B"/>
    <w:multiLevelType w:val="multilevel"/>
    <w:tmpl w:val="2A8F537B"/>
    <w:lvl w:ilvl="0" w:tentative="0">
      <w:start w:val="1"/>
      <w:numFmt w:val="decimal"/>
      <w:lvlText w:val="（%1）"/>
      <w:lvlJc w:val="left"/>
      <w:pPr>
        <w:ind w:left="9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2"/>
      <w:numFmt w:val="decimal"/>
      <w:lvlText w:val="（%2）"/>
      <w:lvlJc w:val="left"/>
      <w:pPr>
        <w:ind w:left="3740" w:hanging="7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167" w:hanging="720"/>
      </w:pPr>
      <w:rPr>
        <w:rFonts w:hint="default"/>
        <w:lang w:val="en-US" w:eastAsia="zh-CN" w:bidi="ar-SA"/>
      </w:rPr>
    </w:lvl>
    <w:lvl w:ilvl="3" w:tentative="0">
      <w:start w:val="0"/>
      <w:numFmt w:val="bullet"/>
      <w:lvlText w:val="•"/>
      <w:lvlJc w:val="left"/>
      <w:pPr>
        <w:ind w:left="4594" w:hanging="720"/>
      </w:pPr>
      <w:rPr>
        <w:rFonts w:hint="default"/>
        <w:lang w:val="en-US" w:eastAsia="zh-CN" w:bidi="ar-SA"/>
      </w:rPr>
    </w:lvl>
    <w:lvl w:ilvl="4" w:tentative="0">
      <w:start w:val="0"/>
      <w:numFmt w:val="bullet"/>
      <w:lvlText w:val="•"/>
      <w:lvlJc w:val="left"/>
      <w:pPr>
        <w:ind w:left="5021" w:hanging="720"/>
      </w:pPr>
      <w:rPr>
        <w:rFonts w:hint="default"/>
        <w:lang w:val="en-US" w:eastAsia="zh-CN" w:bidi="ar-SA"/>
      </w:rPr>
    </w:lvl>
    <w:lvl w:ilvl="5" w:tentative="0">
      <w:start w:val="0"/>
      <w:numFmt w:val="bullet"/>
      <w:lvlText w:val="•"/>
      <w:lvlJc w:val="left"/>
      <w:pPr>
        <w:ind w:left="5448" w:hanging="720"/>
      </w:pPr>
      <w:rPr>
        <w:rFonts w:hint="default"/>
        <w:lang w:val="en-US" w:eastAsia="zh-CN" w:bidi="ar-SA"/>
      </w:rPr>
    </w:lvl>
    <w:lvl w:ilvl="6" w:tentative="0">
      <w:start w:val="0"/>
      <w:numFmt w:val="bullet"/>
      <w:lvlText w:val="•"/>
      <w:lvlJc w:val="left"/>
      <w:pPr>
        <w:ind w:left="5876" w:hanging="720"/>
      </w:pPr>
      <w:rPr>
        <w:rFonts w:hint="default"/>
        <w:lang w:val="en-US" w:eastAsia="zh-CN" w:bidi="ar-SA"/>
      </w:rPr>
    </w:lvl>
    <w:lvl w:ilvl="7" w:tentative="0">
      <w:start w:val="0"/>
      <w:numFmt w:val="bullet"/>
      <w:lvlText w:val="•"/>
      <w:lvlJc w:val="left"/>
      <w:pPr>
        <w:ind w:left="6303" w:hanging="720"/>
      </w:pPr>
      <w:rPr>
        <w:rFonts w:hint="default"/>
        <w:lang w:val="en-US" w:eastAsia="zh-CN" w:bidi="ar-SA"/>
      </w:rPr>
    </w:lvl>
    <w:lvl w:ilvl="8" w:tentative="0">
      <w:start w:val="0"/>
      <w:numFmt w:val="bullet"/>
      <w:lvlText w:val="•"/>
      <w:lvlJc w:val="left"/>
      <w:pPr>
        <w:ind w:left="6730" w:hanging="720"/>
      </w:pPr>
      <w:rPr>
        <w:rFonts w:hint="default"/>
        <w:lang w:val="en-US" w:eastAsia="zh-CN" w:bidi="ar-SA"/>
      </w:rPr>
    </w:lvl>
  </w:abstractNum>
  <w:abstractNum w:abstractNumId="87">
    <w:nsid w:val="2B3F3F89"/>
    <w:multiLevelType w:val="multilevel"/>
    <w:tmpl w:val="2B3F3F8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88">
    <w:nsid w:val="2F2D79CE"/>
    <w:multiLevelType w:val="multilevel"/>
    <w:tmpl w:val="2F2D79CE"/>
    <w:lvl w:ilvl="0" w:tentative="0">
      <w:start w:val="2"/>
      <w:numFmt w:val="decimal"/>
      <w:lvlText w:val="（%1）"/>
      <w:lvlJc w:val="left"/>
      <w:pPr>
        <w:ind w:left="3013" w:hanging="528"/>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3756" w:hanging="528"/>
      </w:pPr>
      <w:rPr>
        <w:rFonts w:hint="default"/>
        <w:lang w:val="en-US" w:eastAsia="zh-CN" w:bidi="ar-SA"/>
      </w:rPr>
    </w:lvl>
    <w:lvl w:ilvl="2" w:tentative="0">
      <w:start w:val="0"/>
      <w:numFmt w:val="bullet"/>
      <w:lvlText w:val="•"/>
      <w:lvlJc w:val="left"/>
      <w:pPr>
        <w:ind w:left="4493" w:hanging="528"/>
      </w:pPr>
      <w:rPr>
        <w:rFonts w:hint="default"/>
        <w:lang w:val="en-US" w:eastAsia="zh-CN" w:bidi="ar-SA"/>
      </w:rPr>
    </w:lvl>
    <w:lvl w:ilvl="3" w:tentative="0">
      <w:start w:val="0"/>
      <w:numFmt w:val="bullet"/>
      <w:lvlText w:val="•"/>
      <w:lvlJc w:val="left"/>
      <w:pPr>
        <w:ind w:left="5229" w:hanging="528"/>
      </w:pPr>
      <w:rPr>
        <w:rFonts w:hint="default"/>
        <w:lang w:val="en-US" w:eastAsia="zh-CN" w:bidi="ar-SA"/>
      </w:rPr>
    </w:lvl>
    <w:lvl w:ilvl="4" w:tentative="0">
      <w:start w:val="0"/>
      <w:numFmt w:val="bullet"/>
      <w:lvlText w:val="•"/>
      <w:lvlJc w:val="left"/>
      <w:pPr>
        <w:ind w:left="5966" w:hanging="528"/>
      </w:pPr>
      <w:rPr>
        <w:rFonts w:hint="default"/>
        <w:lang w:val="en-US" w:eastAsia="zh-CN" w:bidi="ar-SA"/>
      </w:rPr>
    </w:lvl>
    <w:lvl w:ilvl="5" w:tentative="0">
      <w:start w:val="0"/>
      <w:numFmt w:val="bullet"/>
      <w:lvlText w:val="•"/>
      <w:lvlJc w:val="left"/>
      <w:pPr>
        <w:ind w:left="6703" w:hanging="528"/>
      </w:pPr>
      <w:rPr>
        <w:rFonts w:hint="default"/>
        <w:lang w:val="en-US" w:eastAsia="zh-CN" w:bidi="ar-SA"/>
      </w:rPr>
    </w:lvl>
    <w:lvl w:ilvl="6" w:tentative="0">
      <w:start w:val="0"/>
      <w:numFmt w:val="bullet"/>
      <w:lvlText w:val="•"/>
      <w:lvlJc w:val="left"/>
      <w:pPr>
        <w:ind w:left="7439" w:hanging="528"/>
      </w:pPr>
      <w:rPr>
        <w:rFonts w:hint="default"/>
        <w:lang w:val="en-US" w:eastAsia="zh-CN" w:bidi="ar-SA"/>
      </w:rPr>
    </w:lvl>
    <w:lvl w:ilvl="7" w:tentative="0">
      <w:start w:val="0"/>
      <w:numFmt w:val="bullet"/>
      <w:lvlText w:val="•"/>
      <w:lvlJc w:val="left"/>
      <w:pPr>
        <w:ind w:left="8176" w:hanging="528"/>
      </w:pPr>
      <w:rPr>
        <w:rFonts w:hint="default"/>
        <w:lang w:val="en-US" w:eastAsia="zh-CN" w:bidi="ar-SA"/>
      </w:rPr>
    </w:lvl>
    <w:lvl w:ilvl="8" w:tentative="0">
      <w:start w:val="0"/>
      <w:numFmt w:val="bullet"/>
      <w:lvlText w:val="•"/>
      <w:lvlJc w:val="left"/>
      <w:pPr>
        <w:ind w:left="8912" w:hanging="528"/>
      </w:pPr>
      <w:rPr>
        <w:rFonts w:hint="default"/>
        <w:lang w:val="en-US" w:eastAsia="zh-CN" w:bidi="ar-SA"/>
      </w:rPr>
    </w:lvl>
  </w:abstractNum>
  <w:abstractNum w:abstractNumId="89">
    <w:nsid w:val="30A0AC00"/>
    <w:multiLevelType w:val="multilevel"/>
    <w:tmpl w:val="30A0AC00"/>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0">
    <w:nsid w:val="30FC5B15"/>
    <w:multiLevelType w:val="multilevel"/>
    <w:tmpl w:val="30FC5B1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1">
    <w:nsid w:val="322D85CA"/>
    <w:multiLevelType w:val="multilevel"/>
    <w:tmpl w:val="322D85C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2">
    <w:nsid w:val="32A7AF2D"/>
    <w:multiLevelType w:val="multilevel"/>
    <w:tmpl w:val="32A7AF2D"/>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3">
    <w:nsid w:val="35E83B33"/>
    <w:multiLevelType w:val="multilevel"/>
    <w:tmpl w:val="35E83B33"/>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625"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371" w:hanging="420"/>
      </w:pPr>
      <w:rPr>
        <w:rFonts w:hint="default"/>
        <w:lang w:val="en-US" w:eastAsia="zh-CN" w:bidi="ar-SA"/>
      </w:rPr>
    </w:lvl>
    <w:lvl w:ilvl="3" w:tentative="0">
      <w:start w:val="0"/>
      <w:numFmt w:val="bullet"/>
      <w:lvlText w:val="•"/>
      <w:lvlJc w:val="left"/>
      <w:pPr>
        <w:ind w:left="5123" w:hanging="420"/>
      </w:pPr>
      <w:rPr>
        <w:rFonts w:hint="default"/>
        <w:lang w:val="en-US" w:eastAsia="zh-CN" w:bidi="ar-SA"/>
      </w:rPr>
    </w:lvl>
    <w:lvl w:ilvl="4" w:tentative="0">
      <w:start w:val="0"/>
      <w:numFmt w:val="bullet"/>
      <w:lvlText w:val="•"/>
      <w:lvlJc w:val="left"/>
      <w:pPr>
        <w:ind w:left="5875" w:hanging="420"/>
      </w:pPr>
      <w:rPr>
        <w:rFonts w:hint="default"/>
        <w:lang w:val="en-US" w:eastAsia="zh-CN" w:bidi="ar-SA"/>
      </w:rPr>
    </w:lvl>
    <w:lvl w:ilvl="5" w:tentative="0">
      <w:start w:val="0"/>
      <w:numFmt w:val="bullet"/>
      <w:lvlText w:val="•"/>
      <w:lvlJc w:val="left"/>
      <w:pPr>
        <w:ind w:left="6627" w:hanging="420"/>
      </w:pPr>
      <w:rPr>
        <w:rFonts w:hint="default"/>
        <w:lang w:val="en-US" w:eastAsia="zh-CN" w:bidi="ar-SA"/>
      </w:rPr>
    </w:lvl>
    <w:lvl w:ilvl="6" w:tentative="0">
      <w:start w:val="0"/>
      <w:numFmt w:val="bullet"/>
      <w:lvlText w:val="•"/>
      <w:lvlJc w:val="left"/>
      <w:pPr>
        <w:ind w:left="7378" w:hanging="420"/>
      </w:pPr>
      <w:rPr>
        <w:rFonts w:hint="default"/>
        <w:lang w:val="en-US" w:eastAsia="zh-CN" w:bidi="ar-SA"/>
      </w:rPr>
    </w:lvl>
    <w:lvl w:ilvl="7" w:tentative="0">
      <w:start w:val="0"/>
      <w:numFmt w:val="bullet"/>
      <w:lvlText w:val="•"/>
      <w:lvlJc w:val="left"/>
      <w:pPr>
        <w:ind w:left="8130" w:hanging="420"/>
      </w:pPr>
      <w:rPr>
        <w:rFonts w:hint="default"/>
        <w:lang w:val="en-US" w:eastAsia="zh-CN" w:bidi="ar-SA"/>
      </w:rPr>
    </w:lvl>
    <w:lvl w:ilvl="8" w:tentative="0">
      <w:start w:val="0"/>
      <w:numFmt w:val="bullet"/>
      <w:lvlText w:val="•"/>
      <w:lvlJc w:val="left"/>
      <w:pPr>
        <w:ind w:left="8882" w:hanging="420"/>
      </w:pPr>
      <w:rPr>
        <w:rFonts w:hint="default"/>
        <w:lang w:val="en-US" w:eastAsia="zh-CN" w:bidi="ar-SA"/>
      </w:rPr>
    </w:lvl>
  </w:abstractNum>
  <w:abstractNum w:abstractNumId="94">
    <w:nsid w:val="39A0D9AC"/>
    <w:multiLevelType w:val="multilevel"/>
    <w:tmpl w:val="39A0D9AC"/>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5">
    <w:nsid w:val="3A7FBA26"/>
    <w:multiLevelType w:val="multilevel"/>
    <w:tmpl w:val="3A7FBA2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6">
    <w:nsid w:val="3B8127DF"/>
    <w:multiLevelType w:val="multilevel"/>
    <w:tmpl w:val="3B8127DF"/>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7">
    <w:nsid w:val="3FE315B6"/>
    <w:multiLevelType w:val="multilevel"/>
    <w:tmpl w:val="3FE315B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8">
    <w:nsid w:val="40B249F9"/>
    <w:multiLevelType w:val="multilevel"/>
    <w:tmpl w:val="40B249F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99">
    <w:nsid w:val="40F245EA"/>
    <w:multiLevelType w:val="multilevel"/>
    <w:tmpl w:val="40F245E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00">
    <w:nsid w:val="46A08BB8"/>
    <w:multiLevelType w:val="multilevel"/>
    <w:tmpl w:val="46A08BB8"/>
    <w:lvl w:ilvl="0" w:tentative="0">
      <w:start w:val="0"/>
      <w:numFmt w:val="decimal"/>
      <w:lvlText w:val="%1"/>
      <w:lvlJc w:val="left"/>
      <w:pPr>
        <w:ind w:left="412" w:hanging="135"/>
        <w:jc w:val="left"/>
      </w:pPr>
      <w:rPr>
        <w:rFonts w:hint="default" w:ascii="楷体" w:hAnsi="楷体" w:eastAsia="楷体" w:cs="楷体"/>
        <w:b w:val="0"/>
        <w:bCs w:val="0"/>
        <w:i w:val="0"/>
        <w:iCs w:val="0"/>
        <w:w w:val="100"/>
        <w:sz w:val="18"/>
        <w:szCs w:val="18"/>
        <w:lang w:val="en-US" w:eastAsia="zh-CN" w:bidi="ar-SA"/>
      </w:rPr>
    </w:lvl>
    <w:lvl w:ilvl="1" w:tentative="0">
      <w:start w:val="0"/>
      <w:numFmt w:val="bullet"/>
      <w:lvlText w:val="•"/>
      <w:lvlJc w:val="left"/>
      <w:pPr>
        <w:ind w:left="1416" w:hanging="135"/>
      </w:pPr>
      <w:rPr>
        <w:rFonts w:hint="default"/>
        <w:lang w:val="en-US" w:eastAsia="zh-CN" w:bidi="ar-SA"/>
      </w:rPr>
    </w:lvl>
    <w:lvl w:ilvl="2" w:tentative="0">
      <w:start w:val="0"/>
      <w:numFmt w:val="bullet"/>
      <w:lvlText w:val="•"/>
      <w:lvlJc w:val="left"/>
      <w:pPr>
        <w:ind w:left="2413" w:hanging="135"/>
      </w:pPr>
      <w:rPr>
        <w:rFonts w:hint="default"/>
        <w:lang w:val="en-US" w:eastAsia="zh-CN" w:bidi="ar-SA"/>
      </w:rPr>
    </w:lvl>
    <w:lvl w:ilvl="3" w:tentative="0">
      <w:start w:val="0"/>
      <w:numFmt w:val="bullet"/>
      <w:lvlText w:val="•"/>
      <w:lvlJc w:val="left"/>
      <w:pPr>
        <w:ind w:left="3409" w:hanging="135"/>
      </w:pPr>
      <w:rPr>
        <w:rFonts w:hint="default"/>
        <w:lang w:val="en-US" w:eastAsia="zh-CN" w:bidi="ar-SA"/>
      </w:rPr>
    </w:lvl>
    <w:lvl w:ilvl="4" w:tentative="0">
      <w:start w:val="0"/>
      <w:numFmt w:val="bullet"/>
      <w:lvlText w:val="•"/>
      <w:lvlJc w:val="left"/>
      <w:pPr>
        <w:ind w:left="4406" w:hanging="135"/>
      </w:pPr>
      <w:rPr>
        <w:rFonts w:hint="default"/>
        <w:lang w:val="en-US" w:eastAsia="zh-CN" w:bidi="ar-SA"/>
      </w:rPr>
    </w:lvl>
    <w:lvl w:ilvl="5" w:tentative="0">
      <w:start w:val="0"/>
      <w:numFmt w:val="bullet"/>
      <w:lvlText w:val="•"/>
      <w:lvlJc w:val="left"/>
      <w:pPr>
        <w:ind w:left="5403" w:hanging="135"/>
      </w:pPr>
      <w:rPr>
        <w:rFonts w:hint="default"/>
        <w:lang w:val="en-US" w:eastAsia="zh-CN" w:bidi="ar-SA"/>
      </w:rPr>
    </w:lvl>
    <w:lvl w:ilvl="6" w:tentative="0">
      <w:start w:val="0"/>
      <w:numFmt w:val="bullet"/>
      <w:lvlText w:val="•"/>
      <w:lvlJc w:val="left"/>
      <w:pPr>
        <w:ind w:left="6399" w:hanging="135"/>
      </w:pPr>
      <w:rPr>
        <w:rFonts w:hint="default"/>
        <w:lang w:val="en-US" w:eastAsia="zh-CN" w:bidi="ar-SA"/>
      </w:rPr>
    </w:lvl>
    <w:lvl w:ilvl="7" w:tentative="0">
      <w:start w:val="0"/>
      <w:numFmt w:val="bullet"/>
      <w:lvlText w:val="•"/>
      <w:lvlJc w:val="left"/>
      <w:pPr>
        <w:ind w:left="7396" w:hanging="135"/>
      </w:pPr>
      <w:rPr>
        <w:rFonts w:hint="default"/>
        <w:lang w:val="en-US" w:eastAsia="zh-CN" w:bidi="ar-SA"/>
      </w:rPr>
    </w:lvl>
    <w:lvl w:ilvl="8" w:tentative="0">
      <w:start w:val="0"/>
      <w:numFmt w:val="bullet"/>
      <w:lvlText w:val="•"/>
      <w:lvlJc w:val="left"/>
      <w:pPr>
        <w:ind w:left="8392" w:hanging="135"/>
      </w:pPr>
      <w:rPr>
        <w:rFonts w:hint="default"/>
        <w:lang w:val="en-US" w:eastAsia="zh-CN" w:bidi="ar-SA"/>
      </w:rPr>
    </w:lvl>
  </w:abstractNum>
  <w:abstractNum w:abstractNumId="101">
    <w:nsid w:val="4A51D704"/>
    <w:multiLevelType w:val="multilevel"/>
    <w:tmpl w:val="4A51D70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02">
    <w:nsid w:val="4C1BAE26"/>
    <w:multiLevelType w:val="multilevel"/>
    <w:tmpl w:val="4C1BAE2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03">
    <w:nsid w:val="4C3D7A74"/>
    <w:multiLevelType w:val="multilevel"/>
    <w:tmpl w:val="4C3D7A7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625"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371" w:hanging="420"/>
      </w:pPr>
      <w:rPr>
        <w:rFonts w:hint="default"/>
        <w:lang w:val="en-US" w:eastAsia="zh-CN" w:bidi="ar-SA"/>
      </w:rPr>
    </w:lvl>
    <w:lvl w:ilvl="3" w:tentative="0">
      <w:start w:val="0"/>
      <w:numFmt w:val="bullet"/>
      <w:lvlText w:val="•"/>
      <w:lvlJc w:val="left"/>
      <w:pPr>
        <w:ind w:left="5123" w:hanging="420"/>
      </w:pPr>
      <w:rPr>
        <w:rFonts w:hint="default"/>
        <w:lang w:val="en-US" w:eastAsia="zh-CN" w:bidi="ar-SA"/>
      </w:rPr>
    </w:lvl>
    <w:lvl w:ilvl="4" w:tentative="0">
      <w:start w:val="0"/>
      <w:numFmt w:val="bullet"/>
      <w:lvlText w:val="•"/>
      <w:lvlJc w:val="left"/>
      <w:pPr>
        <w:ind w:left="5875" w:hanging="420"/>
      </w:pPr>
      <w:rPr>
        <w:rFonts w:hint="default"/>
        <w:lang w:val="en-US" w:eastAsia="zh-CN" w:bidi="ar-SA"/>
      </w:rPr>
    </w:lvl>
    <w:lvl w:ilvl="5" w:tentative="0">
      <w:start w:val="0"/>
      <w:numFmt w:val="bullet"/>
      <w:lvlText w:val="•"/>
      <w:lvlJc w:val="left"/>
      <w:pPr>
        <w:ind w:left="6627" w:hanging="420"/>
      </w:pPr>
      <w:rPr>
        <w:rFonts w:hint="default"/>
        <w:lang w:val="en-US" w:eastAsia="zh-CN" w:bidi="ar-SA"/>
      </w:rPr>
    </w:lvl>
    <w:lvl w:ilvl="6" w:tentative="0">
      <w:start w:val="0"/>
      <w:numFmt w:val="bullet"/>
      <w:lvlText w:val="•"/>
      <w:lvlJc w:val="left"/>
      <w:pPr>
        <w:ind w:left="7378" w:hanging="420"/>
      </w:pPr>
      <w:rPr>
        <w:rFonts w:hint="default"/>
        <w:lang w:val="en-US" w:eastAsia="zh-CN" w:bidi="ar-SA"/>
      </w:rPr>
    </w:lvl>
    <w:lvl w:ilvl="7" w:tentative="0">
      <w:start w:val="0"/>
      <w:numFmt w:val="bullet"/>
      <w:lvlText w:val="•"/>
      <w:lvlJc w:val="left"/>
      <w:pPr>
        <w:ind w:left="8130" w:hanging="420"/>
      </w:pPr>
      <w:rPr>
        <w:rFonts w:hint="default"/>
        <w:lang w:val="en-US" w:eastAsia="zh-CN" w:bidi="ar-SA"/>
      </w:rPr>
    </w:lvl>
    <w:lvl w:ilvl="8" w:tentative="0">
      <w:start w:val="0"/>
      <w:numFmt w:val="bullet"/>
      <w:lvlText w:val="•"/>
      <w:lvlJc w:val="left"/>
      <w:pPr>
        <w:ind w:left="8882" w:hanging="420"/>
      </w:pPr>
      <w:rPr>
        <w:rFonts w:hint="default"/>
        <w:lang w:val="en-US" w:eastAsia="zh-CN" w:bidi="ar-SA"/>
      </w:rPr>
    </w:lvl>
  </w:abstractNum>
  <w:abstractNum w:abstractNumId="104">
    <w:nsid w:val="4CD1E351"/>
    <w:multiLevelType w:val="multilevel"/>
    <w:tmpl w:val="4CD1E351"/>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625"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371" w:hanging="420"/>
      </w:pPr>
      <w:rPr>
        <w:rFonts w:hint="default"/>
        <w:lang w:val="en-US" w:eastAsia="zh-CN" w:bidi="ar-SA"/>
      </w:rPr>
    </w:lvl>
    <w:lvl w:ilvl="3" w:tentative="0">
      <w:start w:val="0"/>
      <w:numFmt w:val="bullet"/>
      <w:lvlText w:val="•"/>
      <w:lvlJc w:val="left"/>
      <w:pPr>
        <w:ind w:left="5123" w:hanging="420"/>
      </w:pPr>
      <w:rPr>
        <w:rFonts w:hint="default"/>
        <w:lang w:val="en-US" w:eastAsia="zh-CN" w:bidi="ar-SA"/>
      </w:rPr>
    </w:lvl>
    <w:lvl w:ilvl="4" w:tentative="0">
      <w:start w:val="0"/>
      <w:numFmt w:val="bullet"/>
      <w:lvlText w:val="•"/>
      <w:lvlJc w:val="left"/>
      <w:pPr>
        <w:ind w:left="5875" w:hanging="420"/>
      </w:pPr>
      <w:rPr>
        <w:rFonts w:hint="default"/>
        <w:lang w:val="en-US" w:eastAsia="zh-CN" w:bidi="ar-SA"/>
      </w:rPr>
    </w:lvl>
    <w:lvl w:ilvl="5" w:tentative="0">
      <w:start w:val="0"/>
      <w:numFmt w:val="bullet"/>
      <w:lvlText w:val="•"/>
      <w:lvlJc w:val="left"/>
      <w:pPr>
        <w:ind w:left="6627" w:hanging="420"/>
      </w:pPr>
      <w:rPr>
        <w:rFonts w:hint="default"/>
        <w:lang w:val="en-US" w:eastAsia="zh-CN" w:bidi="ar-SA"/>
      </w:rPr>
    </w:lvl>
    <w:lvl w:ilvl="6" w:tentative="0">
      <w:start w:val="0"/>
      <w:numFmt w:val="bullet"/>
      <w:lvlText w:val="•"/>
      <w:lvlJc w:val="left"/>
      <w:pPr>
        <w:ind w:left="7378" w:hanging="420"/>
      </w:pPr>
      <w:rPr>
        <w:rFonts w:hint="default"/>
        <w:lang w:val="en-US" w:eastAsia="zh-CN" w:bidi="ar-SA"/>
      </w:rPr>
    </w:lvl>
    <w:lvl w:ilvl="7" w:tentative="0">
      <w:start w:val="0"/>
      <w:numFmt w:val="bullet"/>
      <w:lvlText w:val="•"/>
      <w:lvlJc w:val="left"/>
      <w:pPr>
        <w:ind w:left="8130" w:hanging="420"/>
      </w:pPr>
      <w:rPr>
        <w:rFonts w:hint="default"/>
        <w:lang w:val="en-US" w:eastAsia="zh-CN" w:bidi="ar-SA"/>
      </w:rPr>
    </w:lvl>
    <w:lvl w:ilvl="8" w:tentative="0">
      <w:start w:val="0"/>
      <w:numFmt w:val="bullet"/>
      <w:lvlText w:val="•"/>
      <w:lvlJc w:val="left"/>
      <w:pPr>
        <w:ind w:left="8882" w:hanging="420"/>
      </w:pPr>
      <w:rPr>
        <w:rFonts w:hint="default"/>
        <w:lang w:val="en-US" w:eastAsia="zh-CN" w:bidi="ar-SA"/>
      </w:rPr>
    </w:lvl>
  </w:abstractNum>
  <w:abstractNum w:abstractNumId="105">
    <w:nsid w:val="4D4DC07F"/>
    <w:multiLevelType w:val="multilevel"/>
    <w:tmpl w:val="4D4DC07F"/>
    <w:lvl w:ilvl="0" w:tentative="0">
      <w:start w:val="1"/>
      <w:numFmt w:val="decimal"/>
      <w:lvlText w:val="（%1）"/>
      <w:lvlJc w:val="left"/>
      <w:pPr>
        <w:ind w:left="9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1604" w:hanging="720"/>
      </w:pPr>
      <w:rPr>
        <w:rFonts w:hint="default"/>
        <w:lang w:val="en-US" w:eastAsia="zh-CN" w:bidi="ar-SA"/>
      </w:rPr>
    </w:lvl>
    <w:lvl w:ilvl="2" w:tentative="0">
      <w:start w:val="0"/>
      <w:numFmt w:val="bullet"/>
      <w:lvlText w:val="•"/>
      <w:lvlJc w:val="left"/>
      <w:pPr>
        <w:ind w:left="2269" w:hanging="720"/>
      </w:pPr>
      <w:rPr>
        <w:rFonts w:hint="default"/>
        <w:lang w:val="en-US" w:eastAsia="zh-CN" w:bidi="ar-SA"/>
      </w:rPr>
    </w:lvl>
    <w:lvl w:ilvl="3" w:tentative="0">
      <w:start w:val="0"/>
      <w:numFmt w:val="bullet"/>
      <w:lvlText w:val="•"/>
      <w:lvlJc w:val="left"/>
      <w:pPr>
        <w:ind w:left="2933" w:hanging="720"/>
      </w:pPr>
      <w:rPr>
        <w:rFonts w:hint="default"/>
        <w:lang w:val="en-US" w:eastAsia="zh-CN" w:bidi="ar-SA"/>
      </w:rPr>
    </w:lvl>
    <w:lvl w:ilvl="4" w:tentative="0">
      <w:start w:val="0"/>
      <w:numFmt w:val="bullet"/>
      <w:lvlText w:val="•"/>
      <w:lvlJc w:val="left"/>
      <w:pPr>
        <w:ind w:left="3598" w:hanging="720"/>
      </w:pPr>
      <w:rPr>
        <w:rFonts w:hint="default"/>
        <w:lang w:val="en-US" w:eastAsia="zh-CN" w:bidi="ar-SA"/>
      </w:rPr>
    </w:lvl>
    <w:lvl w:ilvl="5" w:tentative="0">
      <w:start w:val="0"/>
      <w:numFmt w:val="bullet"/>
      <w:lvlText w:val="•"/>
      <w:lvlJc w:val="left"/>
      <w:pPr>
        <w:ind w:left="4262" w:hanging="720"/>
      </w:pPr>
      <w:rPr>
        <w:rFonts w:hint="default"/>
        <w:lang w:val="en-US" w:eastAsia="zh-CN" w:bidi="ar-SA"/>
      </w:rPr>
    </w:lvl>
    <w:lvl w:ilvl="6" w:tentative="0">
      <w:start w:val="0"/>
      <w:numFmt w:val="bullet"/>
      <w:lvlText w:val="•"/>
      <w:lvlJc w:val="left"/>
      <w:pPr>
        <w:ind w:left="4927" w:hanging="720"/>
      </w:pPr>
      <w:rPr>
        <w:rFonts w:hint="default"/>
        <w:lang w:val="en-US" w:eastAsia="zh-CN" w:bidi="ar-SA"/>
      </w:rPr>
    </w:lvl>
    <w:lvl w:ilvl="7" w:tentative="0">
      <w:start w:val="0"/>
      <w:numFmt w:val="bullet"/>
      <w:lvlText w:val="•"/>
      <w:lvlJc w:val="left"/>
      <w:pPr>
        <w:ind w:left="5591" w:hanging="720"/>
      </w:pPr>
      <w:rPr>
        <w:rFonts w:hint="default"/>
        <w:lang w:val="en-US" w:eastAsia="zh-CN" w:bidi="ar-SA"/>
      </w:rPr>
    </w:lvl>
    <w:lvl w:ilvl="8" w:tentative="0">
      <w:start w:val="0"/>
      <w:numFmt w:val="bullet"/>
      <w:lvlText w:val="•"/>
      <w:lvlJc w:val="left"/>
      <w:pPr>
        <w:ind w:left="6256" w:hanging="720"/>
      </w:pPr>
      <w:rPr>
        <w:rFonts w:hint="default"/>
        <w:lang w:val="en-US" w:eastAsia="zh-CN" w:bidi="ar-SA"/>
      </w:rPr>
    </w:lvl>
  </w:abstractNum>
  <w:abstractNum w:abstractNumId="106">
    <w:nsid w:val="4D63189B"/>
    <w:multiLevelType w:val="multilevel"/>
    <w:tmpl w:val="4D63189B"/>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07">
    <w:nsid w:val="4D94DA66"/>
    <w:multiLevelType w:val="multilevel"/>
    <w:tmpl w:val="4D94DA6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08">
    <w:nsid w:val="4FB438A5"/>
    <w:multiLevelType w:val="multilevel"/>
    <w:tmpl w:val="4FB438A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09">
    <w:nsid w:val="51C4BC33"/>
    <w:multiLevelType w:val="multilevel"/>
    <w:tmpl w:val="51C4BC33"/>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0">
    <w:nsid w:val="54701CA1"/>
    <w:multiLevelType w:val="multilevel"/>
    <w:tmpl w:val="54701CA1"/>
    <w:lvl w:ilvl="0" w:tentative="0">
      <w:start w:val="1"/>
      <w:numFmt w:val="decimal"/>
      <w:lvlText w:val="%1)"/>
      <w:lvlJc w:val="left"/>
      <w:pPr>
        <w:ind w:left="893"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1617" w:hanging="720"/>
      </w:pPr>
      <w:rPr>
        <w:rFonts w:hint="default"/>
        <w:lang w:val="en-US" w:eastAsia="zh-CN" w:bidi="ar-SA"/>
      </w:rPr>
    </w:lvl>
    <w:lvl w:ilvl="2" w:tentative="0">
      <w:start w:val="0"/>
      <w:numFmt w:val="bullet"/>
      <w:lvlText w:val="•"/>
      <w:lvlJc w:val="left"/>
      <w:pPr>
        <w:ind w:left="2334" w:hanging="720"/>
      </w:pPr>
      <w:rPr>
        <w:rFonts w:hint="default"/>
        <w:lang w:val="en-US" w:eastAsia="zh-CN" w:bidi="ar-SA"/>
      </w:rPr>
    </w:lvl>
    <w:lvl w:ilvl="3" w:tentative="0">
      <w:start w:val="0"/>
      <w:numFmt w:val="bullet"/>
      <w:lvlText w:val="•"/>
      <w:lvlJc w:val="left"/>
      <w:pPr>
        <w:ind w:left="3052" w:hanging="720"/>
      </w:pPr>
      <w:rPr>
        <w:rFonts w:hint="default"/>
        <w:lang w:val="en-US" w:eastAsia="zh-CN" w:bidi="ar-SA"/>
      </w:rPr>
    </w:lvl>
    <w:lvl w:ilvl="4" w:tentative="0">
      <w:start w:val="0"/>
      <w:numFmt w:val="bullet"/>
      <w:lvlText w:val="•"/>
      <w:lvlJc w:val="left"/>
      <w:pPr>
        <w:ind w:left="3769" w:hanging="720"/>
      </w:pPr>
      <w:rPr>
        <w:rFonts w:hint="default"/>
        <w:lang w:val="en-US" w:eastAsia="zh-CN" w:bidi="ar-SA"/>
      </w:rPr>
    </w:lvl>
    <w:lvl w:ilvl="5" w:tentative="0">
      <w:start w:val="0"/>
      <w:numFmt w:val="bullet"/>
      <w:lvlText w:val="•"/>
      <w:lvlJc w:val="left"/>
      <w:pPr>
        <w:ind w:left="4486" w:hanging="720"/>
      </w:pPr>
      <w:rPr>
        <w:rFonts w:hint="default"/>
        <w:lang w:val="en-US" w:eastAsia="zh-CN" w:bidi="ar-SA"/>
      </w:rPr>
    </w:lvl>
    <w:lvl w:ilvl="6" w:tentative="0">
      <w:start w:val="0"/>
      <w:numFmt w:val="bullet"/>
      <w:lvlText w:val="•"/>
      <w:lvlJc w:val="left"/>
      <w:pPr>
        <w:ind w:left="5204" w:hanging="720"/>
      </w:pPr>
      <w:rPr>
        <w:rFonts w:hint="default"/>
        <w:lang w:val="en-US" w:eastAsia="zh-CN" w:bidi="ar-SA"/>
      </w:rPr>
    </w:lvl>
    <w:lvl w:ilvl="7" w:tentative="0">
      <w:start w:val="0"/>
      <w:numFmt w:val="bullet"/>
      <w:lvlText w:val="•"/>
      <w:lvlJc w:val="left"/>
      <w:pPr>
        <w:ind w:left="5921" w:hanging="720"/>
      </w:pPr>
      <w:rPr>
        <w:rFonts w:hint="default"/>
        <w:lang w:val="en-US" w:eastAsia="zh-CN" w:bidi="ar-SA"/>
      </w:rPr>
    </w:lvl>
    <w:lvl w:ilvl="8" w:tentative="0">
      <w:start w:val="0"/>
      <w:numFmt w:val="bullet"/>
      <w:lvlText w:val="•"/>
      <w:lvlJc w:val="left"/>
      <w:pPr>
        <w:ind w:left="6639" w:hanging="720"/>
      </w:pPr>
      <w:rPr>
        <w:rFonts w:hint="default"/>
        <w:lang w:val="en-US" w:eastAsia="zh-CN" w:bidi="ar-SA"/>
      </w:rPr>
    </w:lvl>
  </w:abstractNum>
  <w:abstractNum w:abstractNumId="111">
    <w:nsid w:val="58765686"/>
    <w:multiLevelType w:val="multilevel"/>
    <w:tmpl w:val="5876568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2">
    <w:nsid w:val="59EEFD2A"/>
    <w:multiLevelType w:val="multilevel"/>
    <w:tmpl w:val="59EEFD2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3">
    <w:nsid w:val="5A241D34"/>
    <w:multiLevelType w:val="multilevel"/>
    <w:tmpl w:val="5A241D34"/>
    <w:lvl w:ilvl="0" w:tentative="0">
      <w:start w:val="1"/>
      <w:numFmt w:val="decimal"/>
      <w:lvlText w:val="（%1）"/>
      <w:lvlJc w:val="left"/>
      <w:pPr>
        <w:ind w:left="3740"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4404" w:hanging="720"/>
      </w:pPr>
      <w:rPr>
        <w:rFonts w:hint="default"/>
        <w:lang w:val="en-US" w:eastAsia="zh-CN" w:bidi="ar-SA"/>
      </w:rPr>
    </w:lvl>
    <w:lvl w:ilvl="2" w:tentative="0">
      <w:start w:val="0"/>
      <w:numFmt w:val="bullet"/>
      <w:lvlText w:val="•"/>
      <w:lvlJc w:val="left"/>
      <w:pPr>
        <w:ind w:left="5069" w:hanging="720"/>
      </w:pPr>
      <w:rPr>
        <w:rFonts w:hint="default"/>
        <w:lang w:val="en-US" w:eastAsia="zh-CN" w:bidi="ar-SA"/>
      </w:rPr>
    </w:lvl>
    <w:lvl w:ilvl="3" w:tentative="0">
      <w:start w:val="0"/>
      <w:numFmt w:val="bullet"/>
      <w:lvlText w:val="•"/>
      <w:lvlJc w:val="left"/>
      <w:pPr>
        <w:ind w:left="5733" w:hanging="720"/>
      </w:pPr>
      <w:rPr>
        <w:rFonts w:hint="default"/>
        <w:lang w:val="en-US" w:eastAsia="zh-CN" w:bidi="ar-SA"/>
      </w:rPr>
    </w:lvl>
    <w:lvl w:ilvl="4" w:tentative="0">
      <w:start w:val="0"/>
      <w:numFmt w:val="bullet"/>
      <w:lvlText w:val="•"/>
      <w:lvlJc w:val="left"/>
      <w:pPr>
        <w:ind w:left="6398" w:hanging="720"/>
      </w:pPr>
      <w:rPr>
        <w:rFonts w:hint="default"/>
        <w:lang w:val="en-US" w:eastAsia="zh-CN" w:bidi="ar-SA"/>
      </w:rPr>
    </w:lvl>
    <w:lvl w:ilvl="5" w:tentative="0">
      <w:start w:val="0"/>
      <w:numFmt w:val="bullet"/>
      <w:lvlText w:val="•"/>
      <w:lvlJc w:val="left"/>
      <w:pPr>
        <w:ind w:left="7063" w:hanging="720"/>
      </w:pPr>
      <w:rPr>
        <w:rFonts w:hint="default"/>
        <w:lang w:val="en-US" w:eastAsia="zh-CN" w:bidi="ar-SA"/>
      </w:rPr>
    </w:lvl>
    <w:lvl w:ilvl="6" w:tentative="0">
      <w:start w:val="0"/>
      <w:numFmt w:val="bullet"/>
      <w:lvlText w:val="•"/>
      <w:lvlJc w:val="left"/>
      <w:pPr>
        <w:ind w:left="7727" w:hanging="720"/>
      </w:pPr>
      <w:rPr>
        <w:rFonts w:hint="default"/>
        <w:lang w:val="en-US" w:eastAsia="zh-CN" w:bidi="ar-SA"/>
      </w:rPr>
    </w:lvl>
    <w:lvl w:ilvl="7" w:tentative="0">
      <w:start w:val="0"/>
      <w:numFmt w:val="bullet"/>
      <w:lvlText w:val="•"/>
      <w:lvlJc w:val="left"/>
      <w:pPr>
        <w:ind w:left="8392" w:hanging="720"/>
      </w:pPr>
      <w:rPr>
        <w:rFonts w:hint="default"/>
        <w:lang w:val="en-US" w:eastAsia="zh-CN" w:bidi="ar-SA"/>
      </w:rPr>
    </w:lvl>
    <w:lvl w:ilvl="8" w:tentative="0">
      <w:start w:val="0"/>
      <w:numFmt w:val="bullet"/>
      <w:lvlText w:val="•"/>
      <w:lvlJc w:val="left"/>
      <w:pPr>
        <w:ind w:left="9056" w:hanging="720"/>
      </w:pPr>
      <w:rPr>
        <w:rFonts w:hint="default"/>
        <w:lang w:val="en-US" w:eastAsia="zh-CN" w:bidi="ar-SA"/>
      </w:rPr>
    </w:lvl>
  </w:abstractNum>
  <w:abstractNum w:abstractNumId="114">
    <w:nsid w:val="5E29AB5A"/>
    <w:multiLevelType w:val="multilevel"/>
    <w:tmpl w:val="5E29AB5A"/>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5">
    <w:nsid w:val="5FCE4367"/>
    <w:multiLevelType w:val="multilevel"/>
    <w:tmpl w:val="5FCE4367"/>
    <w:lvl w:ilvl="0" w:tentative="0">
      <w:start w:val="1"/>
      <w:numFmt w:val="decimal"/>
      <w:lvlText w:val="%1."/>
      <w:lvlJc w:val="left"/>
      <w:pPr>
        <w:ind w:left="490" w:hanging="317"/>
        <w:jc w:val="right"/>
      </w:pPr>
      <w:rPr>
        <w:rFonts w:hint="default" w:ascii="宋体" w:hAnsi="宋体" w:eastAsia="宋体" w:cs="宋体"/>
        <w:b/>
        <w:bCs/>
        <w:i w:val="0"/>
        <w:iCs w:val="0"/>
        <w:spacing w:val="0"/>
        <w:w w:val="98"/>
        <w:sz w:val="21"/>
        <w:szCs w:val="21"/>
        <w:lang w:val="en-US" w:eastAsia="zh-CN" w:bidi="ar-SA"/>
      </w:rPr>
    </w:lvl>
    <w:lvl w:ilvl="1" w:tentative="0">
      <w:start w:val="0"/>
      <w:numFmt w:val="bullet"/>
      <w:lvlText w:val="•"/>
      <w:lvlJc w:val="left"/>
      <w:pPr>
        <w:ind w:left="1257" w:hanging="317"/>
      </w:pPr>
      <w:rPr>
        <w:rFonts w:hint="default"/>
        <w:lang w:val="en-US" w:eastAsia="zh-CN" w:bidi="ar-SA"/>
      </w:rPr>
    </w:lvl>
    <w:lvl w:ilvl="2" w:tentative="0">
      <w:start w:val="0"/>
      <w:numFmt w:val="bullet"/>
      <w:lvlText w:val="•"/>
      <w:lvlJc w:val="left"/>
      <w:pPr>
        <w:ind w:left="2014" w:hanging="317"/>
      </w:pPr>
      <w:rPr>
        <w:rFonts w:hint="default"/>
        <w:lang w:val="en-US" w:eastAsia="zh-CN" w:bidi="ar-SA"/>
      </w:rPr>
    </w:lvl>
    <w:lvl w:ilvl="3" w:tentative="0">
      <w:start w:val="0"/>
      <w:numFmt w:val="bullet"/>
      <w:lvlText w:val="•"/>
      <w:lvlJc w:val="left"/>
      <w:pPr>
        <w:ind w:left="2772" w:hanging="317"/>
      </w:pPr>
      <w:rPr>
        <w:rFonts w:hint="default"/>
        <w:lang w:val="en-US" w:eastAsia="zh-CN" w:bidi="ar-SA"/>
      </w:rPr>
    </w:lvl>
    <w:lvl w:ilvl="4" w:tentative="0">
      <w:start w:val="0"/>
      <w:numFmt w:val="bullet"/>
      <w:lvlText w:val="•"/>
      <w:lvlJc w:val="left"/>
      <w:pPr>
        <w:ind w:left="3529" w:hanging="317"/>
      </w:pPr>
      <w:rPr>
        <w:rFonts w:hint="default"/>
        <w:lang w:val="en-US" w:eastAsia="zh-CN" w:bidi="ar-SA"/>
      </w:rPr>
    </w:lvl>
    <w:lvl w:ilvl="5" w:tentative="0">
      <w:start w:val="0"/>
      <w:numFmt w:val="bullet"/>
      <w:lvlText w:val="•"/>
      <w:lvlJc w:val="left"/>
      <w:pPr>
        <w:ind w:left="4286" w:hanging="317"/>
      </w:pPr>
      <w:rPr>
        <w:rFonts w:hint="default"/>
        <w:lang w:val="en-US" w:eastAsia="zh-CN" w:bidi="ar-SA"/>
      </w:rPr>
    </w:lvl>
    <w:lvl w:ilvl="6" w:tentative="0">
      <w:start w:val="0"/>
      <w:numFmt w:val="bullet"/>
      <w:lvlText w:val="•"/>
      <w:lvlJc w:val="left"/>
      <w:pPr>
        <w:ind w:left="5044" w:hanging="317"/>
      </w:pPr>
      <w:rPr>
        <w:rFonts w:hint="default"/>
        <w:lang w:val="en-US" w:eastAsia="zh-CN" w:bidi="ar-SA"/>
      </w:rPr>
    </w:lvl>
    <w:lvl w:ilvl="7" w:tentative="0">
      <w:start w:val="0"/>
      <w:numFmt w:val="bullet"/>
      <w:lvlText w:val="•"/>
      <w:lvlJc w:val="left"/>
      <w:pPr>
        <w:ind w:left="5801" w:hanging="317"/>
      </w:pPr>
      <w:rPr>
        <w:rFonts w:hint="default"/>
        <w:lang w:val="en-US" w:eastAsia="zh-CN" w:bidi="ar-SA"/>
      </w:rPr>
    </w:lvl>
    <w:lvl w:ilvl="8" w:tentative="0">
      <w:start w:val="0"/>
      <w:numFmt w:val="bullet"/>
      <w:lvlText w:val="•"/>
      <w:lvlJc w:val="left"/>
      <w:pPr>
        <w:ind w:left="6559" w:hanging="317"/>
      </w:pPr>
      <w:rPr>
        <w:rFonts w:hint="default"/>
        <w:lang w:val="en-US" w:eastAsia="zh-CN" w:bidi="ar-SA"/>
      </w:rPr>
    </w:lvl>
  </w:abstractNum>
  <w:abstractNum w:abstractNumId="116">
    <w:nsid w:val="5FFFB1A7"/>
    <w:multiLevelType w:val="multilevel"/>
    <w:tmpl w:val="5FFFB1A7"/>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7">
    <w:nsid w:val="60382F6E"/>
    <w:multiLevelType w:val="multilevel"/>
    <w:tmpl w:val="60382F6E"/>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8">
    <w:nsid w:val="610EFE5C"/>
    <w:multiLevelType w:val="multilevel"/>
    <w:tmpl w:val="610EFE5C"/>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19">
    <w:nsid w:val="629F7852"/>
    <w:multiLevelType w:val="multilevel"/>
    <w:tmpl w:val="629F7852"/>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0">
    <w:nsid w:val="65CD0074"/>
    <w:multiLevelType w:val="multilevel"/>
    <w:tmpl w:val="65CD007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1">
    <w:nsid w:val="68B298F7"/>
    <w:multiLevelType w:val="multilevel"/>
    <w:tmpl w:val="68B298F7"/>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2">
    <w:nsid w:val="700FDCEF"/>
    <w:multiLevelType w:val="multilevel"/>
    <w:tmpl w:val="700FDCEF"/>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3">
    <w:nsid w:val="72183CF9"/>
    <w:multiLevelType w:val="multilevel"/>
    <w:tmpl w:val="72183CF9"/>
    <w:lvl w:ilvl="0" w:tentative="0">
      <w:start w:val="2"/>
      <w:numFmt w:val="decimal"/>
      <w:lvlText w:val="%1"/>
      <w:lvlJc w:val="left"/>
      <w:pPr>
        <w:ind w:left="1321" w:hanging="1102"/>
        <w:jc w:val="left"/>
      </w:pPr>
      <w:rPr>
        <w:rFonts w:hint="default"/>
        <w:lang w:val="en-US" w:eastAsia="zh-CN" w:bidi="ar-SA"/>
      </w:rPr>
    </w:lvl>
    <w:lvl w:ilvl="1" w:tentative="0">
      <w:start w:val="3"/>
      <w:numFmt w:val="decimal"/>
      <w:lvlText w:val="%1.%2"/>
      <w:lvlJc w:val="left"/>
      <w:pPr>
        <w:ind w:left="1321" w:hanging="1102"/>
        <w:jc w:val="left"/>
      </w:pPr>
      <w:rPr>
        <w:rFonts w:hint="default"/>
        <w:lang w:val="en-US" w:eastAsia="zh-CN" w:bidi="ar-SA"/>
      </w:rPr>
    </w:lvl>
    <w:lvl w:ilvl="2" w:tentative="0">
      <w:start w:val="2"/>
      <w:numFmt w:val="decimal"/>
      <w:lvlText w:val="%1.%2.%3"/>
      <w:lvlJc w:val="left"/>
      <w:pPr>
        <w:ind w:left="1321" w:hanging="1102"/>
        <w:jc w:val="left"/>
      </w:pPr>
      <w:rPr>
        <w:rFonts w:hint="default"/>
        <w:lang w:val="en-US" w:eastAsia="zh-CN" w:bidi="ar-SA"/>
      </w:rPr>
    </w:lvl>
    <w:lvl w:ilvl="3" w:tentative="0">
      <w:start w:val="2"/>
      <w:numFmt w:val="decimal"/>
      <w:lvlText w:val="%1.%2.%3.%4"/>
      <w:lvlJc w:val="left"/>
      <w:pPr>
        <w:ind w:left="1321" w:hanging="1102"/>
        <w:jc w:val="left"/>
      </w:pPr>
      <w:rPr>
        <w:rFonts w:hint="default" w:ascii="宋体" w:hAnsi="宋体" w:eastAsia="宋体" w:cs="宋体"/>
        <w:b/>
        <w:bCs/>
        <w:i w:val="0"/>
        <w:iCs w:val="0"/>
        <w:spacing w:val="0"/>
        <w:w w:val="98"/>
        <w:sz w:val="21"/>
        <w:szCs w:val="21"/>
        <w:lang w:val="en-US" w:eastAsia="zh-CN" w:bidi="ar-SA"/>
      </w:rPr>
    </w:lvl>
    <w:lvl w:ilvl="4" w:tentative="0">
      <w:start w:val="0"/>
      <w:numFmt w:val="bullet"/>
      <w:lvlText w:val="•"/>
      <w:lvlJc w:val="left"/>
      <w:pPr>
        <w:ind w:left="1883" w:hanging="1102"/>
      </w:pPr>
      <w:rPr>
        <w:rFonts w:hint="default"/>
        <w:lang w:val="en-US" w:eastAsia="zh-CN" w:bidi="ar-SA"/>
      </w:rPr>
    </w:lvl>
    <w:lvl w:ilvl="5" w:tentative="0">
      <w:start w:val="0"/>
      <w:numFmt w:val="bullet"/>
      <w:lvlText w:val="•"/>
      <w:lvlJc w:val="left"/>
      <w:pPr>
        <w:ind w:left="2024" w:hanging="1102"/>
      </w:pPr>
      <w:rPr>
        <w:rFonts w:hint="default"/>
        <w:lang w:val="en-US" w:eastAsia="zh-CN" w:bidi="ar-SA"/>
      </w:rPr>
    </w:lvl>
    <w:lvl w:ilvl="6" w:tentative="0">
      <w:start w:val="0"/>
      <w:numFmt w:val="bullet"/>
      <w:lvlText w:val="•"/>
      <w:lvlJc w:val="left"/>
      <w:pPr>
        <w:ind w:left="2165" w:hanging="1102"/>
      </w:pPr>
      <w:rPr>
        <w:rFonts w:hint="default"/>
        <w:lang w:val="en-US" w:eastAsia="zh-CN" w:bidi="ar-SA"/>
      </w:rPr>
    </w:lvl>
    <w:lvl w:ilvl="7" w:tentative="0">
      <w:start w:val="0"/>
      <w:numFmt w:val="bullet"/>
      <w:lvlText w:val="•"/>
      <w:lvlJc w:val="left"/>
      <w:pPr>
        <w:ind w:left="2306" w:hanging="1102"/>
      </w:pPr>
      <w:rPr>
        <w:rFonts w:hint="default"/>
        <w:lang w:val="en-US" w:eastAsia="zh-CN" w:bidi="ar-SA"/>
      </w:rPr>
    </w:lvl>
    <w:lvl w:ilvl="8" w:tentative="0">
      <w:start w:val="0"/>
      <w:numFmt w:val="bullet"/>
      <w:lvlText w:val="•"/>
      <w:lvlJc w:val="left"/>
      <w:pPr>
        <w:ind w:left="2447" w:hanging="1102"/>
      </w:pPr>
      <w:rPr>
        <w:rFonts w:hint="default"/>
        <w:lang w:val="en-US" w:eastAsia="zh-CN" w:bidi="ar-SA"/>
      </w:rPr>
    </w:lvl>
  </w:abstractNum>
  <w:abstractNum w:abstractNumId="124">
    <w:nsid w:val="74C28B35"/>
    <w:multiLevelType w:val="multilevel"/>
    <w:tmpl w:val="74C28B35"/>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5">
    <w:nsid w:val="77633216"/>
    <w:multiLevelType w:val="multilevel"/>
    <w:tmpl w:val="7763321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625"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371" w:hanging="420"/>
      </w:pPr>
      <w:rPr>
        <w:rFonts w:hint="default"/>
        <w:lang w:val="en-US" w:eastAsia="zh-CN" w:bidi="ar-SA"/>
      </w:rPr>
    </w:lvl>
    <w:lvl w:ilvl="3" w:tentative="0">
      <w:start w:val="0"/>
      <w:numFmt w:val="bullet"/>
      <w:lvlText w:val="•"/>
      <w:lvlJc w:val="left"/>
      <w:pPr>
        <w:ind w:left="5123" w:hanging="420"/>
      </w:pPr>
      <w:rPr>
        <w:rFonts w:hint="default"/>
        <w:lang w:val="en-US" w:eastAsia="zh-CN" w:bidi="ar-SA"/>
      </w:rPr>
    </w:lvl>
    <w:lvl w:ilvl="4" w:tentative="0">
      <w:start w:val="0"/>
      <w:numFmt w:val="bullet"/>
      <w:lvlText w:val="•"/>
      <w:lvlJc w:val="left"/>
      <w:pPr>
        <w:ind w:left="5875" w:hanging="420"/>
      </w:pPr>
      <w:rPr>
        <w:rFonts w:hint="default"/>
        <w:lang w:val="en-US" w:eastAsia="zh-CN" w:bidi="ar-SA"/>
      </w:rPr>
    </w:lvl>
    <w:lvl w:ilvl="5" w:tentative="0">
      <w:start w:val="0"/>
      <w:numFmt w:val="bullet"/>
      <w:lvlText w:val="•"/>
      <w:lvlJc w:val="left"/>
      <w:pPr>
        <w:ind w:left="6627" w:hanging="420"/>
      </w:pPr>
      <w:rPr>
        <w:rFonts w:hint="default"/>
        <w:lang w:val="en-US" w:eastAsia="zh-CN" w:bidi="ar-SA"/>
      </w:rPr>
    </w:lvl>
    <w:lvl w:ilvl="6" w:tentative="0">
      <w:start w:val="0"/>
      <w:numFmt w:val="bullet"/>
      <w:lvlText w:val="•"/>
      <w:lvlJc w:val="left"/>
      <w:pPr>
        <w:ind w:left="7378" w:hanging="420"/>
      </w:pPr>
      <w:rPr>
        <w:rFonts w:hint="default"/>
        <w:lang w:val="en-US" w:eastAsia="zh-CN" w:bidi="ar-SA"/>
      </w:rPr>
    </w:lvl>
    <w:lvl w:ilvl="7" w:tentative="0">
      <w:start w:val="0"/>
      <w:numFmt w:val="bullet"/>
      <w:lvlText w:val="•"/>
      <w:lvlJc w:val="left"/>
      <w:pPr>
        <w:ind w:left="8130" w:hanging="420"/>
      </w:pPr>
      <w:rPr>
        <w:rFonts w:hint="default"/>
        <w:lang w:val="en-US" w:eastAsia="zh-CN" w:bidi="ar-SA"/>
      </w:rPr>
    </w:lvl>
    <w:lvl w:ilvl="8" w:tentative="0">
      <w:start w:val="0"/>
      <w:numFmt w:val="bullet"/>
      <w:lvlText w:val="•"/>
      <w:lvlJc w:val="left"/>
      <w:pPr>
        <w:ind w:left="8882" w:hanging="420"/>
      </w:pPr>
      <w:rPr>
        <w:rFonts w:hint="default"/>
        <w:lang w:val="en-US" w:eastAsia="zh-CN" w:bidi="ar-SA"/>
      </w:rPr>
    </w:lvl>
  </w:abstractNum>
  <w:abstractNum w:abstractNumId="126">
    <w:nsid w:val="77ECEA79"/>
    <w:multiLevelType w:val="multilevel"/>
    <w:tmpl w:val="77ECEA7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7">
    <w:nsid w:val="79AA4FA4"/>
    <w:multiLevelType w:val="multilevel"/>
    <w:tmpl w:val="79AA4FA4"/>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8">
    <w:nsid w:val="7C246926"/>
    <w:multiLevelType w:val="multilevel"/>
    <w:tmpl w:val="7C246926"/>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0"/>
      <w:numFmt w:val="bullet"/>
      <w:lvlText w:val="•"/>
      <w:lvlJc w:val="left"/>
      <w:pPr>
        <w:ind w:left="3918" w:hanging="720"/>
      </w:pPr>
      <w:rPr>
        <w:rFonts w:hint="default"/>
        <w:lang w:val="en-US" w:eastAsia="zh-CN" w:bidi="ar-SA"/>
      </w:rPr>
    </w:lvl>
    <w:lvl w:ilvl="2" w:tentative="0">
      <w:start w:val="0"/>
      <w:numFmt w:val="bullet"/>
      <w:lvlText w:val="•"/>
      <w:lvlJc w:val="left"/>
      <w:pPr>
        <w:ind w:left="4637" w:hanging="720"/>
      </w:pPr>
      <w:rPr>
        <w:rFonts w:hint="default"/>
        <w:lang w:val="en-US" w:eastAsia="zh-CN" w:bidi="ar-SA"/>
      </w:rPr>
    </w:lvl>
    <w:lvl w:ilvl="3" w:tentative="0">
      <w:start w:val="0"/>
      <w:numFmt w:val="bullet"/>
      <w:lvlText w:val="•"/>
      <w:lvlJc w:val="left"/>
      <w:pPr>
        <w:ind w:left="5355" w:hanging="720"/>
      </w:pPr>
      <w:rPr>
        <w:rFonts w:hint="default"/>
        <w:lang w:val="en-US" w:eastAsia="zh-CN" w:bidi="ar-SA"/>
      </w:rPr>
    </w:lvl>
    <w:lvl w:ilvl="4" w:tentative="0">
      <w:start w:val="0"/>
      <w:numFmt w:val="bullet"/>
      <w:lvlText w:val="•"/>
      <w:lvlJc w:val="left"/>
      <w:pPr>
        <w:ind w:left="6074" w:hanging="720"/>
      </w:pPr>
      <w:rPr>
        <w:rFonts w:hint="default"/>
        <w:lang w:val="en-US" w:eastAsia="zh-CN" w:bidi="ar-SA"/>
      </w:rPr>
    </w:lvl>
    <w:lvl w:ilvl="5" w:tentative="0">
      <w:start w:val="0"/>
      <w:numFmt w:val="bullet"/>
      <w:lvlText w:val="•"/>
      <w:lvlJc w:val="left"/>
      <w:pPr>
        <w:ind w:left="6793" w:hanging="720"/>
      </w:pPr>
      <w:rPr>
        <w:rFonts w:hint="default"/>
        <w:lang w:val="en-US" w:eastAsia="zh-CN" w:bidi="ar-SA"/>
      </w:rPr>
    </w:lvl>
    <w:lvl w:ilvl="6" w:tentative="0">
      <w:start w:val="0"/>
      <w:numFmt w:val="bullet"/>
      <w:lvlText w:val="•"/>
      <w:lvlJc w:val="left"/>
      <w:pPr>
        <w:ind w:left="7511" w:hanging="720"/>
      </w:pPr>
      <w:rPr>
        <w:rFonts w:hint="default"/>
        <w:lang w:val="en-US" w:eastAsia="zh-CN" w:bidi="ar-SA"/>
      </w:rPr>
    </w:lvl>
    <w:lvl w:ilvl="7" w:tentative="0">
      <w:start w:val="0"/>
      <w:numFmt w:val="bullet"/>
      <w:lvlText w:val="•"/>
      <w:lvlJc w:val="left"/>
      <w:pPr>
        <w:ind w:left="8230" w:hanging="720"/>
      </w:pPr>
      <w:rPr>
        <w:rFonts w:hint="default"/>
        <w:lang w:val="en-US" w:eastAsia="zh-CN" w:bidi="ar-SA"/>
      </w:rPr>
    </w:lvl>
    <w:lvl w:ilvl="8" w:tentative="0">
      <w:start w:val="0"/>
      <w:numFmt w:val="bullet"/>
      <w:lvlText w:val="•"/>
      <w:lvlJc w:val="left"/>
      <w:pPr>
        <w:ind w:left="8948" w:hanging="720"/>
      </w:pPr>
      <w:rPr>
        <w:rFonts w:hint="default"/>
        <w:lang w:val="en-US" w:eastAsia="zh-CN" w:bidi="ar-SA"/>
      </w:rPr>
    </w:lvl>
  </w:abstractNum>
  <w:abstractNum w:abstractNumId="129">
    <w:nsid w:val="7DEC2089"/>
    <w:multiLevelType w:val="multilevel"/>
    <w:tmpl w:val="7DEC2089"/>
    <w:lvl w:ilvl="0" w:tentative="0">
      <w:start w:val="1"/>
      <w:numFmt w:val="decimal"/>
      <w:lvlText w:val="%1)"/>
      <w:lvlJc w:val="left"/>
      <w:pPr>
        <w:ind w:left="3205" w:hanging="720"/>
        <w:jc w:val="left"/>
      </w:pPr>
      <w:rPr>
        <w:rFonts w:hint="default" w:ascii="宋体" w:hAnsi="宋体" w:eastAsia="宋体" w:cs="宋体"/>
        <w:b w:val="0"/>
        <w:bCs w:val="0"/>
        <w:i w:val="0"/>
        <w:iCs w:val="0"/>
        <w:spacing w:val="0"/>
        <w:w w:val="99"/>
        <w:sz w:val="21"/>
        <w:szCs w:val="21"/>
        <w:lang w:val="en-US" w:eastAsia="zh-CN" w:bidi="ar-SA"/>
      </w:rPr>
    </w:lvl>
    <w:lvl w:ilvl="1" w:tentative="0">
      <w:start w:val="1"/>
      <w:numFmt w:val="lowerLetter"/>
      <w:lvlText w:val="%2)"/>
      <w:lvlJc w:val="left"/>
      <w:pPr>
        <w:ind w:left="3901" w:hanging="682"/>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620" w:hanging="682"/>
      </w:pPr>
      <w:rPr>
        <w:rFonts w:hint="default"/>
        <w:lang w:val="en-US" w:eastAsia="zh-CN" w:bidi="ar-SA"/>
      </w:rPr>
    </w:lvl>
    <w:lvl w:ilvl="3" w:tentative="0">
      <w:start w:val="0"/>
      <w:numFmt w:val="bullet"/>
      <w:lvlText w:val="•"/>
      <w:lvlJc w:val="left"/>
      <w:pPr>
        <w:ind w:left="5341" w:hanging="682"/>
      </w:pPr>
      <w:rPr>
        <w:rFonts w:hint="default"/>
        <w:lang w:val="en-US" w:eastAsia="zh-CN" w:bidi="ar-SA"/>
      </w:rPr>
    </w:lvl>
    <w:lvl w:ilvl="4" w:tentative="0">
      <w:start w:val="0"/>
      <w:numFmt w:val="bullet"/>
      <w:lvlText w:val="•"/>
      <w:lvlJc w:val="left"/>
      <w:pPr>
        <w:ind w:left="6062" w:hanging="682"/>
      </w:pPr>
      <w:rPr>
        <w:rFonts w:hint="default"/>
        <w:lang w:val="en-US" w:eastAsia="zh-CN" w:bidi="ar-SA"/>
      </w:rPr>
    </w:lvl>
    <w:lvl w:ilvl="5" w:tentative="0">
      <w:start w:val="0"/>
      <w:numFmt w:val="bullet"/>
      <w:lvlText w:val="•"/>
      <w:lvlJc w:val="left"/>
      <w:pPr>
        <w:ind w:left="6782" w:hanging="682"/>
      </w:pPr>
      <w:rPr>
        <w:rFonts w:hint="default"/>
        <w:lang w:val="en-US" w:eastAsia="zh-CN" w:bidi="ar-SA"/>
      </w:rPr>
    </w:lvl>
    <w:lvl w:ilvl="6" w:tentative="0">
      <w:start w:val="0"/>
      <w:numFmt w:val="bullet"/>
      <w:lvlText w:val="•"/>
      <w:lvlJc w:val="left"/>
      <w:pPr>
        <w:ind w:left="7503" w:hanging="682"/>
      </w:pPr>
      <w:rPr>
        <w:rFonts w:hint="default"/>
        <w:lang w:val="en-US" w:eastAsia="zh-CN" w:bidi="ar-SA"/>
      </w:rPr>
    </w:lvl>
    <w:lvl w:ilvl="7" w:tentative="0">
      <w:start w:val="0"/>
      <w:numFmt w:val="bullet"/>
      <w:lvlText w:val="•"/>
      <w:lvlJc w:val="left"/>
      <w:pPr>
        <w:ind w:left="8224" w:hanging="682"/>
      </w:pPr>
      <w:rPr>
        <w:rFonts w:hint="default"/>
        <w:lang w:val="en-US" w:eastAsia="zh-CN" w:bidi="ar-SA"/>
      </w:rPr>
    </w:lvl>
    <w:lvl w:ilvl="8" w:tentative="0">
      <w:start w:val="0"/>
      <w:numFmt w:val="bullet"/>
      <w:lvlText w:val="•"/>
      <w:lvlJc w:val="left"/>
      <w:pPr>
        <w:ind w:left="8944" w:hanging="682"/>
      </w:pPr>
      <w:rPr>
        <w:rFonts w:hint="default"/>
        <w:lang w:val="en-US" w:eastAsia="zh-CN" w:bidi="ar-SA"/>
      </w:rPr>
    </w:lvl>
  </w:abstractNum>
  <w:num w:numId="1">
    <w:abstractNumId w:val="29"/>
  </w:num>
  <w:num w:numId="2">
    <w:abstractNumId w:val="65"/>
  </w:num>
  <w:num w:numId="3">
    <w:abstractNumId w:val="85"/>
  </w:num>
  <w:num w:numId="4">
    <w:abstractNumId w:val="123"/>
  </w:num>
  <w:num w:numId="5">
    <w:abstractNumId w:val="62"/>
  </w:num>
  <w:num w:numId="6">
    <w:abstractNumId w:val="9"/>
  </w:num>
  <w:num w:numId="7">
    <w:abstractNumId w:val="86"/>
  </w:num>
  <w:num w:numId="8">
    <w:abstractNumId w:val="113"/>
  </w:num>
  <w:num w:numId="9">
    <w:abstractNumId w:val="40"/>
  </w:num>
  <w:num w:numId="10">
    <w:abstractNumId w:val="105"/>
  </w:num>
  <w:num w:numId="11">
    <w:abstractNumId w:val="56"/>
  </w:num>
  <w:num w:numId="12">
    <w:abstractNumId w:val="83"/>
  </w:num>
  <w:num w:numId="13">
    <w:abstractNumId w:val="47"/>
  </w:num>
  <w:num w:numId="14">
    <w:abstractNumId w:val="45"/>
  </w:num>
  <w:num w:numId="15">
    <w:abstractNumId w:val="16"/>
  </w:num>
  <w:num w:numId="16">
    <w:abstractNumId w:val="102"/>
  </w:num>
  <w:num w:numId="17">
    <w:abstractNumId w:val="117"/>
  </w:num>
  <w:num w:numId="18">
    <w:abstractNumId w:val="68"/>
  </w:num>
  <w:num w:numId="19">
    <w:abstractNumId w:val="100"/>
  </w:num>
  <w:num w:numId="20">
    <w:abstractNumId w:val="26"/>
  </w:num>
  <w:num w:numId="21">
    <w:abstractNumId w:val="128"/>
  </w:num>
  <w:num w:numId="22">
    <w:abstractNumId w:val="126"/>
  </w:num>
  <w:num w:numId="23">
    <w:abstractNumId w:val="36"/>
  </w:num>
  <w:num w:numId="24">
    <w:abstractNumId w:val="119"/>
  </w:num>
  <w:num w:numId="25">
    <w:abstractNumId w:val="10"/>
  </w:num>
  <w:num w:numId="26">
    <w:abstractNumId w:val="94"/>
  </w:num>
  <w:num w:numId="27">
    <w:abstractNumId w:val="4"/>
  </w:num>
  <w:num w:numId="28">
    <w:abstractNumId w:val="111"/>
  </w:num>
  <w:num w:numId="29">
    <w:abstractNumId w:val="129"/>
  </w:num>
  <w:num w:numId="30">
    <w:abstractNumId w:val="1"/>
  </w:num>
  <w:num w:numId="31">
    <w:abstractNumId w:val="82"/>
  </w:num>
  <w:num w:numId="32">
    <w:abstractNumId w:val="107"/>
  </w:num>
  <w:num w:numId="33">
    <w:abstractNumId w:val="59"/>
  </w:num>
  <w:num w:numId="34">
    <w:abstractNumId w:val="49"/>
  </w:num>
  <w:num w:numId="35">
    <w:abstractNumId w:val="90"/>
  </w:num>
  <w:num w:numId="36">
    <w:abstractNumId w:val="127"/>
  </w:num>
  <w:num w:numId="37">
    <w:abstractNumId w:val="32"/>
  </w:num>
  <w:num w:numId="38">
    <w:abstractNumId w:val="7"/>
  </w:num>
  <w:num w:numId="39">
    <w:abstractNumId w:val="31"/>
  </w:num>
  <w:num w:numId="40">
    <w:abstractNumId w:val="114"/>
  </w:num>
  <w:num w:numId="41">
    <w:abstractNumId w:val="3"/>
  </w:num>
  <w:num w:numId="42">
    <w:abstractNumId w:val="75"/>
  </w:num>
  <w:num w:numId="43">
    <w:abstractNumId w:val="6"/>
  </w:num>
  <w:num w:numId="44">
    <w:abstractNumId w:val="116"/>
  </w:num>
  <w:num w:numId="45">
    <w:abstractNumId w:val="124"/>
  </w:num>
  <w:num w:numId="46">
    <w:abstractNumId w:val="103"/>
  </w:num>
  <w:num w:numId="47">
    <w:abstractNumId w:val="91"/>
  </w:num>
  <w:num w:numId="48">
    <w:abstractNumId w:val="120"/>
  </w:num>
  <w:num w:numId="49">
    <w:abstractNumId w:val="66"/>
  </w:num>
  <w:num w:numId="50">
    <w:abstractNumId w:val="67"/>
  </w:num>
  <w:num w:numId="51">
    <w:abstractNumId w:val="44"/>
  </w:num>
  <w:num w:numId="52">
    <w:abstractNumId w:val="92"/>
  </w:num>
  <w:num w:numId="53">
    <w:abstractNumId w:val="78"/>
  </w:num>
  <w:num w:numId="54">
    <w:abstractNumId w:val="53"/>
  </w:num>
  <w:num w:numId="55">
    <w:abstractNumId w:val="81"/>
  </w:num>
  <w:num w:numId="56">
    <w:abstractNumId w:val="28"/>
  </w:num>
  <w:num w:numId="57">
    <w:abstractNumId w:val="98"/>
  </w:num>
  <w:num w:numId="58">
    <w:abstractNumId w:val="69"/>
  </w:num>
  <w:num w:numId="59">
    <w:abstractNumId w:val="93"/>
  </w:num>
  <w:num w:numId="60">
    <w:abstractNumId w:val="63"/>
  </w:num>
  <w:num w:numId="61">
    <w:abstractNumId w:val="38"/>
  </w:num>
  <w:num w:numId="62">
    <w:abstractNumId w:val="72"/>
  </w:num>
  <w:num w:numId="63">
    <w:abstractNumId w:val="27"/>
  </w:num>
  <w:num w:numId="64">
    <w:abstractNumId w:val="96"/>
  </w:num>
  <w:num w:numId="65">
    <w:abstractNumId w:val="22"/>
  </w:num>
  <w:num w:numId="66">
    <w:abstractNumId w:val="58"/>
  </w:num>
  <w:num w:numId="67">
    <w:abstractNumId w:val="89"/>
  </w:num>
  <w:num w:numId="68">
    <w:abstractNumId w:val="60"/>
  </w:num>
  <w:num w:numId="69">
    <w:abstractNumId w:val="74"/>
  </w:num>
  <w:num w:numId="70">
    <w:abstractNumId w:val="122"/>
  </w:num>
  <w:num w:numId="71">
    <w:abstractNumId w:val="50"/>
  </w:num>
  <w:num w:numId="72">
    <w:abstractNumId w:val="39"/>
  </w:num>
  <w:num w:numId="73">
    <w:abstractNumId w:val="21"/>
  </w:num>
  <w:num w:numId="74">
    <w:abstractNumId w:val="125"/>
  </w:num>
  <w:num w:numId="75">
    <w:abstractNumId w:val="46"/>
  </w:num>
  <w:num w:numId="76">
    <w:abstractNumId w:val="30"/>
  </w:num>
  <w:num w:numId="77">
    <w:abstractNumId w:val="88"/>
  </w:num>
  <w:num w:numId="78">
    <w:abstractNumId w:val="52"/>
  </w:num>
  <w:num w:numId="79">
    <w:abstractNumId w:val="13"/>
  </w:num>
  <w:num w:numId="80">
    <w:abstractNumId w:val="112"/>
  </w:num>
  <w:num w:numId="81">
    <w:abstractNumId w:val="34"/>
  </w:num>
  <w:num w:numId="82">
    <w:abstractNumId w:val="25"/>
  </w:num>
  <w:num w:numId="83">
    <w:abstractNumId w:val="11"/>
  </w:num>
  <w:num w:numId="84">
    <w:abstractNumId w:val="17"/>
  </w:num>
  <w:num w:numId="85">
    <w:abstractNumId w:val="24"/>
  </w:num>
  <w:num w:numId="86">
    <w:abstractNumId w:val="8"/>
  </w:num>
  <w:num w:numId="87">
    <w:abstractNumId w:val="77"/>
  </w:num>
  <w:num w:numId="88">
    <w:abstractNumId w:val="35"/>
  </w:num>
  <w:num w:numId="89">
    <w:abstractNumId w:val="73"/>
  </w:num>
  <w:num w:numId="90">
    <w:abstractNumId w:val="43"/>
  </w:num>
  <w:num w:numId="91">
    <w:abstractNumId w:val="121"/>
  </w:num>
  <w:num w:numId="92">
    <w:abstractNumId w:val="0"/>
  </w:num>
  <w:num w:numId="93">
    <w:abstractNumId w:val="33"/>
  </w:num>
  <w:num w:numId="94">
    <w:abstractNumId w:val="57"/>
  </w:num>
  <w:num w:numId="95">
    <w:abstractNumId w:val="104"/>
  </w:num>
  <w:num w:numId="96">
    <w:abstractNumId w:val="70"/>
  </w:num>
  <w:num w:numId="97">
    <w:abstractNumId w:val="14"/>
  </w:num>
  <w:num w:numId="98">
    <w:abstractNumId w:val="48"/>
  </w:num>
  <w:num w:numId="99">
    <w:abstractNumId w:val="76"/>
  </w:num>
  <w:num w:numId="100">
    <w:abstractNumId w:val="101"/>
  </w:num>
  <w:num w:numId="101">
    <w:abstractNumId w:val="23"/>
  </w:num>
  <w:num w:numId="102">
    <w:abstractNumId w:val="118"/>
  </w:num>
  <w:num w:numId="103">
    <w:abstractNumId w:val="2"/>
  </w:num>
  <w:num w:numId="104">
    <w:abstractNumId w:val="5"/>
  </w:num>
  <w:num w:numId="105">
    <w:abstractNumId w:val="61"/>
  </w:num>
  <w:num w:numId="106">
    <w:abstractNumId w:val="20"/>
  </w:num>
  <w:num w:numId="107">
    <w:abstractNumId w:val="37"/>
  </w:num>
  <w:num w:numId="108">
    <w:abstractNumId w:val="41"/>
  </w:num>
  <w:num w:numId="109">
    <w:abstractNumId w:val="55"/>
  </w:num>
  <w:num w:numId="110">
    <w:abstractNumId w:val="115"/>
  </w:num>
  <w:num w:numId="111">
    <w:abstractNumId w:val="54"/>
  </w:num>
  <w:num w:numId="112">
    <w:abstractNumId w:val="110"/>
  </w:num>
  <w:num w:numId="113">
    <w:abstractNumId w:val="79"/>
  </w:num>
  <w:num w:numId="114">
    <w:abstractNumId w:val="12"/>
  </w:num>
  <w:num w:numId="115">
    <w:abstractNumId w:val="64"/>
  </w:num>
  <w:num w:numId="116">
    <w:abstractNumId w:val="19"/>
  </w:num>
  <w:num w:numId="117">
    <w:abstractNumId w:val="87"/>
  </w:num>
  <w:num w:numId="118">
    <w:abstractNumId w:val="109"/>
  </w:num>
  <w:num w:numId="119">
    <w:abstractNumId w:val="42"/>
  </w:num>
  <w:num w:numId="120">
    <w:abstractNumId w:val="15"/>
  </w:num>
  <w:num w:numId="121">
    <w:abstractNumId w:val="84"/>
  </w:num>
  <w:num w:numId="122">
    <w:abstractNumId w:val="99"/>
  </w:num>
  <w:num w:numId="123">
    <w:abstractNumId w:val="71"/>
  </w:num>
  <w:num w:numId="124">
    <w:abstractNumId w:val="106"/>
  </w:num>
  <w:num w:numId="125">
    <w:abstractNumId w:val="108"/>
  </w:num>
  <w:num w:numId="126">
    <w:abstractNumId w:val="80"/>
  </w:num>
  <w:num w:numId="127">
    <w:abstractNumId w:val="51"/>
  </w:num>
  <w:num w:numId="128">
    <w:abstractNumId w:val="18"/>
  </w:num>
  <w:num w:numId="129">
    <w:abstractNumId w:val="95"/>
  </w:num>
  <w:num w:numId="130">
    <w:abstractNumId w:val="9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DA5YjcwNjgxNzNhYjExMDgzZWI2NGI0YmE1ODUyYmMifQ=="/>
  </w:docVars>
  <w:rsids>
    <w:rsidRoot w:val="00000000"/>
    <w:rsid w:val="79D86C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321" w:hanging="1102"/>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3119" w:hanging="635"/>
      <w:outlineLvl w:val="2"/>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itle"/>
    <w:basedOn w:val="1"/>
    <w:qFormat/>
    <w:uiPriority w:val="1"/>
    <w:pPr>
      <w:spacing w:before="30"/>
      <w:ind w:left="1567" w:right="1765"/>
      <w:jc w:val="center"/>
    </w:pPr>
    <w:rPr>
      <w:rFonts w:ascii="宋体" w:hAnsi="宋体" w:eastAsia="宋体" w:cs="宋体"/>
      <w:b/>
      <w:bCs/>
      <w:sz w:val="32"/>
      <w:szCs w:val="32"/>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3205" w:hanging="721"/>
    </w:pPr>
    <w:rPr>
      <w:rFonts w:ascii="宋体" w:hAnsi="宋体" w:eastAsia="宋体" w:cs="宋体"/>
      <w:lang w:val="en-US" w:eastAsia="zh-CN" w:bidi="ar-SA"/>
    </w:rPr>
  </w:style>
  <w:style w:type="paragraph" w:customStyle="1" w:styleId="10">
    <w:name w:val="Table Paragraph"/>
    <w:basedOn w:val="1"/>
    <w:qFormat/>
    <w:uiPriority w:val="1"/>
    <w:pPr>
      <w:ind w:left="-1"/>
    </w:pPr>
    <w:rPr>
      <w:rFonts w:ascii="宋体" w:hAnsi="宋体" w:eastAsia="宋体" w:cs="宋体"/>
      <w:lang w:val="en-US" w:eastAsia="zh-CN" w:bidi="ar-SA"/>
    </w:rPr>
  </w:style>
  <w:style w:type="character" w:customStyle="1" w:styleId="11">
    <w:name w:val="fontstyle01"/>
    <w:basedOn w:val="7"/>
    <w:uiPriority w:val="0"/>
    <w:rPr>
      <w:rFonts w:ascii="宋体" w:hAnsi="宋体" w:eastAsia="宋体" w:cs="宋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1"/>
    <customShpInfo spid="_x0000_s1032"/>
    <customShpInfo spid="_x0000_s1030"/>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46931</Words>
  <Characters>48438</Characters>
  <TotalTime>7</TotalTime>
  <ScaleCrop>false</ScaleCrop>
  <LinksUpToDate>false</LinksUpToDate>
  <CharactersWithSpaces>53749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2023-06-02T03:40:00Z</dcterms:created>
  <dc:creator>木木</dc:creator>
  <cp:lastModifiedBy>木木</cp:lastModifiedBy>
  <dcterms:modified xsi:type="dcterms:W3CDTF">2023-06-02T03:50:39Z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4D74A15A0EE542908A16D7E714142B70_12</vt:lpwstr>
  </property>
</Properties>
</file>