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8" w:after="4"/>
        <w:ind w:left="0" w:right="476" w:firstLine="0"/>
        <w:jc w:val="right"/>
        <w:rPr>
          <w:sz w:val="18"/>
        </w:rPr>
      </w:pPr>
      <w:r>
        <w:rPr>
          <w:sz w:val="18"/>
        </w:rPr>
        <w:t>复星联合健康保险〔</w:t>
      </w:r>
      <w:r>
        <w:rPr>
          <w:rFonts w:ascii="Times New Roman" w:eastAsia="Times New Roman"/>
          <w:sz w:val="18"/>
        </w:rPr>
        <w:t>2021</w:t>
      </w:r>
      <w:r>
        <w:rPr>
          <w:spacing w:val="-8"/>
          <w:sz w:val="18"/>
        </w:rPr>
        <w:t>〕疾病保险 </w:t>
      </w:r>
      <w:r>
        <w:rPr>
          <w:rFonts w:ascii="Times New Roman" w:eastAsia="Times New Roman"/>
          <w:sz w:val="18"/>
        </w:rPr>
        <w:t>005</w:t>
      </w:r>
      <w:r>
        <w:rPr>
          <w:rFonts w:ascii="Times New Roman" w:eastAsia="Times New Roman"/>
          <w:spacing w:val="-2"/>
          <w:sz w:val="18"/>
        </w:rPr>
        <w:t> </w:t>
      </w:r>
      <w:r>
        <w:rPr>
          <w:spacing w:val="-10"/>
          <w:sz w:val="18"/>
        </w:rPr>
        <w:t>号</w:t>
      </w:r>
    </w:p>
    <w:p>
      <w:pPr>
        <w:pStyle w:val="BodyText"/>
        <w:ind w:left="8825"/>
        <w:rPr>
          <w:sz w:val="20"/>
        </w:rPr>
      </w:pPr>
      <w:r>
        <w:rPr>
          <w:sz w:val="20"/>
        </w:rPr>
        <w:drawing>
          <wp:inline distT="0" distB="0" distL="0" distR="0">
            <wp:extent cx="724637"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4637" cy="723900"/>
                    </a:xfrm>
                    <a:prstGeom prst="rect">
                      <a:avLst/>
                    </a:prstGeom>
                  </pic:spPr>
                </pic:pic>
              </a:graphicData>
            </a:graphic>
          </wp:inline>
        </w:drawing>
      </w:r>
      <w:r>
        <w:rPr>
          <w:sz w:val="20"/>
        </w:rPr>
      </w:r>
    </w:p>
    <w:p>
      <w:pPr>
        <w:spacing w:before="0"/>
        <w:ind w:left="0" w:right="479" w:firstLine="0"/>
        <w:jc w:val="right"/>
        <w:rPr>
          <w:sz w:val="18"/>
        </w:rPr>
      </w:pPr>
      <w:r>
        <w:rPr>
          <w:spacing w:val="-1"/>
          <w:sz w:val="18"/>
        </w:rPr>
        <w:t>请扫描以查询验证条款</w:t>
      </w:r>
    </w:p>
    <w:p>
      <w:pPr>
        <w:pStyle w:val="Title"/>
        <w:spacing w:before="110"/>
      </w:pPr>
      <w:r>
        <w:rPr>
          <w:w w:val="95"/>
        </w:rPr>
        <w:t>复</w:t>
      </w:r>
      <w:r>
        <w:rPr>
          <w:w w:val="95"/>
        </w:rPr>
        <w:t>星</w:t>
      </w:r>
      <w:r>
        <w:rPr>
          <w:w w:val="95"/>
        </w:rPr>
        <w:t>联</w:t>
      </w:r>
      <w:r>
        <w:rPr>
          <w:w w:val="95"/>
        </w:rPr>
        <w:t>合</w:t>
      </w:r>
      <w:r>
        <w:rPr>
          <w:w w:val="95"/>
        </w:rPr>
        <w:t>康</w:t>
      </w:r>
      <w:r>
        <w:rPr>
          <w:w w:val="95"/>
        </w:rPr>
        <w:t>乐</w:t>
      </w:r>
      <w:r>
        <w:rPr>
          <w:w w:val="95"/>
        </w:rPr>
        <w:t>一生（2021</w:t>
      </w:r>
      <w:r>
        <w:rPr>
          <w:spacing w:val="24"/>
        </w:rPr>
        <w:t>  </w:t>
      </w:r>
      <w:r>
        <w:rPr>
          <w:w w:val="95"/>
        </w:rPr>
        <w:t>版</w:t>
      </w:r>
      <w:r>
        <w:rPr>
          <w:w w:val="95"/>
        </w:rPr>
        <w:t>）重</w:t>
      </w:r>
      <w:r>
        <w:rPr>
          <w:w w:val="95"/>
        </w:rPr>
        <w:t>大</w:t>
      </w:r>
      <w:r>
        <w:rPr>
          <w:w w:val="95"/>
        </w:rPr>
        <w:t>疾</w:t>
      </w:r>
      <w:r>
        <w:rPr>
          <w:w w:val="95"/>
        </w:rPr>
        <w:t>病</w:t>
      </w:r>
      <w:r>
        <w:rPr>
          <w:w w:val="95"/>
        </w:rPr>
        <w:t>保</w:t>
      </w:r>
      <w:r>
        <w:rPr>
          <w:w w:val="95"/>
        </w:rPr>
        <w:t>险</w:t>
      </w:r>
      <w:r>
        <w:rPr>
          <w:w w:val="95"/>
        </w:rPr>
        <w:t>条</w:t>
      </w:r>
      <w:r>
        <w:rPr>
          <w:spacing w:val="-10"/>
          <w:w w:val="95"/>
        </w:rPr>
        <w:t>款</w:t>
      </w:r>
    </w:p>
    <w:p>
      <w:pPr>
        <w:pStyle w:val="Heading1"/>
        <w:spacing w:before="239"/>
        <w:ind w:left="1627" w:right="2007" w:firstLine="0"/>
        <w:jc w:val="center"/>
      </w:pPr>
      <w:r>
        <w:rPr>
          <w:w w:val="95"/>
        </w:rPr>
        <w:t>阅</w:t>
      </w:r>
      <w:r>
        <w:rPr>
          <w:w w:val="95"/>
        </w:rPr>
        <w:t>读</w:t>
      </w:r>
      <w:r>
        <w:rPr>
          <w:spacing w:val="-5"/>
          <w:w w:val="95"/>
        </w:rPr>
        <w:t>指引</w:t>
      </w:r>
    </w:p>
    <w:p>
      <w:pPr>
        <w:pStyle w:val="BodyText"/>
        <w:spacing w:before="6"/>
        <w:rPr>
          <w:b/>
        </w:rPr>
      </w:pPr>
    </w:p>
    <w:p>
      <w:pPr>
        <w:pStyle w:val="BodyText"/>
        <w:ind w:left="940"/>
      </w:pPr>
      <w:r>
        <w:rPr>
          <w:spacing w:val="-2"/>
        </w:rPr>
        <w:t>本阅读指引助您理解复星联合健康保险股份有限公司（以下简称“本公司”）</w:t>
      </w:r>
      <w:r>
        <w:rPr>
          <w:spacing w:val="-3"/>
        </w:rPr>
        <w:t>《复星联合康乐一生</w:t>
      </w:r>
    </w:p>
    <w:p>
      <w:pPr>
        <w:pStyle w:val="BodyText"/>
        <w:spacing w:before="43"/>
        <w:ind w:left="520"/>
      </w:pPr>
      <w:r>
        <w:rPr>
          <w:spacing w:val="-2"/>
        </w:rPr>
        <w:t>（2021版）重大疾病保险》（以下简称“本保险条款</w:t>
      </w:r>
      <w:r>
        <w:rPr>
          <w:spacing w:val="-5"/>
        </w:rPr>
        <w:t>”）</w:t>
      </w:r>
    </w:p>
    <w:p>
      <w:pPr>
        <w:pStyle w:val="Heading2"/>
        <w:spacing w:before="59"/>
        <w:ind w:left="520" w:firstLine="0"/>
      </w:pPr>
      <w:r>
        <w:rPr>
          <w:rFonts w:ascii="Wingdings 2" w:hAnsi="Wingdings 2" w:eastAsia="Wingdings 2"/>
          <w:spacing w:val="-2"/>
          <w:position w:val="-11"/>
          <w:sz w:val="52"/>
        </w:rPr>
        <w:t></w:t>
      </w:r>
      <w:r>
        <w:rPr>
          <w:spacing w:val="-4"/>
        </w:rPr>
        <w:t>拥有的重要权益</w:t>
      </w:r>
    </w:p>
    <w:p>
      <w:pPr>
        <w:pStyle w:val="ListParagraph"/>
        <w:numPr>
          <w:ilvl w:val="0"/>
          <w:numId w:val="1"/>
        </w:numPr>
        <w:tabs>
          <w:tab w:pos="1048" w:val="left" w:leader="none"/>
          <w:tab w:pos="1049" w:val="left" w:leader="none"/>
          <w:tab w:pos="9560" w:val="right" w:leader="dot"/>
        </w:tabs>
        <w:spacing w:line="240" w:lineRule="auto" w:before="60" w:after="0"/>
        <w:ind w:left="1048" w:right="0" w:hanging="421"/>
        <w:jc w:val="left"/>
        <w:rPr>
          <w:sz w:val="21"/>
        </w:rPr>
      </w:pPr>
      <w:r>
        <w:rPr>
          <w:spacing w:val="-2"/>
          <w:sz w:val="21"/>
        </w:rPr>
        <w:t>被</w:t>
      </w:r>
      <w:r>
        <w:rPr>
          <w:spacing w:val="-2"/>
          <w:sz w:val="21"/>
        </w:rPr>
        <w:t>保</w:t>
      </w:r>
      <w:r>
        <w:rPr>
          <w:spacing w:val="-2"/>
          <w:sz w:val="21"/>
        </w:rPr>
        <w:t>险人享有的保险</w:t>
      </w:r>
      <w:r>
        <w:rPr>
          <w:spacing w:val="-2"/>
          <w:sz w:val="21"/>
        </w:rPr>
        <w:t>保</w:t>
      </w:r>
      <w:r>
        <w:rPr>
          <w:spacing w:val="-10"/>
          <w:sz w:val="21"/>
        </w:rPr>
        <w:t>障</w:t>
      </w:r>
      <w:r>
        <w:rPr>
          <w:rFonts w:ascii="Times New Roman" w:hAnsi="Times New Roman" w:eastAsia="Times New Roman"/>
          <w:sz w:val="21"/>
        </w:rPr>
        <w:tab/>
      </w:r>
      <w:r>
        <w:rPr>
          <w:spacing w:val="-5"/>
          <w:sz w:val="21"/>
        </w:rPr>
        <w:t>2.3</w:t>
      </w:r>
    </w:p>
    <w:p>
      <w:pPr>
        <w:pStyle w:val="ListParagraph"/>
        <w:numPr>
          <w:ilvl w:val="0"/>
          <w:numId w:val="1"/>
        </w:numPr>
        <w:tabs>
          <w:tab w:pos="1045" w:val="left" w:leader="none"/>
          <w:tab w:pos="1047" w:val="left" w:leader="none"/>
          <w:tab w:pos="9555" w:val="right" w:leader="dot"/>
        </w:tabs>
        <w:spacing w:line="240" w:lineRule="auto" w:before="43" w:after="0"/>
        <w:ind w:left="1046" w:right="0" w:hanging="421"/>
        <w:jc w:val="left"/>
        <w:rPr>
          <w:sz w:val="21"/>
        </w:rPr>
      </w:pPr>
      <w:r>
        <w:rPr>
          <w:spacing w:val="-2"/>
          <w:sz w:val="21"/>
        </w:rPr>
        <w:t>投</w:t>
      </w:r>
      <w:r>
        <w:rPr>
          <w:spacing w:val="-2"/>
          <w:sz w:val="21"/>
        </w:rPr>
        <w:t>保</w:t>
      </w:r>
      <w:r>
        <w:rPr>
          <w:spacing w:val="-2"/>
          <w:sz w:val="21"/>
        </w:rPr>
        <w:t>人有解除合同的</w:t>
      </w:r>
      <w:r>
        <w:rPr>
          <w:spacing w:val="-2"/>
          <w:sz w:val="21"/>
        </w:rPr>
        <w:t>权</w:t>
      </w:r>
      <w:r>
        <w:rPr>
          <w:spacing w:val="-10"/>
          <w:sz w:val="21"/>
        </w:rPr>
        <w:t>利</w:t>
      </w:r>
      <w:r>
        <w:rPr>
          <w:rFonts w:ascii="Times New Roman" w:hAnsi="Times New Roman" w:eastAsia="Times New Roman"/>
          <w:sz w:val="21"/>
        </w:rPr>
        <w:tab/>
      </w:r>
      <w:r>
        <w:rPr>
          <w:spacing w:val="-5"/>
          <w:sz w:val="21"/>
        </w:rPr>
        <w:t>7.1</w:t>
      </w:r>
    </w:p>
    <w:p>
      <w:pPr>
        <w:pStyle w:val="Heading2"/>
        <w:spacing w:before="60"/>
        <w:ind w:left="520" w:firstLine="0"/>
      </w:pPr>
      <w:r>
        <w:rPr>
          <w:rFonts w:ascii="Wingdings 2" w:hAnsi="Wingdings 2" w:eastAsia="Wingdings 2"/>
          <w:spacing w:val="-2"/>
          <w:position w:val="-11"/>
          <w:sz w:val="52"/>
        </w:rPr>
        <w:t></w:t>
      </w:r>
      <w:r>
        <w:rPr>
          <w:spacing w:val="-3"/>
        </w:rPr>
        <w:t>应当特别注意的事项</w:t>
      </w:r>
    </w:p>
    <w:p>
      <w:pPr>
        <w:pStyle w:val="ListParagraph"/>
        <w:numPr>
          <w:ilvl w:val="0"/>
          <w:numId w:val="1"/>
        </w:numPr>
        <w:tabs>
          <w:tab w:pos="1045" w:val="left" w:leader="none"/>
          <w:tab w:pos="1047" w:val="left" w:leader="none"/>
          <w:tab w:pos="9557" w:val="right" w:leader="dot"/>
        </w:tabs>
        <w:spacing w:line="240" w:lineRule="auto" w:before="59" w:after="0"/>
        <w:ind w:left="1046" w:right="0" w:hanging="421"/>
        <w:jc w:val="left"/>
        <w:rPr>
          <w:sz w:val="21"/>
        </w:rPr>
      </w:pPr>
      <w:r>
        <w:rPr>
          <w:spacing w:val="-2"/>
          <w:sz w:val="21"/>
        </w:rPr>
        <w:t>在</w:t>
      </w:r>
      <w:r>
        <w:rPr>
          <w:spacing w:val="-2"/>
          <w:sz w:val="21"/>
        </w:rPr>
        <w:t>某</w:t>
      </w:r>
      <w:r>
        <w:rPr>
          <w:spacing w:val="-2"/>
          <w:sz w:val="21"/>
        </w:rPr>
        <w:t>些情况下，本公司不</w:t>
      </w:r>
      <w:r>
        <w:rPr>
          <w:spacing w:val="-2"/>
          <w:sz w:val="21"/>
        </w:rPr>
        <w:t>承</w:t>
      </w:r>
      <w:r>
        <w:rPr>
          <w:spacing w:val="-2"/>
          <w:sz w:val="21"/>
        </w:rPr>
        <w:t>担</w:t>
      </w:r>
      <w:r>
        <w:rPr>
          <w:spacing w:val="-2"/>
          <w:sz w:val="21"/>
        </w:rPr>
        <w:t>保险责</w:t>
      </w:r>
      <w:r>
        <w:rPr>
          <w:spacing w:val="-10"/>
          <w:sz w:val="21"/>
        </w:rPr>
        <w:t>任</w:t>
      </w:r>
      <w:r>
        <w:rPr>
          <w:rFonts w:ascii="Times New Roman" w:hAnsi="Times New Roman" w:eastAsia="Times New Roman"/>
          <w:sz w:val="21"/>
        </w:rPr>
        <w:tab/>
      </w:r>
      <w:r>
        <w:rPr>
          <w:spacing w:val="-5"/>
          <w:sz w:val="21"/>
        </w:rPr>
        <w:t>2.4</w:t>
      </w:r>
    </w:p>
    <w:p>
      <w:pPr>
        <w:pStyle w:val="ListParagraph"/>
        <w:numPr>
          <w:ilvl w:val="0"/>
          <w:numId w:val="1"/>
        </w:numPr>
        <w:tabs>
          <w:tab w:pos="1045" w:val="left" w:leader="none"/>
          <w:tab w:pos="1047" w:val="left" w:leader="none"/>
          <w:tab w:pos="9557" w:val="right" w:leader="dot"/>
        </w:tabs>
        <w:spacing w:line="240" w:lineRule="auto" w:before="43" w:after="0"/>
        <w:ind w:left="1046" w:right="0" w:hanging="421"/>
        <w:jc w:val="left"/>
        <w:rPr>
          <w:sz w:val="21"/>
        </w:rPr>
      </w:pPr>
      <w:r>
        <w:rPr>
          <w:spacing w:val="-2"/>
          <w:sz w:val="21"/>
        </w:rPr>
        <w:t>及</w:t>
      </w:r>
      <w:r>
        <w:rPr>
          <w:spacing w:val="-2"/>
          <w:sz w:val="21"/>
        </w:rPr>
        <w:t>时</w:t>
      </w:r>
      <w:r>
        <w:rPr>
          <w:spacing w:val="-2"/>
          <w:sz w:val="21"/>
        </w:rPr>
        <w:t>向本公司通知保险事</w:t>
      </w:r>
      <w:r>
        <w:rPr>
          <w:spacing w:val="-2"/>
          <w:sz w:val="21"/>
        </w:rPr>
        <w:t>故</w:t>
      </w:r>
      <w:r>
        <w:rPr>
          <w:spacing w:val="-2"/>
          <w:sz w:val="21"/>
        </w:rPr>
        <w:t>的</w:t>
      </w:r>
      <w:r>
        <w:rPr>
          <w:spacing w:val="-2"/>
          <w:sz w:val="21"/>
        </w:rPr>
        <w:t>责</w:t>
      </w:r>
      <w:r>
        <w:rPr>
          <w:spacing w:val="-10"/>
          <w:sz w:val="21"/>
        </w:rPr>
        <w:t>任</w:t>
      </w:r>
      <w:r>
        <w:rPr>
          <w:rFonts w:ascii="Times New Roman" w:hAnsi="Times New Roman" w:eastAsia="Times New Roman"/>
          <w:sz w:val="21"/>
        </w:rPr>
        <w:tab/>
      </w:r>
      <w:r>
        <w:rPr>
          <w:spacing w:val="-5"/>
          <w:sz w:val="21"/>
        </w:rPr>
        <w:t>3.2</w:t>
      </w:r>
    </w:p>
    <w:p>
      <w:pPr>
        <w:pStyle w:val="ListParagraph"/>
        <w:numPr>
          <w:ilvl w:val="0"/>
          <w:numId w:val="1"/>
        </w:numPr>
        <w:tabs>
          <w:tab w:pos="1045" w:val="left" w:leader="none"/>
          <w:tab w:pos="1047" w:val="left" w:leader="none"/>
          <w:tab w:pos="9557" w:val="right" w:leader="dot"/>
        </w:tabs>
        <w:spacing w:line="240" w:lineRule="auto" w:before="43" w:after="0"/>
        <w:ind w:left="1046" w:right="0" w:hanging="421"/>
        <w:jc w:val="left"/>
        <w:rPr>
          <w:sz w:val="21"/>
        </w:rPr>
      </w:pPr>
      <w:r>
        <w:rPr>
          <w:spacing w:val="-2"/>
          <w:sz w:val="21"/>
        </w:rPr>
        <w:t>应</w:t>
      </w:r>
      <w:r>
        <w:rPr>
          <w:spacing w:val="-2"/>
          <w:sz w:val="21"/>
        </w:rPr>
        <w:t>当</w:t>
      </w:r>
      <w:r>
        <w:rPr>
          <w:spacing w:val="-2"/>
          <w:sz w:val="21"/>
        </w:rPr>
        <w:t>按时交纳保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045" w:val="left" w:leader="none"/>
          <w:tab w:pos="1047" w:val="left" w:leader="none"/>
          <w:tab w:pos="9555" w:val="right" w:leader="dot"/>
        </w:tabs>
        <w:spacing w:line="240" w:lineRule="auto" w:before="43" w:after="0"/>
        <w:ind w:left="1046" w:right="0" w:hanging="421"/>
        <w:jc w:val="left"/>
        <w:rPr>
          <w:sz w:val="21"/>
        </w:rPr>
      </w:pPr>
      <w:r>
        <w:rPr>
          <w:spacing w:val="-2"/>
          <w:sz w:val="21"/>
        </w:rPr>
        <w:t>退</w:t>
      </w:r>
      <w:r>
        <w:rPr>
          <w:spacing w:val="-2"/>
          <w:sz w:val="21"/>
        </w:rPr>
        <w:t>保</w:t>
      </w:r>
      <w:r>
        <w:rPr>
          <w:spacing w:val="-2"/>
          <w:sz w:val="21"/>
        </w:rPr>
        <w:t>会给投保人造成一定</w:t>
      </w:r>
      <w:r>
        <w:rPr>
          <w:spacing w:val="-2"/>
          <w:sz w:val="21"/>
        </w:rPr>
        <w:t>的</w:t>
      </w:r>
      <w:r>
        <w:rPr>
          <w:spacing w:val="-2"/>
          <w:sz w:val="21"/>
        </w:rPr>
        <w:t>损</w:t>
      </w:r>
      <w:r>
        <w:rPr>
          <w:spacing w:val="-2"/>
          <w:sz w:val="21"/>
        </w:rPr>
        <w:t>失，请慎重</w:t>
      </w:r>
      <w:r>
        <w:rPr>
          <w:spacing w:val="-2"/>
          <w:sz w:val="21"/>
        </w:rPr>
        <w:t>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045" w:val="left" w:leader="none"/>
          <w:tab w:pos="1047" w:val="left" w:leader="none"/>
          <w:tab w:pos="9555" w:val="right" w:leader="dot"/>
        </w:tabs>
        <w:spacing w:line="240" w:lineRule="auto" w:before="43" w:after="0"/>
        <w:ind w:left="1046" w:right="0" w:hanging="421"/>
        <w:jc w:val="left"/>
        <w:rPr>
          <w:sz w:val="21"/>
        </w:rPr>
      </w:pPr>
      <w:r>
        <w:rPr>
          <w:spacing w:val="-2"/>
          <w:sz w:val="21"/>
        </w:rPr>
        <w:t>投</w:t>
      </w:r>
      <w:r>
        <w:rPr>
          <w:spacing w:val="-2"/>
          <w:sz w:val="21"/>
        </w:rPr>
        <w:t>保</w:t>
      </w:r>
      <w:r>
        <w:rPr>
          <w:spacing w:val="-2"/>
          <w:sz w:val="21"/>
        </w:rPr>
        <w:t>人有如实告知的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0"/>
          <w:numId w:val="1"/>
        </w:numPr>
        <w:tabs>
          <w:tab w:pos="1045" w:val="left" w:leader="none"/>
          <w:tab w:pos="1047" w:val="left" w:leader="none"/>
        </w:tabs>
        <w:spacing w:line="278" w:lineRule="auto" w:before="43" w:after="0"/>
        <w:ind w:left="1046" w:right="780" w:hanging="420"/>
        <w:jc w:val="left"/>
        <w:rPr>
          <w:sz w:val="21"/>
        </w:rPr>
      </w:pPr>
      <w:r>
        <w:rPr>
          <w:spacing w:val="-2"/>
          <w:sz w:val="21"/>
        </w:rPr>
        <w:t>本公司对可能影响本合同保障的重要内容进行显著标识，请仔细阅读正文中粗体的内容和背景</w:t>
      </w:r>
      <w:r>
        <w:rPr>
          <w:spacing w:val="-2"/>
          <w:sz w:val="21"/>
        </w:rPr>
        <w:t>突出显示的内容</w:t>
      </w:r>
    </w:p>
    <w:p>
      <w:pPr>
        <w:spacing w:line="452" w:lineRule="exact" w:before="0"/>
        <w:ind w:left="520" w:right="0" w:firstLine="0"/>
        <w:jc w:val="left"/>
        <w:rPr>
          <w:b/>
          <w:sz w:val="21"/>
        </w:rPr>
      </w:pPr>
      <w:r>
        <w:rPr>
          <w:rFonts w:ascii="Wingdings 2" w:hAnsi="Wingdings 2" w:eastAsia="Wingdings 2"/>
          <w:b/>
          <w:spacing w:val="-2"/>
          <w:position w:val="-11"/>
          <w:sz w:val="52"/>
        </w:rPr>
        <w:t></w:t>
      </w:r>
      <w:r>
        <w:rPr>
          <w:b/>
          <w:spacing w:val="-3"/>
          <w:sz w:val="21"/>
        </w:rPr>
        <w:t>条款是保险合同的重要内容，为充分保障您的权益，请仔细阅读本保险条款</w:t>
      </w:r>
    </w:p>
    <w:p>
      <w:pPr>
        <w:spacing w:line="361" w:lineRule="exact" w:before="0"/>
        <w:ind w:left="520" w:right="0" w:firstLine="0"/>
        <w:jc w:val="left"/>
        <w:rPr>
          <w:b/>
          <w:sz w:val="21"/>
        </w:rPr>
      </w:pPr>
      <w:r>
        <w:rPr/>
        <w:drawing>
          <wp:anchor distT="0" distB="0" distL="0" distR="0" allowOverlap="1" layoutInCell="1" locked="0" behindDoc="1" simplePos="0" relativeHeight="486103552">
            <wp:simplePos x="0" y="0"/>
            <wp:positionH relativeFrom="page">
              <wp:posOffset>1931161</wp:posOffset>
            </wp:positionH>
            <wp:positionV relativeFrom="paragraph">
              <wp:posOffset>205742</wp:posOffset>
            </wp:positionV>
            <wp:extent cx="4187443" cy="4206824"/>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4187443" cy="4206824"/>
                    </a:xfrm>
                    <a:prstGeom prst="rect">
                      <a:avLst/>
                    </a:prstGeom>
                  </pic:spPr>
                </pic:pic>
              </a:graphicData>
            </a:graphic>
          </wp:anchor>
        </w:drawing>
      </w:r>
      <w:r>
        <w:rPr>
          <w:rFonts w:ascii="Wingdings 2" w:hAnsi="Wingdings 2" w:eastAsia="Wingdings 2"/>
          <w:b/>
          <w:spacing w:val="-2"/>
          <w:position w:val="-11"/>
          <w:sz w:val="52"/>
        </w:rPr>
        <w:t></w:t>
      </w:r>
      <w:r>
        <w:rPr>
          <w:b/>
          <w:spacing w:val="-4"/>
          <w:sz w:val="21"/>
        </w:rPr>
        <w:t>条款目录</w:t>
      </w:r>
    </w:p>
    <w:p>
      <w:pPr>
        <w:spacing w:after="0" w:line="361" w:lineRule="exact"/>
        <w:jc w:val="left"/>
        <w:rPr>
          <w:sz w:val="21"/>
        </w:rPr>
        <w:sectPr>
          <w:type w:val="continuous"/>
          <w:pgSz w:w="11910" w:h="16840"/>
          <w:pgMar w:top="480" w:bottom="280" w:left="920" w:right="540"/>
        </w:sectPr>
      </w:pPr>
    </w:p>
    <w:p>
      <w:pPr>
        <w:pStyle w:val="ListParagraph"/>
        <w:numPr>
          <w:ilvl w:val="1"/>
          <w:numId w:val="1"/>
        </w:numPr>
        <w:tabs>
          <w:tab w:pos="2456" w:val="left" w:leader="none"/>
        </w:tabs>
        <w:spacing w:line="241" w:lineRule="exact" w:before="0" w:after="0"/>
        <w:ind w:left="2455" w:right="0" w:hanging="213"/>
        <w:jc w:val="left"/>
        <w:rPr>
          <w:b/>
          <w:sz w:val="21"/>
        </w:rPr>
      </w:pPr>
      <w:r>
        <w:rPr>
          <w:b/>
          <w:spacing w:val="-3"/>
          <w:sz w:val="21"/>
        </w:rPr>
        <w:t>合同订立</w:t>
      </w:r>
    </w:p>
    <w:p>
      <w:pPr>
        <w:pStyle w:val="ListParagraph"/>
        <w:numPr>
          <w:ilvl w:val="2"/>
          <w:numId w:val="1"/>
        </w:numPr>
        <w:tabs>
          <w:tab w:pos="2851" w:val="left" w:leader="none"/>
        </w:tabs>
        <w:spacing w:line="240" w:lineRule="auto" w:before="3" w:after="0"/>
        <w:ind w:left="2850" w:right="0" w:hanging="404"/>
        <w:jc w:val="left"/>
        <w:rPr>
          <w:sz w:val="20"/>
        </w:rPr>
      </w:pPr>
      <w:r>
        <w:rPr>
          <w:w w:val="95"/>
          <w:sz w:val="20"/>
        </w:rPr>
        <w:t>合</w:t>
      </w:r>
      <w:r>
        <w:rPr>
          <w:w w:val="95"/>
          <w:sz w:val="20"/>
        </w:rPr>
        <w:t>同</w:t>
      </w:r>
      <w:r>
        <w:rPr>
          <w:w w:val="95"/>
          <w:sz w:val="20"/>
        </w:rPr>
        <w:t>构</w:t>
      </w:r>
      <w:r>
        <w:rPr>
          <w:spacing w:val="-10"/>
          <w:w w:val="95"/>
          <w:sz w:val="20"/>
        </w:rPr>
        <w:t>成</w:t>
      </w:r>
    </w:p>
    <w:p>
      <w:pPr>
        <w:pStyle w:val="ListParagraph"/>
        <w:numPr>
          <w:ilvl w:val="2"/>
          <w:numId w:val="1"/>
        </w:numPr>
        <w:tabs>
          <w:tab w:pos="2851" w:val="left" w:leader="none"/>
        </w:tabs>
        <w:spacing w:line="240" w:lineRule="auto" w:before="3" w:after="0"/>
        <w:ind w:left="2850" w:right="0" w:hanging="401"/>
        <w:jc w:val="left"/>
        <w:rPr>
          <w:sz w:val="20"/>
        </w:rPr>
      </w:pPr>
      <w:r>
        <w:rPr>
          <w:w w:val="95"/>
          <w:sz w:val="20"/>
        </w:rPr>
        <w:t>合</w:t>
      </w:r>
      <w:r>
        <w:rPr>
          <w:w w:val="95"/>
          <w:sz w:val="20"/>
        </w:rPr>
        <w:t>同</w:t>
      </w:r>
      <w:r>
        <w:rPr>
          <w:w w:val="95"/>
          <w:sz w:val="20"/>
        </w:rPr>
        <w:t>成</w:t>
      </w:r>
      <w:r>
        <w:rPr>
          <w:w w:val="95"/>
          <w:sz w:val="20"/>
        </w:rPr>
        <w:t>立</w:t>
      </w:r>
      <w:r>
        <w:rPr>
          <w:w w:val="95"/>
          <w:sz w:val="20"/>
        </w:rPr>
        <w:t>与</w:t>
      </w:r>
      <w:r>
        <w:rPr>
          <w:w w:val="95"/>
          <w:sz w:val="20"/>
        </w:rPr>
        <w:t>生</w:t>
      </w:r>
      <w:r>
        <w:rPr>
          <w:spacing w:val="-10"/>
          <w:w w:val="95"/>
          <w:sz w:val="20"/>
        </w:rPr>
        <w:t>效</w:t>
      </w:r>
    </w:p>
    <w:p>
      <w:pPr>
        <w:pStyle w:val="ListParagraph"/>
        <w:numPr>
          <w:ilvl w:val="2"/>
          <w:numId w:val="1"/>
        </w:numPr>
        <w:tabs>
          <w:tab w:pos="2851" w:val="left" w:leader="none"/>
        </w:tabs>
        <w:spacing w:line="240" w:lineRule="auto" w:before="3" w:after="0"/>
        <w:ind w:left="2850" w:right="0" w:hanging="404"/>
        <w:jc w:val="left"/>
        <w:rPr>
          <w:sz w:val="20"/>
        </w:rPr>
      </w:pPr>
      <w:r>
        <w:rPr>
          <w:w w:val="95"/>
          <w:sz w:val="20"/>
        </w:rPr>
        <w:t>投</w:t>
      </w:r>
      <w:r>
        <w:rPr>
          <w:w w:val="95"/>
          <w:sz w:val="20"/>
        </w:rPr>
        <w:t>保</w:t>
      </w:r>
      <w:r>
        <w:rPr>
          <w:w w:val="95"/>
          <w:sz w:val="20"/>
        </w:rPr>
        <w:t>范</w:t>
      </w:r>
      <w:r>
        <w:rPr>
          <w:spacing w:val="-10"/>
          <w:w w:val="95"/>
          <w:sz w:val="20"/>
        </w:rPr>
        <w:t>围</w:t>
      </w:r>
    </w:p>
    <w:p>
      <w:pPr>
        <w:pStyle w:val="ListParagraph"/>
        <w:numPr>
          <w:ilvl w:val="2"/>
          <w:numId w:val="1"/>
        </w:numPr>
        <w:tabs>
          <w:tab w:pos="2851" w:val="left" w:leader="none"/>
        </w:tabs>
        <w:spacing w:line="240" w:lineRule="auto" w:before="5" w:after="0"/>
        <w:ind w:left="2850" w:right="0" w:hanging="404"/>
        <w:jc w:val="left"/>
        <w:rPr>
          <w:sz w:val="20"/>
        </w:rPr>
      </w:pPr>
      <w:r>
        <w:rPr>
          <w:w w:val="95"/>
          <w:sz w:val="20"/>
        </w:rPr>
        <w:t>犹</w:t>
      </w:r>
      <w:r>
        <w:rPr>
          <w:w w:val="95"/>
          <w:sz w:val="20"/>
        </w:rPr>
        <w:t>豫</w:t>
      </w:r>
      <w:r>
        <w:rPr>
          <w:spacing w:val="-10"/>
          <w:w w:val="95"/>
          <w:sz w:val="20"/>
        </w:rPr>
        <w:t>期</w:t>
      </w:r>
    </w:p>
    <w:p>
      <w:pPr>
        <w:pStyle w:val="Heading2"/>
        <w:numPr>
          <w:ilvl w:val="1"/>
          <w:numId w:val="1"/>
        </w:numPr>
        <w:tabs>
          <w:tab w:pos="2456" w:val="left" w:leader="none"/>
        </w:tabs>
        <w:spacing w:line="240" w:lineRule="auto" w:before="146" w:after="0"/>
        <w:ind w:left="2455" w:right="0" w:hanging="213"/>
        <w:jc w:val="left"/>
      </w:pPr>
      <w:r>
        <w:rPr>
          <w:spacing w:val="-2"/>
        </w:rPr>
        <w:t>提供的保障</w:t>
      </w:r>
    </w:p>
    <w:p>
      <w:pPr>
        <w:pStyle w:val="ListParagraph"/>
        <w:numPr>
          <w:ilvl w:val="2"/>
          <w:numId w:val="1"/>
        </w:numPr>
        <w:tabs>
          <w:tab w:pos="2851" w:val="left" w:leader="none"/>
        </w:tabs>
        <w:spacing w:line="240" w:lineRule="auto" w:before="3" w:after="0"/>
        <w:ind w:left="2850" w:right="0" w:hanging="404"/>
        <w:jc w:val="left"/>
        <w:rPr>
          <w:sz w:val="20"/>
        </w:rPr>
      </w:pPr>
      <w:r>
        <w:rPr>
          <w:w w:val="95"/>
          <w:sz w:val="20"/>
        </w:rPr>
        <w:t>基</w:t>
      </w:r>
      <w:r>
        <w:rPr>
          <w:w w:val="95"/>
          <w:sz w:val="20"/>
        </w:rPr>
        <w:t>本</w:t>
      </w:r>
      <w:r>
        <w:rPr>
          <w:w w:val="95"/>
          <w:sz w:val="20"/>
        </w:rPr>
        <w:t>保</w:t>
      </w:r>
      <w:r>
        <w:rPr>
          <w:w w:val="95"/>
          <w:sz w:val="20"/>
        </w:rPr>
        <w:t>险</w:t>
      </w:r>
      <w:r>
        <w:rPr>
          <w:w w:val="95"/>
          <w:sz w:val="20"/>
        </w:rPr>
        <w:t>金</w:t>
      </w:r>
      <w:r>
        <w:rPr>
          <w:spacing w:val="-10"/>
          <w:w w:val="95"/>
          <w:sz w:val="20"/>
        </w:rPr>
        <w:t>额</w:t>
      </w:r>
    </w:p>
    <w:p>
      <w:pPr>
        <w:pStyle w:val="ListParagraph"/>
        <w:numPr>
          <w:ilvl w:val="2"/>
          <w:numId w:val="1"/>
        </w:numPr>
        <w:tabs>
          <w:tab w:pos="2858" w:val="left" w:leader="none"/>
        </w:tabs>
        <w:spacing w:line="240" w:lineRule="auto" w:before="5" w:after="0"/>
        <w:ind w:left="2858" w:right="0" w:hanging="404"/>
        <w:jc w:val="left"/>
        <w:rPr>
          <w:sz w:val="20"/>
        </w:rPr>
      </w:pPr>
      <w:r>
        <w:rPr>
          <w:w w:val="95"/>
          <w:sz w:val="20"/>
        </w:rPr>
        <w:t>保</w:t>
      </w:r>
      <w:r>
        <w:rPr>
          <w:w w:val="95"/>
          <w:sz w:val="20"/>
        </w:rPr>
        <w:t>险</w:t>
      </w:r>
      <w:r>
        <w:rPr>
          <w:w w:val="95"/>
          <w:sz w:val="20"/>
        </w:rPr>
        <w:t>期</w:t>
      </w:r>
      <w:r>
        <w:rPr>
          <w:spacing w:val="-10"/>
          <w:w w:val="95"/>
          <w:sz w:val="20"/>
        </w:rPr>
        <w:t>间</w:t>
      </w:r>
    </w:p>
    <w:p>
      <w:pPr>
        <w:pStyle w:val="ListParagraph"/>
        <w:numPr>
          <w:ilvl w:val="2"/>
          <w:numId w:val="1"/>
        </w:numPr>
        <w:tabs>
          <w:tab w:pos="2858" w:val="left" w:leader="none"/>
        </w:tabs>
        <w:spacing w:line="240" w:lineRule="auto" w:before="3" w:after="0"/>
        <w:ind w:left="2858" w:right="0" w:hanging="404"/>
        <w:jc w:val="left"/>
        <w:rPr>
          <w:sz w:val="20"/>
        </w:rPr>
      </w:pPr>
      <w:r>
        <w:rPr>
          <w:w w:val="95"/>
          <w:sz w:val="20"/>
        </w:rPr>
        <w:t>保</w:t>
      </w:r>
      <w:r>
        <w:rPr>
          <w:w w:val="95"/>
          <w:sz w:val="20"/>
        </w:rPr>
        <w:t>险</w:t>
      </w:r>
      <w:r>
        <w:rPr>
          <w:w w:val="95"/>
          <w:sz w:val="20"/>
        </w:rPr>
        <w:t>责</w:t>
      </w:r>
      <w:r>
        <w:rPr>
          <w:spacing w:val="-10"/>
          <w:w w:val="95"/>
          <w:sz w:val="20"/>
        </w:rPr>
        <w:t>任</w:t>
      </w:r>
    </w:p>
    <w:p>
      <w:pPr>
        <w:pStyle w:val="ListParagraph"/>
        <w:numPr>
          <w:ilvl w:val="2"/>
          <w:numId w:val="1"/>
        </w:numPr>
        <w:tabs>
          <w:tab w:pos="2858" w:val="left" w:leader="none"/>
        </w:tabs>
        <w:spacing w:line="240" w:lineRule="auto" w:before="3" w:after="0"/>
        <w:ind w:left="2858" w:right="0" w:hanging="404"/>
        <w:jc w:val="left"/>
        <w:rPr>
          <w:sz w:val="20"/>
        </w:rPr>
      </w:pPr>
      <w:r>
        <w:rPr>
          <w:w w:val="95"/>
          <w:sz w:val="20"/>
        </w:rPr>
        <w:t>责</w:t>
      </w:r>
      <w:r>
        <w:rPr>
          <w:w w:val="95"/>
          <w:sz w:val="20"/>
        </w:rPr>
        <w:t>任</w:t>
      </w:r>
      <w:r>
        <w:rPr>
          <w:w w:val="95"/>
          <w:sz w:val="20"/>
        </w:rPr>
        <w:t>免</w:t>
      </w:r>
      <w:r>
        <w:rPr>
          <w:spacing w:val="-10"/>
          <w:w w:val="95"/>
          <w:sz w:val="20"/>
        </w:rPr>
        <w:t>除</w:t>
      </w:r>
    </w:p>
    <w:p>
      <w:pPr>
        <w:pStyle w:val="ListParagraph"/>
        <w:numPr>
          <w:ilvl w:val="2"/>
          <w:numId w:val="1"/>
        </w:numPr>
        <w:tabs>
          <w:tab w:pos="2858" w:val="left" w:leader="none"/>
        </w:tabs>
        <w:spacing w:line="240" w:lineRule="auto" w:before="6" w:after="0"/>
        <w:ind w:left="2858" w:right="0" w:hanging="404"/>
        <w:jc w:val="left"/>
        <w:rPr>
          <w:sz w:val="20"/>
        </w:rPr>
      </w:pPr>
      <w:r>
        <w:rPr>
          <w:w w:val="95"/>
          <w:sz w:val="20"/>
        </w:rPr>
        <w:t>未</w:t>
      </w:r>
      <w:r>
        <w:rPr>
          <w:w w:val="95"/>
          <w:sz w:val="20"/>
        </w:rPr>
        <w:t>成</w:t>
      </w:r>
      <w:r>
        <w:rPr>
          <w:w w:val="95"/>
          <w:sz w:val="20"/>
        </w:rPr>
        <w:t>年</w:t>
      </w:r>
      <w:r>
        <w:rPr>
          <w:w w:val="95"/>
          <w:sz w:val="20"/>
        </w:rPr>
        <w:t>人</w:t>
      </w:r>
      <w:r>
        <w:rPr>
          <w:w w:val="95"/>
          <w:sz w:val="20"/>
        </w:rPr>
        <w:t>限</w:t>
      </w:r>
      <w:r>
        <w:rPr>
          <w:spacing w:val="-10"/>
          <w:w w:val="95"/>
          <w:sz w:val="20"/>
        </w:rPr>
        <w:t>制</w:t>
      </w:r>
    </w:p>
    <w:p>
      <w:pPr>
        <w:pStyle w:val="Heading2"/>
        <w:numPr>
          <w:ilvl w:val="1"/>
          <w:numId w:val="1"/>
        </w:numPr>
        <w:tabs>
          <w:tab w:pos="2456" w:val="left" w:leader="none"/>
        </w:tabs>
        <w:spacing w:line="240" w:lineRule="auto" w:before="146" w:after="0"/>
        <w:ind w:left="2455" w:right="0" w:hanging="213"/>
        <w:jc w:val="left"/>
      </w:pPr>
      <w:r>
        <w:rPr>
          <w:spacing w:val="-2"/>
        </w:rPr>
        <w:t>保险金申领</w:t>
      </w:r>
    </w:p>
    <w:p>
      <w:pPr>
        <w:pStyle w:val="ListParagraph"/>
        <w:numPr>
          <w:ilvl w:val="2"/>
          <w:numId w:val="1"/>
        </w:numPr>
        <w:tabs>
          <w:tab w:pos="2846" w:val="left" w:leader="none"/>
        </w:tabs>
        <w:spacing w:line="240" w:lineRule="auto" w:before="3" w:after="0"/>
        <w:ind w:left="2846" w:right="0" w:hanging="404"/>
        <w:jc w:val="left"/>
        <w:rPr>
          <w:sz w:val="20"/>
        </w:rPr>
      </w:pPr>
      <w:r>
        <w:rPr>
          <w:w w:val="95"/>
          <w:sz w:val="20"/>
        </w:rPr>
        <w:t>受</w:t>
      </w:r>
      <w:r>
        <w:rPr>
          <w:w w:val="95"/>
          <w:sz w:val="20"/>
        </w:rPr>
        <w:t>益</w:t>
      </w:r>
      <w:r>
        <w:rPr>
          <w:spacing w:val="-10"/>
          <w:w w:val="95"/>
          <w:sz w:val="20"/>
        </w:rPr>
        <w:t>人</w:t>
      </w:r>
    </w:p>
    <w:p>
      <w:pPr>
        <w:pStyle w:val="ListParagraph"/>
        <w:numPr>
          <w:ilvl w:val="2"/>
          <w:numId w:val="1"/>
        </w:numPr>
        <w:tabs>
          <w:tab w:pos="2851" w:val="left" w:leader="none"/>
        </w:tabs>
        <w:spacing w:line="240" w:lineRule="auto" w:before="5" w:after="0"/>
        <w:ind w:left="2850" w:right="0" w:hanging="401"/>
        <w:jc w:val="left"/>
        <w:rPr>
          <w:sz w:val="20"/>
        </w:rPr>
      </w:pPr>
      <w:r>
        <w:rPr>
          <w:w w:val="95"/>
          <w:sz w:val="20"/>
        </w:rPr>
        <w:t>保</w:t>
      </w:r>
      <w:r>
        <w:rPr>
          <w:w w:val="95"/>
          <w:sz w:val="20"/>
        </w:rPr>
        <w:t>险</w:t>
      </w:r>
      <w:r>
        <w:rPr>
          <w:w w:val="95"/>
          <w:sz w:val="20"/>
        </w:rPr>
        <w:t>事</w:t>
      </w:r>
      <w:r>
        <w:rPr>
          <w:w w:val="95"/>
          <w:sz w:val="20"/>
        </w:rPr>
        <w:t>故</w:t>
      </w:r>
      <w:r>
        <w:rPr>
          <w:w w:val="95"/>
          <w:sz w:val="20"/>
        </w:rPr>
        <w:t>通</w:t>
      </w:r>
      <w:r>
        <w:rPr>
          <w:spacing w:val="-10"/>
          <w:w w:val="95"/>
          <w:sz w:val="20"/>
        </w:rPr>
        <w:t>知</w:t>
      </w:r>
    </w:p>
    <w:p>
      <w:pPr>
        <w:pStyle w:val="ListParagraph"/>
        <w:numPr>
          <w:ilvl w:val="2"/>
          <w:numId w:val="1"/>
        </w:numPr>
        <w:tabs>
          <w:tab w:pos="2851" w:val="left" w:leader="none"/>
        </w:tabs>
        <w:spacing w:line="240" w:lineRule="auto" w:before="4" w:after="0"/>
        <w:ind w:left="2850" w:right="0" w:hanging="401"/>
        <w:jc w:val="left"/>
        <w:rPr>
          <w:sz w:val="20"/>
        </w:rPr>
      </w:pPr>
      <w:r>
        <w:rPr>
          <w:w w:val="95"/>
          <w:sz w:val="20"/>
        </w:rPr>
        <w:t>保</w:t>
      </w:r>
      <w:r>
        <w:rPr>
          <w:w w:val="95"/>
          <w:sz w:val="20"/>
        </w:rPr>
        <w:t>险</w:t>
      </w:r>
      <w:r>
        <w:rPr>
          <w:w w:val="95"/>
          <w:sz w:val="20"/>
        </w:rPr>
        <w:t>金</w:t>
      </w:r>
      <w:r>
        <w:rPr>
          <w:w w:val="95"/>
          <w:sz w:val="20"/>
        </w:rPr>
        <w:t>申</w:t>
      </w:r>
      <w:r>
        <w:rPr>
          <w:spacing w:val="-10"/>
          <w:w w:val="95"/>
          <w:sz w:val="20"/>
        </w:rPr>
        <w:t>请</w:t>
      </w:r>
    </w:p>
    <w:p>
      <w:pPr>
        <w:pStyle w:val="ListParagraph"/>
        <w:numPr>
          <w:ilvl w:val="2"/>
          <w:numId w:val="1"/>
        </w:numPr>
        <w:tabs>
          <w:tab w:pos="2851" w:val="left" w:leader="none"/>
        </w:tabs>
        <w:spacing w:line="240" w:lineRule="auto" w:before="3" w:after="0"/>
        <w:ind w:left="2850" w:right="0" w:hanging="401"/>
        <w:jc w:val="left"/>
        <w:rPr>
          <w:sz w:val="20"/>
        </w:rPr>
      </w:pPr>
      <w:r>
        <w:rPr>
          <w:w w:val="95"/>
          <w:sz w:val="20"/>
        </w:rPr>
        <w:t>代</w:t>
      </w:r>
      <w:r>
        <w:rPr>
          <w:w w:val="95"/>
          <w:sz w:val="20"/>
        </w:rPr>
        <w:t>理</w:t>
      </w:r>
      <w:r>
        <w:rPr>
          <w:w w:val="95"/>
          <w:sz w:val="20"/>
        </w:rPr>
        <w:t>申</w:t>
      </w:r>
      <w:r>
        <w:rPr>
          <w:w w:val="95"/>
          <w:sz w:val="20"/>
        </w:rPr>
        <w:t>请</w:t>
      </w:r>
      <w:r>
        <w:rPr>
          <w:w w:val="95"/>
          <w:sz w:val="20"/>
        </w:rPr>
        <w:t>及</w:t>
      </w:r>
      <w:r>
        <w:rPr>
          <w:w w:val="95"/>
          <w:sz w:val="20"/>
        </w:rPr>
        <w:t>其</w:t>
      </w:r>
      <w:r>
        <w:rPr>
          <w:spacing w:val="-10"/>
          <w:w w:val="95"/>
          <w:sz w:val="20"/>
        </w:rPr>
        <w:t>他</w:t>
      </w:r>
    </w:p>
    <w:p>
      <w:pPr>
        <w:pStyle w:val="ListParagraph"/>
        <w:numPr>
          <w:ilvl w:val="2"/>
          <w:numId w:val="1"/>
        </w:numPr>
        <w:tabs>
          <w:tab w:pos="2851" w:val="left" w:leader="none"/>
        </w:tabs>
        <w:spacing w:line="240" w:lineRule="auto" w:before="5" w:after="0"/>
        <w:ind w:left="2850" w:right="0" w:hanging="401"/>
        <w:jc w:val="left"/>
        <w:rPr>
          <w:sz w:val="20"/>
        </w:rPr>
      </w:pPr>
      <w:r>
        <w:rPr>
          <w:w w:val="95"/>
          <w:sz w:val="20"/>
        </w:rPr>
        <w:t>配</w:t>
      </w:r>
      <w:r>
        <w:rPr>
          <w:w w:val="95"/>
          <w:sz w:val="20"/>
        </w:rPr>
        <w:t>合</w:t>
      </w:r>
      <w:r>
        <w:rPr>
          <w:w w:val="95"/>
          <w:sz w:val="20"/>
        </w:rPr>
        <w:t>调</w:t>
      </w:r>
      <w:r>
        <w:rPr>
          <w:spacing w:val="-10"/>
          <w:w w:val="95"/>
          <w:sz w:val="20"/>
        </w:rPr>
        <w:t>查</w:t>
      </w:r>
    </w:p>
    <w:p>
      <w:pPr>
        <w:pStyle w:val="ListParagraph"/>
        <w:numPr>
          <w:ilvl w:val="2"/>
          <w:numId w:val="1"/>
        </w:numPr>
        <w:tabs>
          <w:tab w:pos="2851" w:val="left" w:leader="none"/>
        </w:tabs>
        <w:spacing w:line="240" w:lineRule="auto" w:before="3" w:after="0"/>
        <w:ind w:left="2850" w:right="0" w:hanging="404"/>
        <w:jc w:val="left"/>
        <w:rPr>
          <w:sz w:val="20"/>
        </w:rPr>
      </w:pPr>
      <w:r>
        <w:rPr>
          <w:w w:val="95"/>
          <w:sz w:val="20"/>
        </w:rPr>
        <w:t>保</w:t>
      </w:r>
      <w:r>
        <w:rPr>
          <w:w w:val="95"/>
          <w:sz w:val="20"/>
        </w:rPr>
        <w:t>险</w:t>
      </w:r>
      <w:r>
        <w:rPr>
          <w:w w:val="95"/>
          <w:sz w:val="20"/>
        </w:rPr>
        <w:t>金</w:t>
      </w:r>
      <w:r>
        <w:rPr>
          <w:w w:val="95"/>
          <w:sz w:val="20"/>
        </w:rPr>
        <w:t>的</w:t>
      </w:r>
      <w:r>
        <w:rPr>
          <w:w w:val="95"/>
          <w:sz w:val="20"/>
        </w:rPr>
        <w:t>给</w:t>
      </w:r>
      <w:r>
        <w:rPr>
          <w:spacing w:val="-10"/>
          <w:w w:val="95"/>
          <w:sz w:val="20"/>
        </w:rPr>
        <w:t>付</w:t>
      </w:r>
    </w:p>
    <w:p>
      <w:pPr>
        <w:pStyle w:val="ListParagraph"/>
        <w:numPr>
          <w:ilvl w:val="2"/>
          <w:numId w:val="1"/>
        </w:numPr>
        <w:tabs>
          <w:tab w:pos="2851" w:val="left" w:leader="none"/>
        </w:tabs>
        <w:spacing w:line="240" w:lineRule="auto" w:before="3" w:after="0"/>
        <w:ind w:left="2850" w:right="0" w:hanging="404"/>
        <w:jc w:val="left"/>
        <w:rPr>
          <w:sz w:val="20"/>
        </w:rPr>
      </w:pPr>
      <w:r>
        <w:rPr>
          <w:w w:val="95"/>
          <w:sz w:val="20"/>
        </w:rPr>
        <w:t>诉</w:t>
      </w:r>
      <w:r>
        <w:rPr>
          <w:w w:val="95"/>
          <w:sz w:val="20"/>
        </w:rPr>
        <w:t>讼</w:t>
      </w:r>
      <w:r>
        <w:rPr>
          <w:w w:val="95"/>
          <w:sz w:val="20"/>
        </w:rPr>
        <w:t>时</w:t>
      </w:r>
      <w:r>
        <w:rPr>
          <w:spacing w:val="-10"/>
          <w:w w:val="95"/>
          <w:sz w:val="20"/>
        </w:rPr>
        <w:t>效</w:t>
      </w:r>
    </w:p>
    <w:p>
      <w:pPr>
        <w:pStyle w:val="Heading2"/>
        <w:numPr>
          <w:ilvl w:val="1"/>
          <w:numId w:val="1"/>
        </w:numPr>
        <w:tabs>
          <w:tab w:pos="2456" w:val="left" w:leader="none"/>
        </w:tabs>
        <w:spacing w:line="240" w:lineRule="auto" w:before="149" w:after="0"/>
        <w:ind w:left="2455" w:right="0" w:hanging="213"/>
        <w:jc w:val="left"/>
      </w:pPr>
      <w:r>
        <w:rPr>
          <w:spacing w:val="-2"/>
        </w:rPr>
        <w:t>保险费交纳</w:t>
      </w:r>
    </w:p>
    <w:p>
      <w:pPr>
        <w:pStyle w:val="ListParagraph"/>
        <w:numPr>
          <w:ilvl w:val="2"/>
          <w:numId w:val="1"/>
        </w:numPr>
        <w:tabs>
          <w:tab w:pos="2851" w:val="left" w:leader="none"/>
        </w:tabs>
        <w:spacing w:line="240" w:lineRule="auto" w:before="2" w:after="0"/>
        <w:ind w:left="2850" w:right="0" w:hanging="404"/>
        <w:jc w:val="left"/>
        <w:rPr>
          <w:sz w:val="20"/>
        </w:rPr>
      </w:pPr>
      <w:r>
        <w:rPr>
          <w:w w:val="95"/>
          <w:sz w:val="20"/>
        </w:rPr>
        <w:t>保</w:t>
      </w:r>
      <w:r>
        <w:rPr>
          <w:w w:val="95"/>
          <w:sz w:val="20"/>
        </w:rPr>
        <w:t>险</w:t>
      </w:r>
      <w:r>
        <w:rPr>
          <w:w w:val="95"/>
          <w:sz w:val="20"/>
        </w:rPr>
        <w:t>费</w:t>
      </w:r>
      <w:r>
        <w:rPr>
          <w:w w:val="95"/>
          <w:sz w:val="20"/>
        </w:rPr>
        <w:t>的</w:t>
      </w:r>
      <w:r>
        <w:rPr>
          <w:w w:val="95"/>
          <w:sz w:val="20"/>
        </w:rPr>
        <w:t>交</w:t>
      </w:r>
      <w:r>
        <w:rPr>
          <w:spacing w:val="-10"/>
          <w:w w:val="95"/>
          <w:sz w:val="20"/>
        </w:rPr>
        <w:t>纳</w:t>
      </w:r>
    </w:p>
    <w:p>
      <w:pPr>
        <w:pStyle w:val="ListParagraph"/>
        <w:numPr>
          <w:ilvl w:val="2"/>
          <w:numId w:val="1"/>
        </w:numPr>
        <w:tabs>
          <w:tab w:pos="2851" w:val="left" w:leader="none"/>
        </w:tabs>
        <w:spacing w:line="240" w:lineRule="auto" w:before="3" w:after="0"/>
        <w:ind w:left="2850" w:right="0" w:hanging="404"/>
        <w:jc w:val="left"/>
        <w:rPr>
          <w:sz w:val="20"/>
        </w:rPr>
      </w:pPr>
      <w:r>
        <w:rPr>
          <w:w w:val="95"/>
          <w:sz w:val="20"/>
        </w:rPr>
        <w:t>宽</w:t>
      </w:r>
      <w:r>
        <w:rPr>
          <w:w w:val="95"/>
          <w:sz w:val="20"/>
        </w:rPr>
        <w:t>限</w:t>
      </w:r>
      <w:r>
        <w:rPr>
          <w:spacing w:val="-10"/>
          <w:w w:val="95"/>
          <w:sz w:val="20"/>
        </w:rPr>
        <w:t>期</w:t>
      </w:r>
    </w:p>
    <w:p>
      <w:pPr>
        <w:pStyle w:val="Heading2"/>
        <w:numPr>
          <w:ilvl w:val="1"/>
          <w:numId w:val="1"/>
        </w:numPr>
        <w:tabs>
          <w:tab w:pos="1489" w:val="left" w:leader="none"/>
        </w:tabs>
        <w:spacing w:line="241" w:lineRule="exact" w:before="0" w:after="0"/>
        <w:ind w:left="1488" w:right="0" w:hanging="213"/>
        <w:jc w:val="left"/>
      </w:pPr>
      <w:r>
        <w:rPr/>
        <w:br w:type="column"/>
      </w:r>
      <w:r>
        <w:rPr>
          <w:spacing w:val="-2"/>
        </w:rPr>
        <w:t>现金价值权益</w:t>
      </w:r>
    </w:p>
    <w:p>
      <w:pPr>
        <w:pStyle w:val="ListParagraph"/>
        <w:numPr>
          <w:ilvl w:val="2"/>
          <w:numId w:val="1"/>
        </w:numPr>
        <w:tabs>
          <w:tab w:pos="1891" w:val="left" w:leader="none"/>
        </w:tabs>
        <w:spacing w:line="240" w:lineRule="auto" w:before="3" w:after="0"/>
        <w:ind w:left="1890" w:right="0" w:hanging="404"/>
        <w:jc w:val="left"/>
        <w:rPr>
          <w:sz w:val="20"/>
        </w:rPr>
      </w:pPr>
      <w:r>
        <w:rPr>
          <w:w w:val="95"/>
          <w:sz w:val="20"/>
        </w:rPr>
        <w:t>现</w:t>
      </w:r>
      <w:r>
        <w:rPr>
          <w:w w:val="95"/>
          <w:sz w:val="20"/>
        </w:rPr>
        <w:t>金</w:t>
      </w:r>
      <w:r>
        <w:rPr>
          <w:w w:val="95"/>
          <w:sz w:val="20"/>
        </w:rPr>
        <w:t>价</w:t>
      </w:r>
      <w:r>
        <w:rPr>
          <w:spacing w:val="-10"/>
          <w:w w:val="95"/>
          <w:sz w:val="20"/>
        </w:rPr>
        <w:t>值</w:t>
      </w:r>
    </w:p>
    <w:p>
      <w:pPr>
        <w:pStyle w:val="ListParagraph"/>
        <w:numPr>
          <w:ilvl w:val="2"/>
          <w:numId w:val="1"/>
        </w:numPr>
        <w:tabs>
          <w:tab w:pos="1891" w:val="left" w:leader="none"/>
        </w:tabs>
        <w:spacing w:line="240" w:lineRule="auto" w:before="3" w:after="0"/>
        <w:ind w:left="1890" w:right="0" w:hanging="404"/>
        <w:jc w:val="left"/>
        <w:rPr>
          <w:sz w:val="20"/>
        </w:rPr>
      </w:pPr>
      <w:r>
        <w:rPr>
          <w:w w:val="95"/>
          <w:sz w:val="20"/>
        </w:rPr>
        <w:t>保</w:t>
      </w:r>
      <w:r>
        <w:rPr>
          <w:w w:val="95"/>
          <w:sz w:val="20"/>
        </w:rPr>
        <w:t>单</w:t>
      </w:r>
      <w:r>
        <w:rPr>
          <w:w w:val="95"/>
          <w:sz w:val="20"/>
        </w:rPr>
        <w:t>贷</w:t>
      </w:r>
      <w:r>
        <w:rPr>
          <w:spacing w:val="-10"/>
          <w:w w:val="95"/>
          <w:sz w:val="20"/>
        </w:rPr>
        <w:t>款</w:t>
      </w:r>
    </w:p>
    <w:p>
      <w:pPr>
        <w:pStyle w:val="ListParagraph"/>
        <w:numPr>
          <w:ilvl w:val="2"/>
          <w:numId w:val="1"/>
        </w:numPr>
        <w:tabs>
          <w:tab w:pos="1891" w:val="left" w:leader="none"/>
        </w:tabs>
        <w:spacing w:line="240" w:lineRule="auto" w:before="3" w:after="0"/>
        <w:ind w:left="1890" w:right="0" w:hanging="404"/>
        <w:jc w:val="left"/>
        <w:rPr>
          <w:sz w:val="20"/>
        </w:rPr>
      </w:pPr>
      <w:r>
        <w:rPr>
          <w:w w:val="95"/>
          <w:sz w:val="20"/>
        </w:rPr>
        <w:t>保</w:t>
      </w:r>
      <w:r>
        <w:rPr>
          <w:w w:val="95"/>
          <w:sz w:val="20"/>
        </w:rPr>
        <w:t>险</w:t>
      </w:r>
      <w:r>
        <w:rPr>
          <w:w w:val="95"/>
          <w:sz w:val="20"/>
        </w:rPr>
        <w:t>费</w:t>
      </w:r>
      <w:r>
        <w:rPr>
          <w:w w:val="95"/>
          <w:sz w:val="20"/>
        </w:rPr>
        <w:t>自</w:t>
      </w:r>
      <w:r>
        <w:rPr>
          <w:w w:val="95"/>
          <w:sz w:val="20"/>
        </w:rPr>
        <w:t>动</w:t>
      </w:r>
      <w:r>
        <w:rPr>
          <w:w w:val="95"/>
          <w:sz w:val="20"/>
        </w:rPr>
        <w:t>垫</w:t>
      </w:r>
      <w:r>
        <w:rPr>
          <w:spacing w:val="-10"/>
          <w:w w:val="95"/>
          <w:sz w:val="20"/>
        </w:rPr>
        <w:t>交</w:t>
      </w:r>
    </w:p>
    <w:p>
      <w:pPr>
        <w:pStyle w:val="Heading2"/>
        <w:numPr>
          <w:ilvl w:val="1"/>
          <w:numId w:val="1"/>
        </w:numPr>
        <w:tabs>
          <w:tab w:pos="1489" w:val="left" w:leader="none"/>
        </w:tabs>
        <w:spacing w:line="240" w:lineRule="auto" w:before="148" w:after="0"/>
        <w:ind w:left="1488" w:right="0" w:hanging="213"/>
        <w:jc w:val="left"/>
      </w:pPr>
      <w:r>
        <w:rPr>
          <w:spacing w:val="-2"/>
        </w:rPr>
        <w:t>合同效力中止和恢复</w:t>
      </w:r>
    </w:p>
    <w:p>
      <w:pPr>
        <w:pStyle w:val="ListParagraph"/>
        <w:numPr>
          <w:ilvl w:val="2"/>
          <w:numId w:val="1"/>
        </w:numPr>
        <w:tabs>
          <w:tab w:pos="1891" w:val="left" w:leader="none"/>
        </w:tabs>
        <w:spacing w:line="240" w:lineRule="auto" w:before="3" w:after="0"/>
        <w:ind w:left="1890" w:right="0" w:hanging="404"/>
        <w:jc w:val="left"/>
        <w:rPr>
          <w:sz w:val="20"/>
        </w:rPr>
      </w:pPr>
      <w:r>
        <w:rPr>
          <w:w w:val="95"/>
          <w:sz w:val="20"/>
        </w:rPr>
        <w:t>合</w:t>
      </w:r>
      <w:r>
        <w:rPr>
          <w:w w:val="95"/>
          <w:sz w:val="20"/>
        </w:rPr>
        <w:t>同</w:t>
      </w:r>
      <w:r>
        <w:rPr>
          <w:w w:val="95"/>
          <w:sz w:val="20"/>
        </w:rPr>
        <w:t>效</w:t>
      </w:r>
      <w:r>
        <w:rPr>
          <w:w w:val="95"/>
          <w:sz w:val="20"/>
        </w:rPr>
        <w:t>力</w:t>
      </w:r>
      <w:r>
        <w:rPr>
          <w:w w:val="95"/>
          <w:sz w:val="20"/>
        </w:rPr>
        <w:t>中</w:t>
      </w:r>
      <w:r>
        <w:rPr>
          <w:spacing w:val="-10"/>
          <w:w w:val="95"/>
          <w:sz w:val="20"/>
        </w:rPr>
        <w:t>止</w:t>
      </w:r>
    </w:p>
    <w:p>
      <w:pPr>
        <w:pStyle w:val="ListParagraph"/>
        <w:numPr>
          <w:ilvl w:val="2"/>
          <w:numId w:val="1"/>
        </w:numPr>
        <w:tabs>
          <w:tab w:pos="1891" w:val="left" w:leader="none"/>
        </w:tabs>
        <w:spacing w:line="240" w:lineRule="auto" w:before="3" w:after="0"/>
        <w:ind w:left="1890" w:right="0" w:hanging="404"/>
        <w:jc w:val="left"/>
        <w:rPr>
          <w:sz w:val="20"/>
        </w:rPr>
      </w:pPr>
      <w:r>
        <w:rPr>
          <w:w w:val="95"/>
          <w:sz w:val="20"/>
        </w:rPr>
        <w:t>合</w:t>
      </w:r>
      <w:r>
        <w:rPr>
          <w:w w:val="95"/>
          <w:sz w:val="20"/>
        </w:rPr>
        <w:t>同</w:t>
      </w:r>
      <w:r>
        <w:rPr>
          <w:w w:val="95"/>
          <w:sz w:val="20"/>
        </w:rPr>
        <w:t>效</w:t>
      </w:r>
      <w:r>
        <w:rPr>
          <w:w w:val="95"/>
          <w:sz w:val="20"/>
        </w:rPr>
        <w:t>力</w:t>
      </w:r>
      <w:r>
        <w:rPr>
          <w:w w:val="95"/>
          <w:sz w:val="20"/>
        </w:rPr>
        <w:t>恢</w:t>
      </w:r>
      <w:r>
        <w:rPr>
          <w:spacing w:val="-10"/>
          <w:w w:val="95"/>
          <w:sz w:val="20"/>
        </w:rPr>
        <w:t>复</w:t>
      </w:r>
    </w:p>
    <w:p>
      <w:pPr>
        <w:pStyle w:val="Heading2"/>
        <w:numPr>
          <w:ilvl w:val="1"/>
          <w:numId w:val="1"/>
        </w:numPr>
        <w:tabs>
          <w:tab w:pos="1489" w:val="left" w:leader="none"/>
        </w:tabs>
        <w:spacing w:line="240" w:lineRule="auto" w:before="149" w:after="0"/>
        <w:ind w:left="1488" w:right="0" w:hanging="213"/>
        <w:jc w:val="left"/>
      </w:pPr>
      <w:r>
        <w:rPr>
          <w:spacing w:val="-3"/>
        </w:rPr>
        <w:t>合同解除</w:t>
      </w:r>
    </w:p>
    <w:p>
      <w:pPr>
        <w:pStyle w:val="ListParagraph"/>
        <w:numPr>
          <w:ilvl w:val="2"/>
          <w:numId w:val="1"/>
        </w:numPr>
        <w:tabs>
          <w:tab w:pos="1891" w:val="left" w:leader="none"/>
        </w:tabs>
        <w:spacing w:line="240" w:lineRule="auto" w:before="2" w:after="0"/>
        <w:ind w:left="1890" w:right="0" w:hanging="404"/>
        <w:jc w:val="left"/>
        <w:rPr>
          <w:sz w:val="20"/>
        </w:rPr>
      </w:pPr>
      <w:r>
        <w:rPr>
          <w:w w:val="95"/>
          <w:sz w:val="20"/>
        </w:rPr>
        <w:t>解</w:t>
      </w:r>
      <w:r>
        <w:rPr>
          <w:w w:val="95"/>
          <w:sz w:val="20"/>
        </w:rPr>
        <w:t>除</w:t>
      </w:r>
      <w:r>
        <w:rPr>
          <w:w w:val="95"/>
          <w:sz w:val="20"/>
        </w:rPr>
        <w:t>合</w:t>
      </w:r>
      <w:r>
        <w:rPr>
          <w:w w:val="95"/>
          <w:sz w:val="20"/>
        </w:rPr>
        <w:t>同</w:t>
      </w:r>
      <w:r>
        <w:rPr>
          <w:w w:val="95"/>
          <w:sz w:val="20"/>
        </w:rPr>
        <w:t>的</w:t>
      </w:r>
      <w:r>
        <w:rPr>
          <w:w w:val="95"/>
          <w:sz w:val="20"/>
        </w:rPr>
        <w:t>手</w:t>
      </w:r>
      <w:r>
        <w:rPr>
          <w:w w:val="95"/>
          <w:sz w:val="20"/>
        </w:rPr>
        <w:t>续</w:t>
      </w:r>
      <w:r>
        <w:rPr>
          <w:w w:val="95"/>
          <w:sz w:val="20"/>
        </w:rPr>
        <w:t>及</w:t>
      </w:r>
      <w:r>
        <w:rPr>
          <w:w w:val="95"/>
          <w:sz w:val="20"/>
        </w:rPr>
        <w:t>风</w:t>
      </w:r>
      <w:r>
        <w:rPr>
          <w:spacing w:val="-10"/>
          <w:w w:val="95"/>
          <w:sz w:val="20"/>
        </w:rPr>
        <w:t>险</w:t>
      </w:r>
    </w:p>
    <w:p>
      <w:pPr>
        <w:pStyle w:val="Heading2"/>
        <w:numPr>
          <w:ilvl w:val="1"/>
          <w:numId w:val="1"/>
        </w:numPr>
        <w:tabs>
          <w:tab w:pos="1489" w:val="left" w:leader="none"/>
        </w:tabs>
        <w:spacing w:line="240" w:lineRule="auto" w:before="147" w:after="0"/>
        <w:ind w:left="1488" w:right="0" w:hanging="213"/>
        <w:jc w:val="left"/>
      </w:pPr>
      <w:r>
        <w:rPr>
          <w:spacing w:val="-3"/>
        </w:rPr>
        <w:t>其他事项</w:t>
      </w:r>
    </w:p>
    <w:p>
      <w:pPr>
        <w:pStyle w:val="ListParagraph"/>
        <w:numPr>
          <w:ilvl w:val="2"/>
          <w:numId w:val="1"/>
        </w:numPr>
        <w:tabs>
          <w:tab w:pos="1879" w:val="left" w:leader="none"/>
        </w:tabs>
        <w:spacing w:line="240" w:lineRule="auto" w:before="5" w:after="0"/>
        <w:ind w:left="1878" w:right="0" w:hanging="404"/>
        <w:jc w:val="left"/>
        <w:rPr>
          <w:sz w:val="20"/>
        </w:rPr>
      </w:pPr>
      <w:r>
        <w:rPr>
          <w:w w:val="95"/>
          <w:sz w:val="20"/>
        </w:rPr>
        <w:t>明</w:t>
      </w:r>
      <w:r>
        <w:rPr>
          <w:w w:val="95"/>
          <w:sz w:val="20"/>
        </w:rPr>
        <w:t>确</w:t>
      </w:r>
      <w:r>
        <w:rPr>
          <w:w w:val="95"/>
          <w:sz w:val="20"/>
        </w:rPr>
        <w:t>说</w:t>
      </w:r>
      <w:r>
        <w:rPr>
          <w:w w:val="95"/>
          <w:sz w:val="20"/>
        </w:rPr>
        <w:t>明</w:t>
      </w:r>
      <w:r>
        <w:rPr>
          <w:w w:val="95"/>
          <w:sz w:val="20"/>
        </w:rPr>
        <w:t>与</w:t>
      </w:r>
      <w:r>
        <w:rPr>
          <w:w w:val="95"/>
          <w:sz w:val="20"/>
        </w:rPr>
        <w:t>如</w:t>
      </w:r>
      <w:r>
        <w:rPr>
          <w:w w:val="95"/>
          <w:sz w:val="20"/>
        </w:rPr>
        <w:t>实</w:t>
      </w:r>
      <w:r>
        <w:rPr>
          <w:spacing w:val="-5"/>
          <w:w w:val="95"/>
          <w:sz w:val="20"/>
        </w:rPr>
        <w:t>告知</w:t>
      </w:r>
    </w:p>
    <w:p>
      <w:pPr>
        <w:pStyle w:val="ListParagraph"/>
        <w:numPr>
          <w:ilvl w:val="2"/>
          <w:numId w:val="1"/>
        </w:numPr>
        <w:tabs>
          <w:tab w:pos="1884" w:val="left" w:leader="none"/>
        </w:tabs>
        <w:spacing w:line="240" w:lineRule="auto" w:before="3" w:after="0"/>
        <w:ind w:left="1883" w:right="0" w:hanging="404"/>
        <w:jc w:val="left"/>
        <w:rPr>
          <w:sz w:val="20"/>
        </w:rPr>
      </w:pPr>
      <w:r>
        <w:rPr>
          <w:w w:val="95"/>
          <w:sz w:val="20"/>
        </w:rPr>
        <w:t>本</w:t>
      </w:r>
      <w:r>
        <w:rPr>
          <w:w w:val="95"/>
          <w:sz w:val="20"/>
        </w:rPr>
        <w:t>公</w:t>
      </w:r>
      <w:r>
        <w:rPr>
          <w:w w:val="95"/>
          <w:sz w:val="20"/>
        </w:rPr>
        <w:t>司</w:t>
      </w:r>
      <w:r>
        <w:rPr>
          <w:w w:val="95"/>
          <w:sz w:val="20"/>
        </w:rPr>
        <w:t>合</w:t>
      </w:r>
      <w:r>
        <w:rPr>
          <w:w w:val="95"/>
          <w:sz w:val="20"/>
        </w:rPr>
        <w:t>同</w:t>
      </w:r>
      <w:r>
        <w:rPr>
          <w:w w:val="95"/>
          <w:sz w:val="20"/>
        </w:rPr>
        <w:t>解</w:t>
      </w:r>
      <w:r>
        <w:rPr>
          <w:w w:val="95"/>
          <w:sz w:val="20"/>
        </w:rPr>
        <w:t>除</w:t>
      </w:r>
      <w:r>
        <w:rPr>
          <w:spacing w:val="-3"/>
          <w:w w:val="95"/>
          <w:sz w:val="20"/>
        </w:rPr>
        <w:t>权的限制</w:t>
      </w:r>
    </w:p>
    <w:p>
      <w:pPr>
        <w:pStyle w:val="ListParagraph"/>
        <w:numPr>
          <w:ilvl w:val="2"/>
          <w:numId w:val="1"/>
        </w:numPr>
        <w:tabs>
          <w:tab w:pos="1884" w:val="left" w:leader="none"/>
        </w:tabs>
        <w:spacing w:line="240" w:lineRule="auto" w:before="3" w:after="0"/>
        <w:ind w:left="1883" w:right="0" w:hanging="404"/>
        <w:jc w:val="left"/>
        <w:rPr>
          <w:sz w:val="20"/>
        </w:rPr>
      </w:pPr>
      <w:r>
        <w:rPr>
          <w:w w:val="95"/>
          <w:sz w:val="20"/>
        </w:rPr>
        <w:t>年</w:t>
      </w:r>
      <w:r>
        <w:rPr>
          <w:w w:val="95"/>
          <w:sz w:val="20"/>
        </w:rPr>
        <w:t>龄</w:t>
      </w:r>
      <w:r>
        <w:rPr>
          <w:w w:val="95"/>
          <w:sz w:val="20"/>
        </w:rPr>
        <w:t>性</w:t>
      </w:r>
      <w:r>
        <w:rPr>
          <w:w w:val="95"/>
          <w:sz w:val="20"/>
        </w:rPr>
        <w:t>别</w:t>
      </w:r>
      <w:r>
        <w:rPr>
          <w:w w:val="95"/>
          <w:sz w:val="20"/>
        </w:rPr>
        <w:t>错</w:t>
      </w:r>
      <w:r>
        <w:rPr>
          <w:spacing w:val="-10"/>
          <w:w w:val="95"/>
          <w:sz w:val="20"/>
        </w:rPr>
        <w:t>误</w:t>
      </w:r>
    </w:p>
    <w:p>
      <w:pPr>
        <w:pStyle w:val="ListParagraph"/>
        <w:numPr>
          <w:ilvl w:val="2"/>
          <w:numId w:val="1"/>
        </w:numPr>
        <w:tabs>
          <w:tab w:pos="1884" w:val="left" w:leader="none"/>
        </w:tabs>
        <w:spacing w:line="240" w:lineRule="auto" w:before="6" w:after="0"/>
        <w:ind w:left="1883" w:right="0" w:hanging="404"/>
        <w:jc w:val="left"/>
        <w:rPr>
          <w:sz w:val="20"/>
        </w:rPr>
      </w:pPr>
      <w:r>
        <w:rPr>
          <w:w w:val="95"/>
          <w:sz w:val="20"/>
        </w:rPr>
        <w:t>未</w:t>
      </w:r>
      <w:r>
        <w:rPr>
          <w:w w:val="95"/>
          <w:sz w:val="20"/>
        </w:rPr>
        <w:t>还</w:t>
      </w:r>
      <w:r>
        <w:rPr>
          <w:w w:val="95"/>
          <w:sz w:val="20"/>
        </w:rPr>
        <w:t>款</w:t>
      </w:r>
      <w:r>
        <w:rPr>
          <w:spacing w:val="-10"/>
          <w:w w:val="95"/>
          <w:sz w:val="20"/>
        </w:rPr>
        <w:t>项</w:t>
      </w:r>
    </w:p>
    <w:p>
      <w:pPr>
        <w:pStyle w:val="ListParagraph"/>
        <w:numPr>
          <w:ilvl w:val="2"/>
          <w:numId w:val="1"/>
        </w:numPr>
        <w:tabs>
          <w:tab w:pos="1891" w:val="left" w:leader="none"/>
        </w:tabs>
        <w:spacing w:line="240" w:lineRule="auto" w:before="3" w:after="0"/>
        <w:ind w:left="1890" w:right="0" w:hanging="404"/>
        <w:jc w:val="left"/>
        <w:rPr>
          <w:sz w:val="20"/>
        </w:rPr>
      </w:pPr>
      <w:r>
        <w:rPr>
          <w:w w:val="95"/>
          <w:sz w:val="20"/>
        </w:rPr>
        <w:t>合</w:t>
      </w:r>
      <w:r>
        <w:rPr>
          <w:w w:val="95"/>
          <w:sz w:val="20"/>
        </w:rPr>
        <w:t>同</w:t>
      </w:r>
      <w:r>
        <w:rPr>
          <w:w w:val="95"/>
          <w:sz w:val="20"/>
        </w:rPr>
        <w:t>内</w:t>
      </w:r>
      <w:r>
        <w:rPr>
          <w:w w:val="95"/>
          <w:sz w:val="20"/>
        </w:rPr>
        <w:t>容</w:t>
      </w:r>
      <w:r>
        <w:rPr>
          <w:w w:val="95"/>
          <w:sz w:val="20"/>
        </w:rPr>
        <w:t>变</w:t>
      </w:r>
      <w:r>
        <w:rPr>
          <w:spacing w:val="-10"/>
          <w:w w:val="95"/>
          <w:sz w:val="20"/>
        </w:rPr>
        <w:t>更</w:t>
      </w:r>
    </w:p>
    <w:p>
      <w:pPr>
        <w:pStyle w:val="ListParagraph"/>
        <w:numPr>
          <w:ilvl w:val="2"/>
          <w:numId w:val="1"/>
        </w:numPr>
        <w:tabs>
          <w:tab w:pos="1891" w:val="left" w:leader="none"/>
        </w:tabs>
        <w:spacing w:line="240" w:lineRule="auto" w:before="3" w:after="0"/>
        <w:ind w:left="1890" w:right="0" w:hanging="404"/>
        <w:jc w:val="left"/>
        <w:rPr>
          <w:sz w:val="20"/>
        </w:rPr>
      </w:pPr>
      <w:r>
        <w:rPr>
          <w:w w:val="95"/>
          <w:sz w:val="20"/>
        </w:rPr>
        <w:t>联</w:t>
      </w:r>
      <w:r>
        <w:rPr>
          <w:w w:val="95"/>
          <w:sz w:val="20"/>
        </w:rPr>
        <w:t>系</w:t>
      </w:r>
      <w:r>
        <w:rPr>
          <w:w w:val="95"/>
          <w:sz w:val="20"/>
        </w:rPr>
        <w:t>方</w:t>
      </w:r>
      <w:r>
        <w:rPr>
          <w:w w:val="95"/>
          <w:sz w:val="20"/>
        </w:rPr>
        <w:t>式</w:t>
      </w:r>
      <w:r>
        <w:rPr>
          <w:w w:val="95"/>
          <w:sz w:val="20"/>
        </w:rPr>
        <w:t>变</w:t>
      </w:r>
      <w:r>
        <w:rPr>
          <w:spacing w:val="-10"/>
          <w:w w:val="95"/>
          <w:sz w:val="20"/>
        </w:rPr>
        <w:t>更</w:t>
      </w:r>
    </w:p>
    <w:p>
      <w:pPr>
        <w:pStyle w:val="ListParagraph"/>
        <w:numPr>
          <w:ilvl w:val="2"/>
          <w:numId w:val="1"/>
        </w:numPr>
        <w:tabs>
          <w:tab w:pos="1879" w:val="left" w:leader="none"/>
        </w:tabs>
        <w:spacing w:line="240" w:lineRule="auto" w:before="5" w:after="0"/>
        <w:ind w:left="1878" w:right="0" w:hanging="404"/>
        <w:jc w:val="left"/>
        <w:rPr>
          <w:sz w:val="20"/>
        </w:rPr>
      </w:pPr>
      <w:r>
        <w:rPr>
          <w:w w:val="95"/>
          <w:sz w:val="20"/>
        </w:rPr>
        <w:t>争</w:t>
      </w:r>
      <w:r>
        <w:rPr>
          <w:w w:val="95"/>
          <w:sz w:val="20"/>
        </w:rPr>
        <w:t>议</w:t>
      </w:r>
      <w:r>
        <w:rPr>
          <w:w w:val="95"/>
          <w:sz w:val="20"/>
        </w:rPr>
        <w:t>处</w:t>
      </w:r>
      <w:r>
        <w:rPr>
          <w:spacing w:val="-10"/>
          <w:w w:val="95"/>
          <w:sz w:val="20"/>
        </w:rPr>
        <w:t>理</w:t>
      </w:r>
    </w:p>
    <w:p>
      <w:pPr>
        <w:pStyle w:val="Heading2"/>
        <w:spacing w:before="147"/>
        <w:ind w:left="1276" w:firstLine="0"/>
      </w:pPr>
      <w:r>
        <w:rPr>
          <w:spacing w:val="-5"/>
        </w:rPr>
        <w:t>附表</w:t>
      </w:r>
    </w:p>
    <w:p>
      <w:pPr>
        <w:spacing w:line="244" w:lineRule="auto" w:before="2"/>
        <w:ind w:left="1475" w:right="3184" w:firstLine="0"/>
        <w:jc w:val="both"/>
        <w:rPr>
          <w:sz w:val="20"/>
        </w:rPr>
      </w:pPr>
      <w:r>
        <w:rPr>
          <w:sz w:val="20"/>
        </w:rPr>
        <w:t>附</w:t>
      </w:r>
      <w:r>
        <w:rPr>
          <w:sz w:val="20"/>
        </w:rPr>
        <w:t>表</w:t>
      </w:r>
      <w:r>
        <w:rPr>
          <w:sz w:val="20"/>
        </w:rPr>
        <w:t>一</w:t>
      </w:r>
      <w:r>
        <w:rPr>
          <w:spacing w:val="-6"/>
          <w:sz w:val="20"/>
        </w:rPr>
        <w:t> 重大疾病</w:t>
      </w:r>
      <w:r>
        <w:rPr>
          <w:sz w:val="20"/>
        </w:rPr>
        <w:t>附</w:t>
      </w:r>
      <w:r>
        <w:rPr>
          <w:sz w:val="20"/>
        </w:rPr>
        <w:t>表</w:t>
      </w:r>
      <w:r>
        <w:rPr>
          <w:sz w:val="20"/>
        </w:rPr>
        <w:t>二</w:t>
      </w:r>
      <w:r>
        <w:rPr>
          <w:spacing w:val="-6"/>
          <w:sz w:val="20"/>
        </w:rPr>
        <w:t> 中度疾病</w:t>
      </w:r>
      <w:r>
        <w:rPr>
          <w:sz w:val="20"/>
        </w:rPr>
        <w:t>附</w:t>
      </w:r>
      <w:r>
        <w:rPr>
          <w:sz w:val="20"/>
        </w:rPr>
        <w:t>表</w:t>
      </w:r>
      <w:r>
        <w:rPr>
          <w:sz w:val="20"/>
        </w:rPr>
        <w:t>三</w:t>
      </w:r>
      <w:r>
        <w:rPr>
          <w:spacing w:val="-5"/>
          <w:sz w:val="20"/>
        </w:rPr>
        <w:t> 轻度疾病</w:t>
      </w:r>
    </w:p>
    <w:p>
      <w:pPr>
        <w:spacing w:line="244" w:lineRule="auto" w:before="0"/>
        <w:ind w:left="1487" w:right="2271" w:firstLine="0"/>
        <w:jc w:val="both"/>
        <w:rPr>
          <w:sz w:val="20"/>
        </w:rPr>
      </w:pPr>
      <w:r>
        <w:rPr>
          <w:sz w:val="20"/>
        </w:rPr>
        <w:t>附</w:t>
      </w:r>
      <w:r>
        <w:rPr>
          <w:sz w:val="20"/>
        </w:rPr>
        <w:t>表</w:t>
      </w:r>
      <w:r>
        <w:rPr>
          <w:sz w:val="20"/>
        </w:rPr>
        <w:t>四</w:t>
      </w:r>
      <w:r>
        <w:rPr>
          <w:sz w:val="20"/>
        </w:rPr>
        <w:t> 心脑</w:t>
      </w:r>
      <w:r>
        <w:rPr>
          <w:sz w:val="20"/>
        </w:rPr>
        <w:t>血</w:t>
      </w:r>
      <w:r>
        <w:rPr>
          <w:sz w:val="20"/>
        </w:rPr>
        <w:t>管</w:t>
      </w:r>
      <w:r>
        <w:rPr>
          <w:sz w:val="20"/>
        </w:rPr>
        <w:t>特</w:t>
      </w:r>
      <w:r>
        <w:rPr>
          <w:sz w:val="20"/>
        </w:rPr>
        <w:t>定</w:t>
      </w:r>
      <w:r>
        <w:rPr>
          <w:sz w:val="20"/>
        </w:rPr>
        <w:t>疾</w:t>
      </w:r>
      <w:r>
        <w:rPr>
          <w:sz w:val="20"/>
        </w:rPr>
        <w:t>病</w:t>
      </w:r>
      <w:r>
        <w:rPr>
          <w:sz w:val="20"/>
        </w:rPr>
        <w:t>附</w:t>
      </w:r>
      <w:r>
        <w:rPr>
          <w:sz w:val="20"/>
        </w:rPr>
        <w:t>表</w:t>
      </w:r>
      <w:r>
        <w:rPr>
          <w:sz w:val="20"/>
        </w:rPr>
        <w:t>五</w:t>
      </w:r>
      <w:r>
        <w:rPr>
          <w:spacing w:val="-6"/>
          <w:sz w:val="20"/>
        </w:rPr>
        <w:t> 甲状</w:t>
      </w:r>
      <w:r>
        <w:rPr>
          <w:sz w:val="20"/>
        </w:rPr>
        <w:t>腺</w:t>
      </w:r>
      <w:r>
        <w:rPr>
          <w:sz w:val="20"/>
        </w:rPr>
        <w:t>癌</w:t>
      </w:r>
      <w:r>
        <w:rPr>
          <w:sz w:val="20"/>
        </w:rPr>
        <w:t>的</w:t>
      </w:r>
      <w:r>
        <w:rPr>
          <w:sz w:val="20"/>
        </w:rPr>
        <w:t>TNM</w:t>
      </w:r>
      <w:r>
        <w:rPr>
          <w:spacing w:val="-5"/>
          <w:sz w:val="20"/>
        </w:rPr>
        <w:t>分期</w:t>
      </w:r>
    </w:p>
    <w:p>
      <w:pPr>
        <w:spacing w:after="0" w:line="244" w:lineRule="auto"/>
        <w:jc w:val="both"/>
        <w:rPr>
          <w:sz w:val="20"/>
        </w:rPr>
        <w:sectPr>
          <w:type w:val="continuous"/>
          <w:pgSz w:w="11910" w:h="16840"/>
          <w:pgMar w:top="480" w:bottom="280" w:left="920" w:right="540"/>
          <w:cols w:num="2" w:equalWidth="0">
            <w:col w:w="4248" w:space="40"/>
            <w:col w:w="6162"/>
          </w:cols>
        </w:sectPr>
      </w:pPr>
    </w:p>
    <w:p>
      <w:pPr>
        <w:pStyle w:val="BodyText"/>
        <w:spacing w:before="8"/>
        <w:rPr>
          <w:sz w:val="17"/>
        </w:rPr>
      </w:pPr>
    </w:p>
    <w:p>
      <w:pPr>
        <w:spacing w:before="93"/>
        <w:ind w:left="0" w:right="379" w:firstLine="0"/>
        <w:jc w:val="center"/>
        <w:rPr>
          <w:rFonts w:ascii="Times New Roman"/>
          <w:sz w:val="18"/>
        </w:rPr>
      </w:pPr>
      <w:r>
        <w:rPr>
          <w:rFonts w:ascii="Times New Roman"/>
          <w:sz w:val="18"/>
        </w:rPr>
        <w:t>1</w:t>
      </w:r>
    </w:p>
    <w:p>
      <w:pPr>
        <w:spacing w:after="0"/>
        <w:jc w:val="center"/>
        <w:rPr>
          <w:rFonts w:ascii="Times New Roman"/>
          <w:sz w:val="18"/>
        </w:rPr>
        <w:sectPr>
          <w:type w:val="continuous"/>
          <w:pgSz w:w="11910" w:h="16840"/>
          <w:pgMar w:top="480" w:bottom="280" w:left="920" w:right="540"/>
        </w:sectPr>
      </w:pPr>
    </w:p>
    <w:p>
      <w:pPr>
        <w:pStyle w:val="Title"/>
      </w:pPr>
      <w:r>
        <w:rPr>
          <w:w w:val="95"/>
        </w:rPr>
        <w:t>复</w:t>
      </w:r>
      <w:r>
        <w:rPr>
          <w:w w:val="95"/>
        </w:rPr>
        <w:t>星</w:t>
      </w:r>
      <w:r>
        <w:rPr>
          <w:w w:val="95"/>
        </w:rPr>
        <w:t>联</w:t>
      </w:r>
      <w:r>
        <w:rPr>
          <w:w w:val="95"/>
        </w:rPr>
        <w:t>合</w:t>
      </w:r>
      <w:r>
        <w:rPr>
          <w:w w:val="95"/>
        </w:rPr>
        <w:t>康</w:t>
      </w:r>
      <w:r>
        <w:rPr>
          <w:w w:val="95"/>
        </w:rPr>
        <w:t>乐</w:t>
      </w:r>
      <w:r>
        <w:rPr>
          <w:w w:val="95"/>
        </w:rPr>
        <w:t>一生（2021</w:t>
      </w:r>
      <w:r>
        <w:rPr>
          <w:spacing w:val="24"/>
        </w:rPr>
        <w:t>  </w:t>
      </w:r>
      <w:r>
        <w:rPr>
          <w:w w:val="95"/>
        </w:rPr>
        <w:t>版</w:t>
      </w:r>
      <w:r>
        <w:rPr>
          <w:w w:val="95"/>
        </w:rPr>
        <w:t>）重</w:t>
      </w:r>
      <w:r>
        <w:rPr>
          <w:w w:val="95"/>
        </w:rPr>
        <w:t>大</w:t>
      </w:r>
      <w:r>
        <w:rPr>
          <w:w w:val="95"/>
        </w:rPr>
        <w:t>疾</w:t>
      </w:r>
      <w:r>
        <w:rPr>
          <w:w w:val="95"/>
        </w:rPr>
        <w:t>病</w:t>
      </w:r>
      <w:r>
        <w:rPr>
          <w:w w:val="95"/>
        </w:rPr>
        <w:t>保</w:t>
      </w:r>
      <w:r>
        <w:rPr>
          <w:w w:val="95"/>
        </w:rPr>
        <w:t>险</w:t>
      </w:r>
      <w:r>
        <w:rPr>
          <w:w w:val="95"/>
        </w:rPr>
        <w:t>条</w:t>
      </w:r>
      <w:r>
        <w:rPr>
          <w:spacing w:val="-10"/>
          <w:w w:val="95"/>
        </w:rPr>
        <w:t>款</w:t>
      </w:r>
    </w:p>
    <w:p>
      <w:pPr>
        <w:spacing w:line="266" w:lineRule="auto" w:before="120"/>
        <w:ind w:left="100" w:right="675" w:firstLine="420"/>
        <w:jc w:val="left"/>
        <w:rPr>
          <w:i/>
          <w:sz w:val="22"/>
        </w:rPr>
      </w:pPr>
      <w:r>
        <w:rPr>
          <w:i/>
          <w:spacing w:val="-2"/>
          <w:w w:val="95"/>
          <w:sz w:val="22"/>
        </w:rPr>
        <w:t>（</w:t>
      </w:r>
      <w:r>
        <w:rPr>
          <w:i/>
          <w:spacing w:val="-2"/>
          <w:w w:val="95"/>
          <w:sz w:val="22"/>
        </w:rPr>
        <w:t>本</w:t>
      </w:r>
      <w:r>
        <w:rPr>
          <w:i/>
          <w:spacing w:val="-2"/>
          <w:w w:val="95"/>
          <w:sz w:val="22"/>
        </w:rPr>
        <w:t>公司在每页底部对一</w:t>
      </w:r>
      <w:r>
        <w:rPr>
          <w:i/>
          <w:spacing w:val="-2"/>
          <w:w w:val="95"/>
          <w:sz w:val="22"/>
        </w:rPr>
        <w:t>些</w:t>
      </w:r>
      <w:r>
        <w:rPr>
          <w:i/>
          <w:spacing w:val="-2"/>
          <w:w w:val="95"/>
          <w:sz w:val="22"/>
        </w:rPr>
        <w:t>专</w:t>
      </w:r>
      <w:r>
        <w:rPr>
          <w:i/>
          <w:spacing w:val="-2"/>
          <w:w w:val="95"/>
          <w:sz w:val="22"/>
        </w:rPr>
        <w:t>业名词做了释义，这</w:t>
      </w:r>
      <w:r>
        <w:rPr>
          <w:i/>
          <w:spacing w:val="-2"/>
          <w:w w:val="95"/>
          <w:sz w:val="22"/>
        </w:rPr>
        <w:t>些</w:t>
      </w:r>
      <w:r>
        <w:rPr>
          <w:i/>
          <w:spacing w:val="-2"/>
          <w:w w:val="95"/>
          <w:sz w:val="22"/>
        </w:rPr>
        <w:t>释</w:t>
      </w:r>
      <w:r>
        <w:rPr>
          <w:i/>
          <w:spacing w:val="-2"/>
          <w:w w:val="95"/>
          <w:sz w:val="22"/>
        </w:rPr>
        <w:t>义为本保险条款的重</w:t>
      </w:r>
      <w:r>
        <w:rPr>
          <w:i/>
          <w:spacing w:val="-2"/>
          <w:w w:val="95"/>
          <w:sz w:val="22"/>
        </w:rPr>
        <w:t>要</w:t>
      </w:r>
      <w:r>
        <w:rPr>
          <w:i/>
          <w:spacing w:val="-2"/>
          <w:w w:val="95"/>
          <w:sz w:val="22"/>
        </w:rPr>
        <w:t>组</w:t>
      </w:r>
      <w:r>
        <w:rPr>
          <w:i/>
          <w:spacing w:val="-2"/>
          <w:w w:val="95"/>
          <w:sz w:val="22"/>
        </w:rPr>
        <w:t>成部分。同一专</w:t>
      </w:r>
      <w:r>
        <w:rPr>
          <w:i/>
          <w:spacing w:val="-2"/>
          <w:w w:val="95"/>
          <w:sz w:val="22"/>
        </w:rPr>
        <w:t>业</w:t>
      </w:r>
      <w:r>
        <w:rPr>
          <w:i/>
          <w:spacing w:val="-2"/>
          <w:w w:val="95"/>
          <w:sz w:val="22"/>
        </w:rPr>
        <w:t>名</w:t>
      </w:r>
      <w:r>
        <w:rPr>
          <w:i/>
          <w:spacing w:val="-2"/>
          <w:w w:val="95"/>
          <w:sz w:val="22"/>
        </w:rPr>
        <w:t>词</w:t>
      </w:r>
      <w:r>
        <w:rPr>
          <w:i/>
          <w:spacing w:val="-2"/>
          <w:w w:val="95"/>
          <w:sz w:val="22"/>
        </w:rPr>
        <w:t>在</w:t>
      </w:r>
      <w:r>
        <w:rPr>
          <w:i/>
          <w:spacing w:val="-2"/>
          <w:w w:val="95"/>
          <w:sz w:val="22"/>
        </w:rPr>
        <w:t>条款中出现多次的，</w:t>
      </w:r>
      <w:r>
        <w:rPr>
          <w:i/>
          <w:spacing w:val="-2"/>
          <w:w w:val="95"/>
          <w:sz w:val="22"/>
        </w:rPr>
        <w:t>本</w:t>
      </w:r>
      <w:r>
        <w:rPr>
          <w:i/>
          <w:spacing w:val="-2"/>
          <w:w w:val="95"/>
          <w:sz w:val="22"/>
        </w:rPr>
        <w:t>公</w:t>
      </w:r>
      <w:r>
        <w:rPr>
          <w:i/>
          <w:spacing w:val="-2"/>
          <w:w w:val="95"/>
          <w:sz w:val="22"/>
        </w:rPr>
        <w:t>司仅在该专业名词第</w:t>
      </w:r>
      <w:r>
        <w:rPr>
          <w:i/>
          <w:spacing w:val="-2"/>
          <w:w w:val="95"/>
          <w:sz w:val="22"/>
        </w:rPr>
        <w:t>一</w:t>
      </w:r>
      <w:r>
        <w:rPr>
          <w:i/>
          <w:spacing w:val="-2"/>
          <w:w w:val="95"/>
          <w:sz w:val="22"/>
        </w:rPr>
        <w:t>次</w:t>
      </w:r>
      <w:r>
        <w:rPr>
          <w:i/>
          <w:spacing w:val="-2"/>
          <w:w w:val="95"/>
          <w:sz w:val="22"/>
        </w:rPr>
        <w:t>出现的地方做了释义，</w:t>
      </w:r>
      <w:r>
        <w:rPr>
          <w:i/>
          <w:spacing w:val="-2"/>
          <w:w w:val="95"/>
          <w:sz w:val="22"/>
        </w:rPr>
        <w:t>该</w:t>
      </w:r>
      <w:r>
        <w:rPr>
          <w:i/>
          <w:spacing w:val="-15"/>
          <w:w w:val="95"/>
          <w:sz w:val="22"/>
        </w:rPr>
        <w:t>释义适用于全文。</w:t>
      </w:r>
      <w:r>
        <w:rPr>
          <w:i/>
          <w:spacing w:val="-2"/>
          <w:w w:val="95"/>
          <w:sz w:val="22"/>
        </w:rPr>
        <w:t>）</w:t>
      </w:r>
    </w:p>
    <w:p>
      <w:pPr>
        <w:pStyle w:val="Heading1"/>
        <w:numPr>
          <w:ilvl w:val="0"/>
          <w:numId w:val="2"/>
        </w:numPr>
        <w:tabs>
          <w:tab w:pos="1369" w:val="left" w:leader="none"/>
          <w:tab w:pos="1370" w:val="left" w:leader="none"/>
        </w:tabs>
        <w:spacing w:line="240" w:lineRule="auto" w:before="144" w:after="6"/>
        <w:ind w:left="1370" w:right="0" w:hanging="1103"/>
        <w:jc w:val="left"/>
      </w:pPr>
      <w:r>
        <w:rPr>
          <w:w w:val="95"/>
        </w:rPr>
        <w:t>合</w:t>
      </w:r>
      <w:r>
        <w:rPr>
          <w:w w:val="95"/>
        </w:rPr>
        <w:t>同</w:t>
      </w:r>
      <w:r>
        <w:rPr>
          <w:spacing w:val="-5"/>
          <w:w w:val="95"/>
        </w:rPr>
        <w:t>订立</w:t>
      </w:r>
    </w:p>
    <w:p>
      <w:pPr>
        <w:pStyle w:val="BodyText"/>
        <w:spacing w:line="20" w:lineRule="exact"/>
        <w:ind w:left="160"/>
        <w:rPr>
          <w:sz w:val="2"/>
        </w:rPr>
      </w:pPr>
      <w:r>
        <w:rPr>
          <w:sz w:val="2"/>
        </w:rPr>
        <w:drawing>
          <wp:inline distT="0" distB="0" distL="0" distR="0">
            <wp:extent cx="6461378" cy="6096"/>
            <wp:effectExtent l="0" t="0" r="0" b="0"/>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461378" cy="6096"/>
                    </a:xfrm>
                    <a:prstGeom prst="rect">
                      <a:avLst/>
                    </a:prstGeom>
                  </pic:spPr>
                </pic:pic>
              </a:graphicData>
            </a:graphic>
          </wp:inline>
        </w:drawing>
      </w:r>
      <w:r>
        <w:rPr>
          <w:sz w:val="2"/>
        </w:rPr>
      </w:r>
    </w:p>
    <w:p>
      <w:pPr>
        <w:pStyle w:val="ListParagraph"/>
        <w:numPr>
          <w:ilvl w:val="1"/>
          <w:numId w:val="2"/>
        </w:numPr>
        <w:tabs>
          <w:tab w:pos="1369" w:val="left" w:leader="none"/>
          <w:tab w:pos="1370" w:val="left" w:leader="none"/>
          <w:tab w:pos="3072" w:val="left" w:leader="none"/>
        </w:tabs>
        <w:spacing w:line="266" w:lineRule="auto" w:before="165" w:after="0"/>
        <w:ind w:left="3072" w:right="109" w:hanging="2805"/>
        <w:jc w:val="left"/>
        <w:rPr>
          <w:sz w:val="21"/>
        </w:rPr>
      </w:pPr>
      <w:r>
        <w:rPr>
          <w:b/>
          <w:spacing w:val="-4"/>
          <w:position w:val="1"/>
          <w:sz w:val="21"/>
        </w:rPr>
        <w:t>合</w:t>
      </w:r>
      <w:r>
        <w:rPr>
          <w:b/>
          <w:spacing w:val="-4"/>
          <w:position w:val="1"/>
          <w:sz w:val="21"/>
        </w:rPr>
        <w:t>同</w:t>
      </w:r>
      <w:r>
        <w:rPr>
          <w:b/>
          <w:spacing w:val="-4"/>
          <w:position w:val="1"/>
          <w:sz w:val="21"/>
        </w:rPr>
        <w:t>构</w:t>
      </w:r>
      <w:r>
        <w:rPr>
          <w:b/>
          <w:spacing w:val="-4"/>
          <w:position w:val="1"/>
          <w:sz w:val="21"/>
        </w:rPr>
        <w:t>成</w:t>
      </w:r>
      <w:r>
        <w:rPr>
          <w:b/>
          <w:position w:val="1"/>
          <w:sz w:val="21"/>
        </w:rPr>
        <w:tab/>
      </w:r>
      <w:r>
        <w:rPr>
          <w:spacing w:val="-2"/>
          <w:sz w:val="21"/>
        </w:rPr>
        <w:t>本</w:t>
      </w:r>
      <w:r>
        <w:rPr>
          <w:spacing w:val="-2"/>
          <w:sz w:val="21"/>
        </w:rPr>
        <w:t>保</w:t>
      </w:r>
      <w:r>
        <w:rPr>
          <w:spacing w:val="-2"/>
          <w:sz w:val="21"/>
        </w:rPr>
        <w:t>险</w:t>
      </w:r>
      <w:r>
        <w:rPr>
          <w:spacing w:val="-2"/>
          <w:sz w:val="21"/>
        </w:rPr>
        <w:t>条</w:t>
      </w:r>
      <w:r>
        <w:rPr>
          <w:spacing w:val="-2"/>
          <w:sz w:val="21"/>
        </w:rPr>
        <w:t>款</w:t>
      </w:r>
      <w:r>
        <w:rPr>
          <w:spacing w:val="-2"/>
          <w:sz w:val="21"/>
        </w:rPr>
        <w:t>、</w:t>
      </w:r>
      <w:r>
        <w:rPr>
          <w:spacing w:val="-2"/>
          <w:sz w:val="21"/>
        </w:rPr>
        <w:t>投</w:t>
      </w:r>
      <w:r>
        <w:rPr>
          <w:spacing w:val="-2"/>
          <w:sz w:val="21"/>
        </w:rPr>
        <w:t>保</w:t>
      </w:r>
      <w:r>
        <w:rPr>
          <w:spacing w:val="-2"/>
          <w:sz w:val="21"/>
        </w:rPr>
        <w:t>单</w:t>
      </w:r>
      <w:r>
        <w:rPr>
          <w:spacing w:val="-2"/>
          <w:sz w:val="21"/>
        </w:rPr>
        <w:t>或</w:t>
      </w:r>
      <w:r>
        <w:rPr>
          <w:spacing w:val="-2"/>
          <w:sz w:val="21"/>
        </w:rPr>
        <w:t>其</w:t>
      </w:r>
      <w:r>
        <w:rPr>
          <w:spacing w:val="-2"/>
          <w:sz w:val="21"/>
        </w:rPr>
        <w:t>他</w:t>
      </w:r>
      <w:r>
        <w:rPr>
          <w:spacing w:val="-2"/>
          <w:sz w:val="21"/>
        </w:rPr>
        <w:t>投</w:t>
      </w:r>
      <w:r>
        <w:rPr>
          <w:spacing w:val="-2"/>
          <w:sz w:val="21"/>
        </w:rPr>
        <w:t>保</w:t>
      </w:r>
      <w:r>
        <w:rPr>
          <w:spacing w:val="-2"/>
          <w:sz w:val="21"/>
        </w:rPr>
        <w:t>文</w:t>
      </w:r>
      <w:r>
        <w:rPr>
          <w:spacing w:val="-2"/>
          <w:sz w:val="21"/>
        </w:rPr>
        <w:t>件</w:t>
      </w:r>
      <w:r>
        <w:rPr>
          <w:spacing w:val="-2"/>
          <w:sz w:val="21"/>
        </w:rPr>
        <w:t>、</w:t>
      </w:r>
      <w:r>
        <w:rPr>
          <w:spacing w:val="-2"/>
          <w:sz w:val="21"/>
        </w:rPr>
        <w:t>保</w:t>
      </w:r>
      <w:r>
        <w:rPr>
          <w:spacing w:val="-2"/>
          <w:sz w:val="21"/>
        </w:rPr>
        <w:t>险</w:t>
      </w:r>
      <w:r>
        <w:rPr>
          <w:spacing w:val="-2"/>
          <w:sz w:val="21"/>
        </w:rPr>
        <w:t>利</w:t>
      </w:r>
      <w:r>
        <w:rPr>
          <w:spacing w:val="-2"/>
          <w:sz w:val="21"/>
        </w:rPr>
        <w:t>益</w:t>
      </w:r>
      <w:r>
        <w:rPr>
          <w:spacing w:val="-2"/>
          <w:sz w:val="21"/>
        </w:rPr>
        <w:t>表</w:t>
      </w:r>
      <w:r>
        <w:rPr>
          <w:spacing w:val="-2"/>
          <w:sz w:val="21"/>
        </w:rPr>
        <w:t>、</w:t>
      </w:r>
      <w:r>
        <w:rPr>
          <w:spacing w:val="-2"/>
          <w:sz w:val="21"/>
        </w:rPr>
        <w:t>保</w:t>
      </w:r>
      <w:r>
        <w:rPr>
          <w:spacing w:val="-2"/>
          <w:sz w:val="21"/>
        </w:rPr>
        <w:t>险</w:t>
      </w:r>
      <w:r>
        <w:rPr>
          <w:spacing w:val="-2"/>
          <w:sz w:val="21"/>
        </w:rPr>
        <w:t>单</w:t>
      </w:r>
      <w:r>
        <w:rPr>
          <w:spacing w:val="-2"/>
          <w:sz w:val="21"/>
        </w:rPr>
        <w:t>或</w:t>
      </w:r>
      <w:r>
        <w:rPr>
          <w:spacing w:val="-2"/>
          <w:sz w:val="21"/>
        </w:rPr>
        <w:t>其</w:t>
      </w:r>
      <w:r>
        <w:rPr>
          <w:spacing w:val="-2"/>
          <w:sz w:val="21"/>
        </w:rPr>
        <w:t>他</w:t>
      </w:r>
      <w:r>
        <w:rPr>
          <w:spacing w:val="-2"/>
          <w:sz w:val="21"/>
        </w:rPr>
        <w:t>保</w:t>
      </w:r>
      <w:r>
        <w:rPr>
          <w:spacing w:val="-2"/>
          <w:sz w:val="21"/>
        </w:rPr>
        <w:t>险</w:t>
      </w:r>
      <w:r>
        <w:rPr>
          <w:spacing w:val="-2"/>
          <w:sz w:val="21"/>
        </w:rPr>
        <w:t>凭</w:t>
      </w:r>
      <w:r>
        <w:rPr>
          <w:spacing w:val="-2"/>
          <w:sz w:val="21"/>
        </w:rPr>
        <w:t>证、</w:t>
      </w:r>
      <w:r>
        <w:rPr>
          <w:spacing w:val="-2"/>
          <w:sz w:val="21"/>
        </w:rPr>
        <w:t>附</w:t>
      </w:r>
      <w:r>
        <w:rPr>
          <w:spacing w:val="-2"/>
          <w:sz w:val="21"/>
        </w:rPr>
        <w:t>贴</w:t>
      </w:r>
      <w:r>
        <w:rPr>
          <w:spacing w:val="-2"/>
          <w:sz w:val="21"/>
        </w:rPr>
        <w:t>批单和其他约定书</w:t>
      </w:r>
      <w:r>
        <w:rPr>
          <w:spacing w:val="-65"/>
          <w:sz w:val="21"/>
        </w:rPr>
        <w:t>，</w:t>
      </w:r>
      <w:r>
        <w:rPr>
          <w:spacing w:val="-2"/>
          <w:sz w:val="21"/>
        </w:rPr>
        <w:t>均</w:t>
      </w:r>
      <w:r>
        <w:rPr>
          <w:spacing w:val="-2"/>
          <w:sz w:val="21"/>
        </w:rPr>
        <w:t>为</w:t>
      </w:r>
      <w:r>
        <w:rPr>
          <w:spacing w:val="-2"/>
          <w:sz w:val="21"/>
        </w:rPr>
        <w:t>投</w:t>
      </w:r>
      <w:r>
        <w:rPr>
          <w:spacing w:val="-2"/>
          <w:sz w:val="21"/>
        </w:rPr>
        <w:t>保人与本公司订立</w:t>
      </w:r>
      <w:r>
        <w:rPr>
          <w:spacing w:val="-68"/>
          <w:sz w:val="21"/>
        </w:rPr>
        <w:t>的</w:t>
      </w:r>
      <w:r>
        <w:rPr>
          <w:spacing w:val="-2"/>
          <w:sz w:val="21"/>
        </w:rPr>
        <w:t>《</w:t>
      </w:r>
      <w:r>
        <w:rPr>
          <w:spacing w:val="-2"/>
          <w:sz w:val="21"/>
        </w:rPr>
        <w:t>复</w:t>
      </w:r>
      <w:r>
        <w:rPr>
          <w:spacing w:val="-2"/>
          <w:sz w:val="21"/>
        </w:rPr>
        <w:t>星</w:t>
      </w:r>
      <w:r>
        <w:rPr>
          <w:spacing w:val="-2"/>
          <w:sz w:val="21"/>
        </w:rPr>
        <w:t>联合康乐一</w:t>
      </w:r>
      <w:r>
        <w:rPr>
          <w:spacing w:val="-68"/>
          <w:sz w:val="21"/>
        </w:rPr>
        <w:t>生</w:t>
      </w:r>
      <w:r>
        <w:rPr>
          <w:spacing w:val="-2"/>
          <w:sz w:val="21"/>
        </w:rPr>
        <w:t>（2021版）重大疾病保险</w:t>
      </w:r>
      <w:r>
        <w:rPr>
          <w:spacing w:val="-125"/>
          <w:sz w:val="21"/>
        </w:rPr>
        <w:t>》</w:t>
      </w:r>
      <w:r>
        <w:rPr>
          <w:spacing w:val="-2"/>
          <w:sz w:val="21"/>
        </w:rPr>
        <w:t>（以下简称“本合同</w:t>
      </w:r>
      <w:r>
        <w:rPr>
          <w:spacing w:val="-63"/>
          <w:sz w:val="21"/>
        </w:rPr>
        <w:t>”）</w:t>
      </w:r>
      <w:r>
        <w:rPr>
          <w:spacing w:val="-2"/>
          <w:sz w:val="21"/>
        </w:rPr>
        <w:t>的构成部分。凡涉及本合同的约</w:t>
      </w:r>
      <w:r>
        <w:rPr>
          <w:spacing w:val="-2"/>
          <w:sz w:val="21"/>
        </w:rPr>
        <w:t>定</w:t>
      </w:r>
      <w:r>
        <w:rPr>
          <w:spacing w:val="-2"/>
          <w:sz w:val="21"/>
        </w:rPr>
        <w:t>，</w:t>
      </w:r>
      <w:r>
        <w:rPr>
          <w:spacing w:val="-2"/>
          <w:sz w:val="21"/>
        </w:rPr>
        <w:t>均</w:t>
      </w:r>
      <w:r>
        <w:rPr>
          <w:spacing w:val="-2"/>
          <w:sz w:val="21"/>
        </w:rPr>
        <w:t>应</w:t>
      </w:r>
      <w:r>
        <w:rPr>
          <w:spacing w:val="-2"/>
          <w:sz w:val="21"/>
        </w:rPr>
        <w:t>当采用书面形式。</w:t>
      </w:r>
    </w:p>
    <w:p>
      <w:pPr>
        <w:spacing w:after="0" w:line="266" w:lineRule="auto"/>
        <w:jc w:val="left"/>
        <w:rPr>
          <w:sz w:val="21"/>
        </w:rPr>
        <w:sectPr>
          <w:pgSz w:w="11910" w:h="16840"/>
          <w:pgMar w:top="1240" w:bottom="280" w:left="920" w:right="540"/>
        </w:sectPr>
      </w:pPr>
    </w:p>
    <w:p>
      <w:pPr>
        <w:pStyle w:val="Heading2"/>
        <w:numPr>
          <w:ilvl w:val="1"/>
          <w:numId w:val="2"/>
        </w:numPr>
        <w:tabs>
          <w:tab w:pos="1369" w:val="left" w:leader="none"/>
          <w:tab w:pos="1370" w:val="left" w:leader="none"/>
        </w:tabs>
        <w:spacing w:line="278" w:lineRule="auto" w:before="154" w:after="0"/>
        <w:ind w:left="1370" w:right="38" w:hanging="1102"/>
        <w:jc w:val="left"/>
      </w:pPr>
      <w:r>
        <w:rPr>
          <w:spacing w:val="-2"/>
        </w:rPr>
        <w:t>合同成立与生</w:t>
      </w:r>
      <w:r>
        <w:rPr>
          <w:spacing w:val="-10"/>
        </w:rPr>
        <w:t>效</w:t>
      </w:r>
    </w:p>
    <w:p>
      <w:pPr>
        <w:pStyle w:val="BodyText"/>
        <w:spacing w:before="162"/>
        <w:ind w:left="268"/>
      </w:pPr>
      <w:r>
        <w:rPr/>
        <w:br w:type="column"/>
      </w:r>
      <w:r>
        <w:rPr>
          <w:spacing w:val="-3"/>
        </w:rPr>
        <w:t>投保人提出投保申请、本公司同意承保，本合同成立。</w:t>
      </w:r>
    </w:p>
    <w:p>
      <w:pPr>
        <w:pStyle w:val="BodyText"/>
        <w:spacing w:before="7"/>
        <w:rPr>
          <w:sz w:val="14"/>
        </w:rPr>
      </w:pPr>
    </w:p>
    <w:p>
      <w:pPr>
        <w:spacing w:line="259" w:lineRule="auto" w:before="0"/>
        <w:ind w:left="268" w:right="214" w:firstLine="0"/>
        <w:jc w:val="both"/>
        <w:rPr>
          <w:sz w:val="21"/>
        </w:rPr>
      </w:pPr>
      <w:r>
        <w:rPr>
          <w:spacing w:val="-2"/>
          <w:sz w:val="21"/>
        </w:rPr>
        <w:t>本合同自本公司收到首期保险费并同意承保后开始生效，本公司签发保险单作</w:t>
      </w:r>
      <w:r>
        <w:rPr>
          <w:spacing w:val="-4"/>
          <w:sz w:val="21"/>
        </w:rPr>
        <w:t>为保险凭证。合同生效日期在保险单中载明。</w:t>
      </w:r>
      <w:r>
        <w:rPr>
          <w:b/>
          <w:spacing w:val="-4"/>
          <w:sz w:val="21"/>
        </w:rPr>
        <w:t>保单年度</w:t>
      </w:r>
      <w:r>
        <w:rPr>
          <w:b/>
          <w:spacing w:val="-4"/>
          <w:position w:val="11"/>
          <w:sz w:val="11"/>
        </w:rPr>
        <w:t>1</w:t>
      </w:r>
      <w:r>
        <w:rPr>
          <w:spacing w:val="-4"/>
          <w:sz w:val="21"/>
        </w:rPr>
        <w:t>、</w:t>
      </w:r>
      <w:r>
        <w:rPr>
          <w:b/>
          <w:spacing w:val="-4"/>
          <w:sz w:val="21"/>
        </w:rPr>
        <w:t>保单周年日</w:t>
      </w:r>
      <w:r>
        <w:rPr>
          <w:b/>
          <w:spacing w:val="-4"/>
          <w:position w:val="11"/>
          <w:sz w:val="11"/>
        </w:rPr>
        <w:t>2</w:t>
      </w:r>
      <w:r>
        <w:rPr>
          <w:b/>
          <w:spacing w:val="-4"/>
          <w:sz w:val="21"/>
        </w:rPr>
        <w:t>、</w:t>
      </w:r>
      <w:r>
        <w:rPr>
          <w:spacing w:val="-4"/>
          <w:sz w:val="21"/>
        </w:rPr>
        <w:t>保险费</w:t>
      </w:r>
      <w:r>
        <w:rPr>
          <w:spacing w:val="-2"/>
          <w:sz w:val="21"/>
        </w:rPr>
        <w:t>的</w:t>
      </w:r>
      <w:r>
        <w:rPr>
          <w:b/>
          <w:spacing w:val="-2"/>
          <w:sz w:val="21"/>
        </w:rPr>
        <w:t>约定交纳日</w:t>
      </w:r>
      <w:r>
        <w:rPr>
          <w:b/>
          <w:spacing w:val="-2"/>
          <w:position w:val="11"/>
          <w:sz w:val="11"/>
        </w:rPr>
        <w:t>3</w:t>
      </w:r>
      <w:r>
        <w:rPr>
          <w:spacing w:val="-2"/>
          <w:sz w:val="21"/>
        </w:rPr>
        <w:t>均以该日期计算。</w:t>
      </w:r>
    </w:p>
    <w:p>
      <w:pPr>
        <w:spacing w:after="0" w:line="259" w:lineRule="auto"/>
        <w:jc w:val="both"/>
        <w:rPr>
          <w:sz w:val="21"/>
        </w:rPr>
        <w:sectPr>
          <w:type w:val="continuous"/>
          <w:pgSz w:w="11910" w:h="16840"/>
          <w:pgMar w:top="480" w:bottom="280" w:left="920" w:right="540"/>
          <w:cols w:num="2" w:equalWidth="0">
            <w:col w:w="2678" w:space="126"/>
            <w:col w:w="7646"/>
          </w:cols>
        </w:sectPr>
      </w:pPr>
    </w:p>
    <w:p>
      <w:pPr>
        <w:pStyle w:val="ListParagraph"/>
        <w:numPr>
          <w:ilvl w:val="1"/>
          <w:numId w:val="2"/>
        </w:numPr>
        <w:tabs>
          <w:tab w:pos="1369" w:val="left" w:leader="none"/>
          <w:tab w:pos="1370" w:val="left" w:leader="none"/>
          <w:tab w:pos="3072" w:val="left" w:leader="none"/>
        </w:tabs>
        <w:spacing w:line="240" w:lineRule="auto" w:before="155" w:after="0"/>
        <w:ind w:left="1370" w:right="0" w:hanging="1103"/>
        <w:jc w:val="left"/>
        <w:rPr>
          <w:sz w:val="21"/>
        </w:rPr>
      </w:pPr>
      <w:r>
        <w:rPr>
          <w:b/>
          <w:position w:val="1"/>
          <w:sz w:val="21"/>
        </w:rPr>
        <w:t>投保范</w:t>
      </w:r>
      <w:r>
        <w:rPr>
          <w:b/>
          <w:spacing w:val="-10"/>
          <w:position w:val="1"/>
          <w:sz w:val="21"/>
        </w:rPr>
        <w:t>围</w:t>
      </w:r>
      <w:r>
        <w:rPr>
          <w:b/>
          <w:position w:val="1"/>
          <w:sz w:val="21"/>
        </w:rPr>
        <w:tab/>
      </w:r>
      <w:r>
        <w:rPr>
          <w:w w:val="95"/>
          <w:sz w:val="21"/>
        </w:rPr>
        <w:t>符</w:t>
      </w:r>
      <w:r>
        <w:rPr>
          <w:w w:val="95"/>
          <w:sz w:val="21"/>
        </w:rPr>
        <w:t>合</w:t>
      </w:r>
      <w:r>
        <w:rPr>
          <w:w w:val="95"/>
          <w:sz w:val="21"/>
        </w:rPr>
        <w:t>本公司承保条件者均</w:t>
      </w:r>
      <w:r>
        <w:rPr>
          <w:w w:val="95"/>
          <w:sz w:val="21"/>
        </w:rPr>
        <w:t>可</w:t>
      </w:r>
      <w:r>
        <w:rPr>
          <w:w w:val="95"/>
          <w:sz w:val="21"/>
        </w:rPr>
        <w:t>作</w:t>
      </w:r>
      <w:r>
        <w:rPr>
          <w:w w:val="95"/>
          <w:sz w:val="21"/>
        </w:rPr>
        <w:t>为本合同的被保险人</w:t>
      </w:r>
      <w:r>
        <w:rPr>
          <w:w w:val="95"/>
          <w:sz w:val="21"/>
        </w:rPr>
        <w:t>。</w:t>
      </w:r>
      <w:r>
        <w:rPr>
          <w:w w:val="95"/>
          <w:sz w:val="21"/>
        </w:rPr>
        <w:t>投</w:t>
      </w:r>
      <w:r>
        <w:rPr>
          <w:w w:val="95"/>
          <w:sz w:val="21"/>
        </w:rPr>
        <w:t>保年龄以</w:t>
      </w:r>
      <w:r>
        <w:rPr>
          <w:b/>
          <w:w w:val="95"/>
          <w:sz w:val="21"/>
        </w:rPr>
        <w:t>周</w:t>
      </w:r>
      <w:r>
        <w:rPr>
          <w:b/>
          <w:w w:val="95"/>
          <w:sz w:val="21"/>
        </w:rPr>
        <w:t>岁</w:t>
      </w:r>
      <w:r>
        <w:rPr>
          <w:b/>
          <w:w w:val="95"/>
          <w:position w:val="11"/>
          <w:sz w:val="11"/>
        </w:rPr>
        <w:t>4</w:t>
      </w:r>
      <w:r>
        <w:rPr>
          <w:w w:val="95"/>
          <w:sz w:val="21"/>
        </w:rPr>
        <w:t>计算</w:t>
      </w:r>
      <w:r>
        <w:rPr>
          <w:spacing w:val="-10"/>
          <w:w w:val="95"/>
          <w:sz w:val="21"/>
        </w:rPr>
        <w:t>。</w:t>
      </w:r>
    </w:p>
    <w:p>
      <w:pPr>
        <w:pStyle w:val="ListParagraph"/>
        <w:numPr>
          <w:ilvl w:val="1"/>
          <w:numId w:val="2"/>
        </w:numPr>
        <w:tabs>
          <w:tab w:pos="1370" w:val="left" w:leader="none"/>
        </w:tabs>
        <w:spacing w:line="266" w:lineRule="auto" w:before="189" w:after="0"/>
        <w:ind w:left="3072" w:right="214" w:hanging="2805"/>
        <w:jc w:val="both"/>
        <w:rPr>
          <w:sz w:val="21"/>
        </w:rPr>
      </w:pPr>
      <w:r>
        <w:rPr>
          <w:b/>
          <w:position w:val="1"/>
          <w:sz w:val="21"/>
        </w:rPr>
        <w:t>犹豫期</w:t>
      </w:r>
      <w:r>
        <w:rPr>
          <w:b/>
          <w:spacing w:val="899"/>
          <w:position w:val="1"/>
          <w:sz w:val="21"/>
        </w:rPr>
        <w:t> </w:t>
      </w:r>
      <w:r>
        <w:rPr>
          <w:sz w:val="21"/>
        </w:rPr>
        <w:t>自投保人签收本合同或收到本合同电子保单之日起（二者较早之日</w:t>
      </w:r>
      <w:r>
        <w:rPr>
          <w:spacing w:val="-106"/>
          <w:sz w:val="21"/>
        </w:rPr>
        <w:t>）</w:t>
      </w:r>
      <w:r>
        <w:rPr>
          <w:spacing w:val="-11"/>
          <w:sz w:val="21"/>
        </w:rPr>
        <w:t>，有 </w:t>
      </w:r>
      <w:r>
        <w:rPr>
          <w:sz w:val="21"/>
        </w:rPr>
        <w:t>15</w:t>
      </w:r>
      <w:r>
        <w:rPr>
          <w:spacing w:val="-13"/>
          <w:sz w:val="21"/>
        </w:rPr>
        <w:t> 日</w:t>
      </w:r>
      <w:r>
        <w:rPr>
          <w:spacing w:val="-2"/>
          <w:sz w:val="21"/>
        </w:rPr>
        <w:t>的犹豫期。在此期间，请投保人认真审阅本合同，如果投保人认为本合同与投</w:t>
      </w:r>
      <w:r>
        <w:rPr>
          <w:w w:val="95"/>
          <w:sz w:val="21"/>
        </w:rPr>
        <w:t>保</w:t>
      </w:r>
      <w:r>
        <w:rPr>
          <w:w w:val="95"/>
          <w:sz w:val="21"/>
        </w:rPr>
        <w:t>人</w:t>
      </w:r>
      <w:r>
        <w:rPr>
          <w:w w:val="95"/>
          <w:sz w:val="21"/>
        </w:rPr>
        <w:t>的需求不相符，可以</w:t>
      </w:r>
      <w:r>
        <w:rPr>
          <w:w w:val="95"/>
          <w:sz w:val="21"/>
        </w:rPr>
        <w:t>在</w:t>
      </w:r>
      <w:r>
        <w:rPr>
          <w:w w:val="95"/>
          <w:sz w:val="21"/>
        </w:rPr>
        <w:t>此</w:t>
      </w:r>
      <w:r>
        <w:rPr>
          <w:w w:val="95"/>
          <w:sz w:val="21"/>
        </w:rPr>
        <w:t>期间提出解除本合同，</w:t>
      </w:r>
      <w:r>
        <w:rPr>
          <w:color w:val="000000"/>
          <w:w w:val="95"/>
          <w:sz w:val="21"/>
          <w:shd w:fill="E4E4E4" w:color="auto" w:val="clear"/>
        </w:rPr>
        <w:t>本公司将扣除不超过 10 元</w:t>
      </w:r>
      <w:r>
        <w:rPr>
          <w:color w:val="000000"/>
          <w:spacing w:val="13755"/>
          <w:w w:val="95"/>
          <w:sz w:val="21"/>
          <w:shd w:fill="E4E4E4" w:color="auto" w:val="clear"/>
        </w:rPr>
        <w:t> </w:t>
      </w:r>
      <w:r>
        <w:rPr>
          <w:color w:val="000000"/>
          <w:spacing w:val="-2"/>
          <w:sz w:val="21"/>
          <w:shd w:fill="E4E4E4" w:color="auto" w:val="clear"/>
        </w:rPr>
        <w:t>工本费后向投保人无息退还保险费。</w:t>
      </w:r>
    </w:p>
    <w:p>
      <w:pPr>
        <w:spacing w:line="264" w:lineRule="auto" w:before="161"/>
        <w:ind w:left="3072" w:right="214" w:firstLine="0"/>
        <w:jc w:val="both"/>
        <w:rPr>
          <w:b/>
          <w:sz w:val="21"/>
        </w:rPr>
      </w:pPr>
      <w:r>
        <w:rPr>
          <w:spacing w:val="-2"/>
          <w:sz w:val="21"/>
        </w:rPr>
        <w:t>解除本合同时，投保人须填写解除合同申请书，并提供保险合同和</w:t>
      </w:r>
      <w:r>
        <w:rPr>
          <w:b/>
          <w:spacing w:val="-2"/>
          <w:sz w:val="21"/>
        </w:rPr>
        <w:t>有效身份证</w:t>
      </w:r>
      <w:r>
        <w:rPr>
          <w:b/>
          <w:spacing w:val="-2"/>
          <w:sz w:val="21"/>
        </w:rPr>
        <w:t>件</w:t>
      </w:r>
      <w:r>
        <w:rPr>
          <w:b/>
          <w:spacing w:val="-2"/>
          <w:position w:val="11"/>
          <w:sz w:val="11"/>
        </w:rPr>
        <w:t>5</w:t>
      </w:r>
      <w:r>
        <w:rPr>
          <w:spacing w:val="-2"/>
          <w:sz w:val="21"/>
        </w:rPr>
        <w:t>，</w:t>
      </w:r>
      <w:r>
        <w:rPr>
          <w:b/>
          <w:color w:val="000000"/>
          <w:spacing w:val="-2"/>
          <w:sz w:val="21"/>
          <w:shd w:fill="E4E4E4" w:color="auto" w:val="clear"/>
        </w:rPr>
        <w:t>自本公司收到投保人的解除合同申请书之日起，本合同即被解除，对于本</w:t>
      </w:r>
      <w:r>
        <w:rPr>
          <w:b/>
          <w:color w:val="000000"/>
          <w:spacing w:val="40"/>
          <w:sz w:val="21"/>
          <w:shd w:fill="E4E4E4" w:color="auto" w:val="clear"/>
        </w:rPr>
        <w:t> </w:t>
      </w:r>
      <w:r>
        <w:rPr>
          <w:b/>
          <w:color w:val="000000"/>
          <w:spacing w:val="-2"/>
          <w:sz w:val="21"/>
          <w:shd w:fill="E4E4E4" w:color="auto" w:val="clear"/>
        </w:rPr>
        <w:t>合同解除前发生的保险事故，本公司不承担保险责任。</w:t>
      </w:r>
    </w:p>
    <w:p>
      <w:pPr>
        <w:pStyle w:val="Heading1"/>
        <w:numPr>
          <w:ilvl w:val="0"/>
          <w:numId w:val="2"/>
        </w:numPr>
        <w:tabs>
          <w:tab w:pos="1369" w:val="left" w:leader="none"/>
          <w:tab w:pos="1370" w:val="left" w:leader="none"/>
        </w:tabs>
        <w:spacing w:line="240" w:lineRule="auto" w:before="132" w:after="6"/>
        <w:ind w:left="1370" w:right="0" w:hanging="1103"/>
        <w:jc w:val="left"/>
      </w:pPr>
      <w:r>
        <w:rPr>
          <w:w w:val="95"/>
        </w:rPr>
        <w:t>提</w:t>
      </w:r>
      <w:r>
        <w:rPr>
          <w:w w:val="95"/>
        </w:rPr>
        <w:t>供</w:t>
      </w:r>
      <w:r>
        <w:rPr>
          <w:w w:val="95"/>
        </w:rPr>
        <w:t>的</w:t>
      </w:r>
      <w:r>
        <w:rPr>
          <w:w w:val="95"/>
        </w:rPr>
        <w:t>保</w:t>
      </w:r>
      <w:r>
        <w:rPr>
          <w:spacing w:val="-10"/>
          <w:w w:val="95"/>
        </w:rPr>
        <w:t>障</w:t>
      </w:r>
    </w:p>
    <w:p>
      <w:pPr>
        <w:pStyle w:val="BodyText"/>
        <w:spacing w:line="20" w:lineRule="exact"/>
        <w:ind w:left="160"/>
        <w:rPr>
          <w:sz w:val="2"/>
        </w:rPr>
      </w:pPr>
      <w:r>
        <w:rPr>
          <w:sz w:val="2"/>
        </w:rPr>
        <w:drawing>
          <wp:inline distT="0" distB="0" distL="0" distR="0">
            <wp:extent cx="6461648" cy="6096"/>
            <wp:effectExtent l="0" t="0" r="0" b="0"/>
            <wp:docPr id="7" name="image3.png"/>
            <wp:cNvGraphicFramePr>
              <a:graphicFrameLocks noChangeAspect="1"/>
            </wp:cNvGraphicFramePr>
            <a:graphic>
              <a:graphicData uri="http://schemas.openxmlformats.org/drawingml/2006/picture">
                <pic:pic>
                  <pic:nvPicPr>
                    <pic:cNvPr id="8" name="image3.png"/>
                    <pic:cNvPicPr/>
                  </pic:nvPicPr>
                  <pic:blipFill>
                    <a:blip r:embed="rId7" cstate="print"/>
                    <a:stretch>
                      <a:fillRect/>
                    </a:stretch>
                  </pic:blipFill>
                  <pic:spPr>
                    <a:xfrm>
                      <a:off x="0" y="0"/>
                      <a:ext cx="6461648" cy="6096"/>
                    </a:xfrm>
                    <a:prstGeom prst="rect">
                      <a:avLst/>
                    </a:prstGeom>
                  </pic:spPr>
                </pic:pic>
              </a:graphicData>
            </a:graphic>
          </wp:inline>
        </w:drawing>
      </w:r>
      <w:r>
        <w:rPr>
          <w:sz w:val="2"/>
        </w:rPr>
      </w:r>
    </w:p>
    <w:p>
      <w:pPr>
        <w:pStyle w:val="BodyText"/>
        <w:spacing w:before="7"/>
        <w:rPr>
          <w:b/>
          <w:sz w:val="7"/>
        </w:rPr>
      </w:pPr>
    </w:p>
    <w:p>
      <w:pPr>
        <w:pStyle w:val="ListParagraph"/>
        <w:numPr>
          <w:ilvl w:val="1"/>
          <w:numId w:val="2"/>
        </w:numPr>
        <w:tabs>
          <w:tab w:pos="1369" w:val="left" w:leader="none"/>
          <w:tab w:pos="1370" w:val="left" w:leader="none"/>
          <w:tab w:pos="3072" w:val="left" w:leader="none"/>
        </w:tabs>
        <w:spacing w:line="240" w:lineRule="auto" w:before="69" w:after="0"/>
        <w:ind w:left="1370" w:right="0" w:hanging="1103"/>
        <w:jc w:val="left"/>
        <w:rPr>
          <w:sz w:val="21"/>
        </w:rPr>
      </w:pPr>
      <w:r>
        <w:rPr>
          <w:b/>
          <w:position w:val="1"/>
          <w:sz w:val="21"/>
        </w:rPr>
        <w:t>基本保险金</w:t>
      </w:r>
      <w:r>
        <w:rPr>
          <w:b/>
          <w:spacing w:val="-10"/>
          <w:position w:val="1"/>
          <w:sz w:val="21"/>
        </w:rPr>
        <w:t>额</w:t>
      </w:r>
      <w:r>
        <w:rPr>
          <w:b/>
          <w:position w:val="1"/>
          <w:sz w:val="21"/>
        </w:rPr>
        <w:tab/>
      </w:r>
      <w:r>
        <w:rPr>
          <w:spacing w:val="-6"/>
          <w:sz w:val="21"/>
        </w:rPr>
        <w:t>本</w:t>
      </w:r>
      <w:r>
        <w:rPr>
          <w:spacing w:val="-6"/>
          <w:sz w:val="21"/>
        </w:rPr>
        <w:t>合</w:t>
      </w:r>
      <w:r>
        <w:rPr>
          <w:spacing w:val="-6"/>
          <w:sz w:val="21"/>
        </w:rPr>
        <w:t>同的基本保险金额，</w:t>
      </w:r>
      <w:r>
        <w:rPr>
          <w:spacing w:val="-6"/>
          <w:sz w:val="21"/>
        </w:rPr>
        <w:t>由</w:t>
      </w:r>
      <w:r>
        <w:rPr>
          <w:spacing w:val="-6"/>
          <w:sz w:val="21"/>
        </w:rPr>
        <w:t>投</w:t>
      </w:r>
      <w:r>
        <w:rPr>
          <w:spacing w:val="-6"/>
          <w:sz w:val="21"/>
        </w:rPr>
        <w:t>保人在投保时与本公</w:t>
      </w:r>
      <w:r>
        <w:rPr>
          <w:spacing w:val="-6"/>
          <w:sz w:val="21"/>
        </w:rPr>
        <w:t>司</w:t>
      </w:r>
      <w:r>
        <w:rPr>
          <w:spacing w:val="-6"/>
          <w:sz w:val="21"/>
        </w:rPr>
        <w:t>约</w:t>
      </w:r>
      <w:r>
        <w:rPr>
          <w:spacing w:val="-6"/>
          <w:sz w:val="21"/>
        </w:rPr>
        <w:t>定，并在本合同中载</w:t>
      </w:r>
      <w:r>
        <w:rPr>
          <w:spacing w:val="-6"/>
          <w:sz w:val="21"/>
        </w:rPr>
        <w:t>明</w:t>
      </w:r>
      <w:r>
        <w:rPr>
          <w:spacing w:val="-10"/>
          <w:sz w:val="21"/>
        </w:rPr>
        <w:t>。</w:t>
      </w:r>
    </w:p>
    <w:p>
      <w:pPr>
        <w:pStyle w:val="BodyText"/>
        <w:spacing w:before="7"/>
      </w:pPr>
    </w:p>
    <w:p>
      <w:pPr>
        <w:pStyle w:val="ListParagraph"/>
        <w:numPr>
          <w:ilvl w:val="1"/>
          <w:numId w:val="2"/>
        </w:numPr>
        <w:tabs>
          <w:tab w:pos="1370" w:val="left" w:leader="none"/>
        </w:tabs>
        <w:spacing w:line="266" w:lineRule="auto" w:before="68" w:after="0"/>
        <w:ind w:left="3072" w:right="214" w:hanging="2805"/>
        <w:jc w:val="both"/>
        <w:rPr>
          <w:sz w:val="21"/>
        </w:rPr>
      </w:pPr>
      <w:r>
        <w:rPr>
          <w:b/>
          <w:position w:val="1"/>
          <w:sz w:val="21"/>
        </w:rPr>
        <w:t>保险期间</w:t>
      </w:r>
      <w:r>
        <w:rPr>
          <w:b/>
          <w:spacing w:val="736"/>
          <w:position w:val="1"/>
          <w:sz w:val="21"/>
        </w:rPr>
        <w:t> </w:t>
      </w:r>
      <w:r>
        <w:rPr>
          <w:sz w:val="21"/>
        </w:rPr>
        <w:t>本合同的保险期间由投保人与本公司约定并在本合同中载明，自本合同生效之</w:t>
      </w:r>
      <w:r>
        <w:rPr>
          <w:spacing w:val="-2"/>
          <w:sz w:val="21"/>
        </w:rPr>
        <w:t>日零时起至约定的终止日的二十四时止。</w:t>
      </w:r>
    </w:p>
    <w:p>
      <w:pPr>
        <w:pStyle w:val="ListParagraph"/>
        <w:numPr>
          <w:ilvl w:val="1"/>
          <w:numId w:val="2"/>
        </w:numPr>
        <w:tabs>
          <w:tab w:pos="1370" w:val="left" w:leader="none"/>
        </w:tabs>
        <w:spacing w:line="266" w:lineRule="auto" w:before="166" w:after="0"/>
        <w:ind w:left="3072" w:right="214" w:hanging="2805"/>
        <w:jc w:val="both"/>
        <w:rPr>
          <w:sz w:val="21"/>
        </w:rPr>
      </w:pPr>
      <w:r>
        <w:rPr>
          <w:b/>
          <w:position w:val="1"/>
          <w:sz w:val="21"/>
        </w:rPr>
        <w:t>保险责任</w:t>
      </w:r>
      <w:r>
        <w:rPr>
          <w:b/>
          <w:spacing w:val="736"/>
          <w:position w:val="1"/>
          <w:sz w:val="21"/>
        </w:rPr>
        <w:t> </w:t>
      </w:r>
      <w:r>
        <w:rPr>
          <w:sz w:val="21"/>
        </w:rPr>
        <w:t>在本合同保险期间内，必选责任含首次重大疾病保险金责任、首次重大疾病医</w:t>
      </w:r>
      <w:r>
        <w:rPr>
          <w:spacing w:val="-2"/>
          <w:sz w:val="21"/>
        </w:rPr>
        <w:t>疗津贴保险金责任、中度疾病保险金责任、轻度疾病保险金责任、疾病豁免保</w:t>
      </w:r>
      <w:r>
        <w:rPr>
          <w:spacing w:val="-4"/>
          <w:sz w:val="21"/>
        </w:rPr>
        <w:t>险费责任；可选责任含恶性肿瘤-重度额外给付保险金责任、心脑血管特定疾病</w:t>
      </w:r>
      <w:r>
        <w:rPr>
          <w:spacing w:val="-2"/>
          <w:sz w:val="21"/>
        </w:rPr>
        <w:t>额外给付保险金责任、身故保险金或全残保险金责任。</w:t>
      </w:r>
    </w:p>
    <w:p>
      <w:pPr>
        <w:pStyle w:val="BodyText"/>
        <w:spacing w:before="2"/>
        <w:rPr>
          <w:sz w:val="24"/>
        </w:rPr>
      </w:pPr>
    </w:p>
    <w:p>
      <w:pPr>
        <w:pStyle w:val="Heading2"/>
        <w:numPr>
          <w:ilvl w:val="2"/>
          <w:numId w:val="2"/>
        </w:numPr>
        <w:tabs>
          <w:tab w:pos="1369" w:val="left" w:leader="none"/>
          <w:tab w:pos="1370" w:val="left" w:leader="none"/>
        </w:tabs>
        <w:spacing w:line="240" w:lineRule="auto" w:before="1" w:after="0"/>
        <w:ind w:left="1370" w:right="0" w:hanging="1103"/>
        <w:jc w:val="left"/>
      </w:pPr>
      <w:r>
        <w:rPr>
          <w:spacing w:val="-3"/>
        </w:rPr>
        <w:t>必选责任</w:t>
      </w:r>
    </w:p>
    <w:p>
      <w:pPr>
        <w:pStyle w:val="BodyText"/>
        <w:rPr>
          <w:b/>
          <w:sz w:val="28"/>
        </w:rPr>
      </w:pPr>
      <w:r>
        <w:rPr/>
        <w:drawing>
          <wp:anchor distT="0" distB="0" distL="0" distR="0" allowOverlap="1" layoutInCell="1" locked="0" behindDoc="0" simplePos="0" relativeHeight="1">
            <wp:simplePos x="0" y="0"/>
            <wp:positionH relativeFrom="page">
              <wp:posOffset>647700</wp:posOffset>
            </wp:positionH>
            <wp:positionV relativeFrom="paragraph">
              <wp:posOffset>243248</wp:posOffset>
            </wp:positionV>
            <wp:extent cx="1829130" cy="6095"/>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8" cstate="print"/>
                    <a:stretch>
                      <a:fillRect/>
                    </a:stretch>
                  </pic:blipFill>
                  <pic:spPr>
                    <a:xfrm>
                      <a:off x="0" y="0"/>
                      <a:ext cx="1829130" cy="6095"/>
                    </a:xfrm>
                    <a:prstGeom prst="rect">
                      <a:avLst/>
                    </a:prstGeom>
                  </pic:spPr>
                </pic:pic>
              </a:graphicData>
            </a:graphic>
          </wp:anchor>
        </w:drawing>
      </w:r>
    </w:p>
    <w:p>
      <w:pPr>
        <w:spacing w:before="91"/>
        <w:ind w:left="100" w:right="0" w:firstLine="0"/>
        <w:jc w:val="left"/>
        <w:rPr>
          <w:rFonts w:ascii="楷体" w:eastAsia="楷体"/>
          <w:sz w:val="18"/>
        </w:rPr>
      </w:pPr>
      <w:r>
        <w:rPr>
          <w:b/>
          <w:w w:val="95"/>
          <w:position w:val="9"/>
          <w:sz w:val="9"/>
        </w:rPr>
        <w:t>1</w:t>
      </w:r>
      <w:r>
        <w:rPr>
          <w:rFonts w:ascii="楷体" w:eastAsia="楷体" w:hint="eastAsia"/>
          <w:b/>
          <w:w w:val="95"/>
          <w:sz w:val="18"/>
        </w:rPr>
        <w:t>保</w:t>
      </w:r>
      <w:r>
        <w:rPr>
          <w:rFonts w:ascii="楷体" w:eastAsia="楷体" w:hint="eastAsia"/>
          <w:b/>
          <w:w w:val="95"/>
          <w:sz w:val="18"/>
        </w:rPr>
        <w:t>单</w:t>
      </w:r>
      <w:r>
        <w:rPr>
          <w:rFonts w:ascii="楷体" w:eastAsia="楷体" w:hint="eastAsia"/>
          <w:b/>
          <w:w w:val="95"/>
          <w:sz w:val="18"/>
        </w:rPr>
        <w:t>年</w:t>
      </w:r>
      <w:r>
        <w:rPr>
          <w:rFonts w:ascii="楷体" w:eastAsia="楷体" w:hint="eastAsia"/>
          <w:b/>
          <w:w w:val="95"/>
          <w:sz w:val="18"/>
        </w:rPr>
        <w:t>度</w:t>
      </w:r>
      <w:r>
        <w:rPr>
          <w:rFonts w:ascii="楷体" w:eastAsia="楷体"/>
          <w:w w:val="95"/>
          <w:sz w:val="18"/>
        </w:rPr>
        <w:t>：</w:t>
      </w:r>
      <w:r>
        <w:rPr>
          <w:rFonts w:ascii="楷体" w:eastAsia="楷体"/>
          <w:w w:val="95"/>
          <w:sz w:val="18"/>
        </w:rPr>
        <w:t>从</w:t>
      </w:r>
      <w:r>
        <w:rPr>
          <w:rFonts w:ascii="楷体" w:eastAsia="楷体"/>
          <w:w w:val="95"/>
          <w:sz w:val="18"/>
        </w:rPr>
        <w:t>保</w:t>
      </w:r>
      <w:r>
        <w:rPr>
          <w:rFonts w:ascii="楷体" w:eastAsia="楷体"/>
          <w:w w:val="95"/>
          <w:sz w:val="18"/>
        </w:rPr>
        <w:t>单</w:t>
      </w:r>
      <w:r>
        <w:rPr>
          <w:rFonts w:ascii="楷体" w:eastAsia="楷体"/>
          <w:w w:val="95"/>
          <w:sz w:val="18"/>
        </w:rPr>
        <w:t>生</w:t>
      </w:r>
      <w:r>
        <w:rPr>
          <w:rFonts w:ascii="楷体" w:eastAsia="楷体"/>
          <w:w w:val="95"/>
          <w:sz w:val="18"/>
        </w:rPr>
        <w:t>效</w:t>
      </w:r>
      <w:r>
        <w:rPr>
          <w:rFonts w:ascii="楷体" w:eastAsia="楷体"/>
          <w:w w:val="95"/>
          <w:sz w:val="18"/>
        </w:rPr>
        <w:t>日</w:t>
      </w:r>
      <w:r>
        <w:rPr>
          <w:rFonts w:ascii="楷体" w:eastAsia="楷体"/>
          <w:w w:val="95"/>
          <w:sz w:val="18"/>
        </w:rPr>
        <w:t>或</w:t>
      </w:r>
      <w:r>
        <w:rPr>
          <w:rFonts w:ascii="楷体" w:eastAsia="楷体"/>
          <w:w w:val="95"/>
          <w:sz w:val="18"/>
        </w:rPr>
        <w:t>保</w:t>
      </w:r>
      <w:r>
        <w:rPr>
          <w:rFonts w:ascii="楷体" w:eastAsia="楷体"/>
          <w:w w:val="95"/>
          <w:sz w:val="18"/>
        </w:rPr>
        <w:t>单</w:t>
      </w:r>
      <w:r>
        <w:rPr>
          <w:rFonts w:ascii="楷体" w:eastAsia="楷体"/>
          <w:w w:val="95"/>
          <w:sz w:val="18"/>
        </w:rPr>
        <w:t>生</w:t>
      </w:r>
      <w:r>
        <w:rPr>
          <w:rFonts w:ascii="楷体" w:eastAsia="楷体"/>
          <w:w w:val="95"/>
          <w:sz w:val="18"/>
        </w:rPr>
        <w:t>效</w:t>
      </w:r>
      <w:r>
        <w:rPr>
          <w:rFonts w:ascii="楷体" w:eastAsia="楷体"/>
          <w:w w:val="95"/>
          <w:sz w:val="18"/>
        </w:rPr>
        <w:t>对</w:t>
      </w:r>
      <w:r>
        <w:rPr>
          <w:rFonts w:ascii="楷体" w:eastAsia="楷体"/>
          <w:w w:val="95"/>
          <w:sz w:val="18"/>
        </w:rPr>
        <w:t>应</w:t>
      </w:r>
      <w:r>
        <w:rPr>
          <w:rFonts w:ascii="楷体" w:eastAsia="楷体"/>
          <w:w w:val="95"/>
          <w:sz w:val="18"/>
        </w:rPr>
        <w:t>日</w:t>
      </w:r>
      <w:r>
        <w:rPr>
          <w:rFonts w:ascii="楷体" w:eastAsia="楷体"/>
          <w:w w:val="95"/>
          <w:sz w:val="18"/>
        </w:rPr>
        <w:t>零</w:t>
      </w:r>
      <w:r>
        <w:rPr>
          <w:rFonts w:ascii="楷体" w:eastAsia="楷体"/>
          <w:w w:val="95"/>
          <w:sz w:val="18"/>
        </w:rPr>
        <w:t>时</w:t>
      </w:r>
      <w:r>
        <w:rPr>
          <w:rFonts w:ascii="楷体" w:eastAsia="楷体"/>
          <w:w w:val="95"/>
          <w:sz w:val="18"/>
        </w:rPr>
        <w:t>起</w:t>
      </w:r>
      <w:r>
        <w:rPr>
          <w:rFonts w:ascii="楷体" w:eastAsia="楷体"/>
          <w:w w:val="95"/>
          <w:sz w:val="18"/>
        </w:rPr>
        <w:t>至</w:t>
      </w:r>
      <w:r>
        <w:rPr>
          <w:rFonts w:ascii="楷体" w:eastAsia="楷体"/>
          <w:w w:val="95"/>
          <w:sz w:val="18"/>
        </w:rPr>
        <w:t>下</w:t>
      </w:r>
      <w:r>
        <w:rPr>
          <w:rFonts w:ascii="楷体" w:eastAsia="楷体"/>
          <w:w w:val="95"/>
          <w:sz w:val="18"/>
        </w:rPr>
        <w:t>一</w:t>
      </w:r>
      <w:r>
        <w:rPr>
          <w:rFonts w:ascii="楷体" w:eastAsia="楷体"/>
          <w:w w:val="95"/>
          <w:sz w:val="18"/>
        </w:rPr>
        <w:t>年</w:t>
      </w:r>
      <w:r>
        <w:rPr>
          <w:rFonts w:ascii="楷体" w:eastAsia="楷体"/>
          <w:w w:val="95"/>
          <w:sz w:val="18"/>
        </w:rPr>
        <w:t>度</w:t>
      </w:r>
      <w:r>
        <w:rPr>
          <w:rFonts w:ascii="楷体" w:eastAsia="楷体"/>
          <w:w w:val="95"/>
          <w:sz w:val="18"/>
        </w:rPr>
        <w:t>保</w:t>
      </w:r>
      <w:r>
        <w:rPr>
          <w:rFonts w:ascii="楷体" w:eastAsia="楷体"/>
          <w:w w:val="95"/>
          <w:sz w:val="18"/>
        </w:rPr>
        <w:t>单</w:t>
      </w:r>
      <w:r>
        <w:rPr>
          <w:rFonts w:ascii="楷体" w:eastAsia="楷体"/>
          <w:w w:val="95"/>
          <w:sz w:val="18"/>
        </w:rPr>
        <w:t>生</w:t>
      </w:r>
      <w:r>
        <w:rPr>
          <w:rFonts w:ascii="楷体" w:eastAsia="楷体"/>
          <w:w w:val="95"/>
          <w:sz w:val="18"/>
        </w:rPr>
        <w:t>效</w:t>
      </w:r>
      <w:r>
        <w:rPr>
          <w:rFonts w:ascii="楷体" w:eastAsia="楷体"/>
          <w:w w:val="95"/>
          <w:sz w:val="18"/>
        </w:rPr>
        <w:t>对</w:t>
      </w:r>
      <w:r>
        <w:rPr>
          <w:rFonts w:ascii="楷体" w:eastAsia="楷体"/>
          <w:w w:val="95"/>
          <w:sz w:val="18"/>
        </w:rPr>
        <w:t>应</w:t>
      </w:r>
      <w:r>
        <w:rPr>
          <w:rFonts w:ascii="楷体" w:eastAsia="楷体"/>
          <w:w w:val="95"/>
          <w:sz w:val="18"/>
        </w:rPr>
        <w:t>日</w:t>
      </w:r>
      <w:r>
        <w:rPr>
          <w:rFonts w:ascii="楷体" w:eastAsia="楷体"/>
          <w:w w:val="95"/>
          <w:sz w:val="18"/>
        </w:rPr>
        <w:t>零</w:t>
      </w:r>
      <w:r>
        <w:rPr>
          <w:rFonts w:ascii="楷体" w:eastAsia="楷体"/>
          <w:w w:val="95"/>
          <w:sz w:val="18"/>
        </w:rPr>
        <w:t>时</w:t>
      </w:r>
      <w:r>
        <w:rPr>
          <w:rFonts w:ascii="楷体" w:eastAsia="楷体"/>
          <w:w w:val="95"/>
          <w:sz w:val="18"/>
        </w:rPr>
        <w:t>止</w:t>
      </w:r>
      <w:r>
        <w:rPr>
          <w:rFonts w:ascii="楷体" w:eastAsia="楷体"/>
          <w:w w:val="95"/>
          <w:sz w:val="18"/>
        </w:rPr>
        <w:t>为</w:t>
      </w:r>
      <w:r>
        <w:rPr>
          <w:rFonts w:ascii="楷体" w:eastAsia="楷体"/>
          <w:w w:val="95"/>
          <w:sz w:val="18"/>
        </w:rPr>
        <w:t>一</w:t>
      </w:r>
      <w:r>
        <w:rPr>
          <w:rFonts w:ascii="楷体" w:eastAsia="楷体"/>
          <w:w w:val="95"/>
          <w:sz w:val="18"/>
        </w:rPr>
        <w:t>个</w:t>
      </w:r>
      <w:r>
        <w:rPr>
          <w:rFonts w:ascii="楷体" w:eastAsia="楷体"/>
          <w:w w:val="95"/>
          <w:sz w:val="18"/>
        </w:rPr>
        <w:t>保</w:t>
      </w:r>
      <w:r>
        <w:rPr>
          <w:rFonts w:ascii="楷体" w:eastAsia="楷体"/>
          <w:w w:val="95"/>
          <w:sz w:val="18"/>
        </w:rPr>
        <w:t>单</w:t>
      </w:r>
      <w:r>
        <w:rPr>
          <w:rFonts w:ascii="楷体" w:eastAsia="楷体"/>
          <w:w w:val="95"/>
          <w:sz w:val="18"/>
        </w:rPr>
        <w:t>年</w:t>
      </w:r>
      <w:r>
        <w:rPr>
          <w:rFonts w:ascii="楷体" w:eastAsia="楷体"/>
          <w:w w:val="95"/>
          <w:sz w:val="18"/>
        </w:rPr>
        <w:t>度</w:t>
      </w:r>
      <w:r>
        <w:rPr>
          <w:rFonts w:ascii="楷体" w:eastAsia="楷体"/>
          <w:spacing w:val="-10"/>
          <w:w w:val="95"/>
          <w:sz w:val="18"/>
        </w:rPr>
        <w:t>。</w:t>
      </w:r>
    </w:p>
    <w:p>
      <w:pPr>
        <w:spacing w:before="2"/>
        <w:ind w:left="100" w:right="0" w:firstLine="0"/>
        <w:jc w:val="left"/>
        <w:rPr>
          <w:rFonts w:ascii="楷体" w:eastAsia="楷体"/>
          <w:sz w:val="18"/>
        </w:rPr>
      </w:pPr>
      <w:r>
        <w:rPr>
          <w:b/>
          <w:w w:val="95"/>
          <w:position w:val="9"/>
          <w:sz w:val="9"/>
        </w:rPr>
        <w:t>2</w:t>
      </w:r>
      <w:r>
        <w:rPr>
          <w:rFonts w:ascii="楷体" w:eastAsia="楷体" w:hint="eastAsia"/>
          <w:b/>
          <w:w w:val="95"/>
          <w:sz w:val="18"/>
        </w:rPr>
        <w:t>保</w:t>
      </w:r>
      <w:r>
        <w:rPr>
          <w:rFonts w:ascii="楷体" w:eastAsia="楷体" w:hint="eastAsia"/>
          <w:b/>
          <w:w w:val="95"/>
          <w:sz w:val="18"/>
        </w:rPr>
        <w:t>单</w:t>
      </w:r>
      <w:r>
        <w:rPr>
          <w:rFonts w:ascii="楷体" w:eastAsia="楷体" w:hint="eastAsia"/>
          <w:b/>
          <w:w w:val="95"/>
          <w:sz w:val="18"/>
        </w:rPr>
        <w:t>周</w:t>
      </w:r>
      <w:r>
        <w:rPr>
          <w:rFonts w:ascii="楷体" w:eastAsia="楷体" w:hint="eastAsia"/>
          <w:b/>
          <w:w w:val="95"/>
          <w:sz w:val="18"/>
        </w:rPr>
        <w:t>年</w:t>
      </w:r>
      <w:r>
        <w:rPr>
          <w:rFonts w:ascii="楷体" w:eastAsia="楷体" w:hint="eastAsia"/>
          <w:b/>
          <w:w w:val="95"/>
          <w:sz w:val="18"/>
        </w:rPr>
        <w:t>日</w:t>
      </w:r>
      <w:r>
        <w:rPr>
          <w:rFonts w:ascii="楷体" w:eastAsia="楷体"/>
          <w:w w:val="95"/>
          <w:sz w:val="18"/>
        </w:rPr>
        <w:t>：</w:t>
      </w:r>
      <w:r>
        <w:rPr>
          <w:rFonts w:ascii="楷体" w:eastAsia="楷体"/>
          <w:w w:val="95"/>
          <w:sz w:val="18"/>
        </w:rPr>
        <w:t>指</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日</w:t>
      </w:r>
      <w:r>
        <w:rPr>
          <w:rFonts w:ascii="楷体" w:eastAsia="楷体"/>
          <w:w w:val="95"/>
          <w:sz w:val="18"/>
        </w:rPr>
        <w:t>在</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后</w:t>
      </w:r>
      <w:r>
        <w:rPr>
          <w:rFonts w:ascii="楷体" w:eastAsia="楷体"/>
          <w:w w:val="95"/>
          <w:sz w:val="18"/>
        </w:rPr>
        <w:t>每</w:t>
      </w:r>
      <w:r>
        <w:rPr>
          <w:rFonts w:ascii="楷体" w:eastAsia="楷体"/>
          <w:w w:val="95"/>
          <w:sz w:val="18"/>
        </w:rPr>
        <w:t>年</w:t>
      </w:r>
      <w:r>
        <w:rPr>
          <w:rFonts w:ascii="楷体" w:eastAsia="楷体"/>
          <w:w w:val="95"/>
          <w:sz w:val="18"/>
        </w:rPr>
        <w:t>的</w:t>
      </w:r>
      <w:r>
        <w:rPr>
          <w:rFonts w:ascii="楷体" w:eastAsia="楷体"/>
          <w:w w:val="95"/>
          <w:sz w:val="18"/>
        </w:rPr>
        <w:t>对</w:t>
      </w:r>
      <w:r>
        <w:rPr>
          <w:rFonts w:ascii="楷体" w:eastAsia="楷体"/>
          <w:w w:val="95"/>
          <w:sz w:val="18"/>
        </w:rPr>
        <w:t>应</w:t>
      </w:r>
      <w:r>
        <w:rPr>
          <w:rFonts w:ascii="楷体" w:eastAsia="楷体"/>
          <w:w w:val="95"/>
          <w:sz w:val="18"/>
        </w:rPr>
        <w:t>日</w:t>
      </w:r>
      <w:r>
        <w:rPr>
          <w:rFonts w:ascii="楷体" w:eastAsia="楷体"/>
          <w:w w:val="95"/>
          <w:sz w:val="18"/>
        </w:rPr>
        <w:t>，</w:t>
      </w:r>
      <w:r>
        <w:rPr>
          <w:rFonts w:ascii="楷体" w:eastAsia="楷体"/>
          <w:w w:val="95"/>
          <w:sz w:val="18"/>
        </w:rPr>
        <w:t>不</w:t>
      </w:r>
      <w:r>
        <w:rPr>
          <w:rFonts w:ascii="楷体" w:eastAsia="楷体"/>
          <w:w w:val="95"/>
          <w:sz w:val="18"/>
        </w:rPr>
        <w:t>含</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日</w:t>
      </w:r>
      <w:r>
        <w:rPr>
          <w:rFonts w:ascii="楷体" w:eastAsia="楷体"/>
          <w:w w:val="95"/>
          <w:sz w:val="18"/>
        </w:rPr>
        <w:t>当</w:t>
      </w:r>
      <w:r>
        <w:rPr>
          <w:rFonts w:ascii="楷体" w:eastAsia="楷体"/>
          <w:w w:val="95"/>
          <w:sz w:val="18"/>
        </w:rPr>
        <w:t>日</w:t>
      </w:r>
      <w:r>
        <w:rPr>
          <w:rFonts w:ascii="楷体" w:eastAsia="楷体"/>
          <w:w w:val="95"/>
          <w:sz w:val="18"/>
        </w:rPr>
        <w:t>。</w:t>
      </w:r>
      <w:r>
        <w:rPr>
          <w:rFonts w:ascii="楷体" w:eastAsia="楷体"/>
          <w:w w:val="95"/>
          <w:sz w:val="18"/>
        </w:rPr>
        <w:t>当</w:t>
      </w:r>
      <w:r>
        <w:rPr>
          <w:rFonts w:ascii="楷体" w:eastAsia="楷体"/>
          <w:w w:val="95"/>
          <w:sz w:val="18"/>
        </w:rPr>
        <w:t>月</w:t>
      </w:r>
      <w:r>
        <w:rPr>
          <w:rFonts w:ascii="楷体" w:eastAsia="楷体"/>
          <w:w w:val="95"/>
          <w:sz w:val="18"/>
        </w:rPr>
        <w:t>无</w:t>
      </w:r>
      <w:r>
        <w:rPr>
          <w:rFonts w:ascii="楷体" w:eastAsia="楷体"/>
          <w:w w:val="95"/>
          <w:sz w:val="18"/>
        </w:rPr>
        <w:t>对</w:t>
      </w:r>
      <w:r>
        <w:rPr>
          <w:rFonts w:ascii="楷体" w:eastAsia="楷体"/>
          <w:w w:val="95"/>
          <w:sz w:val="18"/>
        </w:rPr>
        <w:t>应</w:t>
      </w:r>
      <w:r>
        <w:rPr>
          <w:rFonts w:ascii="楷体" w:eastAsia="楷体"/>
          <w:w w:val="95"/>
          <w:sz w:val="18"/>
        </w:rPr>
        <w:t>的</w:t>
      </w:r>
      <w:r>
        <w:rPr>
          <w:rFonts w:ascii="楷体" w:eastAsia="楷体"/>
          <w:w w:val="95"/>
          <w:sz w:val="18"/>
        </w:rPr>
        <w:t>同</w:t>
      </w:r>
      <w:r>
        <w:rPr>
          <w:rFonts w:ascii="楷体" w:eastAsia="楷体"/>
          <w:w w:val="95"/>
          <w:sz w:val="18"/>
        </w:rPr>
        <w:t>一</w:t>
      </w:r>
      <w:r>
        <w:rPr>
          <w:rFonts w:ascii="楷体" w:eastAsia="楷体"/>
          <w:w w:val="95"/>
          <w:sz w:val="18"/>
        </w:rPr>
        <w:t>日</w:t>
      </w:r>
      <w:r>
        <w:rPr>
          <w:rFonts w:ascii="楷体" w:eastAsia="楷体"/>
          <w:w w:val="95"/>
          <w:sz w:val="18"/>
        </w:rPr>
        <w:t>，</w:t>
      </w:r>
      <w:r>
        <w:rPr>
          <w:rFonts w:ascii="楷体" w:eastAsia="楷体"/>
          <w:w w:val="95"/>
          <w:sz w:val="18"/>
        </w:rPr>
        <w:t>则</w:t>
      </w:r>
      <w:r>
        <w:rPr>
          <w:rFonts w:ascii="楷体" w:eastAsia="楷体"/>
          <w:w w:val="95"/>
          <w:sz w:val="18"/>
        </w:rPr>
        <w:t>以</w:t>
      </w:r>
      <w:r>
        <w:rPr>
          <w:rFonts w:ascii="楷体" w:eastAsia="楷体"/>
          <w:w w:val="95"/>
          <w:sz w:val="18"/>
        </w:rPr>
        <w:t>该</w:t>
      </w:r>
      <w:r>
        <w:rPr>
          <w:rFonts w:ascii="楷体" w:eastAsia="楷体"/>
          <w:w w:val="95"/>
          <w:sz w:val="18"/>
        </w:rPr>
        <w:t>月</w:t>
      </w:r>
      <w:r>
        <w:rPr>
          <w:rFonts w:ascii="楷体" w:eastAsia="楷体"/>
          <w:w w:val="95"/>
          <w:sz w:val="18"/>
        </w:rPr>
        <w:t>最</w:t>
      </w:r>
      <w:r>
        <w:rPr>
          <w:rFonts w:ascii="楷体" w:eastAsia="楷体"/>
          <w:spacing w:val="-5"/>
          <w:w w:val="95"/>
          <w:sz w:val="18"/>
        </w:rPr>
        <w:t>后一</w:t>
      </w:r>
    </w:p>
    <w:p>
      <w:pPr>
        <w:spacing w:before="2"/>
        <w:ind w:left="100" w:right="0" w:firstLine="0"/>
        <w:jc w:val="left"/>
        <w:rPr>
          <w:rFonts w:ascii="楷体" w:eastAsia="楷体"/>
          <w:sz w:val="18"/>
        </w:rPr>
      </w:pPr>
      <w:r>
        <w:rPr>
          <w:rFonts w:ascii="楷体" w:eastAsia="楷体"/>
          <w:spacing w:val="-2"/>
          <w:sz w:val="18"/>
        </w:rPr>
        <w:t>日为对应日。</w:t>
      </w:r>
    </w:p>
    <w:p>
      <w:pPr>
        <w:spacing w:before="5"/>
        <w:ind w:left="100" w:right="0" w:firstLine="0"/>
        <w:jc w:val="left"/>
        <w:rPr>
          <w:rFonts w:ascii="楷体" w:eastAsia="楷体"/>
          <w:sz w:val="18"/>
        </w:rPr>
      </w:pPr>
      <w:r>
        <w:rPr>
          <w:b/>
          <w:w w:val="95"/>
          <w:position w:val="9"/>
          <w:sz w:val="9"/>
        </w:rPr>
        <w:t>3</w:t>
      </w:r>
      <w:r>
        <w:rPr>
          <w:rFonts w:ascii="楷体" w:eastAsia="楷体" w:hint="eastAsia"/>
          <w:b/>
          <w:w w:val="95"/>
          <w:sz w:val="18"/>
        </w:rPr>
        <w:t>约</w:t>
      </w:r>
      <w:r>
        <w:rPr>
          <w:rFonts w:ascii="楷体" w:eastAsia="楷体" w:hint="eastAsia"/>
          <w:b/>
          <w:w w:val="95"/>
          <w:sz w:val="18"/>
        </w:rPr>
        <w:t>定</w:t>
      </w:r>
      <w:r>
        <w:rPr>
          <w:rFonts w:ascii="楷体" w:eastAsia="楷体" w:hint="eastAsia"/>
          <w:b/>
          <w:w w:val="95"/>
          <w:sz w:val="18"/>
        </w:rPr>
        <w:t>交</w:t>
      </w:r>
      <w:r>
        <w:rPr>
          <w:rFonts w:ascii="楷体" w:eastAsia="楷体" w:hint="eastAsia"/>
          <w:b/>
          <w:w w:val="95"/>
          <w:sz w:val="18"/>
        </w:rPr>
        <w:t>纳</w:t>
      </w:r>
      <w:r>
        <w:rPr>
          <w:rFonts w:ascii="楷体" w:eastAsia="楷体" w:hint="eastAsia"/>
          <w:b/>
          <w:w w:val="95"/>
          <w:sz w:val="18"/>
        </w:rPr>
        <w:t>日</w:t>
      </w:r>
      <w:r>
        <w:rPr>
          <w:rFonts w:ascii="楷体" w:eastAsia="楷体"/>
          <w:w w:val="95"/>
          <w:sz w:val="18"/>
        </w:rPr>
        <w:t>：</w:t>
      </w:r>
      <w:r>
        <w:rPr>
          <w:rFonts w:ascii="楷体" w:eastAsia="楷体"/>
          <w:w w:val="95"/>
          <w:sz w:val="18"/>
        </w:rPr>
        <w:t>指</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日</w:t>
      </w:r>
      <w:r>
        <w:rPr>
          <w:rFonts w:ascii="楷体" w:eastAsia="楷体"/>
          <w:w w:val="95"/>
          <w:sz w:val="18"/>
        </w:rPr>
        <w:t>在</w:t>
      </w:r>
      <w:r>
        <w:rPr>
          <w:rFonts w:ascii="楷体" w:eastAsia="楷体"/>
          <w:w w:val="95"/>
          <w:sz w:val="18"/>
        </w:rPr>
        <w:t>每</w:t>
      </w:r>
      <w:r>
        <w:rPr>
          <w:rFonts w:ascii="楷体" w:eastAsia="楷体"/>
          <w:w w:val="95"/>
          <w:sz w:val="18"/>
        </w:rPr>
        <w:t>月</w:t>
      </w:r>
      <w:r>
        <w:rPr>
          <w:rFonts w:ascii="楷体" w:eastAsia="楷体"/>
          <w:w w:val="95"/>
          <w:sz w:val="18"/>
        </w:rPr>
        <w:t>、</w:t>
      </w:r>
      <w:r>
        <w:rPr>
          <w:rFonts w:ascii="楷体" w:eastAsia="楷体"/>
          <w:w w:val="95"/>
          <w:sz w:val="18"/>
        </w:rPr>
        <w:t>每</w:t>
      </w:r>
      <w:r>
        <w:rPr>
          <w:rFonts w:ascii="楷体" w:eastAsia="楷体"/>
          <w:w w:val="95"/>
          <w:sz w:val="18"/>
        </w:rPr>
        <w:t>季</w:t>
      </w:r>
      <w:r>
        <w:rPr>
          <w:rFonts w:ascii="楷体" w:eastAsia="楷体"/>
          <w:w w:val="95"/>
          <w:sz w:val="18"/>
        </w:rPr>
        <w:t>或</w:t>
      </w:r>
      <w:r>
        <w:rPr>
          <w:rFonts w:ascii="楷体" w:eastAsia="楷体"/>
          <w:w w:val="95"/>
          <w:sz w:val="18"/>
        </w:rPr>
        <w:t>每</w:t>
      </w:r>
      <w:r>
        <w:rPr>
          <w:rFonts w:ascii="楷体" w:eastAsia="楷体"/>
          <w:w w:val="95"/>
          <w:sz w:val="18"/>
        </w:rPr>
        <w:t>半</w:t>
      </w:r>
      <w:r>
        <w:rPr>
          <w:rFonts w:ascii="楷体" w:eastAsia="楷体"/>
          <w:w w:val="95"/>
          <w:sz w:val="18"/>
        </w:rPr>
        <w:t>年（</w:t>
      </w:r>
      <w:r>
        <w:rPr>
          <w:rFonts w:ascii="楷体" w:eastAsia="楷体"/>
          <w:w w:val="95"/>
          <w:sz w:val="18"/>
        </w:rPr>
        <w:t>根</w:t>
      </w:r>
      <w:r>
        <w:rPr>
          <w:rFonts w:ascii="楷体" w:eastAsia="楷体"/>
          <w:w w:val="95"/>
          <w:sz w:val="18"/>
        </w:rPr>
        <w:t>据</w:t>
      </w:r>
      <w:r>
        <w:rPr>
          <w:rFonts w:ascii="楷体" w:eastAsia="楷体"/>
          <w:w w:val="95"/>
          <w:sz w:val="18"/>
        </w:rPr>
        <w:t>交</w:t>
      </w:r>
      <w:r>
        <w:rPr>
          <w:rFonts w:ascii="楷体" w:eastAsia="楷体"/>
          <w:w w:val="95"/>
          <w:sz w:val="18"/>
        </w:rPr>
        <w:t>费</w:t>
      </w:r>
      <w:r>
        <w:rPr>
          <w:rFonts w:ascii="楷体" w:eastAsia="楷体"/>
          <w:w w:val="95"/>
          <w:sz w:val="18"/>
        </w:rPr>
        <w:t>方</w:t>
      </w:r>
      <w:r>
        <w:rPr>
          <w:rFonts w:ascii="楷体" w:eastAsia="楷体"/>
          <w:w w:val="95"/>
          <w:sz w:val="18"/>
        </w:rPr>
        <w:t>式</w:t>
      </w:r>
      <w:r>
        <w:rPr>
          <w:rFonts w:ascii="楷体" w:eastAsia="楷体"/>
          <w:w w:val="95"/>
          <w:sz w:val="18"/>
        </w:rPr>
        <w:t>确</w:t>
      </w:r>
      <w:r>
        <w:rPr>
          <w:rFonts w:ascii="楷体" w:eastAsia="楷体"/>
          <w:w w:val="95"/>
          <w:sz w:val="18"/>
        </w:rPr>
        <w:t>定</w:t>
      </w:r>
      <w:r>
        <w:rPr>
          <w:rFonts w:ascii="楷体" w:eastAsia="楷体"/>
          <w:w w:val="95"/>
          <w:sz w:val="18"/>
        </w:rPr>
        <w:t>）</w:t>
      </w:r>
      <w:r>
        <w:rPr>
          <w:rFonts w:ascii="楷体" w:eastAsia="楷体"/>
          <w:w w:val="95"/>
          <w:sz w:val="18"/>
        </w:rPr>
        <w:t>的</w:t>
      </w:r>
      <w:r>
        <w:rPr>
          <w:rFonts w:ascii="楷体" w:eastAsia="楷体"/>
          <w:w w:val="95"/>
          <w:sz w:val="18"/>
        </w:rPr>
        <w:t>对</w:t>
      </w:r>
      <w:r>
        <w:rPr>
          <w:rFonts w:ascii="楷体" w:eastAsia="楷体"/>
          <w:w w:val="95"/>
          <w:sz w:val="18"/>
        </w:rPr>
        <w:t>应</w:t>
      </w:r>
      <w:r>
        <w:rPr>
          <w:rFonts w:ascii="楷体" w:eastAsia="楷体"/>
          <w:w w:val="95"/>
          <w:sz w:val="18"/>
        </w:rPr>
        <w:t>日</w:t>
      </w:r>
      <w:r>
        <w:rPr>
          <w:rFonts w:ascii="楷体" w:eastAsia="楷体"/>
          <w:w w:val="95"/>
          <w:sz w:val="18"/>
        </w:rPr>
        <w:t>。当</w:t>
      </w:r>
      <w:r>
        <w:rPr>
          <w:rFonts w:ascii="楷体" w:eastAsia="楷体"/>
          <w:w w:val="95"/>
          <w:sz w:val="18"/>
        </w:rPr>
        <w:t>月</w:t>
      </w:r>
      <w:r>
        <w:rPr>
          <w:rFonts w:ascii="楷体" w:eastAsia="楷体"/>
          <w:w w:val="95"/>
          <w:sz w:val="18"/>
        </w:rPr>
        <w:t>无</w:t>
      </w:r>
      <w:r>
        <w:rPr>
          <w:rFonts w:ascii="楷体" w:eastAsia="楷体"/>
          <w:w w:val="95"/>
          <w:sz w:val="18"/>
        </w:rPr>
        <w:t>对</w:t>
      </w:r>
      <w:r>
        <w:rPr>
          <w:rFonts w:ascii="楷体" w:eastAsia="楷体"/>
          <w:w w:val="95"/>
          <w:sz w:val="18"/>
        </w:rPr>
        <w:t>应</w:t>
      </w:r>
      <w:r>
        <w:rPr>
          <w:rFonts w:ascii="楷体" w:eastAsia="楷体"/>
          <w:w w:val="95"/>
          <w:sz w:val="18"/>
        </w:rPr>
        <w:t>的</w:t>
      </w:r>
      <w:r>
        <w:rPr>
          <w:rFonts w:ascii="楷体" w:eastAsia="楷体"/>
          <w:w w:val="95"/>
          <w:sz w:val="18"/>
        </w:rPr>
        <w:t>同</w:t>
      </w:r>
      <w:r>
        <w:rPr>
          <w:rFonts w:ascii="楷体" w:eastAsia="楷体"/>
          <w:w w:val="95"/>
          <w:sz w:val="18"/>
        </w:rPr>
        <w:t>一</w:t>
      </w:r>
      <w:r>
        <w:rPr>
          <w:rFonts w:ascii="楷体" w:eastAsia="楷体"/>
          <w:w w:val="95"/>
          <w:sz w:val="18"/>
        </w:rPr>
        <w:t>日</w:t>
      </w:r>
      <w:r>
        <w:rPr>
          <w:rFonts w:ascii="楷体" w:eastAsia="楷体"/>
          <w:w w:val="95"/>
          <w:sz w:val="18"/>
        </w:rPr>
        <w:t>，</w:t>
      </w:r>
      <w:r>
        <w:rPr>
          <w:rFonts w:ascii="楷体" w:eastAsia="楷体"/>
          <w:w w:val="95"/>
          <w:sz w:val="18"/>
        </w:rPr>
        <w:t>则</w:t>
      </w:r>
      <w:r>
        <w:rPr>
          <w:rFonts w:ascii="楷体" w:eastAsia="楷体"/>
          <w:w w:val="95"/>
          <w:sz w:val="18"/>
        </w:rPr>
        <w:t>以</w:t>
      </w:r>
      <w:r>
        <w:rPr>
          <w:rFonts w:ascii="楷体" w:eastAsia="楷体"/>
          <w:w w:val="95"/>
          <w:sz w:val="18"/>
        </w:rPr>
        <w:t>该</w:t>
      </w:r>
      <w:r>
        <w:rPr>
          <w:rFonts w:ascii="楷体" w:eastAsia="楷体"/>
          <w:w w:val="95"/>
          <w:sz w:val="18"/>
        </w:rPr>
        <w:t>月</w:t>
      </w:r>
      <w:r>
        <w:rPr>
          <w:rFonts w:ascii="楷体" w:eastAsia="楷体"/>
          <w:w w:val="95"/>
          <w:sz w:val="18"/>
        </w:rPr>
        <w:t>最</w:t>
      </w:r>
      <w:r>
        <w:rPr>
          <w:rFonts w:ascii="楷体" w:eastAsia="楷体"/>
          <w:spacing w:val="-10"/>
          <w:w w:val="95"/>
          <w:sz w:val="18"/>
        </w:rPr>
        <w:t>后</w:t>
      </w:r>
    </w:p>
    <w:p>
      <w:pPr>
        <w:spacing w:before="2"/>
        <w:ind w:left="100" w:right="0" w:firstLine="0"/>
        <w:jc w:val="left"/>
        <w:rPr>
          <w:rFonts w:ascii="楷体" w:eastAsia="楷体"/>
          <w:sz w:val="18"/>
        </w:rPr>
      </w:pPr>
      <w:r>
        <w:rPr>
          <w:rFonts w:ascii="楷体" w:eastAsia="楷体"/>
          <w:spacing w:val="-2"/>
          <w:sz w:val="18"/>
        </w:rPr>
        <w:t>一日为对应日。</w:t>
      </w:r>
    </w:p>
    <w:p>
      <w:pPr>
        <w:spacing w:before="2"/>
        <w:ind w:left="100" w:right="0" w:firstLine="0"/>
        <w:jc w:val="left"/>
        <w:rPr>
          <w:rFonts w:ascii="楷体" w:eastAsia="楷体"/>
          <w:sz w:val="18"/>
        </w:rPr>
      </w:pPr>
      <w:r>
        <w:rPr>
          <w:b/>
          <w:w w:val="95"/>
          <w:position w:val="9"/>
          <w:sz w:val="9"/>
        </w:rPr>
        <w:t>4</w:t>
      </w:r>
      <w:r>
        <w:rPr>
          <w:rFonts w:ascii="楷体" w:eastAsia="楷体" w:hint="eastAsia"/>
          <w:b/>
          <w:w w:val="95"/>
          <w:sz w:val="18"/>
        </w:rPr>
        <w:t>周岁</w:t>
      </w:r>
      <w:r>
        <w:rPr>
          <w:rFonts w:ascii="楷体" w:eastAsia="楷体"/>
          <w:w w:val="95"/>
          <w:sz w:val="18"/>
        </w:rPr>
        <w:t>：</w:t>
      </w:r>
      <w:r>
        <w:rPr>
          <w:rFonts w:ascii="楷体" w:eastAsia="楷体"/>
          <w:w w:val="95"/>
          <w:sz w:val="18"/>
        </w:rPr>
        <w:t>指</w:t>
      </w:r>
      <w:r>
        <w:rPr>
          <w:rFonts w:ascii="楷体" w:eastAsia="楷体"/>
          <w:w w:val="95"/>
          <w:sz w:val="18"/>
        </w:rPr>
        <w:t>按</w:t>
      </w:r>
      <w:r>
        <w:rPr>
          <w:rFonts w:ascii="楷体" w:eastAsia="楷体"/>
          <w:w w:val="95"/>
          <w:sz w:val="18"/>
        </w:rPr>
        <w:t>法</w:t>
      </w:r>
      <w:r>
        <w:rPr>
          <w:rFonts w:ascii="楷体" w:eastAsia="楷体"/>
          <w:w w:val="95"/>
          <w:sz w:val="18"/>
        </w:rPr>
        <w:t>定</w:t>
      </w:r>
      <w:r>
        <w:rPr>
          <w:rFonts w:ascii="楷体" w:eastAsia="楷体"/>
          <w:w w:val="95"/>
          <w:sz w:val="18"/>
        </w:rPr>
        <w:t>有</w:t>
      </w:r>
      <w:r>
        <w:rPr>
          <w:rFonts w:ascii="楷体" w:eastAsia="楷体"/>
          <w:w w:val="95"/>
          <w:sz w:val="18"/>
        </w:rPr>
        <w:t>效</w:t>
      </w:r>
      <w:r>
        <w:rPr>
          <w:rFonts w:ascii="楷体" w:eastAsia="楷体"/>
          <w:w w:val="95"/>
          <w:sz w:val="18"/>
        </w:rPr>
        <w:t>身</w:t>
      </w:r>
      <w:r>
        <w:rPr>
          <w:rFonts w:ascii="楷体" w:eastAsia="楷体"/>
          <w:w w:val="95"/>
          <w:sz w:val="18"/>
        </w:rPr>
        <w:t>份</w:t>
      </w:r>
      <w:r>
        <w:rPr>
          <w:rFonts w:ascii="楷体" w:eastAsia="楷体"/>
          <w:w w:val="95"/>
          <w:sz w:val="18"/>
        </w:rPr>
        <w:t>证</w:t>
      </w:r>
      <w:r>
        <w:rPr>
          <w:rFonts w:ascii="楷体" w:eastAsia="楷体"/>
          <w:w w:val="95"/>
          <w:sz w:val="18"/>
        </w:rPr>
        <w:t>明</w:t>
      </w:r>
      <w:r>
        <w:rPr>
          <w:rFonts w:ascii="楷体" w:eastAsia="楷体"/>
          <w:w w:val="95"/>
          <w:sz w:val="18"/>
        </w:rPr>
        <w:t>文</w:t>
      </w:r>
      <w:r>
        <w:rPr>
          <w:rFonts w:ascii="楷体" w:eastAsia="楷体"/>
          <w:w w:val="95"/>
          <w:sz w:val="18"/>
        </w:rPr>
        <w:t>件</w:t>
      </w:r>
      <w:r>
        <w:rPr>
          <w:rFonts w:ascii="楷体" w:eastAsia="楷体"/>
          <w:w w:val="95"/>
          <w:sz w:val="18"/>
        </w:rPr>
        <w:t>中</w:t>
      </w:r>
      <w:r>
        <w:rPr>
          <w:rFonts w:ascii="楷体" w:eastAsia="楷体"/>
          <w:w w:val="95"/>
          <w:sz w:val="18"/>
        </w:rPr>
        <w:t>记</w:t>
      </w:r>
      <w:r>
        <w:rPr>
          <w:rFonts w:ascii="楷体" w:eastAsia="楷体"/>
          <w:w w:val="95"/>
          <w:sz w:val="18"/>
        </w:rPr>
        <w:t>载</w:t>
      </w:r>
      <w:r>
        <w:rPr>
          <w:rFonts w:ascii="楷体" w:eastAsia="楷体"/>
          <w:w w:val="95"/>
          <w:sz w:val="18"/>
        </w:rPr>
        <w:t>的</w:t>
      </w:r>
      <w:r>
        <w:rPr>
          <w:rFonts w:ascii="楷体" w:eastAsia="楷体"/>
          <w:w w:val="95"/>
          <w:sz w:val="18"/>
        </w:rPr>
        <w:t>出</w:t>
      </w:r>
      <w:r>
        <w:rPr>
          <w:rFonts w:ascii="楷体" w:eastAsia="楷体"/>
          <w:w w:val="95"/>
          <w:sz w:val="18"/>
        </w:rPr>
        <w:t>生</w:t>
      </w:r>
      <w:r>
        <w:rPr>
          <w:rFonts w:ascii="楷体" w:eastAsia="楷体"/>
          <w:w w:val="95"/>
          <w:sz w:val="18"/>
        </w:rPr>
        <w:t>日</w:t>
      </w:r>
      <w:r>
        <w:rPr>
          <w:rFonts w:ascii="楷体" w:eastAsia="楷体"/>
          <w:w w:val="95"/>
          <w:sz w:val="18"/>
        </w:rPr>
        <w:t>期</w:t>
      </w:r>
      <w:r>
        <w:rPr>
          <w:rFonts w:ascii="楷体" w:eastAsia="楷体"/>
          <w:w w:val="95"/>
          <w:sz w:val="18"/>
        </w:rPr>
        <w:t>计</w:t>
      </w:r>
      <w:r>
        <w:rPr>
          <w:rFonts w:ascii="楷体" w:eastAsia="楷体"/>
          <w:w w:val="95"/>
          <w:sz w:val="18"/>
        </w:rPr>
        <w:t>算</w:t>
      </w:r>
      <w:r>
        <w:rPr>
          <w:rFonts w:ascii="楷体" w:eastAsia="楷体"/>
          <w:w w:val="95"/>
          <w:sz w:val="18"/>
        </w:rPr>
        <w:t>的</w:t>
      </w:r>
      <w:r>
        <w:rPr>
          <w:rFonts w:ascii="楷体" w:eastAsia="楷体"/>
          <w:w w:val="95"/>
          <w:sz w:val="18"/>
        </w:rPr>
        <w:t>年</w:t>
      </w:r>
      <w:r>
        <w:rPr>
          <w:rFonts w:ascii="楷体" w:eastAsia="楷体"/>
          <w:w w:val="95"/>
          <w:sz w:val="18"/>
        </w:rPr>
        <w:t>龄</w:t>
      </w:r>
      <w:r>
        <w:rPr>
          <w:rFonts w:ascii="楷体" w:eastAsia="楷体"/>
          <w:w w:val="95"/>
          <w:sz w:val="18"/>
        </w:rPr>
        <w:t>，</w:t>
      </w:r>
      <w:r>
        <w:rPr>
          <w:rFonts w:ascii="楷体" w:eastAsia="楷体"/>
          <w:w w:val="95"/>
          <w:sz w:val="18"/>
        </w:rPr>
        <w:t>自</w:t>
      </w:r>
      <w:r>
        <w:rPr>
          <w:rFonts w:ascii="楷体" w:eastAsia="楷体"/>
          <w:w w:val="95"/>
          <w:sz w:val="18"/>
        </w:rPr>
        <w:t>出</w:t>
      </w:r>
      <w:r>
        <w:rPr>
          <w:rFonts w:ascii="楷体" w:eastAsia="楷体"/>
          <w:w w:val="95"/>
          <w:sz w:val="18"/>
        </w:rPr>
        <w:t>生</w:t>
      </w:r>
      <w:r>
        <w:rPr>
          <w:rFonts w:ascii="楷体" w:eastAsia="楷体"/>
          <w:w w:val="95"/>
          <w:sz w:val="18"/>
        </w:rPr>
        <w:t>之</w:t>
      </w:r>
      <w:r>
        <w:rPr>
          <w:rFonts w:ascii="楷体" w:eastAsia="楷体"/>
          <w:w w:val="95"/>
          <w:sz w:val="18"/>
        </w:rPr>
        <w:t>日</w:t>
      </w:r>
      <w:r>
        <w:rPr>
          <w:rFonts w:ascii="楷体" w:eastAsia="楷体"/>
          <w:w w:val="95"/>
          <w:sz w:val="18"/>
        </w:rPr>
        <w:t>起</w:t>
      </w:r>
      <w:r>
        <w:rPr>
          <w:rFonts w:ascii="楷体" w:eastAsia="楷体"/>
          <w:w w:val="95"/>
          <w:sz w:val="18"/>
        </w:rPr>
        <w:t>为</w:t>
      </w:r>
      <w:r>
        <w:rPr>
          <w:rFonts w:ascii="楷体" w:eastAsia="楷体"/>
          <w:w w:val="95"/>
          <w:sz w:val="18"/>
        </w:rPr>
        <w:t>零</w:t>
      </w:r>
      <w:r>
        <w:rPr>
          <w:rFonts w:ascii="楷体" w:eastAsia="楷体"/>
          <w:w w:val="95"/>
          <w:sz w:val="18"/>
        </w:rPr>
        <w:t>周</w:t>
      </w:r>
      <w:r>
        <w:rPr>
          <w:rFonts w:ascii="楷体" w:eastAsia="楷体"/>
          <w:w w:val="95"/>
          <w:sz w:val="18"/>
        </w:rPr>
        <w:t>岁</w:t>
      </w:r>
      <w:r>
        <w:rPr>
          <w:rFonts w:ascii="楷体" w:eastAsia="楷体"/>
          <w:w w:val="95"/>
          <w:sz w:val="18"/>
        </w:rPr>
        <w:t>，</w:t>
      </w:r>
      <w:r>
        <w:rPr>
          <w:rFonts w:ascii="楷体" w:eastAsia="楷体"/>
          <w:w w:val="95"/>
          <w:sz w:val="18"/>
        </w:rPr>
        <w:t>每</w:t>
      </w:r>
      <w:r>
        <w:rPr>
          <w:rFonts w:ascii="楷体" w:eastAsia="楷体"/>
          <w:w w:val="95"/>
          <w:sz w:val="18"/>
        </w:rPr>
        <w:t>经</w:t>
      </w:r>
      <w:r>
        <w:rPr>
          <w:rFonts w:ascii="楷体" w:eastAsia="楷体"/>
          <w:w w:val="95"/>
          <w:sz w:val="18"/>
        </w:rPr>
        <w:t>过</w:t>
      </w:r>
      <w:r>
        <w:rPr>
          <w:rFonts w:ascii="楷体" w:eastAsia="楷体"/>
          <w:w w:val="95"/>
          <w:sz w:val="18"/>
        </w:rPr>
        <w:t>一</w:t>
      </w:r>
      <w:r>
        <w:rPr>
          <w:rFonts w:ascii="楷体" w:eastAsia="楷体"/>
          <w:w w:val="95"/>
          <w:sz w:val="18"/>
        </w:rPr>
        <w:t>年</w:t>
      </w:r>
      <w:r>
        <w:rPr>
          <w:rFonts w:ascii="楷体" w:eastAsia="楷体"/>
          <w:w w:val="95"/>
          <w:sz w:val="18"/>
        </w:rPr>
        <w:t>增</w:t>
      </w:r>
      <w:r>
        <w:rPr>
          <w:rFonts w:ascii="楷体" w:eastAsia="楷体"/>
          <w:w w:val="95"/>
          <w:sz w:val="18"/>
        </w:rPr>
        <w:t>加</w:t>
      </w:r>
      <w:r>
        <w:rPr>
          <w:rFonts w:ascii="楷体" w:eastAsia="楷体"/>
          <w:w w:val="95"/>
          <w:sz w:val="18"/>
        </w:rPr>
        <w:t>一</w:t>
      </w:r>
      <w:r>
        <w:rPr>
          <w:rFonts w:ascii="楷体" w:eastAsia="楷体"/>
          <w:w w:val="95"/>
          <w:sz w:val="18"/>
        </w:rPr>
        <w:t>岁</w:t>
      </w:r>
      <w:r>
        <w:rPr>
          <w:rFonts w:ascii="楷体" w:eastAsia="楷体"/>
          <w:w w:val="95"/>
          <w:sz w:val="18"/>
        </w:rPr>
        <w:t>，</w:t>
      </w:r>
      <w:r>
        <w:rPr>
          <w:rFonts w:ascii="楷体" w:eastAsia="楷体"/>
          <w:w w:val="95"/>
          <w:sz w:val="18"/>
        </w:rPr>
        <w:t>不</w:t>
      </w:r>
      <w:r>
        <w:rPr>
          <w:rFonts w:ascii="楷体" w:eastAsia="楷体"/>
          <w:w w:val="95"/>
          <w:sz w:val="18"/>
        </w:rPr>
        <w:t>足</w:t>
      </w:r>
      <w:r>
        <w:rPr>
          <w:rFonts w:ascii="楷体" w:eastAsia="楷体"/>
          <w:spacing w:val="-5"/>
          <w:w w:val="95"/>
          <w:sz w:val="18"/>
        </w:rPr>
        <w:t>一年</w:t>
      </w:r>
    </w:p>
    <w:p>
      <w:pPr>
        <w:spacing w:before="5"/>
        <w:ind w:left="100" w:right="0" w:firstLine="0"/>
        <w:jc w:val="left"/>
        <w:rPr>
          <w:rFonts w:ascii="楷体" w:eastAsia="楷体"/>
          <w:sz w:val="18"/>
        </w:rPr>
      </w:pPr>
      <w:r>
        <w:rPr>
          <w:rFonts w:ascii="楷体" w:eastAsia="楷体"/>
          <w:spacing w:val="-3"/>
          <w:sz w:val="18"/>
        </w:rPr>
        <w:t>的不计。</w:t>
      </w:r>
    </w:p>
    <w:p>
      <w:pPr>
        <w:spacing w:before="2"/>
        <w:ind w:left="100" w:right="0" w:firstLine="0"/>
        <w:jc w:val="left"/>
        <w:rPr>
          <w:rFonts w:ascii="楷体" w:eastAsia="楷体"/>
          <w:sz w:val="18"/>
        </w:rPr>
      </w:pPr>
      <w:r>
        <w:rPr>
          <w:b/>
          <w:w w:val="95"/>
          <w:position w:val="9"/>
          <w:sz w:val="9"/>
        </w:rPr>
        <w:t>5</w:t>
      </w:r>
      <w:r>
        <w:rPr>
          <w:rFonts w:ascii="楷体" w:eastAsia="楷体" w:hint="eastAsia"/>
          <w:b/>
          <w:w w:val="95"/>
          <w:sz w:val="18"/>
        </w:rPr>
        <w:t>有</w:t>
      </w:r>
      <w:r>
        <w:rPr>
          <w:rFonts w:ascii="楷体" w:eastAsia="楷体" w:hint="eastAsia"/>
          <w:b/>
          <w:w w:val="95"/>
          <w:sz w:val="18"/>
        </w:rPr>
        <w:t>效</w:t>
      </w:r>
      <w:r>
        <w:rPr>
          <w:rFonts w:ascii="楷体" w:eastAsia="楷体" w:hint="eastAsia"/>
          <w:b/>
          <w:w w:val="95"/>
          <w:sz w:val="18"/>
        </w:rPr>
        <w:t>身</w:t>
      </w:r>
      <w:r>
        <w:rPr>
          <w:rFonts w:ascii="楷体" w:eastAsia="楷体" w:hint="eastAsia"/>
          <w:b/>
          <w:w w:val="95"/>
          <w:sz w:val="18"/>
        </w:rPr>
        <w:t>份</w:t>
      </w:r>
      <w:r>
        <w:rPr>
          <w:rFonts w:ascii="楷体" w:eastAsia="楷体" w:hint="eastAsia"/>
          <w:b/>
          <w:w w:val="95"/>
          <w:sz w:val="18"/>
        </w:rPr>
        <w:t>证件</w:t>
      </w:r>
      <w:r>
        <w:rPr>
          <w:rFonts w:ascii="楷体" w:eastAsia="楷体"/>
          <w:w w:val="95"/>
          <w:sz w:val="18"/>
        </w:rPr>
        <w:t>：</w:t>
      </w:r>
      <w:r>
        <w:rPr>
          <w:rFonts w:ascii="楷体" w:eastAsia="楷体"/>
          <w:w w:val="95"/>
          <w:sz w:val="18"/>
        </w:rPr>
        <w:t>指</w:t>
      </w:r>
      <w:r>
        <w:rPr>
          <w:rFonts w:ascii="楷体" w:eastAsia="楷体"/>
          <w:w w:val="95"/>
          <w:sz w:val="18"/>
        </w:rPr>
        <w:t>由</w:t>
      </w:r>
      <w:r>
        <w:rPr>
          <w:rFonts w:ascii="楷体" w:eastAsia="楷体"/>
          <w:w w:val="95"/>
          <w:sz w:val="18"/>
        </w:rPr>
        <w:t>政</w:t>
      </w:r>
      <w:r>
        <w:rPr>
          <w:rFonts w:ascii="楷体" w:eastAsia="楷体"/>
          <w:w w:val="95"/>
          <w:sz w:val="18"/>
        </w:rPr>
        <w:t>府</w:t>
      </w:r>
      <w:r>
        <w:rPr>
          <w:rFonts w:ascii="楷体" w:eastAsia="楷体"/>
          <w:w w:val="95"/>
          <w:sz w:val="18"/>
        </w:rPr>
        <w:t>主</w:t>
      </w:r>
      <w:r>
        <w:rPr>
          <w:rFonts w:ascii="楷体" w:eastAsia="楷体"/>
          <w:w w:val="95"/>
          <w:sz w:val="18"/>
        </w:rPr>
        <w:t>管</w:t>
      </w:r>
      <w:r>
        <w:rPr>
          <w:rFonts w:ascii="楷体" w:eastAsia="楷体"/>
          <w:w w:val="95"/>
          <w:sz w:val="18"/>
        </w:rPr>
        <w:t>部</w:t>
      </w:r>
      <w:r>
        <w:rPr>
          <w:rFonts w:ascii="楷体" w:eastAsia="楷体"/>
          <w:w w:val="95"/>
          <w:sz w:val="18"/>
        </w:rPr>
        <w:t>门</w:t>
      </w:r>
      <w:r>
        <w:rPr>
          <w:rFonts w:ascii="楷体" w:eastAsia="楷体"/>
          <w:w w:val="95"/>
          <w:sz w:val="18"/>
        </w:rPr>
        <w:t>规</w:t>
      </w:r>
      <w:r>
        <w:rPr>
          <w:rFonts w:ascii="楷体" w:eastAsia="楷体"/>
          <w:w w:val="95"/>
          <w:sz w:val="18"/>
        </w:rPr>
        <w:t>定</w:t>
      </w:r>
      <w:r>
        <w:rPr>
          <w:rFonts w:ascii="楷体" w:eastAsia="楷体"/>
          <w:w w:val="95"/>
          <w:sz w:val="18"/>
        </w:rPr>
        <w:t>的</w:t>
      </w:r>
      <w:r>
        <w:rPr>
          <w:rFonts w:ascii="楷体" w:eastAsia="楷体"/>
          <w:w w:val="95"/>
          <w:sz w:val="18"/>
        </w:rPr>
        <w:t>证</w:t>
      </w:r>
      <w:r>
        <w:rPr>
          <w:rFonts w:ascii="楷体" w:eastAsia="楷体"/>
          <w:w w:val="95"/>
          <w:sz w:val="18"/>
        </w:rPr>
        <w:t>明</w:t>
      </w:r>
      <w:r>
        <w:rPr>
          <w:rFonts w:ascii="楷体" w:eastAsia="楷体"/>
          <w:w w:val="95"/>
          <w:sz w:val="18"/>
        </w:rPr>
        <w:t>个</w:t>
      </w:r>
      <w:r>
        <w:rPr>
          <w:rFonts w:ascii="楷体" w:eastAsia="楷体"/>
          <w:w w:val="95"/>
          <w:sz w:val="18"/>
        </w:rPr>
        <w:t>人</w:t>
      </w:r>
      <w:r>
        <w:rPr>
          <w:rFonts w:ascii="楷体" w:eastAsia="楷体"/>
          <w:w w:val="95"/>
          <w:sz w:val="18"/>
        </w:rPr>
        <w:t>身</w:t>
      </w:r>
      <w:r>
        <w:rPr>
          <w:rFonts w:ascii="楷体" w:eastAsia="楷体"/>
          <w:w w:val="95"/>
          <w:sz w:val="18"/>
        </w:rPr>
        <w:t>份</w:t>
      </w:r>
      <w:r>
        <w:rPr>
          <w:rFonts w:ascii="楷体" w:eastAsia="楷体"/>
          <w:w w:val="95"/>
          <w:sz w:val="18"/>
        </w:rPr>
        <w:t>的</w:t>
      </w:r>
      <w:r>
        <w:rPr>
          <w:rFonts w:ascii="楷体" w:eastAsia="楷体"/>
          <w:w w:val="95"/>
          <w:sz w:val="18"/>
        </w:rPr>
        <w:t>证</w:t>
      </w:r>
      <w:r>
        <w:rPr>
          <w:rFonts w:ascii="楷体" w:eastAsia="楷体"/>
          <w:w w:val="95"/>
          <w:sz w:val="18"/>
        </w:rPr>
        <w:t>件</w:t>
      </w:r>
      <w:r>
        <w:rPr>
          <w:rFonts w:ascii="楷体" w:eastAsia="楷体"/>
          <w:w w:val="95"/>
          <w:sz w:val="18"/>
        </w:rPr>
        <w:t>，如：</w:t>
      </w:r>
      <w:r>
        <w:rPr>
          <w:rFonts w:ascii="楷体" w:eastAsia="楷体"/>
          <w:w w:val="95"/>
          <w:sz w:val="18"/>
        </w:rPr>
        <w:t>居</w:t>
      </w:r>
      <w:r>
        <w:rPr>
          <w:rFonts w:ascii="楷体" w:eastAsia="楷体"/>
          <w:w w:val="95"/>
          <w:sz w:val="18"/>
        </w:rPr>
        <w:t>民</w:t>
      </w:r>
      <w:r>
        <w:rPr>
          <w:rFonts w:ascii="楷体" w:eastAsia="楷体"/>
          <w:w w:val="95"/>
          <w:sz w:val="18"/>
        </w:rPr>
        <w:t>身</w:t>
      </w:r>
      <w:r>
        <w:rPr>
          <w:rFonts w:ascii="楷体" w:eastAsia="楷体"/>
          <w:w w:val="95"/>
          <w:sz w:val="18"/>
        </w:rPr>
        <w:t>份</w:t>
      </w:r>
      <w:r>
        <w:rPr>
          <w:rFonts w:ascii="楷体" w:eastAsia="楷体"/>
          <w:w w:val="95"/>
          <w:sz w:val="18"/>
        </w:rPr>
        <w:t>证</w:t>
      </w:r>
      <w:r>
        <w:rPr>
          <w:rFonts w:ascii="楷体" w:eastAsia="楷体"/>
          <w:w w:val="95"/>
          <w:sz w:val="18"/>
        </w:rPr>
        <w:t>、</w:t>
      </w:r>
      <w:r>
        <w:rPr>
          <w:rFonts w:ascii="楷体" w:eastAsia="楷体"/>
          <w:w w:val="95"/>
          <w:sz w:val="18"/>
        </w:rPr>
        <w:t>按</w:t>
      </w:r>
      <w:r>
        <w:rPr>
          <w:rFonts w:ascii="楷体" w:eastAsia="楷体"/>
          <w:w w:val="95"/>
          <w:sz w:val="18"/>
        </w:rPr>
        <w:t>规</w:t>
      </w:r>
      <w:r>
        <w:rPr>
          <w:rFonts w:ascii="楷体" w:eastAsia="楷体"/>
          <w:w w:val="95"/>
          <w:sz w:val="18"/>
        </w:rPr>
        <w:t>定</w:t>
      </w:r>
      <w:r>
        <w:rPr>
          <w:rFonts w:ascii="楷体" w:eastAsia="楷体"/>
          <w:w w:val="95"/>
          <w:sz w:val="18"/>
        </w:rPr>
        <w:t>可</w:t>
      </w:r>
      <w:r>
        <w:rPr>
          <w:rFonts w:ascii="楷体" w:eastAsia="楷体"/>
          <w:w w:val="95"/>
          <w:sz w:val="18"/>
        </w:rPr>
        <w:t>使</w:t>
      </w:r>
      <w:r>
        <w:rPr>
          <w:rFonts w:ascii="楷体" w:eastAsia="楷体"/>
          <w:w w:val="95"/>
          <w:sz w:val="18"/>
        </w:rPr>
        <w:t>用</w:t>
      </w:r>
      <w:r>
        <w:rPr>
          <w:rFonts w:ascii="楷体" w:eastAsia="楷体"/>
          <w:w w:val="95"/>
          <w:sz w:val="18"/>
        </w:rPr>
        <w:t>的</w:t>
      </w:r>
      <w:r>
        <w:rPr>
          <w:rFonts w:ascii="楷体" w:eastAsia="楷体"/>
          <w:w w:val="95"/>
          <w:sz w:val="18"/>
        </w:rPr>
        <w:t>有</w:t>
      </w:r>
      <w:r>
        <w:rPr>
          <w:rFonts w:ascii="楷体" w:eastAsia="楷体"/>
          <w:w w:val="95"/>
          <w:sz w:val="18"/>
        </w:rPr>
        <w:t>效</w:t>
      </w:r>
      <w:r>
        <w:rPr>
          <w:rFonts w:ascii="楷体" w:eastAsia="楷体"/>
          <w:w w:val="95"/>
          <w:sz w:val="18"/>
        </w:rPr>
        <w:t>护</w:t>
      </w:r>
      <w:r>
        <w:rPr>
          <w:rFonts w:ascii="楷体" w:eastAsia="楷体"/>
          <w:w w:val="95"/>
          <w:sz w:val="18"/>
        </w:rPr>
        <w:t>照</w:t>
      </w:r>
      <w:r>
        <w:rPr>
          <w:rFonts w:ascii="楷体" w:eastAsia="楷体"/>
          <w:w w:val="95"/>
          <w:sz w:val="18"/>
        </w:rPr>
        <w:t>、</w:t>
      </w:r>
      <w:r>
        <w:rPr>
          <w:rFonts w:ascii="楷体" w:eastAsia="楷体"/>
          <w:w w:val="95"/>
          <w:sz w:val="18"/>
        </w:rPr>
        <w:t>军</w:t>
      </w:r>
      <w:r>
        <w:rPr>
          <w:rFonts w:ascii="楷体" w:eastAsia="楷体"/>
          <w:w w:val="95"/>
          <w:sz w:val="18"/>
        </w:rPr>
        <w:t>官</w:t>
      </w:r>
      <w:r>
        <w:rPr>
          <w:rFonts w:ascii="楷体" w:eastAsia="楷体"/>
          <w:w w:val="95"/>
          <w:sz w:val="18"/>
        </w:rPr>
        <w:t>证</w:t>
      </w:r>
      <w:r>
        <w:rPr>
          <w:rFonts w:ascii="楷体" w:eastAsia="楷体"/>
          <w:w w:val="95"/>
          <w:sz w:val="18"/>
        </w:rPr>
        <w:t>、</w:t>
      </w:r>
      <w:r>
        <w:rPr>
          <w:rFonts w:ascii="楷体" w:eastAsia="楷体"/>
          <w:w w:val="95"/>
          <w:sz w:val="18"/>
        </w:rPr>
        <w:t>警</w:t>
      </w:r>
      <w:r>
        <w:rPr>
          <w:rFonts w:ascii="楷体" w:eastAsia="楷体"/>
          <w:spacing w:val="-10"/>
          <w:w w:val="95"/>
          <w:sz w:val="18"/>
        </w:rPr>
        <w:t>官</w:t>
      </w:r>
    </w:p>
    <w:p>
      <w:pPr>
        <w:spacing w:before="2"/>
        <w:ind w:left="100" w:right="0" w:firstLine="0"/>
        <w:jc w:val="left"/>
        <w:rPr>
          <w:rFonts w:ascii="楷体" w:eastAsia="楷体"/>
          <w:sz w:val="18"/>
        </w:rPr>
      </w:pPr>
      <w:r>
        <w:rPr>
          <w:rFonts w:ascii="楷体" w:eastAsia="楷体"/>
          <w:spacing w:val="-1"/>
          <w:sz w:val="18"/>
        </w:rPr>
        <w:t>证、士兵证、户口簿等证件。</w:t>
      </w:r>
    </w:p>
    <w:p>
      <w:pPr>
        <w:spacing w:before="29"/>
        <w:ind w:left="0" w:right="379" w:firstLine="0"/>
        <w:jc w:val="center"/>
        <w:rPr>
          <w:rFonts w:ascii="Times New Roman"/>
          <w:sz w:val="18"/>
        </w:rPr>
      </w:pPr>
      <w:r>
        <w:rPr>
          <w:rFonts w:ascii="Times New Roman"/>
          <w:sz w:val="18"/>
        </w:rPr>
        <w:t>2</w:t>
      </w:r>
    </w:p>
    <w:p>
      <w:pPr>
        <w:spacing w:after="0"/>
        <w:jc w:val="center"/>
        <w:rPr>
          <w:rFonts w:ascii="Times New Roman"/>
          <w:sz w:val="18"/>
        </w:rPr>
        <w:sectPr>
          <w:type w:val="continuous"/>
          <w:pgSz w:w="11910" w:h="16840"/>
          <w:pgMar w:top="480" w:bottom="280" w:left="920" w:right="540"/>
        </w:sectPr>
      </w:pPr>
    </w:p>
    <w:p>
      <w:pPr>
        <w:pStyle w:val="Heading2"/>
        <w:numPr>
          <w:ilvl w:val="3"/>
          <w:numId w:val="2"/>
        </w:numPr>
        <w:tabs>
          <w:tab w:pos="1369" w:val="left" w:leader="none"/>
          <w:tab w:pos="1370" w:val="left" w:leader="none"/>
        </w:tabs>
        <w:spacing w:line="240" w:lineRule="auto" w:before="60" w:after="0"/>
        <w:ind w:left="1370" w:right="0" w:hanging="1103"/>
        <w:jc w:val="left"/>
      </w:pPr>
      <w:r>
        <w:rPr>
          <w:spacing w:val="-2"/>
        </w:rPr>
        <w:t>首次重大疾病</w:t>
      </w:r>
    </w:p>
    <w:p>
      <w:pPr>
        <w:spacing w:before="43"/>
        <w:ind w:left="1370" w:right="0" w:firstLine="0"/>
        <w:jc w:val="left"/>
        <w:rPr>
          <w:b/>
          <w:sz w:val="21"/>
        </w:rPr>
      </w:pPr>
      <w:r>
        <w:rPr>
          <w:b/>
          <w:spacing w:val="-4"/>
          <w:sz w:val="21"/>
        </w:rPr>
        <w:t>保险金</w:t>
      </w:r>
    </w:p>
    <w:p>
      <w:pPr>
        <w:pStyle w:val="BodyText"/>
        <w:spacing w:before="58"/>
        <w:ind w:left="268"/>
      </w:pPr>
      <w:r>
        <w:rPr/>
        <w:br w:type="column"/>
      </w:r>
      <w:r>
        <w:rPr>
          <w:w w:val="95"/>
        </w:rPr>
        <w:t>本</w:t>
      </w:r>
      <w:r>
        <w:rPr>
          <w:w w:val="95"/>
        </w:rPr>
        <w:t>合</w:t>
      </w:r>
      <w:r>
        <w:rPr>
          <w:w w:val="95"/>
        </w:rPr>
        <w:t>同提供保</w:t>
      </w:r>
      <w:r>
        <w:rPr>
          <w:w w:val="95"/>
        </w:rPr>
        <w:t>障</w:t>
      </w:r>
      <w:r>
        <w:rPr>
          <w:w w:val="95"/>
        </w:rPr>
        <w:t>的</w:t>
      </w:r>
      <w:r>
        <w:rPr>
          <w:b/>
          <w:w w:val="95"/>
        </w:rPr>
        <w:t>重</w:t>
      </w:r>
      <w:r>
        <w:rPr>
          <w:b/>
          <w:w w:val="95"/>
        </w:rPr>
        <w:t>大</w:t>
      </w:r>
      <w:r>
        <w:rPr>
          <w:b/>
          <w:w w:val="95"/>
        </w:rPr>
        <w:t>疾</w:t>
      </w:r>
      <w:r>
        <w:rPr>
          <w:b/>
          <w:w w:val="95"/>
        </w:rPr>
        <w:t>病</w:t>
      </w:r>
      <w:r>
        <w:rPr>
          <w:b/>
          <w:w w:val="95"/>
          <w:position w:val="11"/>
          <w:sz w:val="11"/>
        </w:rPr>
        <w:t>6</w:t>
      </w:r>
      <w:r>
        <w:rPr>
          <w:w w:val="95"/>
        </w:rPr>
        <w:t>，共有</w:t>
      </w:r>
      <w:r>
        <w:rPr>
          <w:spacing w:val="37"/>
          <w:w w:val="150"/>
        </w:rPr>
        <w:t> </w:t>
      </w:r>
      <w:r>
        <w:rPr>
          <w:w w:val="95"/>
        </w:rPr>
        <w:t>110</w:t>
      </w:r>
      <w:r>
        <w:rPr>
          <w:spacing w:val="37"/>
          <w:w w:val="150"/>
        </w:rPr>
        <w:t> </w:t>
      </w:r>
      <w:r>
        <w:rPr>
          <w:w w:val="95"/>
        </w:rPr>
        <w:t>种，名单详</w:t>
      </w:r>
      <w:r>
        <w:rPr>
          <w:w w:val="95"/>
        </w:rPr>
        <w:t>见</w:t>
      </w:r>
      <w:r>
        <w:rPr>
          <w:w w:val="95"/>
        </w:rPr>
        <w:t>本</w:t>
      </w:r>
      <w:r>
        <w:rPr>
          <w:spacing w:val="-2"/>
          <w:w w:val="95"/>
        </w:rPr>
        <w:t>保险条款附表一。</w:t>
      </w:r>
    </w:p>
    <w:p>
      <w:pPr>
        <w:pStyle w:val="Heading2"/>
        <w:spacing w:before="179"/>
        <w:ind w:left="268" w:firstLine="0"/>
      </w:pPr>
      <w:r>
        <w:rPr/>
        <w:t>（一）</w:t>
      </w:r>
      <w:r>
        <w:rPr>
          <w:spacing w:val="-6"/>
        </w:rPr>
        <w:t> 首次重大疾病基本保险金</w:t>
      </w:r>
    </w:p>
    <w:p>
      <w:pPr>
        <w:pStyle w:val="BodyText"/>
        <w:spacing w:before="10"/>
        <w:rPr>
          <w:b/>
          <w:sz w:val="14"/>
        </w:rPr>
      </w:pPr>
    </w:p>
    <w:p>
      <w:pPr>
        <w:spacing w:line="268" w:lineRule="auto" w:before="0"/>
        <w:ind w:left="268" w:right="211" w:firstLine="0"/>
        <w:jc w:val="left"/>
        <w:rPr>
          <w:b/>
          <w:sz w:val="21"/>
        </w:rPr>
      </w:pPr>
      <w:r>
        <w:rPr>
          <w:spacing w:val="-2"/>
          <w:sz w:val="21"/>
        </w:rPr>
        <w:t>被保险人在保险期间内因</w:t>
      </w:r>
      <w:r>
        <w:rPr>
          <w:b/>
          <w:spacing w:val="-2"/>
          <w:sz w:val="21"/>
        </w:rPr>
        <w:t>意外</w:t>
      </w:r>
      <w:r>
        <w:rPr>
          <w:b/>
          <w:spacing w:val="-2"/>
          <w:position w:val="11"/>
          <w:sz w:val="11"/>
        </w:rPr>
        <w:t>7</w:t>
      </w:r>
      <w:r>
        <w:rPr>
          <w:spacing w:val="-2"/>
          <w:sz w:val="21"/>
        </w:rPr>
        <w:t>，或本合同生效（若曾复效，则自本合同最后复</w:t>
      </w:r>
      <w:r>
        <w:rPr>
          <w:w w:val="95"/>
          <w:sz w:val="21"/>
        </w:rPr>
        <w:t>效</w:t>
      </w:r>
      <w:r>
        <w:rPr>
          <w:w w:val="95"/>
          <w:sz w:val="21"/>
        </w:rPr>
        <w:t>）之日起</w:t>
      </w:r>
      <w:r>
        <w:rPr>
          <w:spacing w:val="53"/>
          <w:w w:val="150"/>
          <w:sz w:val="21"/>
        </w:rPr>
        <w:t> </w:t>
      </w:r>
      <w:r>
        <w:rPr>
          <w:w w:val="95"/>
          <w:sz w:val="21"/>
        </w:rPr>
        <w:t>90</w:t>
      </w:r>
      <w:r>
        <w:rPr>
          <w:spacing w:val="45"/>
          <w:w w:val="150"/>
          <w:sz w:val="21"/>
        </w:rPr>
        <w:t> </w:t>
      </w:r>
      <w:r>
        <w:rPr>
          <w:w w:val="95"/>
          <w:sz w:val="21"/>
        </w:rPr>
        <w:t>天</w:t>
      </w:r>
      <w:r>
        <w:rPr>
          <w:w w:val="95"/>
          <w:sz w:val="21"/>
        </w:rPr>
        <w:t>后</w:t>
      </w:r>
      <w:r>
        <w:rPr>
          <w:w w:val="95"/>
          <w:sz w:val="21"/>
        </w:rPr>
        <w:t>在</w:t>
      </w:r>
      <w:r>
        <w:rPr>
          <w:b/>
          <w:w w:val="95"/>
          <w:sz w:val="21"/>
        </w:rPr>
        <w:t>本</w:t>
      </w:r>
      <w:r>
        <w:rPr>
          <w:b/>
          <w:w w:val="95"/>
          <w:sz w:val="21"/>
        </w:rPr>
        <w:t>公</w:t>
      </w:r>
      <w:r>
        <w:rPr>
          <w:b/>
          <w:w w:val="95"/>
          <w:sz w:val="21"/>
        </w:rPr>
        <w:t>司</w:t>
      </w:r>
      <w:r>
        <w:rPr>
          <w:b/>
          <w:w w:val="95"/>
          <w:sz w:val="21"/>
        </w:rPr>
        <w:t>指</w:t>
      </w:r>
      <w:r>
        <w:rPr>
          <w:b/>
          <w:w w:val="95"/>
          <w:sz w:val="21"/>
        </w:rPr>
        <w:t>定</w:t>
      </w:r>
      <w:r>
        <w:rPr>
          <w:b/>
          <w:w w:val="95"/>
          <w:sz w:val="21"/>
        </w:rPr>
        <w:t>或</w:t>
      </w:r>
      <w:r>
        <w:rPr>
          <w:b/>
          <w:w w:val="95"/>
          <w:sz w:val="21"/>
        </w:rPr>
        <w:t>认</w:t>
      </w:r>
      <w:r>
        <w:rPr>
          <w:b/>
          <w:w w:val="95"/>
          <w:sz w:val="21"/>
        </w:rPr>
        <w:t>可</w:t>
      </w:r>
      <w:r>
        <w:rPr>
          <w:b/>
          <w:w w:val="95"/>
          <w:sz w:val="21"/>
        </w:rPr>
        <w:t>的</w:t>
      </w:r>
      <w:r>
        <w:rPr>
          <w:b/>
          <w:w w:val="95"/>
          <w:sz w:val="21"/>
        </w:rPr>
        <w:t>医</w:t>
      </w:r>
      <w:r>
        <w:rPr>
          <w:b/>
          <w:w w:val="95"/>
          <w:sz w:val="21"/>
        </w:rPr>
        <w:t>疗机构</w:t>
      </w:r>
      <w:r>
        <w:rPr>
          <w:b/>
          <w:w w:val="95"/>
          <w:position w:val="11"/>
          <w:sz w:val="11"/>
        </w:rPr>
        <w:t>8</w:t>
      </w:r>
      <w:r>
        <w:rPr>
          <w:w w:val="95"/>
          <w:sz w:val="21"/>
        </w:rPr>
        <w:t>由</w:t>
      </w:r>
      <w:r>
        <w:rPr>
          <w:b/>
          <w:w w:val="95"/>
          <w:sz w:val="21"/>
        </w:rPr>
        <w:t>专</w:t>
      </w:r>
      <w:r>
        <w:rPr>
          <w:b/>
          <w:w w:val="95"/>
          <w:sz w:val="21"/>
        </w:rPr>
        <w:t>科</w:t>
      </w:r>
      <w:r>
        <w:rPr>
          <w:b/>
          <w:w w:val="95"/>
          <w:sz w:val="21"/>
        </w:rPr>
        <w:t>医</w:t>
      </w:r>
      <w:r>
        <w:rPr>
          <w:b/>
          <w:w w:val="95"/>
          <w:sz w:val="21"/>
        </w:rPr>
        <w:t>生</w:t>
      </w:r>
      <w:r>
        <w:rPr>
          <w:b/>
          <w:w w:val="95"/>
          <w:position w:val="11"/>
          <w:sz w:val="11"/>
        </w:rPr>
        <w:t>9</w:t>
      </w:r>
      <w:r>
        <w:rPr>
          <w:b/>
          <w:w w:val="95"/>
          <w:sz w:val="21"/>
        </w:rPr>
        <w:t>确</w:t>
      </w:r>
      <w:r>
        <w:rPr>
          <w:b/>
          <w:w w:val="95"/>
          <w:sz w:val="21"/>
        </w:rPr>
        <w:t>诊</w:t>
      </w:r>
      <w:r>
        <w:rPr>
          <w:b/>
          <w:w w:val="95"/>
          <w:sz w:val="21"/>
        </w:rPr>
        <w:t>初</w:t>
      </w:r>
      <w:r>
        <w:rPr>
          <w:b/>
          <w:w w:val="95"/>
          <w:sz w:val="21"/>
        </w:rPr>
        <w:t>次</w:t>
      </w:r>
      <w:r>
        <w:rPr>
          <w:b/>
          <w:spacing w:val="-5"/>
          <w:w w:val="95"/>
          <w:sz w:val="21"/>
        </w:rPr>
        <w:t>发生</w:t>
      </w:r>
    </w:p>
    <w:p>
      <w:pPr>
        <w:pStyle w:val="BodyText"/>
        <w:spacing w:before="1"/>
        <w:ind w:left="268"/>
      </w:pPr>
      <w:r>
        <w:rPr>
          <w:b/>
          <w:w w:val="95"/>
          <w:position w:val="11"/>
          <w:sz w:val="11"/>
        </w:rPr>
        <w:t>10</w:t>
      </w:r>
      <w:r>
        <w:rPr>
          <w:w w:val="95"/>
        </w:rPr>
        <w:t>本</w:t>
      </w:r>
      <w:r>
        <w:rPr>
          <w:w w:val="95"/>
        </w:rPr>
        <w:t>合</w:t>
      </w:r>
      <w:r>
        <w:rPr>
          <w:w w:val="95"/>
        </w:rPr>
        <w:t>同所列的一种或多种</w:t>
      </w:r>
      <w:r>
        <w:rPr>
          <w:w w:val="95"/>
        </w:rPr>
        <w:t>重</w:t>
      </w:r>
      <w:r>
        <w:rPr>
          <w:w w:val="95"/>
        </w:rPr>
        <w:t>大</w:t>
      </w:r>
      <w:r>
        <w:rPr>
          <w:spacing w:val="-14"/>
          <w:w w:val="95"/>
        </w:rPr>
        <w:t>疾病，本公司按本</w:t>
      </w:r>
      <w:r>
        <w:rPr>
          <w:w w:val="95"/>
        </w:rPr>
        <w:t>合</w:t>
      </w:r>
      <w:r>
        <w:rPr>
          <w:w w:val="95"/>
        </w:rPr>
        <w:t>同</w:t>
      </w:r>
      <w:r>
        <w:rPr>
          <w:w w:val="95"/>
        </w:rPr>
        <w:t>基</w:t>
      </w:r>
      <w:r>
        <w:rPr>
          <w:w w:val="95"/>
        </w:rPr>
        <w:t>本</w:t>
      </w:r>
      <w:r>
        <w:rPr>
          <w:spacing w:val="-2"/>
          <w:w w:val="95"/>
        </w:rPr>
        <w:t>保险金额给付首次重</w:t>
      </w:r>
    </w:p>
    <w:p>
      <w:pPr>
        <w:pStyle w:val="BodyText"/>
        <w:spacing w:before="43"/>
        <w:ind w:left="268"/>
      </w:pPr>
      <w:r>
        <w:rPr/>
        <w:drawing>
          <wp:anchor distT="0" distB="0" distL="0" distR="0" allowOverlap="1" layoutInCell="1" locked="0" behindDoc="1" simplePos="0" relativeHeight="486105600">
            <wp:simplePos x="0" y="0"/>
            <wp:positionH relativeFrom="page">
              <wp:posOffset>2535047</wp:posOffset>
            </wp:positionH>
            <wp:positionV relativeFrom="paragraph">
              <wp:posOffset>421259</wp:posOffset>
            </wp:positionV>
            <wp:extent cx="4543679" cy="173735"/>
            <wp:effectExtent l="0" t="0" r="0" b="0"/>
            <wp:wrapNone/>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4543679" cy="173735"/>
                    </a:xfrm>
                    <a:prstGeom prst="rect">
                      <a:avLst/>
                    </a:prstGeom>
                  </pic:spPr>
                </pic:pic>
              </a:graphicData>
            </a:graphic>
          </wp:anchor>
        </w:drawing>
      </w:r>
      <w:r>
        <w:rPr/>
        <w:pict>
          <v:shape style="position:absolute;margin-left:199.610001pt;margin-top:19.175022pt;width:357.8pt;height:27.7pt;mso-position-horizontal-relative:page;mso-position-vertical-relative:paragraph;z-index:-17210368" type="#_x0000_t202" id="docshape2" filled="false" stroked="false">
            <v:textbox inset="0,0,0,0">
              <w:txbxContent>
                <w:p>
                  <w:pPr>
                    <w:pStyle w:val="BodyText"/>
                    <w:spacing w:line="241" w:lineRule="exact"/>
                    <w:ind w:right="-15"/>
                    <w:rPr>
                      <w:b/>
                    </w:rPr>
                  </w:pPr>
                  <w:r>
                    <w:rPr>
                      <w:color w:val="000000"/>
                      <w:spacing w:val="-4"/>
                      <w:shd w:fill="E4E4E4" w:color="auto" w:val="clear"/>
                    </w:rPr>
                    <w:t>以一次为限</w:t>
                  </w:r>
                  <w:r>
                    <w:rPr>
                      <w:color w:val="000000"/>
                      <w:spacing w:val="-77"/>
                      <w:shd w:fill="E4E4E4" w:color="auto" w:val="clear"/>
                    </w:rPr>
                    <w:t>）</w:t>
                  </w:r>
                  <w:r>
                    <w:rPr>
                      <w:color w:val="000000"/>
                      <w:spacing w:val="-13"/>
                      <w:shd w:fill="E4E4E4" w:color="auto" w:val="clear"/>
                    </w:rPr>
                    <w:t>，给付后首次重大疾病基本保险金责任终止，同时本合同</w:t>
                  </w:r>
                  <w:r>
                    <w:rPr>
                      <w:b/>
                      <w:color w:val="000000"/>
                      <w:spacing w:val="-6"/>
                      <w:shd w:fill="E4E4E4" w:color="auto" w:val="clear"/>
                    </w:rPr>
                    <w:t>现金价值</w:t>
                  </w:r>
                </w:p>
                <w:p>
                  <w:pPr>
                    <w:pStyle w:val="BodyText"/>
                    <w:spacing w:before="33"/>
                    <w:ind w:right="-15"/>
                  </w:pPr>
                  <w:r>
                    <w:rPr>
                      <w:b/>
                      <w:w w:val="95"/>
                      <w:position w:val="11"/>
                      <w:sz w:val="11"/>
                    </w:rPr>
                    <w:t>11</w:t>
                  </w:r>
                  <w:r>
                    <w:rPr>
                      <w:w w:val="95"/>
                    </w:rPr>
                    <w:t>降</w:t>
                  </w:r>
                  <w:r>
                    <w:rPr>
                      <w:w w:val="95"/>
                    </w:rPr>
                    <w:t>低</w:t>
                  </w:r>
                  <w:r>
                    <w:rPr>
                      <w:w w:val="95"/>
                    </w:rPr>
                    <w:t>为</w:t>
                  </w:r>
                  <w:r>
                    <w:rPr>
                      <w:w w:val="95"/>
                    </w:rPr>
                    <w:t>零</w:t>
                  </w:r>
                  <w:r>
                    <w:rPr>
                      <w:w w:val="95"/>
                    </w:rPr>
                    <w:t>，并不再承</w:t>
                  </w:r>
                  <w:r>
                    <w:rPr>
                      <w:w w:val="95"/>
                    </w:rPr>
                    <w:t>担</w:t>
                  </w:r>
                  <w:r>
                    <w:rPr>
                      <w:w w:val="95"/>
                    </w:rPr>
                    <w:t>中</w:t>
                  </w:r>
                  <w:r>
                    <w:rPr>
                      <w:w w:val="95"/>
                    </w:rPr>
                    <w:t>度</w:t>
                  </w:r>
                  <w:r>
                    <w:rPr>
                      <w:w w:val="95"/>
                    </w:rPr>
                    <w:t>疾</w:t>
                  </w:r>
                  <w:r>
                    <w:rPr>
                      <w:w w:val="95"/>
                    </w:rPr>
                    <w:t>病保险金</w:t>
                  </w:r>
                  <w:r>
                    <w:rPr>
                      <w:w w:val="95"/>
                    </w:rPr>
                    <w:t>责</w:t>
                  </w:r>
                  <w:r>
                    <w:rPr>
                      <w:w w:val="95"/>
                    </w:rPr>
                    <w:t>任</w:t>
                  </w:r>
                  <w:r>
                    <w:rPr>
                      <w:w w:val="95"/>
                    </w:rPr>
                    <w:t>、</w:t>
                  </w:r>
                  <w:r>
                    <w:rPr>
                      <w:w w:val="95"/>
                    </w:rPr>
                    <w:t>轻</w:t>
                  </w:r>
                  <w:r>
                    <w:rPr>
                      <w:w w:val="95"/>
                    </w:rPr>
                    <w:t>度</w:t>
                  </w:r>
                  <w:r>
                    <w:rPr>
                      <w:w w:val="95"/>
                    </w:rPr>
                    <w:t>疾</w:t>
                  </w:r>
                  <w:r>
                    <w:rPr>
                      <w:w w:val="95"/>
                    </w:rPr>
                    <w:t>病</w:t>
                  </w:r>
                  <w:r>
                    <w:rPr>
                      <w:spacing w:val="-1"/>
                      <w:w w:val="95"/>
                    </w:rPr>
                    <w:t>保险金责任、身故保险</w:t>
                  </w:r>
                </w:p>
              </w:txbxContent>
            </v:textbox>
            <w10:wrap type="none"/>
          </v:shape>
        </w:pict>
      </w:r>
      <w:r>
        <w:rPr>
          <w:spacing w:val="-2"/>
        </w:rPr>
        <w:t>大疾病基本保险金</w:t>
      </w:r>
      <w:r>
        <w:rPr>
          <w:color w:val="000000"/>
          <w:spacing w:val="-2"/>
          <w:shd w:fill="E4E4E4" w:color="auto" w:val="clear"/>
        </w:rPr>
        <w:t>（</w:t>
      </w:r>
      <w:r>
        <w:rPr>
          <w:color w:val="000000"/>
          <w:spacing w:val="-3"/>
          <w:shd w:fill="E4E4E4" w:color="auto" w:val="clear"/>
        </w:rPr>
        <w:t>若被保险人同时符合两种或两种以上重大疾病时，该给付</w:t>
      </w:r>
    </w:p>
    <w:p>
      <w:pPr>
        <w:spacing w:after="0"/>
        <w:sectPr>
          <w:footerReference w:type="default" r:id="rId9"/>
          <w:pgSz w:w="11910" w:h="16840"/>
          <w:pgMar w:footer="659" w:header="0" w:top="1540" w:bottom="840" w:left="920" w:right="540"/>
          <w:pgNumType w:start="3"/>
          <w:cols w:num="2" w:equalWidth="0">
            <w:col w:w="2678" w:space="126"/>
            <w:col w:w="7646"/>
          </w:cols>
        </w:sectPr>
      </w:pPr>
    </w:p>
    <w:p>
      <w:pPr>
        <w:pStyle w:val="BodyText"/>
        <w:spacing w:before="7"/>
        <w:rPr>
          <w:sz w:val="5"/>
        </w:rPr>
      </w:pPr>
    </w:p>
    <w:p>
      <w:pPr>
        <w:pStyle w:val="BodyText"/>
        <w:spacing w:before="42"/>
        <w:ind w:left="3072"/>
      </w:pPr>
      <w:r>
        <w:rPr>
          <w:color w:val="000000"/>
          <w:spacing w:val="-3"/>
          <w:shd w:fill="E4E4E4" w:color="auto" w:val="clear"/>
        </w:rPr>
        <w:t>金或全残保险金责任。</w:t>
      </w:r>
    </w:p>
    <w:p>
      <w:pPr>
        <w:pStyle w:val="BodyText"/>
        <w:spacing w:before="12"/>
        <w:rPr>
          <w:sz w:val="9"/>
        </w:rPr>
      </w:pPr>
    </w:p>
    <w:p>
      <w:pPr>
        <w:pStyle w:val="BodyText"/>
        <w:spacing w:line="278" w:lineRule="auto" w:before="72"/>
        <w:ind w:left="3072" w:right="212"/>
        <w:jc w:val="both"/>
      </w:pPr>
      <w:r>
        <w:rPr>
          <w:color w:val="000000"/>
          <w:w w:val="95"/>
          <w:shd w:fill="E4E4E4" w:color="auto" w:val="clear"/>
        </w:rPr>
        <w:t>若 2.3.1.2 首次重大</w:t>
      </w:r>
      <w:r>
        <w:rPr>
          <w:color w:val="000000"/>
          <w:w w:val="95"/>
          <w:shd w:fill="E4E4E4" w:color="auto" w:val="clear"/>
        </w:rPr>
        <w:t>疾</w:t>
      </w:r>
      <w:r>
        <w:rPr>
          <w:color w:val="000000"/>
          <w:w w:val="95"/>
          <w:shd w:fill="E4E4E4" w:color="auto" w:val="clear"/>
        </w:rPr>
        <w:t>病</w:t>
      </w:r>
      <w:r>
        <w:rPr>
          <w:color w:val="000000"/>
          <w:w w:val="95"/>
          <w:shd w:fill="E4E4E4" w:color="auto" w:val="clear"/>
        </w:rPr>
        <w:t>医</w:t>
      </w:r>
      <w:r>
        <w:rPr>
          <w:color w:val="000000"/>
          <w:w w:val="95"/>
          <w:shd w:fill="E4E4E4" w:color="auto" w:val="clear"/>
        </w:rPr>
        <w:t>疗</w:t>
      </w:r>
      <w:r>
        <w:rPr>
          <w:color w:val="000000"/>
          <w:spacing w:val="-10"/>
          <w:w w:val="95"/>
          <w:shd w:fill="E4E4E4" w:color="auto" w:val="clear"/>
        </w:rPr>
        <w:t>津贴保险金责任已终止，且投保人</w:t>
      </w:r>
      <w:r>
        <w:rPr>
          <w:color w:val="000000"/>
          <w:w w:val="95"/>
          <w:shd w:fill="E4E4E4" w:color="auto" w:val="clear"/>
        </w:rPr>
        <w:t>未</w:t>
      </w:r>
      <w:r>
        <w:rPr>
          <w:color w:val="000000"/>
          <w:w w:val="95"/>
          <w:shd w:fill="E4E4E4" w:color="auto" w:val="clear"/>
        </w:rPr>
        <w:t>选</w:t>
      </w:r>
      <w:r>
        <w:rPr>
          <w:color w:val="000000"/>
          <w:w w:val="95"/>
          <w:shd w:fill="E4E4E4" w:color="auto" w:val="clear"/>
        </w:rPr>
        <w:t>择 2.3.2.1</w:t>
      </w:r>
      <w:r>
        <w:rPr>
          <w:color w:val="000000"/>
          <w:spacing w:val="40"/>
          <w:shd w:fill="E4E4E4" w:color="auto" w:val="clear"/>
        </w:rPr>
        <w:t> </w:t>
      </w:r>
      <w:r>
        <w:rPr>
          <w:color w:val="000000"/>
          <w:spacing w:val="-2"/>
          <w:shd w:fill="E4E4E4" w:color="auto" w:val="clear"/>
        </w:rPr>
        <w:t>恶性肿瘤-重度额外给付保险金责任、2.3.2.2</w:t>
      </w:r>
      <w:r>
        <w:rPr>
          <w:color w:val="000000"/>
          <w:spacing w:val="-7"/>
          <w:shd w:fill="E4E4E4" w:color="auto" w:val="clear"/>
        </w:rPr>
        <w:t> 心脑血管特定疾病额外给付保险</w:t>
      </w:r>
      <w:r>
        <w:rPr>
          <w:color w:val="000000"/>
          <w:spacing w:val="-2"/>
          <w:shd w:fill="E4E4E4" w:color="auto" w:val="clear"/>
        </w:rPr>
        <w:t>金责任，本合同终止。</w:t>
      </w:r>
    </w:p>
    <w:p>
      <w:pPr>
        <w:pStyle w:val="BodyText"/>
        <w:spacing w:line="266" w:lineRule="auto" w:before="163"/>
        <w:ind w:left="3072" w:right="214"/>
        <w:jc w:val="both"/>
      </w:pPr>
      <w:r>
        <w:rPr>
          <w:spacing w:val="-6"/>
        </w:rPr>
        <w:t>被保险人在本合同生效（若曾复效，则自本合同最后复效）</w:t>
      </w:r>
      <w:r>
        <w:rPr>
          <w:spacing w:val="-7"/>
        </w:rPr>
        <w:t>之日起 </w:t>
      </w:r>
      <w:r>
        <w:rPr>
          <w:spacing w:val="-6"/>
        </w:rPr>
        <w:t>90</w:t>
      </w:r>
      <w:r>
        <w:rPr>
          <w:spacing w:val="-8"/>
        </w:rPr>
        <w:t> 天内因非</w:t>
      </w:r>
      <w:r>
        <w:rPr>
          <w:spacing w:val="-2"/>
        </w:rPr>
        <w:t>意外的原因在本公司指定或认可的医疗机构由专科医生确诊初次发生本合同所</w:t>
      </w:r>
      <w:r>
        <w:rPr>
          <w:spacing w:val="-3"/>
        </w:rPr>
        <w:t>列的一种或多种重大疾病，本公司将按投保人已交纳的本合同累计保险费数额</w:t>
      </w:r>
    </w:p>
    <w:p>
      <w:pPr>
        <w:pStyle w:val="BodyText"/>
        <w:spacing w:before="4"/>
        <w:ind w:left="3072"/>
      </w:pPr>
      <w:r>
        <w:rPr>
          <w:spacing w:val="-2"/>
        </w:rPr>
        <w:t>（不计息）给付首次重大疾病基本保险金，</w:t>
      </w:r>
      <w:r>
        <w:rPr>
          <w:color w:val="000000"/>
          <w:spacing w:val="-4"/>
          <w:shd w:fill="E4E4E4" w:color="auto" w:val="clear"/>
        </w:rPr>
        <w:t>同时本合同终止。</w:t>
      </w:r>
    </w:p>
    <w:p>
      <w:pPr>
        <w:pStyle w:val="BodyText"/>
        <w:spacing w:before="5"/>
        <w:rPr>
          <w:sz w:val="10"/>
        </w:rPr>
      </w:pPr>
      <w:r>
        <w:rPr/>
        <w:pict>
          <v:shape style="position:absolute;margin-left:199.610001pt;margin-top:7.872969pt;width:357.8pt;height:30pt;mso-position-horizontal-relative:page;mso-position-vertical-relative:paragraph;z-index:-15727616;mso-wrap-distance-left:0;mso-wrap-distance-right:0" type="#_x0000_t202" id="docshape3" filled="true" fillcolor="#e4e4e4" stroked="false">
            <v:textbox inset="0,0,0,0">
              <w:txbxContent>
                <w:p>
                  <w:pPr>
                    <w:pStyle w:val="BodyText"/>
                    <w:spacing w:line="266" w:lineRule="auto" w:before="25"/>
                    <w:ind w:right="-15"/>
                    <w:rPr>
                      <w:color w:val="000000"/>
                    </w:rPr>
                  </w:pPr>
                  <w:r>
                    <w:rPr>
                      <w:color w:val="000000"/>
                      <w:spacing w:val="-2"/>
                    </w:rPr>
                    <w:t>若被保险人因同一疾病原因、同次医疗行为或同次意外伤害事故导致其发生本</w:t>
                  </w:r>
                  <w:r>
                    <w:rPr>
                      <w:color w:val="000000"/>
                      <w:spacing w:val="-3"/>
                    </w:rPr>
                    <w:t>合同所定义的两种或两种以上重大疾病，本公司仅按一种重大疾病给付首次重</w:t>
                  </w:r>
                </w:p>
              </w:txbxContent>
            </v:textbox>
            <v:fill type="solid"/>
            <w10:wrap type="topAndBottom"/>
          </v:shape>
        </w:pict>
      </w:r>
    </w:p>
    <w:p>
      <w:pPr>
        <w:pStyle w:val="BodyText"/>
        <w:spacing w:before="30"/>
        <w:ind w:left="3072"/>
      </w:pPr>
      <w:r>
        <w:rPr>
          <w:color w:val="000000"/>
          <w:spacing w:val="-4"/>
          <w:shd w:fill="E4E4E4" w:color="auto" w:val="clear"/>
        </w:rPr>
        <w:t>大疾病保险金。</w:t>
      </w:r>
    </w:p>
    <w:p>
      <w:pPr>
        <w:pStyle w:val="Heading2"/>
        <w:spacing w:before="179"/>
        <w:ind w:left="3072" w:firstLine="0"/>
      </w:pPr>
      <w:r>
        <w:rPr/>
        <w:t>（二）</w:t>
      </w:r>
      <w:r>
        <w:rPr>
          <w:spacing w:val="-6"/>
        </w:rPr>
        <w:t> 首次重大疾病额外保险金</w:t>
      </w:r>
    </w:p>
    <w:p>
      <w:pPr>
        <w:pStyle w:val="BodyText"/>
        <w:spacing w:before="7"/>
        <w:rPr>
          <w:b/>
          <w:sz w:val="15"/>
        </w:rPr>
      </w:pPr>
    </w:p>
    <w:p>
      <w:pPr>
        <w:pStyle w:val="BodyText"/>
        <w:ind w:left="3072"/>
        <w:jc w:val="both"/>
      </w:pPr>
      <w:r>
        <w:rPr>
          <w:spacing w:val="-5"/>
        </w:rPr>
        <w:t>被保险人满 </w:t>
      </w:r>
      <w:r>
        <w:rPr/>
        <w:t>60</w:t>
      </w:r>
      <w:r>
        <w:rPr>
          <w:spacing w:val="-5"/>
        </w:rPr>
        <w:t> 周岁</w:t>
      </w:r>
      <w:r>
        <w:rPr/>
        <w:t>（</w:t>
      </w:r>
      <w:r>
        <w:rPr>
          <w:spacing w:val="-18"/>
        </w:rPr>
        <w:t>不含 </w:t>
      </w:r>
      <w:r>
        <w:rPr/>
        <w:t>60</w:t>
      </w:r>
      <w:r>
        <w:rPr>
          <w:spacing w:val="-12"/>
        </w:rPr>
        <w:t> 周岁生日</w:t>
      </w:r>
      <w:r>
        <w:rPr/>
        <w:t>）</w:t>
      </w:r>
      <w:r>
        <w:rPr>
          <w:spacing w:val="-1"/>
        </w:rPr>
        <w:t>前，被保险人在保险期间内因意外，</w:t>
      </w:r>
    </w:p>
    <w:p>
      <w:pPr>
        <w:pStyle w:val="BodyText"/>
        <w:spacing w:line="278" w:lineRule="auto" w:before="44"/>
        <w:ind w:left="3072" w:right="214"/>
        <w:jc w:val="both"/>
      </w:pPr>
      <w:r>
        <w:rPr>
          <w:spacing w:val="-6"/>
        </w:rPr>
        <w:t>或在本合同生效（若曾复效，则自本合同最后复效）</w:t>
      </w:r>
      <w:r>
        <w:rPr>
          <w:spacing w:val="-7"/>
        </w:rPr>
        <w:t>之日起 </w:t>
      </w:r>
      <w:r>
        <w:rPr>
          <w:spacing w:val="-6"/>
        </w:rPr>
        <w:t>90</w:t>
      </w:r>
      <w:r>
        <w:rPr>
          <w:spacing w:val="-8"/>
        </w:rPr>
        <w:t> 天后，因非意外</w:t>
      </w:r>
      <w:r>
        <w:rPr>
          <w:spacing w:val="-2"/>
        </w:rPr>
        <w:t>的原因在本公司指定或认可的医疗机构由专科医生确诊初次发生本合同所列的</w:t>
      </w:r>
      <w:r>
        <w:rPr>
          <w:spacing w:val="-1"/>
        </w:rPr>
        <w:t>一种或多种重大疾病，本公司按本合同基本保险金额的 </w:t>
      </w:r>
      <w:r>
        <w:rPr/>
        <w:t>50%给付首次重大疾病</w:t>
      </w:r>
      <w:r>
        <w:rPr>
          <w:spacing w:val="-2"/>
        </w:rPr>
        <w:t>额外保险金，同时首次重大疾病额外保险金责任终止。</w:t>
      </w:r>
    </w:p>
    <w:p>
      <w:pPr>
        <w:pStyle w:val="BodyText"/>
        <w:spacing w:line="278" w:lineRule="auto" w:before="155"/>
        <w:ind w:left="3072" w:right="214"/>
        <w:jc w:val="both"/>
      </w:pPr>
      <w:r>
        <w:rPr>
          <w:spacing w:val="-6"/>
        </w:rPr>
        <w:t>被保险人在本合同生效（若曾复效，则自本合同最后复效）</w:t>
      </w:r>
      <w:r>
        <w:rPr>
          <w:spacing w:val="-7"/>
        </w:rPr>
        <w:t>之日起 </w:t>
      </w:r>
      <w:r>
        <w:rPr>
          <w:spacing w:val="-6"/>
        </w:rPr>
        <w:t>90</w:t>
      </w:r>
      <w:r>
        <w:rPr>
          <w:spacing w:val="-8"/>
        </w:rPr>
        <w:t> 天内因非</w:t>
      </w:r>
      <w:r>
        <w:rPr>
          <w:spacing w:val="-2"/>
        </w:rPr>
        <w:t>意外的原因在本公司指定或认可的医疗机构由专科医生确诊初次发生本合同所</w:t>
      </w:r>
      <w:r>
        <w:rPr>
          <w:spacing w:val="-3"/>
        </w:rPr>
        <w:t>列的一种或多种重大疾病，本公司不承担给付首次重大疾病额外保险金责任。</w:t>
      </w:r>
    </w:p>
    <w:p>
      <w:pPr>
        <w:pStyle w:val="BodyText"/>
        <w:rPr>
          <w:sz w:val="20"/>
        </w:rPr>
      </w:pPr>
    </w:p>
    <w:p>
      <w:pPr>
        <w:pStyle w:val="BodyText"/>
        <w:rPr>
          <w:sz w:val="20"/>
        </w:rPr>
      </w:pPr>
    </w:p>
    <w:p>
      <w:pPr>
        <w:pStyle w:val="BodyText"/>
        <w:rPr>
          <w:sz w:val="17"/>
        </w:rPr>
      </w:pPr>
      <w:r>
        <w:rPr/>
        <w:drawing>
          <wp:anchor distT="0" distB="0" distL="0" distR="0" allowOverlap="1" layoutInCell="1" locked="0" behindDoc="0" simplePos="0" relativeHeight="3">
            <wp:simplePos x="0" y="0"/>
            <wp:positionH relativeFrom="page">
              <wp:posOffset>685800</wp:posOffset>
            </wp:positionH>
            <wp:positionV relativeFrom="paragraph">
              <wp:posOffset>153883</wp:posOffset>
            </wp:positionV>
            <wp:extent cx="1829282" cy="6095"/>
            <wp:effectExtent l="0" t="0" r="0" b="0"/>
            <wp:wrapTopAndBottom/>
            <wp:docPr id="13" name="image6.png"/>
            <wp:cNvGraphicFramePr>
              <a:graphicFrameLocks noChangeAspect="1"/>
            </wp:cNvGraphicFramePr>
            <a:graphic>
              <a:graphicData uri="http://schemas.openxmlformats.org/drawingml/2006/picture">
                <pic:pic>
                  <pic:nvPicPr>
                    <pic:cNvPr id="14" name="image6.png"/>
                    <pic:cNvPicPr/>
                  </pic:nvPicPr>
                  <pic:blipFill>
                    <a:blip r:embed="rId11" cstate="print"/>
                    <a:stretch>
                      <a:fillRect/>
                    </a:stretch>
                  </pic:blipFill>
                  <pic:spPr>
                    <a:xfrm>
                      <a:off x="0" y="0"/>
                      <a:ext cx="1829282" cy="6095"/>
                    </a:xfrm>
                    <a:prstGeom prst="rect">
                      <a:avLst/>
                    </a:prstGeom>
                  </pic:spPr>
                </pic:pic>
              </a:graphicData>
            </a:graphic>
          </wp:anchor>
        </w:drawing>
      </w:r>
    </w:p>
    <w:p>
      <w:pPr>
        <w:spacing w:before="91"/>
        <w:ind w:left="160" w:right="0" w:firstLine="0"/>
        <w:jc w:val="left"/>
        <w:rPr>
          <w:rFonts w:ascii="楷体" w:eastAsia="楷体"/>
          <w:sz w:val="18"/>
        </w:rPr>
      </w:pPr>
      <w:r>
        <w:rPr>
          <w:b/>
          <w:w w:val="95"/>
          <w:position w:val="9"/>
          <w:sz w:val="9"/>
        </w:rPr>
        <w:t>6</w:t>
      </w:r>
      <w:r>
        <w:rPr>
          <w:rFonts w:ascii="楷体" w:eastAsia="楷体" w:hint="eastAsia"/>
          <w:b/>
          <w:w w:val="95"/>
          <w:sz w:val="18"/>
        </w:rPr>
        <w:t>重</w:t>
      </w:r>
      <w:r>
        <w:rPr>
          <w:rFonts w:ascii="楷体" w:eastAsia="楷体" w:hint="eastAsia"/>
          <w:b/>
          <w:w w:val="95"/>
          <w:sz w:val="18"/>
        </w:rPr>
        <w:t>大</w:t>
      </w:r>
      <w:r>
        <w:rPr>
          <w:rFonts w:ascii="楷体" w:eastAsia="楷体" w:hint="eastAsia"/>
          <w:b/>
          <w:w w:val="95"/>
          <w:sz w:val="18"/>
        </w:rPr>
        <w:t>疾</w:t>
      </w:r>
      <w:r>
        <w:rPr>
          <w:rFonts w:ascii="楷体" w:eastAsia="楷体" w:hint="eastAsia"/>
          <w:b/>
          <w:w w:val="95"/>
          <w:sz w:val="18"/>
        </w:rPr>
        <w:t>病</w:t>
      </w:r>
      <w:r>
        <w:rPr>
          <w:rFonts w:ascii="楷体" w:eastAsia="楷体"/>
          <w:w w:val="95"/>
          <w:sz w:val="18"/>
        </w:rPr>
        <w:t>：</w:t>
      </w:r>
      <w:r>
        <w:rPr>
          <w:rFonts w:ascii="楷体" w:eastAsia="楷体"/>
          <w:w w:val="95"/>
          <w:sz w:val="18"/>
        </w:rPr>
        <w:t>指</w:t>
      </w:r>
      <w:r>
        <w:rPr>
          <w:rFonts w:ascii="楷体" w:eastAsia="楷体"/>
          <w:w w:val="95"/>
          <w:sz w:val="18"/>
        </w:rPr>
        <w:t>符</w:t>
      </w:r>
      <w:r>
        <w:rPr>
          <w:rFonts w:ascii="楷体" w:eastAsia="楷体"/>
          <w:w w:val="95"/>
          <w:sz w:val="18"/>
        </w:rPr>
        <w:t>合</w:t>
      </w:r>
      <w:r>
        <w:rPr>
          <w:rFonts w:ascii="楷体" w:eastAsia="楷体"/>
          <w:w w:val="95"/>
          <w:sz w:val="18"/>
        </w:rPr>
        <w:t>本</w:t>
      </w:r>
      <w:r>
        <w:rPr>
          <w:rFonts w:ascii="楷体" w:eastAsia="楷体"/>
          <w:w w:val="95"/>
          <w:sz w:val="18"/>
        </w:rPr>
        <w:t>保</w:t>
      </w:r>
      <w:r>
        <w:rPr>
          <w:rFonts w:ascii="楷体" w:eastAsia="楷体"/>
          <w:w w:val="95"/>
          <w:sz w:val="18"/>
        </w:rPr>
        <w:t>险</w:t>
      </w:r>
      <w:r>
        <w:rPr>
          <w:rFonts w:ascii="楷体" w:eastAsia="楷体"/>
          <w:w w:val="95"/>
          <w:sz w:val="18"/>
        </w:rPr>
        <w:t>条</w:t>
      </w:r>
      <w:r>
        <w:rPr>
          <w:rFonts w:ascii="楷体" w:eastAsia="楷体"/>
          <w:w w:val="95"/>
          <w:sz w:val="18"/>
        </w:rPr>
        <w:t>款</w:t>
      </w:r>
      <w:r>
        <w:rPr>
          <w:rFonts w:ascii="楷体" w:eastAsia="楷体"/>
          <w:w w:val="95"/>
          <w:sz w:val="18"/>
        </w:rPr>
        <w:t>附</w:t>
      </w:r>
      <w:r>
        <w:rPr>
          <w:rFonts w:ascii="楷体" w:eastAsia="楷体"/>
          <w:w w:val="95"/>
          <w:sz w:val="18"/>
        </w:rPr>
        <w:t>表</w:t>
      </w:r>
      <w:r>
        <w:rPr>
          <w:rFonts w:ascii="楷体" w:eastAsia="楷体"/>
          <w:w w:val="95"/>
          <w:sz w:val="18"/>
        </w:rPr>
        <w:t>一</w:t>
      </w:r>
      <w:r>
        <w:rPr>
          <w:rFonts w:ascii="楷体" w:eastAsia="楷体"/>
          <w:w w:val="95"/>
          <w:sz w:val="18"/>
        </w:rPr>
        <w:t>所</w:t>
      </w:r>
      <w:r>
        <w:rPr>
          <w:rFonts w:ascii="楷体" w:eastAsia="楷体"/>
          <w:w w:val="95"/>
          <w:sz w:val="18"/>
        </w:rPr>
        <w:t>列</w:t>
      </w:r>
      <w:r>
        <w:rPr>
          <w:rFonts w:ascii="楷体" w:eastAsia="楷体"/>
          <w:w w:val="95"/>
          <w:sz w:val="18"/>
        </w:rPr>
        <w:t>的</w:t>
      </w:r>
      <w:r>
        <w:rPr>
          <w:rFonts w:ascii="楷体" w:eastAsia="楷体"/>
          <w:w w:val="95"/>
          <w:sz w:val="18"/>
        </w:rPr>
        <w:t>任</w:t>
      </w:r>
      <w:r>
        <w:rPr>
          <w:rFonts w:ascii="楷体" w:eastAsia="楷体"/>
          <w:w w:val="95"/>
          <w:sz w:val="18"/>
        </w:rPr>
        <w:t>何</w:t>
      </w:r>
      <w:r>
        <w:rPr>
          <w:rFonts w:ascii="楷体" w:eastAsia="楷体"/>
          <w:w w:val="95"/>
          <w:sz w:val="18"/>
        </w:rPr>
        <w:t>一</w:t>
      </w:r>
      <w:r>
        <w:rPr>
          <w:rFonts w:ascii="楷体" w:eastAsia="楷体"/>
          <w:w w:val="95"/>
          <w:sz w:val="18"/>
        </w:rPr>
        <w:t>种</w:t>
      </w:r>
      <w:r>
        <w:rPr>
          <w:rFonts w:ascii="楷体" w:eastAsia="楷体"/>
          <w:w w:val="95"/>
          <w:sz w:val="18"/>
        </w:rPr>
        <w:t>疾</w:t>
      </w:r>
      <w:r>
        <w:rPr>
          <w:rFonts w:ascii="楷体" w:eastAsia="楷体"/>
          <w:w w:val="95"/>
          <w:sz w:val="18"/>
        </w:rPr>
        <w:t>病</w:t>
      </w:r>
      <w:r>
        <w:rPr>
          <w:rFonts w:ascii="楷体" w:eastAsia="楷体"/>
          <w:w w:val="95"/>
          <w:sz w:val="18"/>
        </w:rPr>
        <w:t>定</w:t>
      </w:r>
      <w:r>
        <w:rPr>
          <w:rFonts w:ascii="楷体" w:eastAsia="楷体"/>
          <w:w w:val="95"/>
          <w:sz w:val="18"/>
        </w:rPr>
        <w:t>义</w:t>
      </w:r>
      <w:r>
        <w:rPr>
          <w:rFonts w:ascii="楷体" w:eastAsia="楷体"/>
          <w:w w:val="95"/>
          <w:sz w:val="18"/>
        </w:rPr>
        <w:t>所</w:t>
      </w:r>
      <w:r>
        <w:rPr>
          <w:rFonts w:ascii="楷体" w:eastAsia="楷体"/>
          <w:w w:val="95"/>
          <w:sz w:val="18"/>
        </w:rPr>
        <w:t>述</w:t>
      </w:r>
      <w:r>
        <w:rPr>
          <w:rFonts w:ascii="楷体" w:eastAsia="楷体"/>
          <w:w w:val="95"/>
          <w:sz w:val="18"/>
        </w:rPr>
        <w:t>条</w:t>
      </w:r>
      <w:r>
        <w:rPr>
          <w:rFonts w:ascii="楷体" w:eastAsia="楷体"/>
          <w:w w:val="95"/>
          <w:sz w:val="18"/>
        </w:rPr>
        <w:t>件</w:t>
      </w:r>
      <w:r>
        <w:rPr>
          <w:rFonts w:ascii="楷体" w:eastAsia="楷体"/>
          <w:w w:val="95"/>
          <w:sz w:val="18"/>
        </w:rPr>
        <w:t>的</w:t>
      </w:r>
      <w:r>
        <w:rPr>
          <w:rFonts w:ascii="楷体" w:eastAsia="楷体"/>
          <w:w w:val="95"/>
          <w:sz w:val="18"/>
        </w:rPr>
        <w:t>疾</w:t>
      </w:r>
      <w:r>
        <w:rPr>
          <w:rFonts w:ascii="楷体" w:eastAsia="楷体"/>
          <w:w w:val="95"/>
          <w:sz w:val="18"/>
        </w:rPr>
        <w:t>病</w:t>
      </w:r>
      <w:r>
        <w:rPr>
          <w:rFonts w:ascii="楷体" w:eastAsia="楷体"/>
          <w:spacing w:val="-10"/>
          <w:w w:val="95"/>
          <w:sz w:val="18"/>
        </w:rPr>
        <w:t>。</w:t>
      </w:r>
    </w:p>
    <w:p>
      <w:pPr>
        <w:spacing w:before="4"/>
        <w:ind w:left="160" w:right="0" w:firstLine="0"/>
        <w:jc w:val="left"/>
        <w:rPr>
          <w:rFonts w:ascii="楷体" w:eastAsia="楷体"/>
          <w:sz w:val="18"/>
        </w:rPr>
      </w:pPr>
      <w:r>
        <w:rPr>
          <w:b/>
          <w:w w:val="95"/>
          <w:position w:val="9"/>
          <w:sz w:val="9"/>
        </w:rPr>
        <w:t>7</w:t>
      </w:r>
      <w:r>
        <w:rPr>
          <w:rFonts w:ascii="楷体" w:eastAsia="楷体" w:hint="eastAsia"/>
          <w:b/>
          <w:w w:val="95"/>
          <w:sz w:val="18"/>
        </w:rPr>
        <w:t>意外：</w:t>
      </w:r>
      <w:r>
        <w:rPr>
          <w:rFonts w:ascii="楷体" w:eastAsia="楷体"/>
          <w:w w:val="95"/>
          <w:sz w:val="18"/>
        </w:rPr>
        <w:t>指</w:t>
      </w:r>
      <w:r>
        <w:rPr>
          <w:rFonts w:ascii="楷体" w:eastAsia="楷体"/>
          <w:w w:val="95"/>
          <w:sz w:val="18"/>
        </w:rPr>
        <w:t>外</w:t>
      </w:r>
      <w:r>
        <w:rPr>
          <w:rFonts w:ascii="楷体" w:eastAsia="楷体"/>
          <w:w w:val="95"/>
          <w:sz w:val="18"/>
        </w:rPr>
        <w:t>来</w:t>
      </w:r>
      <w:r>
        <w:rPr>
          <w:rFonts w:ascii="楷体" w:eastAsia="楷体"/>
          <w:w w:val="95"/>
          <w:sz w:val="18"/>
        </w:rPr>
        <w:t>的</w:t>
      </w:r>
      <w:r>
        <w:rPr>
          <w:rFonts w:ascii="楷体" w:eastAsia="楷体"/>
          <w:w w:val="95"/>
          <w:sz w:val="18"/>
        </w:rPr>
        <w:t>、</w:t>
      </w:r>
      <w:r>
        <w:rPr>
          <w:rFonts w:ascii="楷体" w:eastAsia="楷体"/>
          <w:w w:val="95"/>
          <w:sz w:val="18"/>
        </w:rPr>
        <w:t>突</w:t>
      </w:r>
      <w:r>
        <w:rPr>
          <w:rFonts w:ascii="楷体" w:eastAsia="楷体"/>
          <w:w w:val="95"/>
          <w:sz w:val="18"/>
        </w:rPr>
        <w:t>发</w:t>
      </w:r>
      <w:r>
        <w:rPr>
          <w:rFonts w:ascii="楷体" w:eastAsia="楷体"/>
          <w:w w:val="95"/>
          <w:sz w:val="18"/>
        </w:rPr>
        <w:t>的</w:t>
      </w:r>
      <w:r>
        <w:rPr>
          <w:rFonts w:ascii="楷体" w:eastAsia="楷体"/>
          <w:w w:val="95"/>
          <w:sz w:val="18"/>
        </w:rPr>
        <w:t>、</w:t>
      </w:r>
      <w:r>
        <w:rPr>
          <w:rFonts w:ascii="楷体" w:eastAsia="楷体"/>
          <w:w w:val="95"/>
          <w:sz w:val="18"/>
        </w:rPr>
        <w:t>非</w:t>
      </w:r>
      <w:r>
        <w:rPr>
          <w:rFonts w:ascii="楷体" w:eastAsia="楷体"/>
          <w:w w:val="95"/>
          <w:sz w:val="18"/>
        </w:rPr>
        <w:t>本</w:t>
      </w:r>
      <w:r>
        <w:rPr>
          <w:rFonts w:ascii="楷体" w:eastAsia="楷体"/>
          <w:w w:val="95"/>
          <w:sz w:val="18"/>
        </w:rPr>
        <w:t>意</w:t>
      </w:r>
      <w:r>
        <w:rPr>
          <w:rFonts w:ascii="楷体" w:eastAsia="楷体"/>
          <w:w w:val="95"/>
          <w:sz w:val="18"/>
        </w:rPr>
        <w:t>的</w:t>
      </w:r>
      <w:r>
        <w:rPr>
          <w:rFonts w:ascii="楷体" w:eastAsia="楷体"/>
          <w:w w:val="95"/>
          <w:sz w:val="18"/>
        </w:rPr>
        <w:t>、</w:t>
      </w:r>
      <w:r>
        <w:rPr>
          <w:rFonts w:ascii="楷体" w:eastAsia="楷体"/>
          <w:w w:val="95"/>
          <w:sz w:val="18"/>
        </w:rPr>
        <w:t>非</w:t>
      </w:r>
      <w:r>
        <w:rPr>
          <w:rFonts w:ascii="楷体" w:eastAsia="楷体"/>
          <w:w w:val="95"/>
          <w:sz w:val="18"/>
        </w:rPr>
        <w:t>疾</w:t>
      </w:r>
      <w:r>
        <w:rPr>
          <w:rFonts w:ascii="楷体" w:eastAsia="楷体"/>
          <w:w w:val="95"/>
          <w:sz w:val="18"/>
        </w:rPr>
        <w:t>病</w:t>
      </w:r>
      <w:r>
        <w:rPr>
          <w:rFonts w:ascii="楷体" w:eastAsia="楷体"/>
          <w:w w:val="95"/>
          <w:sz w:val="18"/>
        </w:rPr>
        <w:t>的</w:t>
      </w:r>
      <w:r>
        <w:rPr>
          <w:rFonts w:ascii="楷体" w:eastAsia="楷体"/>
          <w:w w:val="95"/>
          <w:sz w:val="18"/>
        </w:rPr>
        <w:t>使</w:t>
      </w:r>
      <w:r>
        <w:rPr>
          <w:rFonts w:ascii="楷体" w:eastAsia="楷体"/>
          <w:w w:val="95"/>
          <w:sz w:val="18"/>
        </w:rPr>
        <w:t>身</w:t>
      </w:r>
      <w:r>
        <w:rPr>
          <w:rFonts w:ascii="楷体" w:eastAsia="楷体"/>
          <w:w w:val="95"/>
          <w:sz w:val="18"/>
        </w:rPr>
        <w:t>体</w:t>
      </w:r>
      <w:r>
        <w:rPr>
          <w:rFonts w:ascii="楷体" w:eastAsia="楷体"/>
          <w:w w:val="95"/>
          <w:sz w:val="18"/>
        </w:rPr>
        <w:t>受</w:t>
      </w:r>
      <w:r>
        <w:rPr>
          <w:rFonts w:ascii="楷体" w:eastAsia="楷体"/>
          <w:w w:val="95"/>
          <w:sz w:val="18"/>
        </w:rPr>
        <w:t>到</w:t>
      </w:r>
      <w:r>
        <w:rPr>
          <w:rFonts w:ascii="楷体" w:eastAsia="楷体"/>
          <w:w w:val="95"/>
          <w:sz w:val="18"/>
        </w:rPr>
        <w:t>伤</w:t>
      </w:r>
      <w:r>
        <w:rPr>
          <w:rFonts w:ascii="楷体" w:eastAsia="楷体"/>
          <w:w w:val="95"/>
          <w:sz w:val="18"/>
        </w:rPr>
        <w:t>害</w:t>
      </w:r>
      <w:r>
        <w:rPr>
          <w:rFonts w:ascii="楷体" w:eastAsia="楷体"/>
          <w:w w:val="95"/>
          <w:sz w:val="18"/>
        </w:rPr>
        <w:t>的</w:t>
      </w:r>
      <w:r>
        <w:rPr>
          <w:rFonts w:ascii="楷体" w:eastAsia="楷体"/>
          <w:w w:val="95"/>
          <w:sz w:val="18"/>
        </w:rPr>
        <w:t>客</w:t>
      </w:r>
      <w:r>
        <w:rPr>
          <w:rFonts w:ascii="楷体" w:eastAsia="楷体"/>
          <w:w w:val="95"/>
          <w:sz w:val="18"/>
        </w:rPr>
        <w:t>观</w:t>
      </w:r>
      <w:r>
        <w:rPr>
          <w:rFonts w:ascii="楷体" w:eastAsia="楷体"/>
          <w:w w:val="95"/>
          <w:sz w:val="18"/>
        </w:rPr>
        <w:t>事</w:t>
      </w:r>
      <w:r>
        <w:rPr>
          <w:rFonts w:ascii="楷体" w:eastAsia="楷体"/>
          <w:w w:val="95"/>
          <w:sz w:val="18"/>
        </w:rPr>
        <w:t>件</w:t>
      </w:r>
      <w:r>
        <w:rPr>
          <w:rFonts w:ascii="楷体" w:eastAsia="楷体"/>
          <w:spacing w:val="-10"/>
          <w:w w:val="95"/>
          <w:sz w:val="18"/>
        </w:rPr>
        <w:t>。</w:t>
      </w:r>
    </w:p>
    <w:p>
      <w:pPr>
        <w:spacing w:before="3"/>
        <w:ind w:left="160" w:right="0" w:firstLine="0"/>
        <w:jc w:val="left"/>
        <w:rPr>
          <w:rFonts w:ascii="楷体" w:eastAsia="楷体"/>
          <w:sz w:val="18"/>
        </w:rPr>
      </w:pPr>
      <w:r>
        <w:rPr>
          <w:b/>
          <w:w w:val="95"/>
          <w:position w:val="9"/>
          <w:sz w:val="9"/>
        </w:rPr>
        <w:t>8</w:t>
      </w:r>
      <w:r>
        <w:rPr>
          <w:rFonts w:ascii="楷体" w:eastAsia="楷体" w:hint="eastAsia"/>
          <w:b/>
          <w:w w:val="95"/>
          <w:sz w:val="18"/>
        </w:rPr>
        <w:t>本</w:t>
      </w:r>
      <w:r>
        <w:rPr>
          <w:rFonts w:ascii="楷体" w:eastAsia="楷体" w:hint="eastAsia"/>
          <w:b/>
          <w:w w:val="95"/>
          <w:sz w:val="18"/>
        </w:rPr>
        <w:t>公</w:t>
      </w:r>
      <w:r>
        <w:rPr>
          <w:rFonts w:ascii="楷体" w:eastAsia="楷体" w:hint="eastAsia"/>
          <w:b/>
          <w:w w:val="95"/>
          <w:sz w:val="18"/>
        </w:rPr>
        <w:t>司</w:t>
      </w:r>
      <w:r>
        <w:rPr>
          <w:rFonts w:ascii="楷体" w:eastAsia="楷体" w:hint="eastAsia"/>
          <w:b/>
          <w:w w:val="95"/>
          <w:sz w:val="18"/>
        </w:rPr>
        <w:t>指</w:t>
      </w:r>
      <w:r>
        <w:rPr>
          <w:rFonts w:ascii="楷体" w:eastAsia="楷体" w:hint="eastAsia"/>
          <w:b/>
          <w:w w:val="95"/>
          <w:sz w:val="18"/>
        </w:rPr>
        <w:t>定</w:t>
      </w:r>
      <w:r>
        <w:rPr>
          <w:rFonts w:ascii="楷体" w:eastAsia="楷体" w:hint="eastAsia"/>
          <w:b/>
          <w:w w:val="95"/>
          <w:sz w:val="18"/>
        </w:rPr>
        <w:t>或</w:t>
      </w:r>
      <w:r>
        <w:rPr>
          <w:rFonts w:ascii="楷体" w:eastAsia="楷体" w:hint="eastAsia"/>
          <w:b/>
          <w:w w:val="95"/>
          <w:sz w:val="18"/>
        </w:rPr>
        <w:t>认</w:t>
      </w:r>
      <w:r>
        <w:rPr>
          <w:rFonts w:ascii="楷体" w:eastAsia="楷体" w:hint="eastAsia"/>
          <w:b/>
          <w:w w:val="95"/>
          <w:sz w:val="18"/>
        </w:rPr>
        <w:t>可</w:t>
      </w:r>
      <w:r>
        <w:rPr>
          <w:rFonts w:ascii="楷体" w:eastAsia="楷体" w:hint="eastAsia"/>
          <w:b/>
          <w:w w:val="95"/>
          <w:sz w:val="18"/>
        </w:rPr>
        <w:t>的</w:t>
      </w:r>
      <w:r>
        <w:rPr>
          <w:rFonts w:ascii="楷体" w:eastAsia="楷体" w:hint="eastAsia"/>
          <w:b/>
          <w:w w:val="95"/>
          <w:sz w:val="18"/>
        </w:rPr>
        <w:t>医</w:t>
      </w:r>
      <w:r>
        <w:rPr>
          <w:rFonts w:ascii="楷体" w:eastAsia="楷体" w:hint="eastAsia"/>
          <w:b/>
          <w:w w:val="95"/>
          <w:sz w:val="18"/>
        </w:rPr>
        <w:t>疗</w:t>
      </w:r>
      <w:r>
        <w:rPr>
          <w:rFonts w:ascii="楷体" w:eastAsia="楷体" w:hint="eastAsia"/>
          <w:b/>
          <w:w w:val="95"/>
          <w:sz w:val="18"/>
        </w:rPr>
        <w:t>机</w:t>
      </w:r>
      <w:r>
        <w:rPr>
          <w:rFonts w:ascii="楷体" w:eastAsia="楷体" w:hint="eastAsia"/>
          <w:b/>
          <w:w w:val="95"/>
          <w:sz w:val="18"/>
        </w:rPr>
        <w:t>构</w:t>
      </w:r>
      <w:r>
        <w:rPr>
          <w:rFonts w:ascii="楷体" w:eastAsia="楷体" w:hint="eastAsia"/>
          <w:b/>
          <w:w w:val="95"/>
          <w:sz w:val="18"/>
        </w:rPr>
        <w:t>：</w:t>
      </w:r>
      <w:r>
        <w:rPr>
          <w:rFonts w:ascii="楷体" w:eastAsia="楷体"/>
          <w:w w:val="95"/>
          <w:sz w:val="18"/>
        </w:rPr>
        <w:t>包</w:t>
      </w:r>
      <w:r>
        <w:rPr>
          <w:rFonts w:ascii="楷体" w:eastAsia="楷体"/>
          <w:w w:val="95"/>
          <w:sz w:val="18"/>
        </w:rPr>
        <w:t>括</w:t>
      </w:r>
      <w:r>
        <w:rPr>
          <w:rFonts w:ascii="楷体" w:eastAsia="楷体"/>
          <w:w w:val="95"/>
          <w:sz w:val="18"/>
        </w:rPr>
        <w:t>本公司</w:t>
      </w:r>
      <w:r>
        <w:rPr>
          <w:rFonts w:ascii="楷体" w:eastAsia="楷体"/>
          <w:w w:val="95"/>
          <w:sz w:val="18"/>
        </w:rPr>
        <w:t>指</w:t>
      </w:r>
      <w:r>
        <w:rPr>
          <w:rFonts w:ascii="楷体" w:eastAsia="楷体"/>
          <w:w w:val="95"/>
          <w:sz w:val="18"/>
        </w:rPr>
        <w:t>定</w:t>
      </w:r>
      <w:r>
        <w:rPr>
          <w:rFonts w:ascii="楷体" w:eastAsia="楷体"/>
          <w:w w:val="95"/>
          <w:sz w:val="18"/>
        </w:rPr>
        <w:t>医疗机构，</w:t>
      </w:r>
      <w:r>
        <w:rPr>
          <w:rFonts w:ascii="楷体" w:eastAsia="楷体"/>
          <w:w w:val="95"/>
          <w:sz w:val="18"/>
        </w:rPr>
        <w:t>以</w:t>
      </w:r>
      <w:r>
        <w:rPr>
          <w:rFonts w:ascii="楷体" w:eastAsia="楷体"/>
          <w:w w:val="95"/>
          <w:sz w:val="18"/>
        </w:rPr>
        <w:t>及</w:t>
      </w:r>
      <w:r>
        <w:rPr>
          <w:rFonts w:ascii="楷体" w:eastAsia="楷体"/>
          <w:w w:val="95"/>
          <w:sz w:val="18"/>
        </w:rPr>
        <w:t>符合下列所有条件的</w:t>
      </w:r>
      <w:r>
        <w:rPr>
          <w:rFonts w:ascii="楷体" w:eastAsia="楷体"/>
          <w:w w:val="95"/>
          <w:sz w:val="18"/>
        </w:rPr>
        <w:t>机</w:t>
      </w:r>
      <w:r>
        <w:rPr>
          <w:rFonts w:ascii="楷体" w:eastAsia="楷体"/>
          <w:w w:val="95"/>
          <w:sz w:val="18"/>
        </w:rPr>
        <w:t>构</w:t>
      </w:r>
      <w:r>
        <w:rPr>
          <w:rFonts w:ascii="楷体" w:eastAsia="楷体"/>
          <w:w w:val="95"/>
          <w:sz w:val="18"/>
        </w:rPr>
        <w:t>：（1）位于境内（</w:t>
      </w:r>
      <w:r>
        <w:rPr>
          <w:rFonts w:ascii="楷体" w:eastAsia="楷体"/>
          <w:spacing w:val="-2"/>
          <w:w w:val="95"/>
          <w:sz w:val="18"/>
        </w:rPr>
        <w:t>不包括港、澳、</w:t>
      </w:r>
    </w:p>
    <w:p>
      <w:pPr>
        <w:spacing w:line="242" w:lineRule="auto" w:before="2"/>
        <w:ind w:left="160" w:right="536" w:firstLine="0"/>
        <w:jc w:val="both"/>
        <w:rPr>
          <w:rFonts w:ascii="楷体" w:eastAsia="楷体"/>
          <w:sz w:val="18"/>
        </w:rPr>
      </w:pPr>
      <w:r>
        <w:rPr>
          <w:rFonts w:ascii="楷体" w:eastAsia="楷体"/>
          <w:sz w:val="18"/>
        </w:rPr>
        <w:t>台地区</w:t>
      </w:r>
      <w:r>
        <w:rPr>
          <w:rFonts w:ascii="楷体" w:eastAsia="楷体"/>
          <w:spacing w:val="-92"/>
          <w:sz w:val="18"/>
        </w:rPr>
        <w:t>）</w:t>
      </w:r>
      <w:r>
        <w:rPr>
          <w:rFonts w:ascii="楷体" w:eastAsia="楷体"/>
          <w:spacing w:val="-6"/>
          <w:sz w:val="18"/>
        </w:rPr>
        <w:t>，拥有合法经营执照，当地基本医疗保险管理机构最新公布的二级以上</w:t>
      </w:r>
      <w:r>
        <w:rPr>
          <w:rFonts w:ascii="楷体" w:eastAsia="楷体"/>
          <w:sz w:val="18"/>
        </w:rPr>
        <w:t>（含二级</w:t>
      </w:r>
      <w:r>
        <w:rPr>
          <w:rFonts w:ascii="楷体" w:eastAsia="楷体"/>
          <w:spacing w:val="-15"/>
          <w:sz w:val="18"/>
        </w:rPr>
        <w:t>）</w:t>
      </w:r>
      <w:r>
        <w:rPr>
          <w:rFonts w:ascii="楷体" w:eastAsia="楷体"/>
          <w:spacing w:val="-2"/>
          <w:sz w:val="18"/>
        </w:rPr>
        <w:t>的公立医院。</w:t>
      </w:r>
      <w:r>
        <w:rPr>
          <w:rFonts w:ascii="楷体" w:eastAsia="楷体"/>
          <w:color w:val="000000"/>
          <w:spacing w:val="-2"/>
          <w:sz w:val="18"/>
          <w:shd w:fill="E4E4E4" w:color="auto" w:val="clear"/>
        </w:rPr>
        <w:t>本合同仅限前述医院</w:t>
      </w:r>
      <w:r>
        <w:rPr>
          <w:rFonts w:ascii="楷体" w:eastAsia="楷体"/>
          <w:color w:val="000000"/>
          <w:sz w:val="18"/>
          <w:shd w:fill="E4E4E4" w:color="auto" w:val="clear"/>
        </w:rPr>
        <w:t>                                                                                                                                                                                                                      </w:t>
      </w:r>
      <w:r>
        <w:rPr>
          <w:rFonts w:ascii="楷体" w:eastAsia="楷体"/>
          <w:color w:val="000000"/>
          <w:spacing w:val="-5"/>
          <w:sz w:val="18"/>
          <w:shd w:fill="E4E4E4" w:color="auto" w:val="clear"/>
        </w:rPr>
        <w:t>普通部，不包括公立医院的特需部、</w:t>
      </w:r>
      <w:r>
        <w:rPr>
          <w:rFonts w:ascii="楷体" w:eastAsia="楷体"/>
          <w:color w:val="000000"/>
          <w:spacing w:val="1"/>
          <w:sz w:val="18"/>
          <w:shd w:fill="E4E4E4" w:color="auto" w:val="clear"/>
        </w:rPr>
        <w:t>VI</w:t>
      </w:r>
      <w:r>
        <w:rPr>
          <w:rFonts w:ascii="楷体" w:eastAsia="楷体"/>
          <w:color w:val="000000"/>
          <w:sz w:val="18"/>
          <w:shd w:fill="E4E4E4" w:color="auto" w:val="clear"/>
        </w:rPr>
        <w:t>P</w:t>
      </w:r>
      <w:r>
        <w:rPr>
          <w:rFonts w:ascii="楷体" w:eastAsia="楷体"/>
          <w:color w:val="000000"/>
          <w:spacing w:val="-10"/>
          <w:sz w:val="18"/>
          <w:shd w:fill="E4E4E4" w:color="auto" w:val="clear"/>
        </w:rPr>
        <w:t> 部及国际部、观察室、联合病房和康复病房</w:t>
      </w:r>
      <w:r>
        <w:rPr>
          <w:rFonts w:ascii="楷体" w:eastAsia="楷体"/>
          <w:color w:val="000000"/>
          <w:spacing w:val="-110"/>
          <w:sz w:val="18"/>
          <w:shd w:fill="E4E4E4" w:color="auto" w:val="clear"/>
        </w:rPr>
        <w:t>。</w:t>
      </w:r>
      <w:r>
        <w:rPr>
          <w:rFonts w:ascii="楷体" w:eastAsia="楷体"/>
          <w:color w:val="000000"/>
          <w:sz w:val="18"/>
        </w:rPr>
        <w:t>（</w:t>
      </w:r>
      <w:r>
        <w:rPr>
          <w:rFonts w:ascii="楷体" w:eastAsia="楷体"/>
          <w:color w:val="000000"/>
          <w:spacing w:val="1"/>
          <w:sz w:val="18"/>
        </w:rPr>
        <w:t>2</w:t>
      </w:r>
      <w:r>
        <w:rPr>
          <w:rFonts w:ascii="楷体" w:eastAsia="楷体"/>
          <w:color w:val="000000"/>
          <w:spacing w:val="-17"/>
          <w:sz w:val="18"/>
        </w:rPr>
        <w:t>）</w:t>
      </w:r>
      <w:r>
        <w:rPr>
          <w:rFonts w:ascii="楷体" w:eastAsia="楷体"/>
          <w:color w:val="000000"/>
          <w:sz w:val="18"/>
        </w:rPr>
        <w:t>设立的主要目的为向受伤者和患病</w:t>
      </w:r>
      <w:r>
        <w:rPr>
          <w:rFonts w:ascii="楷体" w:eastAsia="楷体"/>
          <w:color w:val="000000"/>
          <w:spacing w:val="-7"/>
          <w:sz w:val="18"/>
        </w:rPr>
        <w:t>者提供留院治疗和护理服务；</w:t>
      </w:r>
      <w:r>
        <w:rPr>
          <w:rFonts w:ascii="楷体" w:eastAsia="楷体"/>
          <w:color w:val="000000"/>
          <w:spacing w:val="2"/>
          <w:sz w:val="18"/>
        </w:rPr>
        <w:t>（</w:t>
      </w:r>
      <w:r>
        <w:rPr>
          <w:rFonts w:ascii="楷体" w:eastAsia="楷体"/>
          <w:color w:val="000000"/>
          <w:spacing w:val="1"/>
          <w:sz w:val="18"/>
        </w:rPr>
        <w:t>3</w:t>
      </w:r>
      <w:r>
        <w:rPr>
          <w:rFonts w:ascii="楷体" w:eastAsia="楷体"/>
          <w:color w:val="000000"/>
          <w:sz w:val="18"/>
        </w:rPr>
        <w:t>）</w:t>
      </w:r>
      <w:r>
        <w:rPr>
          <w:rFonts w:ascii="楷体" w:eastAsia="楷体"/>
          <w:color w:val="000000"/>
          <w:spacing w:val="-4"/>
          <w:sz w:val="18"/>
        </w:rPr>
        <w:t>有合格的医生和护士提供全日二十四小时的医疗和护理服务；</w:t>
      </w:r>
      <w:r>
        <w:rPr>
          <w:rFonts w:ascii="楷体" w:eastAsia="楷体"/>
          <w:color w:val="000000"/>
          <w:spacing w:val="2"/>
          <w:sz w:val="18"/>
        </w:rPr>
        <w:t>（</w:t>
      </w:r>
      <w:r>
        <w:rPr>
          <w:rFonts w:ascii="楷体" w:eastAsia="楷体"/>
          <w:color w:val="000000"/>
          <w:spacing w:val="1"/>
          <w:sz w:val="18"/>
        </w:rPr>
        <w:t>4</w:t>
      </w:r>
      <w:r>
        <w:rPr>
          <w:rFonts w:ascii="楷体" w:eastAsia="楷体"/>
          <w:color w:val="000000"/>
          <w:sz w:val="18"/>
        </w:rPr>
        <w:t>）非主要作为康复医院、诊所、护理、疗养、戒酒、戒毒或类似的医疗机构。</w:t>
      </w:r>
    </w:p>
    <w:p>
      <w:pPr>
        <w:spacing w:before="2"/>
        <w:ind w:left="160" w:right="0" w:firstLine="0"/>
        <w:jc w:val="left"/>
        <w:rPr>
          <w:rFonts w:ascii="楷体" w:eastAsia="楷体"/>
          <w:sz w:val="18"/>
        </w:rPr>
      </w:pPr>
      <w:r>
        <w:rPr>
          <w:b/>
          <w:w w:val="95"/>
          <w:position w:val="9"/>
          <w:sz w:val="9"/>
        </w:rPr>
        <w:t>9</w:t>
      </w:r>
      <w:r>
        <w:rPr>
          <w:rFonts w:ascii="楷体" w:eastAsia="楷体" w:hint="eastAsia"/>
          <w:b/>
          <w:w w:val="95"/>
          <w:sz w:val="18"/>
        </w:rPr>
        <w:t>专</w:t>
      </w:r>
      <w:r>
        <w:rPr>
          <w:rFonts w:ascii="楷体" w:eastAsia="楷体" w:hint="eastAsia"/>
          <w:b/>
          <w:w w:val="95"/>
          <w:sz w:val="18"/>
        </w:rPr>
        <w:t>科</w:t>
      </w:r>
      <w:r>
        <w:rPr>
          <w:rFonts w:ascii="楷体" w:eastAsia="楷体" w:hint="eastAsia"/>
          <w:b/>
          <w:w w:val="95"/>
          <w:sz w:val="18"/>
        </w:rPr>
        <w:t>医</w:t>
      </w:r>
      <w:r>
        <w:rPr>
          <w:rFonts w:ascii="楷体" w:eastAsia="楷体" w:hint="eastAsia"/>
          <w:b/>
          <w:w w:val="95"/>
          <w:sz w:val="18"/>
        </w:rPr>
        <w:t>生：</w:t>
      </w:r>
      <w:r>
        <w:rPr>
          <w:rFonts w:ascii="楷体" w:eastAsia="楷体"/>
          <w:w w:val="95"/>
          <w:sz w:val="18"/>
        </w:rPr>
        <w:t>专</w:t>
      </w:r>
      <w:r>
        <w:rPr>
          <w:rFonts w:ascii="楷体" w:eastAsia="楷体"/>
          <w:w w:val="95"/>
          <w:sz w:val="18"/>
        </w:rPr>
        <w:t>科</w:t>
      </w:r>
      <w:r>
        <w:rPr>
          <w:rFonts w:ascii="楷体" w:eastAsia="楷体"/>
          <w:w w:val="95"/>
          <w:sz w:val="18"/>
        </w:rPr>
        <w:t>医</w:t>
      </w:r>
      <w:r>
        <w:rPr>
          <w:rFonts w:ascii="楷体" w:eastAsia="楷体"/>
          <w:w w:val="95"/>
          <w:sz w:val="18"/>
        </w:rPr>
        <w:t>生</w:t>
      </w:r>
      <w:r>
        <w:rPr>
          <w:rFonts w:ascii="楷体" w:eastAsia="楷体"/>
          <w:w w:val="95"/>
          <w:sz w:val="18"/>
        </w:rPr>
        <w:t>应</w:t>
      </w:r>
      <w:r>
        <w:rPr>
          <w:rFonts w:ascii="楷体" w:eastAsia="楷体"/>
          <w:w w:val="95"/>
          <w:sz w:val="18"/>
        </w:rPr>
        <w:t>当</w:t>
      </w:r>
      <w:r>
        <w:rPr>
          <w:rFonts w:ascii="楷体" w:eastAsia="楷体"/>
          <w:w w:val="95"/>
          <w:sz w:val="18"/>
        </w:rPr>
        <w:t>同</w:t>
      </w:r>
      <w:r>
        <w:rPr>
          <w:rFonts w:ascii="楷体" w:eastAsia="楷体"/>
          <w:w w:val="95"/>
          <w:sz w:val="18"/>
        </w:rPr>
        <w:t>时</w:t>
      </w:r>
      <w:r>
        <w:rPr>
          <w:rFonts w:ascii="楷体" w:eastAsia="楷体"/>
          <w:w w:val="95"/>
          <w:sz w:val="18"/>
        </w:rPr>
        <w:t>满</w:t>
      </w:r>
      <w:r>
        <w:rPr>
          <w:rFonts w:ascii="楷体" w:eastAsia="楷体"/>
          <w:w w:val="95"/>
          <w:sz w:val="18"/>
        </w:rPr>
        <w:t>足</w:t>
      </w:r>
      <w:r>
        <w:rPr>
          <w:rFonts w:ascii="楷体" w:eastAsia="楷体"/>
          <w:w w:val="95"/>
          <w:sz w:val="18"/>
        </w:rPr>
        <w:t>以</w:t>
      </w:r>
      <w:r>
        <w:rPr>
          <w:rFonts w:ascii="楷体" w:eastAsia="楷体"/>
          <w:w w:val="95"/>
          <w:sz w:val="18"/>
        </w:rPr>
        <w:t>下</w:t>
      </w:r>
      <w:r>
        <w:rPr>
          <w:rFonts w:ascii="楷体" w:eastAsia="楷体"/>
          <w:w w:val="95"/>
          <w:sz w:val="18"/>
        </w:rPr>
        <w:t>四</w:t>
      </w:r>
      <w:r>
        <w:rPr>
          <w:rFonts w:ascii="楷体" w:eastAsia="楷体"/>
          <w:w w:val="95"/>
          <w:sz w:val="18"/>
        </w:rPr>
        <w:t>项</w:t>
      </w:r>
      <w:r>
        <w:rPr>
          <w:rFonts w:ascii="楷体" w:eastAsia="楷体"/>
          <w:w w:val="95"/>
          <w:sz w:val="18"/>
        </w:rPr>
        <w:t>资</w:t>
      </w:r>
      <w:r>
        <w:rPr>
          <w:rFonts w:ascii="楷体" w:eastAsia="楷体"/>
          <w:w w:val="95"/>
          <w:sz w:val="18"/>
        </w:rPr>
        <w:t>格</w:t>
      </w:r>
      <w:r>
        <w:rPr>
          <w:rFonts w:ascii="楷体" w:eastAsia="楷体"/>
          <w:w w:val="95"/>
          <w:sz w:val="18"/>
        </w:rPr>
        <w:t>条</w:t>
      </w:r>
      <w:r>
        <w:rPr>
          <w:rFonts w:ascii="楷体" w:eastAsia="楷体"/>
          <w:w w:val="95"/>
          <w:sz w:val="18"/>
        </w:rPr>
        <w:t>件</w:t>
      </w:r>
      <w:r>
        <w:rPr>
          <w:rFonts w:ascii="楷体" w:eastAsia="楷体"/>
          <w:spacing w:val="-79"/>
          <w:w w:val="95"/>
          <w:sz w:val="18"/>
        </w:rPr>
        <w:t>：</w:t>
      </w:r>
      <w:r>
        <w:rPr>
          <w:rFonts w:ascii="楷体" w:eastAsia="楷体"/>
          <w:spacing w:val="32"/>
          <w:w w:val="95"/>
          <w:sz w:val="18"/>
        </w:rPr>
        <w:t>（</w:t>
      </w:r>
      <w:r>
        <w:rPr>
          <w:rFonts w:ascii="楷体" w:eastAsia="楷体"/>
          <w:spacing w:val="33"/>
          <w:w w:val="95"/>
          <w:sz w:val="18"/>
        </w:rPr>
        <w:t>1</w:t>
      </w:r>
      <w:r>
        <w:rPr>
          <w:rFonts w:ascii="楷体" w:eastAsia="楷体"/>
          <w:spacing w:val="12"/>
          <w:w w:val="95"/>
          <w:sz w:val="18"/>
        </w:rPr>
        <w:t>）</w:t>
      </w:r>
      <w:r>
        <w:rPr>
          <w:rFonts w:ascii="楷体" w:eastAsia="楷体"/>
          <w:w w:val="95"/>
          <w:sz w:val="18"/>
        </w:rPr>
        <w:t>具</w:t>
      </w:r>
      <w:r>
        <w:rPr>
          <w:rFonts w:ascii="楷体" w:eastAsia="楷体"/>
          <w:w w:val="95"/>
          <w:sz w:val="18"/>
        </w:rPr>
        <w:t>有</w:t>
      </w:r>
      <w:r>
        <w:rPr>
          <w:rFonts w:ascii="楷体" w:eastAsia="楷体"/>
          <w:w w:val="95"/>
          <w:sz w:val="18"/>
        </w:rPr>
        <w:t>有</w:t>
      </w:r>
      <w:r>
        <w:rPr>
          <w:rFonts w:ascii="楷体" w:eastAsia="楷体"/>
          <w:w w:val="95"/>
          <w:sz w:val="18"/>
        </w:rPr>
        <w:t>效</w:t>
      </w:r>
      <w:r>
        <w:rPr>
          <w:rFonts w:ascii="楷体" w:eastAsia="楷体"/>
          <w:w w:val="95"/>
          <w:sz w:val="18"/>
        </w:rPr>
        <w:t>的</w:t>
      </w:r>
      <w:r>
        <w:rPr>
          <w:rFonts w:ascii="楷体" w:eastAsia="楷体"/>
          <w:w w:val="95"/>
          <w:sz w:val="18"/>
        </w:rPr>
        <w:t>中</w:t>
      </w:r>
      <w:r>
        <w:rPr>
          <w:rFonts w:ascii="楷体" w:eastAsia="楷体"/>
          <w:w w:val="95"/>
          <w:sz w:val="18"/>
        </w:rPr>
        <w:t>华</w:t>
      </w:r>
      <w:r>
        <w:rPr>
          <w:rFonts w:ascii="楷体" w:eastAsia="楷体"/>
          <w:w w:val="95"/>
          <w:sz w:val="18"/>
        </w:rPr>
        <w:t>人</w:t>
      </w:r>
      <w:r>
        <w:rPr>
          <w:rFonts w:ascii="楷体" w:eastAsia="楷体"/>
          <w:w w:val="95"/>
          <w:sz w:val="18"/>
        </w:rPr>
        <w:t>民</w:t>
      </w:r>
      <w:r>
        <w:rPr>
          <w:rFonts w:ascii="楷体" w:eastAsia="楷体"/>
          <w:w w:val="95"/>
          <w:sz w:val="18"/>
        </w:rPr>
        <w:t>共</w:t>
      </w:r>
      <w:r>
        <w:rPr>
          <w:rFonts w:ascii="楷体" w:eastAsia="楷体"/>
          <w:w w:val="95"/>
          <w:sz w:val="18"/>
        </w:rPr>
        <w:t>和</w:t>
      </w:r>
      <w:r>
        <w:rPr>
          <w:rFonts w:ascii="楷体" w:eastAsia="楷体"/>
          <w:w w:val="95"/>
          <w:sz w:val="18"/>
        </w:rPr>
        <w:t>国</w:t>
      </w:r>
      <w:r>
        <w:rPr>
          <w:rFonts w:ascii="楷体" w:eastAsia="楷体"/>
          <w:w w:val="95"/>
          <w:sz w:val="18"/>
        </w:rPr>
        <w:t>《</w:t>
      </w:r>
      <w:r>
        <w:rPr>
          <w:rFonts w:ascii="楷体" w:eastAsia="楷体"/>
          <w:w w:val="95"/>
          <w:sz w:val="18"/>
        </w:rPr>
        <w:t>医</w:t>
      </w:r>
      <w:r>
        <w:rPr>
          <w:rFonts w:ascii="楷体" w:eastAsia="楷体"/>
          <w:w w:val="95"/>
          <w:sz w:val="18"/>
        </w:rPr>
        <w:t>师</w:t>
      </w:r>
      <w:r>
        <w:rPr>
          <w:rFonts w:ascii="楷体" w:eastAsia="楷体"/>
          <w:w w:val="95"/>
          <w:sz w:val="18"/>
        </w:rPr>
        <w:t>资</w:t>
      </w:r>
      <w:r>
        <w:rPr>
          <w:rFonts w:ascii="楷体" w:eastAsia="楷体"/>
          <w:w w:val="95"/>
          <w:sz w:val="18"/>
        </w:rPr>
        <w:t>格</w:t>
      </w:r>
      <w:r>
        <w:rPr>
          <w:rFonts w:ascii="楷体" w:eastAsia="楷体"/>
          <w:w w:val="95"/>
          <w:sz w:val="18"/>
        </w:rPr>
        <w:t>证</w:t>
      </w:r>
      <w:r>
        <w:rPr>
          <w:rFonts w:ascii="楷体" w:eastAsia="楷体"/>
          <w:w w:val="95"/>
          <w:sz w:val="18"/>
        </w:rPr>
        <w:t>书</w:t>
      </w:r>
      <w:r>
        <w:rPr>
          <w:rFonts w:ascii="楷体" w:eastAsia="楷体"/>
          <w:spacing w:val="-86"/>
          <w:w w:val="95"/>
          <w:sz w:val="18"/>
        </w:rPr>
        <w:t>》；</w:t>
      </w:r>
      <w:r>
        <w:rPr>
          <w:rFonts w:ascii="楷体" w:eastAsia="楷体"/>
          <w:spacing w:val="33"/>
          <w:w w:val="95"/>
          <w:sz w:val="18"/>
        </w:rPr>
        <w:t>（2</w:t>
      </w:r>
      <w:r>
        <w:rPr>
          <w:rFonts w:ascii="楷体" w:eastAsia="楷体"/>
          <w:spacing w:val="12"/>
          <w:w w:val="95"/>
          <w:sz w:val="18"/>
        </w:rPr>
        <w:t>）</w:t>
      </w:r>
      <w:r>
        <w:rPr>
          <w:rFonts w:ascii="楷体" w:eastAsia="楷体"/>
          <w:w w:val="95"/>
          <w:sz w:val="18"/>
        </w:rPr>
        <w:t>具</w:t>
      </w:r>
      <w:r>
        <w:rPr>
          <w:rFonts w:ascii="楷体" w:eastAsia="楷体"/>
          <w:w w:val="95"/>
          <w:sz w:val="18"/>
        </w:rPr>
        <w:t>有</w:t>
      </w:r>
      <w:r>
        <w:rPr>
          <w:rFonts w:ascii="楷体" w:eastAsia="楷体"/>
          <w:w w:val="95"/>
          <w:sz w:val="18"/>
        </w:rPr>
        <w:t>有</w:t>
      </w:r>
      <w:r>
        <w:rPr>
          <w:rFonts w:ascii="楷体" w:eastAsia="楷体"/>
          <w:w w:val="95"/>
          <w:sz w:val="18"/>
        </w:rPr>
        <w:t>效</w:t>
      </w:r>
      <w:r>
        <w:rPr>
          <w:rFonts w:ascii="楷体" w:eastAsia="楷体"/>
          <w:w w:val="95"/>
          <w:sz w:val="18"/>
        </w:rPr>
        <w:t>的</w:t>
      </w:r>
      <w:r>
        <w:rPr>
          <w:rFonts w:ascii="楷体" w:eastAsia="楷体"/>
          <w:spacing w:val="-10"/>
          <w:w w:val="95"/>
          <w:sz w:val="18"/>
        </w:rPr>
        <w:t>中</w:t>
      </w:r>
    </w:p>
    <w:p>
      <w:pPr>
        <w:spacing w:line="242" w:lineRule="auto" w:before="5"/>
        <w:ind w:left="160" w:right="536" w:firstLine="0"/>
        <w:jc w:val="left"/>
        <w:rPr>
          <w:rFonts w:ascii="楷体" w:eastAsia="楷体"/>
          <w:sz w:val="18"/>
        </w:rPr>
      </w:pPr>
      <w:r>
        <w:rPr>
          <w:rFonts w:ascii="楷体" w:eastAsia="楷体"/>
          <w:spacing w:val="-14"/>
          <w:sz w:val="18"/>
        </w:rPr>
        <w:t>华人民共和国《医师执业证书》，并按期到相关部门登记注册；</w:t>
      </w:r>
      <w:r>
        <w:rPr>
          <w:rFonts w:ascii="楷体" w:eastAsia="楷体"/>
          <w:spacing w:val="26"/>
          <w:sz w:val="18"/>
        </w:rPr>
        <w:t>（</w:t>
      </w:r>
      <w:r>
        <w:rPr>
          <w:rFonts w:ascii="楷体" w:eastAsia="楷体"/>
          <w:spacing w:val="27"/>
          <w:sz w:val="18"/>
        </w:rPr>
        <w:t>3</w:t>
      </w:r>
      <w:r>
        <w:rPr>
          <w:rFonts w:ascii="楷体" w:eastAsia="楷体"/>
          <w:spacing w:val="9"/>
          <w:sz w:val="18"/>
        </w:rPr>
        <w:t>）</w:t>
      </w:r>
      <w:r>
        <w:rPr>
          <w:rFonts w:ascii="楷体" w:eastAsia="楷体"/>
          <w:spacing w:val="-4"/>
          <w:sz w:val="18"/>
        </w:rPr>
        <w:t>具有有效的中华人民共和国主治医师或主治医师以上职称</w:t>
      </w:r>
      <w:r>
        <w:rPr>
          <w:rFonts w:ascii="楷体" w:eastAsia="楷体"/>
          <w:spacing w:val="-11"/>
          <w:sz w:val="18"/>
        </w:rPr>
        <w:t>的《医师职称证书》；</w:t>
      </w:r>
      <w:r>
        <w:rPr>
          <w:rFonts w:ascii="楷体" w:eastAsia="楷体"/>
          <w:spacing w:val="-2"/>
          <w:sz w:val="18"/>
        </w:rPr>
        <w:t>（4）在国家《医院分级管理标准》二级或二级以上医院的相应科室从事临床工作三年以上。</w:t>
      </w:r>
    </w:p>
    <w:p>
      <w:pPr>
        <w:spacing w:line="230" w:lineRule="exact" w:before="0"/>
        <w:ind w:left="160" w:right="0" w:firstLine="0"/>
        <w:jc w:val="left"/>
        <w:rPr>
          <w:rFonts w:ascii="楷体" w:eastAsia="楷体"/>
          <w:sz w:val="18"/>
        </w:rPr>
      </w:pPr>
      <w:r>
        <w:rPr>
          <w:b/>
          <w:w w:val="95"/>
          <w:position w:val="9"/>
          <w:sz w:val="9"/>
        </w:rPr>
        <w:t>10</w:t>
      </w:r>
      <w:r>
        <w:rPr>
          <w:rFonts w:ascii="楷体" w:eastAsia="楷体" w:hint="eastAsia"/>
          <w:b/>
          <w:w w:val="95"/>
          <w:sz w:val="18"/>
        </w:rPr>
        <w:t>确</w:t>
      </w:r>
      <w:r>
        <w:rPr>
          <w:rFonts w:ascii="楷体" w:eastAsia="楷体" w:hint="eastAsia"/>
          <w:b/>
          <w:w w:val="95"/>
          <w:sz w:val="18"/>
        </w:rPr>
        <w:t>诊</w:t>
      </w:r>
      <w:r>
        <w:rPr>
          <w:rFonts w:ascii="楷体" w:eastAsia="楷体" w:hint="eastAsia"/>
          <w:b/>
          <w:w w:val="95"/>
          <w:sz w:val="18"/>
        </w:rPr>
        <w:t>初</w:t>
      </w:r>
      <w:r>
        <w:rPr>
          <w:rFonts w:ascii="楷体" w:eastAsia="楷体" w:hint="eastAsia"/>
          <w:b/>
          <w:w w:val="95"/>
          <w:sz w:val="18"/>
        </w:rPr>
        <w:t>次</w:t>
      </w:r>
      <w:r>
        <w:rPr>
          <w:rFonts w:ascii="楷体" w:eastAsia="楷体" w:hint="eastAsia"/>
          <w:b/>
          <w:w w:val="95"/>
          <w:sz w:val="18"/>
        </w:rPr>
        <w:t>发生：</w:t>
      </w:r>
      <w:r>
        <w:rPr>
          <w:rFonts w:ascii="楷体" w:eastAsia="楷体"/>
          <w:w w:val="95"/>
          <w:sz w:val="18"/>
        </w:rPr>
        <w:t>指</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自</w:t>
      </w:r>
      <w:r>
        <w:rPr>
          <w:rFonts w:ascii="楷体" w:eastAsia="楷体"/>
          <w:w w:val="95"/>
          <w:sz w:val="18"/>
        </w:rPr>
        <w:t>出</w:t>
      </w:r>
      <w:r>
        <w:rPr>
          <w:rFonts w:ascii="楷体" w:eastAsia="楷体"/>
          <w:w w:val="95"/>
          <w:sz w:val="18"/>
        </w:rPr>
        <w:t>生</w:t>
      </w:r>
      <w:r>
        <w:rPr>
          <w:rFonts w:ascii="楷体" w:eastAsia="楷体"/>
          <w:w w:val="95"/>
          <w:sz w:val="18"/>
        </w:rPr>
        <w:t>之</w:t>
      </w:r>
      <w:r>
        <w:rPr>
          <w:rFonts w:ascii="楷体" w:eastAsia="楷体"/>
          <w:w w:val="95"/>
          <w:sz w:val="18"/>
        </w:rPr>
        <w:t>日</w:t>
      </w:r>
      <w:r>
        <w:rPr>
          <w:rFonts w:ascii="楷体" w:eastAsia="楷体"/>
          <w:w w:val="95"/>
          <w:sz w:val="18"/>
        </w:rPr>
        <w:t>起</w:t>
      </w:r>
      <w:r>
        <w:rPr>
          <w:rFonts w:ascii="楷体" w:eastAsia="楷体"/>
          <w:w w:val="95"/>
          <w:sz w:val="18"/>
        </w:rPr>
        <w:t>第</w:t>
      </w:r>
      <w:r>
        <w:rPr>
          <w:rFonts w:ascii="楷体" w:eastAsia="楷体"/>
          <w:w w:val="95"/>
          <w:sz w:val="18"/>
        </w:rPr>
        <w:t>一</w:t>
      </w:r>
      <w:r>
        <w:rPr>
          <w:rFonts w:ascii="楷体" w:eastAsia="楷体"/>
          <w:w w:val="95"/>
          <w:sz w:val="18"/>
        </w:rPr>
        <w:t>次</w:t>
      </w:r>
      <w:r>
        <w:rPr>
          <w:rFonts w:ascii="楷体" w:eastAsia="楷体"/>
          <w:w w:val="95"/>
          <w:sz w:val="18"/>
        </w:rPr>
        <w:t>经</w:t>
      </w:r>
      <w:r>
        <w:rPr>
          <w:rFonts w:ascii="楷体" w:eastAsia="楷体"/>
          <w:w w:val="95"/>
          <w:sz w:val="18"/>
        </w:rPr>
        <w:t>医</w:t>
      </w:r>
      <w:r>
        <w:rPr>
          <w:rFonts w:ascii="楷体" w:eastAsia="楷体"/>
          <w:w w:val="95"/>
          <w:sz w:val="18"/>
        </w:rPr>
        <w:t>院</w:t>
      </w:r>
      <w:r>
        <w:rPr>
          <w:rFonts w:ascii="楷体" w:eastAsia="楷体"/>
          <w:w w:val="95"/>
          <w:sz w:val="18"/>
        </w:rPr>
        <w:t>确</w:t>
      </w:r>
      <w:r>
        <w:rPr>
          <w:rFonts w:ascii="楷体" w:eastAsia="楷体"/>
          <w:w w:val="95"/>
          <w:sz w:val="18"/>
        </w:rPr>
        <w:t>诊</w:t>
      </w:r>
      <w:r>
        <w:rPr>
          <w:rFonts w:ascii="楷体" w:eastAsia="楷体"/>
          <w:w w:val="95"/>
          <w:sz w:val="18"/>
        </w:rPr>
        <w:t>患</w:t>
      </w:r>
      <w:r>
        <w:rPr>
          <w:rFonts w:ascii="楷体" w:eastAsia="楷体"/>
          <w:w w:val="95"/>
          <w:sz w:val="18"/>
        </w:rPr>
        <w:t>有</w:t>
      </w:r>
      <w:r>
        <w:rPr>
          <w:rFonts w:ascii="楷体" w:eastAsia="楷体"/>
          <w:w w:val="95"/>
          <w:sz w:val="18"/>
        </w:rPr>
        <w:t>某</w:t>
      </w:r>
      <w:r>
        <w:rPr>
          <w:rFonts w:ascii="楷体" w:eastAsia="楷体"/>
          <w:w w:val="95"/>
          <w:sz w:val="18"/>
        </w:rPr>
        <w:t>种</w:t>
      </w:r>
      <w:r>
        <w:rPr>
          <w:rFonts w:ascii="楷体" w:eastAsia="楷体"/>
          <w:w w:val="95"/>
          <w:sz w:val="18"/>
        </w:rPr>
        <w:t>疾</w:t>
      </w:r>
      <w:r>
        <w:rPr>
          <w:rFonts w:ascii="楷体" w:eastAsia="楷体"/>
          <w:w w:val="95"/>
          <w:sz w:val="18"/>
        </w:rPr>
        <w:t>病</w:t>
      </w:r>
      <w:r>
        <w:rPr>
          <w:rFonts w:ascii="楷体" w:eastAsia="楷体"/>
          <w:w w:val="95"/>
          <w:sz w:val="18"/>
        </w:rPr>
        <w:t>，</w:t>
      </w:r>
      <w:r>
        <w:rPr>
          <w:rFonts w:ascii="楷体" w:eastAsia="楷体"/>
          <w:color w:val="000000"/>
          <w:w w:val="95"/>
          <w:sz w:val="18"/>
          <w:shd w:fill="E4E4E4" w:color="auto" w:val="clear"/>
        </w:rPr>
        <w:t>而</w:t>
      </w:r>
      <w:r>
        <w:rPr>
          <w:rFonts w:ascii="楷体" w:eastAsia="楷体"/>
          <w:color w:val="000000"/>
          <w:w w:val="95"/>
          <w:sz w:val="18"/>
          <w:shd w:fill="E4E4E4" w:color="auto" w:val="clear"/>
        </w:rPr>
        <w:t>不</w:t>
      </w:r>
      <w:r>
        <w:rPr>
          <w:rFonts w:ascii="楷体" w:eastAsia="楷体"/>
          <w:color w:val="000000"/>
          <w:w w:val="95"/>
          <w:sz w:val="18"/>
          <w:shd w:fill="E4E4E4" w:color="auto" w:val="clear"/>
        </w:rPr>
        <w:t>是</w:t>
      </w:r>
      <w:r>
        <w:rPr>
          <w:rFonts w:ascii="楷体" w:eastAsia="楷体"/>
          <w:color w:val="000000"/>
          <w:w w:val="95"/>
          <w:sz w:val="18"/>
          <w:shd w:fill="E4E4E4" w:color="auto" w:val="clear"/>
        </w:rPr>
        <w:t>指</w:t>
      </w:r>
      <w:r>
        <w:rPr>
          <w:rFonts w:ascii="楷体" w:eastAsia="楷体"/>
          <w:color w:val="000000"/>
          <w:w w:val="95"/>
          <w:sz w:val="18"/>
          <w:shd w:fill="E4E4E4" w:color="auto" w:val="clear"/>
        </w:rPr>
        <w:t>自</w:t>
      </w:r>
      <w:r>
        <w:rPr>
          <w:rFonts w:ascii="楷体" w:eastAsia="楷体"/>
          <w:color w:val="000000"/>
          <w:w w:val="95"/>
          <w:sz w:val="18"/>
          <w:shd w:fill="E4E4E4" w:color="auto" w:val="clear"/>
        </w:rPr>
        <w:t>本</w:t>
      </w:r>
      <w:r>
        <w:rPr>
          <w:rFonts w:ascii="楷体" w:eastAsia="楷体"/>
          <w:color w:val="000000"/>
          <w:w w:val="95"/>
          <w:sz w:val="18"/>
          <w:shd w:fill="E4E4E4" w:color="auto" w:val="clear"/>
        </w:rPr>
        <w:t>合</w:t>
      </w:r>
      <w:r>
        <w:rPr>
          <w:rFonts w:ascii="楷体" w:eastAsia="楷体"/>
          <w:color w:val="000000"/>
          <w:w w:val="95"/>
          <w:sz w:val="18"/>
          <w:shd w:fill="E4E4E4" w:color="auto" w:val="clear"/>
        </w:rPr>
        <w:t>同</w:t>
      </w:r>
      <w:r>
        <w:rPr>
          <w:rFonts w:ascii="楷体" w:eastAsia="楷体"/>
          <w:color w:val="000000"/>
          <w:w w:val="95"/>
          <w:sz w:val="18"/>
          <w:shd w:fill="E4E4E4" w:color="auto" w:val="clear"/>
        </w:rPr>
        <w:t>生</w:t>
      </w:r>
      <w:r>
        <w:rPr>
          <w:rFonts w:ascii="楷体" w:eastAsia="楷体"/>
          <w:color w:val="000000"/>
          <w:w w:val="95"/>
          <w:sz w:val="18"/>
          <w:shd w:fill="E4E4E4" w:color="auto" w:val="clear"/>
        </w:rPr>
        <w:t>效</w:t>
      </w:r>
      <w:r>
        <w:rPr>
          <w:rFonts w:ascii="楷体" w:eastAsia="楷体"/>
          <w:color w:val="000000"/>
          <w:w w:val="95"/>
          <w:sz w:val="18"/>
          <w:shd w:fill="E4E4E4" w:color="auto" w:val="clear"/>
        </w:rPr>
        <w:t>、</w:t>
      </w:r>
      <w:r>
        <w:rPr>
          <w:rFonts w:ascii="楷体" w:eastAsia="楷体"/>
          <w:color w:val="000000"/>
          <w:w w:val="95"/>
          <w:sz w:val="18"/>
          <w:shd w:fill="E4E4E4" w:color="auto" w:val="clear"/>
        </w:rPr>
        <w:t>复</w:t>
      </w:r>
      <w:r>
        <w:rPr>
          <w:rFonts w:ascii="楷体" w:eastAsia="楷体"/>
          <w:color w:val="000000"/>
          <w:w w:val="95"/>
          <w:sz w:val="18"/>
          <w:shd w:fill="E4E4E4" w:color="auto" w:val="clear"/>
        </w:rPr>
        <w:t>效</w:t>
      </w:r>
      <w:r>
        <w:rPr>
          <w:rFonts w:ascii="楷体" w:eastAsia="楷体"/>
          <w:color w:val="000000"/>
          <w:w w:val="95"/>
          <w:sz w:val="18"/>
          <w:shd w:fill="E4E4E4" w:color="auto" w:val="clear"/>
        </w:rPr>
        <w:t>之</w:t>
      </w:r>
      <w:r>
        <w:rPr>
          <w:rFonts w:ascii="楷体" w:eastAsia="楷体"/>
          <w:color w:val="000000"/>
          <w:w w:val="95"/>
          <w:sz w:val="18"/>
          <w:shd w:fill="E4E4E4" w:color="auto" w:val="clear"/>
        </w:rPr>
        <w:t>后</w:t>
      </w:r>
      <w:r>
        <w:rPr>
          <w:rFonts w:ascii="楷体" w:eastAsia="楷体"/>
          <w:color w:val="000000"/>
          <w:w w:val="95"/>
          <w:sz w:val="18"/>
          <w:shd w:fill="E4E4E4" w:color="auto" w:val="clear"/>
        </w:rPr>
        <w:t>第</w:t>
      </w:r>
      <w:r>
        <w:rPr>
          <w:rFonts w:ascii="楷体" w:eastAsia="楷体"/>
          <w:color w:val="000000"/>
          <w:w w:val="95"/>
          <w:sz w:val="18"/>
          <w:shd w:fill="E4E4E4" w:color="auto" w:val="clear"/>
        </w:rPr>
        <w:t>一</w:t>
      </w:r>
      <w:r>
        <w:rPr>
          <w:rFonts w:ascii="楷体" w:eastAsia="楷体"/>
          <w:color w:val="000000"/>
          <w:w w:val="95"/>
          <w:sz w:val="18"/>
          <w:shd w:fill="E4E4E4" w:color="auto" w:val="clear"/>
        </w:rPr>
        <w:t>次</w:t>
      </w:r>
      <w:r>
        <w:rPr>
          <w:rFonts w:ascii="楷体" w:eastAsia="楷体"/>
          <w:color w:val="000000"/>
          <w:w w:val="95"/>
          <w:sz w:val="18"/>
          <w:shd w:fill="E4E4E4" w:color="auto" w:val="clear"/>
        </w:rPr>
        <w:t>经</w:t>
      </w:r>
      <w:r>
        <w:rPr>
          <w:rFonts w:ascii="楷体" w:eastAsia="楷体"/>
          <w:color w:val="000000"/>
          <w:w w:val="95"/>
          <w:sz w:val="18"/>
          <w:shd w:fill="E4E4E4" w:color="auto" w:val="clear"/>
        </w:rPr>
        <w:t>医</w:t>
      </w:r>
      <w:r>
        <w:rPr>
          <w:rFonts w:ascii="楷体" w:eastAsia="楷体"/>
          <w:color w:val="000000"/>
          <w:spacing w:val="-10"/>
          <w:w w:val="95"/>
          <w:sz w:val="18"/>
          <w:shd w:fill="E4E4E4" w:color="auto" w:val="clear"/>
        </w:rPr>
        <w:t>院</w:t>
      </w:r>
    </w:p>
    <w:p>
      <w:pPr>
        <w:spacing w:before="2"/>
        <w:ind w:left="160" w:right="0" w:firstLine="0"/>
        <w:jc w:val="left"/>
        <w:rPr>
          <w:rFonts w:ascii="楷体" w:eastAsia="楷体"/>
          <w:sz w:val="18"/>
        </w:rPr>
      </w:pPr>
      <w:r>
        <w:rPr>
          <w:rFonts w:ascii="楷体" w:eastAsia="楷体"/>
          <w:color w:val="000000"/>
          <w:spacing w:val="-2"/>
          <w:sz w:val="18"/>
          <w:shd w:fill="E4E4E4" w:color="auto" w:val="clear"/>
        </w:rPr>
        <w:t>确诊患有某种疾病。</w:t>
      </w:r>
    </w:p>
    <w:p>
      <w:pPr>
        <w:spacing w:before="5"/>
        <w:ind w:left="160" w:right="0" w:firstLine="0"/>
        <w:jc w:val="left"/>
        <w:rPr>
          <w:rFonts w:ascii="楷体" w:eastAsia="楷体"/>
          <w:sz w:val="18"/>
        </w:rPr>
      </w:pPr>
      <w:r>
        <w:rPr>
          <w:rFonts w:ascii="楷体" w:eastAsia="楷体"/>
          <w:w w:val="95"/>
          <w:position w:val="9"/>
          <w:sz w:val="9"/>
        </w:rPr>
        <w:t>11</w:t>
      </w:r>
      <w:r>
        <w:rPr>
          <w:rFonts w:ascii="楷体" w:eastAsia="楷体" w:hint="eastAsia"/>
          <w:b/>
          <w:w w:val="95"/>
          <w:sz w:val="18"/>
        </w:rPr>
        <w:t>现</w:t>
      </w:r>
      <w:r>
        <w:rPr>
          <w:rFonts w:ascii="楷体" w:eastAsia="楷体" w:hint="eastAsia"/>
          <w:b/>
          <w:w w:val="95"/>
          <w:sz w:val="18"/>
        </w:rPr>
        <w:t>金</w:t>
      </w:r>
      <w:r>
        <w:rPr>
          <w:rFonts w:ascii="楷体" w:eastAsia="楷体" w:hint="eastAsia"/>
          <w:b/>
          <w:w w:val="95"/>
          <w:sz w:val="18"/>
        </w:rPr>
        <w:t>价</w:t>
      </w:r>
      <w:r>
        <w:rPr>
          <w:rFonts w:ascii="楷体" w:eastAsia="楷体" w:hint="eastAsia"/>
          <w:b/>
          <w:w w:val="95"/>
          <w:sz w:val="18"/>
        </w:rPr>
        <w:t>值</w:t>
      </w:r>
      <w:r>
        <w:rPr>
          <w:rFonts w:ascii="楷体" w:eastAsia="楷体" w:hint="eastAsia"/>
          <w:b/>
          <w:w w:val="95"/>
          <w:sz w:val="18"/>
        </w:rPr>
        <w:t>：</w:t>
      </w:r>
      <w:r>
        <w:rPr>
          <w:rFonts w:ascii="楷体" w:eastAsia="楷体"/>
          <w:w w:val="95"/>
          <w:sz w:val="18"/>
        </w:rPr>
        <w:t>指</w:t>
      </w:r>
      <w:r>
        <w:rPr>
          <w:rFonts w:ascii="楷体" w:eastAsia="楷体"/>
          <w:w w:val="95"/>
          <w:sz w:val="18"/>
        </w:rPr>
        <w:t>保</w:t>
      </w:r>
      <w:r>
        <w:rPr>
          <w:rFonts w:ascii="楷体" w:eastAsia="楷体"/>
          <w:w w:val="95"/>
          <w:sz w:val="18"/>
        </w:rPr>
        <w:t>险</w:t>
      </w:r>
      <w:r>
        <w:rPr>
          <w:rFonts w:ascii="楷体" w:eastAsia="楷体"/>
          <w:w w:val="95"/>
          <w:sz w:val="18"/>
        </w:rPr>
        <w:t>合</w:t>
      </w:r>
      <w:r>
        <w:rPr>
          <w:rFonts w:ascii="楷体" w:eastAsia="楷体"/>
          <w:w w:val="95"/>
          <w:sz w:val="18"/>
        </w:rPr>
        <w:t>同</w:t>
      </w:r>
      <w:r>
        <w:rPr>
          <w:rFonts w:ascii="楷体" w:eastAsia="楷体"/>
          <w:w w:val="95"/>
          <w:sz w:val="18"/>
        </w:rPr>
        <w:t>所</w:t>
      </w:r>
      <w:r>
        <w:rPr>
          <w:rFonts w:ascii="楷体" w:eastAsia="楷体"/>
          <w:w w:val="95"/>
          <w:sz w:val="18"/>
        </w:rPr>
        <w:t>具</w:t>
      </w:r>
      <w:r>
        <w:rPr>
          <w:rFonts w:ascii="楷体" w:eastAsia="楷体"/>
          <w:w w:val="95"/>
          <w:sz w:val="18"/>
        </w:rPr>
        <w:t>有</w:t>
      </w:r>
      <w:r>
        <w:rPr>
          <w:rFonts w:ascii="楷体" w:eastAsia="楷体"/>
          <w:w w:val="95"/>
          <w:sz w:val="18"/>
        </w:rPr>
        <w:t>的</w:t>
      </w:r>
      <w:r>
        <w:rPr>
          <w:rFonts w:ascii="楷体" w:eastAsia="楷体"/>
          <w:w w:val="95"/>
          <w:sz w:val="18"/>
        </w:rPr>
        <w:t>价</w:t>
      </w:r>
      <w:r>
        <w:rPr>
          <w:rFonts w:ascii="楷体" w:eastAsia="楷体"/>
          <w:w w:val="95"/>
          <w:sz w:val="18"/>
        </w:rPr>
        <w:t>值</w:t>
      </w:r>
      <w:r>
        <w:rPr>
          <w:rFonts w:ascii="楷体" w:eastAsia="楷体"/>
          <w:w w:val="95"/>
          <w:sz w:val="18"/>
        </w:rPr>
        <w:t>，</w:t>
      </w:r>
      <w:r>
        <w:rPr>
          <w:rFonts w:ascii="楷体" w:eastAsia="楷体"/>
          <w:w w:val="95"/>
          <w:sz w:val="18"/>
        </w:rPr>
        <w:t>通</w:t>
      </w:r>
      <w:r>
        <w:rPr>
          <w:rFonts w:ascii="楷体" w:eastAsia="楷体"/>
          <w:w w:val="95"/>
          <w:sz w:val="18"/>
        </w:rPr>
        <w:t>常</w:t>
      </w:r>
      <w:r>
        <w:rPr>
          <w:rFonts w:ascii="楷体" w:eastAsia="楷体"/>
          <w:w w:val="95"/>
          <w:sz w:val="18"/>
        </w:rPr>
        <w:t>体</w:t>
      </w:r>
      <w:r>
        <w:rPr>
          <w:rFonts w:ascii="楷体" w:eastAsia="楷体"/>
          <w:w w:val="95"/>
          <w:sz w:val="18"/>
        </w:rPr>
        <w:t>现</w:t>
      </w:r>
      <w:r>
        <w:rPr>
          <w:rFonts w:ascii="楷体" w:eastAsia="楷体"/>
          <w:w w:val="95"/>
          <w:sz w:val="18"/>
        </w:rPr>
        <w:t>为</w:t>
      </w:r>
      <w:r>
        <w:rPr>
          <w:rFonts w:ascii="楷体" w:eastAsia="楷体"/>
          <w:w w:val="95"/>
          <w:sz w:val="18"/>
        </w:rPr>
        <w:t>解</w:t>
      </w:r>
      <w:r>
        <w:rPr>
          <w:rFonts w:ascii="楷体" w:eastAsia="楷体"/>
          <w:w w:val="95"/>
          <w:sz w:val="18"/>
        </w:rPr>
        <w:t>除</w:t>
      </w:r>
      <w:r>
        <w:rPr>
          <w:rFonts w:ascii="楷体" w:eastAsia="楷体"/>
          <w:w w:val="95"/>
          <w:sz w:val="18"/>
        </w:rPr>
        <w:t>合</w:t>
      </w:r>
      <w:r>
        <w:rPr>
          <w:rFonts w:ascii="楷体" w:eastAsia="楷体"/>
          <w:w w:val="95"/>
          <w:sz w:val="18"/>
        </w:rPr>
        <w:t>同</w:t>
      </w:r>
      <w:r>
        <w:rPr>
          <w:rFonts w:ascii="楷体" w:eastAsia="楷体"/>
          <w:w w:val="95"/>
          <w:sz w:val="18"/>
        </w:rPr>
        <w:t>时</w:t>
      </w:r>
      <w:r>
        <w:rPr>
          <w:rFonts w:ascii="楷体" w:eastAsia="楷体"/>
          <w:w w:val="95"/>
          <w:sz w:val="18"/>
        </w:rPr>
        <w:t>，</w:t>
      </w:r>
      <w:r>
        <w:rPr>
          <w:rFonts w:ascii="楷体" w:eastAsia="楷体"/>
          <w:w w:val="95"/>
          <w:sz w:val="18"/>
        </w:rPr>
        <w:t>根</w:t>
      </w:r>
      <w:r>
        <w:rPr>
          <w:rFonts w:ascii="楷体" w:eastAsia="楷体"/>
          <w:w w:val="95"/>
          <w:sz w:val="18"/>
        </w:rPr>
        <w:t>据</w:t>
      </w:r>
      <w:r>
        <w:rPr>
          <w:rFonts w:ascii="楷体" w:eastAsia="楷体"/>
          <w:w w:val="95"/>
          <w:sz w:val="18"/>
        </w:rPr>
        <w:t>精</w:t>
      </w:r>
      <w:r>
        <w:rPr>
          <w:rFonts w:ascii="楷体" w:eastAsia="楷体"/>
          <w:w w:val="95"/>
          <w:sz w:val="18"/>
        </w:rPr>
        <w:t>算</w:t>
      </w:r>
      <w:r>
        <w:rPr>
          <w:rFonts w:ascii="楷体" w:eastAsia="楷体"/>
          <w:w w:val="95"/>
          <w:sz w:val="18"/>
        </w:rPr>
        <w:t>原</w:t>
      </w:r>
      <w:r>
        <w:rPr>
          <w:rFonts w:ascii="楷体" w:eastAsia="楷体"/>
          <w:w w:val="95"/>
          <w:sz w:val="18"/>
        </w:rPr>
        <w:t>理</w:t>
      </w:r>
      <w:r>
        <w:rPr>
          <w:rFonts w:ascii="楷体" w:eastAsia="楷体"/>
          <w:w w:val="95"/>
          <w:sz w:val="18"/>
        </w:rPr>
        <w:t>计</w:t>
      </w:r>
      <w:r>
        <w:rPr>
          <w:rFonts w:ascii="楷体" w:eastAsia="楷体"/>
          <w:w w:val="95"/>
          <w:sz w:val="18"/>
        </w:rPr>
        <w:t>算</w:t>
      </w:r>
      <w:r>
        <w:rPr>
          <w:rFonts w:ascii="楷体" w:eastAsia="楷体"/>
          <w:w w:val="95"/>
          <w:sz w:val="18"/>
        </w:rPr>
        <w:t>的</w:t>
      </w:r>
      <w:r>
        <w:rPr>
          <w:rFonts w:ascii="楷体" w:eastAsia="楷体"/>
          <w:w w:val="95"/>
          <w:sz w:val="18"/>
        </w:rPr>
        <w:t>，</w:t>
      </w:r>
      <w:r>
        <w:rPr>
          <w:rFonts w:ascii="楷体" w:eastAsia="楷体"/>
          <w:w w:val="95"/>
          <w:sz w:val="18"/>
        </w:rPr>
        <w:t>由</w:t>
      </w:r>
      <w:r>
        <w:rPr>
          <w:rFonts w:ascii="楷体" w:eastAsia="楷体"/>
          <w:w w:val="95"/>
          <w:sz w:val="18"/>
        </w:rPr>
        <w:t>本</w:t>
      </w:r>
      <w:r>
        <w:rPr>
          <w:rFonts w:ascii="楷体" w:eastAsia="楷体"/>
          <w:w w:val="95"/>
          <w:sz w:val="18"/>
        </w:rPr>
        <w:t>公</w:t>
      </w:r>
      <w:r>
        <w:rPr>
          <w:rFonts w:ascii="楷体" w:eastAsia="楷体"/>
          <w:w w:val="95"/>
          <w:sz w:val="18"/>
        </w:rPr>
        <w:t>司</w:t>
      </w:r>
      <w:r>
        <w:rPr>
          <w:rFonts w:ascii="楷体" w:eastAsia="楷体"/>
          <w:w w:val="95"/>
          <w:sz w:val="18"/>
        </w:rPr>
        <w:t>退</w:t>
      </w:r>
      <w:r>
        <w:rPr>
          <w:rFonts w:ascii="楷体" w:eastAsia="楷体"/>
          <w:w w:val="95"/>
          <w:sz w:val="18"/>
        </w:rPr>
        <w:t>还</w:t>
      </w:r>
      <w:r>
        <w:rPr>
          <w:rFonts w:ascii="楷体" w:eastAsia="楷体"/>
          <w:w w:val="95"/>
          <w:sz w:val="18"/>
        </w:rPr>
        <w:t>的</w:t>
      </w:r>
      <w:r>
        <w:rPr>
          <w:rFonts w:ascii="楷体" w:eastAsia="楷体"/>
          <w:w w:val="95"/>
          <w:sz w:val="18"/>
        </w:rPr>
        <w:t>那</w:t>
      </w:r>
      <w:r>
        <w:rPr>
          <w:rFonts w:ascii="楷体" w:eastAsia="楷体"/>
          <w:w w:val="95"/>
          <w:sz w:val="18"/>
        </w:rPr>
        <w:t>部</w:t>
      </w:r>
      <w:r>
        <w:rPr>
          <w:rFonts w:ascii="楷体" w:eastAsia="楷体"/>
          <w:w w:val="95"/>
          <w:sz w:val="18"/>
        </w:rPr>
        <w:t>分</w:t>
      </w:r>
      <w:r>
        <w:rPr>
          <w:rFonts w:ascii="楷体" w:eastAsia="楷体"/>
          <w:w w:val="95"/>
          <w:sz w:val="18"/>
        </w:rPr>
        <w:t>金</w:t>
      </w:r>
      <w:r>
        <w:rPr>
          <w:rFonts w:ascii="楷体" w:eastAsia="楷体"/>
          <w:w w:val="95"/>
          <w:sz w:val="18"/>
        </w:rPr>
        <w:t>额</w:t>
      </w:r>
      <w:r>
        <w:rPr>
          <w:rFonts w:ascii="楷体" w:eastAsia="楷体"/>
          <w:spacing w:val="-10"/>
          <w:w w:val="95"/>
          <w:sz w:val="18"/>
        </w:rPr>
        <w:t>。</w:t>
      </w:r>
    </w:p>
    <w:p>
      <w:pPr>
        <w:spacing w:after="0"/>
        <w:jc w:val="left"/>
        <w:rPr>
          <w:rFonts w:ascii="楷体" w:eastAsia="楷体"/>
          <w:sz w:val="18"/>
        </w:rPr>
        <w:sectPr>
          <w:type w:val="continuous"/>
          <w:pgSz w:w="11910" w:h="16840"/>
          <w:pgMar w:header="0" w:footer="659" w:top="480" w:bottom="280" w:left="920" w:right="540"/>
        </w:sectPr>
      </w:pPr>
    </w:p>
    <w:p>
      <w:pPr>
        <w:pStyle w:val="Heading2"/>
        <w:numPr>
          <w:ilvl w:val="3"/>
          <w:numId w:val="2"/>
        </w:numPr>
        <w:tabs>
          <w:tab w:pos="1369" w:val="left" w:leader="none"/>
          <w:tab w:pos="1370" w:val="left" w:leader="none"/>
        </w:tabs>
        <w:spacing w:line="240" w:lineRule="auto" w:before="60" w:after="0"/>
        <w:ind w:left="1370" w:right="0" w:hanging="1103"/>
        <w:jc w:val="left"/>
      </w:pPr>
      <w:r>
        <w:rPr>
          <w:spacing w:val="-2"/>
        </w:rPr>
        <w:t>首次重大疾病</w:t>
      </w:r>
    </w:p>
    <w:p>
      <w:pPr>
        <w:spacing w:line="278" w:lineRule="auto" w:before="43"/>
        <w:ind w:left="1370" w:right="38" w:firstLine="0"/>
        <w:jc w:val="left"/>
        <w:rPr>
          <w:b/>
          <w:sz w:val="21"/>
        </w:rPr>
      </w:pPr>
      <w:r>
        <w:rPr>
          <w:b/>
          <w:spacing w:val="-2"/>
          <w:sz w:val="21"/>
        </w:rPr>
        <w:t>医疗津贴保险</w:t>
      </w:r>
      <w:r>
        <w:rPr>
          <w:b/>
          <w:spacing w:val="-10"/>
          <w:sz w:val="21"/>
        </w:rPr>
        <w:t>金</w:t>
      </w:r>
    </w:p>
    <w:p>
      <w:pPr>
        <w:pStyle w:val="BodyText"/>
        <w:spacing w:line="264" w:lineRule="auto" w:before="68"/>
        <w:ind w:left="268" w:right="106"/>
      </w:pPr>
      <w:r>
        <w:rPr/>
        <w:br w:type="column"/>
      </w:r>
      <w:r>
        <w:rPr>
          <w:spacing w:val="-2"/>
        </w:rPr>
        <w:t>在第十五个保单周年日之前，如被保险人在保险期间内确诊初次发生本合同所</w:t>
      </w:r>
      <w:r>
        <w:rPr>
          <w:spacing w:val="-2"/>
        </w:rPr>
        <w:t>列的重大疾病的一种或多种，且本公司已按约定给付首次重大疾病保险金，自</w:t>
      </w:r>
      <w:r>
        <w:rPr/>
        <w:t>该</w:t>
      </w:r>
      <w:r>
        <w:rPr>
          <w:b/>
        </w:rPr>
        <w:t>重大疾病确诊之日</w:t>
      </w:r>
      <w:r>
        <w:rPr>
          <w:position w:val="11"/>
          <w:sz w:val="11"/>
        </w:rPr>
        <w:t>12</w:t>
      </w:r>
      <w:r>
        <w:rPr>
          <w:spacing w:val="-17"/>
        </w:rPr>
        <w:t>起 </w:t>
      </w:r>
      <w:r>
        <w:rPr/>
        <w:t>365</w:t>
      </w:r>
      <w:r>
        <w:rPr>
          <w:spacing w:val="-11"/>
        </w:rPr>
        <w:t> 天内</w:t>
      </w:r>
      <w:r>
        <w:rPr/>
        <w:t>（</w:t>
      </w:r>
      <w:r>
        <w:rPr>
          <w:spacing w:val="-11"/>
        </w:rPr>
        <w:t>含第 </w:t>
      </w:r>
      <w:r>
        <w:rPr/>
        <w:t>365</w:t>
      </w:r>
      <w:r>
        <w:rPr>
          <w:spacing w:val="-17"/>
        </w:rPr>
        <w:t> 天</w:t>
      </w:r>
      <w:r>
        <w:rPr>
          <w:spacing w:val="-108"/>
        </w:rPr>
        <w:t>）</w:t>
      </w:r>
      <w:r>
        <w:rPr/>
        <w:t>，因该重大疾病在本公司指定</w:t>
      </w:r>
      <w:r>
        <w:rPr>
          <w:spacing w:val="-2"/>
        </w:rPr>
        <w:t>或认可的医疗机构接受</w:t>
      </w:r>
      <w:r>
        <w:rPr>
          <w:b/>
          <w:spacing w:val="-2"/>
        </w:rPr>
        <w:t>住院</w:t>
      </w:r>
      <w:r>
        <w:rPr>
          <w:b/>
          <w:spacing w:val="-2"/>
          <w:position w:val="11"/>
          <w:sz w:val="11"/>
        </w:rPr>
        <w:t>13</w:t>
      </w:r>
      <w:r>
        <w:rPr>
          <w:spacing w:val="-23"/>
        </w:rPr>
        <w:t>治疗、</w:t>
      </w:r>
      <w:r>
        <w:rPr>
          <w:b/>
          <w:spacing w:val="-2"/>
        </w:rPr>
        <w:t>住院前后门急诊治疗</w:t>
      </w:r>
      <w:r>
        <w:rPr>
          <w:b/>
          <w:spacing w:val="-2"/>
          <w:position w:val="11"/>
          <w:sz w:val="11"/>
        </w:rPr>
        <w:t>14</w:t>
      </w:r>
      <w:r>
        <w:rPr>
          <w:spacing w:val="-62"/>
        </w:rPr>
        <w:t>、</w:t>
      </w:r>
      <w:r>
        <w:rPr>
          <w:b/>
          <w:spacing w:val="-2"/>
        </w:rPr>
        <w:t>特殊门诊治疗</w:t>
      </w:r>
      <w:r>
        <w:rPr>
          <w:b/>
          <w:spacing w:val="-2"/>
          <w:position w:val="11"/>
          <w:sz w:val="11"/>
        </w:rPr>
        <w:t>15</w:t>
      </w:r>
      <w:r>
        <w:rPr>
          <w:spacing w:val="-2"/>
        </w:rPr>
        <w:t>或者</w:t>
      </w:r>
      <w:r>
        <w:rPr>
          <w:spacing w:val="-2"/>
        </w:rPr>
        <w:t>门诊手术治疗，对该治疗过程中实际发生的</w:t>
      </w:r>
      <w:r>
        <w:rPr>
          <w:b/>
          <w:spacing w:val="-2"/>
        </w:rPr>
        <w:t>医学必需</w:t>
      </w:r>
      <w:r>
        <w:rPr>
          <w:b/>
          <w:spacing w:val="-2"/>
          <w:position w:val="11"/>
          <w:sz w:val="11"/>
        </w:rPr>
        <w:t>16</w:t>
      </w:r>
      <w:r>
        <w:rPr>
          <w:spacing w:val="-2"/>
        </w:rPr>
        <w:t>的、符合</w:t>
      </w:r>
      <w:r>
        <w:rPr>
          <w:b/>
          <w:spacing w:val="-2"/>
        </w:rPr>
        <w:t>基本医疗保险</w:t>
      </w:r>
      <w:r>
        <w:rPr>
          <w:b/>
          <w:spacing w:val="-2"/>
          <w:position w:val="11"/>
          <w:sz w:val="11"/>
        </w:rPr>
        <w:t>17</w:t>
      </w:r>
      <w:r>
        <w:rPr>
          <w:spacing w:val="-7"/>
        </w:rPr>
        <w:t>支付范围的并需要由被保险人个人支付的医疗费用，经过基本医疗保险结算后，</w:t>
      </w:r>
      <w:r>
        <w:rPr>
          <w:spacing w:val="-1"/>
        </w:rPr>
        <w:t>个人自付的医疗费用累计金额达到人民币 </w:t>
      </w:r>
      <w:r>
        <w:rPr>
          <w:rFonts w:ascii="Times New Roman" w:eastAsia="Times New Roman"/>
        </w:rPr>
        <w:t>5 </w:t>
      </w:r>
      <w:r>
        <w:rPr/>
        <w:t>万元的，本公司按照本合同的基本</w:t>
      </w:r>
      <w:r>
        <w:rPr>
          <w:spacing w:val="-8"/>
        </w:rPr>
        <w:t>保险金额的 </w:t>
      </w:r>
      <w:r>
        <w:rPr>
          <w:rFonts w:ascii="Times New Roman" w:eastAsia="Times New Roman"/>
        </w:rPr>
        <w:t>50%</w:t>
      </w:r>
      <w:r>
        <w:rPr/>
        <w:t>给付首次重大疾病医疗津贴保险金，</w:t>
      </w:r>
      <w:r>
        <w:rPr>
          <w:color w:val="000000"/>
          <w:shd w:fill="E4E4E4" w:color="auto" w:val="clear"/>
        </w:rPr>
        <w:t>同时首次重大疾病医疗津</w:t>
      </w:r>
      <w:r>
        <w:rPr>
          <w:color w:val="000000"/>
          <w:spacing w:val="80"/>
          <w:w w:val="150"/>
          <w:shd w:fill="E4E4E4" w:color="auto" w:val="clear"/>
        </w:rPr>
        <w:t>                                       </w:t>
      </w:r>
      <w:r>
        <w:rPr>
          <w:color w:val="000000"/>
          <w:spacing w:val="-2"/>
          <w:shd w:fill="E4E4E4" w:color="auto" w:val="clear"/>
        </w:rPr>
        <w:t>贴保险金责任终止。</w:t>
      </w:r>
    </w:p>
    <w:p>
      <w:pPr>
        <w:spacing w:after="0" w:line="264" w:lineRule="auto"/>
        <w:sectPr>
          <w:footerReference w:type="default" r:id="rId12"/>
          <w:pgSz w:w="11910" w:h="16840"/>
          <w:pgMar w:footer="1186" w:header="0" w:top="1540" w:bottom="1380" w:left="920" w:right="540"/>
          <w:cols w:num="2" w:equalWidth="0">
            <w:col w:w="2678" w:space="126"/>
            <w:col w:w="7646"/>
          </w:cols>
        </w:sectPr>
      </w:pPr>
    </w:p>
    <w:p>
      <w:pPr>
        <w:pStyle w:val="BodyText"/>
        <w:spacing w:line="266" w:lineRule="auto" w:before="162"/>
        <w:ind w:left="3072" w:right="214"/>
      </w:pPr>
      <w:r>
        <w:rPr>
          <w:color w:val="000000"/>
          <w:spacing w:val="-4"/>
          <w:shd w:fill="E4E4E4" w:color="auto" w:val="clear"/>
        </w:rPr>
        <w:t>自首次重大疾病确诊之日起 </w:t>
      </w:r>
      <w:r>
        <w:rPr>
          <w:color w:val="000000"/>
          <w:shd w:fill="E4E4E4" w:color="auto" w:val="clear"/>
        </w:rPr>
        <w:t>365</w:t>
      </w:r>
      <w:r>
        <w:rPr>
          <w:color w:val="000000"/>
          <w:spacing w:val="-17"/>
          <w:shd w:fill="E4E4E4" w:color="auto" w:val="clear"/>
        </w:rPr>
        <w:t> 天内</w:t>
      </w:r>
      <w:r>
        <w:rPr>
          <w:color w:val="000000"/>
          <w:shd w:fill="E4E4E4" w:color="auto" w:val="clear"/>
        </w:rPr>
        <w:t>（</w:t>
      </w:r>
      <w:r>
        <w:rPr>
          <w:color w:val="000000"/>
          <w:spacing w:val="-18"/>
          <w:shd w:fill="E4E4E4" w:color="auto" w:val="clear"/>
        </w:rPr>
        <w:t>含第 </w:t>
      </w:r>
      <w:r>
        <w:rPr>
          <w:color w:val="000000"/>
          <w:shd w:fill="E4E4E4" w:color="auto" w:val="clear"/>
        </w:rPr>
        <w:t>365</w:t>
      </w:r>
      <w:r>
        <w:rPr>
          <w:color w:val="000000"/>
          <w:spacing w:val="-25"/>
          <w:shd w:fill="E4E4E4" w:color="auto" w:val="clear"/>
        </w:rPr>
        <w:t> 天</w:t>
      </w:r>
      <w:r>
        <w:rPr>
          <w:color w:val="000000"/>
          <w:shd w:fill="E4E4E4" w:color="auto" w:val="clear"/>
        </w:rPr>
        <w:t>）未满足首次重大疾病医疗</w:t>
      </w:r>
      <w:r>
        <w:rPr>
          <w:color w:val="000000"/>
          <w:spacing w:val="80"/>
          <w:w w:val="150"/>
          <w:shd w:fill="E4E4E4" w:color="auto" w:val="clear"/>
        </w:rPr>
        <w:t>                                       </w:t>
      </w:r>
      <w:r>
        <w:rPr>
          <w:color w:val="000000"/>
          <w:spacing w:val="-2"/>
          <w:shd w:fill="E4E4E4" w:color="auto" w:val="clear"/>
        </w:rPr>
        <w:t>津贴保险金责任给付条件，首次重大疾病医疗津贴保险金责任终止。</w:t>
      </w:r>
    </w:p>
    <w:p>
      <w:pPr>
        <w:pStyle w:val="Heading2"/>
        <w:spacing w:line="268" w:lineRule="auto" w:before="159"/>
        <w:ind w:left="3072" w:right="214" w:firstLine="0"/>
      </w:pPr>
      <w:r>
        <w:rPr>
          <w:color w:val="000000"/>
          <w:spacing w:val="-2"/>
          <w:shd w:fill="E4E4E4" w:color="auto" w:val="clear"/>
        </w:rPr>
        <w:t>对于被保险人发生的医疗费用，如未经基本医疗保险结算，则本公司按符合条</w:t>
      </w:r>
      <w:r>
        <w:rPr>
          <w:color w:val="000000"/>
          <w:spacing w:val="80"/>
          <w:w w:val="150"/>
          <w:shd w:fill="E4E4E4" w:color="auto" w:val="clear"/>
        </w:rPr>
        <w:t>                                       </w:t>
      </w:r>
      <w:r>
        <w:rPr>
          <w:color w:val="000000"/>
          <w:spacing w:val="-6"/>
          <w:shd w:fill="E4E4E4" w:color="auto" w:val="clear"/>
        </w:rPr>
        <w:t>件的医疗费用的 </w:t>
      </w:r>
      <w:r>
        <w:rPr>
          <w:color w:val="000000"/>
          <w:shd w:fill="E4E4E4" w:color="auto" w:val="clear"/>
        </w:rPr>
        <w:t>15%计入个人自付的医疗费用累计金额。</w:t>
      </w:r>
    </w:p>
    <w:p>
      <w:pPr>
        <w:pStyle w:val="BodyText"/>
        <w:spacing w:before="9"/>
        <w:rPr>
          <w:b/>
          <w:sz w:val="16"/>
        </w:rPr>
      </w:pPr>
    </w:p>
    <w:p>
      <w:pPr>
        <w:spacing w:after="0"/>
        <w:rPr>
          <w:sz w:val="16"/>
        </w:rPr>
        <w:sectPr>
          <w:type w:val="continuous"/>
          <w:pgSz w:w="11910" w:h="16840"/>
          <w:pgMar w:header="0" w:footer="1186" w:top="480" w:bottom="280" w:left="920" w:right="540"/>
        </w:sectPr>
      </w:pPr>
    </w:p>
    <w:p>
      <w:pPr>
        <w:pStyle w:val="ListParagraph"/>
        <w:numPr>
          <w:ilvl w:val="3"/>
          <w:numId w:val="2"/>
        </w:numPr>
        <w:tabs>
          <w:tab w:pos="1369" w:val="left" w:leader="none"/>
          <w:tab w:pos="1370" w:val="left" w:leader="none"/>
        </w:tabs>
        <w:spacing w:line="278" w:lineRule="auto" w:before="88" w:after="0"/>
        <w:ind w:left="1370" w:right="38" w:hanging="1102"/>
        <w:jc w:val="left"/>
        <w:rPr>
          <w:b/>
          <w:sz w:val="21"/>
        </w:rPr>
      </w:pPr>
      <w:r>
        <w:rPr>
          <w:b/>
          <w:spacing w:val="-2"/>
          <w:sz w:val="21"/>
        </w:rPr>
        <w:t>中度疾病保险</w:t>
      </w:r>
      <w:r>
        <w:rPr>
          <w:b/>
          <w:spacing w:val="-10"/>
          <w:sz w:val="21"/>
        </w:rPr>
        <w:t>金</w:t>
      </w:r>
    </w:p>
    <w:p>
      <w:pPr>
        <w:pStyle w:val="BodyText"/>
        <w:spacing w:before="86"/>
        <w:ind w:left="268"/>
        <w:jc w:val="both"/>
      </w:pPr>
      <w:r>
        <w:rPr/>
        <w:br w:type="column"/>
      </w:r>
      <w:r>
        <w:rPr>
          <w:w w:val="95"/>
        </w:rPr>
        <w:t>本</w:t>
      </w:r>
      <w:r>
        <w:rPr>
          <w:w w:val="95"/>
        </w:rPr>
        <w:t>合</w:t>
      </w:r>
      <w:r>
        <w:rPr>
          <w:w w:val="95"/>
        </w:rPr>
        <w:t>同提供保</w:t>
      </w:r>
      <w:r>
        <w:rPr>
          <w:w w:val="95"/>
        </w:rPr>
        <w:t>障</w:t>
      </w:r>
      <w:r>
        <w:rPr>
          <w:w w:val="95"/>
        </w:rPr>
        <w:t>的</w:t>
      </w:r>
      <w:r>
        <w:rPr>
          <w:b/>
          <w:w w:val="95"/>
        </w:rPr>
        <w:t>中</w:t>
      </w:r>
      <w:r>
        <w:rPr>
          <w:b/>
          <w:w w:val="95"/>
        </w:rPr>
        <w:t>度</w:t>
      </w:r>
      <w:r>
        <w:rPr>
          <w:b/>
          <w:w w:val="95"/>
        </w:rPr>
        <w:t>疾</w:t>
      </w:r>
      <w:r>
        <w:rPr>
          <w:b/>
          <w:w w:val="95"/>
        </w:rPr>
        <w:t>病</w:t>
      </w:r>
      <w:r>
        <w:rPr>
          <w:b/>
          <w:w w:val="95"/>
          <w:position w:val="11"/>
          <w:sz w:val="11"/>
        </w:rPr>
        <w:t>18</w:t>
      </w:r>
      <w:r>
        <w:rPr>
          <w:w w:val="95"/>
        </w:rPr>
        <w:t>共</w:t>
      </w:r>
      <w:r>
        <w:rPr>
          <w:w w:val="95"/>
        </w:rPr>
        <w:t>有</w:t>
      </w:r>
      <w:r>
        <w:rPr>
          <w:spacing w:val="29"/>
          <w:w w:val="150"/>
        </w:rPr>
        <w:t> </w:t>
      </w:r>
      <w:r>
        <w:rPr>
          <w:w w:val="95"/>
        </w:rPr>
        <w:t>25</w:t>
      </w:r>
      <w:r>
        <w:rPr>
          <w:spacing w:val="38"/>
          <w:w w:val="150"/>
        </w:rPr>
        <w:t> </w:t>
      </w:r>
      <w:r>
        <w:rPr>
          <w:w w:val="95"/>
        </w:rPr>
        <w:t>种，名单详见本</w:t>
      </w:r>
      <w:r>
        <w:rPr>
          <w:w w:val="95"/>
        </w:rPr>
        <w:t>保</w:t>
      </w:r>
      <w:r>
        <w:rPr>
          <w:w w:val="95"/>
        </w:rPr>
        <w:t>险</w:t>
      </w:r>
      <w:r>
        <w:rPr>
          <w:spacing w:val="-2"/>
          <w:w w:val="95"/>
        </w:rPr>
        <w:t>条款附表二。</w:t>
      </w:r>
    </w:p>
    <w:p>
      <w:pPr>
        <w:pStyle w:val="BodyText"/>
        <w:spacing w:line="266" w:lineRule="auto" w:before="186"/>
        <w:ind w:left="268" w:right="214"/>
        <w:jc w:val="both"/>
      </w:pPr>
      <w:r>
        <w:rPr>
          <w:spacing w:val="-2"/>
        </w:rPr>
        <w:t>被保险人在保险期间内因意外，或在本合同生效（若曾复效，则自本合同最后</w:t>
      </w:r>
      <w:r>
        <w:rPr>
          <w:spacing w:val="-2"/>
        </w:rPr>
        <w:t>复效</w:t>
      </w:r>
      <w:r>
        <w:rPr>
          <w:spacing w:val="-92"/>
        </w:rPr>
        <w:t>）</w:t>
      </w:r>
      <w:r>
        <w:rPr>
          <w:spacing w:val="-8"/>
        </w:rPr>
        <w:t>之日起 </w:t>
      </w:r>
      <w:r>
        <w:rPr>
          <w:spacing w:val="-2"/>
        </w:rPr>
        <w:t>90</w:t>
      </w:r>
      <w:r>
        <w:rPr>
          <w:spacing w:val="-7"/>
        </w:rPr>
        <w:t> 天后因非意外的原因在本公司指定的或认可的医疗机构由专科</w:t>
      </w:r>
      <w:r>
        <w:rPr>
          <w:spacing w:val="-2"/>
        </w:rPr>
        <w:t>医生确诊初次发生本合同所列的一种或多种中度疾病，本公司按本合同基本保</w:t>
      </w:r>
      <w:r>
        <w:rPr>
          <w:spacing w:val="-9"/>
        </w:rPr>
        <w:t>险金额的 </w:t>
      </w:r>
      <w:r>
        <w:rPr/>
        <w:t>60%给付中度疾病保险金。</w:t>
      </w:r>
    </w:p>
    <w:p>
      <w:pPr>
        <w:pStyle w:val="BodyText"/>
        <w:spacing w:line="266" w:lineRule="auto" w:before="162"/>
        <w:ind w:left="268" w:right="214"/>
        <w:jc w:val="both"/>
      </w:pPr>
      <w:r>
        <w:rPr/>
        <w:drawing>
          <wp:anchor distT="0" distB="0" distL="0" distR="0" allowOverlap="1" layoutInCell="1" locked="0" behindDoc="1" simplePos="0" relativeHeight="486107648">
            <wp:simplePos x="0" y="0"/>
            <wp:positionH relativeFrom="page">
              <wp:posOffset>2535047</wp:posOffset>
            </wp:positionH>
            <wp:positionV relativeFrom="paragraph">
              <wp:posOffset>944829</wp:posOffset>
            </wp:positionV>
            <wp:extent cx="4543679" cy="571804"/>
            <wp:effectExtent l="0" t="0" r="0" b="0"/>
            <wp:wrapNone/>
            <wp:docPr id="15" name="image7.png"/>
            <wp:cNvGraphicFramePr>
              <a:graphicFrameLocks noChangeAspect="1"/>
            </wp:cNvGraphicFramePr>
            <a:graphic>
              <a:graphicData uri="http://schemas.openxmlformats.org/drawingml/2006/picture">
                <pic:pic>
                  <pic:nvPicPr>
                    <pic:cNvPr id="16" name="image7.png"/>
                    <pic:cNvPicPr/>
                  </pic:nvPicPr>
                  <pic:blipFill>
                    <a:blip r:embed="rId13" cstate="print"/>
                    <a:stretch>
                      <a:fillRect/>
                    </a:stretch>
                  </pic:blipFill>
                  <pic:spPr>
                    <a:xfrm>
                      <a:off x="0" y="0"/>
                      <a:ext cx="4543679" cy="571804"/>
                    </a:xfrm>
                    <a:prstGeom prst="rect">
                      <a:avLst/>
                    </a:prstGeom>
                  </pic:spPr>
                </pic:pic>
              </a:graphicData>
            </a:graphic>
          </wp:anchor>
        </w:drawing>
      </w:r>
      <w:r>
        <w:rPr/>
        <w:pict>
          <v:shape style="position:absolute;margin-left:199.610001pt;margin-top:74.395988pt;width:363.35pt;height:45.05pt;mso-position-horizontal-relative:page;mso-position-vertical-relative:paragraph;z-index:-17208320" type="#_x0000_t202" id="docshape6" filled="false" stroked="false">
            <v:textbox inset="0,0,0,0">
              <w:txbxContent>
                <w:p>
                  <w:pPr>
                    <w:pStyle w:val="BodyText"/>
                    <w:spacing w:line="266" w:lineRule="auto" w:before="26"/>
                    <w:jc w:val="both"/>
                  </w:pPr>
                  <w:r>
                    <w:rPr>
                      <w:spacing w:val="-2"/>
                    </w:rPr>
                    <w:t>每种中度疾病限给付一次，给付后该种中度疾病保险金责任终止。不同中度疾</w:t>
                  </w:r>
                  <w:r>
                    <w:rPr>
                      <w:spacing w:val="-2"/>
                    </w:rPr>
                    <w:t>病可以多次给付，但本合同的中度疾病保险金累计给付以两次为限。当累计给</w:t>
                  </w:r>
                  <w:r>
                    <w:rPr>
                      <w:spacing w:val="-4"/>
                    </w:rPr>
                    <w:t>付的中度疾病保险金达到两次时，中度疾病保险金责任终止，本合同继续有效。</w:t>
                  </w:r>
                </w:p>
              </w:txbxContent>
            </v:textbox>
            <w10:wrap type="none"/>
          </v:shape>
        </w:pict>
      </w:r>
      <w:r>
        <w:rPr>
          <w:spacing w:val="-6"/>
        </w:rPr>
        <w:t>被保险人在本合同生效（若曾复效，则自本合同最后复效）</w:t>
      </w:r>
      <w:r>
        <w:rPr>
          <w:spacing w:val="-7"/>
        </w:rPr>
        <w:t>之日起 </w:t>
      </w:r>
      <w:r>
        <w:rPr>
          <w:spacing w:val="-6"/>
        </w:rPr>
        <w:t>90</w:t>
      </w:r>
      <w:r>
        <w:rPr>
          <w:spacing w:val="-8"/>
        </w:rPr>
        <w:t> 天内因非</w:t>
      </w:r>
      <w:r>
        <w:rPr>
          <w:spacing w:val="-2"/>
        </w:rPr>
        <w:t>意外的原因，在本公司指定或认可的医疗机构由专科医生确诊初次发生本合同</w:t>
      </w:r>
      <w:r>
        <w:rPr>
          <w:spacing w:val="-2"/>
        </w:rPr>
        <w:t>所列的一种或多种中度疾病，</w:t>
      </w:r>
      <w:r>
        <w:rPr>
          <w:color w:val="000000"/>
          <w:spacing w:val="-2"/>
          <w:shd w:fill="E4E4E4" w:color="auto" w:val="clear"/>
        </w:rPr>
        <w:t>本公司不承担且不再承担此种中度疾病保险金责</w:t>
      </w:r>
      <w:r>
        <w:rPr>
          <w:color w:val="000000"/>
          <w:spacing w:val="40"/>
          <w:shd w:fill="E4E4E4" w:color="auto" w:val="clear"/>
        </w:rPr>
        <w:t> </w:t>
      </w:r>
      <w:r>
        <w:rPr>
          <w:color w:val="000000"/>
          <w:spacing w:val="-2"/>
          <w:shd w:fill="E4E4E4" w:color="auto" w:val="clear"/>
        </w:rPr>
        <w:t>任，本合同继续有效。</w:t>
      </w:r>
    </w:p>
    <w:p>
      <w:pPr>
        <w:spacing w:after="0" w:line="266" w:lineRule="auto"/>
        <w:jc w:val="both"/>
        <w:sectPr>
          <w:type w:val="continuous"/>
          <w:pgSz w:w="11910" w:h="16840"/>
          <w:pgMar w:header="0" w:footer="1186" w:top="480" w:bottom="280" w:left="920" w:right="540"/>
          <w:cols w:num="2" w:equalWidth="0">
            <w:col w:w="2678" w:space="126"/>
            <w:col w:w="7646"/>
          </w:cols>
        </w:sectPr>
      </w:pPr>
    </w:p>
    <w:p>
      <w:pPr>
        <w:pStyle w:val="BodyText"/>
        <w:spacing w:before="3"/>
        <w:rPr>
          <w:sz w:val="10"/>
        </w:rPr>
      </w:pPr>
    </w:p>
    <w:p>
      <w:pPr>
        <w:pStyle w:val="BodyText"/>
        <w:spacing w:before="3"/>
        <w:rPr>
          <w:sz w:val="10"/>
        </w:rPr>
      </w:pPr>
      <w:r>
        <w:rPr/>
        <w:pict>
          <v:shape style="position:absolute;margin-left:199.610001pt;margin-top:7.774pt;width:357.8pt;height:30pt;mso-position-horizontal-relative:page;mso-position-vertical-relative:paragraph;z-index:-15725568;mso-wrap-distance-left:0;mso-wrap-distance-right:0" type="#_x0000_t202" id="docshape7" filled="true" fillcolor="#e4e4e4" stroked="false">
            <v:textbox inset="0,0,0,0">
              <w:txbxContent>
                <w:p>
                  <w:pPr>
                    <w:pStyle w:val="BodyText"/>
                    <w:spacing w:line="266" w:lineRule="auto" w:before="25"/>
                    <w:ind w:right="-15"/>
                    <w:rPr>
                      <w:color w:val="000000"/>
                    </w:rPr>
                  </w:pPr>
                  <w:r>
                    <w:rPr>
                      <w:color w:val="000000"/>
                      <w:spacing w:val="-2"/>
                    </w:rPr>
                    <w:t>若被保险人因同一疾病原因、同次医疗行为或同次意外伤害事故导致其发生本</w:t>
                  </w:r>
                  <w:r>
                    <w:rPr>
                      <w:color w:val="000000"/>
                      <w:spacing w:val="-3"/>
                    </w:rPr>
                    <w:t>合同所定义的两种或两种以上中度疾病，本公司仅按一种中度疾病给付中度疾</w:t>
                  </w:r>
                </w:p>
              </w:txbxContent>
            </v:textbox>
            <v:fill type="solid"/>
            <w10:wrap type="topAndBottom"/>
          </v:shape>
        </w:pict>
      </w:r>
    </w:p>
    <w:p>
      <w:pPr>
        <w:pStyle w:val="BodyText"/>
        <w:spacing w:before="30"/>
        <w:ind w:left="3072"/>
      </w:pPr>
      <w:r>
        <w:rPr>
          <w:color w:val="000000"/>
          <w:spacing w:val="-4"/>
          <w:shd w:fill="E4E4E4" w:color="auto" w:val="clear"/>
        </w:rPr>
        <w:t>病保险金。</w:t>
      </w:r>
    </w:p>
    <w:p>
      <w:pPr>
        <w:pStyle w:val="BodyText"/>
        <w:spacing w:before="4"/>
        <w:rPr>
          <w:sz w:val="10"/>
        </w:rPr>
      </w:pPr>
      <w:r>
        <w:rPr/>
        <w:pict>
          <v:shape style="position:absolute;margin-left:199.610001pt;margin-top:7.846875pt;width:357.8pt;height:30pt;mso-position-horizontal-relative:page;mso-position-vertical-relative:paragraph;z-index:-15725056;mso-wrap-distance-left:0;mso-wrap-distance-right:0" type="#_x0000_t202" id="docshape8" filled="true" fillcolor="#e4e4e4" stroked="false">
            <v:textbox inset="0,0,0,0">
              <w:txbxContent>
                <w:p>
                  <w:pPr>
                    <w:pStyle w:val="BodyText"/>
                    <w:spacing w:line="266" w:lineRule="auto" w:before="25"/>
                    <w:ind w:right="-15"/>
                    <w:rPr>
                      <w:color w:val="000000"/>
                    </w:rPr>
                  </w:pPr>
                  <w:r>
                    <w:rPr>
                      <w:color w:val="000000"/>
                      <w:spacing w:val="-2"/>
                    </w:rPr>
                    <w:t>若被保险人所患的中度疾病同时符合本合同所列的中度疾病定义和本合同所列</w:t>
                  </w:r>
                  <w:r>
                    <w:rPr>
                      <w:color w:val="000000"/>
                      <w:spacing w:val="-7"/>
                    </w:rPr>
                    <w:t>的重大疾病定义的，本公司仅承担给付重大疾病保险金、恶性肿瘤-重度额外给</w:t>
                  </w:r>
                </w:p>
              </w:txbxContent>
            </v:textbox>
            <v:fill type="solid"/>
            <w10:wrap type="topAndBottom"/>
          </v:shape>
        </w:pict>
      </w:r>
    </w:p>
    <w:p>
      <w:pPr>
        <w:pStyle w:val="BodyText"/>
        <w:spacing w:before="3"/>
      </w:pPr>
    </w:p>
    <w:p>
      <w:pPr>
        <w:spacing w:before="90"/>
        <w:ind w:left="160" w:right="0" w:firstLine="0"/>
        <w:jc w:val="left"/>
        <w:rPr>
          <w:rFonts w:ascii="楷体" w:eastAsia="楷体"/>
          <w:sz w:val="18"/>
        </w:rPr>
      </w:pPr>
      <w:r>
        <w:rPr>
          <w:w w:val="95"/>
          <w:position w:val="9"/>
          <w:sz w:val="9"/>
        </w:rPr>
        <w:t>12</w:t>
      </w:r>
      <w:r>
        <w:rPr>
          <w:rFonts w:ascii="楷体" w:eastAsia="楷体" w:hint="eastAsia"/>
          <w:b/>
          <w:w w:val="95"/>
          <w:sz w:val="18"/>
        </w:rPr>
        <w:t>重</w:t>
      </w:r>
      <w:r>
        <w:rPr>
          <w:rFonts w:ascii="楷体" w:eastAsia="楷体" w:hint="eastAsia"/>
          <w:b/>
          <w:w w:val="95"/>
          <w:sz w:val="18"/>
        </w:rPr>
        <w:t>大</w:t>
      </w:r>
      <w:r>
        <w:rPr>
          <w:rFonts w:ascii="楷体" w:eastAsia="楷体" w:hint="eastAsia"/>
          <w:b/>
          <w:w w:val="95"/>
          <w:sz w:val="18"/>
        </w:rPr>
        <w:t>疾</w:t>
      </w:r>
      <w:r>
        <w:rPr>
          <w:rFonts w:ascii="楷体" w:eastAsia="楷体" w:hint="eastAsia"/>
          <w:b/>
          <w:w w:val="95"/>
          <w:sz w:val="18"/>
        </w:rPr>
        <w:t>病</w:t>
      </w:r>
      <w:r>
        <w:rPr>
          <w:rFonts w:ascii="楷体" w:eastAsia="楷体" w:hint="eastAsia"/>
          <w:b/>
          <w:w w:val="95"/>
          <w:sz w:val="18"/>
        </w:rPr>
        <w:t>确</w:t>
      </w:r>
      <w:r>
        <w:rPr>
          <w:rFonts w:ascii="楷体" w:eastAsia="楷体" w:hint="eastAsia"/>
          <w:b/>
          <w:w w:val="95"/>
          <w:sz w:val="18"/>
        </w:rPr>
        <w:t>诊</w:t>
      </w:r>
      <w:r>
        <w:rPr>
          <w:rFonts w:ascii="楷体" w:eastAsia="楷体" w:hint="eastAsia"/>
          <w:b/>
          <w:w w:val="95"/>
          <w:sz w:val="18"/>
        </w:rPr>
        <w:t>之</w:t>
      </w:r>
      <w:r>
        <w:rPr>
          <w:rFonts w:ascii="楷体" w:eastAsia="楷体" w:hint="eastAsia"/>
          <w:b/>
          <w:w w:val="95"/>
          <w:sz w:val="18"/>
        </w:rPr>
        <w:t>日：</w:t>
      </w:r>
      <w:r>
        <w:rPr>
          <w:rFonts w:ascii="楷体" w:eastAsia="楷体"/>
          <w:w w:val="95"/>
          <w:sz w:val="18"/>
        </w:rPr>
        <w:t>临</w:t>
      </w:r>
      <w:r>
        <w:rPr>
          <w:rFonts w:ascii="楷体" w:eastAsia="楷体"/>
          <w:w w:val="95"/>
          <w:sz w:val="18"/>
        </w:rPr>
        <w:t>床</w:t>
      </w:r>
      <w:r>
        <w:rPr>
          <w:rFonts w:ascii="楷体" w:eastAsia="楷体"/>
          <w:w w:val="95"/>
          <w:sz w:val="18"/>
        </w:rPr>
        <w:t>专</w:t>
      </w:r>
      <w:r>
        <w:rPr>
          <w:rFonts w:ascii="楷体" w:eastAsia="楷体"/>
          <w:w w:val="95"/>
          <w:sz w:val="18"/>
        </w:rPr>
        <w:t>科</w:t>
      </w:r>
      <w:r>
        <w:rPr>
          <w:rFonts w:ascii="楷体" w:eastAsia="楷体"/>
          <w:w w:val="95"/>
          <w:sz w:val="18"/>
        </w:rPr>
        <w:t>医</w:t>
      </w:r>
      <w:r>
        <w:rPr>
          <w:rFonts w:ascii="楷体" w:eastAsia="楷体"/>
          <w:w w:val="95"/>
          <w:sz w:val="18"/>
        </w:rPr>
        <w:t>生</w:t>
      </w:r>
      <w:r>
        <w:rPr>
          <w:rFonts w:ascii="楷体" w:eastAsia="楷体"/>
          <w:w w:val="95"/>
          <w:sz w:val="18"/>
        </w:rPr>
        <w:t>首</w:t>
      </w:r>
      <w:r>
        <w:rPr>
          <w:rFonts w:ascii="楷体" w:eastAsia="楷体"/>
          <w:w w:val="95"/>
          <w:sz w:val="18"/>
        </w:rPr>
        <w:t>次</w:t>
      </w:r>
      <w:r>
        <w:rPr>
          <w:rFonts w:ascii="楷体" w:eastAsia="楷体"/>
          <w:w w:val="95"/>
          <w:sz w:val="18"/>
        </w:rPr>
        <w:t>明</w:t>
      </w:r>
      <w:r>
        <w:rPr>
          <w:rFonts w:ascii="楷体" w:eastAsia="楷体"/>
          <w:w w:val="95"/>
          <w:sz w:val="18"/>
        </w:rPr>
        <w:t>确</w:t>
      </w:r>
      <w:r>
        <w:rPr>
          <w:rFonts w:ascii="楷体" w:eastAsia="楷体"/>
          <w:w w:val="95"/>
          <w:sz w:val="18"/>
        </w:rPr>
        <w:t>诊</w:t>
      </w:r>
      <w:r>
        <w:rPr>
          <w:rFonts w:ascii="楷体" w:eastAsia="楷体"/>
          <w:w w:val="95"/>
          <w:sz w:val="18"/>
        </w:rPr>
        <w:t>断</w:t>
      </w:r>
      <w:r>
        <w:rPr>
          <w:rFonts w:ascii="楷体" w:eastAsia="楷体"/>
          <w:w w:val="95"/>
          <w:sz w:val="18"/>
        </w:rPr>
        <w:t>符</w:t>
      </w:r>
      <w:r>
        <w:rPr>
          <w:rFonts w:ascii="楷体" w:eastAsia="楷体"/>
          <w:w w:val="95"/>
          <w:sz w:val="18"/>
        </w:rPr>
        <w:t>合</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附</w:t>
      </w:r>
      <w:r>
        <w:rPr>
          <w:rFonts w:ascii="楷体" w:eastAsia="楷体"/>
          <w:w w:val="95"/>
          <w:sz w:val="18"/>
        </w:rPr>
        <w:t>表</w:t>
      </w:r>
      <w:r>
        <w:rPr>
          <w:rFonts w:ascii="楷体" w:eastAsia="楷体"/>
          <w:w w:val="95"/>
          <w:sz w:val="18"/>
        </w:rPr>
        <w:t>一</w:t>
      </w:r>
      <w:r>
        <w:rPr>
          <w:rFonts w:ascii="楷体" w:eastAsia="楷体"/>
          <w:w w:val="95"/>
          <w:sz w:val="18"/>
        </w:rPr>
        <w:t>所</w:t>
      </w:r>
      <w:r>
        <w:rPr>
          <w:rFonts w:ascii="楷体" w:eastAsia="楷体"/>
          <w:w w:val="95"/>
          <w:sz w:val="18"/>
        </w:rPr>
        <w:t>列</w:t>
      </w:r>
      <w:r>
        <w:rPr>
          <w:rFonts w:ascii="楷体" w:eastAsia="楷体"/>
          <w:w w:val="95"/>
          <w:sz w:val="18"/>
        </w:rPr>
        <w:t>的</w:t>
      </w:r>
      <w:r>
        <w:rPr>
          <w:rFonts w:ascii="楷体" w:eastAsia="楷体"/>
          <w:w w:val="95"/>
          <w:sz w:val="18"/>
        </w:rPr>
        <w:t>任</w:t>
      </w:r>
      <w:r>
        <w:rPr>
          <w:rFonts w:ascii="楷体" w:eastAsia="楷体"/>
          <w:w w:val="95"/>
          <w:sz w:val="18"/>
        </w:rPr>
        <w:t>何</w:t>
      </w:r>
      <w:r>
        <w:rPr>
          <w:rFonts w:ascii="楷体" w:eastAsia="楷体"/>
          <w:w w:val="95"/>
          <w:sz w:val="18"/>
        </w:rPr>
        <w:t>一</w:t>
      </w:r>
      <w:r>
        <w:rPr>
          <w:rFonts w:ascii="楷体" w:eastAsia="楷体"/>
          <w:w w:val="95"/>
          <w:sz w:val="18"/>
        </w:rPr>
        <w:t>种</w:t>
      </w:r>
      <w:r>
        <w:rPr>
          <w:rFonts w:ascii="楷体" w:eastAsia="楷体"/>
          <w:w w:val="95"/>
          <w:sz w:val="18"/>
        </w:rPr>
        <w:t>疾</w:t>
      </w:r>
      <w:r>
        <w:rPr>
          <w:rFonts w:ascii="楷体" w:eastAsia="楷体"/>
          <w:w w:val="95"/>
          <w:sz w:val="18"/>
        </w:rPr>
        <w:t>病</w:t>
      </w:r>
      <w:r>
        <w:rPr>
          <w:rFonts w:ascii="楷体" w:eastAsia="楷体"/>
          <w:w w:val="95"/>
          <w:sz w:val="18"/>
        </w:rPr>
        <w:t>，</w:t>
      </w:r>
      <w:r>
        <w:rPr>
          <w:rFonts w:ascii="楷体" w:eastAsia="楷体"/>
          <w:w w:val="95"/>
          <w:sz w:val="18"/>
        </w:rPr>
        <w:t>且</w:t>
      </w:r>
      <w:r>
        <w:rPr>
          <w:rFonts w:ascii="楷体" w:eastAsia="楷体"/>
          <w:w w:val="95"/>
          <w:sz w:val="18"/>
        </w:rPr>
        <w:t>达</w:t>
      </w:r>
      <w:r>
        <w:rPr>
          <w:rFonts w:ascii="楷体" w:eastAsia="楷体"/>
          <w:w w:val="95"/>
          <w:sz w:val="18"/>
        </w:rPr>
        <w:t>到</w:t>
      </w:r>
      <w:r>
        <w:rPr>
          <w:rFonts w:ascii="楷体" w:eastAsia="楷体"/>
          <w:w w:val="95"/>
          <w:sz w:val="18"/>
        </w:rPr>
        <w:t>重</w:t>
      </w:r>
      <w:r>
        <w:rPr>
          <w:rFonts w:ascii="楷体" w:eastAsia="楷体"/>
          <w:w w:val="95"/>
          <w:sz w:val="18"/>
        </w:rPr>
        <w:t>大</w:t>
      </w:r>
      <w:r>
        <w:rPr>
          <w:rFonts w:ascii="楷体" w:eastAsia="楷体"/>
          <w:w w:val="95"/>
          <w:sz w:val="18"/>
        </w:rPr>
        <w:t>疾</w:t>
      </w:r>
      <w:r>
        <w:rPr>
          <w:rFonts w:ascii="楷体" w:eastAsia="楷体"/>
          <w:w w:val="95"/>
          <w:sz w:val="18"/>
        </w:rPr>
        <w:t>病</w:t>
      </w:r>
      <w:r>
        <w:rPr>
          <w:rFonts w:ascii="楷体" w:eastAsia="楷体"/>
          <w:w w:val="95"/>
          <w:sz w:val="18"/>
        </w:rPr>
        <w:t>定</w:t>
      </w:r>
      <w:r>
        <w:rPr>
          <w:rFonts w:ascii="楷体" w:eastAsia="楷体"/>
          <w:w w:val="95"/>
          <w:sz w:val="18"/>
        </w:rPr>
        <w:t>义</w:t>
      </w:r>
      <w:r>
        <w:rPr>
          <w:rFonts w:ascii="楷体" w:eastAsia="楷体"/>
          <w:w w:val="95"/>
          <w:sz w:val="18"/>
        </w:rPr>
        <w:t>所</w:t>
      </w:r>
      <w:r>
        <w:rPr>
          <w:rFonts w:ascii="楷体" w:eastAsia="楷体"/>
          <w:w w:val="95"/>
          <w:sz w:val="18"/>
        </w:rPr>
        <w:t>述</w:t>
      </w:r>
      <w:r>
        <w:rPr>
          <w:rFonts w:ascii="楷体" w:eastAsia="楷体"/>
          <w:w w:val="95"/>
          <w:sz w:val="18"/>
        </w:rPr>
        <w:t>条</w:t>
      </w:r>
      <w:r>
        <w:rPr>
          <w:rFonts w:ascii="楷体" w:eastAsia="楷体"/>
          <w:w w:val="95"/>
          <w:sz w:val="18"/>
        </w:rPr>
        <w:t>件</w:t>
      </w:r>
      <w:r>
        <w:rPr>
          <w:rFonts w:ascii="楷体" w:eastAsia="楷体"/>
          <w:spacing w:val="-10"/>
          <w:w w:val="95"/>
          <w:sz w:val="18"/>
        </w:rPr>
        <w:t>的</w:t>
      </w:r>
    </w:p>
    <w:p>
      <w:pPr>
        <w:spacing w:before="5"/>
        <w:ind w:left="160" w:right="0" w:firstLine="0"/>
        <w:jc w:val="left"/>
        <w:rPr>
          <w:rFonts w:ascii="楷体" w:eastAsia="楷体"/>
          <w:sz w:val="18"/>
        </w:rPr>
      </w:pPr>
      <w:r>
        <w:rPr>
          <w:rFonts w:ascii="楷体" w:eastAsia="楷体"/>
          <w:spacing w:val="-4"/>
          <w:sz w:val="18"/>
        </w:rPr>
        <w:t>时间。</w:t>
      </w:r>
    </w:p>
    <w:p>
      <w:pPr>
        <w:spacing w:before="2"/>
        <w:ind w:left="160" w:right="0" w:firstLine="0"/>
        <w:jc w:val="left"/>
        <w:rPr>
          <w:rFonts w:ascii="楷体" w:eastAsia="楷体"/>
          <w:sz w:val="18"/>
        </w:rPr>
      </w:pPr>
      <w:r>
        <w:rPr>
          <w:w w:val="95"/>
          <w:position w:val="9"/>
          <w:sz w:val="9"/>
        </w:rPr>
        <w:t>13</w:t>
      </w:r>
      <w:r>
        <w:rPr>
          <w:rFonts w:ascii="楷体" w:eastAsia="楷体" w:hint="eastAsia"/>
          <w:b/>
          <w:w w:val="95"/>
          <w:sz w:val="18"/>
        </w:rPr>
        <w:t>住院：</w:t>
      </w:r>
      <w:r>
        <w:rPr>
          <w:rFonts w:ascii="楷体" w:eastAsia="楷体"/>
          <w:w w:val="95"/>
          <w:sz w:val="18"/>
        </w:rPr>
        <w:t>指</w:t>
      </w:r>
      <w:r>
        <w:rPr>
          <w:rFonts w:ascii="楷体" w:eastAsia="楷体"/>
          <w:w w:val="95"/>
          <w:sz w:val="18"/>
        </w:rPr>
        <w:t>确</w:t>
      </w:r>
      <w:r>
        <w:rPr>
          <w:rFonts w:ascii="楷体" w:eastAsia="楷体"/>
          <w:w w:val="95"/>
          <w:sz w:val="18"/>
        </w:rPr>
        <w:t>因</w:t>
      </w:r>
      <w:r>
        <w:rPr>
          <w:rFonts w:ascii="楷体" w:eastAsia="楷体"/>
          <w:w w:val="95"/>
          <w:sz w:val="18"/>
        </w:rPr>
        <w:t>临</w:t>
      </w:r>
      <w:r>
        <w:rPr>
          <w:rFonts w:ascii="楷体" w:eastAsia="楷体"/>
          <w:w w:val="95"/>
          <w:sz w:val="18"/>
        </w:rPr>
        <w:t>床</w:t>
      </w:r>
      <w:r>
        <w:rPr>
          <w:rFonts w:ascii="楷体" w:eastAsia="楷体"/>
          <w:w w:val="95"/>
          <w:sz w:val="18"/>
        </w:rPr>
        <w:t>需</w:t>
      </w:r>
      <w:r>
        <w:rPr>
          <w:rFonts w:ascii="楷体" w:eastAsia="楷体"/>
          <w:w w:val="95"/>
          <w:sz w:val="18"/>
        </w:rPr>
        <w:t>要</w:t>
      </w:r>
      <w:r>
        <w:rPr>
          <w:rFonts w:ascii="楷体" w:eastAsia="楷体"/>
          <w:w w:val="95"/>
          <w:sz w:val="18"/>
        </w:rPr>
        <w:t>，正式</w:t>
      </w:r>
      <w:r>
        <w:rPr>
          <w:rFonts w:ascii="楷体" w:eastAsia="楷体"/>
          <w:w w:val="95"/>
          <w:sz w:val="18"/>
        </w:rPr>
        <w:t>办</w:t>
      </w:r>
      <w:r>
        <w:rPr>
          <w:rFonts w:ascii="楷体" w:eastAsia="楷体"/>
          <w:w w:val="95"/>
          <w:sz w:val="18"/>
        </w:rPr>
        <w:t>理</w:t>
      </w:r>
      <w:r>
        <w:rPr>
          <w:rFonts w:ascii="楷体" w:eastAsia="楷体"/>
          <w:w w:val="95"/>
          <w:sz w:val="18"/>
        </w:rPr>
        <w:t>入</w:t>
      </w:r>
      <w:r>
        <w:rPr>
          <w:rFonts w:ascii="楷体" w:eastAsia="楷体"/>
          <w:w w:val="95"/>
          <w:sz w:val="18"/>
        </w:rPr>
        <w:t>院</w:t>
      </w:r>
      <w:r>
        <w:rPr>
          <w:rFonts w:ascii="楷体" w:eastAsia="楷体"/>
          <w:w w:val="95"/>
          <w:sz w:val="18"/>
        </w:rPr>
        <w:t>及</w:t>
      </w:r>
      <w:r>
        <w:rPr>
          <w:rFonts w:ascii="楷体" w:eastAsia="楷体"/>
          <w:w w:val="95"/>
          <w:sz w:val="18"/>
        </w:rPr>
        <w:t>出</w:t>
      </w:r>
      <w:r>
        <w:rPr>
          <w:rFonts w:ascii="楷体" w:eastAsia="楷体"/>
          <w:w w:val="95"/>
          <w:sz w:val="18"/>
        </w:rPr>
        <w:t>院</w:t>
      </w:r>
      <w:r>
        <w:rPr>
          <w:rFonts w:ascii="楷体" w:eastAsia="楷体"/>
          <w:w w:val="95"/>
          <w:sz w:val="18"/>
        </w:rPr>
        <w:t>手</w:t>
      </w:r>
      <w:r>
        <w:rPr>
          <w:rFonts w:ascii="楷体" w:eastAsia="楷体"/>
          <w:w w:val="95"/>
          <w:sz w:val="18"/>
        </w:rPr>
        <w:t>续</w:t>
      </w:r>
      <w:r>
        <w:rPr>
          <w:rFonts w:ascii="楷体" w:eastAsia="楷体"/>
          <w:w w:val="95"/>
          <w:sz w:val="18"/>
        </w:rPr>
        <w:t>，</w:t>
      </w:r>
      <w:r>
        <w:rPr>
          <w:rFonts w:ascii="楷体" w:eastAsia="楷体"/>
          <w:w w:val="95"/>
          <w:sz w:val="18"/>
        </w:rPr>
        <w:t>并</w:t>
      </w:r>
      <w:r>
        <w:rPr>
          <w:rFonts w:ascii="楷体" w:eastAsia="楷体"/>
          <w:w w:val="95"/>
          <w:sz w:val="18"/>
        </w:rPr>
        <w:t>确</w:t>
      </w:r>
      <w:r>
        <w:rPr>
          <w:rFonts w:ascii="楷体" w:eastAsia="楷体"/>
          <w:w w:val="95"/>
          <w:sz w:val="18"/>
        </w:rPr>
        <w:t>实</w:t>
      </w:r>
      <w:r>
        <w:rPr>
          <w:rFonts w:ascii="楷体" w:eastAsia="楷体"/>
          <w:w w:val="95"/>
          <w:sz w:val="18"/>
        </w:rPr>
        <w:t>入</w:t>
      </w:r>
      <w:r>
        <w:rPr>
          <w:rFonts w:ascii="楷体" w:eastAsia="楷体"/>
          <w:w w:val="95"/>
          <w:sz w:val="18"/>
        </w:rPr>
        <w:t>住</w:t>
      </w:r>
      <w:r>
        <w:rPr>
          <w:rFonts w:ascii="楷体" w:eastAsia="楷体"/>
          <w:w w:val="95"/>
          <w:sz w:val="18"/>
        </w:rPr>
        <w:t>医</w:t>
      </w:r>
      <w:r>
        <w:rPr>
          <w:rFonts w:ascii="楷体" w:eastAsia="楷体"/>
          <w:w w:val="95"/>
          <w:sz w:val="18"/>
        </w:rPr>
        <w:t>疗</w:t>
      </w:r>
      <w:r>
        <w:rPr>
          <w:rFonts w:ascii="楷体" w:eastAsia="楷体"/>
          <w:w w:val="95"/>
          <w:sz w:val="18"/>
        </w:rPr>
        <w:t>机</w:t>
      </w:r>
      <w:r>
        <w:rPr>
          <w:rFonts w:ascii="楷体" w:eastAsia="楷体"/>
          <w:w w:val="95"/>
          <w:sz w:val="18"/>
        </w:rPr>
        <w:t>构</w:t>
      </w:r>
      <w:r>
        <w:rPr>
          <w:rFonts w:ascii="楷体" w:eastAsia="楷体"/>
          <w:w w:val="95"/>
          <w:sz w:val="18"/>
        </w:rPr>
        <w:t>正</w:t>
      </w:r>
      <w:r>
        <w:rPr>
          <w:rFonts w:ascii="楷体" w:eastAsia="楷体"/>
          <w:w w:val="95"/>
          <w:sz w:val="18"/>
        </w:rPr>
        <w:t>式</w:t>
      </w:r>
      <w:r>
        <w:rPr>
          <w:rFonts w:ascii="楷体" w:eastAsia="楷体"/>
          <w:w w:val="95"/>
          <w:sz w:val="18"/>
        </w:rPr>
        <w:t>病</w:t>
      </w:r>
      <w:r>
        <w:rPr>
          <w:rFonts w:ascii="楷体" w:eastAsia="楷体"/>
          <w:w w:val="95"/>
          <w:sz w:val="18"/>
        </w:rPr>
        <w:t>房</w:t>
      </w:r>
      <w:r>
        <w:rPr>
          <w:rFonts w:ascii="楷体" w:eastAsia="楷体"/>
          <w:w w:val="95"/>
          <w:sz w:val="18"/>
        </w:rPr>
        <w:t>接</w:t>
      </w:r>
      <w:r>
        <w:rPr>
          <w:rFonts w:ascii="楷体" w:eastAsia="楷体"/>
          <w:w w:val="95"/>
          <w:sz w:val="18"/>
        </w:rPr>
        <w:t>受</w:t>
      </w:r>
      <w:r>
        <w:rPr>
          <w:rFonts w:ascii="楷体" w:eastAsia="楷体"/>
          <w:w w:val="95"/>
          <w:sz w:val="18"/>
        </w:rPr>
        <w:t>治</w:t>
      </w:r>
      <w:r>
        <w:rPr>
          <w:rFonts w:ascii="楷体" w:eastAsia="楷体"/>
          <w:w w:val="95"/>
          <w:sz w:val="18"/>
        </w:rPr>
        <w:t>疗</w:t>
      </w:r>
      <w:r>
        <w:rPr>
          <w:rFonts w:ascii="楷体" w:eastAsia="楷体"/>
          <w:w w:val="95"/>
          <w:sz w:val="18"/>
        </w:rPr>
        <w:t>的</w:t>
      </w:r>
      <w:r>
        <w:rPr>
          <w:rFonts w:ascii="楷体" w:eastAsia="楷体"/>
          <w:w w:val="95"/>
          <w:sz w:val="18"/>
        </w:rPr>
        <w:t>行</w:t>
      </w:r>
      <w:r>
        <w:rPr>
          <w:rFonts w:ascii="楷体" w:eastAsia="楷体"/>
          <w:w w:val="95"/>
          <w:sz w:val="18"/>
        </w:rPr>
        <w:t>为</w:t>
      </w:r>
      <w:r>
        <w:rPr>
          <w:rFonts w:ascii="楷体" w:eastAsia="楷体"/>
          <w:w w:val="95"/>
          <w:sz w:val="18"/>
        </w:rPr>
        <w:t>过</w:t>
      </w:r>
      <w:r>
        <w:rPr>
          <w:rFonts w:ascii="楷体" w:eastAsia="楷体"/>
          <w:w w:val="95"/>
          <w:sz w:val="18"/>
        </w:rPr>
        <w:t>程</w:t>
      </w:r>
      <w:r>
        <w:rPr>
          <w:rFonts w:ascii="楷体" w:eastAsia="楷体"/>
          <w:w w:val="95"/>
          <w:sz w:val="18"/>
        </w:rPr>
        <w:t>，</w:t>
      </w:r>
      <w:r>
        <w:rPr>
          <w:rFonts w:ascii="楷体" w:eastAsia="楷体"/>
          <w:w w:val="95"/>
          <w:sz w:val="18"/>
        </w:rPr>
        <w:t>但</w:t>
      </w:r>
      <w:r>
        <w:rPr>
          <w:rFonts w:ascii="楷体" w:eastAsia="楷体"/>
          <w:w w:val="95"/>
          <w:sz w:val="18"/>
        </w:rPr>
        <w:t>不</w:t>
      </w:r>
      <w:r>
        <w:rPr>
          <w:rFonts w:ascii="楷体" w:eastAsia="楷体"/>
          <w:w w:val="95"/>
          <w:sz w:val="18"/>
        </w:rPr>
        <w:t>包</w:t>
      </w:r>
      <w:r>
        <w:rPr>
          <w:rFonts w:ascii="楷体" w:eastAsia="楷体"/>
          <w:w w:val="95"/>
          <w:sz w:val="18"/>
        </w:rPr>
        <w:t>括</w:t>
      </w:r>
      <w:r>
        <w:rPr>
          <w:rFonts w:ascii="楷体" w:eastAsia="楷体"/>
          <w:w w:val="95"/>
          <w:sz w:val="18"/>
        </w:rPr>
        <w:t>入</w:t>
      </w:r>
      <w:r>
        <w:rPr>
          <w:rFonts w:ascii="楷体" w:eastAsia="楷体"/>
          <w:w w:val="95"/>
          <w:sz w:val="18"/>
        </w:rPr>
        <w:t>住</w:t>
      </w:r>
      <w:r>
        <w:rPr>
          <w:rFonts w:ascii="楷体" w:eastAsia="楷体"/>
          <w:w w:val="95"/>
          <w:sz w:val="18"/>
        </w:rPr>
        <w:t>门</w:t>
      </w:r>
      <w:r>
        <w:rPr>
          <w:rFonts w:ascii="楷体" w:eastAsia="楷体"/>
          <w:spacing w:val="-10"/>
          <w:w w:val="95"/>
          <w:sz w:val="18"/>
        </w:rPr>
        <w:t>诊</w:t>
      </w:r>
    </w:p>
    <w:p>
      <w:pPr>
        <w:spacing w:before="3"/>
        <w:ind w:left="160" w:right="0" w:firstLine="0"/>
        <w:jc w:val="left"/>
        <w:rPr>
          <w:rFonts w:ascii="楷体" w:eastAsia="楷体"/>
          <w:sz w:val="18"/>
        </w:rPr>
      </w:pPr>
      <w:r>
        <w:rPr>
          <w:rFonts w:ascii="楷体" w:eastAsia="楷体"/>
          <w:spacing w:val="-1"/>
          <w:sz w:val="18"/>
        </w:rPr>
        <w:t>观察室、家庭病床、挂床住院、以及修养、疗养、身体检查和健康护理等非治疗性行为。</w:t>
      </w:r>
    </w:p>
    <w:p>
      <w:pPr>
        <w:spacing w:line="244" w:lineRule="auto" w:before="2"/>
        <w:ind w:left="160" w:right="534" w:firstLine="0"/>
        <w:jc w:val="left"/>
        <w:rPr>
          <w:rFonts w:ascii="楷体" w:eastAsia="楷体"/>
          <w:sz w:val="18"/>
        </w:rPr>
      </w:pPr>
      <w:r>
        <w:rPr>
          <w:spacing w:val="-2"/>
          <w:position w:val="9"/>
          <w:sz w:val="9"/>
        </w:rPr>
        <w:t>14</w:t>
      </w:r>
      <w:r>
        <w:rPr>
          <w:rFonts w:ascii="楷体" w:eastAsia="楷体" w:hint="eastAsia"/>
          <w:b/>
          <w:spacing w:val="-2"/>
          <w:sz w:val="18"/>
        </w:rPr>
        <w:t>住</w:t>
      </w:r>
      <w:r>
        <w:rPr>
          <w:rFonts w:ascii="楷体" w:eastAsia="楷体" w:hint="eastAsia"/>
          <w:b/>
          <w:spacing w:val="-2"/>
          <w:sz w:val="18"/>
        </w:rPr>
        <w:t>院</w:t>
      </w:r>
      <w:r>
        <w:rPr>
          <w:rFonts w:ascii="楷体" w:eastAsia="楷体" w:hint="eastAsia"/>
          <w:b/>
          <w:spacing w:val="-2"/>
          <w:sz w:val="18"/>
        </w:rPr>
        <w:t>前</w:t>
      </w:r>
      <w:r>
        <w:rPr>
          <w:rFonts w:ascii="楷体" w:eastAsia="楷体" w:hint="eastAsia"/>
          <w:b/>
          <w:spacing w:val="-2"/>
          <w:sz w:val="18"/>
        </w:rPr>
        <w:t>后</w:t>
      </w:r>
      <w:r>
        <w:rPr>
          <w:rFonts w:ascii="楷体" w:eastAsia="楷体" w:hint="eastAsia"/>
          <w:b/>
          <w:spacing w:val="-2"/>
          <w:sz w:val="18"/>
        </w:rPr>
        <w:t>门</w:t>
      </w:r>
      <w:r>
        <w:rPr>
          <w:rFonts w:ascii="楷体" w:eastAsia="楷体" w:hint="eastAsia"/>
          <w:b/>
          <w:spacing w:val="-2"/>
          <w:sz w:val="18"/>
        </w:rPr>
        <w:t>急</w:t>
      </w:r>
      <w:r>
        <w:rPr>
          <w:rFonts w:ascii="楷体" w:eastAsia="楷体" w:hint="eastAsia"/>
          <w:b/>
          <w:spacing w:val="-2"/>
          <w:sz w:val="18"/>
        </w:rPr>
        <w:t>诊</w:t>
      </w:r>
      <w:r>
        <w:rPr>
          <w:rFonts w:ascii="楷体" w:eastAsia="楷体" w:hint="eastAsia"/>
          <w:b/>
          <w:spacing w:val="-2"/>
          <w:sz w:val="18"/>
        </w:rPr>
        <w:t>治疗：</w:t>
      </w:r>
      <w:r>
        <w:rPr>
          <w:rFonts w:ascii="楷体" w:eastAsia="楷体"/>
          <w:spacing w:val="-6"/>
          <w:sz w:val="18"/>
        </w:rPr>
        <w:t>指住院前 </w:t>
      </w:r>
      <w:r>
        <w:rPr>
          <w:rFonts w:ascii="楷体" w:eastAsia="楷体"/>
          <w:spacing w:val="-2"/>
          <w:sz w:val="18"/>
        </w:rPr>
        <w:t>7</w:t>
      </w:r>
      <w:r>
        <w:rPr>
          <w:rFonts w:ascii="楷体" w:eastAsia="楷体"/>
          <w:spacing w:val="-11"/>
          <w:sz w:val="18"/>
        </w:rPr>
        <w:t> 日</w:t>
      </w:r>
      <w:r>
        <w:rPr>
          <w:rFonts w:ascii="楷体" w:eastAsia="楷体"/>
          <w:spacing w:val="-2"/>
          <w:sz w:val="18"/>
        </w:rPr>
        <w:t>（含住院当日）</w:t>
      </w:r>
      <w:r>
        <w:rPr>
          <w:rFonts w:ascii="楷体" w:eastAsia="楷体"/>
          <w:spacing w:val="-6"/>
          <w:sz w:val="18"/>
        </w:rPr>
        <w:t>和出院后 </w:t>
      </w:r>
      <w:r>
        <w:rPr>
          <w:rFonts w:ascii="楷体" w:eastAsia="楷体"/>
          <w:spacing w:val="-2"/>
          <w:sz w:val="18"/>
        </w:rPr>
        <w:t>30</w:t>
      </w:r>
      <w:r>
        <w:rPr>
          <w:rFonts w:ascii="楷体" w:eastAsia="楷体"/>
          <w:spacing w:val="-11"/>
          <w:sz w:val="18"/>
        </w:rPr>
        <w:t> 日</w:t>
      </w:r>
      <w:r>
        <w:rPr>
          <w:rFonts w:ascii="楷体" w:eastAsia="楷体"/>
          <w:spacing w:val="-2"/>
          <w:sz w:val="18"/>
        </w:rPr>
        <w:t>（含出院当日）因与该次住院相同原因而接受门急诊治</w:t>
      </w:r>
      <w:r>
        <w:rPr>
          <w:rFonts w:ascii="楷体" w:eastAsia="楷体"/>
          <w:spacing w:val="-6"/>
          <w:sz w:val="18"/>
        </w:rPr>
        <w:t>疗。</w:t>
      </w:r>
    </w:p>
    <w:p>
      <w:pPr>
        <w:spacing w:line="228" w:lineRule="exact" w:before="0"/>
        <w:ind w:left="160" w:right="0" w:firstLine="0"/>
        <w:jc w:val="left"/>
        <w:rPr>
          <w:rFonts w:ascii="楷体" w:eastAsia="楷体"/>
          <w:sz w:val="18"/>
        </w:rPr>
      </w:pPr>
      <w:r>
        <w:rPr>
          <w:w w:val="95"/>
          <w:position w:val="9"/>
          <w:sz w:val="9"/>
        </w:rPr>
        <w:t>15</w:t>
      </w:r>
      <w:r>
        <w:rPr>
          <w:rFonts w:ascii="楷体" w:eastAsia="楷体" w:hint="eastAsia"/>
          <w:b/>
          <w:w w:val="95"/>
          <w:sz w:val="18"/>
        </w:rPr>
        <w:t>特</w:t>
      </w:r>
      <w:r>
        <w:rPr>
          <w:rFonts w:ascii="楷体" w:eastAsia="楷体" w:hint="eastAsia"/>
          <w:b/>
          <w:w w:val="95"/>
          <w:sz w:val="18"/>
        </w:rPr>
        <w:t>殊</w:t>
      </w:r>
      <w:r>
        <w:rPr>
          <w:rFonts w:ascii="楷体" w:eastAsia="楷体" w:hint="eastAsia"/>
          <w:b/>
          <w:w w:val="95"/>
          <w:sz w:val="18"/>
        </w:rPr>
        <w:t>门</w:t>
      </w:r>
      <w:r>
        <w:rPr>
          <w:rFonts w:ascii="楷体" w:eastAsia="楷体" w:hint="eastAsia"/>
          <w:b/>
          <w:w w:val="95"/>
          <w:sz w:val="18"/>
        </w:rPr>
        <w:t>诊</w:t>
      </w:r>
      <w:r>
        <w:rPr>
          <w:rFonts w:ascii="楷体" w:eastAsia="楷体" w:hint="eastAsia"/>
          <w:b/>
          <w:w w:val="95"/>
          <w:sz w:val="18"/>
        </w:rPr>
        <w:t>治疗：</w:t>
      </w:r>
      <w:r>
        <w:rPr>
          <w:rFonts w:ascii="楷体" w:eastAsia="楷体"/>
          <w:w w:val="95"/>
          <w:sz w:val="18"/>
        </w:rPr>
        <w:t>特</w:t>
      </w:r>
      <w:r>
        <w:rPr>
          <w:rFonts w:ascii="楷体" w:eastAsia="楷体"/>
          <w:w w:val="95"/>
          <w:sz w:val="18"/>
        </w:rPr>
        <w:t>殊</w:t>
      </w:r>
      <w:r>
        <w:rPr>
          <w:rFonts w:ascii="楷体" w:eastAsia="楷体"/>
          <w:w w:val="95"/>
          <w:sz w:val="18"/>
        </w:rPr>
        <w:t>门</w:t>
      </w:r>
      <w:r>
        <w:rPr>
          <w:rFonts w:ascii="楷体" w:eastAsia="楷体"/>
          <w:w w:val="95"/>
          <w:sz w:val="18"/>
        </w:rPr>
        <w:t>诊</w:t>
      </w:r>
      <w:r>
        <w:rPr>
          <w:rFonts w:ascii="楷体" w:eastAsia="楷体"/>
          <w:w w:val="95"/>
          <w:sz w:val="18"/>
        </w:rPr>
        <w:t>医</w:t>
      </w:r>
      <w:r>
        <w:rPr>
          <w:rFonts w:ascii="楷体" w:eastAsia="楷体"/>
          <w:w w:val="95"/>
          <w:sz w:val="18"/>
        </w:rPr>
        <w:t>疗</w:t>
      </w:r>
      <w:r>
        <w:rPr>
          <w:rFonts w:ascii="楷体" w:eastAsia="楷体"/>
          <w:w w:val="95"/>
          <w:sz w:val="18"/>
        </w:rPr>
        <w:t>费</w:t>
      </w:r>
      <w:r>
        <w:rPr>
          <w:rFonts w:ascii="楷体" w:eastAsia="楷体"/>
          <w:w w:val="95"/>
          <w:sz w:val="18"/>
        </w:rPr>
        <w:t>用</w:t>
      </w:r>
      <w:r>
        <w:rPr>
          <w:rFonts w:ascii="楷体" w:eastAsia="楷体"/>
          <w:w w:val="95"/>
          <w:sz w:val="18"/>
        </w:rPr>
        <w:t>包</w:t>
      </w:r>
      <w:r>
        <w:rPr>
          <w:rFonts w:ascii="楷体" w:eastAsia="楷体"/>
          <w:w w:val="95"/>
          <w:sz w:val="18"/>
        </w:rPr>
        <w:t>括</w:t>
      </w:r>
      <w:r>
        <w:rPr>
          <w:rFonts w:ascii="楷体" w:eastAsia="楷体"/>
          <w:spacing w:val="-74"/>
          <w:w w:val="95"/>
          <w:sz w:val="18"/>
        </w:rPr>
        <w:t>：</w:t>
      </w:r>
      <w:r>
        <w:rPr>
          <w:rFonts w:ascii="楷体" w:eastAsia="楷体"/>
          <w:spacing w:val="27"/>
          <w:w w:val="95"/>
          <w:sz w:val="18"/>
        </w:rPr>
        <w:t>（</w:t>
      </w:r>
      <w:r>
        <w:rPr>
          <w:rFonts w:ascii="楷体" w:eastAsia="楷体"/>
          <w:spacing w:val="28"/>
          <w:w w:val="95"/>
          <w:sz w:val="18"/>
        </w:rPr>
        <w:t>1</w:t>
      </w:r>
      <w:r>
        <w:rPr>
          <w:rFonts w:ascii="楷体" w:eastAsia="楷体"/>
          <w:spacing w:val="17"/>
          <w:w w:val="95"/>
          <w:sz w:val="18"/>
        </w:rPr>
        <w:t>）</w:t>
      </w:r>
      <w:r>
        <w:rPr>
          <w:rFonts w:ascii="楷体" w:eastAsia="楷体"/>
          <w:w w:val="95"/>
          <w:sz w:val="18"/>
        </w:rPr>
        <w:t>门</w:t>
      </w:r>
      <w:r>
        <w:rPr>
          <w:rFonts w:ascii="楷体" w:eastAsia="楷体"/>
          <w:w w:val="95"/>
          <w:sz w:val="18"/>
        </w:rPr>
        <w:t>诊</w:t>
      </w:r>
      <w:r>
        <w:rPr>
          <w:rFonts w:ascii="楷体" w:eastAsia="楷体"/>
          <w:w w:val="95"/>
          <w:sz w:val="18"/>
        </w:rPr>
        <w:t>肾</w:t>
      </w:r>
      <w:r>
        <w:rPr>
          <w:rFonts w:ascii="楷体" w:eastAsia="楷体"/>
          <w:w w:val="95"/>
          <w:sz w:val="18"/>
        </w:rPr>
        <w:t>透</w:t>
      </w:r>
      <w:r>
        <w:rPr>
          <w:rFonts w:ascii="楷体" w:eastAsia="楷体"/>
          <w:w w:val="95"/>
          <w:sz w:val="18"/>
        </w:rPr>
        <w:t>析</w:t>
      </w:r>
      <w:r>
        <w:rPr>
          <w:rFonts w:ascii="楷体" w:eastAsia="楷体"/>
          <w:w w:val="95"/>
          <w:sz w:val="18"/>
        </w:rPr>
        <w:t>费</w:t>
      </w:r>
      <w:r>
        <w:rPr>
          <w:rFonts w:ascii="楷体" w:eastAsia="楷体"/>
          <w:spacing w:val="-72"/>
          <w:w w:val="95"/>
          <w:sz w:val="18"/>
        </w:rPr>
        <w:t>；</w:t>
      </w:r>
      <w:r>
        <w:rPr>
          <w:rFonts w:ascii="楷体" w:eastAsia="楷体"/>
          <w:spacing w:val="27"/>
          <w:w w:val="95"/>
          <w:sz w:val="18"/>
        </w:rPr>
        <w:t>（</w:t>
      </w:r>
      <w:r>
        <w:rPr>
          <w:rFonts w:ascii="楷体" w:eastAsia="楷体"/>
          <w:spacing w:val="28"/>
          <w:w w:val="95"/>
          <w:sz w:val="18"/>
        </w:rPr>
        <w:t>2</w:t>
      </w:r>
      <w:r>
        <w:rPr>
          <w:rFonts w:ascii="楷体" w:eastAsia="楷体"/>
          <w:spacing w:val="17"/>
          <w:w w:val="95"/>
          <w:sz w:val="18"/>
        </w:rPr>
        <w:t>）</w:t>
      </w:r>
      <w:r>
        <w:rPr>
          <w:rFonts w:ascii="楷体" w:eastAsia="楷体"/>
          <w:w w:val="95"/>
          <w:sz w:val="18"/>
        </w:rPr>
        <w:t>门</w:t>
      </w:r>
      <w:r>
        <w:rPr>
          <w:rFonts w:ascii="楷体" w:eastAsia="楷体"/>
          <w:w w:val="95"/>
          <w:sz w:val="18"/>
        </w:rPr>
        <w:t>诊</w:t>
      </w:r>
      <w:r>
        <w:rPr>
          <w:rFonts w:ascii="楷体" w:eastAsia="楷体"/>
          <w:w w:val="95"/>
          <w:sz w:val="18"/>
        </w:rPr>
        <w:t>严</w:t>
      </w:r>
      <w:r>
        <w:rPr>
          <w:rFonts w:ascii="楷体" w:eastAsia="楷体"/>
          <w:w w:val="95"/>
          <w:sz w:val="18"/>
        </w:rPr>
        <w:t>重</w:t>
      </w:r>
      <w:r>
        <w:rPr>
          <w:rFonts w:ascii="楷体" w:eastAsia="楷体"/>
          <w:w w:val="95"/>
          <w:sz w:val="18"/>
        </w:rPr>
        <w:t>恶</w:t>
      </w:r>
      <w:r>
        <w:rPr>
          <w:rFonts w:ascii="楷体" w:eastAsia="楷体"/>
          <w:w w:val="95"/>
          <w:sz w:val="18"/>
        </w:rPr>
        <w:t>性</w:t>
      </w:r>
      <w:r>
        <w:rPr>
          <w:rFonts w:ascii="楷体" w:eastAsia="楷体"/>
          <w:w w:val="95"/>
          <w:sz w:val="18"/>
        </w:rPr>
        <w:t>肿</w:t>
      </w:r>
      <w:r>
        <w:rPr>
          <w:rFonts w:ascii="楷体" w:eastAsia="楷体"/>
          <w:w w:val="95"/>
          <w:sz w:val="18"/>
        </w:rPr>
        <w:t>瘤</w:t>
      </w:r>
      <w:r>
        <w:rPr>
          <w:rFonts w:ascii="楷体" w:eastAsia="楷体"/>
          <w:w w:val="95"/>
          <w:sz w:val="18"/>
        </w:rPr>
        <w:t>治</w:t>
      </w:r>
      <w:r>
        <w:rPr>
          <w:rFonts w:ascii="楷体" w:eastAsia="楷体"/>
          <w:w w:val="95"/>
          <w:sz w:val="18"/>
        </w:rPr>
        <w:t>疗</w:t>
      </w:r>
      <w:r>
        <w:rPr>
          <w:rFonts w:ascii="楷体" w:eastAsia="楷体"/>
          <w:w w:val="95"/>
          <w:sz w:val="18"/>
        </w:rPr>
        <w:t>费</w:t>
      </w:r>
      <w:r>
        <w:rPr>
          <w:rFonts w:ascii="楷体" w:eastAsia="楷体"/>
          <w:w w:val="95"/>
          <w:sz w:val="18"/>
        </w:rPr>
        <w:t>，</w:t>
      </w:r>
      <w:r>
        <w:rPr>
          <w:rFonts w:ascii="楷体" w:eastAsia="楷体"/>
          <w:w w:val="95"/>
          <w:sz w:val="18"/>
        </w:rPr>
        <w:t>包</w:t>
      </w:r>
      <w:r>
        <w:rPr>
          <w:rFonts w:ascii="楷体" w:eastAsia="楷体"/>
          <w:w w:val="95"/>
          <w:sz w:val="18"/>
        </w:rPr>
        <w:t>括</w:t>
      </w:r>
      <w:r>
        <w:rPr>
          <w:rFonts w:ascii="楷体" w:eastAsia="楷体"/>
          <w:w w:val="95"/>
          <w:sz w:val="18"/>
        </w:rPr>
        <w:t>化</w:t>
      </w:r>
      <w:r>
        <w:rPr>
          <w:rFonts w:ascii="楷体" w:eastAsia="楷体"/>
          <w:w w:val="95"/>
          <w:sz w:val="18"/>
        </w:rPr>
        <w:t>学</w:t>
      </w:r>
      <w:r>
        <w:rPr>
          <w:rFonts w:ascii="楷体" w:eastAsia="楷体"/>
          <w:w w:val="95"/>
          <w:sz w:val="18"/>
        </w:rPr>
        <w:t>疗</w:t>
      </w:r>
      <w:r>
        <w:rPr>
          <w:rFonts w:ascii="楷体" w:eastAsia="楷体"/>
          <w:w w:val="95"/>
          <w:sz w:val="18"/>
        </w:rPr>
        <w:t>法</w:t>
      </w:r>
      <w:r>
        <w:rPr>
          <w:rFonts w:ascii="楷体" w:eastAsia="楷体"/>
          <w:w w:val="95"/>
          <w:sz w:val="18"/>
        </w:rPr>
        <w:t>、</w:t>
      </w:r>
      <w:r>
        <w:rPr>
          <w:rFonts w:ascii="楷体" w:eastAsia="楷体"/>
          <w:w w:val="95"/>
          <w:sz w:val="18"/>
        </w:rPr>
        <w:t>放</w:t>
      </w:r>
      <w:r>
        <w:rPr>
          <w:rFonts w:ascii="楷体" w:eastAsia="楷体"/>
          <w:w w:val="95"/>
          <w:sz w:val="18"/>
        </w:rPr>
        <w:t>射</w:t>
      </w:r>
      <w:r>
        <w:rPr>
          <w:rFonts w:ascii="楷体" w:eastAsia="楷体"/>
          <w:w w:val="95"/>
          <w:sz w:val="18"/>
        </w:rPr>
        <w:t>疗</w:t>
      </w:r>
      <w:r>
        <w:rPr>
          <w:rFonts w:ascii="楷体" w:eastAsia="楷体"/>
          <w:w w:val="95"/>
          <w:sz w:val="18"/>
        </w:rPr>
        <w:t>法</w:t>
      </w:r>
      <w:r>
        <w:rPr>
          <w:rFonts w:ascii="楷体" w:eastAsia="楷体"/>
          <w:spacing w:val="-5"/>
          <w:w w:val="95"/>
          <w:sz w:val="18"/>
        </w:rPr>
        <w:t>、肿</w:t>
      </w:r>
    </w:p>
    <w:p>
      <w:pPr>
        <w:spacing w:before="2"/>
        <w:ind w:left="160" w:right="0" w:firstLine="0"/>
        <w:jc w:val="left"/>
        <w:rPr>
          <w:rFonts w:ascii="楷体" w:eastAsia="楷体"/>
          <w:sz w:val="18"/>
        </w:rPr>
      </w:pPr>
      <w:r>
        <w:rPr>
          <w:rFonts w:ascii="楷体" w:eastAsia="楷体"/>
          <w:spacing w:val="-4"/>
          <w:sz w:val="18"/>
        </w:rPr>
        <w:t>瘤免疫疗法、肿瘤内分泌疗法、肿瘤靶向疗法的治疗费用；（3）</w:t>
      </w:r>
      <w:r>
        <w:rPr>
          <w:rFonts w:ascii="楷体" w:eastAsia="楷体"/>
          <w:spacing w:val="-5"/>
          <w:sz w:val="18"/>
        </w:rPr>
        <w:t>器官移植后的门诊抗排异治疗费。</w:t>
      </w:r>
    </w:p>
    <w:p>
      <w:pPr>
        <w:spacing w:before="4"/>
        <w:ind w:left="160" w:right="0" w:firstLine="0"/>
        <w:jc w:val="left"/>
        <w:rPr>
          <w:rFonts w:ascii="楷体" w:eastAsia="楷体"/>
          <w:sz w:val="18"/>
        </w:rPr>
      </w:pPr>
      <w:r>
        <w:rPr>
          <w:rFonts w:ascii="楷体" w:eastAsia="楷体"/>
          <w:w w:val="95"/>
          <w:position w:val="9"/>
          <w:sz w:val="9"/>
        </w:rPr>
        <w:t>16</w:t>
      </w:r>
      <w:r>
        <w:rPr>
          <w:rFonts w:ascii="楷体" w:eastAsia="楷体" w:hint="eastAsia"/>
          <w:b/>
          <w:w w:val="95"/>
          <w:sz w:val="18"/>
        </w:rPr>
        <w:t>医</w:t>
      </w:r>
      <w:r>
        <w:rPr>
          <w:rFonts w:ascii="楷体" w:eastAsia="楷体" w:hint="eastAsia"/>
          <w:b/>
          <w:w w:val="95"/>
          <w:sz w:val="18"/>
        </w:rPr>
        <w:t>学</w:t>
      </w:r>
      <w:r>
        <w:rPr>
          <w:rFonts w:ascii="楷体" w:eastAsia="楷体" w:hint="eastAsia"/>
          <w:b/>
          <w:w w:val="95"/>
          <w:sz w:val="18"/>
        </w:rPr>
        <w:t>必</w:t>
      </w:r>
      <w:r>
        <w:rPr>
          <w:rFonts w:ascii="楷体" w:eastAsia="楷体" w:hint="eastAsia"/>
          <w:b/>
          <w:w w:val="95"/>
          <w:sz w:val="18"/>
        </w:rPr>
        <w:t>需：</w:t>
      </w:r>
      <w:r>
        <w:rPr>
          <w:rFonts w:ascii="楷体" w:eastAsia="楷体"/>
          <w:w w:val="95"/>
          <w:sz w:val="18"/>
        </w:rPr>
        <w:t>指</w:t>
      </w:r>
      <w:r>
        <w:rPr>
          <w:rFonts w:ascii="楷体" w:eastAsia="楷体"/>
          <w:w w:val="95"/>
          <w:sz w:val="18"/>
        </w:rPr>
        <w:t>医</w:t>
      </w:r>
      <w:r>
        <w:rPr>
          <w:rFonts w:ascii="楷体" w:eastAsia="楷体"/>
          <w:w w:val="95"/>
          <w:sz w:val="18"/>
        </w:rPr>
        <w:t>疗</w:t>
      </w:r>
      <w:r>
        <w:rPr>
          <w:rFonts w:ascii="楷体" w:eastAsia="楷体"/>
          <w:w w:val="95"/>
          <w:sz w:val="18"/>
        </w:rPr>
        <w:t>费</w:t>
      </w:r>
      <w:r>
        <w:rPr>
          <w:rFonts w:ascii="楷体" w:eastAsia="楷体"/>
          <w:w w:val="95"/>
          <w:sz w:val="18"/>
        </w:rPr>
        <w:t>用</w:t>
      </w:r>
      <w:r>
        <w:rPr>
          <w:rFonts w:ascii="楷体" w:eastAsia="楷体"/>
          <w:w w:val="95"/>
          <w:sz w:val="18"/>
        </w:rPr>
        <w:t>符</w:t>
      </w:r>
      <w:r>
        <w:rPr>
          <w:rFonts w:ascii="楷体" w:eastAsia="楷体"/>
          <w:w w:val="95"/>
          <w:sz w:val="18"/>
        </w:rPr>
        <w:t>合</w:t>
      </w:r>
      <w:r>
        <w:rPr>
          <w:rFonts w:ascii="楷体" w:eastAsia="楷体"/>
          <w:w w:val="95"/>
          <w:sz w:val="18"/>
        </w:rPr>
        <w:t>下</w:t>
      </w:r>
      <w:r>
        <w:rPr>
          <w:rFonts w:ascii="楷体" w:eastAsia="楷体"/>
          <w:w w:val="95"/>
          <w:sz w:val="18"/>
        </w:rPr>
        <w:t>列</w:t>
      </w:r>
      <w:r>
        <w:rPr>
          <w:rFonts w:ascii="楷体" w:eastAsia="楷体"/>
          <w:w w:val="95"/>
          <w:sz w:val="18"/>
        </w:rPr>
        <w:t>所</w:t>
      </w:r>
      <w:r>
        <w:rPr>
          <w:rFonts w:ascii="楷体" w:eastAsia="楷体"/>
          <w:w w:val="95"/>
          <w:sz w:val="18"/>
        </w:rPr>
        <w:t>有</w:t>
      </w:r>
      <w:r>
        <w:rPr>
          <w:rFonts w:ascii="楷体" w:eastAsia="楷体"/>
          <w:w w:val="95"/>
          <w:sz w:val="18"/>
        </w:rPr>
        <w:t>条</w:t>
      </w:r>
      <w:r>
        <w:rPr>
          <w:rFonts w:ascii="楷体" w:eastAsia="楷体"/>
          <w:w w:val="95"/>
          <w:sz w:val="18"/>
        </w:rPr>
        <w:t>件</w:t>
      </w:r>
      <w:r>
        <w:rPr>
          <w:rFonts w:ascii="楷体" w:eastAsia="楷体"/>
          <w:spacing w:val="-75"/>
          <w:w w:val="95"/>
          <w:sz w:val="18"/>
        </w:rPr>
        <w:t>：</w:t>
      </w:r>
      <w:r>
        <w:rPr>
          <w:rFonts w:ascii="楷体" w:eastAsia="楷体"/>
          <w:spacing w:val="29"/>
          <w:w w:val="95"/>
          <w:sz w:val="18"/>
        </w:rPr>
        <w:t>（</w:t>
      </w:r>
      <w:r>
        <w:rPr>
          <w:rFonts w:ascii="楷体" w:eastAsia="楷体"/>
          <w:spacing w:val="30"/>
          <w:w w:val="95"/>
          <w:sz w:val="18"/>
        </w:rPr>
        <w:t>1</w:t>
      </w:r>
      <w:r>
        <w:rPr>
          <w:rFonts w:ascii="楷体" w:eastAsia="楷体"/>
          <w:spacing w:val="16"/>
          <w:w w:val="95"/>
          <w:sz w:val="18"/>
        </w:rPr>
        <w:t>）</w:t>
      </w:r>
      <w:r>
        <w:rPr>
          <w:rFonts w:ascii="楷体" w:eastAsia="楷体"/>
          <w:w w:val="95"/>
          <w:sz w:val="18"/>
        </w:rPr>
        <w:t>治</w:t>
      </w:r>
      <w:r>
        <w:rPr>
          <w:rFonts w:ascii="楷体" w:eastAsia="楷体"/>
          <w:w w:val="95"/>
          <w:sz w:val="18"/>
        </w:rPr>
        <w:t>疗</w:t>
      </w:r>
      <w:r>
        <w:rPr>
          <w:rFonts w:ascii="楷体" w:eastAsia="楷体"/>
          <w:w w:val="95"/>
          <w:sz w:val="18"/>
        </w:rPr>
        <w:t>意</w:t>
      </w:r>
      <w:r>
        <w:rPr>
          <w:rFonts w:ascii="楷体" w:eastAsia="楷体"/>
          <w:w w:val="95"/>
          <w:sz w:val="18"/>
        </w:rPr>
        <w:t>外</w:t>
      </w:r>
      <w:r>
        <w:rPr>
          <w:rFonts w:ascii="楷体" w:eastAsia="楷体"/>
          <w:w w:val="95"/>
          <w:sz w:val="18"/>
        </w:rPr>
        <w:t>伤</w:t>
      </w:r>
      <w:r>
        <w:rPr>
          <w:rFonts w:ascii="楷体" w:eastAsia="楷体"/>
          <w:w w:val="95"/>
          <w:sz w:val="18"/>
        </w:rPr>
        <w:t>害</w:t>
      </w:r>
      <w:r>
        <w:rPr>
          <w:rFonts w:ascii="楷体" w:eastAsia="楷体"/>
          <w:w w:val="95"/>
          <w:sz w:val="18"/>
        </w:rPr>
        <w:t>或</w:t>
      </w:r>
      <w:r>
        <w:rPr>
          <w:rFonts w:ascii="楷体" w:eastAsia="楷体"/>
          <w:w w:val="95"/>
          <w:sz w:val="18"/>
        </w:rPr>
        <w:t>者</w:t>
      </w:r>
      <w:r>
        <w:rPr>
          <w:rFonts w:ascii="楷体" w:eastAsia="楷体"/>
          <w:w w:val="95"/>
          <w:sz w:val="18"/>
        </w:rPr>
        <w:t>疾</w:t>
      </w:r>
      <w:r>
        <w:rPr>
          <w:rFonts w:ascii="楷体" w:eastAsia="楷体"/>
          <w:w w:val="95"/>
          <w:sz w:val="18"/>
        </w:rPr>
        <w:t>病</w:t>
      </w:r>
      <w:r>
        <w:rPr>
          <w:rFonts w:ascii="楷体" w:eastAsia="楷体"/>
          <w:w w:val="95"/>
          <w:sz w:val="18"/>
        </w:rPr>
        <w:t>所</w:t>
      </w:r>
      <w:r>
        <w:rPr>
          <w:rFonts w:ascii="楷体" w:eastAsia="楷体"/>
          <w:w w:val="95"/>
          <w:sz w:val="18"/>
        </w:rPr>
        <w:t>必</w:t>
      </w:r>
      <w:r>
        <w:rPr>
          <w:rFonts w:ascii="楷体" w:eastAsia="楷体"/>
          <w:w w:val="95"/>
          <w:sz w:val="18"/>
        </w:rPr>
        <w:t>需</w:t>
      </w:r>
      <w:r>
        <w:rPr>
          <w:rFonts w:ascii="楷体" w:eastAsia="楷体"/>
          <w:w w:val="95"/>
          <w:sz w:val="18"/>
        </w:rPr>
        <w:t>的</w:t>
      </w:r>
      <w:r>
        <w:rPr>
          <w:rFonts w:ascii="楷体" w:eastAsia="楷体"/>
          <w:w w:val="95"/>
          <w:sz w:val="18"/>
        </w:rPr>
        <w:t>项</w:t>
      </w:r>
      <w:r>
        <w:rPr>
          <w:rFonts w:ascii="楷体" w:eastAsia="楷体"/>
          <w:w w:val="95"/>
          <w:sz w:val="18"/>
        </w:rPr>
        <w:t>目</w:t>
      </w:r>
      <w:r>
        <w:rPr>
          <w:rFonts w:ascii="楷体" w:eastAsia="楷体"/>
          <w:spacing w:val="-75"/>
          <w:w w:val="95"/>
          <w:sz w:val="18"/>
        </w:rPr>
        <w:t>；</w:t>
      </w:r>
      <w:r>
        <w:rPr>
          <w:rFonts w:ascii="楷体" w:eastAsia="楷体"/>
          <w:spacing w:val="29"/>
          <w:w w:val="95"/>
          <w:sz w:val="18"/>
        </w:rPr>
        <w:t>（</w:t>
      </w:r>
      <w:r>
        <w:rPr>
          <w:rFonts w:ascii="楷体" w:eastAsia="楷体"/>
          <w:spacing w:val="30"/>
          <w:w w:val="95"/>
          <w:sz w:val="18"/>
        </w:rPr>
        <w:t>2</w:t>
      </w:r>
      <w:r>
        <w:rPr>
          <w:rFonts w:ascii="楷体" w:eastAsia="楷体"/>
          <w:spacing w:val="16"/>
          <w:w w:val="95"/>
          <w:sz w:val="18"/>
        </w:rPr>
        <w:t>）</w:t>
      </w:r>
      <w:r>
        <w:rPr>
          <w:rFonts w:ascii="楷体" w:eastAsia="楷体"/>
          <w:w w:val="95"/>
          <w:sz w:val="18"/>
        </w:rPr>
        <w:t>不</w:t>
      </w:r>
      <w:r>
        <w:rPr>
          <w:rFonts w:ascii="楷体" w:eastAsia="楷体"/>
          <w:w w:val="95"/>
          <w:sz w:val="18"/>
        </w:rPr>
        <w:t>超</w:t>
      </w:r>
      <w:r>
        <w:rPr>
          <w:rFonts w:ascii="楷体" w:eastAsia="楷体"/>
          <w:w w:val="95"/>
          <w:sz w:val="18"/>
        </w:rPr>
        <w:t>过</w:t>
      </w:r>
      <w:r>
        <w:rPr>
          <w:rFonts w:ascii="楷体" w:eastAsia="楷体"/>
          <w:w w:val="95"/>
          <w:sz w:val="18"/>
        </w:rPr>
        <w:t>安</w:t>
      </w:r>
      <w:r>
        <w:rPr>
          <w:rFonts w:ascii="楷体" w:eastAsia="楷体"/>
          <w:w w:val="95"/>
          <w:sz w:val="18"/>
        </w:rPr>
        <w:t>全</w:t>
      </w:r>
      <w:r>
        <w:rPr>
          <w:rFonts w:ascii="楷体" w:eastAsia="楷体"/>
          <w:w w:val="95"/>
          <w:sz w:val="18"/>
        </w:rPr>
        <w:t>、</w:t>
      </w:r>
      <w:r>
        <w:rPr>
          <w:rFonts w:ascii="楷体" w:eastAsia="楷体"/>
          <w:w w:val="95"/>
          <w:sz w:val="18"/>
        </w:rPr>
        <w:t>足</w:t>
      </w:r>
      <w:r>
        <w:rPr>
          <w:rFonts w:ascii="楷体" w:eastAsia="楷体"/>
          <w:w w:val="95"/>
          <w:sz w:val="18"/>
        </w:rPr>
        <w:t>量</w:t>
      </w:r>
      <w:r>
        <w:rPr>
          <w:rFonts w:ascii="楷体" w:eastAsia="楷体"/>
          <w:w w:val="95"/>
          <w:sz w:val="18"/>
        </w:rPr>
        <w:t>治</w:t>
      </w:r>
      <w:r>
        <w:rPr>
          <w:rFonts w:ascii="楷体" w:eastAsia="楷体"/>
          <w:w w:val="95"/>
          <w:sz w:val="18"/>
        </w:rPr>
        <w:t>疗</w:t>
      </w:r>
      <w:r>
        <w:rPr>
          <w:rFonts w:ascii="楷体" w:eastAsia="楷体"/>
          <w:w w:val="95"/>
          <w:sz w:val="18"/>
        </w:rPr>
        <w:t>原</w:t>
      </w:r>
      <w:r>
        <w:rPr>
          <w:rFonts w:ascii="楷体" w:eastAsia="楷体"/>
          <w:w w:val="95"/>
          <w:sz w:val="18"/>
        </w:rPr>
        <w:t>则</w:t>
      </w:r>
      <w:r>
        <w:rPr>
          <w:rFonts w:ascii="楷体" w:eastAsia="楷体"/>
          <w:w w:val="95"/>
          <w:sz w:val="18"/>
        </w:rPr>
        <w:t>的</w:t>
      </w:r>
      <w:r>
        <w:rPr>
          <w:rFonts w:ascii="楷体" w:eastAsia="楷体"/>
          <w:spacing w:val="-10"/>
          <w:w w:val="95"/>
          <w:sz w:val="18"/>
        </w:rPr>
        <w:t>项</w:t>
      </w:r>
    </w:p>
    <w:p>
      <w:pPr>
        <w:spacing w:line="242" w:lineRule="auto" w:before="3"/>
        <w:ind w:left="160" w:right="537" w:firstLine="0"/>
        <w:jc w:val="left"/>
        <w:rPr>
          <w:rFonts w:ascii="楷体" w:eastAsia="楷体"/>
          <w:sz w:val="18"/>
        </w:rPr>
      </w:pPr>
      <w:r>
        <w:rPr>
          <w:rFonts w:ascii="楷体" w:eastAsia="楷体"/>
          <w:spacing w:val="-6"/>
          <w:sz w:val="18"/>
        </w:rPr>
        <w:t>目；（3）由医生开具的处方药；（4）非试验性的、非研究性的项目；（5）与接受治疗当地普遍接受的医疗专业实践标准一致</w:t>
      </w:r>
      <w:r>
        <w:rPr>
          <w:rFonts w:ascii="楷体" w:eastAsia="楷体"/>
          <w:spacing w:val="-4"/>
          <w:sz w:val="18"/>
        </w:rPr>
        <w:t>的项目。</w:t>
      </w:r>
    </w:p>
    <w:p>
      <w:pPr>
        <w:spacing w:line="230" w:lineRule="exact" w:before="0"/>
        <w:ind w:left="160" w:right="0" w:firstLine="0"/>
        <w:jc w:val="left"/>
        <w:rPr>
          <w:rFonts w:ascii="楷体" w:eastAsia="楷体"/>
          <w:sz w:val="18"/>
        </w:rPr>
      </w:pPr>
      <w:r>
        <w:rPr>
          <w:w w:val="95"/>
          <w:position w:val="9"/>
          <w:sz w:val="9"/>
        </w:rPr>
        <w:t>17</w:t>
      </w:r>
      <w:r>
        <w:rPr>
          <w:rFonts w:ascii="楷体" w:eastAsia="楷体" w:hint="eastAsia"/>
          <w:b/>
          <w:w w:val="95"/>
          <w:sz w:val="18"/>
        </w:rPr>
        <w:t>基</w:t>
      </w:r>
      <w:r>
        <w:rPr>
          <w:rFonts w:ascii="楷体" w:eastAsia="楷体" w:hint="eastAsia"/>
          <w:b/>
          <w:w w:val="95"/>
          <w:sz w:val="18"/>
        </w:rPr>
        <w:t>本</w:t>
      </w:r>
      <w:r>
        <w:rPr>
          <w:rFonts w:ascii="楷体" w:eastAsia="楷体" w:hint="eastAsia"/>
          <w:b/>
          <w:w w:val="95"/>
          <w:sz w:val="18"/>
        </w:rPr>
        <w:t>医</w:t>
      </w:r>
      <w:r>
        <w:rPr>
          <w:rFonts w:ascii="楷体" w:eastAsia="楷体" w:hint="eastAsia"/>
          <w:b/>
          <w:w w:val="95"/>
          <w:sz w:val="18"/>
        </w:rPr>
        <w:t>疗</w:t>
      </w:r>
      <w:r>
        <w:rPr>
          <w:rFonts w:ascii="楷体" w:eastAsia="楷体" w:hint="eastAsia"/>
          <w:b/>
          <w:w w:val="95"/>
          <w:sz w:val="18"/>
        </w:rPr>
        <w:t>保险：</w:t>
      </w:r>
      <w:r>
        <w:rPr>
          <w:rFonts w:ascii="楷体" w:eastAsia="楷体"/>
          <w:w w:val="95"/>
          <w:sz w:val="18"/>
        </w:rPr>
        <w:t>基</w:t>
      </w:r>
      <w:r>
        <w:rPr>
          <w:rFonts w:ascii="楷体" w:eastAsia="楷体"/>
          <w:w w:val="95"/>
          <w:sz w:val="18"/>
        </w:rPr>
        <w:t>本</w:t>
      </w:r>
      <w:r>
        <w:rPr>
          <w:rFonts w:ascii="楷体" w:eastAsia="楷体"/>
          <w:w w:val="95"/>
          <w:sz w:val="18"/>
        </w:rPr>
        <w:t>医</w:t>
      </w:r>
      <w:r>
        <w:rPr>
          <w:rFonts w:ascii="楷体" w:eastAsia="楷体"/>
          <w:w w:val="95"/>
          <w:sz w:val="18"/>
        </w:rPr>
        <w:t>疗</w:t>
      </w:r>
      <w:r>
        <w:rPr>
          <w:rFonts w:ascii="楷体" w:eastAsia="楷体"/>
          <w:w w:val="95"/>
          <w:sz w:val="18"/>
        </w:rPr>
        <w:t>保</w:t>
      </w:r>
      <w:r>
        <w:rPr>
          <w:rFonts w:ascii="楷体" w:eastAsia="楷体"/>
          <w:w w:val="95"/>
          <w:sz w:val="18"/>
        </w:rPr>
        <w:t>险</w:t>
      </w:r>
      <w:r>
        <w:rPr>
          <w:rFonts w:ascii="楷体" w:eastAsia="楷体"/>
          <w:w w:val="95"/>
          <w:sz w:val="18"/>
        </w:rPr>
        <w:t>包</w:t>
      </w:r>
      <w:r>
        <w:rPr>
          <w:rFonts w:ascii="楷体" w:eastAsia="楷体"/>
          <w:w w:val="95"/>
          <w:sz w:val="18"/>
        </w:rPr>
        <w:t>括</w:t>
      </w:r>
      <w:r>
        <w:rPr>
          <w:rFonts w:ascii="楷体" w:eastAsia="楷体"/>
          <w:w w:val="95"/>
          <w:sz w:val="18"/>
        </w:rPr>
        <w:t>城</w:t>
      </w:r>
      <w:r>
        <w:rPr>
          <w:rFonts w:ascii="楷体" w:eastAsia="楷体"/>
          <w:w w:val="95"/>
          <w:sz w:val="18"/>
        </w:rPr>
        <w:t>镇</w:t>
      </w:r>
      <w:r>
        <w:rPr>
          <w:rFonts w:ascii="楷体" w:eastAsia="楷体"/>
          <w:w w:val="95"/>
          <w:sz w:val="18"/>
        </w:rPr>
        <w:t>职</w:t>
      </w:r>
      <w:r>
        <w:rPr>
          <w:rFonts w:ascii="楷体" w:eastAsia="楷体"/>
          <w:w w:val="95"/>
          <w:sz w:val="18"/>
        </w:rPr>
        <w:t>工</w:t>
      </w:r>
      <w:r>
        <w:rPr>
          <w:rFonts w:ascii="楷体" w:eastAsia="楷体"/>
          <w:w w:val="95"/>
          <w:sz w:val="18"/>
        </w:rPr>
        <w:t>基</w:t>
      </w:r>
      <w:r>
        <w:rPr>
          <w:rFonts w:ascii="楷体" w:eastAsia="楷体"/>
          <w:w w:val="95"/>
          <w:sz w:val="18"/>
        </w:rPr>
        <w:t>本</w:t>
      </w:r>
      <w:r>
        <w:rPr>
          <w:rFonts w:ascii="楷体" w:eastAsia="楷体"/>
          <w:w w:val="95"/>
          <w:sz w:val="18"/>
        </w:rPr>
        <w:t>医</w:t>
      </w:r>
      <w:r>
        <w:rPr>
          <w:rFonts w:ascii="楷体" w:eastAsia="楷体"/>
          <w:w w:val="95"/>
          <w:sz w:val="18"/>
        </w:rPr>
        <w:t>疗</w:t>
      </w:r>
      <w:r>
        <w:rPr>
          <w:rFonts w:ascii="楷体" w:eastAsia="楷体"/>
          <w:w w:val="95"/>
          <w:sz w:val="18"/>
        </w:rPr>
        <w:t>保</w:t>
      </w:r>
      <w:r>
        <w:rPr>
          <w:rFonts w:ascii="楷体" w:eastAsia="楷体"/>
          <w:w w:val="95"/>
          <w:sz w:val="18"/>
        </w:rPr>
        <w:t>险</w:t>
      </w:r>
      <w:r>
        <w:rPr>
          <w:rFonts w:ascii="楷体" w:eastAsia="楷体"/>
          <w:w w:val="95"/>
          <w:sz w:val="18"/>
        </w:rPr>
        <w:t>、</w:t>
      </w:r>
      <w:r>
        <w:rPr>
          <w:rFonts w:ascii="楷体" w:eastAsia="楷体"/>
          <w:w w:val="95"/>
          <w:sz w:val="18"/>
        </w:rPr>
        <w:t>城</w:t>
      </w:r>
      <w:r>
        <w:rPr>
          <w:rFonts w:ascii="楷体" w:eastAsia="楷体"/>
          <w:w w:val="95"/>
          <w:sz w:val="18"/>
        </w:rPr>
        <w:t>镇</w:t>
      </w:r>
      <w:r>
        <w:rPr>
          <w:rFonts w:ascii="楷体" w:eastAsia="楷体"/>
          <w:w w:val="95"/>
          <w:sz w:val="18"/>
        </w:rPr>
        <w:t>居</w:t>
      </w:r>
      <w:r>
        <w:rPr>
          <w:rFonts w:ascii="楷体" w:eastAsia="楷体"/>
          <w:w w:val="95"/>
          <w:sz w:val="18"/>
        </w:rPr>
        <w:t>民</w:t>
      </w:r>
      <w:r>
        <w:rPr>
          <w:rFonts w:ascii="楷体" w:eastAsia="楷体"/>
          <w:w w:val="95"/>
          <w:sz w:val="18"/>
        </w:rPr>
        <w:t>基</w:t>
      </w:r>
      <w:r>
        <w:rPr>
          <w:rFonts w:ascii="楷体" w:eastAsia="楷体"/>
          <w:w w:val="95"/>
          <w:sz w:val="18"/>
        </w:rPr>
        <w:t>本</w:t>
      </w:r>
      <w:r>
        <w:rPr>
          <w:rFonts w:ascii="楷体" w:eastAsia="楷体"/>
          <w:w w:val="95"/>
          <w:sz w:val="18"/>
        </w:rPr>
        <w:t>医</w:t>
      </w:r>
      <w:r>
        <w:rPr>
          <w:rFonts w:ascii="楷体" w:eastAsia="楷体"/>
          <w:w w:val="95"/>
          <w:sz w:val="18"/>
        </w:rPr>
        <w:t>疗</w:t>
      </w:r>
      <w:r>
        <w:rPr>
          <w:rFonts w:ascii="楷体" w:eastAsia="楷体"/>
          <w:w w:val="95"/>
          <w:sz w:val="18"/>
        </w:rPr>
        <w:t>保</w:t>
      </w:r>
      <w:r>
        <w:rPr>
          <w:rFonts w:ascii="楷体" w:eastAsia="楷体"/>
          <w:w w:val="95"/>
          <w:sz w:val="18"/>
        </w:rPr>
        <w:t>险</w:t>
      </w:r>
      <w:r>
        <w:rPr>
          <w:rFonts w:ascii="楷体" w:eastAsia="楷体"/>
          <w:w w:val="95"/>
          <w:sz w:val="18"/>
        </w:rPr>
        <w:t>、</w:t>
      </w:r>
      <w:r>
        <w:rPr>
          <w:rFonts w:ascii="楷体" w:eastAsia="楷体"/>
          <w:w w:val="95"/>
          <w:sz w:val="18"/>
        </w:rPr>
        <w:t>新</w:t>
      </w:r>
      <w:r>
        <w:rPr>
          <w:rFonts w:ascii="楷体" w:eastAsia="楷体"/>
          <w:w w:val="95"/>
          <w:sz w:val="18"/>
        </w:rPr>
        <w:t>型</w:t>
      </w:r>
      <w:r>
        <w:rPr>
          <w:rFonts w:ascii="楷体" w:eastAsia="楷体"/>
          <w:w w:val="95"/>
          <w:sz w:val="18"/>
        </w:rPr>
        <w:t>农</w:t>
      </w:r>
      <w:r>
        <w:rPr>
          <w:rFonts w:ascii="楷体" w:eastAsia="楷体"/>
          <w:w w:val="95"/>
          <w:sz w:val="18"/>
        </w:rPr>
        <w:t>村</w:t>
      </w:r>
      <w:r>
        <w:rPr>
          <w:rFonts w:ascii="楷体" w:eastAsia="楷体"/>
          <w:w w:val="95"/>
          <w:sz w:val="18"/>
        </w:rPr>
        <w:t>合</w:t>
      </w:r>
      <w:r>
        <w:rPr>
          <w:rFonts w:ascii="楷体" w:eastAsia="楷体"/>
          <w:w w:val="95"/>
          <w:sz w:val="18"/>
        </w:rPr>
        <w:t>作</w:t>
      </w:r>
      <w:r>
        <w:rPr>
          <w:rFonts w:ascii="楷体" w:eastAsia="楷体"/>
          <w:w w:val="95"/>
          <w:sz w:val="18"/>
        </w:rPr>
        <w:t>医</w:t>
      </w:r>
      <w:r>
        <w:rPr>
          <w:rFonts w:ascii="楷体" w:eastAsia="楷体"/>
          <w:w w:val="95"/>
          <w:sz w:val="18"/>
        </w:rPr>
        <w:t>疗</w:t>
      </w:r>
      <w:r>
        <w:rPr>
          <w:rFonts w:ascii="楷体" w:eastAsia="楷体"/>
          <w:spacing w:val="-10"/>
          <w:w w:val="95"/>
          <w:sz w:val="18"/>
        </w:rPr>
        <w:t>。</w:t>
      </w:r>
    </w:p>
    <w:p>
      <w:pPr>
        <w:spacing w:before="4"/>
        <w:ind w:left="160" w:right="0" w:firstLine="0"/>
        <w:jc w:val="left"/>
        <w:rPr>
          <w:rFonts w:ascii="楷体" w:eastAsia="楷体"/>
          <w:sz w:val="18"/>
        </w:rPr>
      </w:pPr>
      <w:r>
        <w:rPr>
          <w:b/>
          <w:w w:val="95"/>
          <w:position w:val="9"/>
          <w:sz w:val="9"/>
        </w:rPr>
        <w:t>18</w:t>
      </w:r>
      <w:r>
        <w:rPr>
          <w:rFonts w:ascii="楷体" w:eastAsia="楷体" w:hint="eastAsia"/>
          <w:b/>
          <w:w w:val="95"/>
          <w:sz w:val="18"/>
        </w:rPr>
        <w:t>中</w:t>
      </w:r>
      <w:r>
        <w:rPr>
          <w:rFonts w:ascii="楷体" w:eastAsia="楷体" w:hint="eastAsia"/>
          <w:b/>
          <w:w w:val="95"/>
          <w:sz w:val="18"/>
        </w:rPr>
        <w:t>度</w:t>
      </w:r>
      <w:r>
        <w:rPr>
          <w:rFonts w:ascii="楷体" w:eastAsia="楷体" w:hint="eastAsia"/>
          <w:b/>
          <w:w w:val="95"/>
          <w:sz w:val="18"/>
        </w:rPr>
        <w:t>疾</w:t>
      </w:r>
      <w:r>
        <w:rPr>
          <w:rFonts w:ascii="楷体" w:eastAsia="楷体" w:hint="eastAsia"/>
          <w:b/>
          <w:w w:val="95"/>
          <w:sz w:val="18"/>
        </w:rPr>
        <w:t>病</w:t>
      </w:r>
      <w:r>
        <w:rPr>
          <w:rFonts w:ascii="楷体" w:eastAsia="楷体" w:hint="eastAsia"/>
          <w:b/>
          <w:w w:val="95"/>
          <w:sz w:val="18"/>
        </w:rPr>
        <w:t>：</w:t>
      </w:r>
      <w:r>
        <w:rPr>
          <w:rFonts w:ascii="楷体" w:eastAsia="楷体"/>
          <w:w w:val="95"/>
          <w:sz w:val="18"/>
        </w:rPr>
        <w:t>指</w:t>
      </w:r>
      <w:r>
        <w:rPr>
          <w:rFonts w:ascii="楷体" w:eastAsia="楷体"/>
          <w:w w:val="95"/>
          <w:sz w:val="18"/>
        </w:rPr>
        <w:t>符</w:t>
      </w:r>
      <w:r>
        <w:rPr>
          <w:rFonts w:ascii="楷体" w:eastAsia="楷体"/>
          <w:w w:val="95"/>
          <w:sz w:val="18"/>
        </w:rPr>
        <w:t>合</w:t>
      </w:r>
      <w:r>
        <w:rPr>
          <w:rFonts w:ascii="楷体" w:eastAsia="楷体"/>
          <w:w w:val="95"/>
          <w:sz w:val="18"/>
        </w:rPr>
        <w:t>本</w:t>
      </w:r>
      <w:r>
        <w:rPr>
          <w:rFonts w:ascii="楷体" w:eastAsia="楷体"/>
          <w:w w:val="95"/>
          <w:sz w:val="18"/>
        </w:rPr>
        <w:t>保</w:t>
      </w:r>
      <w:r>
        <w:rPr>
          <w:rFonts w:ascii="楷体" w:eastAsia="楷体"/>
          <w:w w:val="95"/>
          <w:sz w:val="18"/>
        </w:rPr>
        <w:t>险</w:t>
      </w:r>
      <w:r>
        <w:rPr>
          <w:rFonts w:ascii="楷体" w:eastAsia="楷体"/>
          <w:w w:val="95"/>
          <w:sz w:val="18"/>
        </w:rPr>
        <w:t>条</w:t>
      </w:r>
      <w:r>
        <w:rPr>
          <w:rFonts w:ascii="楷体" w:eastAsia="楷体"/>
          <w:w w:val="95"/>
          <w:sz w:val="18"/>
        </w:rPr>
        <w:t>款</w:t>
      </w:r>
      <w:r>
        <w:rPr>
          <w:rFonts w:ascii="楷体" w:eastAsia="楷体"/>
          <w:w w:val="95"/>
          <w:sz w:val="18"/>
        </w:rPr>
        <w:t>附</w:t>
      </w:r>
      <w:r>
        <w:rPr>
          <w:rFonts w:ascii="楷体" w:eastAsia="楷体"/>
          <w:w w:val="95"/>
          <w:sz w:val="18"/>
        </w:rPr>
        <w:t>表</w:t>
      </w:r>
      <w:r>
        <w:rPr>
          <w:rFonts w:ascii="楷体" w:eastAsia="楷体"/>
          <w:w w:val="95"/>
          <w:sz w:val="18"/>
        </w:rPr>
        <w:t>二</w:t>
      </w:r>
      <w:r>
        <w:rPr>
          <w:rFonts w:ascii="楷体" w:eastAsia="楷体"/>
          <w:w w:val="95"/>
          <w:sz w:val="18"/>
        </w:rPr>
        <w:t>所</w:t>
      </w:r>
      <w:r>
        <w:rPr>
          <w:rFonts w:ascii="楷体" w:eastAsia="楷体"/>
          <w:w w:val="95"/>
          <w:sz w:val="18"/>
        </w:rPr>
        <w:t>列</w:t>
      </w:r>
      <w:r>
        <w:rPr>
          <w:rFonts w:ascii="楷体" w:eastAsia="楷体"/>
          <w:w w:val="95"/>
          <w:sz w:val="18"/>
        </w:rPr>
        <w:t>的</w:t>
      </w:r>
      <w:r>
        <w:rPr>
          <w:rFonts w:ascii="楷体" w:eastAsia="楷体"/>
          <w:w w:val="95"/>
          <w:sz w:val="18"/>
        </w:rPr>
        <w:t>任</w:t>
      </w:r>
      <w:r>
        <w:rPr>
          <w:rFonts w:ascii="楷体" w:eastAsia="楷体"/>
          <w:w w:val="95"/>
          <w:sz w:val="18"/>
        </w:rPr>
        <w:t>何</w:t>
      </w:r>
      <w:r>
        <w:rPr>
          <w:rFonts w:ascii="楷体" w:eastAsia="楷体"/>
          <w:w w:val="95"/>
          <w:sz w:val="18"/>
        </w:rPr>
        <w:t>一</w:t>
      </w:r>
      <w:r>
        <w:rPr>
          <w:rFonts w:ascii="楷体" w:eastAsia="楷体"/>
          <w:w w:val="95"/>
          <w:sz w:val="18"/>
        </w:rPr>
        <w:t>种</w:t>
      </w:r>
      <w:r>
        <w:rPr>
          <w:rFonts w:ascii="楷体" w:eastAsia="楷体"/>
          <w:w w:val="95"/>
          <w:sz w:val="18"/>
        </w:rPr>
        <w:t>疾</w:t>
      </w:r>
      <w:r>
        <w:rPr>
          <w:rFonts w:ascii="楷体" w:eastAsia="楷体"/>
          <w:w w:val="95"/>
          <w:sz w:val="18"/>
        </w:rPr>
        <w:t>病</w:t>
      </w:r>
      <w:r>
        <w:rPr>
          <w:rFonts w:ascii="楷体" w:eastAsia="楷体"/>
          <w:w w:val="95"/>
          <w:sz w:val="18"/>
        </w:rPr>
        <w:t>定</w:t>
      </w:r>
      <w:r>
        <w:rPr>
          <w:rFonts w:ascii="楷体" w:eastAsia="楷体"/>
          <w:w w:val="95"/>
          <w:sz w:val="18"/>
        </w:rPr>
        <w:t>义</w:t>
      </w:r>
      <w:r>
        <w:rPr>
          <w:rFonts w:ascii="楷体" w:eastAsia="楷体"/>
          <w:w w:val="95"/>
          <w:sz w:val="18"/>
        </w:rPr>
        <w:t>所</w:t>
      </w:r>
      <w:r>
        <w:rPr>
          <w:rFonts w:ascii="楷体" w:eastAsia="楷体"/>
          <w:w w:val="95"/>
          <w:sz w:val="18"/>
        </w:rPr>
        <w:t>述</w:t>
      </w:r>
      <w:r>
        <w:rPr>
          <w:rFonts w:ascii="楷体" w:eastAsia="楷体"/>
          <w:w w:val="95"/>
          <w:sz w:val="18"/>
        </w:rPr>
        <w:t>条</w:t>
      </w:r>
      <w:r>
        <w:rPr>
          <w:rFonts w:ascii="楷体" w:eastAsia="楷体"/>
          <w:w w:val="95"/>
          <w:sz w:val="18"/>
        </w:rPr>
        <w:t>件</w:t>
      </w:r>
      <w:r>
        <w:rPr>
          <w:rFonts w:ascii="楷体" w:eastAsia="楷体"/>
          <w:w w:val="95"/>
          <w:sz w:val="18"/>
        </w:rPr>
        <w:t>的</w:t>
      </w:r>
      <w:r>
        <w:rPr>
          <w:rFonts w:ascii="楷体" w:eastAsia="楷体"/>
          <w:w w:val="95"/>
          <w:sz w:val="18"/>
        </w:rPr>
        <w:t>疾</w:t>
      </w:r>
      <w:r>
        <w:rPr>
          <w:rFonts w:ascii="楷体" w:eastAsia="楷体"/>
          <w:w w:val="95"/>
          <w:sz w:val="18"/>
        </w:rPr>
        <w:t>病</w:t>
      </w:r>
      <w:r>
        <w:rPr>
          <w:rFonts w:ascii="楷体" w:eastAsia="楷体"/>
          <w:spacing w:val="-10"/>
          <w:w w:val="95"/>
          <w:sz w:val="18"/>
        </w:rPr>
        <w:t>。</w:t>
      </w:r>
    </w:p>
    <w:p>
      <w:pPr>
        <w:spacing w:after="0"/>
        <w:jc w:val="left"/>
        <w:rPr>
          <w:rFonts w:ascii="楷体" w:eastAsia="楷体"/>
          <w:sz w:val="18"/>
        </w:rPr>
        <w:sectPr>
          <w:type w:val="continuous"/>
          <w:pgSz w:w="11910" w:h="16840"/>
          <w:pgMar w:header="0" w:footer="1186" w:top="480" w:bottom="280" w:left="920" w:right="540"/>
        </w:sectPr>
      </w:pPr>
    </w:p>
    <w:p>
      <w:pPr>
        <w:pStyle w:val="BodyText"/>
        <w:rPr>
          <w:rFonts w:ascii="楷体"/>
          <w:sz w:val="20"/>
        </w:rPr>
      </w:pPr>
    </w:p>
    <w:p>
      <w:pPr>
        <w:pStyle w:val="BodyText"/>
        <w:spacing w:before="1"/>
        <w:rPr>
          <w:rFonts w:ascii="楷体"/>
          <w:sz w:val="19"/>
        </w:rPr>
      </w:pPr>
    </w:p>
    <w:p>
      <w:pPr>
        <w:pStyle w:val="Heading2"/>
        <w:numPr>
          <w:ilvl w:val="3"/>
          <w:numId w:val="2"/>
        </w:numPr>
        <w:tabs>
          <w:tab w:pos="1369" w:val="left" w:leader="none"/>
          <w:tab w:pos="1370" w:val="left" w:leader="none"/>
        </w:tabs>
        <w:spacing w:line="278" w:lineRule="auto" w:before="0" w:after="0"/>
        <w:ind w:left="1370" w:right="38" w:hanging="1102"/>
        <w:jc w:val="left"/>
      </w:pPr>
      <w:r>
        <w:rPr>
          <w:spacing w:val="-2"/>
        </w:rPr>
        <w:t>轻度疾病保险</w:t>
      </w:r>
      <w:r>
        <w:rPr>
          <w:spacing w:val="-10"/>
        </w:rPr>
        <w:t>金</w:t>
      </w:r>
    </w:p>
    <w:p>
      <w:pPr>
        <w:pStyle w:val="BodyText"/>
        <w:spacing w:before="51"/>
        <w:ind w:left="268"/>
      </w:pPr>
      <w:r>
        <w:rPr/>
        <w:br w:type="column"/>
      </w:r>
      <w:r>
        <w:rPr>
          <w:color w:val="000000"/>
          <w:spacing w:val="-3"/>
          <w:shd w:fill="E4E4E4" w:color="auto" w:val="clear"/>
        </w:rPr>
        <w:t>付保险金或心脑血管特定疾病额外给付保险金的保险责任。</w:t>
      </w:r>
    </w:p>
    <w:p>
      <w:pPr>
        <w:pStyle w:val="BodyText"/>
        <w:spacing w:before="178"/>
        <w:ind w:left="268"/>
      </w:pPr>
      <w:r>
        <w:rPr>
          <w:w w:val="95"/>
        </w:rPr>
        <w:t>本</w:t>
      </w:r>
      <w:r>
        <w:rPr>
          <w:w w:val="95"/>
        </w:rPr>
        <w:t>合</w:t>
      </w:r>
      <w:r>
        <w:rPr>
          <w:w w:val="95"/>
        </w:rPr>
        <w:t>同提供保</w:t>
      </w:r>
      <w:r>
        <w:rPr>
          <w:w w:val="95"/>
        </w:rPr>
        <w:t>障</w:t>
      </w:r>
      <w:r>
        <w:rPr>
          <w:w w:val="95"/>
        </w:rPr>
        <w:t>的</w:t>
      </w:r>
      <w:r>
        <w:rPr>
          <w:b/>
          <w:w w:val="95"/>
        </w:rPr>
        <w:t>轻</w:t>
      </w:r>
      <w:r>
        <w:rPr>
          <w:b/>
          <w:w w:val="95"/>
        </w:rPr>
        <w:t>度</w:t>
      </w:r>
      <w:r>
        <w:rPr>
          <w:b/>
          <w:w w:val="95"/>
        </w:rPr>
        <w:t>疾</w:t>
      </w:r>
      <w:r>
        <w:rPr>
          <w:b/>
          <w:w w:val="95"/>
        </w:rPr>
        <w:t>病</w:t>
      </w:r>
      <w:r>
        <w:rPr>
          <w:b/>
          <w:w w:val="95"/>
          <w:position w:val="11"/>
          <w:sz w:val="11"/>
        </w:rPr>
        <w:t>19</w:t>
      </w:r>
      <w:r>
        <w:rPr>
          <w:w w:val="95"/>
        </w:rPr>
        <w:t>共</w:t>
      </w:r>
      <w:r>
        <w:rPr>
          <w:w w:val="95"/>
        </w:rPr>
        <w:t>有</w:t>
      </w:r>
      <w:r>
        <w:rPr>
          <w:spacing w:val="29"/>
          <w:w w:val="150"/>
        </w:rPr>
        <w:t> </w:t>
      </w:r>
      <w:r>
        <w:rPr>
          <w:w w:val="95"/>
        </w:rPr>
        <w:t>51</w:t>
      </w:r>
      <w:r>
        <w:rPr>
          <w:spacing w:val="38"/>
          <w:w w:val="150"/>
        </w:rPr>
        <w:t> </w:t>
      </w:r>
      <w:r>
        <w:rPr>
          <w:w w:val="95"/>
        </w:rPr>
        <w:t>种，名单详见本</w:t>
      </w:r>
      <w:r>
        <w:rPr>
          <w:w w:val="95"/>
        </w:rPr>
        <w:t>保</w:t>
      </w:r>
      <w:r>
        <w:rPr>
          <w:w w:val="95"/>
        </w:rPr>
        <w:t>险</w:t>
      </w:r>
      <w:r>
        <w:rPr>
          <w:spacing w:val="-2"/>
          <w:w w:val="95"/>
        </w:rPr>
        <w:t>条款附表三。</w:t>
      </w:r>
    </w:p>
    <w:p>
      <w:pPr>
        <w:pStyle w:val="BodyText"/>
        <w:spacing w:line="266" w:lineRule="auto" w:before="187"/>
        <w:ind w:left="268" w:right="214"/>
        <w:jc w:val="both"/>
      </w:pPr>
      <w:r>
        <w:rPr>
          <w:spacing w:val="-2"/>
        </w:rPr>
        <w:t>被保险人在保险期间内因意外，或在本合同生效（若曾复效，则自本合同最后</w:t>
      </w:r>
      <w:r>
        <w:rPr>
          <w:spacing w:val="-2"/>
        </w:rPr>
        <w:t>复效</w:t>
      </w:r>
      <w:r>
        <w:rPr>
          <w:spacing w:val="-92"/>
        </w:rPr>
        <w:t>）</w:t>
      </w:r>
      <w:r>
        <w:rPr>
          <w:spacing w:val="-8"/>
        </w:rPr>
        <w:t>之日起 </w:t>
      </w:r>
      <w:r>
        <w:rPr>
          <w:spacing w:val="-2"/>
        </w:rPr>
        <w:t>90</w:t>
      </w:r>
      <w:r>
        <w:rPr>
          <w:spacing w:val="-7"/>
        </w:rPr>
        <w:t> 天后因非意外的原因在本公司指定或认可的医疗机构由专科医</w:t>
      </w:r>
      <w:r>
        <w:rPr>
          <w:spacing w:val="-2"/>
        </w:rPr>
        <w:t>生确诊初次发生本合同所列的一种或多种轻度疾病，本公司按本合同基本保险</w:t>
      </w:r>
      <w:r>
        <w:rPr>
          <w:spacing w:val="-11"/>
        </w:rPr>
        <w:t>金额的 </w:t>
      </w:r>
      <w:r>
        <w:rPr/>
        <w:t>30%给付轻度疾病保险金。</w:t>
      </w:r>
    </w:p>
    <w:p>
      <w:pPr>
        <w:pStyle w:val="BodyText"/>
        <w:spacing w:line="266" w:lineRule="auto" w:before="161"/>
        <w:ind w:left="268" w:right="214"/>
        <w:jc w:val="both"/>
      </w:pPr>
      <w:r>
        <w:rPr>
          <w:spacing w:val="-6"/>
        </w:rPr>
        <w:t>被保险人在本合同生效（若曾复效，则自本合同最后复效）</w:t>
      </w:r>
      <w:r>
        <w:rPr>
          <w:spacing w:val="-7"/>
        </w:rPr>
        <w:t>之日起 </w:t>
      </w:r>
      <w:r>
        <w:rPr>
          <w:spacing w:val="-6"/>
        </w:rPr>
        <w:t>90</w:t>
      </w:r>
      <w:r>
        <w:rPr>
          <w:spacing w:val="-8"/>
        </w:rPr>
        <w:t> 天内因非</w:t>
      </w:r>
      <w:r>
        <w:rPr>
          <w:spacing w:val="-2"/>
        </w:rPr>
        <w:t>意外的原因，在本公司指定或认可的医疗机构由专科医生确诊初次发生本合同</w:t>
      </w:r>
      <w:r>
        <w:rPr>
          <w:spacing w:val="-2"/>
        </w:rPr>
        <w:t>所列的轻度疾病，</w:t>
      </w:r>
      <w:r>
        <w:rPr>
          <w:color w:val="000000"/>
          <w:spacing w:val="-2"/>
          <w:shd w:fill="E4E4E4" w:color="auto" w:val="clear"/>
        </w:rPr>
        <w:t>本公司不承担且不再承担此种轻度疾病保险责任，本合同继</w:t>
      </w:r>
      <w:r>
        <w:rPr>
          <w:color w:val="000000"/>
          <w:spacing w:val="-4"/>
          <w:shd w:fill="E4E4E4" w:color="auto" w:val="clear"/>
        </w:rPr>
        <w:t>续有效。</w:t>
      </w:r>
    </w:p>
    <w:p>
      <w:pPr>
        <w:spacing w:after="0" w:line="266" w:lineRule="auto"/>
        <w:jc w:val="both"/>
        <w:sectPr>
          <w:footerReference w:type="default" r:id="rId14"/>
          <w:pgSz w:w="11910" w:h="16840"/>
          <w:pgMar w:footer="659" w:header="0" w:top="1400" w:bottom="840" w:left="920" w:right="540"/>
          <w:pgNumType w:start="5"/>
          <w:cols w:num="2" w:equalWidth="0">
            <w:col w:w="2678" w:space="126"/>
            <w:col w:w="7646"/>
          </w:cols>
        </w:sectPr>
      </w:pPr>
    </w:p>
    <w:p>
      <w:pPr>
        <w:pStyle w:val="BodyText"/>
        <w:spacing w:before="3"/>
        <w:rPr>
          <w:sz w:val="10"/>
        </w:rPr>
      </w:pPr>
    </w:p>
    <w:p>
      <w:pPr>
        <w:pStyle w:val="BodyText"/>
        <w:ind w:left="3072"/>
        <w:rPr>
          <w:sz w:val="20"/>
        </w:rPr>
      </w:pPr>
      <w:r>
        <w:rPr>
          <w:sz w:val="20"/>
        </w:rPr>
        <w:pict>
          <v:shape style="width:357.8pt;height:45.05pt;mso-position-horizontal-relative:char;mso-position-vertical-relative:line" type="#_x0000_t202" id="docshape10" filled="true" fillcolor="#e4e4e4" stroked="false">
            <w10:anchorlock/>
            <v:textbox inset="0,0,0,0">
              <w:txbxContent>
                <w:p>
                  <w:pPr>
                    <w:pStyle w:val="BodyText"/>
                    <w:spacing w:before="30"/>
                    <w:ind w:right="-15"/>
                    <w:rPr>
                      <w:color w:val="000000"/>
                    </w:rPr>
                  </w:pPr>
                  <w:r>
                    <w:rPr>
                      <w:color w:val="000000"/>
                      <w:spacing w:val="-5"/>
                    </w:rPr>
                    <w:t>每种轻度疾病限给付一次，给付后该种轻度疾病保险责任终止。不同轻度疾病</w:t>
                  </w:r>
                </w:p>
                <w:p>
                  <w:pPr>
                    <w:pStyle w:val="BodyText"/>
                    <w:spacing w:line="266" w:lineRule="auto" w:before="27"/>
                    <w:ind w:right="-15"/>
                    <w:rPr>
                      <w:color w:val="000000"/>
                    </w:rPr>
                  </w:pPr>
                  <w:r>
                    <w:rPr>
                      <w:color w:val="000000"/>
                      <w:spacing w:val="-2"/>
                    </w:rPr>
                    <w:t>可以多次给付，但本合同的轻度疾病保险金累计给付以三次为限，当累计给付</w:t>
                  </w:r>
                  <w:r>
                    <w:rPr>
                      <w:color w:val="000000"/>
                      <w:spacing w:val="-5"/>
                    </w:rPr>
                    <w:t>的轻度疾病保险金达到三次时，轻度疾病保险金责任终止，本合同继续有效。</w:t>
                  </w:r>
                </w:p>
              </w:txbxContent>
            </v:textbox>
            <v:fill type="solid"/>
          </v:shape>
        </w:pict>
      </w:r>
      <w:r>
        <w:rPr>
          <w:sz w:val="20"/>
        </w:rPr>
      </w:r>
    </w:p>
    <w:p>
      <w:pPr>
        <w:pStyle w:val="BodyText"/>
        <w:rPr>
          <w:sz w:val="8"/>
        </w:rPr>
      </w:pPr>
      <w:r>
        <w:rPr/>
        <w:pict>
          <v:shape style="position:absolute;margin-left:199.610001pt;margin-top:6.33pt;width:357.8pt;height:30pt;mso-position-horizontal-relative:page;mso-position-vertical-relative:paragraph;z-index:-15723008;mso-wrap-distance-left:0;mso-wrap-distance-right:0" type="#_x0000_t202" id="docshape11" filled="true" fillcolor="#e4e4e4" stroked="false">
            <v:textbox inset="0,0,0,0">
              <w:txbxContent>
                <w:p>
                  <w:pPr>
                    <w:pStyle w:val="BodyText"/>
                    <w:spacing w:line="266" w:lineRule="auto" w:before="25"/>
                    <w:ind w:right="-15"/>
                    <w:rPr>
                      <w:color w:val="000000"/>
                    </w:rPr>
                  </w:pPr>
                  <w:r>
                    <w:rPr>
                      <w:color w:val="000000"/>
                      <w:spacing w:val="-2"/>
                    </w:rPr>
                    <w:t>若被保险人因同一疾病原因、同次医疗行为或同次意外伤害事故导致其发生本</w:t>
                  </w:r>
                  <w:r>
                    <w:rPr>
                      <w:color w:val="000000"/>
                      <w:spacing w:val="-3"/>
                    </w:rPr>
                    <w:t>合同所定义的两种或两种以上轻度疾病，本公司仅按一种轻度疾病给付轻度疾</w:t>
                  </w:r>
                </w:p>
              </w:txbxContent>
            </v:textbox>
            <v:fill type="solid"/>
            <w10:wrap type="topAndBottom"/>
          </v:shape>
        </w:pict>
      </w:r>
    </w:p>
    <w:p>
      <w:pPr>
        <w:pStyle w:val="BodyText"/>
        <w:spacing w:before="30"/>
        <w:ind w:left="3072"/>
      </w:pPr>
      <w:r>
        <w:rPr>
          <w:color w:val="000000"/>
          <w:spacing w:val="-4"/>
          <w:shd w:fill="E4E4E4" w:color="auto" w:val="clear"/>
        </w:rPr>
        <w:t>病保险金。</w:t>
      </w:r>
    </w:p>
    <w:p>
      <w:pPr>
        <w:pStyle w:val="BodyText"/>
        <w:rPr>
          <w:sz w:val="9"/>
        </w:rPr>
      </w:pPr>
    </w:p>
    <w:p>
      <w:pPr>
        <w:pStyle w:val="BodyText"/>
        <w:spacing w:line="266" w:lineRule="auto" w:before="71"/>
        <w:ind w:left="3072" w:right="214"/>
      </w:pPr>
      <w:r>
        <w:rPr>
          <w:color w:val="000000"/>
          <w:spacing w:val="-2"/>
          <w:shd w:fill="E4E4E4" w:color="auto" w:val="clear"/>
        </w:rPr>
        <w:t>若被保险人所患的轻度疾病同时符合本合同所列的轻度疾病定义和本合同所列</w:t>
      </w:r>
      <w:r>
        <w:rPr>
          <w:color w:val="000000"/>
          <w:spacing w:val="80"/>
          <w:w w:val="150"/>
          <w:shd w:fill="E4E4E4" w:color="auto" w:val="clear"/>
        </w:rPr>
        <w:t>                                       </w:t>
      </w:r>
      <w:r>
        <w:rPr>
          <w:color w:val="000000"/>
          <w:spacing w:val="-2"/>
          <w:shd w:fill="E4E4E4" w:color="auto" w:val="clear"/>
        </w:rPr>
        <w:t>的中度疾病定义的，本公司仅承担给付中度疾病保险金的保险责任。</w:t>
      </w:r>
    </w:p>
    <w:p>
      <w:pPr>
        <w:pStyle w:val="BodyText"/>
        <w:spacing w:before="2"/>
        <w:rPr>
          <w:sz w:val="8"/>
        </w:rPr>
      </w:pPr>
      <w:r>
        <w:rPr/>
        <w:pict>
          <v:shape style="position:absolute;margin-left:199.610001pt;margin-top:6.465312pt;width:357.8pt;height:30pt;mso-position-horizontal-relative:page;mso-position-vertical-relative:paragraph;z-index:-15722496;mso-wrap-distance-left:0;mso-wrap-distance-right:0" type="#_x0000_t202" id="docshape12" filled="true" fillcolor="#e4e4e4" stroked="false">
            <v:textbox inset="0,0,0,0">
              <w:txbxContent>
                <w:p>
                  <w:pPr>
                    <w:pStyle w:val="BodyText"/>
                    <w:spacing w:line="266" w:lineRule="auto" w:before="25"/>
                    <w:ind w:right="-15"/>
                    <w:rPr>
                      <w:color w:val="000000"/>
                    </w:rPr>
                  </w:pPr>
                  <w:r>
                    <w:rPr>
                      <w:color w:val="000000"/>
                      <w:spacing w:val="-2"/>
                    </w:rPr>
                    <w:t>若被保险人所患的轻度疾病同时符合本合同所列的轻度疾病定义和本合同所列</w:t>
                  </w:r>
                  <w:r>
                    <w:rPr>
                      <w:color w:val="000000"/>
                      <w:spacing w:val="-7"/>
                    </w:rPr>
                    <w:t>的重大疾病定义的，本公司仅承担给付重大疾病保险金、恶性肿瘤-重度额外给</w:t>
                  </w:r>
                </w:p>
              </w:txbxContent>
            </v:textbox>
            <v:fill type="solid"/>
            <w10:wrap type="topAndBottom"/>
          </v:shape>
        </w:pict>
      </w:r>
    </w:p>
    <w:p>
      <w:pPr>
        <w:pStyle w:val="BodyText"/>
        <w:spacing w:before="30"/>
        <w:ind w:left="3072"/>
      </w:pPr>
      <w:r>
        <w:rPr>
          <w:color w:val="000000"/>
          <w:spacing w:val="-3"/>
          <w:shd w:fill="E4E4E4" w:color="auto" w:val="clear"/>
        </w:rPr>
        <w:t>付保险金或心脑血管特定疾病额外给付保险金的保险责任。</w:t>
      </w:r>
    </w:p>
    <w:p>
      <w:pPr>
        <w:pStyle w:val="ListParagraph"/>
        <w:numPr>
          <w:ilvl w:val="3"/>
          <w:numId w:val="2"/>
        </w:numPr>
        <w:tabs>
          <w:tab w:pos="1370" w:val="left" w:leader="none"/>
        </w:tabs>
        <w:spacing w:line="268" w:lineRule="auto" w:before="177" w:after="0"/>
        <w:ind w:left="3072" w:right="214" w:hanging="2805"/>
        <w:jc w:val="both"/>
        <w:rPr>
          <w:sz w:val="21"/>
        </w:rPr>
      </w:pPr>
      <w:r>
        <w:rPr>
          <w:b/>
          <w:position w:val="1"/>
          <w:sz w:val="21"/>
        </w:rPr>
        <w:t>疾病豁免保险费 </w:t>
      </w:r>
      <w:r>
        <w:rPr>
          <w:sz w:val="21"/>
        </w:rPr>
        <w:t>被保险人在保险期间内因意外，或在本合同生效（若曾复效，则自本合同最后</w:t>
      </w:r>
      <w:r>
        <w:rPr>
          <w:spacing w:val="-2"/>
          <w:sz w:val="21"/>
        </w:rPr>
        <w:t>复效</w:t>
      </w:r>
      <w:r>
        <w:rPr>
          <w:spacing w:val="-92"/>
          <w:sz w:val="21"/>
        </w:rPr>
        <w:t>）</w:t>
      </w:r>
      <w:r>
        <w:rPr>
          <w:spacing w:val="-8"/>
          <w:sz w:val="21"/>
        </w:rPr>
        <w:t>之日起 </w:t>
      </w:r>
      <w:r>
        <w:rPr>
          <w:spacing w:val="-2"/>
          <w:sz w:val="21"/>
        </w:rPr>
        <w:t>90</w:t>
      </w:r>
      <w:r>
        <w:rPr>
          <w:spacing w:val="-7"/>
          <w:sz w:val="21"/>
        </w:rPr>
        <w:t> 天后因非意外的原因在本公司指定或认可的医疗机构由专科医</w:t>
      </w:r>
      <w:r>
        <w:rPr>
          <w:spacing w:val="-2"/>
          <w:sz w:val="21"/>
        </w:rPr>
        <w:t>生确诊初次发生本合同所列的一种或多种轻度疾病、中度疾病或重大疾病，且</w:t>
      </w:r>
      <w:r>
        <w:rPr>
          <w:spacing w:val="-2"/>
          <w:sz w:val="21"/>
        </w:rPr>
        <w:t>本公司已按约定给付轻度疾病保险金、中度疾病保险金或重大疾病保险金，则</w:t>
      </w:r>
      <w:r>
        <w:rPr>
          <w:spacing w:val="-2"/>
          <w:sz w:val="21"/>
        </w:rPr>
        <w:t>自确诊日后首个本合同保险费约定交纳日开始，直至本合同最后一次保险费约</w:t>
      </w:r>
      <w:r>
        <w:rPr>
          <w:spacing w:val="-2"/>
          <w:sz w:val="21"/>
        </w:rPr>
        <w:t>定交纳日止，本公司豁免前述期间内本合同应交纳的保险费。</w:t>
      </w:r>
      <w:r>
        <w:rPr>
          <w:color w:val="000000"/>
          <w:spacing w:val="-2"/>
          <w:sz w:val="21"/>
          <w:shd w:fill="E4E4E4" w:color="auto" w:val="clear"/>
        </w:rPr>
        <w:t>本公司视豁免的</w:t>
      </w:r>
      <w:r>
        <w:rPr>
          <w:color w:val="000000"/>
          <w:spacing w:val="13755"/>
          <w:sz w:val="21"/>
          <w:shd w:fill="E4E4E4" w:color="auto" w:val="clear"/>
        </w:rPr>
        <w:t> </w:t>
      </w:r>
      <w:r>
        <w:rPr>
          <w:color w:val="000000"/>
          <w:spacing w:val="-2"/>
          <w:sz w:val="21"/>
          <w:shd w:fill="E4E4E4" w:color="auto" w:val="clear"/>
        </w:rPr>
        <w:t>保险费为已交纳的保险费，本合同继续有效。</w:t>
      </w:r>
    </w:p>
    <w:p>
      <w:pPr>
        <w:pStyle w:val="BodyText"/>
        <w:spacing w:line="266" w:lineRule="auto" w:before="147"/>
        <w:ind w:left="3072" w:right="214"/>
        <w:jc w:val="both"/>
      </w:pPr>
      <w:r>
        <w:rPr>
          <w:spacing w:val="-6"/>
        </w:rPr>
        <w:t>被保险人在本合同生效（若曾复效，则自本合同最后复效）</w:t>
      </w:r>
      <w:r>
        <w:rPr>
          <w:spacing w:val="-7"/>
        </w:rPr>
        <w:t>之日起 </w:t>
      </w:r>
      <w:r>
        <w:rPr>
          <w:spacing w:val="-6"/>
        </w:rPr>
        <w:t>90</w:t>
      </w:r>
      <w:r>
        <w:rPr>
          <w:spacing w:val="-8"/>
        </w:rPr>
        <w:t> 天内因非</w:t>
      </w:r>
      <w:r>
        <w:rPr>
          <w:spacing w:val="-2"/>
        </w:rPr>
        <w:t>意外的原因，在本公司指定或认可的医疗机构由专科医生确诊初次发生本合同</w:t>
      </w:r>
      <w:r>
        <w:rPr>
          <w:spacing w:val="-2"/>
        </w:rPr>
        <w:t>所列的一种或多种轻度疾病或中度疾病，</w:t>
      </w:r>
      <w:r>
        <w:rPr>
          <w:color w:val="000000"/>
          <w:spacing w:val="-2"/>
          <w:shd w:fill="E4E4E4" w:color="auto" w:val="clear"/>
        </w:rPr>
        <w:t>本公司不承担且不再承担此种轻度疾</w:t>
      </w:r>
      <w:r>
        <w:rPr>
          <w:color w:val="000000"/>
          <w:spacing w:val="40"/>
          <w:shd w:fill="E4E4E4" w:color="auto" w:val="clear"/>
        </w:rPr>
        <w:t> </w:t>
      </w:r>
      <w:r>
        <w:rPr>
          <w:color w:val="000000"/>
          <w:spacing w:val="-2"/>
          <w:shd w:fill="E4E4E4" w:color="auto" w:val="clear"/>
        </w:rPr>
        <w:t>病或中度疾病的疾病豁免保险费责任，轻度疾病或中度疾病豁免保险费责任继</w:t>
      </w:r>
      <w:r>
        <w:rPr>
          <w:color w:val="000000"/>
          <w:spacing w:val="-4"/>
          <w:shd w:fill="E4E4E4" w:color="auto" w:val="clear"/>
        </w:rPr>
        <w:t>续有效。</w:t>
      </w:r>
    </w:p>
    <w:p>
      <w:pPr>
        <w:pStyle w:val="BodyText"/>
        <w:spacing w:line="266" w:lineRule="auto" w:before="163"/>
        <w:ind w:left="3072" w:right="214"/>
        <w:jc w:val="both"/>
      </w:pPr>
      <w:r>
        <w:rPr>
          <w:spacing w:val="-6"/>
        </w:rPr>
        <w:t>被保险人在本合同生效（若曾复效，则自本合同最后复效）</w:t>
      </w:r>
      <w:r>
        <w:rPr>
          <w:spacing w:val="-7"/>
        </w:rPr>
        <w:t>之日起 </w:t>
      </w:r>
      <w:r>
        <w:rPr>
          <w:spacing w:val="-6"/>
        </w:rPr>
        <w:t>90</w:t>
      </w:r>
      <w:r>
        <w:rPr>
          <w:spacing w:val="-8"/>
        </w:rPr>
        <w:t> 天内因非</w:t>
      </w:r>
      <w:r>
        <w:rPr>
          <w:spacing w:val="-2"/>
        </w:rPr>
        <w:t>意外的原因，在本公司指定或认可的医疗机构由专科医生确诊初次发生本合同</w:t>
      </w:r>
      <w:r>
        <w:rPr>
          <w:spacing w:val="-2"/>
        </w:rPr>
        <w:t>所列的一种或多种重大疾病，本公司不承担重大疾病豁免保险费责任，</w:t>
      </w:r>
      <w:r>
        <w:rPr>
          <w:color w:val="000000"/>
          <w:spacing w:val="-2"/>
          <w:shd w:fill="E4E4E4" w:color="auto" w:val="clear"/>
        </w:rPr>
        <w:t>同时本</w:t>
      </w:r>
      <w:r>
        <w:rPr>
          <w:color w:val="000000"/>
          <w:spacing w:val="40"/>
          <w:shd w:fill="E4E4E4" w:color="auto" w:val="clear"/>
        </w:rPr>
        <w:t> </w:t>
      </w:r>
      <w:r>
        <w:rPr>
          <w:color w:val="000000"/>
          <w:spacing w:val="-2"/>
          <w:shd w:fill="E4E4E4" w:color="auto" w:val="clear"/>
        </w:rPr>
        <w:t>合同终止。</w:t>
      </w:r>
    </w:p>
    <w:p>
      <w:pPr>
        <w:pStyle w:val="ListParagraph"/>
        <w:numPr>
          <w:ilvl w:val="2"/>
          <w:numId w:val="2"/>
        </w:numPr>
        <w:tabs>
          <w:tab w:pos="1369" w:val="left" w:leader="none"/>
          <w:tab w:pos="1370" w:val="left" w:leader="none"/>
          <w:tab w:pos="3072" w:val="left" w:leader="none"/>
        </w:tabs>
        <w:spacing w:line="240" w:lineRule="auto" w:before="151" w:after="0"/>
        <w:ind w:left="1370" w:right="0" w:hanging="1103"/>
        <w:jc w:val="left"/>
        <w:rPr>
          <w:sz w:val="21"/>
        </w:rPr>
      </w:pPr>
      <w:r>
        <w:rPr>
          <w:b/>
          <w:position w:val="1"/>
          <w:sz w:val="21"/>
        </w:rPr>
        <w:t>可选责</w:t>
      </w:r>
      <w:r>
        <w:rPr>
          <w:b/>
          <w:spacing w:val="-10"/>
          <w:position w:val="1"/>
          <w:sz w:val="21"/>
        </w:rPr>
        <w:t>任</w:t>
      </w:r>
      <w:r>
        <w:rPr>
          <w:b/>
          <w:position w:val="1"/>
          <w:sz w:val="21"/>
        </w:rPr>
        <w:tab/>
      </w:r>
      <w:r>
        <w:rPr>
          <w:spacing w:val="-2"/>
          <w:sz w:val="21"/>
        </w:rPr>
        <w:t>下</w:t>
      </w:r>
      <w:r>
        <w:rPr>
          <w:spacing w:val="-2"/>
          <w:sz w:val="21"/>
        </w:rPr>
        <w:t>述</w:t>
      </w:r>
      <w:r>
        <w:rPr>
          <w:spacing w:val="-2"/>
          <w:sz w:val="21"/>
        </w:rPr>
        <w:t>可选责任，由投保人</w:t>
      </w:r>
      <w:r>
        <w:rPr>
          <w:spacing w:val="-2"/>
          <w:sz w:val="21"/>
        </w:rPr>
        <w:t>在</w:t>
      </w:r>
      <w:r>
        <w:rPr>
          <w:spacing w:val="-2"/>
          <w:sz w:val="21"/>
        </w:rPr>
        <w:t>投</w:t>
      </w:r>
      <w:r>
        <w:rPr>
          <w:spacing w:val="-2"/>
          <w:sz w:val="21"/>
        </w:rPr>
        <w:t>保时与本公司约定，</w:t>
      </w:r>
      <w:r>
        <w:rPr>
          <w:spacing w:val="-2"/>
          <w:sz w:val="21"/>
        </w:rPr>
        <w:t>并</w:t>
      </w:r>
      <w:r>
        <w:rPr>
          <w:spacing w:val="-2"/>
          <w:sz w:val="21"/>
        </w:rPr>
        <w:t>在</w:t>
      </w:r>
      <w:r>
        <w:rPr>
          <w:spacing w:val="-2"/>
          <w:sz w:val="21"/>
        </w:rPr>
        <w:t>本合同中载</w:t>
      </w:r>
      <w:r>
        <w:rPr>
          <w:spacing w:val="-2"/>
          <w:sz w:val="21"/>
        </w:rPr>
        <w:t>明</w:t>
      </w:r>
      <w:r>
        <w:rPr>
          <w:spacing w:val="-10"/>
          <w:sz w:val="21"/>
        </w:rPr>
        <w:t>。</w:t>
      </w:r>
    </w:p>
    <w:p>
      <w:pPr>
        <w:pStyle w:val="BodyText"/>
        <w:rPr>
          <w:sz w:val="20"/>
        </w:rPr>
      </w:pPr>
    </w:p>
    <w:p>
      <w:pPr>
        <w:pStyle w:val="BodyText"/>
        <w:spacing w:before="12"/>
        <w:rPr>
          <w:sz w:val="17"/>
        </w:rPr>
      </w:pPr>
      <w:r>
        <w:rPr/>
        <w:drawing>
          <wp:anchor distT="0" distB="0" distL="0" distR="0" allowOverlap="1" layoutInCell="1" locked="0" behindDoc="0" simplePos="0" relativeHeight="13">
            <wp:simplePos x="0" y="0"/>
            <wp:positionH relativeFrom="page">
              <wp:posOffset>685800</wp:posOffset>
            </wp:positionH>
            <wp:positionV relativeFrom="paragraph">
              <wp:posOffset>161265</wp:posOffset>
            </wp:positionV>
            <wp:extent cx="1829511" cy="6096"/>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1" cstate="print"/>
                    <a:stretch>
                      <a:fillRect/>
                    </a:stretch>
                  </pic:blipFill>
                  <pic:spPr>
                    <a:xfrm>
                      <a:off x="0" y="0"/>
                      <a:ext cx="1829511" cy="6096"/>
                    </a:xfrm>
                    <a:prstGeom prst="rect">
                      <a:avLst/>
                    </a:prstGeom>
                  </pic:spPr>
                </pic:pic>
              </a:graphicData>
            </a:graphic>
          </wp:anchor>
        </w:drawing>
      </w:r>
    </w:p>
    <w:p>
      <w:pPr>
        <w:spacing w:before="91"/>
        <w:ind w:left="160" w:right="0" w:firstLine="0"/>
        <w:jc w:val="left"/>
        <w:rPr>
          <w:rFonts w:ascii="楷体" w:eastAsia="楷体"/>
          <w:sz w:val="18"/>
        </w:rPr>
      </w:pPr>
      <w:r>
        <w:rPr>
          <w:b/>
          <w:w w:val="95"/>
          <w:position w:val="9"/>
          <w:sz w:val="9"/>
        </w:rPr>
        <w:t>19</w:t>
      </w:r>
      <w:r>
        <w:rPr>
          <w:rFonts w:ascii="楷体" w:eastAsia="楷体" w:hint="eastAsia"/>
          <w:b/>
          <w:w w:val="95"/>
          <w:sz w:val="18"/>
        </w:rPr>
        <w:t>轻</w:t>
      </w:r>
      <w:r>
        <w:rPr>
          <w:rFonts w:ascii="楷体" w:eastAsia="楷体" w:hint="eastAsia"/>
          <w:b/>
          <w:w w:val="95"/>
          <w:sz w:val="18"/>
        </w:rPr>
        <w:t>度</w:t>
      </w:r>
      <w:r>
        <w:rPr>
          <w:rFonts w:ascii="楷体" w:eastAsia="楷体" w:hint="eastAsia"/>
          <w:b/>
          <w:w w:val="95"/>
          <w:sz w:val="18"/>
        </w:rPr>
        <w:t>疾</w:t>
      </w:r>
      <w:r>
        <w:rPr>
          <w:rFonts w:ascii="楷体" w:eastAsia="楷体" w:hint="eastAsia"/>
          <w:b/>
          <w:w w:val="95"/>
          <w:sz w:val="18"/>
        </w:rPr>
        <w:t>病</w:t>
      </w:r>
      <w:r>
        <w:rPr>
          <w:rFonts w:ascii="楷体" w:eastAsia="楷体" w:hint="eastAsia"/>
          <w:b/>
          <w:w w:val="95"/>
          <w:sz w:val="18"/>
        </w:rPr>
        <w:t>：</w:t>
      </w:r>
      <w:r>
        <w:rPr>
          <w:rFonts w:ascii="楷体" w:eastAsia="楷体"/>
          <w:w w:val="95"/>
          <w:sz w:val="18"/>
        </w:rPr>
        <w:t>指</w:t>
      </w:r>
      <w:r>
        <w:rPr>
          <w:rFonts w:ascii="楷体" w:eastAsia="楷体"/>
          <w:w w:val="95"/>
          <w:sz w:val="18"/>
        </w:rPr>
        <w:t>符</w:t>
      </w:r>
      <w:r>
        <w:rPr>
          <w:rFonts w:ascii="楷体" w:eastAsia="楷体"/>
          <w:w w:val="95"/>
          <w:sz w:val="18"/>
        </w:rPr>
        <w:t>合</w:t>
      </w:r>
      <w:r>
        <w:rPr>
          <w:rFonts w:ascii="楷体" w:eastAsia="楷体"/>
          <w:w w:val="95"/>
          <w:sz w:val="18"/>
        </w:rPr>
        <w:t>本</w:t>
      </w:r>
      <w:r>
        <w:rPr>
          <w:rFonts w:ascii="楷体" w:eastAsia="楷体"/>
          <w:w w:val="95"/>
          <w:sz w:val="18"/>
        </w:rPr>
        <w:t>保</w:t>
      </w:r>
      <w:r>
        <w:rPr>
          <w:rFonts w:ascii="楷体" w:eastAsia="楷体"/>
          <w:w w:val="95"/>
          <w:sz w:val="18"/>
        </w:rPr>
        <w:t>险</w:t>
      </w:r>
      <w:r>
        <w:rPr>
          <w:rFonts w:ascii="楷体" w:eastAsia="楷体"/>
          <w:w w:val="95"/>
          <w:sz w:val="18"/>
        </w:rPr>
        <w:t>条</w:t>
      </w:r>
      <w:r>
        <w:rPr>
          <w:rFonts w:ascii="楷体" w:eastAsia="楷体"/>
          <w:w w:val="95"/>
          <w:sz w:val="18"/>
        </w:rPr>
        <w:t>款</w:t>
      </w:r>
      <w:r>
        <w:rPr>
          <w:rFonts w:ascii="楷体" w:eastAsia="楷体"/>
          <w:w w:val="95"/>
          <w:sz w:val="18"/>
        </w:rPr>
        <w:t>附</w:t>
      </w:r>
      <w:r>
        <w:rPr>
          <w:rFonts w:ascii="楷体" w:eastAsia="楷体"/>
          <w:w w:val="95"/>
          <w:sz w:val="18"/>
        </w:rPr>
        <w:t>表</w:t>
      </w:r>
      <w:r>
        <w:rPr>
          <w:rFonts w:ascii="楷体" w:eastAsia="楷体"/>
          <w:w w:val="95"/>
          <w:sz w:val="18"/>
        </w:rPr>
        <w:t>三</w:t>
      </w:r>
      <w:r>
        <w:rPr>
          <w:rFonts w:ascii="楷体" w:eastAsia="楷体"/>
          <w:w w:val="95"/>
          <w:sz w:val="18"/>
        </w:rPr>
        <w:t>所</w:t>
      </w:r>
      <w:r>
        <w:rPr>
          <w:rFonts w:ascii="楷体" w:eastAsia="楷体"/>
          <w:w w:val="95"/>
          <w:sz w:val="18"/>
        </w:rPr>
        <w:t>列</w:t>
      </w:r>
      <w:r>
        <w:rPr>
          <w:rFonts w:ascii="楷体" w:eastAsia="楷体"/>
          <w:w w:val="95"/>
          <w:sz w:val="18"/>
        </w:rPr>
        <w:t>的</w:t>
      </w:r>
      <w:r>
        <w:rPr>
          <w:rFonts w:ascii="楷体" w:eastAsia="楷体"/>
          <w:w w:val="95"/>
          <w:sz w:val="18"/>
        </w:rPr>
        <w:t>任</w:t>
      </w:r>
      <w:r>
        <w:rPr>
          <w:rFonts w:ascii="楷体" w:eastAsia="楷体"/>
          <w:w w:val="95"/>
          <w:sz w:val="18"/>
        </w:rPr>
        <w:t>何</w:t>
      </w:r>
      <w:r>
        <w:rPr>
          <w:rFonts w:ascii="楷体" w:eastAsia="楷体"/>
          <w:w w:val="95"/>
          <w:sz w:val="18"/>
        </w:rPr>
        <w:t>一</w:t>
      </w:r>
      <w:r>
        <w:rPr>
          <w:rFonts w:ascii="楷体" w:eastAsia="楷体"/>
          <w:w w:val="95"/>
          <w:sz w:val="18"/>
        </w:rPr>
        <w:t>种</w:t>
      </w:r>
      <w:r>
        <w:rPr>
          <w:rFonts w:ascii="楷体" w:eastAsia="楷体"/>
          <w:w w:val="95"/>
          <w:sz w:val="18"/>
        </w:rPr>
        <w:t>疾</w:t>
      </w:r>
      <w:r>
        <w:rPr>
          <w:rFonts w:ascii="楷体" w:eastAsia="楷体"/>
          <w:w w:val="95"/>
          <w:sz w:val="18"/>
        </w:rPr>
        <w:t>病</w:t>
      </w:r>
      <w:r>
        <w:rPr>
          <w:rFonts w:ascii="楷体" w:eastAsia="楷体"/>
          <w:w w:val="95"/>
          <w:sz w:val="18"/>
        </w:rPr>
        <w:t>定</w:t>
      </w:r>
      <w:r>
        <w:rPr>
          <w:rFonts w:ascii="楷体" w:eastAsia="楷体"/>
          <w:w w:val="95"/>
          <w:sz w:val="18"/>
        </w:rPr>
        <w:t>义</w:t>
      </w:r>
      <w:r>
        <w:rPr>
          <w:rFonts w:ascii="楷体" w:eastAsia="楷体"/>
          <w:w w:val="95"/>
          <w:sz w:val="18"/>
        </w:rPr>
        <w:t>所</w:t>
      </w:r>
      <w:r>
        <w:rPr>
          <w:rFonts w:ascii="楷体" w:eastAsia="楷体"/>
          <w:w w:val="95"/>
          <w:sz w:val="18"/>
        </w:rPr>
        <w:t>述</w:t>
      </w:r>
      <w:r>
        <w:rPr>
          <w:rFonts w:ascii="楷体" w:eastAsia="楷体"/>
          <w:w w:val="95"/>
          <w:sz w:val="18"/>
        </w:rPr>
        <w:t>条</w:t>
      </w:r>
      <w:r>
        <w:rPr>
          <w:rFonts w:ascii="楷体" w:eastAsia="楷体"/>
          <w:w w:val="95"/>
          <w:sz w:val="18"/>
        </w:rPr>
        <w:t>件</w:t>
      </w:r>
      <w:r>
        <w:rPr>
          <w:rFonts w:ascii="楷体" w:eastAsia="楷体"/>
          <w:w w:val="95"/>
          <w:sz w:val="18"/>
        </w:rPr>
        <w:t>的</w:t>
      </w:r>
      <w:r>
        <w:rPr>
          <w:rFonts w:ascii="楷体" w:eastAsia="楷体"/>
          <w:w w:val="95"/>
          <w:sz w:val="18"/>
        </w:rPr>
        <w:t>疾</w:t>
      </w:r>
      <w:r>
        <w:rPr>
          <w:rFonts w:ascii="楷体" w:eastAsia="楷体"/>
          <w:w w:val="95"/>
          <w:sz w:val="18"/>
        </w:rPr>
        <w:t>病</w:t>
      </w:r>
      <w:r>
        <w:rPr>
          <w:rFonts w:ascii="楷体" w:eastAsia="楷体"/>
          <w:spacing w:val="-10"/>
          <w:w w:val="95"/>
          <w:sz w:val="18"/>
        </w:rPr>
        <w:t>。</w:t>
      </w:r>
    </w:p>
    <w:p>
      <w:pPr>
        <w:spacing w:after="0"/>
        <w:jc w:val="left"/>
        <w:rPr>
          <w:rFonts w:ascii="楷体" w:eastAsia="楷体"/>
          <w:sz w:val="18"/>
        </w:rPr>
        <w:sectPr>
          <w:type w:val="continuous"/>
          <w:pgSz w:w="11910" w:h="16840"/>
          <w:pgMar w:header="0" w:footer="659" w:top="480" w:bottom="280" w:left="920" w:right="540"/>
        </w:sectPr>
      </w:pPr>
    </w:p>
    <w:p>
      <w:pPr>
        <w:pStyle w:val="ListParagraph"/>
        <w:numPr>
          <w:ilvl w:val="3"/>
          <w:numId w:val="2"/>
        </w:numPr>
        <w:tabs>
          <w:tab w:pos="1369" w:val="left" w:leader="none"/>
          <w:tab w:pos="1370" w:val="left" w:leader="none"/>
        </w:tabs>
        <w:spacing w:line="240" w:lineRule="auto" w:before="44" w:after="0"/>
        <w:ind w:left="1370" w:right="0" w:hanging="1103"/>
        <w:jc w:val="left"/>
        <w:rPr>
          <w:b/>
          <w:sz w:val="21"/>
        </w:rPr>
      </w:pPr>
      <w:r>
        <w:rPr>
          <w:b/>
          <w:w w:val="95"/>
          <w:sz w:val="21"/>
        </w:rPr>
        <w:t>恶</w:t>
      </w:r>
      <w:r>
        <w:rPr>
          <w:b/>
          <w:w w:val="95"/>
          <w:sz w:val="21"/>
        </w:rPr>
        <w:t>性</w:t>
      </w:r>
      <w:r>
        <w:rPr>
          <w:b/>
          <w:w w:val="95"/>
          <w:sz w:val="21"/>
        </w:rPr>
        <w:t>肿</w:t>
      </w:r>
      <w:r>
        <w:rPr>
          <w:b/>
          <w:w w:val="95"/>
          <w:sz w:val="21"/>
        </w:rPr>
        <w:t>瘤</w:t>
      </w:r>
      <w:r>
        <w:rPr>
          <w:b/>
          <w:w w:val="95"/>
          <w:sz w:val="21"/>
        </w:rPr>
        <w:t>-</w:t>
      </w:r>
      <w:r>
        <w:rPr>
          <w:b/>
          <w:w w:val="95"/>
          <w:sz w:val="21"/>
        </w:rPr>
        <w:t>重</w:t>
      </w:r>
      <w:r>
        <w:rPr>
          <w:b/>
          <w:spacing w:val="-10"/>
          <w:w w:val="95"/>
          <w:sz w:val="21"/>
        </w:rPr>
        <w:t>度</w:t>
      </w:r>
    </w:p>
    <w:p>
      <w:pPr>
        <w:spacing w:before="43"/>
        <w:ind w:left="1370" w:right="0" w:firstLine="0"/>
        <w:jc w:val="left"/>
        <w:rPr>
          <w:b/>
          <w:sz w:val="21"/>
        </w:rPr>
      </w:pPr>
      <w:r>
        <w:rPr>
          <w:b/>
          <w:spacing w:val="-2"/>
          <w:sz w:val="21"/>
        </w:rPr>
        <w:t>额外给付保险金</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20"/>
        </w:rPr>
      </w:pPr>
    </w:p>
    <w:p>
      <w:pPr>
        <w:pStyle w:val="ListParagraph"/>
        <w:numPr>
          <w:ilvl w:val="3"/>
          <w:numId w:val="2"/>
        </w:numPr>
        <w:tabs>
          <w:tab w:pos="1369" w:val="left" w:leader="none"/>
          <w:tab w:pos="1370" w:val="left" w:leader="none"/>
        </w:tabs>
        <w:spacing w:line="240" w:lineRule="auto" w:before="0" w:after="0"/>
        <w:ind w:left="1370" w:right="0" w:hanging="1103"/>
        <w:jc w:val="left"/>
        <w:rPr>
          <w:b/>
          <w:sz w:val="21"/>
        </w:rPr>
      </w:pPr>
      <w:r>
        <w:rPr>
          <w:b/>
          <w:spacing w:val="-2"/>
          <w:sz w:val="21"/>
        </w:rPr>
        <w:t>心脑血管特定疾</w:t>
      </w:r>
    </w:p>
    <w:p>
      <w:pPr>
        <w:spacing w:line="278" w:lineRule="auto" w:before="43"/>
        <w:ind w:left="1370" w:right="0" w:firstLine="0"/>
        <w:jc w:val="left"/>
        <w:rPr>
          <w:b/>
          <w:sz w:val="21"/>
        </w:rPr>
      </w:pPr>
      <w:r>
        <w:rPr>
          <w:b/>
          <w:spacing w:val="-2"/>
          <w:sz w:val="21"/>
        </w:rPr>
        <w:t>病额外给付保险</w:t>
      </w:r>
      <w:r>
        <w:rPr>
          <w:b/>
          <w:spacing w:val="-10"/>
          <w:sz w:val="21"/>
        </w:rPr>
        <w:t>金</w:t>
      </w:r>
    </w:p>
    <w:p>
      <w:pPr>
        <w:pStyle w:val="BodyText"/>
        <w:spacing w:line="278" w:lineRule="auto" w:before="44"/>
        <w:ind w:left="183" w:right="214"/>
        <w:jc w:val="both"/>
      </w:pPr>
      <w:r>
        <w:rPr/>
        <w:br w:type="column"/>
      </w:r>
      <w:r>
        <w:rPr>
          <w:spacing w:val="-4"/>
        </w:rPr>
        <w:t>若首次发生的重大疾病为本合同所指的重大疾病中的“恶性肿瘤-重度”以外的</w:t>
      </w:r>
      <w:r>
        <w:rPr>
          <w:spacing w:val="-2"/>
        </w:rPr>
        <w:t>其他重大疾病，且本公司已按约定给付首次重大疾病保险金，自该重大疾病确</w:t>
      </w:r>
      <w:r>
        <w:rPr>
          <w:spacing w:val="-7"/>
        </w:rPr>
        <w:t>诊之日起 </w:t>
      </w:r>
      <w:r>
        <w:rPr>
          <w:spacing w:val="-2"/>
        </w:rPr>
        <w:t>365</w:t>
      </w:r>
      <w:r>
        <w:rPr>
          <w:spacing w:val="-7"/>
        </w:rPr>
        <w:t> 天后，在本公司指定或认可的医疗机构由专科医生确诊初次发生</w:t>
      </w:r>
      <w:r>
        <w:rPr>
          <w:spacing w:val="-4"/>
        </w:rPr>
        <w:t>恶性肿瘤-重度，本公司按本合同基本保险金额的 </w:t>
      </w:r>
      <w:r>
        <w:rPr>
          <w:spacing w:val="-2"/>
        </w:rPr>
        <w:t>120%给付恶性肿瘤-重度额外</w:t>
      </w:r>
      <w:r>
        <w:rPr>
          <w:spacing w:val="-2"/>
        </w:rPr>
        <w:t>给付保险金，</w:t>
      </w:r>
      <w:r>
        <w:rPr>
          <w:color w:val="000000"/>
          <w:spacing w:val="-2"/>
          <w:shd w:fill="E4E4E4" w:color="auto" w:val="clear"/>
        </w:rPr>
        <w:t>同时恶性肿瘤-重度额外给付保险金责任终止。</w:t>
      </w:r>
    </w:p>
    <w:p>
      <w:pPr>
        <w:pStyle w:val="BodyText"/>
        <w:spacing w:line="264" w:lineRule="auto" w:before="163"/>
        <w:ind w:left="183" w:right="211"/>
        <w:jc w:val="both"/>
      </w:pPr>
      <w:r>
        <w:rPr>
          <w:spacing w:val="-6"/>
        </w:rPr>
        <w:t>若首次发生的重大疾病为本合同所指的重大疾病中的“恶性肿瘤-重度”，且本</w:t>
      </w:r>
      <w:r>
        <w:rPr>
          <w:spacing w:val="-2"/>
        </w:rPr>
        <w:t>公司已按约定给付首次重大疾病保险金，自该重大疾病确诊之日起三</w:t>
      </w:r>
      <w:r>
        <w:rPr>
          <w:b/>
          <w:spacing w:val="-2"/>
        </w:rPr>
        <w:t>年</w:t>
      </w:r>
      <w:r>
        <w:rPr>
          <w:b/>
          <w:spacing w:val="-2"/>
          <w:position w:val="11"/>
          <w:sz w:val="11"/>
        </w:rPr>
        <w:t>20</w:t>
      </w:r>
      <w:r>
        <w:rPr>
          <w:spacing w:val="-20"/>
        </w:rPr>
        <w:t>后，在</w:t>
      </w:r>
      <w:r>
        <w:rPr>
          <w:spacing w:val="-4"/>
        </w:rPr>
        <w:t>本公司指定或认可的医疗机构由专科医生确诊仍处于</w:t>
      </w:r>
      <w:r>
        <w:rPr>
          <w:b/>
          <w:spacing w:val="-4"/>
        </w:rPr>
        <w:t>恶性肿瘤状态</w:t>
      </w:r>
      <w:r>
        <w:rPr>
          <w:b/>
          <w:spacing w:val="30"/>
          <w:w w:val="99"/>
          <w:position w:val="11"/>
          <w:sz w:val="11"/>
        </w:rPr>
        <w:t>21</w:t>
      </w:r>
      <w:r>
        <w:rPr>
          <w:spacing w:val="-19"/>
        </w:rPr>
        <w:t>，本公司按</w:t>
      </w:r>
      <w:r>
        <w:rPr>
          <w:spacing w:val="-2"/>
        </w:rPr>
        <w:t>本合同基本保险金额的 </w:t>
      </w:r>
      <w:r>
        <w:rPr/>
        <w:t>120%给付恶性肿瘤-重度额外给付保险金，</w:t>
      </w:r>
      <w:r>
        <w:rPr>
          <w:color w:val="000000"/>
          <w:shd w:fill="E4E4E4" w:color="auto" w:val="clear"/>
        </w:rPr>
        <w:t>同时恶性肿</w:t>
      </w:r>
      <w:r>
        <w:rPr>
          <w:color w:val="000000"/>
          <w:spacing w:val="40"/>
          <w:shd w:fill="E4E4E4" w:color="auto" w:val="clear"/>
        </w:rPr>
        <w:t> </w:t>
      </w:r>
      <w:r>
        <w:rPr>
          <w:color w:val="000000"/>
          <w:spacing w:val="-2"/>
          <w:shd w:fill="E4E4E4" w:color="auto" w:val="clear"/>
        </w:rPr>
        <w:t>瘤-重度额外给付保险金责任终止。</w:t>
      </w:r>
    </w:p>
    <w:p>
      <w:pPr>
        <w:pStyle w:val="BodyText"/>
        <w:spacing w:before="156"/>
        <w:ind w:left="183"/>
      </w:pPr>
      <w:r>
        <w:rPr>
          <w:spacing w:val="4"/>
        </w:rPr>
        <w:t>若投保人未选择 </w:t>
      </w:r>
      <w:r>
        <w:rPr/>
        <w:t>2.3.2.2</w:t>
      </w:r>
      <w:r>
        <w:rPr>
          <w:spacing w:val="-1"/>
        </w:rPr>
        <w:t> 心脑血管特定疾病额外给付保险金，或投保人选择</w:t>
      </w:r>
    </w:p>
    <w:p>
      <w:pPr>
        <w:pStyle w:val="BodyText"/>
        <w:spacing w:line="268" w:lineRule="auto" w:before="31"/>
        <w:ind w:left="183" w:right="214"/>
      </w:pPr>
      <w:r>
        <w:rPr/>
        <w:t>2.3.2.2</w:t>
      </w:r>
      <w:r>
        <w:rPr>
          <w:spacing w:val="-4"/>
        </w:rPr>
        <w:t> 心脑血管特定疾病额外给付保险金且本公司已按约定给付，</w:t>
      </w:r>
      <w:r>
        <w:rPr>
          <w:color w:val="000000"/>
          <w:shd w:fill="E4E4E4" w:color="auto" w:val="clear"/>
        </w:rPr>
        <w:t>本合同终</w:t>
      </w:r>
      <w:r>
        <w:rPr>
          <w:color w:val="000000"/>
          <w:spacing w:val="13755"/>
          <w:shd w:fill="E4E4E4" w:color="auto" w:val="clear"/>
        </w:rPr>
        <w:t> </w:t>
      </w:r>
      <w:r>
        <w:rPr>
          <w:color w:val="000000"/>
          <w:spacing w:val="-6"/>
          <w:shd w:fill="E4E4E4" w:color="auto" w:val="clear"/>
        </w:rPr>
        <w:t>止。</w:t>
      </w:r>
    </w:p>
    <w:p>
      <w:pPr>
        <w:spacing w:before="144"/>
        <w:ind w:left="183" w:right="0" w:firstLine="0"/>
        <w:jc w:val="left"/>
        <w:rPr>
          <w:sz w:val="21"/>
        </w:rPr>
      </w:pPr>
      <w:r>
        <w:rPr>
          <w:w w:val="95"/>
          <w:sz w:val="21"/>
        </w:rPr>
        <w:t>本</w:t>
      </w:r>
      <w:r>
        <w:rPr>
          <w:w w:val="95"/>
          <w:sz w:val="21"/>
        </w:rPr>
        <w:t>合</w:t>
      </w:r>
      <w:r>
        <w:rPr>
          <w:w w:val="95"/>
          <w:sz w:val="21"/>
        </w:rPr>
        <w:t>同提供保</w:t>
      </w:r>
      <w:r>
        <w:rPr>
          <w:w w:val="95"/>
          <w:sz w:val="21"/>
        </w:rPr>
        <w:t>障</w:t>
      </w:r>
      <w:r>
        <w:rPr>
          <w:w w:val="95"/>
          <w:sz w:val="21"/>
        </w:rPr>
        <w:t>的</w:t>
      </w:r>
      <w:r>
        <w:rPr>
          <w:b/>
          <w:w w:val="95"/>
          <w:sz w:val="21"/>
        </w:rPr>
        <w:t>心</w:t>
      </w:r>
      <w:r>
        <w:rPr>
          <w:b/>
          <w:w w:val="95"/>
          <w:sz w:val="21"/>
        </w:rPr>
        <w:t>脑</w:t>
      </w:r>
      <w:r>
        <w:rPr>
          <w:b/>
          <w:w w:val="95"/>
          <w:sz w:val="21"/>
        </w:rPr>
        <w:t>血</w:t>
      </w:r>
      <w:r>
        <w:rPr>
          <w:b/>
          <w:w w:val="95"/>
          <w:sz w:val="21"/>
        </w:rPr>
        <w:t>管</w:t>
      </w:r>
      <w:r>
        <w:rPr>
          <w:b/>
          <w:w w:val="95"/>
          <w:sz w:val="21"/>
        </w:rPr>
        <w:t>特</w:t>
      </w:r>
      <w:r>
        <w:rPr>
          <w:b/>
          <w:w w:val="95"/>
          <w:sz w:val="21"/>
        </w:rPr>
        <w:t>定</w:t>
      </w:r>
      <w:r>
        <w:rPr>
          <w:b/>
          <w:w w:val="95"/>
          <w:sz w:val="21"/>
        </w:rPr>
        <w:t>疾</w:t>
      </w:r>
      <w:r>
        <w:rPr>
          <w:b/>
          <w:w w:val="95"/>
          <w:sz w:val="21"/>
        </w:rPr>
        <w:t>病</w:t>
      </w:r>
      <w:r>
        <w:rPr>
          <w:b/>
          <w:w w:val="95"/>
          <w:position w:val="11"/>
          <w:sz w:val="11"/>
        </w:rPr>
        <w:t>22</w:t>
      </w:r>
      <w:r>
        <w:rPr>
          <w:w w:val="95"/>
          <w:sz w:val="21"/>
        </w:rPr>
        <w:t>共</w:t>
      </w:r>
      <w:r>
        <w:rPr>
          <w:spacing w:val="46"/>
          <w:w w:val="150"/>
          <w:sz w:val="21"/>
        </w:rPr>
        <w:t> </w:t>
      </w:r>
      <w:r>
        <w:rPr>
          <w:w w:val="95"/>
          <w:sz w:val="21"/>
        </w:rPr>
        <w:t>3</w:t>
      </w:r>
      <w:r>
        <w:rPr>
          <w:spacing w:val="47"/>
          <w:w w:val="150"/>
          <w:sz w:val="21"/>
        </w:rPr>
        <w:t> </w:t>
      </w:r>
      <w:r>
        <w:rPr>
          <w:w w:val="95"/>
          <w:sz w:val="21"/>
        </w:rPr>
        <w:t>种，</w:t>
      </w:r>
      <w:r>
        <w:rPr>
          <w:w w:val="95"/>
          <w:sz w:val="21"/>
        </w:rPr>
        <w:t>名</w:t>
      </w:r>
      <w:r>
        <w:rPr>
          <w:w w:val="95"/>
          <w:sz w:val="21"/>
        </w:rPr>
        <w:t>单</w:t>
      </w:r>
      <w:r>
        <w:rPr>
          <w:w w:val="95"/>
          <w:sz w:val="21"/>
        </w:rPr>
        <w:t>详</w:t>
      </w:r>
      <w:r>
        <w:rPr>
          <w:w w:val="95"/>
          <w:sz w:val="21"/>
        </w:rPr>
        <w:t>见</w:t>
      </w:r>
      <w:r>
        <w:rPr>
          <w:w w:val="95"/>
          <w:sz w:val="21"/>
        </w:rPr>
        <w:t>本保险条款附表</w:t>
      </w:r>
      <w:r>
        <w:rPr>
          <w:w w:val="95"/>
          <w:sz w:val="21"/>
        </w:rPr>
        <w:t>四</w:t>
      </w:r>
      <w:r>
        <w:rPr>
          <w:spacing w:val="-10"/>
          <w:w w:val="95"/>
          <w:sz w:val="21"/>
        </w:rPr>
        <w:t>。</w:t>
      </w:r>
    </w:p>
    <w:p>
      <w:pPr>
        <w:pStyle w:val="BodyText"/>
        <w:spacing w:line="278" w:lineRule="auto" w:before="180"/>
        <w:ind w:left="183" w:right="213"/>
        <w:jc w:val="both"/>
      </w:pPr>
      <w:r>
        <w:rPr>
          <w:spacing w:val="3"/>
          <w:w w:val="100"/>
        </w:rPr>
        <w:t>若首次发生的重大疾病为本合同所列的心脑血管特定疾病以外的其他重大疾</w:t>
      </w:r>
      <w:r>
        <w:rPr>
          <w:spacing w:val="-13"/>
          <w:w w:val="100"/>
        </w:rPr>
        <w:t>病，且本公司已按约定给付首次重大疾病保险金，自该重大疾病确诊之日起</w:t>
      </w:r>
      <w:r>
        <w:rPr>
          <w:spacing w:val="-53"/>
        </w:rPr>
        <w:t> </w:t>
      </w:r>
      <w:r>
        <w:rPr>
          <w:w w:val="100"/>
        </w:rPr>
        <w:t>365</w:t>
      </w:r>
      <w:r>
        <w:rPr>
          <w:spacing w:val="-4"/>
          <w:w w:val="100"/>
        </w:rPr>
        <w:t>天后，在本公司指定或认可的医疗机构由专科医生确诊初次发生心脑血管特定</w:t>
      </w:r>
      <w:r>
        <w:rPr>
          <w:spacing w:val="-8"/>
          <w:w w:val="100"/>
        </w:rPr>
        <w:t>疾病，本公司按本合同基本保险金额的</w:t>
      </w:r>
      <w:r>
        <w:rPr>
          <w:spacing w:val="-53"/>
        </w:rPr>
        <w:t> </w:t>
      </w:r>
      <w:r>
        <w:rPr>
          <w:spacing w:val="-3"/>
          <w:w w:val="100"/>
        </w:rPr>
        <w:t>1</w:t>
      </w:r>
      <w:r>
        <w:rPr>
          <w:w w:val="100"/>
        </w:rPr>
        <w:t>20</w:t>
      </w:r>
      <w:r>
        <w:rPr>
          <w:spacing w:val="-3"/>
          <w:w w:val="100"/>
        </w:rPr>
        <w:t>%给付心脑血管特定疾病额外给付保险金，</w:t>
      </w:r>
      <w:r>
        <w:rPr>
          <w:color w:val="000000"/>
          <w:spacing w:val="-3"/>
          <w:w w:val="100"/>
          <w:shd w:fill="D2D2D2" w:color="auto" w:val="clear"/>
        </w:rPr>
        <w:t>同时心脑血管特定疾病额外给付保险金责任终止。</w:t>
      </w:r>
    </w:p>
    <w:p>
      <w:pPr>
        <w:pStyle w:val="BodyText"/>
        <w:spacing w:line="278" w:lineRule="auto" w:before="155"/>
        <w:ind w:left="183" w:right="214"/>
        <w:jc w:val="both"/>
      </w:pPr>
      <w:r>
        <w:rPr>
          <w:spacing w:val="-2"/>
        </w:rPr>
        <w:t>若首次发生的重大疾病为本合同所列的心脑血管特定疾病之一，且本公司已按</w:t>
      </w:r>
      <w:r>
        <w:rPr>
          <w:spacing w:val="-3"/>
        </w:rPr>
        <w:t>约定给付首次重大疾病保险金，自该重大疾病确诊之日起 </w:t>
      </w:r>
      <w:r>
        <w:rPr>
          <w:spacing w:val="-2"/>
        </w:rPr>
        <w:t>365</w:t>
      </w:r>
      <w:r>
        <w:rPr>
          <w:spacing w:val="-7"/>
        </w:rPr>
        <w:t> 天后，在本公司</w:t>
      </w:r>
      <w:r>
        <w:rPr>
          <w:spacing w:val="-2"/>
        </w:rPr>
        <w:t>指定或认可的医疗机构由专科医生确诊再次发生该重大疾病，本公司按本合同</w:t>
      </w:r>
      <w:r>
        <w:rPr>
          <w:spacing w:val="-5"/>
        </w:rPr>
        <w:t>基本保险金额的 </w:t>
      </w:r>
      <w:r>
        <w:rPr>
          <w:spacing w:val="-2"/>
        </w:rPr>
        <w:t>120%给付心脑血管特定疾病额外给付保险金，</w:t>
      </w:r>
      <w:r>
        <w:rPr>
          <w:color w:val="000000"/>
          <w:spacing w:val="-2"/>
          <w:shd w:fill="D2D2D2" w:color="auto" w:val="clear"/>
        </w:rPr>
        <w:t>同时心脑血管特</w:t>
      </w:r>
      <w:r>
        <w:rPr>
          <w:color w:val="000000"/>
          <w:spacing w:val="40"/>
          <w:shd w:fill="D2D2D2" w:color="auto" w:val="clear"/>
        </w:rPr>
        <w:t> </w:t>
      </w:r>
      <w:r>
        <w:rPr>
          <w:color w:val="000000"/>
          <w:spacing w:val="-2"/>
          <w:shd w:fill="D2D2D2" w:color="auto" w:val="clear"/>
        </w:rPr>
        <w:t>定疾病额外给付保险金责任终止。</w:t>
      </w:r>
    </w:p>
    <w:p>
      <w:pPr>
        <w:pStyle w:val="BodyText"/>
        <w:spacing w:before="156"/>
        <w:ind w:left="183"/>
        <w:jc w:val="both"/>
      </w:pPr>
      <w:r>
        <w:rPr>
          <w:spacing w:val="11"/>
        </w:rPr>
        <w:t>若投保人未选择 </w:t>
      </w:r>
      <w:r>
        <w:rPr/>
        <w:t>2.3.2.1</w:t>
      </w:r>
      <w:r>
        <w:rPr>
          <w:spacing w:val="11"/>
        </w:rPr>
        <w:t> 恶性肿瘤-重度额外给付保险金，或投保人选择</w:t>
      </w:r>
    </w:p>
    <w:p>
      <w:pPr>
        <w:pStyle w:val="BodyText"/>
        <w:spacing w:before="43"/>
        <w:ind w:left="183"/>
        <w:jc w:val="both"/>
      </w:pPr>
      <w:r>
        <w:rPr>
          <w:spacing w:val="-2"/>
        </w:rPr>
        <w:t>2.3.2.1</w:t>
      </w:r>
      <w:r>
        <w:rPr>
          <w:spacing w:val="-8"/>
        </w:rPr>
        <w:t> 恶性肿瘤-重度额外给付保险金且本公司已按约定给付，</w:t>
      </w:r>
      <w:r>
        <w:rPr>
          <w:color w:val="000000"/>
          <w:spacing w:val="-4"/>
          <w:shd w:fill="E4E4E4" w:color="auto" w:val="clear"/>
        </w:rPr>
        <w:t>本合同终止。</w:t>
      </w:r>
    </w:p>
    <w:p>
      <w:pPr>
        <w:spacing w:after="0"/>
        <w:jc w:val="both"/>
        <w:sectPr>
          <w:pgSz w:w="11910" w:h="16840"/>
          <w:pgMar w:header="0" w:footer="659" w:top="1400" w:bottom="840" w:left="920" w:right="540"/>
          <w:cols w:num="2" w:equalWidth="0">
            <w:col w:w="2849" w:space="40"/>
            <w:col w:w="7561"/>
          </w:cols>
        </w:sectPr>
      </w:pPr>
    </w:p>
    <w:p>
      <w:pPr>
        <w:pStyle w:val="BodyText"/>
        <w:spacing w:before="12"/>
        <w:rPr>
          <w:sz w:val="9"/>
        </w:rPr>
      </w:pPr>
    </w:p>
    <w:p>
      <w:pPr>
        <w:tabs>
          <w:tab w:pos="1369" w:val="left" w:leader="none"/>
          <w:tab w:pos="3072" w:val="left" w:leader="none"/>
        </w:tabs>
        <w:spacing w:line="259" w:lineRule="auto" w:before="69"/>
        <w:ind w:left="3072" w:right="211" w:hanging="2805"/>
        <w:jc w:val="left"/>
        <w:rPr>
          <w:sz w:val="21"/>
        </w:rPr>
      </w:pPr>
      <w:r>
        <w:rPr>
          <w:b/>
          <w:spacing w:val="-2"/>
          <w:position w:val="1"/>
          <w:sz w:val="21"/>
        </w:rPr>
        <w:t>2.3.2.3</w:t>
      </w:r>
      <w:r>
        <w:rPr>
          <w:b/>
          <w:position w:val="1"/>
          <w:sz w:val="21"/>
        </w:rPr>
        <w:tab/>
      </w:r>
      <w:r>
        <w:rPr>
          <w:b/>
          <w:spacing w:val="-2"/>
          <w:position w:val="1"/>
          <w:sz w:val="21"/>
        </w:rPr>
        <w:t>身</w:t>
      </w:r>
      <w:r>
        <w:rPr>
          <w:b/>
          <w:spacing w:val="-2"/>
          <w:position w:val="1"/>
          <w:sz w:val="21"/>
        </w:rPr>
        <w:t>故</w:t>
      </w:r>
      <w:r>
        <w:rPr>
          <w:b/>
          <w:spacing w:val="-2"/>
          <w:position w:val="1"/>
          <w:sz w:val="21"/>
        </w:rPr>
        <w:t>保</w:t>
      </w:r>
      <w:r>
        <w:rPr>
          <w:b/>
          <w:spacing w:val="-2"/>
          <w:position w:val="1"/>
          <w:sz w:val="21"/>
        </w:rPr>
        <w:t>险</w:t>
      </w:r>
      <w:r>
        <w:rPr>
          <w:b/>
          <w:spacing w:val="-2"/>
          <w:position w:val="1"/>
          <w:sz w:val="21"/>
        </w:rPr>
        <w:t>金</w:t>
      </w:r>
      <w:r>
        <w:rPr>
          <w:b/>
          <w:spacing w:val="-2"/>
          <w:position w:val="1"/>
          <w:sz w:val="21"/>
        </w:rPr>
        <w:t>或</w:t>
      </w:r>
      <w:r>
        <w:rPr>
          <w:b/>
          <w:position w:val="1"/>
          <w:sz w:val="21"/>
        </w:rPr>
        <w:tab/>
      </w:r>
      <w:r>
        <w:rPr>
          <w:spacing w:val="-2"/>
          <w:sz w:val="21"/>
        </w:rPr>
        <w:t>被</w:t>
      </w:r>
      <w:r>
        <w:rPr>
          <w:spacing w:val="-2"/>
          <w:sz w:val="21"/>
        </w:rPr>
        <w:t>保</w:t>
      </w:r>
      <w:r>
        <w:rPr>
          <w:spacing w:val="-2"/>
          <w:sz w:val="21"/>
        </w:rPr>
        <w:t>险</w:t>
      </w:r>
      <w:r>
        <w:rPr>
          <w:spacing w:val="-2"/>
          <w:sz w:val="21"/>
        </w:rPr>
        <w:t>人</w:t>
      </w:r>
      <w:r>
        <w:rPr>
          <w:spacing w:val="-2"/>
          <w:sz w:val="21"/>
        </w:rPr>
        <w:t>在</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因</w:t>
      </w:r>
      <w:r>
        <w:rPr>
          <w:spacing w:val="-2"/>
          <w:sz w:val="21"/>
        </w:rPr>
        <w:t>意</w:t>
      </w:r>
      <w:r>
        <w:rPr>
          <w:spacing w:val="-2"/>
          <w:sz w:val="21"/>
        </w:rPr>
        <w:t>外</w:t>
      </w:r>
      <w:r>
        <w:rPr>
          <w:spacing w:val="-2"/>
          <w:sz w:val="21"/>
        </w:rPr>
        <w:t>，或</w:t>
      </w:r>
      <w:r>
        <w:rPr>
          <w:spacing w:val="-2"/>
          <w:sz w:val="21"/>
        </w:rPr>
        <w:t>在</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w:t>
      </w:r>
      <w:r>
        <w:rPr>
          <w:spacing w:val="-2"/>
          <w:sz w:val="21"/>
        </w:rPr>
        <w:t>若</w:t>
      </w:r>
      <w:r>
        <w:rPr>
          <w:spacing w:val="-2"/>
          <w:sz w:val="21"/>
        </w:rPr>
        <w:t>曾</w:t>
      </w:r>
      <w:r>
        <w:rPr>
          <w:spacing w:val="-2"/>
          <w:sz w:val="21"/>
        </w:rPr>
        <w:t>复</w:t>
      </w:r>
      <w:r>
        <w:rPr>
          <w:spacing w:val="-2"/>
          <w:sz w:val="21"/>
        </w:rPr>
        <w:t>效，</w:t>
      </w:r>
      <w:r>
        <w:rPr>
          <w:spacing w:val="-2"/>
          <w:sz w:val="21"/>
        </w:rPr>
        <w:t>则</w:t>
      </w:r>
      <w:r>
        <w:rPr>
          <w:spacing w:val="-2"/>
          <w:sz w:val="21"/>
        </w:rPr>
        <w:t>自</w:t>
      </w:r>
      <w:r>
        <w:rPr>
          <w:spacing w:val="-2"/>
          <w:sz w:val="21"/>
        </w:rPr>
        <w:t>本</w:t>
      </w:r>
      <w:r>
        <w:rPr>
          <w:spacing w:val="-2"/>
          <w:sz w:val="21"/>
        </w:rPr>
        <w:t>合</w:t>
      </w:r>
      <w:r>
        <w:rPr>
          <w:spacing w:val="-2"/>
          <w:sz w:val="21"/>
        </w:rPr>
        <w:t>同</w:t>
      </w:r>
      <w:r>
        <w:rPr>
          <w:spacing w:val="-2"/>
          <w:sz w:val="21"/>
        </w:rPr>
        <w:t>最后</w:t>
      </w:r>
      <w:r>
        <w:rPr>
          <w:w w:val="95"/>
          <w:sz w:val="21"/>
        </w:rPr>
        <w:t>复</w:t>
      </w:r>
      <w:r>
        <w:rPr>
          <w:w w:val="95"/>
          <w:sz w:val="21"/>
        </w:rPr>
        <w:t>效</w:t>
      </w:r>
      <w:r>
        <w:rPr>
          <w:w w:val="95"/>
          <w:sz w:val="21"/>
        </w:rPr>
        <w:t>）之日起</w:t>
      </w:r>
      <w:r>
        <w:rPr>
          <w:spacing w:val="53"/>
          <w:w w:val="150"/>
          <w:sz w:val="21"/>
        </w:rPr>
        <w:t> </w:t>
      </w:r>
      <w:r>
        <w:rPr>
          <w:w w:val="95"/>
          <w:sz w:val="21"/>
        </w:rPr>
        <w:t>90</w:t>
      </w:r>
      <w:r>
        <w:rPr>
          <w:spacing w:val="42"/>
          <w:w w:val="150"/>
          <w:sz w:val="21"/>
        </w:rPr>
        <w:t> </w:t>
      </w:r>
      <w:r>
        <w:rPr>
          <w:w w:val="95"/>
          <w:sz w:val="21"/>
        </w:rPr>
        <w:t>天后因非</w:t>
      </w:r>
      <w:r>
        <w:rPr>
          <w:w w:val="95"/>
          <w:sz w:val="21"/>
        </w:rPr>
        <w:t>意</w:t>
      </w:r>
      <w:r>
        <w:rPr>
          <w:w w:val="95"/>
          <w:sz w:val="21"/>
        </w:rPr>
        <w:t>外</w:t>
      </w:r>
      <w:r>
        <w:rPr>
          <w:w w:val="95"/>
          <w:sz w:val="21"/>
        </w:rPr>
        <w:t>的原因导致身故或</w:t>
      </w:r>
      <w:r>
        <w:rPr>
          <w:b/>
          <w:w w:val="95"/>
          <w:sz w:val="21"/>
        </w:rPr>
        <w:t>确</w:t>
      </w:r>
      <w:r>
        <w:rPr>
          <w:b/>
          <w:w w:val="95"/>
          <w:sz w:val="21"/>
        </w:rPr>
        <w:t>定</w:t>
      </w:r>
      <w:r>
        <w:rPr>
          <w:b/>
          <w:w w:val="95"/>
          <w:sz w:val="21"/>
        </w:rPr>
        <w:t>全</w:t>
      </w:r>
      <w:r>
        <w:rPr>
          <w:b/>
          <w:w w:val="95"/>
          <w:sz w:val="21"/>
        </w:rPr>
        <w:t>残</w:t>
      </w:r>
      <w:r>
        <w:rPr>
          <w:b/>
          <w:w w:val="95"/>
          <w:position w:val="11"/>
          <w:sz w:val="11"/>
        </w:rPr>
        <w:t>23</w:t>
      </w:r>
      <w:r>
        <w:rPr>
          <w:w w:val="95"/>
          <w:sz w:val="21"/>
        </w:rPr>
        <w:t>，本公司按以下</w:t>
      </w:r>
      <w:r>
        <w:rPr>
          <w:spacing w:val="-10"/>
          <w:w w:val="95"/>
          <w:sz w:val="21"/>
        </w:rPr>
        <w:t>方</w:t>
      </w:r>
    </w:p>
    <w:p>
      <w:pPr>
        <w:pStyle w:val="BodyText"/>
        <w:spacing w:before="6"/>
        <w:rPr>
          <w:sz w:val="11"/>
        </w:rPr>
      </w:pPr>
      <w:r>
        <w:rPr/>
        <w:drawing>
          <wp:anchor distT="0" distB="0" distL="0" distR="0" allowOverlap="1" layoutInCell="1" locked="0" behindDoc="0" simplePos="0" relativeHeight="14">
            <wp:simplePos x="0" y="0"/>
            <wp:positionH relativeFrom="page">
              <wp:posOffset>685800</wp:posOffset>
            </wp:positionH>
            <wp:positionV relativeFrom="paragraph">
              <wp:posOffset>108604</wp:posOffset>
            </wp:positionV>
            <wp:extent cx="1829282" cy="6096"/>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8" cstate="print"/>
                    <a:stretch>
                      <a:fillRect/>
                    </a:stretch>
                  </pic:blipFill>
                  <pic:spPr>
                    <a:xfrm>
                      <a:off x="0" y="0"/>
                      <a:ext cx="1829282" cy="6096"/>
                    </a:xfrm>
                    <a:prstGeom prst="rect">
                      <a:avLst/>
                    </a:prstGeom>
                  </pic:spPr>
                </pic:pic>
              </a:graphicData>
            </a:graphic>
          </wp:anchor>
        </w:drawing>
      </w:r>
    </w:p>
    <w:p>
      <w:pPr>
        <w:spacing w:before="91"/>
        <w:ind w:left="160" w:right="0" w:firstLine="0"/>
        <w:jc w:val="left"/>
        <w:rPr>
          <w:rFonts w:ascii="楷体" w:eastAsia="楷体"/>
          <w:sz w:val="18"/>
        </w:rPr>
      </w:pPr>
      <w:r>
        <w:rPr>
          <w:w w:val="95"/>
          <w:position w:val="9"/>
          <w:sz w:val="9"/>
        </w:rPr>
        <w:t>20</w:t>
      </w:r>
      <w:r>
        <w:rPr>
          <w:rFonts w:ascii="楷体" w:eastAsia="楷体" w:hint="eastAsia"/>
          <w:b/>
          <w:w w:val="95"/>
          <w:sz w:val="18"/>
        </w:rPr>
        <w:t>年</w:t>
      </w:r>
      <w:r>
        <w:rPr>
          <w:rFonts w:ascii="楷体" w:eastAsia="楷体" w:hint="eastAsia"/>
          <w:b/>
          <w:w w:val="95"/>
          <w:sz w:val="18"/>
        </w:rPr>
        <w:t>：</w:t>
      </w:r>
      <w:r>
        <w:rPr>
          <w:rFonts w:ascii="楷体" w:eastAsia="楷体"/>
          <w:w w:val="95"/>
          <w:sz w:val="18"/>
        </w:rPr>
        <w:t>一</w:t>
      </w:r>
      <w:r>
        <w:rPr>
          <w:rFonts w:ascii="楷体" w:eastAsia="楷体"/>
          <w:w w:val="95"/>
          <w:sz w:val="18"/>
        </w:rPr>
        <w:t>年</w:t>
      </w:r>
      <w:r>
        <w:rPr>
          <w:rFonts w:ascii="楷体" w:eastAsia="楷体"/>
          <w:w w:val="95"/>
          <w:sz w:val="18"/>
        </w:rPr>
        <w:t>指</w:t>
      </w:r>
      <w:r>
        <w:rPr>
          <w:rFonts w:ascii="楷体" w:eastAsia="楷体"/>
          <w:w w:val="95"/>
          <w:sz w:val="18"/>
        </w:rPr>
        <w:t>三</w:t>
      </w:r>
      <w:r>
        <w:rPr>
          <w:rFonts w:ascii="楷体" w:eastAsia="楷体"/>
          <w:w w:val="95"/>
          <w:sz w:val="18"/>
        </w:rPr>
        <w:t>百</w:t>
      </w:r>
      <w:r>
        <w:rPr>
          <w:rFonts w:ascii="楷体" w:eastAsia="楷体"/>
          <w:w w:val="95"/>
          <w:sz w:val="18"/>
        </w:rPr>
        <w:t>六</w:t>
      </w:r>
      <w:r>
        <w:rPr>
          <w:rFonts w:ascii="楷体" w:eastAsia="楷体"/>
          <w:w w:val="95"/>
          <w:sz w:val="18"/>
        </w:rPr>
        <w:t>十</w:t>
      </w:r>
      <w:r>
        <w:rPr>
          <w:rFonts w:ascii="楷体" w:eastAsia="楷体"/>
          <w:w w:val="95"/>
          <w:sz w:val="18"/>
        </w:rPr>
        <w:t>五</w:t>
      </w:r>
      <w:r>
        <w:rPr>
          <w:rFonts w:ascii="楷体" w:eastAsia="楷体"/>
          <w:w w:val="95"/>
          <w:sz w:val="18"/>
        </w:rPr>
        <w:t>天</w:t>
      </w:r>
      <w:r>
        <w:rPr>
          <w:rFonts w:ascii="楷体" w:eastAsia="楷体"/>
          <w:w w:val="95"/>
          <w:sz w:val="18"/>
        </w:rPr>
        <w:t>，若</w:t>
      </w:r>
      <w:r>
        <w:rPr>
          <w:rFonts w:ascii="楷体" w:eastAsia="楷体"/>
          <w:w w:val="95"/>
          <w:sz w:val="18"/>
        </w:rPr>
        <w:t>遇</w:t>
      </w:r>
      <w:r>
        <w:rPr>
          <w:rFonts w:ascii="楷体" w:eastAsia="楷体"/>
          <w:w w:val="95"/>
          <w:sz w:val="18"/>
        </w:rPr>
        <w:t>闰</w:t>
      </w:r>
      <w:r>
        <w:rPr>
          <w:rFonts w:ascii="楷体" w:eastAsia="楷体"/>
          <w:w w:val="95"/>
          <w:sz w:val="18"/>
        </w:rPr>
        <w:t>年</w:t>
      </w:r>
      <w:r>
        <w:rPr>
          <w:rFonts w:ascii="楷体" w:eastAsia="楷体"/>
          <w:w w:val="95"/>
          <w:sz w:val="18"/>
        </w:rPr>
        <w:t>则</w:t>
      </w:r>
      <w:r>
        <w:rPr>
          <w:rFonts w:ascii="楷体" w:eastAsia="楷体"/>
          <w:w w:val="95"/>
          <w:sz w:val="18"/>
        </w:rPr>
        <w:t>增</w:t>
      </w:r>
      <w:r>
        <w:rPr>
          <w:rFonts w:ascii="楷体" w:eastAsia="楷体"/>
          <w:w w:val="95"/>
          <w:sz w:val="18"/>
        </w:rPr>
        <w:t>加</w:t>
      </w:r>
      <w:r>
        <w:rPr>
          <w:rFonts w:ascii="楷体" w:eastAsia="楷体"/>
          <w:w w:val="95"/>
          <w:sz w:val="18"/>
        </w:rPr>
        <w:t>一</w:t>
      </w:r>
      <w:r>
        <w:rPr>
          <w:rFonts w:ascii="楷体" w:eastAsia="楷体"/>
          <w:w w:val="95"/>
          <w:sz w:val="18"/>
        </w:rPr>
        <w:t>日</w:t>
      </w:r>
      <w:r>
        <w:rPr>
          <w:rFonts w:ascii="楷体" w:eastAsia="楷体"/>
          <w:spacing w:val="-10"/>
          <w:w w:val="95"/>
          <w:sz w:val="18"/>
        </w:rPr>
        <w:t>。</w:t>
      </w:r>
    </w:p>
    <w:p>
      <w:pPr>
        <w:spacing w:before="4"/>
        <w:ind w:left="160" w:right="0" w:firstLine="0"/>
        <w:jc w:val="left"/>
        <w:rPr>
          <w:rFonts w:ascii="楷体" w:eastAsia="楷体"/>
          <w:sz w:val="18"/>
        </w:rPr>
      </w:pPr>
      <w:r>
        <w:rPr>
          <w:w w:val="95"/>
          <w:position w:val="9"/>
          <w:sz w:val="9"/>
        </w:rPr>
        <w:t>21</w:t>
      </w:r>
      <w:r>
        <w:rPr>
          <w:rFonts w:ascii="楷体" w:eastAsia="楷体" w:hint="eastAsia"/>
          <w:b/>
          <w:w w:val="95"/>
          <w:sz w:val="18"/>
        </w:rPr>
        <w:t>恶</w:t>
      </w:r>
      <w:r>
        <w:rPr>
          <w:rFonts w:ascii="楷体" w:eastAsia="楷体" w:hint="eastAsia"/>
          <w:b/>
          <w:w w:val="95"/>
          <w:sz w:val="18"/>
        </w:rPr>
        <w:t>性</w:t>
      </w:r>
      <w:r>
        <w:rPr>
          <w:rFonts w:ascii="楷体" w:eastAsia="楷体" w:hint="eastAsia"/>
          <w:b/>
          <w:w w:val="95"/>
          <w:sz w:val="18"/>
        </w:rPr>
        <w:t>肿</w:t>
      </w:r>
      <w:r>
        <w:rPr>
          <w:rFonts w:ascii="楷体" w:eastAsia="楷体" w:hint="eastAsia"/>
          <w:b/>
          <w:w w:val="95"/>
          <w:sz w:val="18"/>
        </w:rPr>
        <w:t>瘤</w:t>
      </w:r>
      <w:r>
        <w:rPr>
          <w:rFonts w:ascii="楷体" w:eastAsia="楷体" w:hint="eastAsia"/>
          <w:b/>
          <w:w w:val="95"/>
          <w:sz w:val="18"/>
        </w:rPr>
        <w:t>状态：</w:t>
      </w:r>
      <w:r>
        <w:rPr>
          <w:rFonts w:ascii="楷体" w:eastAsia="楷体"/>
          <w:w w:val="95"/>
          <w:sz w:val="18"/>
        </w:rPr>
        <w:t>恶</w:t>
      </w:r>
      <w:r>
        <w:rPr>
          <w:rFonts w:ascii="楷体" w:eastAsia="楷体"/>
          <w:w w:val="95"/>
          <w:sz w:val="18"/>
        </w:rPr>
        <w:t>性</w:t>
      </w:r>
      <w:r>
        <w:rPr>
          <w:rFonts w:ascii="楷体" w:eastAsia="楷体"/>
          <w:w w:val="95"/>
          <w:sz w:val="18"/>
        </w:rPr>
        <w:t>肿</w:t>
      </w:r>
      <w:r>
        <w:rPr>
          <w:rFonts w:ascii="楷体" w:eastAsia="楷体"/>
          <w:w w:val="95"/>
          <w:sz w:val="18"/>
        </w:rPr>
        <w:t>瘤</w:t>
      </w:r>
      <w:r>
        <w:rPr>
          <w:rFonts w:ascii="楷体" w:eastAsia="楷体"/>
          <w:w w:val="95"/>
          <w:sz w:val="18"/>
        </w:rPr>
        <w:t>需</w:t>
      </w:r>
      <w:r>
        <w:rPr>
          <w:rFonts w:ascii="楷体" w:eastAsia="楷体"/>
          <w:w w:val="95"/>
          <w:sz w:val="18"/>
        </w:rPr>
        <w:t>符</w:t>
      </w:r>
      <w:r>
        <w:rPr>
          <w:rFonts w:ascii="楷体" w:eastAsia="楷体"/>
          <w:w w:val="95"/>
          <w:sz w:val="18"/>
        </w:rPr>
        <w:t>合</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的</w:t>
      </w:r>
      <w:r>
        <w:rPr>
          <w:rFonts w:ascii="楷体" w:eastAsia="楷体"/>
          <w:w w:val="95"/>
          <w:sz w:val="18"/>
        </w:rPr>
        <w:t>恶</w:t>
      </w:r>
      <w:r>
        <w:rPr>
          <w:rFonts w:ascii="楷体" w:eastAsia="楷体"/>
          <w:w w:val="95"/>
          <w:sz w:val="18"/>
        </w:rPr>
        <w:t>性</w:t>
      </w:r>
      <w:r>
        <w:rPr>
          <w:rFonts w:ascii="楷体" w:eastAsia="楷体"/>
          <w:w w:val="95"/>
          <w:sz w:val="18"/>
        </w:rPr>
        <w:t>肿</w:t>
      </w:r>
      <w:r>
        <w:rPr>
          <w:rFonts w:ascii="楷体" w:eastAsia="楷体"/>
          <w:w w:val="95"/>
          <w:sz w:val="18"/>
        </w:rPr>
        <w:t>瘤</w:t>
      </w:r>
      <w:r>
        <w:rPr>
          <w:rFonts w:ascii="楷体" w:eastAsia="楷体"/>
          <w:w w:val="95"/>
          <w:sz w:val="18"/>
        </w:rPr>
        <w:t>定</w:t>
      </w:r>
      <w:r>
        <w:rPr>
          <w:rFonts w:ascii="楷体" w:eastAsia="楷体"/>
          <w:w w:val="95"/>
          <w:sz w:val="18"/>
        </w:rPr>
        <w:t>义</w:t>
      </w:r>
      <w:r>
        <w:rPr>
          <w:rFonts w:ascii="楷体" w:eastAsia="楷体"/>
          <w:w w:val="95"/>
          <w:sz w:val="18"/>
        </w:rPr>
        <w:t>，恶</w:t>
      </w:r>
      <w:r>
        <w:rPr>
          <w:rFonts w:ascii="楷体" w:eastAsia="楷体"/>
          <w:w w:val="95"/>
          <w:sz w:val="18"/>
        </w:rPr>
        <w:t>性</w:t>
      </w:r>
      <w:r>
        <w:rPr>
          <w:rFonts w:ascii="楷体" w:eastAsia="楷体"/>
          <w:w w:val="95"/>
          <w:sz w:val="18"/>
        </w:rPr>
        <w:t>肿</w:t>
      </w:r>
      <w:r>
        <w:rPr>
          <w:rFonts w:ascii="楷体" w:eastAsia="楷体"/>
          <w:w w:val="95"/>
          <w:sz w:val="18"/>
        </w:rPr>
        <w:t>瘤</w:t>
      </w:r>
      <w:r>
        <w:rPr>
          <w:rFonts w:ascii="楷体" w:eastAsia="楷体"/>
          <w:w w:val="95"/>
          <w:sz w:val="18"/>
        </w:rPr>
        <w:t>状</w:t>
      </w:r>
      <w:r>
        <w:rPr>
          <w:rFonts w:ascii="楷体" w:eastAsia="楷体"/>
          <w:w w:val="95"/>
          <w:sz w:val="18"/>
        </w:rPr>
        <w:t>态</w:t>
      </w:r>
      <w:r>
        <w:rPr>
          <w:rFonts w:ascii="楷体" w:eastAsia="楷体"/>
          <w:w w:val="95"/>
          <w:sz w:val="18"/>
        </w:rPr>
        <w:t>包</w:t>
      </w:r>
      <w:r>
        <w:rPr>
          <w:rFonts w:ascii="楷体" w:eastAsia="楷体"/>
          <w:w w:val="95"/>
          <w:sz w:val="18"/>
        </w:rPr>
        <w:t>括</w:t>
      </w:r>
      <w:r>
        <w:rPr>
          <w:rFonts w:ascii="楷体" w:eastAsia="楷体"/>
          <w:w w:val="95"/>
          <w:sz w:val="18"/>
        </w:rPr>
        <w:t>以</w:t>
      </w:r>
      <w:r>
        <w:rPr>
          <w:rFonts w:ascii="楷体" w:eastAsia="楷体"/>
          <w:w w:val="95"/>
          <w:sz w:val="18"/>
        </w:rPr>
        <w:t>下</w:t>
      </w:r>
      <w:r>
        <w:rPr>
          <w:rFonts w:ascii="楷体" w:eastAsia="楷体"/>
          <w:w w:val="95"/>
          <w:sz w:val="18"/>
        </w:rPr>
        <w:t>情</w:t>
      </w:r>
      <w:r>
        <w:rPr>
          <w:rFonts w:ascii="楷体" w:eastAsia="楷体"/>
          <w:w w:val="95"/>
          <w:sz w:val="18"/>
        </w:rPr>
        <w:t>况</w:t>
      </w:r>
      <w:r>
        <w:rPr>
          <w:rFonts w:ascii="楷体" w:eastAsia="楷体"/>
          <w:w w:val="95"/>
          <w:sz w:val="18"/>
        </w:rPr>
        <w:t>：与</w:t>
      </w:r>
      <w:r>
        <w:rPr>
          <w:rFonts w:ascii="楷体" w:eastAsia="楷体"/>
          <w:w w:val="95"/>
          <w:sz w:val="18"/>
        </w:rPr>
        <w:t>前</w:t>
      </w:r>
      <w:r>
        <w:rPr>
          <w:rFonts w:ascii="楷体" w:eastAsia="楷体"/>
          <w:w w:val="95"/>
          <w:sz w:val="18"/>
        </w:rPr>
        <w:t>一</w:t>
      </w:r>
      <w:r>
        <w:rPr>
          <w:rFonts w:ascii="楷体" w:eastAsia="楷体"/>
          <w:w w:val="95"/>
          <w:sz w:val="18"/>
        </w:rPr>
        <w:t>次</w:t>
      </w:r>
      <w:r>
        <w:rPr>
          <w:rFonts w:ascii="楷体" w:eastAsia="楷体"/>
          <w:w w:val="95"/>
          <w:sz w:val="18"/>
        </w:rPr>
        <w:t>恶</w:t>
      </w:r>
      <w:r>
        <w:rPr>
          <w:rFonts w:ascii="楷体" w:eastAsia="楷体"/>
          <w:w w:val="95"/>
          <w:sz w:val="18"/>
        </w:rPr>
        <w:t>性</w:t>
      </w:r>
      <w:r>
        <w:rPr>
          <w:rFonts w:ascii="楷体" w:eastAsia="楷体"/>
          <w:w w:val="95"/>
          <w:sz w:val="18"/>
        </w:rPr>
        <w:t>肿</w:t>
      </w:r>
      <w:r>
        <w:rPr>
          <w:rFonts w:ascii="楷体" w:eastAsia="楷体"/>
          <w:w w:val="95"/>
          <w:sz w:val="18"/>
        </w:rPr>
        <w:t>瘤</w:t>
      </w:r>
      <w:r>
        <w:rPr>
          <w:rFonts w:ascii="楷体" w:eastAsia="楷体"/>
          <w:w w:val="95"/>
          <w:sz w:val="18"/>
        </w:rPr>
        <w:t>无</w:t>
      </w:r>
      <w:r>
        <w:rPr>
          <w:rFonts w:ascii="楷体" w:eastAsia="楷体"/>
          <w:w w:val="95"/>
          <w:sz w:val="18"/>
        </w:rPr>
        <w:t>关</w:t>
      </w:r>
      <w:r>
        <w:rPr>
          <w:rFonts w:ascii="楷体" w:eastAsia="楷体"/>
          <w:w w:val="95"/>
          <w:sz w:val="18"/>
        </w:rPr>
        <w:t>的</w:t>
      </w:r>
      <w:r>
        <w:rPr>
          <w:rFonts w:ascii="楷体" w:eastAsia="楷体"/>
          <w:w w:val="95"/>
          <w:sz w:val="18"/>
        </w:rPr>
        <w:t>新</w:t>
      </w:r>
      <w:r>
        <w:rPr>
          <w:rFonts w:ascii="楷体" w:eastAsia="楷体"/>
          <w:w w:val="95"/>
          <w:sz w:val="18"/>
        </w:rPr>
        <w:t>发</w:t>
      </w:r>
      <w:r>
        <w:rPr>
          <w:rFonts w:ascii="楷体" w:eastAsia="楷体"/>
          <w:w w:val="95"/>
          <w:sz w:val="18"/>
        </w:rPr>
        <w:t>恶</w:t>
      </w:r>
      <w:r>
        <w:rPr>
          <w:rFonts w:ascii="楷体" w:eastAsia="楷体"/>
          <w:spacing w:val="-5"/>
          <w:w w:val="95"/>
          <w:sz w:val="18"/>
        </w:rPr>
        <w:t>性肿</w:t>
      </w:r>
    </w:p>
    <w:p>
      <w:pPr>
        <w:spacing w:before="3"/>
        <w:ind w:left="160" w:right="0" w:firstLine="0"/>
        <w:jc w:val="left"/>
        <w:rPr>
          <w:rFonts w:ascii="楷体" w:eastAsia="楷体"/>
          <w:sz w:val="18"/>
        </w:rPr>
      </w:pPr>
      <w:r>
        <w:rPr>
          <w:rFonts w:ascii="楷体" w:eastAsia="楷体"/>
          <w:spacing w:val="-3"/>
          <w:sz w:val="18"/>
        </w:rPr>
        <w:t>瘤；前一次恶性肿瘤复发、转移；前一次恶性肿瘤仍持续存在。</w:t>
      </w:r>
    </w:p>
    <w:p>
      <w:pPr>
        <w:spacing w:before="2"/>
        <w:ind w:left="160" w:right="0" w:firstLine="0"/>
        <w:jc w:val="left"/>
        <w:rPr>
          <w:rFonts w:ascii="楷体" w:eastAsia="楷体"/>
          <w:sz w:val="18"/>
        </w:rPr>
      </w:pPr>
      <w:r>
        <w:rPr>
          <w:b/>
          <w:w w:val="95"/>
          <w:position w:val="9"/>
          <w:sz w:val="9"/>
        </w:rPr>
        <w:t>22</w:t>
      </w:r>
      <w:r>
        <w:rPr>
          <w:rFonts w:ascii="楷体" w:eastAsia="楷体" w:hint="eastAsia"/>
          <w:b/>
          <w:w w:val="95"/>
          <w:sz w:val="18"/>
        </w:rPr>
        <w:t>心</w:t>
      </w:r>
      <w:r>
        <w:rPr>
          <w:rFonts w:ascii="楷体" w:eastAsia="楷体" w:hint="eastAsia"/>
          <w:b/>
          <w:w w:val="95"/>
          <w:sz w:val="18"/>
        </w:rPr>
        <w:t>脑</w:t>
      </w:r>
      <w:r>
        <w:rPr>
          <w:rFonts w:ascii="楷体" w:eastAsia="楷体" w:hint="eastAsia"/>
          <w:b/>
          <w:w w:val="95"/>
          <w:sz w:val="18"/>
        </w:rPr>
        <w:t>血</w:t>
      </w:r>
      <w:r>
        <w:rPr>
          <w:rFonts w:ascii="楷体" w:eastAsia="楷体" w:hint="eastAsia"/>
          <w:b/>
          <w:w w:val="95"/>
          <w:sz w:val="18"/>
        </w:rPr>
        <w:t>管</w:t>
      </w:r>
      <w:r>
        <w:rPr>
          <w:rFonts w:ascii="楷体" w:eastAsia="楷体" w:hint="eastAsia"/>
          <w:b/>
          <w:w w:val="95"/>
          <w:sz w:val="18"/>
        </w:rPr>
        <w:t>特</w:t>
      </w:r>
      <w:r>
        <w:rPr>
          <w:rFonts w:ascii="楷体" w:eastAsia="楷体" w:hint="eastAsia"/>
          <w:b/>
          <w:w w:val="95"/>
          <w:sz w:val="18"/>
        </w:rPr>
        <w:t>定</w:t>
      </w:r>
      <w:r>
        <w:rPr>
          <w:rFonts w:ascii="楷体" w:eastAsia="楷体" w:hint="eastAsia"/>
          <w:b/>
          <w:w w:val="95"/>
          <w:sz w:val="18"/>
        </w:rPr>
        <w:t>疾</w:t>
      </w:r>
      <w:r>
        <w:rPr>
          <w:rFonts w:ascii="楷体" w:eastAsia="楷体" w:hint="eastAsia"/>
          <w:b/>
          <w:w w:val="95"/>
          <w:sz w:val="18"/>
        </w:rPr>
        <w:t>病：</w:t>
      </w:r>
      <w:r>
        <w:rPr>
          <w:rFonts w:ascii="楷体" w:eastAsia="楷体"/>
          <w:w w:val="95"/>
          <w:sz w:val="18"/>
        </w:rPr>
        <w:t>指</w:t>
      </w:r>
      <w:r>
        <w:rPr>
          <w:rFonts w:ascii="楷体" w:eastAsia="楷体"/>
          <w:w w:val="95"/>
          <w:sz w:val="18"/>
        </w:rPr>
        <w:t>符</w:t>
      </w:r>
      <w:r>
        <w:rPr>
          <w:rFonts w:ascii="楷体" w:eastAsia="楷体"/>
          <w:w w:val="95"/>
          <w:sz w:val="18"/>
        </w:rPr>
        <w:t>合</w:t>
      </w:r>
      <w:r>
        <w:rPr>
          <w:rFonts w:ascii="楷体" w:eastAsia="楷体"/>
          <w:w w:val="95"/>
          <w:sz w:val="18"/>
        </w:rPr>
        <w:t>本</w:t>
      </w:r>
      <w:r>
        <w:rPr>
          <w:rFonts w:ascii="楷体" w:eastAsia="楷体"/>
          <w:w w:val="95"/>
          <w:sz w:val="18"/>
        </w:rPr>
        <w:t>保</w:t>
      </w:r>
      <w:r>
        <w:rPr>
          <w:rFonts w:ascii="楷体" w:eastAsia="楷体"/>
          <w:w w:val="95"/>
          <w:sz w:val="18"/>
        </w:rPr>
        <w:t>险</w:t>
      </w:r>
      <w:r>
        <w:rPr>
          <w:rFonts w:ascii="楷体" w:eastAsia="楷体"/>
          <w:w w:val="95"/>
          <w:sz w:val="18"/>
        </w:rPr>
        <w:t>条</w:t>
      </w:r>
      <w:r>
        <w:rPr>
          <w:rFonts w:ascii="楷体" w:eastAsia="楷体"/>
          <w:w w:val="95"/>
          <w:sz w:val="18"/>
        </w:rPr>
        <w:t>款</w:t>
      </w:r>
      <w:r>
        <w:rPr>
          <w:rFonts w:ascii="楷体" w:eastAsia="楷体"/>
          <w:w w:val="95"/>
          <w:sz w:val="18"/>
        </w:rPr>
        <w:t>附</w:t>
      </w:r>
      <w:r>
        <w:rPr>
          <w:rFonts w:ascii="楷体" w:eastAsia="楷体"/>
          <w:w w:val="95"/>
          <w:sz w:val="18"/>
        </w:rPr>
        <w:t>表</w:t>
      </w:r>
      <w:r>
        <w:rPr>
          <w:rFonts w:ascii="楷体" w:eastAsia="楷体"/>
          <w:w w:val="95"/>
          <w:sz w:val="18"/>
        </w:rPr>
        <w:t>四</w:t>
      </w:r>
      <w:r>
        <w:rPr>
          <w:rFonts w:ascii="楷体" w:eastAsia="楷体"/>
          <w:w w:val="95"/>
          <w:sz w:val="18"/>
        </w:rPr>
        <w:t>所</w:t>
      </w:r>
      <w:r>
        <w:rPr>
          <w:rFonts w:ascii="楷体" w:eastAsia="楷体"/>
          <w:w w:val="95"/>
          <w:sz w:val="18"/>
        </w:rPr>
        <w:t>列</w:t>
      </w:r>
      <w:r>
        <w:rPr>
          <w:rFonts w:ascii="楷体" w:eastAsia="楷体"/>
          <w:w w:val="95"/>
          <w:sz w:val="18"/>
        </w:rPr>
        <w:t>的</w:t>
      </w:r>
      <w:r>
        <w:rPr>
          <w:rFonts w:ascii="楷体" w:eastAsia="楷体"/>
          <w:w w:val="95"/>
          <w:sz w:val="18"/>
        </w:rPr>
        <w:t>任</w:t>
      </w:r>
      <w:r>
        <w:rPr>
          <w:rFonts w:ascii="楷体" w:eastAsia="楷体"/>
          <w:w w:val="95"/>
          <w:sz w:val="18"/>
        </w:rPr>
        <w:t>何</w:t>
      </w:r>
      <w:r>
        <w:rPr>
          <w:rFonts w:ascii="楷体" w:eastAsia="楷体"/>
          <w:w w:val="95"/>
          <w:sz w:val="18"/>
        </w:rPr>
        <w:t>一</w:t>
      </w:r>
      <w:r>
        <w:rPr>
          <w:rFonts w:ascii="楷体" w:eastAsia="楷体"/>
          <w:w w:val="95"/>
          <w:sz w:val="18"/>
        </w:rPr>
        <w:t>种</w:t>
      </w:r>
      <w:r>
        <w:rPr>
          <w:rFonts w:ascii="楷体" w:eastAsia="楷体"/>
          <w:w w:val="95"/>
          <w:sz w:val="18"/>
        </w:rPr>
        <w:t>疾</w:t>
      </w:r>
      <w:r>
        <w:rPr>
          <w:rFonts w:ascii="楷体" w:eastAsia="楷体"/>
          <w:w w:val="95"/>
          <w:sz w:val="18"/>
        </w:rPr>
        <w:t>病</w:t>
      </w:r>
      <w:r>
        <w:rPr>
          <w:rFonts w:ascii="楷体" w:eastAsia="楷体"/>
          <w:w w:val="95"/>
          <w:sz w:val="18"/>
        </w:rPr>
        <w:t>定</w:t>
      </w:r>
      <w:r>
        <w:rPr>
          <w:rFonts w:ascii="楷体" w:eastAsia="楷体"/>
          <w:w w:val="95"/>
          <w:sz w:val="18"/>
        </w:rPr>
        <w:t>义</w:t>
      </w:r>
      <w:r>
        <w:rPr>
          <w:rFonts w:ascii="楷体" w:eastAsia="楷体"/>
          <w:w w:val="95"/>
          <w:sz w:val="18"/>
        </w:rPr>
        <w:t>所</w:t>
      </w:r>
      <w:r>
        <w:rPr>
          <w:rFonts w:ascii="楷体" w:eastAsia="楷体"/>
          <w:w w:val="95"/>
          <w:sz w:val="18"/>
        </w:rPr>
        <w:t>述</w:t>
      </w:r>
      <w:r>
        <w:rPr>
          <w:rFonts w:ascii="楷体" w:eastAsia="楷体"/>
          <w:w w:val="95"/>
          <w:sz w:val="18"/>
        </w:rPr>
        <w:t>条</w:t>
      </w:r>
      <w:r>
        <w:rPr>
          <w:rFonts w:ascii="楷体" w:eastAsia="楷体"/>
          <w:w w:val="95"/>
          <w:sz w:val="18"/>
        </w:rPr>
        <w:t>件</w:t>
      </w:r>
      <w:r>
        <w:rPr>
          <w:rFonts w:ascii="楷体" w:eastAsia="楷体"/>
          <w:w w:val="95"/>
          <w:sz w:val="18"/>
        </w:rPr>
        <w:t>的</w:t>
      </w:r>
      <w:r>
        <w:rPr>
          <w:rFonts w:ascii="楷体" w:eastAsia="楷体"/>
          <w:w w:val="95"/>
          <w:sz w:val="18"/>
        </w:rPr>
        <w:t>疾</w:t>
      </w:r>
      <w:r>
        <w:rPr>
          <w:rFonts w:ascii="楷体" w:eastAsia="楷体"/>
          <w:w w:val="95"/>
          <w:sz w:val="18"/>
        </w:rPr>
        <w:t>病</w:t>
      </w:r>
      <w:r>
        <w:rPr>
          <w:rFonts w:ascii="楷体" w:eastAsia="楷体"/>
          <w:spacing w:val="-10"/>
          <w:w w:val="95"/>
          <w:sz w:val="18"/>
        </w:rPr>
        <w:t>。</w:t>
      </w:r>
    </w:p>
    <w:p>
      <w:pPr>
        <w:spacing w:before="2"/>
        <w:ind w:left="160" w:right="0" w:firstLine="0"/>
        <w:jc w:val="left"/>
        <w:rPr>
          <w:rFonts w:ascii="楷体" w:eastAsia="楷体"/>
          <w:sz w:val="18"/>
        </w:rPr>
      </w:pPr>
      <w:r>
        <w:rPr>
          <w:b/>
          <w:w w:val="95"/>
          <w:position w:val="9"/>
          <w:sz w:val="9"/>
        </w:rPr>
        <w:t>23</w:t>
      </w:r>
      <w:r>
        <w:rPr>
          <w:rFonts w:ascii="楷体" w:eastAsia="楷体" w:hint="eastAsia"/>
          <w:b/>
          <w:w w:val="95"/>
          <w:sz w:val="18"/>
        </w:rPr>
        <w:t>确</w:t>
      </w:r>
      <w:r>
        <w:rPr>
          <w:rFonts w:ascii="楷体" w:eastAsia="楷体" w:hint="eastAsia"/>
          <w:b/>
          <w:w w:val="95"/>
          <w:sz w:val="18"/>
        </w:rPr>
        <w:t>定</w:t>
      </w:r>
      <w:r>
        <w:rPr>
          <w:rFonts w:ascii="楷体" w:eastAsia="楷体" w:hint="eastAsia"/>
          <w:b/>
          <w:w w:val="95"/>
          <w:sz w:val="18"/>
        </w:rPr>
        <w:t>全</w:t>
      </w:r>
      <w:r>
        <w:rPr>
          <w:rFonts w:ascii="楷体" w:eastAsia="楷体" w:hint="eastAsia"/>
          <w:b/>
          <w:w w:val="95"/>
          <w:sz w:val="18"/>
        </w:rPr>
        <w:t>残：</w:t>
      </w:r>
      <w:r>
        <w:rPr>
          <w:rFonts w:ascii="楷体" w:eastAsia="楷体"/>
          <w:w w:val="95"/>
          <w:sz w:val="18"/>
        </w:rPr>
        <w:t>是</w:t>
      </w:r>
      <w:r>
        <w:rPr>
          <w:rFonts w:ascii="楷体" w:eastAsia="楷体"/>
          <w:w w:val="95"/>
          <w:sz w:val="18"/>
        </w:rPr>
        <w:t>指</w:t>
      </w:r>
      <w:r>
        <w:rPr>
          <w:rFonts w:ascii="楷体" w:eastAsia="楷体"/>
          <w:w w:val="95"/>
          <w:sz w:val="18"/>
        </w:rPr>
        <w:t>在</w:t>
      </w:r>
      <w:r>
        <w:rPr>
          <w:rFonts w:ascii="楷体" w:eastAsia="楷体"/>
          <w:w w:val="95"/>
          <w:sz w:val="18"/>
        </w:rPr>
        <w:t>治</w:t>
      </w:r>
      <w:r>
        <w:rPr>
          <w:rFonts w:ascii="楷体" w:eastAsia="楷体"/>
          <w:w w:val="95"/>
          <w:sz w:val="18"/>
        </w:rPr>
        <w:t>疗</w:t>
      </w:r>
      <w:r>
        <w:rPr>
          <w:rFonts w:ascii="楷体" w:eastAsia="楷体"/>
          <w:w w:val="95"/>
          <w:sz w:val="18"/>
        </w:rPr>
        <w:t>结</w:t>
      </w:r>
      <w:r>
        <w:rPr>
          <w:rFonts w:ascii="楷体" w:eastAsia="楷体"/>
          <w:w w:val="95"/>
          <w:sz w:val="18"/>
        </w:rPr>
        <w:t>束</w:t>
      </w:r>
      <w:r>
        <w:rPr>
          <w:rFonts w:ascii="楷体" w:eastAsia="楷体"/>
          <w:w w:val="95"/>
          <w:sz w:val="18"/>
        </w:rPr>
        <w:t>之后，</w:t>
      </w:r>
      <w:r>
        <w:rPr>
          <w:rFonts w:ascii="楷体" w:eastAsia="楷体"/>
          <w:w w:val="95"/>
          <w:sz w:val="18"/>
        </w:rPr>
        <w:t>由</w:t>
      </w:r>
      <w:r>
        <w:rPr>
          <w:rFonts w:ascii="楷体" w:eastAsia="楷体"/>
          <w:w w:val="95"/>
          <w:sz w:val="18"/>
        </w:rPr>
        <w:t>二</w:t>
      </w:r>
      <w:r>
        <w:rPr>
          <w:rFonts w:ascii="楷体" w:eastAsia="楷体"/>
          <w:w w:val="95"/>
          <w:sz w:val="18"/>
        </w:rPr>
        <w:t>级</w:t>
      </w:r>
      <w:r>
        <w:rPr>
          <w:rFonts w:ascii="楷体" w:eastAsia="楷体"/>
          <w:w w:val="95"/>
          <w:sz w:val="18"/>
        </w:rPr>
        <w:t>以</w:t>
      </w:r>
      <w:r>
        <w:rPr>
          <w:rFonts w:ascii="楷体" w:eastAsia="楷体"/>
          <w:w w:val="95"/>
          <w:sz w:val="18"/>
        </w:rPr>
        <w:t>上</w:t>
      </w:r>
      <w:r>
        <w:rPr>
          <w:rFonts w:ascii="楷体" w:eastAsia="楷体"/>
          <w:w w:val="95"/>
          <w:sz w:val="18"/>
        </w:rPr>
        <w:t>医</w:t>
      </w:r>
      <w:r>
        <w:rPr>
          <w:rFonts w:ascii="楷体" w:eastAsia="楷体"/>
          <w:w w:val="95"/>
          <w:sz w:val="18"/>
        </w:rPr>
        <w:t>院</w:t>
      </w:r>
      <w:r>
        <w:rPr>
          <w:rFonts w:ascii="楷体" w:eastAsia="楷体"/>
          <w:w w:val="95"/>
          <w:sz w:val="18"/>
        </w:rPr>
        <w:t>或</w:t>
      </w:r>
      <w:r>
        <w:rPr>
          <w:rFonts w:ascii="楷体" w:eastAsia="楷体"/>
          <w:w w:val="95"/>
          <w:sz w:val="18"/>
        </w:rPr>
        <w:t>者</w:t>
      </w:r>
      <w:r>
        <w:rPr>
          <w:rFonts w:ascii="楷体" w:eastAsia="楷体"/>
          <w:w w:val="95"/>
          <w:sz w:val="18"/>
        </w:rPr>
        <w:t>由</w:t>
      </w:r>
      <w:r>
        <w:rPr>
          <w:rFonts w:ascii="楷体" w:eastAsia="楷体"/>
          <w:w w:val="95"/>
          <w:sz w:val="18"/>
        </w:rPr>
        <w:t>双</w:t>
      </w:r>
      <w:r>
        <w:rPr>
          <w:rFonts w:ascii="楷体" w:eastAsia="楷体"/>
          <w:w w:val="95"/>
          <w:sz w:val="18"/>
        </w:rPr>
        <w:t>方</w:t>
      </w:r>
      <w:r>
        <w:rPr>
          <w:rFonts w:ascii="楷体" w:eastAsia="楷体"/>
          <w:w w:val="95"/>
          <w:sz w:val="18"/>
        </w:rPr>
        <w:t>认</w:t>
      </w:r>
      <w:r>
        <w:rPr>
          <w:rFonts w:ascii="楷体" w:eastAsia="楷体"/>
          <w:w w:val="95"/>
          <w:sz w:val="18"/>
        </w:rPr>
        <w:t>可</w:t>
      </w:r>
      <w:r>
        <w:rPr>
          <w:rFonts w:ascii="楷体" w:eastAsia="楷体"/>
          <w:w w:val="95"/>
          <w:sz w:val="18"/>
        </w:rPr>
        <w:t>的</w:t>
      </w:r>
      <w:r>
        <w:rPr>
          <w:rFonts w:ascii="楷体" w:eastAsia="楷体"/>
          <w:w w:val="95"/>
          <w:sz w:val="18"/>
        </w:rPr>
        <w:t>其</w:t>
      </w:r>
      <w:r>
        <w:rPr>
          <w:rFonts w:ascii="楷体" w:eastAsia="楷体"/>
          <w:w w:val="95"/>
          <w:sz w:val="18"/>
        </w:rPr>
        <w:t>他</w:t>
      </w:r>
      <w:r>
        <w:rPr>
          <w:rFonts w:ascii="楷体" w:eastAsia="楷体"/>
          <w:w w:val="95"/>
          <w:sz w:val="18"/>
        </w:rPr>
        <w:t>医</w:t>
      </w:r>
      <w:r>
        <w:rPr>
          <w:rFonts w:ascii="楷体" w:eastAsia="楷体"/>
          <w:w w:val="95"/>
          <w:sz w:val="18"/>
        </w:rPr>
        <w:t>疗</w:t>
      </w:r>
      <w:r>
        <w:rPr>
          <w:rFonts w:ascii="楷体" w:eastAsia="楷体"/>
          <w:w w:val="95"/>
          <w:sz w:val="18"/>
        </w:rPr>
        <w:t>机</w:t>
      </w:r>
      <w:r>
        <w:rPr>
          <w:rFonts w:ascii="楷体" w:eastAsia="楷体"/>
          <w:w w:val="95"/>
          <w:sz w:val="18"/>
        </w:rPr>
        <w:t>构（</w:t>
      </w:r>
      <w:r>
        <w:rPr>
          <w:rFonts w:ascii="楷体" w:eastAsia="楷体"/>
          <w:w w:val="95"/>
          <w:sz w:val="18"/>
        </w:rPr>
        <w:t>或</w:t>
      </w:r>
      <w:r>
        <w:rPr>
          <w:rFonts w:ascii="楷体" w:eastAsia="楷体"/>
          <w:w w:val="95"/>
          <w:sz w:val="18"/>
        </w:rPr>
        <w:t>鉴</w:t>
      </w:r>
      <w:r>
        <w:rPr>
          <w:rFonts w:ascii="楷体" w:eastAsia="楷体"/>
          <w:w w:val="95"/>
          <w:sz w:val="18"/>
        </w:rPr>
        <w:t>定</w:t>
      </w:r>
      <w:r>
        <w:rPr>
          <w:rFonts w:ascii="楷体" w:eastAsia="楷体"/>
          <w:w w:val="95"/>
          <w:sz w:val="18"/>
        </w:rPr>
        <w:t>机</w:t>
      </w:r>
      <w:r>
        <w:rPr>
          <w:rFonts w:ascii="楷体" w:eastAsia="楷体"/>
          <w:w w:val="95"/>
          <w:sz w:val="18"/>
        </w:rPr>
        <w:t>构</w:t>
      </w:r>
      <w:r>
        <w:rPr>
          <w:rFonts w:ascii="楷体" w:eastAsia="楷体"/>
          <w:w w:val="95"/>
          <w:sz w:val="18"/>
        </w:rPr>
        <w:t>）</w:t>
      </w:r>
      <w:r>
        <w:rPr>
          <w:rFonts w:ascii="楷体" w:eastAsia="楷体"/>
          <w:w w:val="95"/>
          <w:sz w:val="18"/>
        </w:rPr>
        <w:t>鉴</w:t>
      </w:r>
      <w:r>
        <w:rPr>
          <w:rFonts w:ascii="楷体" w:eastAsia="楷体"/>
          <w:w w:val="95"/>
          <w:sz w:val="18"/>
        </w:rPr>
        <w:t>定</w:t>
      </w:r>
      <w:r>
        <w:rPr>
          <w:rFonts w:ascii="楷体" w:eastAsia="楷体"/>
          <w:w w:val="95"/>
          <w:sz w:val="18"/>
        </w:rPr>
        <w:t>为</w:t>
      </w:r>
      <w:r>
        <w:rPr>
          <w:rFonts w:ascii="楷体" w:eastAsia="楷体"/>
          <w:w w:val="95"/>
          <w:sz w:val="18"/>
        </w:rPr>
        <w:t>全</w:t>
      </w:r>
      <w:r>
        <w:rPr>
          <w:rFonts w:ascii="楷体" w:eastAsia="楷体"/>
          <w:w w:val="95"/>
          <w:sz w:val="18"/>
        </w:rPr>
        <w:t>残</w:t>
      </w:r>
      <w:r>
        <w:rPr>
          <w:rFonts w:ascii="楷体" w:eastAsia="楷体"/>
          <w:w w:val="95"/>
          <w:sz w:val="18"/>
        </w:rPr>
        <w:t>。</w:t>
      </w:r>
      <w:r>
        <w:rPr>
          <w:rFonts w:ascii="楷体" w:eastAsia="楷体"/>
          <w:w w:val="95"/>
          <w:sz w:val="18"/>
        </w:rPr>
        <w:t>如</w:t>
      </w:r>
      <w:r>
        <w:rPr>
          <w:rFonts w:ascii="楷体" w:eastAsia="楷体"/>
          <w:w w:val="95"/>
          <w:sz w:val="18"/>
        </w:rPr>
        <w:t>果</w:t>
      </w:r>
      <w:r>
        <w:rPr>
          <w:rFonts w:ascii="楷体" w:eastAsia="楷体"/>
          <w:spacing w:val="-4"/>
          <w:w w:val="95"/>
          <w:sz w:val="18"/>
        </w:rPr>
        <w:t>自被保</w:t>
      </w:r>
    </w:p>
    <w:p>
      <w:pPr>
        <w:spacing w:line="242" w:lineRule="auto" w:before="5"/>
        <w:ind w:left="160" w:right="3623" w:firstLine="0"/>
        <w:jc w:val="left"/>
        <w:rPr>
          <w:rFonts w:ascii="楷体" w:eastAsia="楷体"/>
          <w:sz w:val="18"/>
        </w:rPr>
      </w:pPr>
      <w:r>
        <w:rPr>
          <w:rFonts w:ascii="楷体" w:eastAsia="楷体"/>
          <w:spacing w:val="-5"/>
          <w:sz w:val="18"/>
        </w:rPr>
        <w:t>险人遭受意外伤害之日起 </w:t>
      </w:r>
      <w:r>
        <w:rPr>
          <w:rFonts w:ascii="楷体" w:eastAsia="楷体"/>
          <w:spacing w:val="-2"/>
          <w:sz w:val="18"/>
        </w:rPr>
        <w:t>180</w:t>
      </w:r>
      <w:r>
        <w:rPr>
          <w:rFonts w:ascii="楷体" w:eastAsia="楷体"/>
          <w:spacing w:val="-10"/>
          <w:sz w:val="18"/>
        </w:rPr>
        <w:t> 天后治疗仍未结束，按第 </w:t>
      </w:r>
      <w:r>
        <w:rPr>
          <w:rFonts w:ascii="楷体" w:eastAsia="楷体"/>
          <w:spacing w:val="-2"/>
          <w:sz w:val="18"/>
        </w:rPr>
        <w:t>180</w:t>
      </w:r>
      <w:r>
        <w:rPr>
          <w:rFonts w:ascii="楷体" w:eastAsia="楷体"/>
          <w:spacing w:val="-8"/>
          <w:sz w:val="18"/>
        </w:rPr>
        <w:t> 天的身体情况进行鉴定。</w:t>
      </w:r>
      <w:r>
        <w:rPr>
          <w:rFonts w:ascii="楷体" w:eastAsia="楷体"/>
          <w:spacing w:val="-2"/>
          <w:sz w:val="18"/>
        </w:rPr>
        <w:t>全残指至少满足下列情形之一者：</w:t>
      </w:r>
    </w:p>
    <w:p>
      <w:pPr>
        <w:pStyle w:val="ListParagraph"/>
        <w:numPr>
          <w:ilvl w:val="0"/>
          <w:numId w:val="3"/>
        </w:numPr>
        <w:tabs>
          <w:tab w:pos="613" w:val="left" w:leader="none"/>
        </w:tabs>
        <w:spacing w:line="240" w:lineRule="auto" w:before="0" w:after="0"/>
        <w:ind w:left="612" w:right="0" w:hanging="453"/>
        <w:jc w:val="left"/>
        <w:rPr>
          <w:rFonts w:ascii="楷体" w:hAnsi="楷体" w:eastAsia="楷体"/>
          <w:sz w:val="18"/>
        </w:rPr>
      </w:pPr>
      <w:r>
        <w:rPr>
          <w:rFonts w:ascii="楷体" w:hAnsi="楷体" w:eastAsia="楷体"/>
          <w:sz w:val="18"/>
        </w:rPr>
        <w:t>双目永久完全失明的（</w:t>
      </w:r>
      <w:r>
        <w:rPr>
          <w:rFonts w:ascii="楷体" w:hAnsi="楷体" w:eastAsia="楷体"/>
          <w:spacing w:val="-3"/>
          <w:sz w:val="18"/>
        </w:rPr>
        <w:t>注①</w:t>
      </w:r>
      <w:r>
        <w:rPr>
          <w:rFonts w:ascii="楷体" w:hAnsi="楷体" w:eastAsia="楷体"/>
          <w:spacing w:val="-5"/>
          <w:sz w:val="18"/>
        </w:rPr>
        <w:t>）；</w:t>
      </w:r>
    </w:p>
    <w:p>
      <w:pPr>
        <w:pStyle w:val="ListParagraph"/>
        <w:numPr>
          <w:ilvl w:val="0"/>
          <w:numId w:val="3"/>
        </w:numPr>
        <w:tabs>
          <w:tab w:pos="613" w:val="left" w:leader="none"/>
        </w:tabs>
        <w:spacing w:line="240" w:lineRule="auto" w:before="2" w:after="0"/>
        <w:ind w:left="612" w:right="0" w:hanging="453"/>
        <w:jc w:val="left"/>
        <w:rPr>
          <w:rFonts w:ascii="楷体" w:eastAsia="楷体"/>
          <w:sz w:val="18"/>
        </w:rPr>
      </w:pPr>
      <w:r>
        <w:rPr>
          <w:rFonts w:ascii="楷体" w:eastAsia="楷体"/>
          <w:spacing w:val="-1"/>
          <w:sz w:val="18"/>
        </w:rPr>
        <w:t>两上肢腕关节以上或两下肢踝关节以上缺失的；</w:t>
      </w:r>
    </w:p>
    <w:p>
      <w:pPr>
        <w:pStyle w:val="ListParagraph"/>
        <w:numPr>
          <w:ilvl w:val="0"/>
          <w:numId w:val="3"/>
        </w:numPr>
        <w:tabs>
          <w:tab w:pos="613" w:val="left" w:leader="none"/>
        </w:tabs>
        <w:spacing w:line="240" w:lineRule="auto" w:before="5" w:after="0"/>
        <w:ind w:left="612" w:right="0" w:hanging="453"/>
        <w:jc w:val="left"/>
        <w:rPr>
          <w:rFonts w:ascii="楷体" w:eastAsia="楷体"/>
          <w:sz w:val="18"/>
        </w:rPr>
      </w:pPr>
      <w:r>
        <w:rPr>
          <w:rFonts w:ascii="楷体" w:eastAsia="楷体"/>
          <w:spacing w:val="-1"/>
          <w:sz w:val="18"/>
        </w:rPr>
        <w:t>一上肢腕关节以上及一下肢踝关节以上缺失的；</w:t>
      </w:r>
    </w:p>
    <w:p>
      <w:pPr>
        <w:pStyle w:val="ListParagraph"/>
        <w:numPr>
          <w:ilvl w:val="0"/>
          <w:numId w:val="3"/>
        </w:numPr>
        <w:tabs>
          <w:tab w:pos="613" w:val="left" w:leader="none"/>
        </w:tabs>
        <w:spacing w:line="240" w:lineRule="auto" w:before="2" w:after="0"/>
        <w:ind w:left="612" w:right="0" w:hanging="453"/>
        <w:jc w:val="left"/>
        <w:rPr>
          <w:rFonts w:ascii="楷体" w:eastAsia="楷体"/>
          <w:sz w:val="18"/>
        </w:rPr>
      </w:pPr>
      <w:r>
        <w:rPr>
          <w:rFonts w:ascii="楷体" w:eastAsia="楷体"/>
          <w:spacing w:val="-1"/>
          <w:sz w:val="18"/>
        </w:rPr>
        <w:t>一目永久完全失明及一上肢腕关节以上缺失的；</w:t>
      </w:r>
    </w:p>
    <w:p>
      <w:pPr>
        <w:pStyle w:val="ListParagraph"/>
        <w:numPr>
          <w:ilvl w:val="0"/>
          <w:numId w:val="3"/>
        </w:numPr>
        <w:tabs>
          <w:tab w:pos="613" w:val="left" w:leader="none"/>
        </w:tabs>
        <w:spacing w:line="240" w:lineRule="auto" w:before="2" w:after="0"/>
        <w:ind w:left="612" w:right="0" w:hanging="453"/>
        <w:jc w:val="left"/>
        <w:rPr>
          <w:rFonts w:ascii="楷体" w:eastAsia="楷体"/>
          <w:sz w:val="18"/>
        </w:rPr>
      </w:pPr>
      <w:r>
        <w:rPr>
          <w:rFonts w:ascii="楷体" w:eastAsia="楷体"/>
          <w:spacing w:val="-1"/>
          <w:sz w:val="18"/>
        </w:rPr>
        <w:t>一目永久完全失明及一下肢踝关节以上缺失的；</w:t>
      </w:r>
    </w:p>
    <w:p>
      <w:pPr>
        <w:pStyle w:val="ListParagraph"/>
        <w:numPr>
          <w:ilvl w:val="0"/>
          <w:numId w:val="3"/>
        </w:numPr>
        <w:tabs>
          <w:tab w:pos="613" w:val="left" w:leader="none"/>
        </w:tabs>
        <w:spacing w:line="240" w:lineRule="auto" w:before="5" w:after="0"/>
        <w:ind w:left="612" w:right="0" w:hanging="453"/>
        <w:jc w:val="left"/>
        <w:rPr>
          <w:rFonts w:ascii="楷体" w:hAnsi="楷体" w:eastAsia="楷体"/>
          <w:sz w:val="18"/>
        </w:rPr>
      </w:pPr>
      <w:r>
        <w:rPr>
          <w:rFonts w:ascii="楷体" w:hAnsi="楷体" w:eastAsia="楷体"/>
          <w:sz w:val="18"/>
        </w:rPr>
        <w:t>四肢关节机能永久完全丧失的（</w:t>
      </w:r>
      <w:r>
        <w:rPr>
          <w:rFonts w:ascii="楷体" w:hAnsi="楷体" w:eastAsia="楷体"/>
          <w:spacing w:val="-3"/>
          <w:sz w:val="18"/>
        </w:rPr>
        <w:t>注②</w:t>
      </w:r>
      <w:r>
        <w:rPr>
          <w:rFonts w:ascii="楷体" w:hAnsi="楷体" w:eastAsia="楷体"/>
          <w:spacing w:val="-5"/>
          <w:sz w:val="18"/>
        </w:rPr>
        <w:t>）；</w:t>
      </w:r>
    </w:p>
    <w:p>
      <w:pPr>
        <w:pStyle w:val="ListParagraph"/>
        <w:numPr>
          <w:ilvl w:val="0"/>
          <w:numId w:val="3"/>
        </w:numPr>
        <w:tabs>
          <w:tab w:pos="613" w:val="left" w:leader="none"/>
        </w:tabs>
        <w:spacing w:line="240" w:lineRule="auto" w:before="2" w:after="0"/>
        <w:ind w:left="612" w:right="0" w:hanging="453"/>
        <w:jc w:val="left"/>
        <w:rPr>
          <w:rFonts w:ascii="楷体" w:hAnsi="楷体" w:eastAsia="楷体"/>
          <w:sz w:val="18"/>
        </w:rPr>
      </w:pPr>
      <w:r>
        <w:rPr>
          <w:rFonts w:ascii="楷体" w:hAnsi="楷体" w:eastAsia="楷体"/>
          <w:spacing w:val="-2"/>
          <w:sz w:val="18"/>
        </w:rPr>
        <w:t>咀嚼、吞咽机能永久完全丧失的（</w:t>
      </w:r>
      <w:r>
        <w:rPr>
          <w:rFonts w:ascii="楷体" w:hAnsi="楷体" w:eastAsia="楷体"/>
          <w:spacing w:val="-4"/>
          <w:sz w:val="18"/>
        </w:rPr>
        <w:t>注③</w:t>
      </w:r>
      <w:r>
        <w:rPr>
          <w:rFonts w:ascii="楷体" w:hAnsi="楷体" w:eastAsia="楷体"/>
          <w:spacing w:val="-5"/>
          <w:sz w:val="18"/>
        </w:rPr>
        <w:t>）；</w:t>
      </w:r>
    </w:p>
    <w:p>
      <w:pPr>
        <w:pStyle w:val="ListParagraph"/>
        <w:numPr>
          <w:ilvl w:val="0"/>
          <w:numId w:val="3"/>
        </w:numPr>
        <w:tabs>
          <w:tab w:pos="613" w:val="left" w:leader="none"/>
        </w:tabs>
        <w:spacing w:line="242" w:lineRule="auto" w:before="2" w:after="0"/>
        <w:ind w:left="160" w:right="535" w:firstLine="0"/>
        <w:jc w:val="left"/>
        <w:rPr>
          <w:rFonts w:ascii="楷体" w:hAnsi="楷体" w:eastAsia="楷体"/>
          <w:sz w:val="18"/>
        </w:rPr>
      </w:pPr>
      <w:r>
        <w:rPr>
          <w:rFonts w:ascii="楷体" w:hAnsi="楷体" w:eastAsia="楷体"/>
          <w:spacing w:val="-2"/>
          <w:sz w:val="18"/>
        </w:rPr>
        <w:t>中枢神经系统机能或胸、腹部脏器机能极度障碍，终身不能从事任何工作，为维持生命必要的日常生活活动，全需他人</w:t>
      </w:r>
      <w:r>
        <w:rPr>
          <w:rFonts w:ascii="楷体" w:hAnsi="楷体" w:eastAsia="楷体"/>
          <w:spacing w:val="-2"/>
          <w:sz w:val="18"/>
        </w:rPr>
        <w:t>扶助的（注④）。</w:t>
      </w:r>
    </w:p>
    <w:p>
      <w:pPr>
        <w:spacing w:before="2"/>
        <w:ind w:left="160" w:right="0" w:firstLine="0"/>
        <w:jc w:val="left"/>
        <w:rPr>
          <w:rFonts w:ascii="楷体" w:eastAsia="楷体"/>
          <w:sz w:val="18"/>
        </w:rPr>
      </w:pPr>
      <w:r>
        <w:rPr>
          <w:rFonts w:ascii="楷体" w:eastAsia="楷体"/>
          <w:sz w:val="18"/>
        </w:rPr>
        <w:t>全残的鉴定应在治疗结束之后，由二级以上医院或者由双方认可的其他医疗机构（或鉴定机构）</w:t>
      </w:r>
      <w:r>
        <w:rPr>
          <w:rFonts w:ascii="楷体" w:eastAsia="楷体"/>
          <w:spacing w:val="-1"/>
          <w:sz w:val="18"/>
        </w:rPr>
        <w:t>进行。如果自被保险人遭受</w:t>
      </w:r>
    </w:p>
    <w:p>
      <w:pPr>
        <w:spacing w:after="0"/>
        <w:jc w:val="left"/>
        <w:rPr>
          <w:rFonts w:ascii="楷体" w:eastAsia="楷体"/>
          <w:sz w:val="18"/>
        </w:rPr>
        <w:sectPr>
          <w:type w:val="continuous"/>
          <w:pgSz w:w="11910" w:h="16840"/>
          <w:pgMar w:header="0" w:footer="659" w:top="480" w:bottom="280" w:left="920" w:right="540"/>
        </w:sectPr>
      </w:pPr>
    </w:p>
    <w:p>
      <w:pPr>
        <w:tabs>
          <w:tab w:pos="3072" w:val="left" w:leader="none"/>
        </w:tabs>
        <w:spacing w:before="41"/>
        <w:ind w:left="1370" w:right="0" w:firstLine="0"/>
        <w:jc w:val="left"/>
        <w:rPr>
          <w:sz w:val="21"/>
        </w:rPr>
      </w:pPr>
      <w:r>
        <w:rPr/>
        <w:drawing>
          <wp:anchor distT="0" distB="0" distL="0" distR="0" allowOverlap="1" layoutInCell="1" locked="0" behindDoc="1" simplePos="0" relativeHeight="486111744">
            <wp:simplePos x="0" y="0"/>
            <wp:positionH relativeFrom="page">
              <wp:posOffset>4537836</wp:posOffset>
            </wp:positionH>
            <wp:positionV relativeFrom="paragraph">
              <wp:posOffset>13334</wp:posOffset>
            </wp:positionV>
            <wp:extent cx="1066800" cy="190500"/>
            <wp:effectExtent l="0" t="0" r="0" b="0"/>
            <wp:wrapNone/>
            <wp:docPr id="21" name="image8.png"/>
            <wp:cNvGraphicFramePr>
              <a:graphicFrameLocks noChangeAspect="1"/>
            </wp:cNvGraphicFramePr>
            <a:graphic>
              <a:graphicData uri="http://schemas.openxmlformats.org/drawingml/2006/picture">
                <pic:pic>
                  <pic:nvPicPr>
                    <pic:cNvPr id="22" name="image8.png"/>
                    <pic:cNvPicPr/>
                  </pic:nvPicPr>
                  <pic:blipFill>
                    <a:blip r:embed="rId15" cstate="print"/>
                    <a:stretch>
                      <a:fillRect/>
                    </a:stretch>
                  </pic:blipFill>
                  <pic:spPr>
                    <a:xfrm>
                      <a:off x="0" y="0"/>
                      <a:ext cx="1066800" cy="190500"/>
                    </a:xfrm>
                    <a:prstGeom prst="rect">
                      <a:avLst/>
                    </a:prstGeom>
                  </pic:spPr>
                </pic:pic>
              </a:graphicData>
            </a:graphic>
          </wp:anchor>
        </w:drawing>
      </w:r>
      <w:r>
        <w:rPr>
          <w:b/>
          <w:position w:val="1"/>
          <w:sz w:val="21"/>
        </w:rPr>
        <w:t>全残保险</w:t>
      </w:r>
      <w:r>
        <w:rPr>
          <w:b/>
          <w:spacing w:val="-10"/>
          <w:position w:val="1"/>
          <w:sz w:val="21"/>
        </w:rPr>
        <w:t>金</w:t>
      </w:r>
      <w:r>
        <w:rPr>
          <w:b/>
          <w:position w:val="1"/>
          <w:sz w:val="21"/>
        </w:rPr>
        <w:tab/>
      </w:r>
      <w:r>
        <w:rPr>
          <w:spacing w:val="-2"/>
          <w:sz w:val="21"/>
        </w:rPr>
        <w:t>式</w:t>
      </w:r>
      <w:r>
        <w:rPr>
          <w:spacing w:val="-2"/>
          <w:sz w:val="21"/>
        </w:rPr>
        <w:t>给</w:t>
      </w:r>
      <w:r>
        <w:rPr>
          <w:spacing w:val="-2"/>
          <w:sz w:val="21"/>
        </w:rPr>
        <w:t>付身故保险金或全残</w:t>
      </w:r>
      <w:r>
        <w:rPr>
          <w:spacing w:val="-2"/>
          <w:sz w:val="21"/>
        </w:rPr>
        <w:t>保</w:t>
      </w:r>
      <w:r>
        <w:rPr>
          <w:spacing w:val="-2"/>
          <w:sz w:val="21"/>
        </w:rPr>
        <w:t>险</w:t>
      </w:r>
      <w:r>
        <w:rPr>
          <w:spacing w:val="-2"/>
          <w:sz w:val="21"/>
        </w:rPr>
        <w:t>金，同时本合同终止</w:t>
      </w:r>
      <w:r>
        <w:rPr>
          <w:spacing w:val="-10"/>
          <w:sz w:val="21"/>
        </w:rPr>
        <w:t>。</w:t>
      </w:r>
    </w:p>
    <w:p>
      <w:pPr>
        <w:pStyle w:val="ListParagraph"/>
        <w:numPr>
          <w:ilvl w:val="1"/>
          <w:numId w:val="3"/>
        </w:numPr>
        <w:tabs>
          <w:tab w:pos="3793" w:val="left" w:leader="none"/>
        </w:tabs>
        <w:spacing w:line="266" w:lineRule="auto" w:before="188" w:after="0"/>
        <w:ind w:left="3792" w:right="211" w:hanging="720"/>
        <w:jc w:val="both"/>
        <w:rPr>
          <w:sz w:val="21"/>
        </w:rPr>
      </w:pPr>
      <w:r>
        <w:rPr>
          <w:w w:val="95"/>
          <w:sz w:val="21"/>
        </w:rPr>
        <w:t>如</w:t>
      </w:r>
      <w:r>
        <w:rPr>
          <w:w w:val="95"/>
          <w:sz w:val="21"/>
        </w:rPr>
        <w:t>果</w:t>
      </w:r>
      <w:r>
        <w:rPr>
          <w:w w:val="95"/>
          <w:sz w:val="21"/>
        </w:rPr>
        <w:t>被保险人身故或确定</w:t>
      </w:r>
      <w:r>
        <w:rPr>
          <w:w w:val="95"/>
          <w:sz w:val="21"/>
        </w:rPr>
        <w:t>全</w:t>
      </w:r>
      <w:r>
        <w:rPr>
          <w:w w:val="95"/>
          <w:sz w:val="21"/>
        </w:rPr>
        <w:t>残</w:t>
      </w:r>
      <w:r>
        <w:rPr>
          <w:w w:val="95"/>
          <w:sz w:val="21"/>
        </w:rPr>
        <w:t>时</w:t>
      </w:r>
      <w:r>
        <w:rPr>
          <w:w w:val="95"/>
          <w:sz w:val="21"/>
        </w:rPr>
        <w:t>未</w:t>
      </w:r>
      <w:r>
        <w:rPr>
          <w:w w:val="95"/>
          <w:sz w:val="21"/>
        </w:rPr>
        <w:t>满</w:t>
      </w:r>
      <w:r>
        <w:rPr>
          <w:w w:val="95"/>
          <w:sz w:val="21"/>
        </w:rPr>
        <w:t> 18 周岁（不含 18 周岁生日</w:t>
      </w:r>
      <w:r>
        <w:rPr>
          <w:spacing w:val="-108"/>
          <w:w w:val="95"/>
          <w:sz w:val="21"/>
        </w:rPr>
        <w:t>）</w:t>
      </w:r>
      <w:r>
        <w:rPr>
          <w:w w:val="95"/>
          <w:sz w:val="21"/>
        </w:rPr>
        <w:t>，</w:t>
      </w:r>
      <w:r>
        <w:rPr>
          <w:w w:val="95"/>
          <w:sz w:val="21"/>
        </w:rPr>
        <w:t>身</w:t>
      </w:r>
      <w:r>
        <w:rPr>
          <w:spacing w:val="-5"/>
          <w:sz w:val="21"/>
        </w:rPr>
        <w:t>故保险金或全残保险金等于投保人已交纳的本合同累计保险费数额</w:t>
      </w:r>
      <w:r>
        <w:rPr>
          <w:spacing w:val="-2"/>
          <w:sz w:val="21"/>
        </w:rPr>
        <w:t>（不</w:t>
      </w:r>
      <w:r>
        <w:rPr>
          <w:spacing w:val="-6"/>
          <w:sz w:val="21"/>
        </w:rPr>
        <w:t>计息</w:t>
      </w:r>
      <w:r>
        <w:rPr>
          <w:spacing w:val="-108"/>
          <w:sz w:val="21"/>
        </w:rPr>
        <w:t>）</w:t>
      </w:r>
      <w:r>
        <w:rPr>
          <w:sz w:val="21"/>
        </w:rPr>
        <w:t>；</w:t>
      </w:r>
    </w:p>
    <w:p>
      <w:pPr>
        <w:pStyle w:val="ListParagraph"/>
        <w:numPr>
          <w:ilvl w:val="1"/>
          <w:numId w:val="3"/>
        </w:numPr>
        <w:tabs>
          <w:tab w:pos="3793" w:val="left" w:leader="none"/>
        </w:tabs>
        <w:spacing w:line="266" w:lineRule="auto" w:before="160" w:after="0"/>
        <w:ind w:left="3792" w:right="211" w:hanging="720"/>
        <w:jc w:val="both"/>
        <w:rPr>
          <w:sz w:val="21"/>
        </w:rPr>
      </w:pPr>
      <w:r>
        <w:rPr>
          <w:w w:val="95"/>
          <w:sz w:val="21"/>
        </w:rPr>
        <w:t>如</w:t>
      </w:r>
      <w:r>
        <w:rPr>
          <w:w w:val="95"/>
          <w:sz w:val="21"/>
        </w:rPr>
        <w:t>果</w:t>
      </w:r>
      <w:r>
        <w:rPr>
          <w:w w:val="95"/>
          <w:sz w:val="21"/>
        </w:rPr>
        <w:t>被保险人身故或确定</w:t>
      </w:r>
      <w:r>
        <w:rPr>
          <w:w w:val="95"/>
          <w:sz w:val="21"/>
        </w:rPr>
        <w:t>全</w:t>
      </w:r>
      <w:r>
        <w:rPr>
          <w:w w:val="95"/>
          <w:sz w:val="21"/>
        </w:rPr>
        <w:t>残</w:t>
      </w:r>
      <w:r>
        <w:rPr>
          <w:w w:val="95"/>
          <w:sz w:val="21"/>
        </w:rPr>
        <w:t>时</w:t>
      </w:r>
      <w:r>
        <w:rPr>
          <w:w w:val="95"/>
          <w:sz w:val="21"/>
        </w:rPr>
        <w:t>已</w:t>
      </w:r>
      <w:r>
        <w:rPr>
          <w:w w:val="95"/>
          <w:sz w:val="21"/>
        </w:rPr>
        <w:t>满</w:t>
      </w:r>
      <w:r>
        <w:rPr>
          <w:w w:val="95"/>
          <w:sz w:val="21"/>
        </w:rPr>
        <w:t> 18 周岁（含 18 周岁</w:t>
      </w:r>
      <w:r>
        <w:rPr>
          <w:w w:val="95"/>
          <w:sz w:val="21"/>
        </w:rPr>
        <w:t>生</w:t>
      </w:r>
      <w:r>
        <w:rPr>
          <w:w w:val="95"/>
          <w:sz w:val="21"/>
        </w:rPr>
        <w:t>日</w:t>
      </w:r>
      <w:r>
        <w:rPr>
          <w:spacing w:val="-108"/>
          <w:w w:val="95"/>
          <w:sz w:val="21"/>
        </w:rPr>
        <w:t>）</w:t>
      </w:r>
      <w:r>
        <w:rPr>
          <w:w w:val="95"/>
          <w:sz w:val="21"/>
        </w:rPr>
        <w:t>，身故</w:t>
      </w:r>
      <w:r>
        <w:rPr>
          <w:spacing w:val="-2"/>
          <w:sz w:val="21"/>
        </w:rPr>
        <w:t>保险金或全残保险金等于本合同基本保险金额。</w:t>
      </w:r>
    </w:p>
    <w:p>
      <w:pPr>
        <w:pStyle w:val="BodyText"/>
        <w:spacing w:line="266" w:lineRule="auto" w:before="158"/>
        <w:ind w:left="3072" w:right="214"/>
        <w:jc w:val="both"/>
      </w:pPr>
      <w:r>
        <w:rPr/>
        <w:drawing>
          <wp:anchor distT="0" distB="0" distL="0" distR="0" allowOverlap="1" layoutInCell="1" locked="0" behindDoc="1" simplePos="0" relativeHeight="486112256">
            <wp:simplePos x="0" y="0"/>
            <wp:positionH relativeFrom="page">
              <wp:posOffset>5604636</wp:posOffset>
            </wp:positionH>
            <wp:positionV relativeFrom="paragraph">
              <wp:posOffset>462280</wp:posOffset>
            </wp:positionV>
            <wp:extent cx="1067104" cy="190500"/>
            <wp:effectExtent l="0" t="0" r="0" b="0"/>
            <wp:wrapNone/>
            <wp:docPr id="23" name="image8.png"/>
            <wp:cNvGraphicFramePr>
              <a:graphicFrameLocks noChangeAspect="1"/>
            </wp:cNvGraphicFramePr>
            <a:graphic>
              <a:graphicData uri="http://schemas.openxmlformats.org/drawingml/2006/picture">
                <pic:pic>
                  <pic:nvPicPr>
                    <pic:cNvPr id="24" name="image8.png"/>
                    <pic:cNvPicPr/>
                  </pic:nvPicPr>
                  <pic:blipFill>
                    <a:blip r:embed="rId15" cstate="print"/>
                    <a:stretch>
                      <a:fillRect/>
                    </a:stretch>
                  </pic:blipFill>
                  <pic:spPr>
                    <a:xfrm>
                      <a:off x="0" y="0"/>
                      <a:ext cx="1067104" cy="190500"/>
                    </a:xfrm>
                    <a:prstGeom prst="rect">
                      <a:avLst/>
                    </a:prstGeom>
                  </pic:spPr>
                </pic:pic>
              </a:graphicData>
            </a:graphic>
          </wp:anchor>
        </w:drawing>
      </w:r>
      <w:r>
        <w:rPr>
          <w:spacing w:val="-6"/>
        </w:rPr>
        <w:t>在本合同生效（若曾复效，则自本合同最后复效）</w:t>
      </w:r>
      <w:r>
        <w:rPr>
          <w:spacing w:val="-7"/>
        </w:rPr>
        <w:t>之日起 </w:t>
      </w:r>
      <w:r>
        <w:rPr>
          <w:spacing w:val="-6"/>
        </w:rPr>
        <w:t>90</w:t>
      </w:r>
      <w:r>
        <w:rPr>
          <w:spacing w:val="-8"/>
        </w:rPr>
        <w:t> 天内，被保险人因</w:t>
      </w:r>
      <w:r>
        <w:rPr>
          <w:spacing w:val="-2"/>
        </w:rPr>
        <w:t>非意外的原因导致身故或确定全残，本公司将按投保人已交纳的本合同累计保</w:t>
      </w:r>
      <w:r>
        <w:rPr>
          <w:spacing w:val="-2"/>
        </w:rPr>
        <w:t>险费数额（不计息）给付身故保险金或全残保险金，同时本合同终止。</w:t>
      </w:r>
    </w:p>
    <w:p>
      <w:pPr>
        <w:pStyle w:val="ListParagraph"/>
        <w:numPr>
          <w:ilvl w:val="2"/>
          <w:numId w:val="2"/>
        </w:numPr>
        <w:tabs>
          <w:tab w:pos="1369" w:val="left" w:leader="none"/>
          <w:tab w:pos="1370" w:val="left" w:leader="none"/>
          <w:tab w:pos="3072" w:val="left" w:leader="none"/>
        </w:tabs>
        <w:spacing w:line="240" w:lineRule="auto" w:before="150" w:after="0"/>
        <w:ind w:left="1370" w:right="0" w:hanging="1103"/>
        <w:jc w:val="left"/>
        <w:rPr>
          <w:sz w:val="21"/>
        </w:rPr>
      </w:pPr>
      <w:r>
        <w:rPr/>
        <w:pict>
          <v:shape style="position:absolute;margin-left:235.610001pt;margin-top:66.530014pt;width:231.2pt;height:15pt;mso-position-horizontal-relative:page;mso-position-vertical-relative:paragraph;z-index:15740928" type="#_x0000_t202" id="docshape13" filled="true" fillcolor="#e4e4e4" stroked="false">
            <v:textbox inset="0,0,0,0">
              <w:txbxContent>
                <w:p>
                  <w:pPr>
                    <w:pStyle w:val="BodyText"/>
                    <w:spacing w:before="30"/>
                    <w:ind w:right="-15"/>
                    <w:rPr>
                      <w:color w:val="000000"/>
                    </w:rPr>
                  </w:pPr>
                  <w:r>
                    <w:rPr>
                      <w:color w:val="000000"/>
                      <w:spacing w:val="-3"/>
                    </w:rPr>
                    <w:t>疾病标准的，不能追溯中度疾病与轻度疾病给付；</w:t>
                  </w:r>
                </w:p>
              </w:txbxContent>
            </v:textbox>
            <v:fill type="solid"/>
            <w10:wrap type="none"/>
          </v:shape>
        </w:pict>
      </w:r>
      <w:r>
        <w:rPr/>
        <w:pict>
          <v:shape style="position:absolute;margin-left:235.610001pt;margin-top:6.500012pt;width:321.8pt;height:60.05pt;mso-position-horizontal-relative:page;mso-position-vertical-relative:paragraph;z-index:15741440" type="#_x0000_t202" id="docshape14" filled="true" fillcolor="#e4e4e4" stroked="false">
            <v:textbox inset="0,0,0,0">
              <w:txbxContent>
                <w:p>
                  <w:pPr>
                    <w:pStyle w:val="BodyText"/>
                    <w:spacing w:line="268" w:lineRule="auto" w:before="30"/>
                    <w:ind w:right="-15"/>
                    <w:jc w:val="both"/>
                    <w:rPr>
                      <w:color w:val="000000"/>
                    </w:rPr>
                  </w:pPr>
                  <w:r>
                    <w:rPr>
                      <w:color w:val="000000"/>
                      <w:spacing w:val="-4"/>
                    </w:rPr>
                    <w:t>被保险人由于同一疾病原因、同次医疗行为或同次意外伤害事故，确诊</w:t>
                  </w:r>
                  <w:r>
                    <w:rPr>
                      <w:color w:val="000000"/>
                      <w:spacing w:val="-4"/>
                    </w:rPr>
                    <w:t>初次发生一项或多项本合同所列的重大疾病、中度疾病、轻度疾病，本</w:t>
                  </w:r>
                  <w:r>
                    <w:rPr>
                      <w:color w:val="000000"/>
                      <w:spacing w:val="-5"/>
                    </w:rPr>
                    <w:t>公司按重大疾病保险金、中度疾病保险金或轻度疾病保险金规定，仅给</w:t>
                  </w:r>
                </w:p>
                <w:p>
                  <w:pPr>
                    <w:pStyle w:val="BodyText"/>
                    <w:spacing w:line="266" w:lineRule="exact"/>
                    <w:ind w:right="-15"/>
                    <w:rPr>
                      <w:color w:val="000000"/>
                    </w:rPr>
                  </w:pPr>
                  <w:r>
                    <w:rPr>
                      <w:color w:val="000000"/>
                      <w:spacing w:val="-9"/>
                    </w:rPr>
                    <w:t>付其中金额最高的一项保险金。被保险人所患疾病诊断时已经达到重大</w:t>
                  </w:r>
                </w:p>
              </w:txbxContent>
            </v:textbox>
            <v:fill type="solid"/>
            <w10:wrap type="none"/>
          </v:shape>
        </w:pict>
      </w:r>
      <w:r>
        <w:rPr>
          <w:b/>
          <w:position w:val="1"/>
          <w:sz w:val="21"/>
        </w:rPr>
        <w:t>特别注意事</w:t>
      </w:r>
      <w:r>
        <w:rPr>
          <w:b/>
          <w:spacing w:val="-10"/>
          <w:position w:val="1"/>
          <w:sz w:val="21"/>
        </w:rPr>
        <w:t>项</w:t>
      </w:r>
      <w:r>
        <w:rPr>
          <w:b/>
          <w:position w:val="1"/>
          <w:sz w:val="21"/>
        </w:rPr>
        <w:tab/>
      </w:r>
      <w:r>
        <w:rPr>
          <w:spacing w:val="-5"/>
          <w:sz w:val="21"/>
        </w:rPr>
        <w:t>（1）</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2"/>
        </w:rPr>
      </w:pPr>
    </w:p>
    <w:p>
      <w:pPr>
        <w:pStyle w:val="BodyText"/>
        <w:spacing w:before="72"/>
        <w:ind w:left="3072"/>
      </w:pPr>
      <w:r>
        <w:rPr/>
        <w:pict>
          <v:shape style="position:absolute;margin-left:235.610001pt;margin-top:17.099995pt;width:21pt;height:15pt;mso-position-horizontal-relative:page;mso-position-vertical-relative:paragraph;z-index:15739904" type="#_x0000_t202" id="docshape15" filled="true" fillcolor="#e4e4e4" stroked="false">
            <v:textbox inset="0,0,0,0">
              <w:txbxContent>
                <w:p>
                  <w:pPr>
                    <w:pStyle w:val="BodyText"/>
                    <w:spacing w:before="30"/>
                    <w:ind w:right="-15"/>
                    <w:rPr>
                      <w:color w:val="000000"/>
                    </w:rPr>
                  </w:pPr>
                  <w:r>
                    <w:rPr>
                      <w:color w:val="000000"/>
                      <w:spacing w:val="-5"/>
                    </w:rPr>
                    <w:t>项；</w:t>
                  </w:r>
                </w:p>
              </w:txbxContent>
            </v:textbox>
            <v:fill type="solid"/>
            <w10:wrap type="none"/>
          </v:shape>
        </w:pict>
      </w:r>
      <w:r>
        <w:rPr/>
        <w:pict>
          <v:shape style="position:absolute;margin-left:235.610001pt;margin-top:2.099995pt;width:321.8pt;height:15pt;mso-position-horizontal-relative:page;mso-position-vertical-relative:paragraph;z-index:15740416" type="#_x0000_t202" id="docshape16" filled="true" fillcolor="#e4e4e4" stroked="false">
            <v:textbox inset="0,0,0,0">
              <w:txbxContent>
                <w:p>
                  <w:pPr>
                    <w:pStyle w:val="BodyText"/>
                    <w:spacing w:before="30"/>
                    <w:rPr>
                      <w:color w:val="000000"/>
                    </w:rPr>
                  </w:pPr>
                  <w:r>
                    <w:rPr>
                      <w:color w:val="000000"/>
                      <w:spacing w:val="-1"/>
                    </w:rPr>
                    <w:t>本公司仅给付首次重大疾病保险金、身故保险金或全残保险金其中一</w:t>
                  </w:r>
                </w:p>
              </w:txbxContent>
            </v:textbox>
            <v:fill type="solid"/>
            <w10:wrap type="none"/>
          </v:shape>
        </w:pict>
      </w:r>
      <w:r>
        <w:rPr>
          <w:spacing w:val="-5"/>
        </w:rPr>
        <w:t>（2）</w:t>
      </w:r>
    </w:p>
    <w:p>
      <w:pPr>
        <w:pStyle w:val="BodyText"/>
        <w:rPr>
          <w:sz w:val="20"/>
        </w:rPr>
      </w:pPr>
    </w:p>
    <w:p>
      <w:pPr>
        <w:pStyle w:val="BodyText"/>
        <w:rPr>
          <w:sz w:val="18"/>
        </w:rPr>
      </w:pPr>
    </w:p>
    <w:p>
      <w:pPr>
        <w:pStyle w:val="ListParagraph"/>
        <w:numPr>
          <w:ilvl w:val="1"/>
          <w:numId w:val="3"/>
        </w:numPr>
        <w:tabs>
          <w:tab w:pos="3602" w:val="left" w:leader="none"/>
        </w:tabs>
        <w:spacing w:line="240" w:lineRule="auto" w:before="0" w:after="0"/>
        <w:ind w:left="3601" w:right="0" w:hanging="530"/>
        <w:jc w:val="left"/>
        <w:rPr>
          <w:sz w:val="21"/>
        </w:rPr>
      </w:pPr>
      <w:r>
        <w:rPr/>
        <w:pict>
          <v:shape style="position:absolute;margin-left:235.610001pt;margin-top:13.500008pt;width:115.6pt;height:15pt;mso-position-horizontal-relative:page;mso-position-vertical-relative:paragraph;z-index:15738880" type="#_x0000_t202" id="docshape17" filled="true" fillcolor="#e4e4e4" stroked="false">
            <v:textbox inset="0,0,0,0">
              <w:txbxContent>
                <w:p>
                  <w:pPr>
                    <w:pStyle w:val="BodyText"/>
                    <w:spacing w:before="30"/>
                    <w:ind w:right="-15"/>
                    <w:rPr>
                      <w:color w:val="000000"/>
                    </w:rPr>
                  </w:pPr>
                  <w:r>
                    <w:rPr>
                      <w:color w:val="000000"/>
                      <w:spacing w:val="-3"/>
                    </w:rPr>
                    <w:t>费交费方式的变更申请。</w:t>
                  </w:r>
                </w:p>
              </w:txbxContent>
            </v:textbox>
            <v:fill type="solid"/>
            <w10:wrap type="none"/>
          </v:shape>
        </w:pict>
      </w:r>
      <w:r>
        <w:rPr/>
        <w:pict>
          <v:shape style="position:absolute;margin-left:235.610001pt;margin-top:-1.499993pt;width:321.8pt;height:15pt;mso-position-horizontal-relative:page;mso-position-vertical-relative:paragraph;z-index:15739392" type="#_x0000_t202" id="docshape18" filled="true" fillcolor="#e4e4e4" stroked="false">
            <v:textbox inset="0,0,0,0">
              <w:txbxContent>
                <w:p>
                  <w:pPr>
                    <w:pStyle w:val="BodyText"/>
                    <w:spacing w:before="30"/>
                    <w:ind w:right="-15"/>
                    <w:rPr>
                      <w:color w:val="000000"/>
                    </w:rPr>
                  </w:pPr>
                  <w:r>
                    <w:rPr>
                      <w:color w:val="000000"/>
                      <w:spacing w:val="-11"/>
                    </w:rPr>
                    <w:t>豁免保险费开始后，本公司将不再接受关于本合同基本保险金额及保险</w:t>
                  </w:r>
                </w:p>
              </w:txbxContent>
            </v:textbox>
            <v:fill type="solid"/>
            <w10:wrap type="none"/>
          </v:shape>
        </w:pict>
      </w:r>
      <w:r>
        <w:rPr>
          <w:spacing w:val="-5"/>
          <w:sz w:val="21"/>
        </w:rPr>
        <w:t>（3）</w:t>
      </w:r>
    </w:p>
    <w:p>
      <w:pPr>
        <w:pStyle w:val="BodyText"/>
        <w:rPr>
          <w:sz w:val="20"/>
        </w:rPr>
      </w:pPr>
    </w:p>
    <w:p>
      <w:pPr>
        <w:pStyle w:val="BodyText"/>
        <w:spacing w:before="6"/>
        <w:rPr>
          <w:sz w:val="17"/>
        </w:rPr>
      </w:pPr>
    </w:p>
    <w:p>
      <w:pPr>
        <w:pStyle w:val="Heading2"/>
        <w:numPr>
          <w:ilvl w:val="1"/>
          <w:numId w:val="2"/>
        </w:numPr>
        <w:tabs>
          <w:tab w:pos="1369" w:val="left" w:leader="none"/>
          <w:tab w:pos="1370" w:val="left" w:leader="none"/>
        </w:tabs>
        <w:spacing w:line="240" w:lineRule="auto" w:before="0" w:after="0"/>
        <w:ind w:left="1370" w:right="0" w:hanging="1103"/>
        <w:jc w:val="left"/>
      </w:pPr>
      <w:r>
        <w:rPr>
          <w:spacing w:val="-3"/>
        </w:rPr>
        <w:t>责任免除</w:t>
      </w:r>
    </w:p>
    <w:p>
      <w:pPr>
        <w:pStyle w:val="BodyText"/>
        <w:spacing w:before="6"/>
        <w:rPr>
          <w:b/>
          <w:sz w:val="15"/>
        </w:rPr>
      </w:pPr>
    </w:p>
    <w:p>
      <w:pPr>
        <w:pStyle w:val="ListParagraph"/>
        <w:numPr>
          <w:ilvl w:val="2"/>
          <w:numId w:val="2"/>
        </w:numPr>
        <w:tabs>
          <w:tab w:pos="1369" w:val="left" w:leader="none"/>
          <w:tab w:pos="1370" w:val="left" w:leader="none"/>
        </w:tabs>
        <w:spacing w:line="278" w:lineRule="auto" w:before="1" w:after="0"/>
        <w:ind w:left="1370" w:right="7807" w:hanging="1102"/>
        <w:jc w:val="left"/>
        <w:rPr>
          <w:b/>
          <w:sz w:val="21"/>
        </w:rPr>
      </w:pPr>
      <w:r>
        <w:rPr/>
        <w:pict>
          <v:shape style="position:absolute;margin-left:199.610001pt;margin-top:13.910011pt;width:52.6pt;height:15pt;mso-position-horizontal-relative:page;mso-position-vertical-relative:paragraph;z-index:15737856" type="#_x0000_t202" id="docshape19" filled="true" fillcolor="#e4e4e4" stroked="false">
            <v:textbox inset="0,0,0,0">
              <w:txbxContent>
                <w:p>
                  <w:pPr>
                    <w:pStyle w:val="BodyText"/>
                    <w:spacing w:before="30"/>
                    <w:ind w:right="-15"/>
                    <w:rPr>
                      <w:color w:val="000000"/>
                    </w:rPr>
                  </w:pPr>
                  <w:r>
                    <w:rPr>
                      <w:color w:val="000000"/>
                      <w:spacing w:val="-4"/>
                    </w:rPr>
                    <w:t>金的责任：</w:t>
                  </w:r>
                </w:p>
              </w:txbxContent>
            </v:textbox>
            <v:fill type="solid"/>
            <w10:wrap type="none"/>
          </v:shape>
        </w:pict>
      </w:r>
      <w:r>
        <w:rPr/>
        <w:pict>
          <v:shape style="position:absolute;margin-left:199.610001pt;margin-top:-1.089989pt;width:357.8pt;height:15pt;mso-position-horizontal-relative:page;mso-position-vertical-relative:paragraph;z-index:15738368" type="#_x0000_t202" id="docshape20" filled="true" fillcolor="#e4e4e4" stroked="false">
            <v:textbox inset="0,0,0,0">
              <w:txbxContent>
                <w:p>
                  <w:pPr>
                    <w:pStyle w:val="BodyText"/>
                    <w:spacing w:before="30"/>
                    <w:ind w:right="-15"/>
                    <w:rPr>
                      <w:color w:val="000000"/>
                    </w:rPr>
                  </w:pPr>
                  <w:r>
                    <w:rPr>
                      <w:color w:val="000000"/>
                      <w:spacing w:val="-3"/>
                    </w:rPr>
                    <w:t>因下列任何情形直接或间接导致被保险人身故的，本公司不承担给付身故保险</w:t>
                  </w:r>
                </w:p>
              </w:txbxContent>
            </v:textbox>
            <v:fill type="solid"/>
            <w10:wrap type="none"/>
          </v:shape>
        </w:pict>
      </w:r>
      <w:r>
        <w:rPr>
          <w:b/>
          <w:spacing w:val="-2"/>
          <w:sz w:val="21"/>
        </w:rPr>
        <w:t>身故保险金责</w:t>
      </w:r>
      <w:r>
        <w:rPr>
          <w:b/>
          <w:spacing w:val="-4"/>
          <w:sz w:val="21"/>
        </w:rPr>
        <w:t>任免除</w:t>
      </w:r>
    </w:p>
    <w:p>
      <w:pPr>
        <w:pStyle w:val="ListParagraph"/>
        <w:numPr>
          <w:ilvl w:val="0"/>
          <w:numId w:val="4"/>
        </w:numPr>
        <w:tabs>
          <w:tab w:pos="3793" w:val="left" w:leader="none"/>
        </w:tabs>
        <w:spacing w:line="240" w:lineRule="auto" w:before="139" w:after="0"/>
        <w:ind w:left="3792" w:right="0" w:hanging="3590"/>
        <w:jc w:val="left"/>
        <w:rPr>
          <w:sz w:val="21"/>
        </w:rPr>
      </w:pPr>
      <w:r>
        <w:rPr>
          <w:color w:val="000000"/>
          <w:spacing w:val="-3"/>
          <w:sz w:val="21"/>
          <w:shd w:fill="E4E4E4" w:color="auto" w:val="clear"/>
        </w:rPr>
        <w:t>投保人对被保险人故意杀害或故意伤害；</w:t>
      </w:r>
    </w:p>
    <w:p>
      <w:pPr>
        <w:pStyle w:val="BodyText"/>
        <w:rPr>
          <w:sz w:val="9"/>
        </w:rPr>
      </w:pPr>
    </w:p>
    <w:p>
      <w:pPr>
        <w:pStyle w:val="ListParagraph"/>
        <w:numPr>
          <w:ilvl w:val="0"/>
          <w:numId w:val="4"/>
        </w:numPr>
        <w:tabs>
          <w:tab w:pos="3793" w:val="left" w:leader="none"/>
        </w:tabs>
        <w:spacing w:line="240" w:lineRule="auto" w:before="72" w:after="0"/>
        <w:ind w:left="3792" w:right="0" w:hanging="721"/>
        <w:jc w:val="left"/>
        <w:rPr>
          <w:sz w:val="21"/>
        </w:rPr>
      </w:pPr>
      <w:r>
        <w:rPr>
          <w:color w:val="000000"/>
          <w:spacing w:val="-3"/>
          <w:sz w:val="21"/>
          <w:shd w:fill="E4E4E4" w:color="auto" w:val="clear"/>
        </w:rPr>
        <w:t>被保险人故意犯罪以及抗拒依法采取的刑事强制措施；</w:t>
      </w:r>
    </w:p>
    <w:p>
      <w:pPr>
        <w:pStyle w:val="BodyText"/>
        <w:spacing w:before="12"/>
        <w:rPr>
          <w:sz w:val="8"/>
        </w:rPr>
      </w:pPr>
    </w:p>
    <w:p>
      <w:pPr>
        <w:pStyle w:val="ListParagraph"/>
        <w:numPr>
          <w:ilvl w:val="0"/>
          <w:numId w:val="4"/>
        </w:numPr>
        <w:tabs>
          <w:tab w:pos="3793" w:val="left" w:leader="none"/>
        </w:tabs>
        <w:spacing w:line="266" w:lineRule="auto" w:before="72" w:after="0"/>
        <w:ind w:left="3792" w:right="212" w:hanging="720"/>
        <w:jc w:val="left"/>
        <w:rPr>
          <w:sz w:val="21"/>
        </w:rPr>
      </w:pPr>
      <w:r>
        <w:rPr>
          <w:color w:val="000000"/>
          <w:spacing w:val="-5"/>
          <w:sz w:val="21"/>
          <w:shd w:fill="E4E4E4" w:color="auto" w:val="clear"/>
        </w:rPr>
        <w:t>被保险人自本合同成立或合同效力恢复之日起二年内自杀，但自杀时无</w:t>
      </w:r>
      <w:r>
        <w:rPr>
          <w:color w:val="000000"/>
          <w:spacing w:val="12390"/>
          <w:sz w:val="21"/>
          <w:shd w:fill="E4E4E4" w:color="auto" w:val="clear"/>
        </w:rPr>
        <w:t> </w:t>
      </w:r>
      <w:r>
        <w:rPr>
          <w:color w:val="000000"/>
          <w:spacing w:val="-2"/>
          <w:sz w:val="21"/>
          <w:shd w:fill="E4E4E4" w:color="auto" w:val="clear"/>
        </w:rPr>
        <w:t>民事行为能力人的除外；</w:t>
      </w:r>
    </w:p>
    <w:p>
      <w:pPr>
        <w:pStyle w:val="ListParagraph"/>
        <w:numPr>
          <w:ilvl w:val="0"/>
          <w:numId w:val="4"/>
        </w:numPr>
        <w:tabs>
          <w:tab w:pos="3793" w:val="left" w:leader="none"/>
        </w:tabs>
        <w:spacing w:line="240" w:lineRule="auto" w:before="149" w:after="0"/>
        <w:ind w:left="3792" w:right="0" w:hanging="721"/>
        <w:jc w:val="left"/>
        <w:rPr>
          <w:sz w:val="21"/>
        </w:rPr>
      </w:pPr>
      <w:r>
        <w:rPr>
          <w:color w:val="000000"/>
          <w:spacing w:val="-2"/>
          <w:sz w:val="21"/>
          <w:shd w:fill="E4E4E4" w:color="auto" w:val="clear"/>
        </w:rPr>
        <w:t>被保险人服用、吸食或注射</w:t>
      </w:r>
      <w:r>
        <w:rPr>
          <w:b/>
          <w:color w:val="000000"/>
          <w:spacing w:val="-2"/>
          <w:sz w:val="21"/>
          <w:shd w:fill="E4E4E4" w:color="auto" w:val="clear"/>
        </w:rPr>
        <w:t>毒品</w:t>
      </w:r>
      <w:r>
        <w:rPr>
          <w:b/>
          <w:color w:val="000000"/>
          <w:spacing w:val="-5"/>
          <w:position w:val="11"/>
          <w:sz w:val="11"/>
        </w:rPr>
        <w:t>24</w:t>
      </w:r>
      <w:r>
        <w:rPr>
          <w:color w:val="000000"/>
          <w:spacing w:val="-5"/>
          <w:sz w:val="21"/>
          <w:shd w:fill="E4E4E4" w:color="auto" w:val="clear"/>
        </w:rPr>
        <w:t>；</w:t>
      </w:r>
    </w:p>
    <w:p>
      <w:pPr>
        <w:pStyle w:val="ListParagraph"/>
        <w:numPr>
          <w:ilvl w:val="0"/>
          <w:numId w:val="4"/>
        </w:numPr>
        <w:tabs>
          <w:tab w:pos="3793" w:val="left" w:leader="none"/>
        </w:tabs>
        <w:spacing w:line="240" w:lineRule="auto" w:before="177" w:after="0"/>
        <w:ind w:left="3792" w:right="0" w:hanging="721"/>
        <w:jc w:val="left"/>
        <w:rPr>
          <w:b/>
          <w:sz w:val="21"/>
        </w:rPr>
      </w:pPr>
      <w:r>
        <w:rPr>
          <w:color w:val="000000"/>
          <w:w w:val="95"/>
          <w:sz w:val="21"/>
          <w:shd w:fill="E4E4E4" w:color="auto" w:val="clear"/>
        </w:rPr>
        <w:t>被</w:t>
      </w:r>
      <w:r>
        <w:rPr>
          <w:color w:val="000000"/>
          <w:w w:val="95"/>
          <w:sz w:val="21"/>
          <w:shd w:fill="E4E4E4" w:color="auto" w:val="clear"/>
        </w:rPr>
        <w:t>保</w:t>
      </w:r>
      <w:r>
        <w:rPr>
          <w:color w:val="000000"/>
          <w:w w:val="95"/>
          <w:sz w:val="21"/>
          <w:shd w:fill="E4E4E4" w:color="auto" w:val="clear"/>
        </w:rPr>
        <w:t>险人</w:t>
      </w:r>
      <w:r>
        <w:rPr>
          <w:b/>
          <w:color w:val="000000"/>
          <w:w w:val="95"/>
          <w:sz w:val="21"/>
          <w:shd w:fill="E4E4E4" w:color="auto" w:val="clear"/>
        </w:rPr>
        <w:t>酒</w:t>
      </w:r>
      <w:r>
        <w:rPr>
          <w:b/>
          <w:color w:val="000000"/>
          <w:w w:val="95"/>
          <w:sz w:val="21"/>
          <w:shd w:fill="E4E4E4" w:color="auto" w:val="clear"/>
        </w:rPr>
        <w:t>后</w:t>
      </w:r>
      <w:r>
        <w:rPr>
          <w:b/>
          <w:color w:val="000000"/>
          <w:w w:val="95"/>
          <w:sz w:val="21"/>
          <w:shd w:fill="E4E4E4" w:color="auto" w:val="clear"/>
        </w:rPr>
        <w:t>驾</w:t>
      </w:r>
      <w:r>
        <w:rPr>
          <w:b/>
          <w:color w:val="000000"/>
          <w:w w:val="95"/>
          <w:sz w:val="21"/>
          <w:shd w:fill="E4E4E4" w:color="auto" w:val="clear"/>
        </w:rPr>
        <w:t>驶</w:t>
      </w:r>
      <w:r>
        <w:rPr>
          <w:b/>
          <w:color w:val="000000"/>
          <w:w w:val="95"/>
          <w:position w:val="11"/>
          <w:sz w:val="11"/>
        </w:rPr>
        <w:t>25</w:t>
      </w:r>
      <w:r>
        <w:rPr>
          <w:color w:val="000000"/>
          <w:spacing w:val="-53"/>
          <w:w w:val="95"/>
          <w:sz w:val="21"/>
          <w:shd w:fill="E4E4E4" w:color="auto" w:val="clear"/>
        </w:rPr>
        <w:t>、</w:t>
      </w:r>
      <w:r>
        <w:rPr>
          <w:b/>
          <w:color w:val="000000"/>
          <w:w w:val="95"/>
          <w:sz w:val="21"/>
          <w:shd w:fill="E4E4E4" w:color="auto" w:val="clear"/>
        </w:rPr>
        <w:t>无</w:t>
      </w:r>
      <w:r>
        <w:rPr>
          <w:b/>
          <w:color w:val="000000"/>
          <w:w w:val="95"/>
          <w:sz w:val="21"/>
          <w:shd w:fill="E4E4E4" w:color="auto" w:val="clear"/>
        </w:rPr>
        <w:t>合</w:t>
      </w:r>
      <w:r>
        <w:rPr>
          <w:b/>
          <w:color w:val="000000"/>
          <w:w w:val="95"/>
          <w:sz w:val="21"/>
          <w:shd w:fill="E4E4E4" w:color="auto" w:val="clear"/>
        </w:rPr>
        <w:t>法</w:t>
      </w:r>
      <w:r>
        <w:rPr>
          <w:b/>
          <w:color w:val="000000"/>
          <w:w w:val="95"/>
          <w:sz w:val="21"/>
          <w:shd w:fill="E4E4E4" w:color="auto" w:val="clear"/>
        </w:rPr>
        <w:t>有</w:t>
      </w:r>
      <w:r>
        <w:rPr>
          <w:b/>
          <w:color w:val="000000"/>
          <w:w w:val="95"/>
          <w:sz w:val="21"/>
          <w:shd w:fill="E4E4E4" w:color="auto" w:val="clear"/>
        </w:rPr>
        <w:t>效</w:t>
      </w:r>
      <w:r>
        <w:rPr>
          <w:b/>
          <w:color w:val="000000"/>
          <w:w w:val="95"/>
          <w:sz w:val="21"/>
          <w:shd w:fill="E4E4E4" w:color="auto" w:val="clear"/>
        </w:rPr>
        <w:t>驾</w:t>
      </w:r>
      <w:r>
        <w:rPr>
          <w:b/>
          <w:color w:val="000000"/>
          <w:w w:val="95"/>
          <w:sz w:val="21"/>
          <w:shd w:fill="E4E4E4" w:color="auto" w:val="clear"/>
        </w:rPr>
        <w:t>驶</w:t>
      </w:r>
      <w:r>
        <w:rPr>
          <w:b/>
          <w:color w:val="000000"/>
          <w:w w:val="95"/>
          <w:sz w:val="21"/>
          <w:shd w:fill="E4E4E4" w:color="auto" w:val="clear"/>
        </w:rPr>
        <w:t>证</w:t>
      </w:r>
      <w:r>
        <w:rPr>
          <w:b/>
          <w:color w:val="000000"/>
          <w:w w:val="95"/>
          <w:sz w:val="21"/>
          <w:shd w:fill="E4E4E4" w:color="auto" w:val="clear"/>
        </w:rPr>
        <w:t>驾</w:t>
      </w:r>
      <w:r>
        <w:rPr>
          <w:b/>
          <w:color w:val="000000"/>
          <w:w w:val="95"/>
          <w:sz w:val="21"/>
          <w:shd w:fill="E4E4E4" w:color="auto" w:val="clear"/>
        </w:rPr>
        <w:t>驶</w:t>
      </w:r>
      <w:r>
        <w:rPr>
          <w:b/>
          <w:color w:val="000000"/>
          <w:w w:val="95"/>
          <w:position w:val="11"/>
          <w:sz w:val="11"/>
        </w:rPr>
        <w:t>26</w:t>
      </w:r>
      <w:r>
        <w:rPr>
          <w:color w:val="000000"/>
          <w:w w:val="95"/>
          <w:sz w:val="21"/>
          <w:shd w:fill="E4E4E4" w:color="auto" w:val="clear"/>
        </w:rPr>
        <w:t>，或驾驶</w:t>
      </w:r>
      <w:r>
        <w:rPr>
          <w:b/>
          <w:color w:val="000000"/>
          <w:w w:val="95"/>
          <w:sz w:val="21"/>
          <w:shd w:fill="E4E4E4" w:color="auto" w:val="clear"/>
        </w:rPr>
        <w:t>无</w:t>
      </w:r>
      <w:r>
        <w:rPr>
          <w:b/>
          <w:color w:val="000000"/>
          <w:w w:val="95"/>
          <w:sz w:val="21"/>
          <w:shd w:fill="E4E4E4" w:color="auto" w:val="clear"/>
        </w:rPr>
        <w:t>合</w:t>
      </w:r>
      <w:r>
        <w:rPr>
          <w:b/>
          <w:color w:val="000000"/>
          <w:w w:val="95"/>
          <w:sz w:val="21"/>
          <w:shd w:fill="E4E4E4" w:color="auto" w:val="clear"/>
        </w:rPr>
        <w:t>法</w:t>
      </w:r>
      <w:r>
        <w:rPr>
          <w:b/>
          <w:color w:val="000000"/>
          <w:spacing w:val="-3"/>
          <w:w w:val="95"/>
          <w:sz w:val="21"/>
          <w:shd w:fill="E4E4E4" w:color="auto" w:val="clear"/>
        </w:rPr>
        <w:t>有效行驶</w:t>
      </w:r>
    </w:p>
    <w:p>
      <w:pPr>
        <w:pStyle w:val="BodyText"/>
        <w:rPr>
          <w:b/>
          <w:sz w:val="15"/>
        </w:rPr>
      </w:pPr>
      <w:r>
        <w:rPr/>
        <w:drawing>
          <wp:anchor distT="0" distB="0" distL="0" distR="0" allowOverlap="1" layoutInCell="1" locked="0" behindDoc="0" simplePos="0" relativeHeight="15">
            <wp:simplePos x="0" y="0"/>
            <wp:positionH relativeFrom="page">
              <wp:posOffset>685800</wp:posOffset>
            </wp:positionH>
            <wp:positionV relativeFrom="paragraph">
              <wp:posOffset>137672</wp:posOffset>
            </wp:positionV>
            <wp:extent cx="1829511" cy="6095"/>
            <wp:effectExtent l="0" t="0" r="0" b="0"/>
            <wp:wrapTopAndBottom/>
            <wp:docPr id="25" name="image6.png"/>
            <wp:cNvGraphicFramePr>
              <a:graphicFrameLocks noChangeAspect="1"/>
            </wp:cNvGraphicFramePr>
            <a:graphic>
              <a:graphicData uri="http://schemas.openxmlformats.org/drawingml/2006/picture">
                <pic:pic>
                  <pic:nvPicPr>
                    <pic:cNvPr id="26"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line="242" w:lineRule="auto" w:before="91"/>
        <w:ind w:left="160" w:right="4343" w:firstLine="0"/>
        <w:jc w:val="left"/>
        <w:rPr>
          <w:rFonts w:ascii="楷体" w:eastAsia="楷体"/>
          <w:sz w:val="18"/>
        </w:rPr>
      </w:pPr>
      <w:r>
        <w:rPr>
          <w:rFonts w:ascii="楷体" w:eastAsia="楷体"/>
          <w:spacing w:val="-7"/>
          <w:sz w:val="18"/>
        </w:rPr>
        <w:t>意外伤害之日起 </w:t>
      </w:r>
      <w:r>
        <w:rPr>
          <w:rFonts w:ascii="楷体" w:eastAsia="楷体"/>
          <w:spacing w:val="-2"/>
          <w:sz w:val="18"/>
        </w:rPr>
        <w:t>180</w:t>
      </w:r>
      <w:r>
        <w:rPr>
          <w:rFonts w:ascii="楷体" w:eastAsia="楷体"/>
          <w:spacing w:val="-11"/>
          <w:sz w:val="18"/>
        </w:rPr>
        <w:t> 天后治疗仍未结束，按第 </w:t>
      </w:r>
      <w:r>
        <w:rPr>
          <w:rFonts w:ascii="楷体" w:eastAsia="楷体"/>
          <w:spacing w:val="-2"/>
          <w:sz w:val="18"/>
        </w:rPr>
        <w:t>180</w:t>
      </w:r>
      <w:r>
        <w:rPr>
          <w:rFonts w:ascii="楷体" w:eastAsia="楷体"/>
          <w:spacing w:val="-8"/>
          <w:sz w:val="18"/>
        </w:rPr>
        <w:t> 天的身体情况进行鉴定。</w:t>
      </w:r>
      <w:r>
        <w:rPr>
          <w:rFonts w:ascii="楷体" w:eastAsia="楷体"/>
          <w:spacing w:val="-6"/>
          <w:sz w:val="18"/>
        </w:rPr>
        <w:t>注：</w:t>
      </w:r>
    </w:p>
    <w:p>
      <w:pPr>
        <w:spacing w:line="244" w:lineRule="auto" w:before="0"/>
        <w:ind w:left="160" w:right="536" w:firstLine="0"/>
        <w:jc w:val="left"/>
        <w:rPr>
          <w:rFonts w:ascii="楷体" w:hAnsi="楷体" w:eastAsia="楷体"/>
          <w:sz w:val="18"/>
        </w:rPr>
      </w:pPr>
      <w:r>
        <w:rPr>
          <w:rFonts w:ascii="楷体" w:hAnsi="楷体" w:eastAsia="楷体"/>
          <w:spacing w:val="-3"/>
          <w:sz w:val="18"/>
        </w:rPr>
        <w:t>①失明包括眼球缺失或摘除、或不能辨别明暗、或仅能辨别眼前手动者，最佳矫正视力低于国际标准视力表 </w:t>
      </w:r>
      <w:r>
        <w:rPr>
          <w:rFonts w:ascii="楷体" w:hAnsi="楷体" w:eastAsia="楷体"/>
          <w:spacing w:val="-2"/>
          <w:sz w:val="18"/>
        </w:rPr>
        <w:t>0.02，或视野半</w:t>
      </w:r>
      <w:r>
        <w:rPr>
          <w:rFonts w:ascii="楷体" w:hAnsi="楷体" w:eastAsia="楷体"/>
          <w:sz w:val="18"/>
        </w:rPr>
        <w:t>径小于 5 度，并由有资格的眼科医生出具医疗诊断证明。</w:t>
      </w:r>
    </w:p>
    <w:p>
      <w:pPr>
        <w:spacing w:line="228" w:lineRule="exact" w:before="0"/>
        <w:ind w:left="160" w:right="0" w:firstLine="0"/>
        <w:jc w:val="left"/>
        <w:rPr>
          <w:rFonts w:ascii="楷体" w:hAnsi="楷体" w:eastAsia="楷体"/>
          <w:sz w:val="18"/>
        </w:rPr>
      </w:pPr>
      <w:r>
        <w:rPr>
          <w:rFonts w:ascii="楷体" w:hAnsi="楷体" w:eastAsia="楷体"/>
          <w:spacing w:val="-1"/>
          <w:sz w:val="18"/>
        </w:rPr>
        <w:t>②关节机能的丧失系指关节永久完全僵硬、或麻痹、或关节不能随意识活动。</w:t>
      </w:r>
    </w:p>
    <w:p>
      <w:pPr>
        <w:spacing w:line="242" w:lineRule="auto" w:before="2"/>
        <w:ind w:left="160" w:right="538" w:firstLine="0"/>
        <w:jc w:val="left"/>
        <w:rPr>
          <w:rFonts w:ascii="楷体" w:hAnsi="楷体" w:eastAsia="楷体"/>
          <w:sz w:val="18"/>
        </w:rPr>
      </w:pPr>
      <w:r>
        <w:rPr>
          <w:rFonts w:ascii="楷体" w:hAnsi="楷体" w:eastAsia="楷体"/>
          <w:spacing w:val="-2"/>
          <w:sz w:val="18"/>
        </w:rPr>
        <w:t>③咀嚼、吞咽机能的丧失系指由于牙齿以外的原因引起器质障碍或机能障碍，以致不能作咀嚼、吞咽活动，除流质食物外不</w:t>
      </w:r>
      <w:r>
        <w:rPr>
          <w:rFonts w:ascii="楷体" w:hAnsi="楷体" w:eastAsia="楷体"/>
          <w:spacing w:val="-2"/>
          <w:sz w:val="18"/>
        </w:rPr>
        <w:t>能摄取或吞咽的状态。</w:t>
      </w:r>
    </w:p>
    <w:p>
      <w:pPr>
        <w:spacing w:line="242" w:lineRule="auto" w:before="3"/>
        <w:ind w:left="160" w:right="538" w:firstLine="0"/>
        <w:jc w:val="left"/>
        <w:rPr>
          <w:rFonts w:ascii="楷体" w:hAnsi="楷体" w:eastAsia="楷体"/>
          <w:sz w:val="18"/>
        </w:rPr>
      </w:pPr>
      <w:r>
        <w:rPr>
          <w:rFonts w:ascii="楷体" w:hAnsi="楷体" w:eastAsia="楷体"/>
          <w:spacing w:val="-2"/>
          <w:sz w:val="18"/>
        </w:rPr>
        <w:t>④为维持生命必要之日常生活活动，全需他人扶助系指食物摄取、大小便始末、穿脱衣服、起居、步行、入浴等，皆不能自</w:t>
      </w:r>
      <w:r>
        <w:rPr>
          <w:rFonts w:ascii="楷体" w:hAnsi="楷体" w:eastAsia="楷体"/>
          <w:spacing w:val="-2"/>
          <w:sz w:val="18"/>
        </w:rPr>
        <w:t>己为之，需要他人帮助。</w:t>
      </w:r>
    </w:p>
    <w:p>
      <w:pPr>
        <w:spacing w:line="230" w:lineRule="exact" w:before="0"/>
        <w:ind w:left="160" w:right="0" w:firstLine="0"/>
        <w:jc w:val="left"/>
        <w:rPr>
          <w:rFonts w:ascii="楷体" w:eastAsia="楷体"/>
          <w:sz w:val="18"/>
        </w:rPr>
      </w:pPr>
      <w:r>
        <w:rPr>
          <w:b/>
          <w:w w:val="95"/>
          <w:position w:val="9"/>
          <w:sz w:val="9"/>
        </w:rPr>
        <w:t>24</w:t>
      </w:r>
      <w:r>
        <w:rPr>
          <w:rFonts w:ascii="楷体" w:eastAsia="楷体" w:hint="eastAsia"/>
          <w:b/>
          <w:w w:val="95"/>
          <w:sz w:val="18"/>
        </w:rPr>
        <w:t>毒</w:t>
      </w:r>
      <w:r>
        <w:rPr>
          <w:rFonts w:ascii="楷体" w:eastAsia="楷体" w:hint="eastAsia"/>
          <w:b/>
          <w:w w:val="95"/>
          <w:sz w:val="18"/>
        </w:rPr>
        <w:t>品</w:t>
      </w:r>
      <w:r>
        <w:rPr>
          <w:rFonts w:ascii="楷体" w:eastAsia="楷体"/>
          <w:w w:val="95"/>
          <w:sz w:val="18"/>
        </w:rPr>
        <w:t>：</w:t>
      </w:r>
      <w:r>
        <w:rPr>
          <w:rFonts w:ascii="楷体" w:eastAsia="楷体"/>
          <w:w w:val="95"/>
          <w:sz w:val="18"/>
        </w:rPr>
        <w:t>指</w:t>
      </w:r>
      <w:r>
        <w:rPr>
          <w:rFonts w:ascii="楷体" w:eastAsia="楷体"/>
          <w:w w:val="95"/>
          <w:sz w:val="18"/>
        </w:rPr>
        <w:t>中</w:t>
      </w:r>
      <w:r>
        <w:rPr>
          <w:rFonts w:ascii="楷体" w:eastAsia="楷体"/>
          <w:w w:val="95"/>
          <w:sz w:val="18"/>
        </w:rPr>
        <w:t>华</w:t>
      </w:r>
      <w:r>
        <w:rPr>
          <w:rFonts w:ascii="楷体" w:eastAsia="楷体"/>
          <w:w w:val="95"/>
          <w:sz w:val="18"/>
        </w:rPr>
        <w:t>人</w:t>
      </w:r>
      <w:r>
        <w:rPr>
          <w:rFonts w:ascii="楷体" w:eastAsia="楷体"/>
          <w:w w:val="95"/>
          <w:sz w:val="18"/>
        </w:rPr>
        <w:t>民</w:t>
      </w:r>
      <w:r>
        <w:rPr>
          <w:rFonts w:ascii="楷体" w:eastAsia="楷体"/>
          <w:w w:val="95"/>
          <w:sz w:val="18"/>
        </w:rPr>
        <w:t>共</w:t>
      </w:r>
      <w:r>
        <w:rPr>
          <w:rFonts w:ascii="楷体" w:eastAsia="楷体"/>
          <w:w w:val="95"/>
          <w:sz w:val="18"/>
        </w:rPr>
        <w:t>和</w:t>
      </w:r>
      <w:r>
        <w:rPr>
          <w:rFonts w:ascii="楷体" w:eastAsia="楷体"/>
          <w:w w:val="95"/>
          <w:sz w:val="18"/>
        </w:rPr>
        <w:t>国</w:t>
      </w:r>
      <w:r>
        <w:rPr>
          <w:rFonts w:ascii="楷体" w:eastAsia="楷体"/>
          <w:w w:val="95"/>
          <w:sz w:val="18"/>
        </w:rPr>
        <w:t>刑</w:t>
      </w:r>
      <w:r>
        <w:rPr>
          <w:rFonts w:ascii="楷体" w:eastAsia="楷体"/>
          <w:w w:val="95"/>
          <w:sz w:val="18"/>
        </w:rPr>
        <w:t>法</w:t>
      </w:r>
      <w:r>
        <w:rPr>
          <w:rFonts w:ascii="楷体" w:eastAsia="楷体"/>
          <w:w w:val="95"/>
          <w:sz w:val="18"/>
        </w:rPr>
        <w:t>规</w:t>
      </w:r>
      <w:r>
        <w:rPr>
          <w:rFonts w:ascii="楷体" w:eastAsia="楷体"/>
          <w:w w:val="95"/>
          <w:sz w:val="18"/>
        </w:rPr>
        <w:t>定</w:t>
      </w:r>
      <w:r>
        <w:rPr>
          <w:rFonts w:ascii="楷体" w:eastAsia="楷体"/>
          <w:w w:val="95"/>
          <w:sz w:val="18"/>
        </w:rPr>
        <w:t>的</w:t>
      </w:r>
      <w:r>
        <w:rPr>
          <w:rFonts w:ascii="楷体" w:eastAsia="楷体"/>
          <w:w w:val="95"/>
          <w:sz w:val="18"/>
        </w:rPr>
        <w:t>鸦</w:t>
      </w:r>
      <w:r>
        <w:rPr>
          <w:rFonts w:ascii="楷体" w:eastAsia="楷体"/>
          <w:w w:val="95"/>
          <w:sz w:val="18"/>
        </w:rPr>
        <w:t>片</w:t>
      </w:r>
      <w:r>
        <w:rPr>
          <w:rFonts w:ascii="楷体" w:eastAsia="楷体"/>
          <w:w w:val="95"/>
          <w:sz w:val="18"/>
        </w:rPr>
        <w:t>、</w:t>
      </w:r>
      <w:r>
        <w:rPr>
          <w:rFonts w:ascii="楷体" w:eastAsia="楷体"/>
          <w:w w:val="95"/>
          <w:sz w:val="18"/>
        </w:rPr>
        <w:t>海</w:t>
      </w:r>
      <w:r>
        <w:rPr>
          <w:rFonts w:ascii="楷体" w:eastAsia="楷体"/>
          <w:w w:val="95"/>
          <w:sz w:val="18"/>
        </w:rPr>
        <w:t>洛</w:t>
      </w:r>
      <w:r>
        <w:rPr>
          <w:rFonts w:ascii="楷体" w:eastAsia="楷体"/>
          <w:w w:val="95"/>
          <w:sz w:val="18"/>
        </w:rPr>
        <w:t>因</w:t>
      </w:r>
      <w:r>
        <w:rPr>
          <w:rFonts w:ascii="楷体" w:eastAsia="楷体"/>
          <w:w w:val="95"/>
          <w:sz w:val="18"/>
        </w:rPr>
        <w:t>、</w:t>
      </w:r>
      <w:r>
        <w:rPr>
          <w:rFonts w:ascii="楷体" w:eastAsia="楷体"/>
          <w:w w:val="95"/>
          <w:sz w:val="18"/>
        </w:rPr>
        <w:t>甲</w:t>
      </w:r>
      <w:r>
        <w:rPr>
          <w:rFonts w:ascii="楷体" w:eastAsia="楷体"/>
          <w:w w:val="95"/>
          <w:sz w:val="18"/>
        </w:rPr>
        <w:t>基</w:t>
      </w:r>
      <w:r>
        <w:rPr>
          <w:rFonts w:ascii="楷体" w:eastAsia="楷体"/>
          <w:w w:val="95"/>
          <w:sz w:val="18"/>
        </w:rPr>
        <w:t>苯</w:t>
      </w:r>
      <w:r>
        <w:rPr>
          <w:rFonts w:ascii="楷体" w:eastAsia="楷体"/>
          <w:w w:val="95"/>
          <w:sz w:val="18"/>
        </w:rPr>
        <w:t>丙</w:t>
      </w:r>
      <w:r>
        <w:rPr>
          <w:rFonts w:ascii="楷体" w:eastAsia="楷体"/>
          <w:w w:val="95"/>
          <w:sz w:val="18"/>
        </w:rPr>
        <w:t>胺</w:t>
      </w:r>
      <w:r>
        <w:rPr>
          <w:rFonts w:ascii="楷体" w:eastAsia="楷体"/>
          <w:w w:val="95"/>
          <w:sz w:val="18"/>
        </w:rPr>
        <w:t>（</w:t>
      </w:r>
      <w:r>
        <w:rPr>
          <w:rFonts w:ascii="楷体" w:eastAsia="楷体"/>
          <w:w w:val="95"/>
          <w:sz w:val="18"/>
        </w:rPr>
        <w:t>冰</w:t>
      </w:r>
      <w:r>
        <w:rPr>
          <w:rFonts w:ascii="楷体" w:eastAsia="楷体"/>
          <w:w w:val="95"/>
          <w:sz w:val="18"/>
        </w:rPr>
        <w:t>毒</w:t>
      </w:r>
      <w:r>
        <w:rPr>
          <w:rFonts w:ascii="楷体" w:eastAsia="楷体"/>
          <w:spacing w:val="-89"/>
          <w:w w:val="95"/>
          <w:sz w:val="18"/>
        </w:rPr>
        <w:t>）</w:t>
      </w:r>
      <w:r>
        <w:rPr>
          <w:rFonts w:ascii="楷体" w:eastAsia="楷体"/>
          <w:w w:val="95"/>
          <w:sz w:val="18"/>
        </w:rPr>
        <w:t>、</w:t>
      </w:r>
      <w:r>
        <w:rPr>
          <w:rFonts w:ascii="楷体" w:eastAsia="楷体"/>
          <w:w w:val="95"/>
          <w:sz w:val="18"/>
        </w:rPr>
        <w:t>吗</w:t>
      </w:r>
      <w:r>
        <w:rPr>
          <w:rFonts w:ascii="楷体" w:eastAsia="楷体"/>
          <w:w w:val="95"/>
          <w:sz w:val="18"/>
        </w:rPr>
        <w:t>啡</w:t>
      </w:r>
      <w:r>
        <w:rPr>
          <w:rFonts w:ascii="楷体" w:eastAsia="楷体"/>
          <w:w w:val="95"/>
          <w:sz w:val="18"/>
        </w:rPr>
        <w:t>、</w:t>
      </w:r>
      <w:r>
        <w:rPr>
          <w:rFonts w:ascii="楷体" w:eastAsia="楷体"/>
          <w:w w:val="95"/>
          <w:sz w:val="18"/>
        </w:rPr>
        <w:t>大</w:t>
      </w:r>
      <w:r>
        <w:rPr>
          <w:rFonts w:ascii="楷体" w:eastAsia="楷体"/>
          <w:w w:val="95"/>
          <w:sz w:val="18"/>
        </w:rPr>
        <w:t>麻</w:t>
      </w:r>
      <w:r>
        <w:rPr>
          <w:rFonts w:ascii="楷体" w:eastAsia="楷体"/>
          <w:w w:val="95"/>
          <w:sz w:val="18"/>
        </w:rPr>
        <w:t>、</w:t>
      </w:r>
      <w:r>
        <w:rPr>
          <w:rFonts w:ascii="楷体" w:eastAsia="楷体"/>
          <w:w w:val="95"/>
          <w:sz w:val="18"/>
        </w:rPr>
        <w:t>可</w:t>
      </w:r>
      <w:r>
        <w:rPr>
          <w:rFonts w:ascii="楷体" w:eastAsia="楷体"/>
          <w:w w:val="95"/>
          <w:sz w:val="18"/>
        </w:rPr>
        <w:t>卡</w:t>
      </w:r>
      <w:r>
        <w:rPr>
          <w:rFonts w:ascii="楷体" w:eastAsia="楷体"/>
          <w:w w:val="95"/>
          <w:sz w:val="18"/>
        </w:rPr>
        <w:t>因</w:t>
      </w:r>
      <w:r>
        <w:rPr>
          <w:rFonts w:ascii="楷体" w:eastAsia="楷体"/>
          <w:w w:val="95"/>
          <w:sz w:val="18"/>
        </w:rPr>
        <w:t>以</w:t>
      </w:r>
      <w:r>
        <w:rPr>
          <w:rFonts w:ascii="楷体" w:eastAsia="楷体"/>
          <w:w w:val="95"/>
          <w:sz w:val="18"/>
        </w:rPr>
        <w:t>及</w:t>
      </w:r>
      <w:r>
        <w:rPr>
          <w:rFonts w:ascii="楷体" w:eastAsia="楷体"/>
          <w:w w:val="95"/>
          <w:sz w:val="18"/>
        </w:rPr>
        <w:t>国</w:t>
      </w:r>
      <w:r>
        <w:rPr>
          <w:rFonts w:ascii="楷体" w:eastAsia="楷体"/>
          <w:w w:val="95"/>
          <w:sz w:val="18"/>
        </w:rPr>
        <w:t>家</w:t>
      </w:r>
      <w:r>
        <w:rPr>
          <w:rFonts w:ascii="楷体" w:eastAsia="楷体"/>
          <w:w w:val="95"/>
          <w:sz w:val="18"/>
        </w:rPr>
        <w:t>规</w:t>
      </w:r>
      <w:r>
        <w:rPr>
          <w:rFonts w:ascii="楷体" w:eastAsia="楷体"/>
          <w:w w:val="95"/>
          <w:sz w:val="18"/>
        </w:rPr>
        <w:t>定</w:t>
      </w:r>
      <w:r>
        <w:rPr>
          <w:rFonts w:ascii="楷体" w:eastAsia="楷体"/>
          <w:w w:val="95"/>
          <w:sz w:val="18"/>
        </w:rPr>
        <w:t>管</w:t>
      </w:r>
      <w:r>
        <w:rPr>
          <w:rFonts w:ascii="楷体" w:eastAsia="楷体"/>
          <w:w w:val="95"/>
          <w:sz w:val="18"/>
        </w:rPr>
        <w:t>制</w:t>
      </w:r>
      <w:r>
        <w:rPr>
          <w:rFonts w:ascii="楷体" w:eastAsia="楷体"/>
          <w:w w:val="95"/>
          <w:sz w:val="18"/>
        </w:rPr>
        <w:t>的</w:t>
      </w:r>
      <w:r>
        <w:rPr>
          <w:rFonts w:ascii="楷体" w:eastAsia="楷体"/>
          <w:w w:val="95"/>
          <w:sz w:val="18"/>
        </w:rPr>
        <w:t>其</w:t>
      </w:r>
      <w:r>
        <w:rPr>
          <w:rFonts w:ascii="楷体" w:eastAsia="楷体"/>
          <w:spacing w:val="-5"/>
          <w:w w:val="95"/>
          <w:sz w:val="18"/>
        </w:rPr>
        <w:t>他能</w:t>
      </w:r>
    </w:p>
    <w:p>
      <w:pPr>
        <w:spacing w:before="4"/>
        <w:ind w:left="160" w:right="0" w:firstLine="0"/>
        <w:jc w:val="left"/>
        <w:rPr>
          <w:rFonts w:ascii="楷体" w:eastAsia="楷体"/>
          <w:sz w:val="18"/>
        </w:rPr>
      </w:pPr>
      <w:r>
        <w:rPr>
          <w:rFonts w:ascii="楷体" w:eastAsia="楷体"/>
          <w:spacing w:val="-1"/>
          <w:sz w:val="18"/>
        </w:rPr>
        <w:t>够使人形成瘾癖的麻醉药品和精神药品，但不包括由医生开具并遵医嘱使用的用于治疗疾病但含有毒品成分的处方药品。</w:t>
      </w:r>
    </w:p>
    <w:p>
      <w:pPr>
        <w:spacing w:before="2"/>
        <w:ind w:left="160" w:right="0" w:firstLine="0"/>
        <w:jc w:val="left"/>
        <w:rPr>
          <w:rFonts w:ascii="楷体" w:eastAsia="楷体"/>
          <w:sz w:val="18"/>
        </w:rPr>
      </w:pPr>
      <w:r>
        <w:rPr>
          <w:b/>
          <w:w w:val="95"/>
          <w:position w:val="9"/>
          <w:sz w:val="9"/>
        </w:rPr>
        <w:t>25</w:t>
      </w:r>
      <w:r>
        <w:rPr>
          <w:rFonts w:ascii="楷体" w:eastAsia="楷体" w:hint="eastAsia"/>
          <w:b/>
          <w:w w:val="95"/>
          <w:sz w:val="18"/>
        </w:rPr>
        <w:t>酒</w:t>
      </w:r>
      <w:r>
        <w:rPr>
          <w:rFonts w:ascii="楷体" w:eastAsia="楷体" w:hint="eastAsia"/>
          <w:b/>
          <w:w w:val="95"/>
          <w:sz w:val="18"/>
        </w:rPr>
        <w:t>后</w:t>
      </w:r>
      <w:r>
        <w:rPr>
          <w:rFonts w:ascii="楷体" w:eastAsia="楷体" w:hint="eastAsia"/>
          <w:b/>
          <w:w w:val="95"/>
          <w:sz w:val="18"/>
        </w:rPr>
        <w:t>驾</w:t>
      </w:r>
      <w:r>
        <w:rPr>
          <w:rFonts w:ascii="楷体" w:eastAsia="楷体" w:hint="eastAsia"/>
          <w:b/>
          <w:w w:val="95"/>
          <w:sz w:val="18"/>
        </w:rPr>
        <w:t>驶</w:t>
      </w:r>
      <w:r>
        <w:rPr>
          <w:rFonts w:ascii="楷体" w:eastAsia="楷体"/>
          <w:w w:val="95"/>
          <w:sz w:val="18"/>
        </w:rPr>
        <w:t>：</w:t>
      </w:r>
      <w:r>
        <w:rPr>
          <w:rFonts w:ascii="楷体" w:eastAsia="楷体"/>
          <w:w w:val="95"/>
          <w:sz w:val="18"/>
        </w:rPr>
        <w:t>指</w:t>
      </w:r>
      <w:r>
        <w:rPr>
          <w:rFonts w:ascii="楷体" w:eastAsia="楷体"/>
          <w:w w:val="95"/>
          <w:sz w:val="18"/>
        </w:rPr>
        <w:t>经</w:t>
      </w:r>
      <w:r>
        <w:rPr>
          <w:rFonts w:ascii="楷体" w:eastAsia="楷体"/>
          <w:w w:val="95"/>
          <w:sz w:val="18"/>
        </w:rPr>
        <w:t>检</w:t>
      </w:r>
      <w:r>
        <w:rPr>
          <w:rFonts w:ascii="楷体" w:eastAsia="楷体"/>
          <w:w w:val="95"/>
          <w:sz w:val="18"/>
        </w:rPr>
        <w:t>测</w:t>
      </w:r>
      <w:r>
        <w:rPr>
          <w:rFonts w:ascii="楷体" w:eastAsia="楷体"/>
          <w:w w:val="95"/>
          <w:sz w:val="18"/>
        </w:rPr>
        <w:t>或</w:t>
      </w:r>
      <w:r>
        <w:rPr>
          <w:rFonts w:ascii="楷体" w:eastAsia="楷体"/>
          <w:w w:val="95"/>
          <w:sz w:val="18"/>
        </w:rPr>
        <w:t>鉴</w:t>
      </w:r>
      <w:r>
        <w:rPr>
          <w:rFonts w:ascii="楷体" w:eastAsia="楷体"/>
          <w:w w:val="95"/>
          <w:sz w:val="18"/>
        </w:rPr>
        <w:t>定，</w:t>
      </w:r>
      <w:r>
        <w:rPr>
          <w:rFonts w:ascii="楷体" w:eastAsia="楷体"/>
          <w:w w:val="95"/>
          <w:sz w:val="18"/>
        </w:rPr>
        <w:t>发</w:t>
      </w:r>
      <w:r>
        <w:rPr>
          <w:rFonts w:ascii="楷体" w:eastAsia="楷体"/>
          <w:w w:val="95"/>
          <w:sz w:val="18"/>
        </w:rPr>
        <w:t>生</w:t>
      </w:r>
      <w:r>
        <w:rPr>
          <w:rFonts w:ascii="楷体" w:eastAsia="楷体"/>
          <w:w w:val="95"/>
          <w:sz w:val="18"/>
        </w:rPr>
        <w:t>事</w:t>
      </w:r>
      <w:r>
        <w:rPr>
          <w:rFonts w:ascii="楷体" w:eastAsia="楷体"/>
          <w:w w:val="95"/>
          <w:sz w:val="18"/>
        </w:rPr>
        <w:t>故</w:t>
      </w:r>
      <w:r>
        <w:rPr>
          <w:rFonts w:ascii="楷体" w:eastAsia="楷体"/>
          <w:w w:val="95"/>
          <w:sz w:val="18"/>
        </w:rPr>
        <w:t>时</w:t>
      </w:r>
      <w:r>
        <w:rPr>
          <w:rFonts w:ascii="楷体" w:eastAsia="楷体"/>
          <w:w w:val="95"/>
          <w:sz w:val="18"/>
        </w:rPr>
        <w:t>车</w:t>
      </w:r>
      <w:r>
        <w:rPr>
          <w:rFonts w:ascii="楷体" w:eastAsia="楷体"/>
          <w:w w:val="95"/>
          <w:sz w:val="18"/>
        </w:rPr>
        <w:t>辆</w:t>
      </w:r>
      <w:r>
        <w:rPr>
          <w:rFonts w:ascii="楷体" w:eastAsia="楷体"/>
          <w:w w:val="95"/>
          <w:sz w:val="18"/>
        </w:rPr>
        <w:t>驾</w:t>
      </w:r>
      <w:r>
        <w:rPr>
          <w:rFonts w:ascii="楷体" w:eastAsia="楷体"/>
          <w:w w:val="95"/>
          <w:sz w:val="18"/>
        </w:rPr>
        <w:t>驶</w:t>
      </w:r>
      <w:r>
        <w:rPr>
          <w:rFonts w:ascii="楷体" w:eastAsia="楷体"/>
          <w:w w:val="95"/>
          <w:sz w:val="18"/>
        </w:rPr>
        <w:t>人</w:t>
      </w:r>
      <w:r>
        <w:rPr>
          <w:rFonts w:ascii="楷体" w:eastAsia="楷体"/>
          <w:w w:val="95"/>
          <w:sz w:val="18"/>
        </w:rPr>
        <w:t>员</w:t>
      </w:r>
      <w:r>
        <w:rPr>
          <w:rFonts w:ascii="楷体" w:eastAsia="楷体"/>
          <w:w w:val="95"/>
          <w:sz w:val="18"/>
        </w:rPr>
        <w:t>每</w:t>
      </w:r>
      <w:r>
        <w:rPr>
          <w:rFonts w:ascii="楷体" w:eastAsia="楷体"/>
          <w:w w:val="95"/>
          <w:sz w:val="18"/>
        </w:rPr>
        <w:t>百</w:t>
      </w:r>
      <w:r>
        <w:rPr>
          <w:rFonts w:ascii="楷体" w:eastAsia="楷体"/>
          <w:w w:val="95"/>
          <w:sz w:val="18"/>
        </w:rPr>
        <w:t>毫</w:t>
      </w:r>
      <w:r>
        <w:rPr>
          <w:rFonts w:ascii="楷体" w:eastAsia="楷体"/>
          <w:w w:val="95"/>
          <w:sz w:val="18"/>
        </w:rPr>
        <w:t>升</w:t>
      </w:r>
      <w:r>
        <w:rPr>
          <w:rFonts w:ascii="楷体" w:eastAsia="楷体"/>
          <w:w w:val="95"/>
          <w:sz w:val="18"/>
        </w:rPr>
        <w:t>血</w:t>
      </w:r>
      <w:r>
        <w:rPr>
          <w:rFonts w:ascii="楷体" w:eastAsia="楷体"/>
          <w:w w:val="95"/>
          <w:sz w:val="18"/>
        </w:rPr>
        <w:t>液</w:t>
      </w:r>
      <w:r>
        <w:rPr>
          <w:rFonts w:ascii="楷体" w:eastAsia="楷体"/>
          <w:w w:val="95"/>
          <w:sz w:val="18"/>
        </w:rPr>
        <w:t>中</w:t>
      </w:r>
      <w:r>
        <w:rPr>
          <w:rFonts w:ascii="楷体" w:eastAsia="楷体"/>
          <w:w w:val="95"/>
          <w:sz w:val="18"/>
        </w:rPr>
        <w:t>的</w:t>
      </w:r>
      <w:r>
        <w:rPr>
          <w:rFonts w:ascii="楷体" w:eastAsia="楷体"/>
          <w:w w:val="95"/>
          <w:sz w:val="18"/>
        </w:rPr>
        <w:t>酒</w:t>
      </w:r>
      <w:r>
        <w:rPr>
          <w:rFonts w:ascii="楷体" w:eastAsia="楷体"/>
          <w:w w:val="95"/>
          <w:sz w:val="18"/>
        </w:rPr>
        <w:t>精</w:t>
      </w:r>
      <w:r>
        <w:rPr>
          <w:rFonts w:ascii="楷体" w:eastAsia="楷体"/>
          <w:w w:val="95"/>
          <w:sz w:val="18"/>
        </w:rPr>
        <w:t>含</w:t>
      </w:r>
      <w:r>
        <w:rPr>
          <w:rFonts w:ascii="楷体" w:eastAsia="楷体"/>
          <w:w w:val="95"/>
          <w:sz w:val="18"/>
        </w:rPr>
        <w:t>量</w:t>
      </w:r>
      <w:r>
        <w:rPr>
          <w:rFonts w:ascii="楷体" w:eastAsia="楷体"/>
          <w:w w:val="95"/>
          <w:sz w:val="18"/>
        </w:rPr>
        <w:t>达</w:t>
      </w:r>
      <w:r>
        <w:rPr>
          <w:rFonts w:ascii="楷体" w:eastAsia="楷体"/>
          <w:w w:val="95"/>
          <w:sz w:val="18"/>
        </w:rPr>
        <w:t>到</w:t>
      </w:r>
      <w:r>
        <w:rPr>
          <w:rFonts w:ascii="楷体" w:eastAsia="楷体"/>
          <w:w w:val="95"/>
          <w:sz w:val="18"/>
        </w:rPr>
        <w:t>或</w:t>
      </w:r>
      <w:r>
        <w:rPr>
          <w:rFonts w:ascii="楷体" w:eastAsia="楷体"/>
          <w:w w:val="95"/>
          <w:sz w:val="18"/>
        </w:rPr>
        <w:t>超</w:t>
      </w:r>
      <w:r>
        <w:rPr>
          <w:rFonts w:ascii="楷体" w:eastAsia="楷体"/>
          <w:w w:val="95"/>
          <w:sz w:val="18"/>
        </w:rPr>
        <w:t>过</w:t>
      </w:r>
      <w:r>
        <w:rPr>
          <w:rFonts w:ascii="楷体" w:eastAsia="楷体"/>
          <w:w w:val="95"/>
          <w:sz w:val="18"/>
        </w:rPr>
        <w:t>一</w:t>
      </w:r>
      <w:r>
        <w:rPr>
          <w:rFonts w:ascii="楷体" w:eastAsia="楷体"/>
          <w:w w:val="95"/>
          <w:sz w:val="18"/>
        </w:rPr>
        <w:t>定</w:t>
      </w:r>
      <w:r>
        <w:rPr>
          <w:rFonts w:ascii="楷体" w:eastAsia="楷体"/>
          <w:w w:val="95"/>
          <w:sz w:val="18"/>
        </w:rPr>
        <w:t>的</w:t>
      </w:r>
      <w:r>
        <w:rPr>
          <w:rFonts w:ascii="楷体" w:eastAsia="楷体"/>
          <w:w w:val="95"/>
          <w:sz w:val="18"/>
        </w:rPr>
        <w:t>标</w:t>
      </w:r>
      <w:r>
        <w:rPr>
          <w:rFonts w:ascii="楷体" w:eastAsia="楷体"/>
          <w:w w:val="95"/>
          <w:sz w:val="18"/>
        </w:rPr>
        <w:t>准</w:t>
      </w:r>
      <w:r>
        <w:rPr>
          <w:rFonts w:ascii="楷体" w:eastAsia="楷体"/>
          <w:w w:val="95"/>
          <w:sz w:val="18"/>
        </w:rPr>
        <w:t>，</w:t>
      </w:r>
      <w:r>
        <w:rPr>
          <w:rFonts w:ascii="楷体" w:eastAsia="楷体"/>
          <w:w w:val="95"/>
          <w:sz w:val="18"/>
        </w:rPr>
        <w:t>公</w:t>
      </w:r>
      <w:r>
        <w:rPr>
          <w:rFonts w:ascii="楷体" w:eastAsia="楷体"/>
          <w:w w:val="95"/>
          <w:sz w:val="18"/>
        </w:rPr>
        <w:t>安</w:t>
      </w:r>
      <w:r>
        <w:rPr>
          <w:rFonts w:ascii="楷体" w:eastAsia="楷体"/>
          <w:w w:val="95"/>
          <w:sz w:val="18"/>
        </w:rPr>
        <w:t>机</w:t>
      </w:r>
      <w:r>
        <w:rPr>
          <w:rFonts w:ascii="楷体" w:eastAsia="楷体"/>
          <w:w w:val="95"/>
          <w:sz w:val="18"/>
        </w:rPr>
        <w:t>关</w:t>
      </w:r>
      <w:r>
        <w:rPr>
          <w:rFonts w:ascii="楷体" w:eastAsia="楷体"/>
          <w:w w:val="95"/>
          <w:sz w:val="18"/>
        </w:rPr>
        <w:t>交</w:t>
      </w:r>
      <w:r>
        <w:rPr>
          <w:rFonts w:ascii="楷体" w:eastAsia="楷体"/>
          <w:spacing w:val="-5"/>
          <w:w w:val="95"/>
          <w:sz w:val="18"/>
        </w:rPr>
        <w:t>通管</w:t>
      </w:r>
    </w:p>
    <w:p>
      <w:pPr>
        <w:spacing w:before="2"/>
        <w:ind w:left="160" w:right="0" w:firstLine="0"/>
        <w:jc w:val="left"/>
        <w:rPr>
          <w:rFonts w:ascii="楷体" w:eastAsia="楷体"/>
          <w:sz w:val="18"/>
        </w:rPr>
      </w:pPr>
      <w:r>
        <w:rPr>
          <w:rFonts w:ascii="楷体" w:eastAsia="楷体"/>
          <w:spacing w:val="-1"/>
          <w:sz w:val="18"/>
        </w:rPr>
        <w:t>理部门依据《道路交通安全法》的规定认定为饮酒后驾驶或醉酒后驾驶。</w:t>
      </w:r>
    </w:p>
    <w:p>
      <w:pPr>
        <w:spacing w:before="3"/>
        <w:ind w:left="160" w:right="0" w:firstLine="0"/>
        <w:jc w:val="left"/>
        <w:rPr>
          <w:rFonts w:ascii="楷体" w:eastAsia="楷体"/>
          <w:sz w:val="18"/>
        </w:rPr>
      </w:pPr>
      <w:r>
        <w:rPr>
          <w:b/>
          <w:w w:val="95"/>
          <w:position w:val="9"/>
          <w:sz w:val="9"/>
        </w:rPr>
        <w:t>26</w:t>
      </w:r>
      <w:r>
        <w:rPr>
          <w:rFonts w:ascii="楷体" w:eastAsia="楷体" w:hint="eastAsia"/>
          <w:b/>
          <w:w w:val="95"/>
          <w:sz w:val="18"/>
        </w:rPr>
        <w:t>无合法有效驾驶</w:t>
      </w:r>
      <w:r>
        <w:rPr>
          <w:rFonts w:ascii="楷体" w:eastAsia="楷体" w:hint="eastAsia"/>
          <w:b/>
          <w:w w:val="95"/>
          <w:sz w:val="18"/>
        </w:rPr>
        <w:t>证</w:t>
      </w:r>
      <w:r>
        <w:rPr>
          <w:rFonts w:ascii="楷体" w:eastAsia="楷体" w:hint="eastAsia"/>
          <w:b/>
          <w:w w:val="95"/>
          <w:sz w:val="18"/>
        </w:rPr>
        <w:t>驾</w:t>
      </w:r>
      <w:r>
        <w:rPr>
          <w:rFonts w:ascii="楷体" w:eastAsia="楷体" w:hint="eastAsia"/>
          <w:b/>
          <w:w w:val="95"/>
          <w:sz w:val="18"/>
        </w:rPr>
        <w:t>驶</w:t>
      </w:r>
      <w:r>
        <w:rPr>
          <w:rFonts w:ascii="楷体" w:eastAsia="楷体"/>
          <w:w w:val="95"/>
          <w:sz w:val="18"/>
        </w:rPr>
        <w:t>：</w:t>
      </w:r>
      <w:r>
        <w:rPr>
          <w:rFonts w:ascii="楷体" w:eastAsia="楷体"/>
          <w:w w:val="95"/>
          <w:sz w:val="18"/>
        </w:rPr>
        <w:t>指</w:t>
      </w:r>
      <w:r>
        <w:rPr>
          <w:rFonts w:ascii="楷体" w:eastAsia="楷体"/>
          <w:w w:val="95"/>
          <w:sz w:val="18"/>
        </w:rPr>
        <w:t>下</w:t>
      </w:r>
      <w:r>
        <w:rPr>
          <w:rFonts w:ascii="楷体" w:eastAsia="楷体"/>
          <w:w w:val="95"/>
          <w:sz w:val="18"/>
        </w:rPr>
        <w:t>列</w:t>
      </w:r>
      <w:r>
        <w:rPr>
          <w:rFonts w:ascii="楷体" w:eastAsia="楷体"/>
          <w:w w:val="95"/>
          <w:sz w:val="18"/>
        </w:rPr>
        <w:t>任</w:t>
      </w:r>
      <w:r>
        <w:rPr>
          <w:rFonts w:ascii="楷体" w:eastAsia="楷体"/>
          <w:w w:val="95"/>
          <w:sz w:val="18"/>
        </w:rPr>
        <w:t>何</w:t>
      </w:r>
      <w:r>
        <w:rPr>
          <w:rFonts w:ascii="楷体" w:eastAsia="楷体"/>
          <w:w w:val="95"/>
          <w:sz w:val="18"/>
        </w:rPr>
        <w:t>驾</w:t>
      </w:r>
      <w:r>
        <w:rPr>
          <w:rFonts w:ascii="楷体" w:eastAsia="楷体"/>
          <w:w w:val="95"/>
          <w:sz w:val="18"/>
        </w:rPr>
        <w:t>驶</w:t>
      </w:r>
      <w:r>
        <w:rPr>
          <w:rFonts w:ascii="楷体" w:eastAsia="楷体"/>
          <w:w w:val="95"/>
          <w:sz w:val="18"/>
        </w:rPr>
        <w:t>情</w:t>
      </w:r>
      <w:r>
        <w:rPr>
          <w:rFonts w:ascii="楷体" w:eastAsia="楷体"/>
          <w:w w:val="95"/>
          <w:sz w:val="18"/>
        </w:rPr>
        <w:t>形</w:t>
      </w:r>
      <w:r>
        <w:rPr>
          <w:rFonts w:ascii="楷体" w:eastAsia="楷体"/>
          <w:w w:val="95"/>
          <w:sz w:val="18"/>
        </w:rPr>
        <w:t>：（1）</w:t>
      </w:r>
      <w:r>
        <w:rPr>
          <w:rFonts w:ascii="楷体" w:eastAsia="楷体"/>
          <w:w w:val="95"/>
          <w:sz w:val="18"/>
        </w:rPr>
        <w:t>没</w:t>
      </w:r>
      <w:r>
        <w:rPr>
          <w:rFonts w:ascii="楷体" w:eastAsia="楷体"/>
          <w:w w:val="95"/>
          <w:sz w:val="18"/>
        </w:rPr>
        <w:t>有</w:t>
      </w:r>
      <w:r>
        <w:rPr>
          <w:rFonts w:ascii="楷体" w:eastAsia="楷体"/>
          <w:w w:val="95"/>
          <w:sz w:val="18"/>
        </w:rPr>
        <w:t>取</w:t>
      </w:r>
      <w:r>
        <w:rPr>
          <w:rFonts w:ascii="楷体" w:eastAsia="楷体"/>
          <w:w w:val="95"/>
          <w:sz w:val="18"/>
        </w:rPr>
        <w:t>得</w:t>
      </w:r>
      <w:r>
        <w:rPr>
          <w:rFonts w:ascii="楷体" w:eastAsia="楷体"/>
          <w:w w:val="95"/>
          <w:sz w:val="18"/>
        </w:rPr>
        <w:t>驾</w:t>
      </w:r>
      <w:r>
        <w:rPr>
          <w:rFonts w:ascii="楷体" w:eastAsia="楷体"/>
          <w:w w:val="95"/>
          <w:sz w:val="18"/>
        </w:rPr>
        <w:t>驶</w:t>
      </w:r>
      <w:r>
        <w:rPr>
          <w:rFonts w:ascii="楷体" w:eastAsia="楷体"/>
          <w:w w:val="95"/>
          <w:sz w:val="18"/>
        </w:rPr>
        <w:t>资</w:t>
      </w:r>
      <w:r>
        <w:rPr>
          <w:rFonts w:ascii="楷体" w:eastAsia="楷体"/>
          <w:w w:val="95"/>
          <w:sz w:val="18"/>
        </w:rPr>
        <w:t>格</w:t>
      </w:r>
      <w:r>
        <w:rPr>
          <w:rFonts w:ascii="楷体" w:eastAsia="楷体"/>
          <w:w w:val="95"/>
          <w:sz w:val="18"/>
        </w:rPr>
        <w:t>；（2）</w:t>
      </w:r>
      <w:r>
        <w:rPr>
          <w:rFonts w:ascii="楷体" w:eastAsia="楷体"/>
          <w:w w:val="95"/>
          <w:sz w:val="18"/>
        </w:rPr>
        <w:t>驾</w:t>
      </w:r>
      <w:r>
        <w:rPr>
          <w:rFonts w:ascii="楷体" w:eastAsia="楷体"/>
          <w:w w:val="95"/>
          <w:sz w:val="18"/>
        </w:rPr>
        <w:t>驶</w:t>
      </w:r>
      <w:r>
        <w:rPr>
          <w:rFonts w:ascii="楷体" w:eastAsia="楷体"/>
          <w:w w:val="95"/>
          <w:sz w:val="18"/>
        </w:rPr>
        <w:t>与</w:t>
      </w:r>
      <w:r>
        <w:rPr>
          <w:rFonts w:ascii="楷体" w:eastAsia="楷体"/>
          <w:w w:val="95"/>
          <w:sz w:val="18"/>
        </w:rPr>
        <w:t>驾</w:t>
      </w:r>
      <w:r>
        <w:rPr>
          <w:rFonts w:ascii="楷体" w:eastAsia="楷体"/>
          <w:w w:val="95"/>
          <w:sz w:val="18"/>
        </w:rPr>
        <w:t>驶</w:t>
      </w:r>
      <w:r>
        <w:rPr>
          <w:rFonts w:ascii="楷体" w:eastAsia="楷体"/>
          <w:w w:val="95"/>
          <w:sz w:val="18"/>
        </w:rPr>
        <w:t>证</w:t>
      </w:r>
      <w:r>
        <w:rPr>
          <w:rFonts w:ascii="楷体" w:eastAsia="楷体"/>
          <w:w w:val="95"/>
          <w:sz w:val="18"/>
        </w:rPr>
        <w:t>准</w:t>
      </w:r>
      <w:r>
        <w:rPr>
          <w:rFonts w:ascii="楷体" w:eastAsia="楷体"/>
          <w:w w:val="95"/>
          <w:sz w:val="18"/>
        </w:rPr>
        <w:t>驾</w:t>
      </w:r>
      <w:r>
        <w:rPr>
          <w:rFonts w:ascii="楷体" w:eastAsia="楷体"/>
          <w:w w:val="95"/>
          <w:sz w:val="18"/>
        </w:rPr>
        <w:t>车</w:t>
      </w:r>
      <w:r>
        <w:rPr>
          <w:rFonts w:ascii="楷体" w:eastAsia="楷体"/>
          <w:w w:val="95"/>
          <w:sz w:val="18"/>
        </w:rPr>
        <w:t>型</w:t>
      </w:r>
      <w:r>
        <w:rPr>
          <w:rFonts w:ascii="楷体" w:eastAsia="楷体"/>
          <w:w w:val="95"/>
          <w:sz w:val="18"/>
        </w:rPr>
        <w:t>不</w:t>
      </w:r>
      <w:r>
        <w:rPr>
          <w:rFonts w:ascii="楷体" w:eastAsia="楷体"/>
          <w:w w:val="95"/>
          <w:sz w:val="18"/>
        </w:rPr>
        <w:t>相</w:t>
      </w:r>
      <w:r>
        <w:rPr>
          <w:rFonts w:ascii="楷体" w:eastAsia="楷体"/>
          <w:w w:val="95"/>
          <w:sz w:val="18"/>
        </w:rPr>
        <w:t>符</w:t>
      </w:r>
      <w:r>
        <w:rPr>
          <w:rFonts w:ascii="楷体" w:eastAsia="楷体"/>
          <w:w w:val="95"/>
          <w:sz w:val="18"/>
        </w:rPr>
        <w:t>合</w:t>
      </w:r>
      <w:r>
        <w:rPr>
          <w:rFonts w:ascii="楷体" w:eastAsia="楷体"/>
          <w:w w:val="95"/>
          <w:sz w:val="18"/>
        </w:rPr>
        <w:t>的</w:t>
      </w:r>
      <w:r>
        <w:rPr>
          <w:rFonts w:ascii="楷体" w:eastAsia="楷体"/>
          <w:w w:val="95"/>
          <w:sz w:val="18"/>
        </w:rPr>
        <w:t>车</w:t>
      </w:r>
      <w:r>
        <w:rPr>
          <w:rFonts w:ascii="楷体" w:eastAsia="楷体"/>
          <w:w w:val="95"/>
          <w:sz w:val="18"/>
        </w:rPr>
        <w:t>辆</w:t>
      </w:r>
      <w:r>
        <w:rPr>
          <w:rFonts w:ascii="楷体" w:eastAsia="楷体"/>
          <w:spacing w:val="-4"/>
          <w:w w:val="95"/>
          <w:sz w:val="18"/>
        </w:rPr>
        <w:t>；（3）</w:t>
      </w:r>
    </w:p>
    <w:p>
      <w:pPr>
        <w:spacing w:before="4"/>
        <w:ind w:left="160" w:right="0" w:firstLine="0"/>
        <w:jc w:val="left"/>
        <w:rPr>
          <w:rFonts w:ascii="楷体" w:eastAsia="楷体"/>
          <w:sz w:val="18"/>
        </w:rPr>
      </w:pPr>
      <w:r>
        <w:rPr>
          <w:rFonts w:ascii="楷体" w:eastAsia="楷体"/>
          <w:spacing w:val="-2"/>
          <w:sz w:val="18"/>
        </w:rPr>
        <w:t>持审验不合格的驾驶证驾驶；（4）</w:t>
      </w:r>
      <w:r>
        <w:rPr>
          <w:rFonts w:ascii="楷体" w:eastAsia="楷体"/>
          <w:spacing w:val="-3"/>
          <w:sz w:val="18"/>
        </w:rPr>
        <w:t>持学习驾驶证学习驾车时，无教练员随车指导，或不按指定时间、路线学习驾车。</w:t>
      </w:r>
    </w:p>
    <w:p>
      <w:pPr>
        <w:spacing w:after="0"/>
        <w:jc w:val="left"/>
        <w:rPr>
          <w:rFonts w:ascii="楷体" w:eastAsia="楷体"/>
          <w:sz w:val="18"/>
        </w:rPr>
        <w:sectPr>
          <w:pgSz w:w="11910" w:h="16840"/>
          <w:pgMar w:header="0" w:footer="659" w:top="1400" w:bottom="840" w:left="920" w:right="540"/>
        </w:sectPr>
      </w:pPr>
    </w:p>
    <w:p>
      <w:pPr>
        <w:spacing w:before="61"/>
        <w:ind w:left="643" w:right="2007" w:firstLine="0"/>
        <w:jc w:val="center"/>
        <w:rPr>
          <w:sz w:val="21"/>
        </w:rPr>
      </w:pPr>
      <w:r>
        <w:rPr>
          <w:b/>
          <w:color w:val="000000"/>
          <w:w w:val="95"/>
          <w:sz w:val="21"/>
          <w:shd w:fill="E4E4E4" w:color="auto" w:val="clear"/>
        </w:rPr>
        <w:t>证</w:t>
      </w:r>
      <w:r>
        <w:rPr>
          <w:b/>
          <w:color w:val="000000"/>
          <w:w w:val="95"/>
          <w:position w:val="11"/>
          <w:sz w:val="11"/>
        </w:rPr>
        <w:t>27</w:t>
      </w:r>
      <w:r>
        <w:rPr>
          <w:color w:val="000000"/>
          <w:w w:val="95"/>
          <w:sz w:val="21"/>
          <w:shd w:fill="E4E4E4" w:color="auto" w:val="clear"/>
        </w:rPr>
        <w:t>的</w:t>
      </w:r>
      <w:r>
        <w:rPr>
          <w:b/>
          <w:color w:val="000000"/>
          <w:w w:val="95"/>
          <w:sz w:val="21"/>
          <w:shd w:fill="E4E4E4" w:color="auto" w:val="clear"/>
        </w:rPr>
        <w:t>机</w:t>
      </w:r>
      <w:r>
        <w:rPr>
          <w:b/>
          <w:color w:val="000000"/>
          <w:w w:val="95"/>
          <w:sz w:val="21"/>
          <w:shd w:fill="E4E4E4" w:color="auto" w:val="clear"/>
        </w:rPr>
        <w:t>动</w:t>
      </w:r>
      <w:r>
        <w:rPr>
          <w:b/>
          <w:color w:val="000000"/>
          <w:w w:val="95"/>
          <w:sz w:val="21"/>
          <w:shd w:fill="E4E4E4" w:color="auto" w:val="clear"/>
        </w:rPr>
        <w:t>车</w:t>
      </w:r>
      <w:r>
        <w:rPr>
          <w:b/>
          <w:color w:val="000000"/>
          <w:spacing w:val="-5"/>
          <w:w w:val="95"/>
          <w:position w:val="11"/>
          <w:sz w:val="11"/>
        </w:rPr>
        <w:t>28</w:t>
      </w:r>
      <w:r>
        <w:rPr>
          <w:color w:val="000000"/>
          <w:spacing w:val="-5"/>
          <w:w w:val="95"/>
          <w:sz w:val="21"/>
          <w:shd w:fill="E4E4E4" w:color="auto" w:val="clear"/>
        </w:rPr>
        <w:t>；</w:t>
      </w:r>
    </w:p>
    <w:p>
      <w:pPr>
        <w:pStyle w:val="BodyText"/>
        <w:spacing w:before="1"/>
        <w:rPr>
          <w:sz w:val="9"/>
        </w:rPr>
      </w:pPr>
    </w:p>
    <w:p>
      <w:pPr>
        <w:pStyle w:val="ListParagraph"/>
        <w:numPr>
          <w:ilvl w:val="0"/>
          <w:numId w:val="4"/>
        </w:numPr>
        <w:tabs>
          <w:tab w:pos="3793" w:val="left" w:leader="none"/>
        </w:tabs>
        <w:spacing w:line="240" w:lineRule="auto" w:before="71" w:after="0"/>
        <w:ind w:left="3792" w:right="0" w:hanging="721"/>
        <w:jc w:val="left"/>
        <w:rPr>
          <w:sz w:val="21"/>
        </w:rPr>
      </w:pPr>
      <w:r>
        <w:rPr>
          <w:color w:val="000000"/>
          <w:spacing w:val="-3"/>
          <w:sz w:val="21"/>
          <w:shd w:fill="E4E4E4" w:color="auto" w:val="clear"/>
        </w:rPr>
        <w:t>核爆炸、核辐射或核污染；</w:t>
      </w:r>
    </w:p>
    <w:p>
      <w:pPr>
        <w:pStyle w:val="ListParagraph"/>
        <w:numPr>
          <w:ilvl w:val="0"/>
          <w:numId w:val="4"/>
        </w:numPr>
        <w:tabs>
          <w:tab w:pos="3793" w:val="left" w:leader="none"/>
        </w:tabs>
        <w:spacing w:line="240" w:lineRule="auto" w:before="177" w:after="0"/>
        <w:ind w:left="3792" w:right="0" w:hanging="721"/>
        <w:jc w:val="left"/>
        <w:rPr>
          <w:sz w:val="21"/>
        </w:rPr>
      </w:pPr>
      <w:r>
        <w:rPr>
          <w:b/>
          <w:color w:val="000000"/>
          <w:w w:val="95"/>
          <w:sz w:val="21"/>
          <w:shd w:fill="E4E4E4" w:color="auto" w:val="clear"/>
        </w:rPr>
        <w:t>战</w:t>
      </w:r>
      <w:r>
        <w:rPr>
          <w:b/>
          <w:color w:val="000000"/>
          <w:w w:val="95"/>
          <w:sz w:val="21"/>
          <w:shd w:fill="E4E4E4" w:color="auto" w:val="clear"/>
        </w:rPr>
        <w:t>争</w:t>
      </w:r>
      <w:r>
        <w:rPr>
          <w:b/>
          <w:color w:val="000000"/>
          <w:w w:val="95"/>
          <w:position w:val="11"/>
          <w:sz w:val="11"/>
        </w:rPr>
        <w:t>29</w:t>
      </w:r>
      <w:r>
        <w:rPr>
          <w:color w:val="000000"/>
          <w:w w:val="95"/>
          <w:sz w:val="21"/>
          <w:shd w:fill="E4E4E4" w:color="auto" w:val="clear"/>
        </w:rPr>
        <w:t>、</w:t>
      </w:r>
      <w:r>
        <w:rPr>
          <w:b/>
          <w:color w:val="000000"/>
          <w:w w:val="95"/>
          <w:sz w:val="21"/>
          <w:shd w:fill="E4E4E4" w:color="auto" w:val="clear"/>
        </w:rPr>
        <w:t>军</w:t>
      </w:r>
      <w:r>
        <w:rPr>
          <w:b/>
          <w:color w:val="000000"/>
          <w:w w:val="95"/>
          <w:sz w:val="21"/>
          <w:shd w:fill="E4E4E4" w:color="auto" w:val="clear"/>
        </w:rPr>
        <w:t>事</w:t>
      </w:r>
      <w:r>
        <w:rPr>
          <w:b/>
          <w:color w:val="000000"/>
          <w:w w:val="95"/>
          <w:sz w:val="21"/>
          <w:shd w:fill="E4E4E4" w:color="auto" w:val="clear"/>
        </w:rPr>
        <w:t>冲</w:t>
      </w:r>
      <w:r>
        <w:rPr>
          <w:b/>
          <w:color w:val="000000"/>
          <w:w w:val="95"/>
          <w:sz w:val="21"/>
          <w:shd w:fill="E4E4E4" w:color="auto" w:val="clear"/>
        </w:rPr>
        <w:t>突</w:t>
      </w:r>
      <w:r>
        <w:rPr>
          <w:b/>
          <w:color w:val="000000"/>
          <w:w w:val="95"/>
          <w:position w:val="11"/>
          <w:sz w:val="11"/>
        </w:rPr>
        <w:t>30</w:t>
      </w:r>
      <w:r>
        <w:rPr>
          <w:color w:val="000000"/>
          <w:w w:val="95"/>
          <w:sz w:val="21"/>
          <w:shd w:fill="E4E4E4" w:color="auto" w:val="clear"/>
        </w:rPr>
        <w:t>、</w:t>
      </w:r>
      <w:r>
        <w:rPr>
          <w:b/>
          <w:color w:val="000000"/>
          <w:w w:val="95"/>
          <w:sz w:val="21"/>
          <w:shd w:fill="E4E4E4" w:color="auto" w:val="clear"/>
        </w:rPr>
        <w:t>恐</w:t>
      </w:r>
      <w:r>
        <w:rPr>
          <w:b/>
          <w:color w:val="000000"/>
          <w:w w:val="95"/>
          <w:sz w:val="21"/>
          <w:shd w:fill="E4E4E4" w:color="auto" w:val="clear"/>
        </w:rPr>
        <w:t>怖</w:t>
      </w:r>
      <w:r>
        <w:rPr>
          <w:b/>
          <w:color w:val="000000"/>
          <w:w w:val="95"/>
          <w:sz w:val="21"/>
          <w:shd w:fill="E4E4E4" w:color="auto" w:val="clear"/>
        </w:rPr>
        <w:t>主</w:t>
      </w:r>
      <w:r>
        <w:rPr>
          <w:b/>
          <w:color w:val="000000"/>
          <w:w w:val="95"/>
          <w:sz w:val="21"/>
          <w:shd w:fill="E4E4E4" w:color="auto" w:val="clear"/>
        </w:rPr>
        <w:t>义</w:t>
      </w:r>
      <w:r>
        <w:rPr>
          <w:b/>
          <w:color w:val="000000"/>
          <w:w w:val="95"/>
          <w:sz w:val="21"/>
          <w:shd w:fill="E4E4E4" w:color="auto" w:val="clear"/>
        </w:rPr>
        <w:t>活</w:t>
      </w:r>
      <w:r>
        <w:rPr>
          <w:b/>
          <w:color w:val="000000"/>
          <w:w w:val="95"/>
          <w:sz w:val="21"/>
          <w:shd w:fill="E4E4E4" w:color="auto" w:val="clear"/>
        </w:rPr>
        <w:t>动</w:t>
      </w:r>
      <w:r>
        <w:rPr>
          <w:b/>
          <w:color w:val="000000"/>
          <w:w w:val="95"/>
          <w:position w:val="11"/>
          <w:sz w:val="11"/>
        </w:rPr>
        <w:t>31</w:t>
      </w:r>
      <w:r>
        <w:rPr>
          <w:color w:val="000000"/>
          <w:w w:val="95"/>
          <w:sz w:val="21"/>
          <w:shd w:fill="E4E4E4" w:color="auto" w:val="clear"/>
        </w:rPr>
        <w:t>、</w:t>
      </w:r>
      <w:r>
        <w:rPr>
          <w:b/>
          <w:color w:val="000000"/>
          <w:w w:val="95"/>
          <w:sz w:val="21"/>
          <w:shd w:fill="E4E4E4" w:color="auto" w:val="clear"/>
        </w:rPr>
        <w:t>暴</w:t>
      </w:r>
      <w:r>
        <w:rPr>
          <w:b/>
          <w:color w:val="000000"/>
          <w:w w:val="95"/>
          <w:sz w:val="21"/>
          <w:shd w:fill="E4E4E4" w:color="auto" w:val="clear"/>
        </w:rPr>
        <w:t>乱</w:t>
      </w:r>
      <w:r>
        <w:rPr>
          <w:b/>
          <w:color w:val="000000"/>
          <w:w w:val="95"/>
          <w:position w:val="11"/>
          <w:sz w:val="11"/>
        </w:rPr>
        <w:t>32</w:t>
      </w:r>
      <w:r>
        <w:rPr>
          <w:color w:val="000000"/>
          <w:spacing w:val="-2"/>
          <w:w w:val="95"/>
          <w:sz w:val="21"/>
          <w:shd w:fill="E4E4E4" w:color="auto" w:val="clear"/>
        </w:rPr>
        <w:t>或武装叛乱；</w:t>
      </w:r>
    </w:p>
    <w:p>
      <w:pPr>
        <w:pStyle w:val="ListParagraph"/>
        <w:numPr>
          <w:ilvl w:val="0"/>
          <w:numId w:val="4"/>
        </w:numPr>
        <w:tabs>
          <w:tab w:pos="3602" w:val="left" w:leader="none"/>
        </w:tabs>
        <w:spacing w:line="240" w:lineRule="auto" w:before="187" w:after="0"/>
        <w:ind w:left="3601" w:right="0" w:hanging="530"/>
        <w:jc w:val="left"/>
        <w:rPr>
          <w:sz w:val="21"/>
        </w:rPr>
      </w:pPr>
      <w:r>
        <w:rPr/>
        <w:pict>
          <v:shape style="position:absolute;margin-left:235.610001pt;margin-top:7.85pt;width:321.8pt;height:45pt;mso-position-horizontal-relative:page;mso-position-vertical-relative:paragraph;z-index:15744000" type="#_x0000_t202" id="docshape21" filled="true" fillcolor="#e4e4e4" stroked="false">
            <v:textbox inset="0,0,0,0">
              <w:txbxContent>
                <w:p>
                  <w:pPr>
                    <w:spacing w:line="266" w:lineRule="auto" w:before="20"/>
                    <w:ind w:left="0" w:right="-15" w:firstLine="0"/>
                    <w:jc w:val="left"/>
                    <w:rPr>
                      <w:color w:val="000000"/>
                      <w:sz w:val="21"/>
                    </w:rPr>
                  </w:pPr>
                  <w:r>
                    <w:rPr>
                      <w:color w:val="000000"/>
                      <w:spacing w:val="-2"/>
                      <w:sz w:val="21"/>
                    </w:rPr>
                    <w:t>被保险人</w:t>
                  </w:r>
                  <w:r>
                    <w:rPr>
                      <w:b/>
                      <w:color w:val="000000"/>
                      <w:spacing w:val="-2"/>
                      <w:sz w:val="21"/>
                    </w:rPr>
                    <w:t>感染艾滋病病毒或患艾滋病</w:t>
                  </w:r>
                  <w:r>
                    <w:rPr>
                      <w:b/>
                      <w:color w:val="000000"/>
                      <w:spacing w:val="-2"/>
                      <w:position w:val="11"/>
                      <w:sz w:val="11"/>
                    </w:rPr>
                    <w:t>33</w:t>
                  </w:r>
                  <w:r>
                    <w:rPr>
                      <w:color w:val="000000"/>
                      <w:spacing w:val="-2"/>
                      <w:sz w:val="21"/>
                    </w:rPr>
                    <w:t>（但符合本合同“器官移植导致</w:t>
                  </w:r>
                  <w:r>
                    <w:rPr>
                      <w:color w:val="000000"/>
                      <w:spacing w:val="-2"/>
                      <w:sz w:val="21"/>
                    </w:rPr>
                    <w:t>的人类免疫缺陷病毒（HIV）</w:t>
                  </w:r>
                  <w:r>
                    <w:rPr>
                      <w:color w:val="000000"/>
                      <w:spacing w:val="-17"/>
                      <w:sz w:val="21"/>
                    </w:rPr>
                    <w:t>感染”、“经输血导致的人类免疫缺陷病毒</w:t>
                  </w:r>
                </w:p>
                <w:p>
                  <w:pPr>
                    <w:pStyle w:val="BodyText"/>
                    <w:spacing w:before="2"/>
                    <w:ind w:right="-15"/>
                    <w:rPr>
                      <w:color w:val="000000"/>
                    </w:rPr>
                  </w:pPr>
                  <w:r>
                    <w:rPr>
                      <w:color w:val="000000"/>
                      <w:spacing w:val="-4"/>
                    </w:rPr>
                    <w:t>（HIV）感染”及“特定职业导致的人类免疫缺陷病毒（HIV）</w:t>
                  </w:r>
                  <w:r>
                    <w:rPr>
                      <w:color w:val="000000"/>
                      <w:spacing w:val="-6"/>
                    </w:rPr>
                    <w:t>感染”定</w:t>
                  </w:r>
                </w:p>
              </w:txbxContent>
            </v:textbox>
            <v:fill type="solid"/>
            <w10:wrap type="none"/>
          </v:shape>
        </w:pict>
      </w:r>
      <w:r>
        <w:rPr>
          <w:spacing w:val="-5"/>
          <w:sz w:val="21"/>
        </w:rPr>
        <w:t>（8）</w:t>
      </w:r>
    </w:p>
    <w:p>
      <w:pPr>
        <w:pStyle w:val="BodyText"/>
        <w:rPr>
          <w:sz w:val="20"/>
        </w:rPr>
      </w:pPr>
    </w:p>
    <w:p>
      <w:pPr>
        <w:pStyle w:val="BodyText"/>
        <w:spacing w:before="9"/>
        <w:rPr>
          <w:sz w:val="23"/>
        </w:rPr>
      </w:pPr>
    </w:p>
    <w:p>
      <w:pPr>
        <w:pStyle w:val="BodyText"/>
        <w:spacing w:before="71"/>
        <w:ind w:left="725" w:right="2007"/>
        <w:jc w:val="center"/>
      </w:pPr>
      <w:r>
        <w:rPr>
          <w:color w:val="000000"/>
          <w:spacing w:val="-2"/>
          <w:shd w:fill="E4E4E4" w:color="auto" w:val="clear"/>
        </w:rPr>
        <w:t>义的不在此限</w:t>
      </w:r>
      <w:r>
        <w:rPr>
          <w:color w:val="000000"/>
          <w:spacing w:val="-108"/>
          <w:shd w:fill="E4E4E4" w:color="auto" w:val="clear"/>
        </w:rPr>
        <w:t>）</w:t>
      </w:r>
      <w:r>
        <w:rPr>
          <w:color w:val="000000"/>
          <w:spacing w:val="-10"/>
          <w:shd w:fill="E4E4E4" w:color="auto" w:val="clear"/>
        </w:rPr>
        <w:t>。</w:t>
      </w:r>
    </w:p>
    <w:p>
      <w:pPr>
        <w:pStyle w:val="BodyText"/>
        <w:spacing w:before="5"/>
        <w:rPr>
          <w:sz w:val="10"/>
        </w:rPr>
      </w:pPr>
      <w:r>
        <w:rPr/>
        <w:pict>
          <v:shape style="position:absolute;margin-left:199.610001pt;margin-top:7.871875pt;width:357.8pt;height:45pt;mso-position-horizontal-relative:page;mso-position-vertical-relative:paragraph;z-index:-15715328;mso-wrap-distance-left:0;mso-wrap-distance-right:0" type="#_x0000_t202" id="docshape22" filled="true" fillcolor="#e4e4e4" stroked="false">
            <v:textbox inset="0,0,0,0">
              <w:txbxContent>
                <w:p>
                  <w:pPr>
                    <w:pStyle w:val="BodyText"/>
                    <w:spacing w:line="266" w:lineRule="auto" w:before="25"/>
                    <w:ind w:right="-15"/>
                    <w:jc w:val="both"/>
                    <w:rPr>
                      <w:color w:val="000000"/>
                    </w:rPr>
                  </w:pPr>
                  <w:r>
                    <w:rPr>
                      <w:color w:val="000000"/>
                      <w:spacing w:val="-6"/>
                    </w:rPr>
                    <w:t>发生上述第（1）项情形导致被保险人身故的，本合同终止，已交足 2</w:t>
                  </w:r>
                  <w:r>
                    <w:rPr>
                      <w:color w:val="000000"/>
                      <w:spacing w:val="-7"/>
                    </w:rPr>
                    <w:t> 年以上保</w:t>
                  </w:r>
                  <w:r>
                    <w:rPr>
                      <w:color w:val="000000"/>
                      <w:spacing w:val="-2"/>
                    </w:rPr>
                    <w:t>费的，本公司向被保险人的相关权利人退还与该被保险人对应的现金价值；发</w:t>
                  </w:r>
                  <w:r>
                    <w:rPr>
                      <w:color w:val="000000"/>
                      <w:spacing w:val="-3"/>
                    </w:rPr>
                    <w:t>生上述其他情形导致被保险人身故的，本合同终止，本公司向投保人退还与该</w:t>
                  </w:r>
                </w:p>
              </w:txbxContent>
            </v:textbox>
            <v:fill type="solid"/>
            <w10:wrap type="topAndBottom"/>
          </v:shape>
        </w:pict>
      </w:r>
    </w:p>
    <w:p>
      <w:pPr>
        <w:pStyle w:val="BodyText"/>
        <w:spacing w:before="30"/>
        <w:ind w:left="3072"/>
      </w:pPr>
      <w:r>
        <w:rPr>
          <w:color w:val="000000"/>
          <w:spacing w:val="-3"/>
          <w:shd w:fill="E4E4E4" w:color="auto" w:val="clear"/>
        </w:rPr>
        <w:t>被保险人对应的现金价值。</w:t>
      </w:r>
    </w:p>
    <w:p>
      <w:pPr>
        <w:pStyle w:val="BodyText"/>
        <w:spacing w:before="8"/>
        <w:rPr>
          <w:sz w:val="20"/>
        </w:rPr>
      </w:pPr>
    </w:p>
    <w:p>
      <w:pPr>
        <w:spacing w:after="0"/>
        <w:rPr>
          <w:sz w:val="20"/>
        </w:rPr>
        <w:sectPr>
          <w:pgSz w:w="11910" w:h="16840"/>
          <w:pgMar w:header="0" w:footer="659" w:top="1380" w:bottom="840" w:left="920" w:right="540"/>
        </w:sectPr>
      </w:pPr>
    </w:p>
    <w:p>
      <w:pPr>
        <w:pStyle w:val="Heading2"/>
        <w:numPr>
          <w:ilvl w:val="2"/>
          <w:numId w:val="2"/>
        </w:numPr>
        <w:tabs>
          <w:tab w:pos="1370" w:val="left" w:leader="none"/>
        </w:tabs>
        <w:spacing w:line="278" w:lineRule="auto" w:before="72" w:after="0"/>
        <w:ind w:left="1370" w:right="38" w:hanging="1102"/>
        <w:jc w:val="both"/>
      </w:pPr>
      <w:r>
        <w:rPr>
          <w:spacing w:val="-2"/>
        </w:rPr>
        <w:t>除身故保险金</w:t>
      </w:r>
      <w:r>
        <w:rPr>
          <w:spacing w:val="-2"/>
        </w:rPr>
        <w:t>外其他保险金</w:t>
      </w:r>
      <w:r>
        <w:rPr>
          <w:spacing w:val="-4"/>
        </w:rPr>
        <w:t>责任免除</w:t>
      </w:r>
    </w:p>
    <w:p>
      <w:pPr>
        <w:pStyle w:val="BodyText"/>
        <w:spacing w:line="266" w:lineRule="auto" w:before="79"/>
        <w:ind w:left="268" w:right="219"/>
      </w:pPr>
      <w:r>
        <w:rPr/>
        <w:br w:type="column"/>
      </w:r>
      <w:r>
        <w:rPr>
          <w:color w:val="000000"/>
          <w:spacing w:val="-2"/>
          <w:shd w:fill="E4E4E4" w:color="auto" w:val="clear"/>
        </w:rPr>
        <w:t>因下列任何情形直接或间接导致被保险人发生除身故以外其他保险事故的，本</w:t>
      </w:r>
      <w:r>
        <w:rPr>
          <w:color w:val="000000"/>
          <w:spacing w:val="80"/>
          <w:w w:val="150"/>
          <w:shd w:fill="E4E4E4" w:color="auto" w:val="clear"/>
        </w:rPr>
        <w:t>                                       </w:t>
      </w:r>
      <w:r>
        <w:rPr>
          <w:color w:val="000000"/>
          <w:spacing w:val="-2"/>
          <w:shd w:fill="E4E4E4" w:color="auto" w:val="clear"/>
        </w:rPr>
        <w:t>公司不承担给付保险金或豁免保险费的责任：</w:t>
      </w:r>
    </w:p>
    <w:p>
      <w:pPr>
        <w:pStyle w:val="ListParagraph"/>
        <w:numPr>
          <w:ilvl w:val="0"/>
          <w:numId w:val="5"/>
        </w:numPr>
        <w:tabs>
          <w:tab w:pos="988" w:val="left" w:leader="none"/>
        </w:tabs>
        <w:spacing w:line="240" w:lineRule="auto" w:before="159" w:after="0"/>
        <w:ind w:left="988" w:right="0" w:hanging="720"/>
        <w:jc w:val="left"/>
        <w:rPr>
          <w:sz w:val="21"/>
        </w:rPr>
      </w:pPr>
      <w:r>
        <w:rPr>
          <w:color w:val="000000"/>
          <w:spacing w:val="-3"/>
          <w:sz w:val="21"/>
          <w:shd w:fill="E4E4E4" w:color="auto" w:val="clear"/>
        </w:rPr>
        <w:t>投保人对被保险人故意杀害或故意伤害；</w:t>
      </w:r>
    </w:p>
    <w:p>
      <w:pPr>
        <w:spacing w:after="0" w:line="240" w:lineRule="auto"/>
        <w:jc w:val="left"/>
        <w:rPr>
          <w:sz w:val="21"/>
        </w:rPr>
        <w:sectPr>
          <w:type w:val="continuous"/>
          <w:pgSz w:w="11910" w:h="16840"/>
          <w:pgMar w:header="0" w:footer="659" w:top="480" w:bottom="280" w:left="920" w:right="540"/>
          <w:cols w:num="2" w:equalWidth="0">
            <w:col w:w="2678" w:space="126"/>
            <w:col w:w="7646"/>
          </w:cols>
        </w:sectPr>
      </w:pPr>
    </w:p>
    <w:p>
      <w:pPr>
        <w:pStyle w:val="BodyText"/>
        <w:rPr>
          <w:sz w:val="9"/>
        </w:rPr>
      </w:pPr>
    </w:p>
    <w:p>
      <w:pPr>
        <w:pStyle w:val="ListParagraph"/>
        <w:numPr>
          <w:ilvl w:val="1"/>
          <w:numId w:val="5"/>
        </w:numPr>
        <w:tabs>
          <w:tab w:pos="3793" w:val="left" w:leader="none"/>
        </w:tabs>
        <w:spacing w:line="240" w:lineRule="auto" w:before="71" w:after="0"/>
        <w:ind w:left="3792" w:right="0" w:hanging="721"/>
        <w:jc w:val="left"/>
        <w:rPr>
          <w:sz w:val="21"/>
        </w:rPr>
      </w:pPr>
      <w:r>
        <w:rPr>
          <w:color w:val="000000"/>
          <w:spacing w:val="-3"/>
          <w:sz w:val="21"/>
          <w:shd w:fill="E4E4E4" w:color="auto" w:val="clear"/>
        </w:rPr>
        <w:t>被保险人故意犯罪或抗拒依法采取的刑事强制措施；</w:t>
      </w:r>
    </w:p>
    <w:p>
      <w:pPr>
        <w:pStyle w:val="BodyText"/>
        <w:rPr>
          <w:sz w:val="9"/>
        </w:rPr>
      </w:pPr>
    </w:p>
    <w:p>
      <w:pPr>
        <w:pStyle w:val="ListParagraph"/>
        <w:numPr>
          <w:ilvl w:val="1"/>
          <w:numId w:val="5"/>
        </w:numPr>
        <w:tabs>
          <w:tab w:pos="3793" w:val="left" w:leader="none"/>
        </w:tabs>
        <w:spacing w:line="266" w:lineRule="auto" w:before="72" w:after="0"/>
        <w:ind w:left="3792" w:right="211" w:hanging="720"/>
        <w:jc w:val="left"/>
        <w:rPr>
          <w:sz w:val="21"/>
        </w:rPr>
      </w:pPr>
      <w:r>
        <w:rPr>
          <w:color w:val="000000"/>
          <w:spacing w:val="-11"/>
          <w:sz w:val="21"/>
          <w:shd w:fill="E4E4E4" w:color="auto" w:val="clear"/>
        </w:rPr>
        <w:t>被保险人故意自伤、或自本合同成立或者本合同效力恢复之日起二年内</w:t>
      </w:r>
      <w:r>
        <w:rPr>
          <w:color w:val="000000"/>
          <w:spacing w:val="12390"/>
          <w:sz w:val="21"/>
          <w:shd w:fill="E4E4E4" w:color="auto" w:val="clear"/>
        </w:rPr>
        <w:t> </w:t>
      </w:r>
      <w:r>
        <w:rPr>
          <w:color w:val="000000"/>
          <w:spacing w:val="-2"/>
          <w:sz w:val="21"/>
          <w:shd w:fill="E4E4E4" w:color="auto" w:val="clear"/>
        </w:rPr>
        <w:t>自杀，但被保险人自杀时为无民事行为能力人的除外；</w:t>
      </w:r>
    </w:p>
    <w:p>
      <w:pPr>
        <w:pStyle w:val="ListParagraph"/>
        <w:numPr>
          <w:ilvl w:val="1"/>
          <w:numId w:val="5"/>
        </w:numPr>
        <w:tabs>
          <w:tab w:pos="3793" w:val="left" w:leader="none"/>
        </w:tabs>
        <w:spacing w:line="240" w:lineRule="auto" w:before="159" w:after="0"/>
        <w:ind w:left="3792" w:right="0" w:hanging="721"/>
        <w:jc w:val="left"/>
        <w:rPr>
          <w:sz w:val="21"/>
        </w:rPr>
      </w:pPr>
      <w:r>
        <w:rPr>
          <w:color w:val="000000"/>
          <w:spacing w:val="-3"/>
          <w:sz w:val="21"/>
          <w:shd w:fill="E4E4E4" w:color="auto" w:val="clear"/>
        </w:rPr>
        <w:t>被保险人服用、吸食或注射毒品；</w:t>
      </w:r>
    </w:p>
    <w:p>
      <w:pPr>
        <w:pStyle w:val="BodyText"/>
        <w:rPr>
          <w:sz w:val="9"/>
        </w:rPr>
      </w:pPr>
    </w:p>
    <w:p>
      <w:pPr>
        <w:pStyle w:val="ListParagraph"/>
        <w:numPr>
          <w:ilvl w:val="1"/>
          <w:numId w:val="5"/>
        </w:numPr>
        <w:tabs>
          <w:tab w:pos="3793" w:val="left" w:leader="none"/>
        </w:tabs>
        <w:spacing w:line="266" w:lineRule="auto" w:before="71" w:after="0"/>
        <w:ind w:left="3792" w:right="212" w:hanging="720"/>
        <w:jc w:val="left"/>
        <w:rPr>
          <w:sz w:val="21"/>
        </w:rPr>
      </w:pPr>
      <w:r>
        <w:rPr>
          <w:color w:val="000000"/>
          <w:spacing w:val="-4"/>
          <w:sz w:val="21"/>
          <w:shd w:fill="E4E4E4" w:color="auto" w:val="clear"/>
        </w:rPr>
        <w:t>被保险人酒后驾驶、无合法有效驾驶证驾驶，或驾驶无合法有效行驶证</w:t>
      </w:r>
      <w:r>
        <w:rPr>
          <w:color w:val="000000"/>
          <w:spacing w:val="-2"/>
          <w:sz w:val="21"/>
          <w:shd w:fill="E4E4E4" w:color="auto" w:val="clear"/>
        </w:rPr>
        <w:t>的机动车；</w:t>
      </w:r>
    </w:p>
    <w:p>
      <w:pPr>
        <w:pStyle w:val="ListParagraph"/>
        <w:numPr>
          <w:ilvl w:val="1"/>
          <w:numId w:val="5"/>
        </w:numPr>
        <w:tabs>
          <w:tab w:pos="3793" w:val="left" w:leader="none"/>
        </w:tabs>
        <w:spacing w:line="240" w:lineRule="auto" w:before="159" w:after="0"/>
        <w:ind w:left="3792" w:right="0" w:hanging="721"/>
        <w:jc w:val="left"/>
        <w:rPr>
          <w:sz w:val="21"/>
        </w:rPr>
      </w:pPr>
      <w:r>
        <w:rPr>
          <w:color w:val="000000"/>
          <w:spacing w:val="-3"/>
          <w:sz w:val="21"/>
          <w:shd w:fill="E4E4E4" w:color="auto" w:val="clear"/>
        </w:rPr>
        <w:t>核爆炸、核辐射或核污染；</w:t>
      </w:r>
    </w:p>
    <w:p>
      <w:pPr>
        <w:pStyle w:val="ListParagraph"/>
        <w:numPr>
          <w:ilvl w:val="1"/>
          <w:numId w:val="5"/>
        </w:numPr>
        <w:tabs>
          <w:tab w:pos="3793" w:val="left" w:leader="none"/>
        </w:tabs>
        <w:spacing w:line="240" w:lineRule="auto" w:before="177" w:after="0"/>
        <w:ind w:left="3792" w:right="0" w:hanging="721"/>
        <w:jc w:val="left"/>
        <w:rPr>
          <w:sz w:val="21"/>
        </w:rPr>
      </w:pPr>
      <w:r>
        <w:rPr>
          <w:color w:val="000000"/>
          <w:w w:val="95"/>
          <w:sz w:val="21"/>
          <w:shd w:fill="E4E4E4" w:color="auto" w:val="clear"/>
        </w:rPr>
        <w:t>被</w:t>
      </w:r>
      <w:r>
        <w:rPr>
          <w:color w:val="000000"/>
          <w:w w:val="95"/>
          <w:sz w:val="21"/>
          <w:shd w:fill="E4E4E4" w:color="auto" w:val="clear"/>
        </w:rPr>
        <w:t>保</w:t>
      </w:r>
      <w:r>
        <w:rPr>
          <w:color w:val="000000"/>
          <w:w w:val="95"/>
          <w:sz w:val="21"/>
          <w:shd w:fill="E4E4E4" w:color="auto" w:val="clear"/>
        </w:rPr>
        <w:t>险人</w:t>
      </w:r>
      <w:r>
        <w:rPr>
          <w:b/>
          <w:color w:val="000000"/>
          <w:w w:val="95"/>
          <w:sz w:val="21"/>
          <w:shd w:fill="E4E4E4" w:color="auto" w:val="clear"/>
        </w:rPr>
        <w:t>遗</w:t>
      </w:r>
      <w:r>
        <w:rPr>
          <w:b/>
          <w:color w:val="000000"/>
          <w:w w:val="95"/>
          <w:sz w:val="21"/>
          <w:shd w:fill="E4E4E4" w:color="auto" w:val="clear"/>
        </w:rPr>
        <w:t>传</w:t>
      </w:r>
      <w:r>
        <w:rPr>
          <w:b/>
          <w:color w:val="000000"/>
          <w:w w:val="95"/>
          <w:sz w:val="21"/>
          <w:shd w:fill="E4E4E4" w:color="auto" w:val="clear"/>
        </w:rPr>
        <w:t>性</w:t>
      </w:r>
      <w:r>
        <w:rPr>
          <w:b/>
          <w:color w:val="000000"/>
          <w:w w:val="95"/>
          <w:sz w:val="21"/>
          <w:shd w:fill="E4E4E4" w:color="auto" w:val="clear"/>
        </w:rPr>
        <w:t>疾</w:t>
      </w:r>
      <w:r>
        <w:rPr>
          <w:b/>
          <w:color w:val="000000"/>
          <w:w w:val="95"/>
          <w:sz w:val="21"/>
          <w:shd w:fill="E4E4E4" w:color="auto" w:val="clear"/>
        </w:rPr>
        <w:t>病</w:t>
      </w:r>
      <w:r>
        <w:rPr>
          <w:b/>
          <w:color w:val="000000"/>
          <w:w w:val="95"/>
          <w:position w:val="11"/>
          <w:sz w:val="11"/>
        </w:rPr>
        <w:t>34</w:t>
      </w:r>
      <w:r>
        <w:rPr>
          <w:color w:val="000000"/>
          <w:w w:val="95"/>
          <w:sz w:val="21"/>
          <w:shd w:fill="E4E4E4" w:color="auto" w:val="clear"/>
        </w:rPr>
        <w:t>，</w:t>
      </w:r>
      <w:r>
        <w:rPr>
          <w:b/>
          <w:color w:val="000000"/>
          <w:w w:val="95"/>
          <w:sz w:val="21"/>
          <w:shd w:fill="E4E4E4" w:color="auto" w:val="clear"/>
        </w:rPr>
        <w:t>先</w:t>
      </w:r>
      <w:r>
        <w:rPr>
          <w:b/>
          <w:color w:val="000000"/>
          <w:w w:val="95"/>
          <w:sz w:val="21"/>
          <w:shd w:fill="E4E4E4" w:color="auto" w:val="clear"/>
        </w:rPr>
        <w:t>天</w:t>
      </w:r>
      <w:r>
        <w:rPr>
          <w:b/>
          <w:color w:val="000000"/>
          <w:w w:val="95"/>
          <w:sz w:val="21"/>
          <w:shd w:fill="E4E4E4" w:color="auto" w:val="clear"/>
        </w:rPr>
        <w:t>性</w:t>
      </w:r>
      <w:r>
        <w:rPr>
          <w:b/>
          <w:color w:val="000000"/>
          <w:w w:val="95"/>
          <w:sz w:val="21"/>
          <w:shd w:fill="E4E4E4" w:color="auto" w:val="clear"/>
        </w:rPr>
        <w:t>畸</w:t>
      </w:r>
      <w:r>
        <w:rPr>
          <w:b/>
          <w:color w:val="000000"/>
          <w:w w:val="95"/>
          <w:sz w:val="21"/>
          <w:shd w:fill="E4E4E4" w:color="auto" w:val="clear"/>
        </w:rPr>
        <w:t>形</w:t>
      </w:r>
      <w:r>
        <w:rPr>
          <w:b/>
          <w:color w:val="000000"/>
          <w:w w:val="95"/>
          <w:sz w:val="21"/>
          <w:shd w:fill="E4E4E4" w:color="auto" w:val="clear"/>
        </w:rPr>
        <w:t>、</w:t>
      </w:r>
      <w:r>
        <w:rPr>
          <w:b/>
          <w:color w:val="000000"/>
          <w:w w:val="95"/>
          <w:sz w:val="21"/>
          <w:shd w:fill="E4E4E4" w:color="auto" w:val="clear"/>
        </w:rPr>
        <w:t>变</w:t>
      </w:r>
      <w:r>
        <w:rPr>
          <w:b/>
          <w:color w:val="000000"/>
          <w:w w:val="95"/>
          <w:sz w:val="21"/>
          <w:shd w:fill="E4E4E4" w:color="auto" w:val="clear"/>
        </w:rPr>
        <w:t>形</w:t>
      </w:r>
      <w:r>
        <w:rPr>
          <w:b/>
          <w:color w:val="000000"/>
          <w:w w:val="95"/>
          <w:sz w:val="21"/>
          <w:shd w:fill="E4E4E4" w:color="auto" w:val="clear"/>
        </w:rPr>
        <w:t>或</w:t>
      </w:r>
      <w:r>
        <w:rPr>
          <w:b/>
          <w:color w:val="000000"/>
          <w:w w:val="95"/>
          <w:sz w:val="21"/>
          <w:shd w:fill="E4E4E4" w:color="auto" w:val="clear"/>
        </w:rPr>
        <w:t>染色体</w:t>
      </w:r>
      <w:r>
        <w:rPr>
          <w:b/>
          <w:color w:val="000000"/>
          <w:w w:val="95"/>
          <w:sz w:val="21"/>
          <w:shd w:fill="E4E4E4" w:color="auto" w:val="clear"/>
        </w:rPr>
        <w:t>异</w:t>
      </w:r>
      <w:r>
        <w:rPr>
          <w:b/>
          <w:color w:val="000000"/>
          <w:w w:val="95"/>
          <w:sz w:val="21"/>
          <w:shd w:fill="E4E4E4" w:color="auto" w:val="clear"/>
        </w:rPr>
        <w:t>常</w:t>
      </w:r>
      <w:r>
        <w:rPr>
          <w:b/>
          <w:color w:val="000000"/>
          <w:spacing w:val="-5"/>
          <w:w w:val="95"/>
          <w:position w:val="11"/>
          <w:sz w:val="11"/>
        </w:rPr>
        <w:t>35</w:t>
      </w:r>
      <w:r>
        <w:rPr>
          <w:color w:val="000000"/>
          <w:spacing w:val="-5"/>
          <w:w w:val="95"/>
          <w:sz w:val="21"/>
          <w:shd w:fill="E4E4E4" w:color="auto" w:val="clear"/>
        </w:rPr>
        <w:t>；</w:t>
      </w:r>
    </w:p>
    <w:p>
      <w:pPr>
        <w:pStyle w:val="BodyText"/>
        <w:rPr>
          <w:sz w:val="9"/>
        </w:rPr>
      </w:pPr>
    </w:p>
    <w:p>
      <w:pPr>
        <w:pStyle w:val="ListParagraph"/>
        <w:numPr>
          <w:ilvl w:val="1"/>
          <w:numId w:val="5"/>
        </w:numPr>
        <w:tabs>
          <w:tab w:pos="3602" w:val="left" w:leader="none"/>
        </w:tabs>
        <w:spacing w:line="240" w:lineRule="auto" w:before="72" w:after="0"/>
        <w:ind w:left="3601" w:right="0" w:hanging="530"/>
        <w:jc w:val="left"/>
        <w:rPr>
          <w:sz w:val="21"/>
        </w:rPr>
      </w:pPr>
      <w:r>
        <w:rPr/>
        <w:drawing>
          <wp:anchor distT="0" distB="0" distL="0" distR="0" allowOverlap="1" layoutInCell="1" locked="0" behindDoc="0" simplePos="0" relativeHeight="15742976">
            <wp:simplePos x="0" y="0"/>
            <wp:positionH relativeFrom="page">
              <wp:posOffset>2992247</wp:posOffset>
            </wp:positionH>
            <wp:positionV relativeFrom="paragraph">
              <wp:posOffset>26669</wp:posOffset>
            </wp:positionV>
            <wp:extent cx="4086479" cy="571500"/>
            <wp:effectExtent l="0" t="0" r="0" b="0"/>
            <wp:wrapNone/>
            <wp:docPr id="27" name="image9.png"/>
            <wp:cNvGraphicFramePr>
              <a:graphicFrameLocks noChangeAspect="1"/>
            </wp:cNvGraphicFramePr>
            <a:graphic>
              <a:graphicData uri="http://schemas.openxmlformats.org/drawingml/2006/picture">
                <pic:pic>
                  <pic:nvPicPr>
                    <pic:cNvPr id="28" name="image9.png"/>
                    <pic:cNvPicPr/>
                  </pic:nvPicPr>
                  <pic:blipFill>
                    <a:blip r:embed="rId16" cstate="print"/>
                    <a:stretch>
                      <a:fillRect/>
                    </a:stretch>
                  </pic:blipFill>
                  <pic:spPr>
                    <a:xfrm>
                      <a:off x="0" y="0"/>
                      <a:ext cx="4086479" cy="571500"/>
                    </a:xfrm>
                    <a:prstGeom prst="rect">
                      <a:avLst/>
                    </a:prstGeom>
                  </pic:spPr>
                </pic:pic>
              </a:graphicData>
            </a:graphic>
          </wp:anchor>
        </w:drawing>
      </w:r>
      <w:r>
        <w:rPr/>
        <w:pict>
          <v:shape style="position:absolute;margin-left:235.610001pt;margin-top:2.099994pt;width:327.2pt;height:45pt;mso-position-horizontal-relative:page;mso-position-vertical-relative:paragraph;z-index:15743488" type="#_x0000_t202" id="docshape23" filled="false" stroked="false">
            <v:textbox inset="0,0,0,0">
              <w:txbxContent>
                <w:p>
                  <w:pPr>
                    <w:pStyle w:val="BodyText"/>
                    <w:spacing w:line="266" w:lineRule="auto" w:before="25"/>
                  </w:pPr>
                  <w:r>
                    <w:rPr>
                      <w:spacing w:val="-2"/>
                    </w:rPr>
                    <w:t>被保险人感染艾滋病病毒或患艾滋病（但符合本合同“器官移植导致的</w:t>
                  </w:r>
                  <w:r>
                    <w:rPr>
                      <w:spacing w:val="-16"/>
                    </w:rPr>
                    <w:t>人类免疫缺陷病毒</w:t>
                  </w:r>
                  <w:r>
                    <w:rPr>
                      <w:spacing w:val="-4"/>
                    </w:rPr>
                    <w:t>（HIV）</w:t>
                  </w:r>
                  <w:r>
                    <w:rPr>
                      <w:spacing w:val="-38"/>
                    </w:rPr>
                    <w:t>感染”</w:t>
                  </w:r>
                  <w:r>
                    <w:rPr>
                      <w:spacing w:val="-26"/>
                    </w:rPr>
                    <w:t>、“经输血导致的人类免疫缺陷病毒</w:t>
                  </w:r>
                  <w:r>
                    <w:rPr>
                      <w:spacing w:val="-4"/>
                    </w:rPr>
                    <w:t>（HIV）</w:t>
                  </w:r>
                  <w:r>
                    <w:rPr>
                      <w:spacing w:val="-2"/>
                    </w:rPr>
                    <w:t>感染”及“特定职业导致的人类免疫缺陷病毒（HIV）感染”定义的不</w:t>
                  </w:r>
                </w:p>
              </w:txbxContent>
            </v:textbox>
            <w10:wrap type="none"/>
          </v:shape>
        </w:pict>
      </w:r>
      <w:r>
        <w:rPr>
          <w:spacing w:val="-5"/>
          <w:sz w:val="21"/>
        </w:rPr>
        <w:t>（8）</w:t>
      </w:r>
    </w:p>
    <w:p>
      <w:pPr>
        <w:pStyle w:val="BodyText"/>
        <w:rPr>
          <w:sz w:val="20"/>
        </w:rPr>
      </w:pPr>
    </w:p>
    <w:p>
      <w:pPr>
        <w:pStyle w:val="BodyText"/>
        <w:rPr>
          <w:sz w:val="20"/>
        </w:rPr>
      </w:pPr>
    </w:p>
    <w:p>
      <w:pPr>
        <w:pStyle w:val="BodyText"/>
        <w:spacing w:before="12"/>
        <w:rPr>
          <w:sz w:val="20"/>
        </w:rPr>
      </w:pPr>
      <w:r>
        <w:rPr/>
        <w:drawing>
          <wp:anchor distT="0" distB="0" distL="0" distR="0" allowOverlap="1" layoutInCell="1" locked="0" behindDoc="0" simplePos="0" relativeHeight="27">
            <wp:simplePos x="0" y="0"/>
            <wp:positionH relativeFrom="page">
              <wp:posOffset>685800</wp:posOffset>
            </wp:positionH>
            <wp:positionV relativeFrom="paragraph">
              <wp:posOffset>185804</wp:posOffset>
            </wp:positionV>
            <wp:extent cx="1829282" cy="6096"/>
            <wp:effectExtent l="0" t="0" r="0" b="0"/>
            <wp:wrapTopAndBottom/>
            <wp:docPr id="29" name="image4.png"/>
            <wp:cNvGraphicFramePr>
              <a:graphicFrameLocks noChangeAspect="1"/>
            </wp:cNvGraphicFramePr>
            <a:graphic>
              <a:graphicData uri="http://schemas.openxmlformats.org/drawingml/2006/picture">
                <pic:pic>
                  <pic:nvPicPr>
                    <pic:cNvPr id="30" name="image4.png"/>
                    <pic:cNvPicPr/>
                  </pic:nvPicPr>
                  <pic:blipFill>
                    <a:blip r:embed="rId8" cstate="print"/>
                    <a:stretch>
                      <a:fillRect/>
                    </a:stretch>
                  </pic:blipFill>
                  <pic:spPr>
                    <a:xfrm>
                      <a:off x="0" y="0"/>
                      <a:ext cx="1829282" cy="6096"/>
                    </a:xfrm>
                    <a:prstGeom prst="rect">
                      <a:avLst/>
                    </a:prstGeom>
                  </pic:spPr>
                </pic:pic>
              </a:graphicData>
            </a:graphic>
          </wp:anchor>
        </w:drawing>
      </w:r>
    </w:p>
    <w:p>
      <w:pPr>
        <w:spacing w:before="91"/>
        <w:ind w:left="157" w:right="0" w:firstLine="0"/>
        <w:jc w:val="left"/>
        <w:rPr>
          <w:rFonts w:ascii="楷体" w:eastAsia="楷体"/>
          <w:sz w:val="18"/>
        </w:rPr>
      </w:pPr>
      <w:r>
        <w:rPr>
          <w:b/>
          <w:w w:val="95"/>
          <w:position w:val="9"/>
          <w:sz w:val="9"/>
        </w:rPr>
        <w:t>27</w:t>
      </w:r>
      <w:r>
        <w:rPr>
          <w:rFonts w:ascii="楷体" w:eastAsia="楷体" w:hint="eastAsia"/>
          <w:b/>
          <w:w w:val="95"/>
          <w:sz w:val="18"/>
        </w:rPr>
        <w:t>无</w:t>
      </w:r>
      <w:r>
        <w:rPr>
          <w:rFonts w:ascii="楷体" w:eastAsia="楷体" w:hint="eastAsia"/>
          <w:b/>
          <w:w w:val="95"/>
          <w:sz w:val="18"/>
        </w:rPr>
        <w:t>合</w:t>
      </w:r>
      <w:r>
        <w:rPr>
          <w:rFonts w:ascii="楷体" w:eastAsia="楷体" w:hint="eastAsia"/>
          <w:b/>
          <w:w w:val="95"/>
          <w:sz w:val="18"/>
        </w:rPr>
        <w:t>法</w:t>
      </w:r>
      <w:r>
        <w:rPr>
          <w:rFonts w:ascii="楷体" w:eastAsia="楷体" w:hint="eastAsia"/>
          <w:b/>
          <w:w w:val="95"/>
          <w:sz w:val="18"/>
        </w:rPr>
        <w:t>有</w:t>
      </w:r>
      <w:r>
        <w:rPr>
          <w:rFonts w:ascii="楷体" w:eastAsia="楷体" w:hint="eastAsia"/>
          <w:b/>
          <w:w w:val="95"/>
          <w:sz w:val="18"/>
        </w:rPr>
        <w:t>效</w:t>
      </w:r>
      <w:r>
        <w:rPr>
          <w:rFonts w:ascii="楷体" w:eastAsia="楷体" w:hint="eastAsia"/>
          <w:b/>
          <w:w w:val="95"/>
          <w:sz w:val="18"/>
        </w:rPr>
        <w:t>行</w:t>
      </w:r>
      <w:r>
        <w:rPr>
          <w:rFonts w:ascii="楷体" w:eastAsia="楷体" w:hint="eastAsia"/>
          <w:b/>
          <w:w w:val="95"/>
          <w:sz w:val="18"/>
        </w:rPr>
        <w:t>驶</w:t>
      </w:r>
      <w:r>
        <w:rPr>
          <w:rFonts w:ascii="楷体" w:eastAsia="楷体" w:hint="eastAsia"/>
          <w:b/>
          <w:w w:val="95"/>
          <w:sz w:val="18"/>
        </w:rPr>
        <w:t>证</w:t>
      </w:r>
      <w:r>
        <w:rPr>
          <w:rFonts w:ascii="楷体" w:eastAsia="楷体"/>
          <w:w w:val="95"/>
          <w:sz w:val="18"/>
        </w:rPr>
        <w:t>：</w:t>
      </w:r>
      <w:r>
        <w:rPr>
          <w:rFonts w:ascii="楷体" w:eastAsia="楷体"/>
          <w:w w:val="95"/>
          <w:sz w:val="18"/>
        </w:rPr>
        <w:t>指</w:t>
      </w:r>
      <w:r>
        <w:rPr>
          <w:rFonts w:ascii="楷体" w:eastAsia="楷体"/>
          <w:w w:val="95"/>
          <w:sz w:val="18"/>
        </w:rPr>
        <w:t>下</w:t>
      </w:r>
      <w:r>
        <w:rPr>
          <w:rFonts w:ascii="楷体" w:eastAsia="楷体"/>
          <w:w w:val="95"/>
          <w:sz w:val="18"/>
        </w:rPr>
        <w:t>列</w:t>
      </w:r>
      <w:r>
        <w:rPr>
          <w:rFonts w:ascii="楷体" w:eastAsia="楷体"/>
          <w:w w:val="95"/>
          <w:sz w:val="18"/>
        </w:rPr>
        <w:t>任</w:t>
      </w:r>
      <w:r>
        <w:rPr>
          <w:rFonts w:ascii="楷体" w:eastAsia="楷体"/>
          <w:w w:val="95"/>
          <w:sz w:val="18"/>
        </w:rPr>
        <w:t>何</w:t>
      </w:r>
      <w:r>
        <w:rPr>
          <w:rFonts w:ascii="楷体" w:eastAsia="楷体"/>
          <w:w w:val="95"/>
          <w:sz w:val="18"/>
        </w:rPr>
        <w:t>情</w:t>
      </w:r>
      <w:r>
        <w:rPr>
          <w:rFonts w:ascii="楷体" w:eastAsia="楷体"/>
          <w:w w:val="95"/>
          <w:sz w:val="18"/>
        </w:rPr>
        <w:t>形</w:t>
      </w:r>
      <w:r>
        <w:rPr>
          <w:rFonts w:ascii="楷体" w:eastAsia="楷体"/>
          <w:spacing w:val="-74"/>
          <w:w w:val="95"/>
          <w:sz w:val="18"/>
        </w:rPr>
        <w:t>：</w:t>
      </w:r>
      <w:r>
        <w:rPr>
          <w:rFonts w:ascii="楷体" w:eastAsia="楷体"/>
          <w:spacing w:val="27"/>
          <w:w w:val="95"/>
          <w:sz w:val="18"/>
        </w:rPr>
        <w:t>（</w:t>
      </w:r>
      <w:r>
        <w:rPr>
          <w:rFonts w:ascii="楷体" w:eastAsia="楷体"/>
          <w:spacing w:val="28"/>
          <w:w w:val="95"/>
          <w:sz w:val="18"/>
        </w:rPr>
        <w:t>1</w:t>
      </w:r>
      <w:r>
        <w:rPr>
          <w:rFonts w:ascii="楷体" w:eastAsia="楷体"/>
          <w:spacing w:val="17"/>
          <w:w w:val="95"/>
          <w:sz w:val="18"/>
        </w:rPr>
        <w:t>）</w:t>
      </w:r>
      <w:r>
        <w:rPr>
          <w:rFonts w:ascii="楷体" w:eastAsia="楷体"/>
          <w:w w:val="95"/>
          <w:sz w:val="18"/>
        </w:rPr>
        <w:t>未</w:t>
      </w:r>
      <w:r>
        <w:rPr>
          <w:rFonts w:ascii="楷体" w:eastAsia="楷体"/>
          <w:w w:val="95"/>
          <w:sz w:val="18"/>
        </w:rPr>
        <w:t>取</w:t>
      </w:r>
      <w:r>
        <w:rPr>
          <w:rFonts w:ascii="楷体" w:eastAsia="楷体"/>
          <w:w w:val="95"/>
          <w:sz w:val="18"/>
        </w:rPr>
        <w:t>得</w:t>
      </w:r>
      <w:r>
        <w:rPr>
          <w:rFonts w:ascii="楷体" w:eastAsia="楷体"/>
          <w:w w:val="95"/>
          <w:sz w:val="18"/>
        </w:rPr>
        <w:t>行</w:t>
      </w:r>
      <w:r>
        <w:rPr>
          <w:rFonts w:ascii="楷体" w:eastAsia="楷体"/>
          <w:w w:val="95"/>
          <w:sz w:val="18"/>
        </w:rPr>
        <w:t>驶</w:t>
      </w:r>
      <w:r>
        <w:rPr>
          <w:rFonts w:ascii="楷体" w:eastAsia="楷体"/>
          <w:w w:val="95"/>
          <w:sz w:val="18"/>
        </w:rPr>
        <w:t>证</w:t>
      </w:r>
      <w:r>
        <w:rPr>
          <w:rFonts w:ascii="楷体" w:eastAsia="楷体"/>
          <w:spacing w:val="-74"/>
          <w:w w:val="95"/>
          <w:sz w:val="18"/>
        </w:rPr>
        <w:t>；</w:t>
      </w:r>
      <w:r>
        <w:rPr>
          <w:rFonts w:ascii="楷体" w:eastAsia="楷体"/>
          <w:spacing w:val="26"/>
          <w:w w:val="95"/>
          <w:sz w:val="18"/>
        </w:rPr>
        <w:t>（</w:t>
      </w:r>
      <w:r>
        <w:rPr>
          <w:rFonts w:ascii="楷体" w:eastAsia="楷体"/>
          <w:spacing w:val="28"/>
          <w:w w:val="95"/>
          <w:sz w:val="18"/>
        </w:rPr>
        <w:t>2</w:t>
      </w:r>
      <w:r>
        <w:rPr>
          <w:rFonts w:ascii="楷体" w:eastAsia="楷体"/>
          <w:spacing w:val="17"/>
          <w:w w:val="95"/>
          <w:sz w:val="18"/>
        </w:rPr>
        <w:t>）</w:t>
      </w:r>
      <w:r>
        <w:rPr>
          <w:rFonts w:ascii="楷体" w:eastAsia="楷体"/>
          <w:w w:val="95"/>
          <w:sz w:val="18"/>
        </w:rPr>
        <w:t>机</w:t>
      </w:r>
      <w:r>
        <w:rPr>
          <w:rFonts w:ascii="楷体" w:eastAsia="楷体"/>
          <w:w w:val="95"/>
          <w:sz w:val="18"/>
        </w:rPr>
        <w:t>动</w:t>
      </w:r>
      <w:r>
        <w:rPr>
          <w:rFonts w:ascii="楷体" w:eastAsia="楷体"/>
          <w:w w:val="95"/>
          <w:sz w:val="18"/>
        </w:rPr>
        <w:t>车</w:t>
      </w:r>
      <w:r>
        <w:rPr>
          <w:rFonts w:ascii="楷体" w:eastAsia="楷体"/>
          <w:w w:val="95"/>
          <w:sz w:val="18"/>
        </w:rPr>
        <w:t>被</w:t>
      </w:r>
      <w:r>
        <w:rPr>
          <w:rFonts w:ascii="楷体" w:eastAsia="楷体"/>
          <w:w w:val="95"/>
          <w:sz w:val="18"/>
        </w:rPr>
        <w:t>依</w:t>
      </w:r>
      <w:r>
        <w:rPr>
          <w:rFonts w:ascii="楷体" w:eastAsia="楷体"/>
          <w:w w:val="95"/>
          <w:sz w:val="18"/>
        </w:rPr>
        <w:t>法</w:t>
      </w:r>
      <w:r>
        <w:rPr>
          <w:rFonts w:ascii="楷体" w:eastAsia="楷体"/>
          <w:w w:val="95"/>
          <w:sz w:val="18"/>
        </w:rPr>
        <w:t>注</w:t>
      </w:r>
      <w:r>
        <w:rPr>
          <w:rFonts w:ascii="楷体" w:eastAsia="楷体"/>
          <w:w w:val="95"/>
          <w:sz w:val="18"/>
        </w:rPr>
        <w:t>销</w:t>
      </w:r>
      <w:r>
        <w:rPr>
          <w:rFonts w:ascii="楷体" w:eastAsia="楷体"/>
          <w:w w:val="95"/>
          <w:sz w:val="18"/>
        </w:rPr>
        <w:t>登</w:t>
      </w:r>
      <w:r>
        <w:rPr>
          <w:rFonts w:ascii="楷体" w:eastAsia="楷体"/>
          <w:w w:val="95"/>
          <w:sz w:val="18"/>
        </w:rPr>
        <w:t>记</w:t>
      </w:r>
      <w:r>
        <w:rPr>
          <w:rFonts w:ascii="楷体" w:eastAsia="楷体"/>
          <w:w w:val="95"/>
          <w:sz w:val="18"/>
        </w:rPr>
        <w:t>的</w:t>
      </w:r>
      <w:r>
        <w:rPr>
          <w:rFonts w:ascii="楷体" w:eastAsia="楷体"/>
          <w:spacing w:val="-74"/>
          <w:w w:val="95"/>
          <w:sz w:val="18"/>
        </w:rPr>
        <w:t>；</w:t>
      </w:r>
      <w:r>
        <w:rPr>
          <w:rFonts w:ascii="楷体" w:eastAsia="楷体"/>
          <w:spacing w:val="27"/>
          <w:w w:val="95"/>
          <w:sz w:val="18"/>
        </w:rPr>
        <w:t>（</w:t>
      </w:r>
      <w:r>
        <w:rPr>
          <w:rFonts w:ascii="楷体" w:eastAsia="楷体"/>
          <w:spacing w:val="28"/>
          <w:w w:val="95"/>
          <w:sz w:val="18"/>
        </w:rPr>
        <w:t>3</w:t>
      </w:r>
      <w:r>
        <w:rPr>
          <w:rFonts w:ascii="楷体" w:eastAsia="楷体"/>
          <w:spacing w:val="17"/>
          <w:w w:val="95"/>
          <w:sz w:val="18"/>
        </w:rPr>
        <w:t>）</w:t>
      </w:r>
      <w:r>
        <w:rPr>
          <w:rFonts w:ascii="楷体" w:eastAsia="楷体"/>
          <w:w w:val="95"/>
          <w:sz w:val="18"/>
        </w:rPr>
        <w:t>未</w:t>
      </w:r>
      <w:r>
        <w:rPr>
          <w:rFonts w:ascii="楷体" w:eastAsia="楷体"/>
          <w:w w:val="95"/>
          <w:sz w:val="18"/>
        </w:rPr>
        <w:t>依</w:t>
      </w:r>
      <w:r>
        <w:rPr>
          <w:rFonts w:ascii="楷体" w:eastAsia="楷体"/>
          <w:w w:val="95"/>
          <w:sz w:val="18"/>
        </w:rPr>
        <w:t>法</w:t>
      </w:r>
      <w:r>
        <w:rPr>
          <w:rFonts w:ascii="楷体" w:eastAsia="楷体"/>
          <w:w w:val="95"/>
          <w:sz w:val="18"/>
        </w:rPr>
        <w:t>按</w:t>
      </w:r>
      <w:r>
        <w:rPr>
          <w:rFonts w:ascii="楷体" w:eastAsia="楷体"/>
          <w:w w:val="95"/>
          <w:sz w:val="18"/>
        </w:rPr>
        <w:t>时</w:t>
      </w:r>
      <w:r>
        <w:rPr>
          <w:rFonts w:ascii="楷体" w:eastAsia="楷体"/>
          <w:w w:val="95"/>
          <w:sz w:val="18"/>
        </w:rPr>
        <w:t>进</w:t>
      </w:r>
      <w:r>
        <w:rPr>
          <w:rFonts w:ascii="楷体" w:eastAsia="楷体"/>
          <w:w w:val="95"/>
          <w:sz w:val="18"/>
        </w:rPr>
        <w:t>行</w:t>
      </w:r>
      <w:r>
        <w:rPr>
          <w:rFonts w:ascii="楷体" w:eastAsia="楷体"/>
          <w:w w:val="95"/>
          <w:sz w:val="18"/>
        </w:rPr>
        <w:t>或</w:t>
      </w:r>
      <w:r>
        <w:rPr>
          <w:rFonts w:ascii="楷体" w:eastAsia="楷体"/>
          <w:w w:val="95"/>
          <w:sz w:val="18"/>
        </w:rPr>
        <w:t>通</w:t>
      </w:r>
      <w:r>
        <w:rPr>
          <w:rFonts w:ascii="楷体" w:eastAsia="楷体"/>
          <w:w w:val="95"/>
          <w:sz w:val="18"/>
        </w:rPr>
        <w:t>过</w:t>
      </w:r>
      <w:r>
        <w:rPr>
          <w:rFonts w:ascii="楷体" w:eastAsia="楷体"/>
          <w:spacing w:val="-5"/>
          <w:w w:val="95"/>
          <w:sz w:val="18"/>
        </w:rPr>
        <w:t>机动</w:t>
      </w:r>
    </w:p>
    <w:p>
      <w:pPr>
        <w:spacing w:before="4"/>
        <w:ind w:left="160" w:right="0" w:firstLine="0"/>
        <w:jc w:val="left"/>
        <w:rPr>
          <w:rFonts w:ascii="楷体" w:eastAsia="楷体"/>
          <w:sz w:val="18"/>
        </w:rPr>
      </w:pPr>
      <w:r>
        <w:rPr>
          <w:rFonts w:ascii="楷体" w:eastAsia="楷体"/>
          <w:spacing w:val="-2"/>
          <w:sz w:val="18"/>
        </w:rPr>
        <w:t>车安全技术检验。</w:t>
      </w:r>
    </w:p>
    <w:p>
      <w:pPr>
        <w:spacing w:before="3"/>
        <w:ind w:left="160" w:right="0" w:firstLine="0"/>
        <w:jc w:val="left"/>
        <w:rPr>
          <w:rFonts w:ascii="楷体" w:eastAsia="楷体"/>
          <w:sz w:val="18"/>
        </w:rPr>
      </w:pPr>
      <w:r>
        <w:rPr>
          <w:b/>
          <w:w w:val="95"/>
          <w:position w:val="9"/>
          <w:sz w:val="9"/>
        </w:rPr>
        <w:t>28</w:t>
      </w:r>
      <w:r>
        <w:rPr>
          <w:rFonts w:ascii="楷体" w:eastAsia="楷体" w:hint="eastAsia"/>
          <w:b/>
          <w:w w:val="95"/>
          <w:sz w:val="18"/>
        </w:rPr>
        <w:t>机动车</w:t>
      </w:r>
      <w:r>
        <w:rPr>
          <w:rFonts w:ascii="楷体" w:eastAsia="楷体"/>
          <w:w w:val="95"/>
          <w:sz w:val="18"/>
        </w:rPr>
        <w:t>：</w:t>
      </w:r>
      <w:r>
        <w:rPr>
          <w:rFonts w:ascii="楷体" w:eastAsia="楷体"/>
          <w:w w:val="95"/>
          <w:sz w:val="18"/>
        </w:rPr>
        <w:t>指</w:t>
      </w:r>
      <w:r>
        <w:rPr>
          <w:rFonts w:ascii="楷体" w:eastAsia="楷体"/>
          <w:w w:val="95"/>
          <w:sz w:val="18"/>
        </w:rPr>
        <w:t>以</w:t>
      </w:r>
      <w:r>
        <w:rPr>
          <w:rFonts w:ascii="楷体" w:eastAsia="楷体"/>
          <w:w w:val="95"/>
          <w:sz w:val="18"/>
        </w:rPr>
        <w:t>动</w:t>
      </w:r>
      <w:r>
        <w:rPr>
          <w:rFonts w:ascii="楷体" w:eastAsia="楷体"/>
          <w:w w:val="95"/>
          <w:sz w:val="18"/>
        </w:rPr>
        <w:t>力</w:t>
      </w:r>
      <w:r>
        <w:rPr>
          <w:rFonts w:ascii="楷体" w:eastAsia="楷体"/>
          <w:w w:val="95"/>
          <w:sz w:val="18"/>
        </w:rPr>
        <w:t>装</w:t>
      </w:r>
      <w:r>
        <w:rPr>
          <w:rFonts w:ascii="楷体" w:eastAsia="楷体"/>
          <w:w w:val="95"/>
          <w:sz w:val="18"/>
        </w:rPr>
        <w:t>置</w:t>
      </w:r>
      <w:r>
        <w:rPr>
          <w:rFonts w:ascii="楷体" w:eastAsia="楷体"/>
          <w:w w:val="95"/>
          <w:sz w:val="18"/>
        </w:rPr>
        <w:t>驱</w:t>
      </w:r>
      <w:r>
        <w:rPr>
          <w:rFonts w:ascii="楷体" w:eastAsia="楷体"/>
          <w:w w:val="95"/>
          <w:sz w:val="18"/>
        </w:rPr>
        <w:t>动</w:t>
      </w:r>
      <w:r>
        <w:rPr>
          <w:rFonts w:ascii="楷体" w:eastAsia="楷体"/>
          <w:w w:val="95"/>
          <w:sz w:val="18"/>
        </w:rPr>
        <w:t>或</w:t>
      </w:r>
      <w:r>
        <w:rPr>
          <w:rFonts w:ascii="楷体" w:eastAsia="楷体"/>
          <w:w w:val="95"/>
          <w:sz w:val="18"/>
        </w:rPr>
        <w:t>者</w:t>
      </w:r>
      <w:r>
        <w:rPr>
          <w:rFonts w:ascii="楷体" w:eastAsia="楷体"/>
          <w:w w:val="95"/>
          <w:sz w:val="18"/>
        </w:rPr>
        <w:t>牵</w:t>
      </w:r>
      <w:r>
        <w:rPr>
          <w:rFonts w:ascii="楷体" w:eastAsia="楷体"/>
          <w:w w:val="95"/>
          <w:sz w:val="18"/>
        </w:rPr>
        <w:t>引</w:t>
      </w:r>
      <w:r>
        <w:rPr>
          <w:rFonts w:ascii="楷体" w:eastAsia="楷体"/>
          <w:w w:val="95"/>
          <w:sz w:val="18"/>
        </w:rPr>
        <w:t>，</w:t>
      </w:r>
      <w:r>
        <w:rPr>
          <w:rFonts w:ascii="楷体" w:eastAsia="楷体"/>
          <w:w w:val="95"/>
          <w:sz w:val="18"/>
        </w:rPr>
        <w:t>上</w:t>
      </w:r>
      <w:r>
        <w:rPr>
          <w:rFonts w:ascii="楷体" w:eastAsia="楷体"/>
          <w:w w:val="95"/>
          <w:sz w:val="18"/>
        </w:rPr>
        <w:t>道</w:t>
      </w:r>
      <w:r>
        <w:rPr>
          <w:rFonts w:ascii="楷体" w:eastAsia="楷体"/>
          <w:w w:val="95"/>
          <w:sz w:val="18"/>
        </w:rPr>
        <w:t>路</w:t>
      </w:r>
      <w:r>
        <w:rPr>
          <w:rFonts w:ascii="楷体" w:eastAsia="楷体"/>
          <w:w w:val="95"/>
          <w:sz w:val="18"/>
        </w:rPr>
        <w:t>行</w:t>
      </w:r>
      <w:r>
        <w:rPr>
          <w:rFonts w:ascii="楷体" w:eastAsia="楷体"/>
          <w:w w:val="95"/>
          <w:sz w:val="18"/>
        </w:rPr>
        <w:t>驶</w:t>
      </w:r>
      <w:r>
        <w:rPr>
          <w:rFonts w:ascii="楷体" w:eastAsia="楷体"/>
          <w:w w:val="95"/>
          <w:sz w:val="18"/>
        </w:rPr>
        <w:t>的</w:t>
      </w:r>
      <w:r>
        <w:rPr>
          <w:rFonts w:ascii="楷体" w:eastAsia="楷体"/>
          <w:w w:val="95"/>
          <w:sz w:val="18"/>
        </w:rPr>
        <w:t>供</w:t>
      </w:r>
      <w:r>
        <w:rPr>
          <w:rFonts w:ascii="楷体" w:eastAsia="楷体"/>
          <w:w w:val="95"/>
          <w:sz w:val="18"/>
        </w:rPr>
        <w:t>人</w:t>
      </w:r>
      <w:r>
        <w:rPr>
          <w:rFonts w:ascii="楷体" w:eastAsia="楷体"/>
          <w:w w:val="95"/>
          <w:sz w:val="18"/>
        </w:rPr>
        <w:t>员</w:t>
      </w:r>
      <w:r>
        <w:rPr>
          <w:rFonts w:ascii="楷体" w:eastAsia="楷体"/>
          <w:w w:val="95"/>
          <w:sz w:val="18"/>
        </w:rPr>
        <w:t>乘</w:t>
      </w:r>
      <w:r>
        <w:rPr>
          <w:rFonts w:ascii="楷体" w:eastAsia="楷体"/>
          <w:w w:val="95"/>
          <w:sz w:val="18"/>
        </w:rPr>
        <w:t>用</w:t>
      </w:r>
      <w:r>
        <w:rPr>
          <w:rFonts w:ascii="楷体" w:eastAsia="楷体"/>
          <w:w w:val="95"/>
          <w:sz w:val="18"/>
        </w:rPr>
        <w:t>或</w:t>
      </w:r>
      <w:r>
        <w:rPr>
          <w:rFonts w:ascii="楷体" w:eastAsia="楷体"/>
          <w:w w:val="95"/>
          <w:sz w:val="18"/>
        </w:rPr>
        <w:t>者</w:t>
      </w:r>
      <w:r>
        <w:rPr>
          <w:rFonts w:ascii="楷体" w:eastAsia="楷体"/>
          <w:w w:val="95"/>
          <w:sz w:val="18"/>
        </w:rPr>
        <w:t>用</w:t>
      </w:r>
      <w:r>
        <w:rPr>
          <w:rFonts w:ascii="楷体" w:eastAsia="楷体"/>
          <w:w w:val="95"/>
          <w:sz w:val="18"/>
        </w:rPr>
        <w:t>于</w:t>
      </w:r>
      <w:r>
        <w:rPr>
          <w:rFonts w:ascii="楷体" w:eastAsia="楷体"/>
          <w:w w:val="95"/>
          <w:sz w:val="18"/>
        </w:rPr>
        <w:t>运</w:t>
      </w:r>
      <w:r>
        <w:rPr>
          <w:rFonts w:ascii="楷体" w:eastAsia="楷体"/>
          <w:w w:val="95"/>
          <w:sz w:val="18"/>
        </w:rPr>
        <w:t>送</w:t>
      </w:r>
      <w:r>
        <w:rPr>
          <w:rFonts w:ascii="楷体" w:eastAsia="楷体"/>
          <w:w w:val="95"/>
          <w:sz w:val="18"/>
        </w:rPr>
        <w:t>物</w:t>
      </w:r>
      <w:r>
        <w:rPr>
          <w:rFonts w:ascii="楷体" w:eastAsia="楷体"/>
          <w:w w:val="95"/>
          <w:sz w:val="18"/>
        </w:rPr>
        <w:t>品</w:t>
      </w:r>
      <w:r>
        <w:rPr>
          <w:rFonts w:ascii="楷体" w:eastAsia="楷体"/>
          <w:w w:val="95"/>
          <w:sz w:val="18"/>
        </w:rPr>
        <w:t>以</w:t>
      </w:r>
      <w:r>
        <w:rPr>
          <w:rFonts w:ascii="楷体" w:eastAsia="楷体"/>
          <w:w w:val="95"/>
          <w:sz w:val="18"/>
        </w:rPr>
        <w:t>及</w:t>
      </w:r>
      <w:r>
        <w:rPr>
          <w:rFonts w:ascii="楷体" w:eastAsia="楷体"/>
          <w:w w:val="95"/>
          <w:sz w:val="18"/>
        </w:rPr>
        <w:t>进</w:t>
      </w:r>
      <w:r>
        <w:rPr>
          <w:rFonts w:ascii="楷体" w:eastAsia="楷体"/>
          <w:w w:val="95"/>
          <w:sz w:val="18"/>
        </w:rPr>
        <w:t>行</w:t>
      </w:r>
      <w:r>
        <w:rPr>
          <w:rFonts w:ascii="楷体" w:eastAsia="楷体"/>
          <w:w w:val="95"/>
          <w:sz w:val="18"/>
        </w:rPr>
        <w:t>工</w:t>
      </w:r>
      <w:r>
        <w:rPr>
          <w:rFonts w:ascii="楷体" w:eastAsia="楷体"/>
          <w:w w:val="95"/>
          <w:sz w:val="18"/>
        </w:rPr>
        <w:t>程</w:t>
      </w:r>
      <w:r>
        <w:rPr>
          <w:rFonts w:ascii="楷体" w:eastAsia="楷体"/>
          <w:w w:val="95"/>
          <w:sz w:val="18"/>
        </w:rPr>
        <w:t>专</w:t>
      </w:r>
      <w:r>
        <w:rPr>
          <w:rFonts w:ascii="楷体" w:eastAsia="楷体"/>
          <w:w w:val="95"/>
          <w:sz w:val="18"/>
        </w:rPr>
        <w:t>项</w:t>
      </w:r>
      <w:r>
        <w:rPr>
          <w:rFonts w:ascii="楷体" w:eastAsia="楷体"/>
          <w:w w:val="95"/>
          <w:sz w:val="18"/>
        </w:rPr>
        <w:t>作</w:t>
      </w:r>
      <w:r>
        <w:rPr>
          <w:rFonts w:ascii="楷体" w:eastAsia="楷体"/>
          <w:w w:val="95"/>
          <w:sz w:val="18"/>
        </w:rPr>
        <w:t>业</w:t>
      </w:r>
      <w:r>
        <w:rPr>
          <w:rFonts w:ascii="楷体" w:eastAsia="楷体"/>
          <w:w w:val="95"/>
          <w:sz w:val="18"/>
        </w:rPr>
        <w:t>的</w:t>
      </w:r>
      <w:r>
        <w:rPr>
          <w:rFonts w:ascii="楷体" w:eastAsia="楷体"/>
          <w:w w:val="95"/>
          <w:sz w:val="18"/>
        </w:rPr>
        <w:t>轮</w:t>
      </w:r>
      <w:r>
        <w:rPr>
          <w:rFonts w:ascii="楷体" w:eastAsia="楷体"/>
          <w:w w:val="95"/>
          <w:sz w:val="18"/>
        </w:rPr>
        <w:t>式</w:t>
      </w:r>
      <w:r>
        <w:rPr>
          <w:rFonts w:ascii="楷体" w:eastAsia="楷体"/>
          <w:w w:val="95"/>
          <w:sz w:val="18"/>
        </w:rPr>
        <w:t>车</w:t>
      </w:r>
      <w:r>
        <w:rPr>
          <w:rFonts w:ascii="楷体" w:eastAsia="楷体"/>
          <w:w w:val="95"/>
          <w:sz w:val="18"/>
        </w:rPr>
        <w:t>辆</w:t>
      </w:r>
      <w:r>
        <w:rPr>
          <w:rFonts w:ascii="楷体" w:eastAsia="楷体"/>
          <w:spacing w:val="-10"/>
          <w:w w:val="95"/>
          <w:sz w:val="18"/>
        </w:rPr>
        <w:t>。</w:t>
      </w:r>
    </w:p>
    <w:p>
      <w:pPr>
        <w:spacing w:before="2"/>
        <w:ind w:left="160" w:right="0" w:firstLine="0"/>
        <w:jc w:val="left"/>
        <w:rPr>
          <w:rFonts w:ascii="楷体" w:eastAsia="楷体"/>
          <w:sz w:val="18"/>
        </w:rPr>
      </w:pPr>
      <w:r>
        <w:rPr>
          <w:b/>
          <w:w w:val="95"/>
          <w:position w:val="9"/>
          <w:sz w:val="9"/>
        </w:rPr>
        <w:t>29</w:t>
      </w:r>
      <w:r>
        <w:rPr>
          <w:rFonts w:ascii="楷体" w:eastAsia="楷体" w:hint="eastAsia"/>
          <w:b/>
          <w:w w:val="95"/>
          <w:sz w:val="18"/>
        </w:rPr>
        <w:t>战</w:t>
      </w:r>
      <w:r>
        <w:rPr>
          <w:rFonts w:ascii="楷体" w:eastAsia="楷体" w:hint="eastAsia"/>
          <w:b/>
          <w:w w:val="95"/>
          <w:sz w:val="18"/>
        </w:rPr>
        <w:t>争</w:t>
      </w:r>
      <w:r>
        <w:rPr>
          <w:rFonts w:ascii="楷体" w:eastAsia="楷体"/>
          <w:w w:val="95"/>
          <w:sz w:val="18"/>
        </w:rPr>
        <w:t>：</w:t>
      </w:r>
      <w:r>
        <w:rPr>
          <w:rFonts w:ascii="楷体" w:eastAsia="楷体"/>
          <w:w w:val="95"/>
          <w:sz w:val="18"/>
        </w:rPr>
        <w:t>指</w:t>
      </w:r>
      <w:r>
        <w:rPr>
          <w:rFonts w:ascii="楷体" w:eastAsia="楷体"/>
          <w:w w:val="95"/>
          <w:sz w:val="18"/>
        </w:rPr>
        <w:t>国</w:t>
      </w:r>
      <w:r>
        <w:rPr>
          <w:rFonts w:ascii="楷体" w:eastAsia="楷体"/>
          <w:w w:val="95"/>
          <w:sz w:val="18"/>
        </w:rPr>
        <w:t>家</w:t>
      </w:r>
      <w:r>
        <w:rPr>
          <w:rFonts w:ascii="楷体" w:eastAsia="楷体"/>
          <w:w w:val="95"/>
          <w:sz w:val="18"/>
        </w:rPr>
        <w:t>与</w:t>
      </w:r>
      <w:r>
        <w:rPr>
          <w:rFonts w:ascii="楷体" w:eastAsia="楷体"/>
          <w:w w:val="95"/>
          <w:sz w:val="18"/>
        </w:rPr>
        <w:t>国</w:t>
      </w:r>
      <w:r>
        <w:rPr>
          <w:rFonts w:ascii="楷体" w:eastAsia="楷体"/>
          <w:w w:val="95"/>
          <w:sz w:val="18"/>
        </w:rPr>
        <w:t>家</w:t>
      </w:r>
      <w:r>
        <w:rPr>
          <w:rFonts w:ascii="楷体" w:eastAsia="楷体"/>
          <w:w w:val="95"/>
          <w:sz w:val="18"/>
        </w:rPr>
        <w:t>、</w:t>
      </w:r>
      <w:r>
        <w:rPr>
          <w:rFonts w:ascii="楷体" w:eastAsia="楷体"/>
          <w:w w:val="95"/>
          <w:sz w:val="18"/>
        </w:rPr>
        <w:t>民</w:t>
      </w:r>
      <w:r>
        <w:rPr>
          <w:rFonts w:ascii="楷体" w:eastAsia="楷体"/>
          <w:w w:val="95"/>
          <w:sz w:val="18"/>
        </w:rPr>
        <w:t>族</w:t>
      </w:r>
      <w:r>
        <w:rPr>
          <w:rFonts w:ascii="楷体" w:eastAsia="楷体"/>
          <w:w w:val="95"/>
          <w:sz w:val="18"/>
        </w:rPr>
        <w:t>与</w:t>
      </w:r>
      <w:r>
        <w:rPr>
          <w:rFonts w:ascii="楷体" w:eastAsia="楷体"/>
          <w:w w:val="95"/>
          <w:sz w:val="18"/>
        </w:rPr>
        <w:t>民</w:t>
      </w:r>
      <w:r>
        <w:rPr>
          <w:rFonts w:ascii="楷体" w:eastAsia="楷体"/>
          <w:w w:val="95"/>
          <w:sz w:val="18"/>
        </w:rPr>
        <w:t>族</w:t>
      </w:r>
      <w:r>
        <w:rPr>
          <w:rFonts w:ascii="楷体" w:eastAsia="楷体"/>
          <w:w w:val="95"/>
          <w:sz w:val="18"/>
        </w:rPr>
        <w:t>、</w:t>
      </w:r>
      <w:r>
        <w:rPr>
          <w:rFonts w:ascii="楷体" w:eastAsia="楷体"/>
          <w:w w:val="95"/>
          <w:sz w:val="18"/>
        </w:rPr>
        <w:t>政</w:t>
      </w:r>
      <w:r>
        <w:rPr>
          <w:rFonts w:ascii="楷体" w:eastAsia="楷体"/>
          <w:w w:val="95"/>
          <w:sz w:val="18"/>
        </w:rPr>
        <w:t>治</w:t>
      </w:r>
      <w:r>
        <w:rPr>
          <w:rFonts w:ascii="楷体" w:eastAsia="楷体"/>
          <w:w w:val="95"/>
          <w:sz w:val="18"/>
        </w:rPr>
        <w:t>集</w:t>
      </w:r>
      <w:r>
        <w:rPr>
          <w:rFonts w:ascii="楷体" w:eastAsia="楷体"/>
          <w:w w:val="95"/>
          <w:sz w:val="18"/>
        </w:rPr>
        <w:t>团</w:t>
      </w:r>
      <w:r>
        <w:rPr>
          <w:rFonts w:ascii="楷体" w:eastAsia="楷体"/>
          <w:w w:val="95"/>
          <w:sz w:val="18"/>
        </w:rPr>
        <w:t>与</w:t>
      </w:r>
      <w:r>
        <w:rPr>
          <w:rFonts w:ascii="楷体" w:eastAsia="楷体"/>
          <w:w w:val="95"/>
          <w:sz w:val="18"/>
        </w:rPr>
        <w:t>政</w:t>
      </w:r>
      <w:r>
        <w:rPr>
          <w:rFonts w:ascii="楷体" w:eastAsia="楷体"/>
          <w:w w:val="95"/>
          <w:sz w:val="18"/>
        </w:rPr>
        <w:t>治</w:t>
      </w:r>
      <w:r>
        <w:rPr>
          <w:rFonts w:ascii="楷体" w:eastAsia="楷体"/>
          <w:w w:val="95"/>
          <w:sz w:val="18"/>
        </w:rPr>
        <w:t>集</w:t>
      </w:r>
      <w:r>
        <w:rPr>
          <w:rFonts w:ascii="楷体" w:eastAsia="楷体"/>
          <w:w w:val="95"/>
          <w:sz w:val="18"/>
        </w:rPr>
        <w:t>团</w:t>
      </w:r>
      <w:r>
        <w:rPr>
          <w:rFonts w:ascii="楷体" w:eastAsia="楷体"/>
          <w:w w:val="95"/>
          <w:sz w:val="18"/>
        </w:rPr>
        <w:t>之</w:t>
      </w:r>
      <w:r>
        <w:rPr>
          <w:rFonts w:ascii="楷体" w:eastAsia="楷体"/>
          <w:w w:val="95"/>
          <w:sz w:val="18"/>
        </w:rPr>
        <w:t>间</w:t>
      </w:r>
      <w:r>
        <w:rPr>
          <w:rFonts w:ascii="楷体" w:eastAsia="楷体"/>
          <w:w w:val="95"/>
          <w:sz w:val="18"/>
        </w:rPr>
        <w:t>为</w:t>
      </w:r>
      <w:r>
        <w:rPr>
          <w:rFonts w:ascii="楷体" w:eastAsia="楷体"/>
          <w:w w:val="95"/>
          <w:sz w:val="18"/>
        </w:rPr>
        <w:t>了</w:t>
      </w:r>
      <w:r>
        <w:rPr>
          <w:rFonts w:ascii="楷体" w:eastAsia="楷体"/>
          <w:w w:val="95"/>
          <w:sz w:val="18"/>
        </w:rPr>
        <w:t>一</w:t>
      </w:r>
      <w:r>
        <w:rPr>
          <w:rFonts w:ascii="楷体" w:eastAsia="楷体"/>
          <w:w w:val="95"/>
          <w:sz w:val="18"/>
        </w:rPr>
        <w:t>定</w:t>
      </w:r>
      <w:r>
        <w:rPr>
          <w:rFonts w:ascii="楷体" w:eastAsia="楷体"/>
          <w:w w:val="95"/>
          <w:sz w:val="18"/>
        </w:rPr>
        <w:t>的</w:t>
      </w:r>
      <w:r>
        <w:rPr>
          <w:rFonts w:ascii="楷体" w:eastAsia="楷体"/>
          <w:w w:val="95"/>
          <w:sz w:val="18"/>
        </w:rPr>
        <w:t>政</w:t>
      </w:r>
      <w:r>
        <w:rPr>
          <w:rFonts w:ascii="楷体" w:eastAsia="楷体"/>
          <w:w w:val="95"/>
          <w:sz w:val="18"/>
        </w:rPr>
        <w:t>治</w:t>
      </w:r>
      <w:r>
        <w:rPr>
          <w:rFonts w:ascii="楷体" w:eastAsia="楷体"/>
          <w:w w:val="95"/>
          <w:sz w:val="18"/>
        </w:rPr>
        <w:t>、</w:t>
      </w:r>
      <w:r>
        <w:rPr>
          <w:rFonts w:ascii="楷体" w:eastAsia="楷体"/>
          <w:w w:val="95"/>
          <w:sz w:val="18"/>
        </w:rPr>
        <w:t>经</w:t>
      </w:r>
      <w:r>
        <w:rPr>
          <w:rFonts w:ascii="楷体" w:eastAsia="楷体"/>
          <w:w w:val="95"/>
          <w:sz w:val="18"/>
        </w:rPr>
        <w:t>济</w:t>
      </w:r>
      <w:r>
        <w:rPr>
          <w:rFonts w:ascii="楷体" w:eastAsia="楷体"/>
          <w:w w:val="95"/>
          <w:sz w:val="18"/>
        </w:rPr>
        <w:t>目</w:t>
      </w:r>
      <w:r>
        <w:rPr>
          <w:rFonts w:ascii="楷体" w:eastAsia="楷体"/>
          <w:w w:val="95"/>
          <w:sz w:val="18"/>
        </w:rPr>
        <w:t>的</w:t>
      </w:r>
      <w:r>
        <w:rPr>
          <w:rFonts w:ascii="楷体" w:eastAsia="楷体"/>
          <w:w w:val="95"/>
          <w:sz w:val="18"/>
        </w:rPr>
        <w:t>而</w:t>
      </w:r>
      <w:r>
        <w:rPr>
          <w:rFonts w:ascii="楷体" w:eastAsia="楷体"/>
          <w:w w:val="95"/>
          <w:sz w:val="18"/>
        </w:rPr>
        <w:t>进</w:t>
      </w:r>
      <w:r>
        <w:rPr>
          <w:rFonts w:ascii="楷体" w:eastAsia="楷体"/>
          <w:w w:val="95"/>
          <w:sz w:val="18"/>
        </w:rPr>
        <w:t>行</w:t>
      </w:r>
      <w:r>
        <w:rPr>
          <w:rFonts w:ascii="楷体" w:eastAsia="楷体"/>
          <w:w w:val="95"/>
          <w:sz w:val="18"/>
        </w:rPr>
        <w:t>的</w:t>
      </w:r>
      <w:r>
        <w:rPr>
          <w:rFonts w:ascii="楷体" w:eastAsia="楷体"/>
          <w:w w:val="95"/>
          <w:sz w:val="18"/>
        </w:rPr>
        <w:t>武</w:t>
      </w:r>
      <w:r>
        <w:rPr>
          <w:rFonts w:ascii="楷体" w:eastAsia="楷体"/>
          <w:w w:val="95"/>
          <w:sz w:val="18"/>
        </w:rPr>
        <w:t>装</w:t>
      </w:r>
      <w:r>
        <w:rPr>
          <w:rFonts w:ascii="楷体" w:eastAsia="楷体"/>
          <w:w w:val="95"/>
          <w:sz w:val="18"/>
        </w:rPr>
        <w:t>斗</w:t>
      </w:r>
      <w:r>
        <w:rPr>
          <w:rFonts w:ascii="楷体" w:eastAsia="楷体"/>
          <w:w w:val="95"/>
          <w:sz w:val="18"/>
        </w:rPr>
        <w:t>争</w:t>
      </w:r>
      <w:r>
        <w:rPr>
          <w:rFonts w:ascii="楷体" w:eastAsia="楷体"/>
          <w:w w:val="95"/>
          <w:sz w:val="18"/>
        </w:rPr>
        <w:t>，</w:t>
      </w:r>
      <w:r>
        <w:rPr>
          <w:rFonts w:ascii="楷体" w:eastAsia="楷体"/>
          <w:w w:val="95"/>
          <w:sz w:val="18"/>
        </w:rPr>
        <w:t>以</w:t>
      </w:r>
      <w:r>
        <w:rPr>
          <w:rFonts w:ascii="楷体" w:eastAsia="楷体"/>
          <w:w w:val="95"/>
          <w:sz w:val="18"/>
        </w:rPr>
        <w:t>政</w:t>
      </w:r>
      <w:r>
        <w:rPr>
          <w:rFonts w:ascii="楷体" w:eastAsia="楷体"/>
          <w:spacing w:val="-3"/>
          <w:w w:val="95"/>
          <w:sz w:val="18"/>
        </w:rPr>
        <w:t>府宣布为</w:t>
      </w:r>
    </w:p>
    <w:p>
      <w:pPr>
        <w:spacing w:before="2"/>
        <w:ind w:left="160" w:right="0" w:firstLine="0"/>
        <w:jc w:val="left"/>
        <w:rPr>
          <w:rFonts w:ascii="楷体" w:eastAsia="楷体"/>
          <w:sz w:val="18"/>
        </w:rPr>
      </w:pPr>
      <w:r>
        <w:rPr>
          <w:rFonts w:ascii="楷体" w:eastAsia="楷体"/>
          <w:spacing w:val="-5"/>
          <w:sz w:val="18"/>
        </w:rPr>
        <w:t>准。</w:t>
      </w:r>
    </w:p>
    <w:p>
      <w:pPr>
        <w:spacing w:before="5"/>
        <w:ind w:left="160" w:right="0" w:firstLine="0"/>
        <w:jc w:val="left"/>
        <w:rPr>
          <w:rFonts w:ascii="楷体" w:eastAsia="楷体"/>
          <w:sz w:val="18"/>
        </w:rPr>
      </w:pPr>
      <w:r>
        <w:rPr>
          <w:b/>
          <w:w w:val="95"/>
          <w:position w:val="9"/>
          <w:sz w:val="9"/>
        </w:rPr>
        <w:t>30</w:t>
      </w:r>
      <w:r>
        <w:rPr>
          <w:rFonts w:ascii="楷体" w:eastAsia="楷体" w:hint="eastAsia"/>
          <w:b/>
          <w:w w:val="95"/>
          <w:sz w:val="18"/>
        </w:rPr>
        <w:t>军</w:t>
      </w:r>
      <w:r>
        <w:rPr>
          <w:rFonts w:ascii="楷体" w:eastAsia="楷体" w:hint="eastAsia"/>
          <w:b/>
          <w:w w:val="95"/>
          <w:sz w:val="18"/>
        </w:rPr>
        <w:t>事</w:t>
      </w:r>
      <w:r>
        <w:rPr>
          <w:rFonts w:ascii="楷体" w:eastAsia="楷体" w:hint="eastAsia"/>
          <w:b/>
          <w:w w:val="95"/>
          <w:sz w:val="18"/>
        </w:rPr>
        <w:t>冲</w:t>
      </w:r>
      <w:r>
        <w:rPr>
          <w:rFonts w:ascii="楷体" w:eastAsia="楷体" w:hint="eastAsia"/>
          <w:b/>
          <w:w w:val="95"/>
          <w:sz w:val="18"/>
        </w:rPr>
        <w:t>突</w:t>
      </w:r>
      <w:r>
        <w:rPr>
          <w:rFonts w:ascii="楷体" w:eastAsia="楷体"/>
          <w:w w:val="95"/>
          <w:sz w:val="18"/>
        </w:rPr>
        <w:t>：</w:t>
      </w:r>
      <w:r>
        <w:rPr>
          <w:rFonts w:ascii="楷体" w:eastAsia="楷体"/>
          <w:w w:val="95"/>
          <w:sz w:val="18"/>
        </w:rPr>
        <w:t>指</w:t>
      </w:r>
      <w:r>
        <w:rPr>
          <w:rFonts w:ascii="楷体" w:eastAsia="楷体"/>
          <w:w w:val="95"/>
          <w:sz w:val="18"/>
        </w:rPr>
        <w:t>国</w:t>
      </w:r>
      <w:r>
        <w:rPr>
          <w:rFonts w:ascii="楷体" w:eastAsia="楷体"/>
          <w:w w:val="95"/>
          <w:sz w:val="18"/>
        </w:rPr>
        <w:t>家</w:t>
      </w:r>
      <w:r>
        <w:rPr>
          <w:rFonts w:ascii="楷体" w:eastAsia="楷体"/>
          <w:w w:val="95"/>
          <w:sz w:val="18"/>
        </w:rPr>
        <w:t>或</w:t>
      </w:r>
      <w:r>
        <w:rPr>
          <w:rFonts w:ascii="楷体" w:eastAsia="楷体"/>
          <w:w w:val="95"/>
          <w:sz w:val="18"/>
        </w:rPr>
        <w:t>民</w:t>
      </w:r>
      <w:r>
        <w:rPr>
          <w:rFonts w:ascii="楷体" w:eastAsia="楷体"/>
          <w:w w:val="95"/>
          <w:sz w:val="18"/>
        </w:rPr>
        <w:t>族</w:t>
      </w:r>
      <w:r>
        <w:rPr>
          <w:rFonts w:ascii="楷体" w:eastAsia="楷体"/>
          <w:w w:val="95"/>
          <w:sz w:val="18"/>
        </w:rPr>
        <w:t>之</w:t>
      </w:r>
      <w:r>
        <w:rPr>
          <w:rFonts w:ascii="楷体" w:eastAsia="楷体"/>
          <w:w w:val="95"/>
          <w:sz w:val="18"/>
        </w:rPr>
        <w:t>间</w:t>
      </w:r>
      <w:r>
        <w:rPr>
          <w:rFonts w:ascii="楷体" w:eastAsia="楷体"/>
          <w:w w:val="95"/>
          <w:sz w:val="18"/>
        </w:rPr>
        <w:t>在</w:t>
      </w:r>
      <w:r>
        <w:rPr>
          <w:rFonts w:ascii="楷体" w:eastAsia="楷体"/>
          <w:w w:val="95"/>
          <w:sz w:val="18"/>
        </w:rPr>
        <w:t>一</w:t>
      </w:r>
      <w:r>
        <w:rPr>
          <w:rFonts w:ascii="楷体" w:eastAsia="楷体"/>
          <w:w w:val="95"/>
          <w:sz w:val="18"/>
        </w:rPr>
        <w:t>定</w:t>
      </w:r>
      <w:r>
        <w:rPr>
          <w:rFonts w:ascii="楷体" w:eastAsia="楷体"/>
          <w:w w:val="95"/>
          <w:sz w:val="18"/>
        </w:rPr>
        <w:t>范</w:t>
      </w:r>
      <w:r>
        <w:rPr>
          <w:rFonts w:ascii="楷体" w:eastAsia="楷体"/>
          <w:w w:val="95"/>
          <w:sz w:val="18"/>
        </w:rPr>
        <w:t>围</w:t>
      </w:r>
      <w:r>
        <w:rPr>
          <w:rFonts w:ascii="楷体" w:eastAsia="楷体"/>
          <w:w w:val="95"/>
          <w:sz w:val="18"/>
        </w:rPr>
        <w:t>内</w:t>
      </w:r>
      <w:r>
        <w:rPr>
          <w:rFonts w:ascii="楷体" w:eastAsia="楷体"/>
          <w:w w:val="95"/>
          <w:sz w:val="18"/>
        </w:rPr>
        <w:t>的</w:t>
      </w:r>
      <w:r>
        <w:rPr>
          <w:rFonts w:ascii="楷体" w:eastAsia="楷体"/>
          <w:w w:val="95"/>
          <w:sz w:val="18"/>
        </w:rPr>
        <w:t>武</w:t>
      </w:r>
      <w:r>
        <w:rPr>
          <w:rFonts w:ascii="楷体" w:eastAsia="楷体"/>
          <w:w w:val="95"/>
          <w:sz w:val="18"/>
        </w:rPr>
        <w:t>装</w:t>
      </w:r>
      <w:r>
        <w:rPr>
          <w:rFonts w:ascii="楷体" w:eastAsia="楷体"/>
          <w:w w:val="95"/>
          <w:sz w:val="18"/>
        </w:rPr>
        <w:t>对</w:t>
      </w:r>
      <w:r>
        <w:rPr>
          <w:rFonts w:ascii="楷体" w:eastAsia="楷体"/>
          <w:w w:val="95"/>
          <w:sz w:val="18"/>
        </w:rPr>
        <w:t>抗</w:t>
      </w:r>
      <w:r>
        <w:rPr>
          <w:rFonts w:ascii="楷体" w:eastAsia="楷体"/>
          <w:w w:val="95"/>
          <w:sz w:val="18"/>
        </w:rPr>
        <w:t>，</w:t>
      </w:r>
      <w:r>
        <w:rPr>
          <w:rFonts w:ascii="楷体" w:eastAsia="楷体"/>
          <w:w w:val="95"/>
          <w:sz w:val="18"/>
        </w:rPr>
        <w:t>以</w:t>
      </w:r>
      <w:r>
        <w:rPr>
          <w:rFonts w:ascii="楷体" w:eastAsia="楷体"/>
          <w:w w:val="95"/>
          <w:sz w:val="18"/>
        </w:rPr>
        <w:t>政</w:t>
      </w:r>
      <w:r>
        <w:rPr>
          <w:rFonts w:ascii="楷体" w:eastAsia="楷体"/>
          <w:w w:val="95"/>
          <w:sz w:val="18"/>
        </w:rPr>
        <w:t>府</w:t>
      </w:r>
      <w:r>
        <w:rPr>
          <w:rFonts w:ascii="楷体" w:eastAsia="楷体"/>
          <w:w w:val="95"/>
          <w:sz w:val="18"/>
        </w:rPr>
        <w:t>宣</w:t>
      </w:r>
      <w:r>
        <w:rPr>
          <w:rFonts w:ascii="楷体" w:eastAsia="楷体"/>
          <w:w w:val="95"/>
          <w:sz w:val="18"/>
        </w:rPr>
        <w:t>布</w:t>
      </w:r>
      <w:r>
        <w:rPr>
          <w:rFonts w:ascii="楷体" w:eastAsia="楷体"/>
          <w:w w:val="95"/>
          <w:sz w:val="18"/>
        </w:rPr>
        <w:t>为</w:t>
      </w:r>
      <w:r>
        <w:rPr>
          <w:rFonts w:ascii="楷体" w:eastAsia="楷体"/>
          <w:w w:val="95"/>
          <w:sz w:val="18"/>
        </w:rPr>
        <w:t>准</w:t>
      </w:r>
      <w:r>
        <w:rPr>
          <w:rFonts w:ascii="楷体" w:eastAsia="楷体"/>
          <w:spacing w:val="-10"/>
          <w:w w:val="95"/>
          <w:sz w:val="18"/>
        </w:rPr>
        <w:t>。</w:t>
      </w:r>
    </w:p>
    <w:p>
      <w:pPr>
        <w:spacing w:before="2"/>
        <w:ind w:left="160" w:right="0" w:firstLine="0"/>
        <w:jc w:val="left"/>
        <w:rPr>
          <w:rFonts w:ascii="楷体" w:eastAsia="楷体"/>
          <w:sz w:val="18"/>
        </w:rPr>
      </w:pPr>
      <w:r>
        <w:rPr>
          <w:rFonts w:ascii="楷体" w:eastAsia="楷体"/>
          <w:w w:val="95"/>
          <w:position w:val="9"/>
          <w:sz w:val="9"/>
        </w:rPr>
        <w:t>31</w:t>
      </w:r>
      <w:r>
        <w:rPr>
          <w:rFonts w:ascii="楷体" w:eastAsia="楷体" w:hint="eastAsia"/>
          <w:b/>
          <w:w w:val="95"/>
          <w:sz w:val="18"/>
        </w:rPr>
        <w:t>恐</w:t>
      </w:r>
      <w:r>
        <w:rPr>
          <w:rFonts w:ascii="楷体" w:eastAsia="楷体" w:hint="eastAsia"/>
          <w:b/>
          <w:w w:val="95"/>
          <w:sz w:val="18"/>
        </w:rPr>
        <w:t>怖</w:t>
      </w:r>
      <w:r>
        <w:rPr>
          <w:rFonts w:ascii="楷体" w:eastAsia="楷体" w:hint="eastAsia"/>
          <w:b/>
          <w:w w:val="95"/>
          <w:sz w:val="18"/>
        </w:rPr>
        <w:t>主</w:t>
      </w:r>
      <w:r>
        <w:rPr>
          <w:rFonts w:ascii="楷体" w:eastAsia="楷体" w:hint="eastAsia"/>
          <w:b/>
          <w:w w:val="95"/>
          <w:sz w:val="18"/>
        </w:rPr>
        <w:t>义</w:t>
      </w:r>
      <w:r>
        <w:rPr>
          <w:rFonts w:ascii="楷体" w:eastAsia="楷体" w:hint="eastAsia"/>
          <w:b/>
          <w:w w:val="95"/>
          <w:sz w:val="18"/>
        </w:rPr>
        <w:t>活动：</w:t>
      </w:r>
      <w:r>
        <w:rPr>
          <w:rFonts w:ascii="楷体" w:eastAsia="楷体"/>
          <w:w w:val="95"/>
          <w:sz w:val="18"/>
        </w:rPr>
        <w:t>指</w:t>
      </w:r>
      <w:r>
        <w:rPr>
          <w:rFonts w:ascii="楷体" w:eastAsia="楷体"/>
          <w:w w:val="95"/>
          <w:sz w:val="18"/>
        </w:rPr>
        <w:t>以</w:t>
      </w:r>
      <w:r>
        <w:rPr>
          <w:rFonts w:ascii="楷体" w:eastAsia="楷体"/>
          <w:w w:val="95"/>
          <w:sz w:val="18"/>
        </w:rPr>
        <w:t>制</w:t>
      </w:r>
      <w:r>
        <w:rPr>
          <w:rFonts w:ascii="楷体" w:eastAsia="楷体"/>
          <w:w w:val="95"/>
          <w:sz w:val="18"/>
        </w:rPr>
        <w:t>造</w:t>
      </w:r>
      <w:r>
        <w:rPr>
          <w:rFonts w:ascii="楷体" w:eastAsia="楷体"/>
          <w:w w:val="95"/>
          <w:sz w:val="18"/>
        </w:rPr>
        <w:t>社</w:t>
      </w:r>
      <w:r>
        <w:rPr>
          <w:rFonts w:ascii="楷体" w:eastAsia="楷体"/>
          <w:w w:val="95"/>
          <w:sz w:val="18"/>
        </w:rPr>
        <w:t>会</w:t>
      </w:r>
      <w:r>
        <w:rPr>
          <w:rFonts w:ascii="楷体" w:eastAsia="楷体"/>
          <w:w w:val="95"/>
          <w:sz w:val="18"/>
        </w:rPr>
        <w:t>恐</w:t>
      </w:r>
      <w:r>
        <w:rPr>
          <w:rFonts w:ascii="楷体" w:eastAsia="楷体"/>
          <w:w w:val="95"/>
          <w:sz w:val="18"/>
        </w:rPr>
        <w:t>慌</w:t>
      </w:r>
      <w:r>
        <w:rPr>
          <w:rFonts w:ascii="楷体" w:eastAsia="楷体"/>
          <w:w w:val="95"/>
          <w:sz w:val="18"/>
        </w:rPr>
        <w:t>、</w:t>
      </w:r>
      <w:r>
        <w:rPr>
          <w:rFonts w:ascii="楷体" w:eastAsia="楷体"/>
          <w:w w:val="95"/>
          <w:sz w:val="18"/>
        </w:rPr>
        <w:t>危</w:t>
      </w:r>
      <w:r>
        <w:rPr>
          <w:rFonts w:ascii="楷体" w:eastAsia="楷体"/>
          <w:w w:val="95"/>
          <w:sz w:val="18"/>
        </w:rPr>
        <w:t>害</w:t>
      </w:r>
      <w:r>
        <w:rPr>
          <w:rFonts w:ascii="楷体" w:eastAsia="楷体"/>
          <w:w w:val="95"/>
          <w:sz w:val="18"/>
        </w:rPr>
        <w:t>公</w:t>
      </w:r>
      <w:r>
        <w:rPr>
          <w:rFonts w:ascii="楷体" w:eastAsia="楷体"/>
          <w:w w:val="95"/>
          <w:sz w:val="18"/>
        </w:rPr>
        <w:t>共</w:t>
      </w:r>
      <w:r>
        <w:rPr>
          <w:rFonts w:ascii="楷体" w:eastAsia="楷体"/>
          <w:w w:val="95"/>
          <w:sz w:val="18"/>
        </w:rPr>
        <w:t>安</w:t>
      </w:r>
      <w:r>
        <w:rPr>
          <w:rFonts w:ascii="楷体" w:eastAsia="楷体"/>
          <w:w w:val="95"/>
          <w:sz w:val="18"/>
        </w:rPr>
        <w:t>全</w:t>
      </w:r>
      <w:r>
        <w:rPr>
          <w:rFonts w:ascii="楷体" w:eastAsia="楷体"/>
          <w:w w:val="95"/>
          <w:sz w:val="18"/>
        </w:rPr>
        <w:t>或</w:t>
      </w:r>
      <w:r>
        <w:rPr>
          <w:rFonts w:ascii="楷体" w:eastAsia="楷体"/>
          <w:w w:val="95"/>
          <w:sz w:val="18"/>
        </w:rPr>
        <w:t>胁</w:t>
      </w:r>
      <w:r>
        <w:rPr>
          <w:rFonts w:ascii="楷体" w:eastAsia="楷体"/>
          <w:w w:val="95"/>
          <w:sz w:val="18"/>
        </w:rPr>
        <w:t>迫</w:t>
      </w:r>
      <w:r>
        <w:rPr>
          <w:rFonts w:ascii="楷体" w:eastAsia="楷体"/>
          <w:w w:val="95"/>
          <w:sz w:val="18"/>
        </w:rPr>
        <w:t>国</w:t>
      </w:r>
      <w:r>
        <w:rPr>
          <w:rFonts w:ascii="楷体" w:eastAsia="楷体"/>
          <w:w w:val="95"/>
          <w:sz w:val="18"/>
        </w:rPr>
        <w:t>家</w:t>
      </w:r>
      <w:r>
        <w:rPr>
          <w:rFonts w:ascii="楷体" w:eastAsia="楷体"/>
          <w:w w:val="95"/>
          <w:sz w:val="18"/>
        </w:rPr>
        <w:t>机</w:t>
      </w:r>
      <w:r>
        <w:rPr>
          <w:rFonts w:ascii="楷体" w:eastAsia="楷体"/>
          <w:w w:val="95"/>
          <w:sz w:val="18"/>
        </w:rPr>
        <w:t>关</w:t>
      </w:r>
      <w:r>
        <w:rPr>
          <w:rFonts w:ascii="楷体" w:eastAsia="楷体"/>
          <w:w w:val="95"/>
          <w:sz w:val="18"/>
        </w:rPr>
        <w:t>、</w:t>
      </w:r>
      <w:r>
        <w:rPr>
          <w:rFonts w:ascii="楷体" w:eastAsia="楷体"/>
          <w:w w:val="95"/>
          <w:sz w:val="18"/>
        </w:rPr>
        <w:t>国</w:t>
      </w:r>
      <w:r>
        <w:rPr>
          <w:rFonts w:ascii="楷体" w:eastAsia="楷体"/>
          <w:w w:val="95"/>
          <w:sz w:val="18"/>
        </w:rPr>
        <w:t>际</w:t>
      </w:r>
      <w:r>
        <w:rPr>
          <w:rFonts w:ascii="楷体" w:eastAsia="楷体"/>
          <w:w w:val="95"/>
          <w:sz w:val="18"/>
        </w:rPr>
        <w:t>组</w:t>
      </w:r>
      <w:r>
        <w:rPr>
          <w:rFonts w:ascii="楷体" w:eastAsia="楷体"/>
          <w:w w:val="95"/>
          <w:sz w:val="18"/>
        </w:rPr>
        <w:t>织</w:t>
      </w:r>
      <w:r>
        <w:rPr>
          <w:rFonts w:ascii="楷体" w:eastAsia="楷体"/>
          <w:w w:val="95"/>
          <w:sz w:val="18"/>
        </w:rPr>
        <w:t>为</w:t>
      </w:r>
      <w:r>
        <w:rPr>
          <w:rFonts w:ascii="楷体" w:eastAsia="楷体"/>
          <w:w w:val="95"/>
          <w:sz w:val="18"/>
        </w:rPr>
        <w:t>目</w:t>
      </w:r>
      <w:r>
        <w:rPr>
          <w:rFonts w:ascii="楷体" w:eastAsia="楷体"/>
          <w:w w:val="95"/>
          <w:sz w:val="18"/>
        </w:rPr>
        <w:t>的</w:t>
      </w:r>
      <w:r>
        <w:rPr>
          <w:rFonts w:ascii="楷体" w:eastAsia="楷体"/>
          <w:w w:val="95"/>
          <w:sz w:val="18"/>
        </w:rPr>
        <w:t>，</w:t>
      </w:r>
      <w:r>
        <w:rPr>
          <w:rFonts w:ascii="楷体" w:eastAsia="楷体"/>
          <w:w w:val="95"/>
          <w:sz w:val="18"/>
        </w:rPr>
        <w:t>采</w:t>
      </w:r>
      <w:r>
        <w:rPr>
          <w:rFonts w:ascii="楷体" w:eastAsia="楷体"/>
          <w:w w:val="95"/>
          <w:sz w:val="18"/>
        </w:rPr>
        <w:t>取</w:t>
      </w:r>
      <w:r>
        <w:rPr>
          <w:rFonts w:ascii="楷体" w:eastAsia="楷体"/>
          <w:w w:val="95"/>
          <w:sz w:val="18"/>
        </w:rPr>
        <w:t>暴</w:t>
      </w:r>
      <w:r>
        <w:rPr>
          <w:rFonts w:ascii="楷体" w:eastAsia="楷体"/>
          <w:w w:val="95"/>
          <w:sz w:val="18"/>
        </w:rPr>
        <w:t>力</w:t>
      </w:r>
      <w:r>
        <w:rPr>
          <w:rFonts w:ascii="楷体" w:eastAsia="楷体"/>
          <w:w w:val="95"/>
          <w:sz w:val="18"/>
        </w:rPr>
        <w:t>、</w:t>
      </w:r>
      <w:r>
        <w:rPr>
          <w:rFonts w:ascii="楷体" w:eastAsia="楷体"/>
          <w:w w:val="95"/>
          <w:sz w:val="18"/>
        </w:rPr>
        <w:t>破</w:t>
      </w:r>
      <w:r>
        <w:rPr>
          <w:rFonts w:ascii="楷体" w:eastAsia="楷体"/>
          <w:w w:val="95"/>
          <w:sz w:val="18"/>
        </w:rPr>
        <w:t>坏</w:t>
      </w:r>
      <w:r>
        <w:rPr>
          <w:rFonts w:ascii="楷体" w:eastAsia="楷体"/>
          <w:w w:val="95"/>
          <w:sz w:val="18"/>
        </w:rPr>
        <w:t>、</w:t>
      </w:r>
      <w:r>
        <w:rPr>
          <w:rFonts w:ascii="楷体" w:eastAsia="楷体"/>
          <w:w w:val="95"/>
          <w:sz w:val="18"/>
        </w:rPr>
        <w:t>恐</w:t>
      </w:r>
      <w:r>
        <w:rPr>
          <w:rFonts w:ascii="楷体" w:eastAsia="楷体"/>
          <w:w w:val="95"/>
          <w:sz w:val="18"/>
        </w:rPr>
        <w:t>吓</w:t>
      </w:r>
      <w:r>
        <w:rPr>
          <w:rFonts w:ascii="楷体" w:eastAsia="楷体"/>
          <w:w w:val="95"/>
          <w:sz w:val="18"/>
        </w:rPr>
        <w:t>等</w:t>
      </w:r>
      <w:r>
        <w:rPr>
          <w:rFonts w:ascii="楷体" w:eastAsia="楷体"/>
          <w:w w:val="95"/>
          <w:sz w:val="18"/>
        </w:rPr>
        <w:t>手段，</w:t>
      </w:r>
      <w:r>
        <w:rPr>
          <w:rFonts w:ascii="楷体" w:eastAsia="楷体"/>
          <w:w w:val="95"/>
          <w:sz w:val="18"/>
        </w:rPr>
        <w:t>造</w:t>
      </w:r>
      <w:r>
        <w:rPr>
          <w:rFonts w:ascii="楷体" w:eastAsia="楷体"/>
          <w:spacing w:val="-10"/>
          <w:w w:val="95"/>
          <w:sz w:val="18"/>
        </w:rPr>
        <w:t>成</w:t>
      </w:r>
    </w:p>
    <w:p>
      <w:pPr>
        <w:spacing w:line="242" w:lineRule="auto" w:before="3"/>
        <w:ind w:left="160" w:right="538" w:firstLine="0"/>
        <w:jc w:val="left"/>
        <w:rPr>
          <w:rFonts w:ascii="楷体" w:eastAsia="楷体"/>
          <w:sz w:val="18"/>
        </w:rPr>
      </w:pPr>
      <w:r>
        <w:rPr>
          <w:rFonts w:ascii="楷体" w:eastAsia="楷体"/>
          <w:spacing w:val="-2"/>
          <w:sz w:val="18"/>
        </w:rPr>
        <w:t>或意图造成人员伤亡、重大财产损失、公共设施损坏、社会秩序混乱等严重社会危害的行为，以及煽动、资助或以其他方式</w:t>
      </w:r>
      <w:r>
        <w:rPr>
          <w:rFonts w:ascii="楷体" w:eastAsia="楷体"/>
          <w:spacing w:val="-2"/>
          <w:sz w:val="18"/>
        </w:rPr>
        <w:t>协助实施上述活动的行为。</w:t>
      </w:r>
    </w:p>
    <w:p>
      <w:pPr>
        <w:spacing w:before="2"/>
        <w:ind w:left="160" w:right="0" w:firstLine="0"/>
        <w:jc w:val="left"/>
        <w:rPr>
          <w:rFonts w:ascii="楷体" w:eastAsia="楷体"/>
          <w:sz w:val="18"/>
        </w:rPr>
      </w:pPr>
      <w:r>
        <w:rPr>
          <w:b/>
          <w:w w:val="95"/>
          <w:position w:val="9"/>
          <w:sz w:val="9"/>
        </w:rPr>
        <w:t>32</w:t>
      </w:r>
      <w:r>
        <w:rPr>
          <w:rFonts w:ascii="楷体" w:eastAsia="楷体" w:hint="eastAsia"/>
          <w:b/>
          <w:w w:val="95"/>
          <w:sz w:val="18"/>
        </w:rPr>
        <w:t>暴</w:t>
      </w:r>
      <w:r>
        <w:rPr>
          <w:rFonts w:ascii="楷体" w:eastAsia="楷体" w:hint="eastAsia"/>
          <w:b/>
          <w:w w:val="95"/>
          <w:sz w:val="18"/>
        </w:rPr>
        <w:t>乱</w:t>
      </w:r>
      <w:r>
        <w:rPr>
          <w:rFonts w:ascii="楷体" w:eastAsia="楷体"/>
          <w:w w:val="95"/>
          <w:sz w:val="18"/>
        </w:rPr>
        <w:t>：</w:t>
      </w:r>
      <w:r>
        <w:rPr>
          <w:rFonts w:ascii="楷体" w:eastAsia="楷体"/>
          <w:w w:val="95"/>
          <w:sz w:val="18"/>
        </w:rPr>
        <w:t>指</w:t>
      </w:r>
      <w:r>
        <w:rPr>
          <w:rFonts w:ascii="楷体" w:eastAsia="楷体"/>
          <w:w w:val="95"/>
          <w:sz w:val="18"/>
        </w:rPr>
        <w:t>破</w:t>
      </w:r>
      <w:r>
        <w:rPr>
          <w:rFonts w:ascii="楷体" w:eastAsia="楷体"/>
          <w:w w:val="95"/>
          <w:sz w:val="18"/>
        </w:rPr>
        <w:t>坏</w:t>
      </w:r>
      <w:r>
        <w:rPr>
          <w:rFonts w:ascii="楷体" w:eastAsia="楷体"/>
          <w:w w:val="95"/>
          <w:sz w:val="18"/>
        </w:rPr>
        <w:t>社</w:t>
      </w:r>
      <w:r>
        <w:rPr>
          <w:rFonts w:ascii="楷体" w:eastAsia="楷体"/>
          <w:w w:val="95"/>
          <w:sz w:val="18"/>
        </w:rPr>
        <w:t>会</w:t>
      </w:r>
      <w:r>
        <w:rPr>
          <w:rFonts w:ascii="楷体" w:eastAsia="楷体"/>
          <w:w w:val="95"/>
          <w:sz w:val="18"/>
        </w:rPr>
        <w:t>秩</w:t>
      </w:r>
      <w:r>
        <w:rPr>
          <w:rFonts w:ascii="楷体" w:eastAsia="楷体"/>
          <w:w w:val="95"/>
          <w:sz w:val="18"/>
        </w:rPr>
        <w:t>序</w:t>
      </w:r>
      <w:r>
        <w:rPr>
          <w:rFonts w:ascii="楷体" w:eastAsia="楷体"/>
          <w:w w:val="95"/>
          <w:sz w:val="18"/>
        </w:rPr>
        <w:t>的</w:t>
      </w:r>
      <w:r>
        <w:rPr>
          <w:rFonts w:ascii="楷体" w:eastAsia="楷体"/>
          <w:w w:val="95"/>
          <w:sz w:val="18"/>
        </w:rPr>
        <w:t>武</w:t>
      </w:r>
      <w:r>
        <w:rPr>
          <w:rFonts w:ascii="楷体" w:eastAsia="楷体"/>
          <w:w w:val="95"/>
          <w:sz w:val="18"/>
        </w:rPr>
        <w:t>装</w:t>
      </w:r>
      <w:r>
        <w:rPr>
          <w:rFonts w:ascii="楷体" w:eastAsia="楷体"/>
          <w:w w:val="95"/>
          <w:sz w:val="18"/>
        </w:rPr>
        <w:t>骚</w:t>
      </w:r>
      <w:r>
        <w:rPr>
          <w:rFonts w:ascii="楷体" w:eastAsia="楷体"/>
          <w:w w:val="95"/>
          <w:sz w:val="18"/>
        </w:rPr>
        <w:t>动</w:t>
      </w:r>
      <w:r>
        <w:rPr>
          <w:rFonts w:ascii="楷体" w:eastAsia="楷体"/>
          <w:w w:val="95"/>
          <w:sz w:val="18"/>
        </w:rPr>
        <w:t>，</w:t>
      </w:r>
      <w:r>
        <w:rPr>
          <w:rFonts w:ascii="楷体" w:eastAsia="楷体"/>
          <w:w w:val="95"/>
          <w:sz w:val="18"/>
        </w:rPr>
        <w:t>以</w:t>
      </w:r>
      <w:r>
        <w:rPr>
          <w:rFonts w:ascii="楷体" w:eastAsia="楷体"/>
          <w:w w:val="95"/>
          <w:sz w:val="18"/>
        </w:rPr>
        <w:t>政</w:t>
      </w:r>
      <w:r>
        <w:rPr>
          <w:rFonts w:ascii="楷体" w:eastAsia="楷体"/>
          <w:w w:val="95"/>
          <w:sz w:val="18"/>
        </w:rPr>
        <w:t>府</w:t>
      </w:r>
      <w:r>
        <w:rPr>
          <w:rFonts w:ascii="楷体" w:eastAsia="楷体"/>
          <w:w w:val="95"/>
          <w:sz w:val="18"/>
        </w:rPr>
        <w:t>宣</w:t>
      </w:r>
      <w:r>
        <w:rPr>
          <w:rFonts w:ascii="楷体" w:eastAsia="楷体"/>
          <w:w w:val="95"/>
          <w:sz w:val="18"/>
        </w:rPr>
        <w:t>布</w:t>
      </w:r>
      <w:r>
        <w:rPr>
          <w:rFonts w:ascii="楷体" w:eastAsia="楷体"/>
          <w:w w:val="95"/>
          <w:sz w:val="18"/>
        </w:rPr>
        <w:t>为</w:t>
      </w:r>
      <w:r>
        <w:rPr>
          <w:rFonts w:ascii="楷体" w:eastAsia="楷体"/>
          <w:w w:val="95"/>
          <w:sz w:val="18"/>
        </w:rPr>
        <w:t>准</w:t>
      </w:r>
      <w:r>
        <w:rPr>
          <w:rFonts w:ascii="楷体" w:eastAsia="楷体"/>
          <w:spacing w:val="-10"/>
          <w:w w:val="95"/>
          <w:sz w:val="18"/>
        </w:rPr>
        <w:t>。</w:t>
      </w:r>
    </w:p>
    <w:p>
      <w:pPr>
        <w:spacing w:line="242" w:lineRule="auto" w:before="2"/>
        <w:ind w:left="160" w:right="534" w:firstLine="0"/>
        <w:jc w:val="both"/>
        <w:rPr>
          <w:rFonts w:ascii="楷体" w:eastAsia="楷体"/>
          <w:sz w:val="18"/>
        </w:rPr>
      </w:pPr>
      <w:r>
        <w:rPr>
          <w:b/>
          <w:spacing w:val="2"/>
          <w:w w:val="100"/>
          <w:position w:val="9"/>
          <w:sz w:val="9"/>
        </w:rPr>
        <w:t>33</w:t>
      </w:r>
      <w:r>
        <w:rPr>
          <w:rFonts w:ascii="楷体" w:eastAsia="楷体" w:hint="eastAsia"/>
          <w:b/>
          <w:spacing w:val="-1"/>
          <w:w w:val="99"/>
          <w:sz w:val="18"/>
        </w:rPr>
        <w:t>感染艾滋病病毒或患艾滋病：</w:t>
      </w:r>
      <w:r>
        <w:rPr>
          <w:rFonts w:ascii="楷体" w:eastAsia="楷体"/>
          <w:spacing w:val="-4"/>
          <w:sz w:val="18"/>
        </w:rPr>
        <w:t>艾滋病毒指人类免疫缺陷病毒，英文缩写为 </w:t>
      </w:r>
      <w:r>
        <w:rPr>
          <w:rFonts w:ascii="楷体" w:eastAsia="楷体"/>
          <w:spacing w:val="1"/>
          <w:sz w:val="18"/>
        </w:rPr>
        <w:t>H</w:t>
      </w:r>
      <w:r>
        <w:rPr>
          <w:rFonts w:ascii="楷体" w:eastAsia="楷体"/>
          <w:spacing w:val="-2"/>
          <w:sz w:val="18"/>
        </w:rPr>
        <w:t>I</w:t>
      </w:r>
      <w:r>
        <w:rPr>
          <w:rFonts w:ascii="楷体" w:eastAsia="楷体"/>
          <w:spacing w:val="1"/>
          <w:sz w:val="18"/>
        </w:rPr>
        <w:t>V</w:t>
      </w:r>
      <w:r>
        <w:rPr>
          <w:rFonts w:ascii="楷体" w:eastAsia="楷体"/>
          <w:spacing w:val="-4"/>
          <w:sz w:val="18"/>
        </w:rPr>
        <w:t>。艾滋病指人类免疫缺陷病毒引起的获得性人类免疫缺陷综合征，英文缩写为 </w:t>
      </w:r>
      <w:r>
        <w:rPr>
          <w:rFonts w:ascii="楷体" w:eastAsia="楷体"/>
          <w:spacing w:val="1"/>
          <w:sz w:val="18"/>
        </w:rPr>
        <w:t>A</w:t>
      </w:r>
      <w:r>
        <w:rPr>
          <w:rFonts w:ascii="楷体" w:eastAsia="楷体"/>
          <w:spacing w:val="-2"/>
          <w:sz w:val="18"/>
        </w:rPr>
        <w:t>I</w:t>
      </w:r>
      <w:r>
        <w:rPr>
          <w:rFonts w:ascii="楷体" w:eastAsia="楷体"/>
          <w:spacing w:val="1"/>
          <w:sz w:val="18"/>
        </w:rPr>
        <w:t>D</w:t>
      </w:r>
      <w:r>
        <w:rPr>
          <w:rFonts w:ascii="楷体" w:eastAsia="楷体"/>
          <w:spacing w:val="2"/>
          <w:sz w:val="18"/>
        </w:rPr>
        <w:t>S</w:t>
      </w:r>
      <w:r>
        <w:rPr>
          <w:rFonts w:ascii="楷体" w:eastAsia="楷体"/>
          <w:spacing w:val="-4"/>
          <w:sz w:val="18"/>
        </w:rPr>
        <w:t>。在人体血液或其他样本中检测到艾滋病毒或其抗体呈阳性，没有出现临床症状或体征的，为感染艾滋病病毒；如果同时出现了明显临床症状或体征的，为患艾滋病。</w:t>
      </w:r>
    </w:p>
    <w:p>
      <w:pPr>
        <w:spacing w:before="2"/>
        <w:ind w:left="160" w:right="0" w:firstLine="0"/>
        <w:jc w:val="left"/>
        <w:rPr>
          <w:rFonts w:ascii="楷体" w:eastAsia="楷体"/>
          <w:sz w:val="18"/>
        </w:rPr>
      </w:pPr>
      <w:r>
        <w:rPr>
          <w:b/>
          <w:w w:val="95"/>
          <w:position w:val="9"/>
          <w:sz w:val="9"/>
        </w:rPr>
        <w:t>34</w:t>
      </w:r>
      <w:r>
        <w:rPr>
          <w:rFonts w:ascii="楷体" w:eastAsia="楷体" w:hint="eastAsia"/>
          <w:b/>
          <w:w w:val="95"/>
          <w:sz w:val="18"/>
        </w:rPr>
        <w:t>遗</w:t>
      </w:r>
      <w:r>
        <w:rPr>
          <w:rFonts w:ascii="楷体" w:eastAsia="楷体" w:hint="eastAsia"/>
          <w:b/>
          <w:w w:val="95"/>
          <w:sz w:val="18"/>
        </w:rPr>
        <w:t>传</w:t>
      </w:r>
      <w:r>
        <w:rPr>
          <w:rFonts w:ascii="楷体" w:eastAsia="楷体" w:hint="eastAsia"/>
          <w:b/>
          <w:w w:val="95"/>
          <w:sz w:val="18"/>
        </w:rPr>
        <w:t>性</w:t>
      </w:r>
      <w:r>
        <w:rPr>
          <w:rFonts w:ascii="楷体" w:eastAsia="楷体" w:hint="eastAsia"/>
          <w:b/>
          <w:w w:val="95"/>
          <w:sz w:val="18"/>
        </w:rPr>
        <w:t>疾</w:t>
      </w:r>
      <w:r>
        <w:rPr>
          <w:rFonts w:ascii="楷体" w:eastAsia="楷体" w:hint="eastAsia"/>
          <w:b/>
          <w:w w:val="95"/>
          <w:sz w:val="18"/>
        </w:rPr>
        <w:t>病：</w:t>
      </w:r>
      <w:r>
        <w:rPr>
          <w:rFonts w:ascii="楷体" w:eastAsia="楷体"/>
          <w:w w:val="95"/>
          <w:sz w:val="18"/>
        </w:rPr>
        <w:t>指</w:t>
      </w:r>
      <w:r>
        <w:rPr>
          <w:rFonts w:ascii="楷体" w:eastAsia="楷体"/>
          <w:w w:val="95"/>
          <w:sz w:val="18"/>
        </w:rPr>
        <w:t>生</w:t>
      </w:r>
      <w:r>
        <w:rPr>
          <w:rFonts w:ascii="楷体" w:eastAsia="楷体"/>
          <w:w w:val="95"/>
          <w:sz w:val="18"/>
        </w:rPr>
        <w:t>殖</w:t>
      </w:r>
      <w:r>
        <w:rPr>
          <w:rFonts w:ascii="楷体" w:eastAsia="楷体"/>
          <w:w w:val="95"/>
          <w:sz w:val="18"/>
        </w:rPr>
        <w:t>细</w:t>
      </w:r>
      <w:r>
        <w:rPr>
          <w:rFonts w:ascii="楷体" w:eastAsia="楷体"/>
          <w:w w:val="95"/>
          <w:sz w:val="18"/>
        </w:rPr>
        <w:t>胞</w:t>
      </w:r>
      <w:r>
        <w:rPr>
          <w:rFonts w:ascii="楷体" w:eastAsia="楷体"/>
          <w:w w:val="95"/>
          <w:sz w:val="18"/>
        </w:rPr>
        <w:t>或</w:t>
      </w:r>
      <w:r>
        <w:rPr>
          <w:rFonts w:ascii="楷体" w:eastAsia="楷体"/>
          <w:w w:val="95"/>
          <w:sz w:val="18"/>
        </w:rPr>
        <w:t>受</w:t>
      </w:r>
      <w:r>
        <w:rPr>
          <w:rFonts w:ascii="楷体" w:eastAsia="楷体"/>
          <w:w w:val="95"/>
          <w:sz w:val="18"/>
        </w:rPr>
        <w:t>精</w:t>
      </w:r>
      <w:r>
        <w:rPr>
          <w:rFonts w:ascii="楷体" w:eastAsia="楷体"/>
          <w:w w:val="95"/>
          <w:sz w:val="18"/>
        </w:rPr>
        <w:t>卵</w:t>
      </w:r>
      <w:r>
        <w:rPr>
          <w:rFonts w:ascii="楷体" w:eastAsia="楷体"/>
          <w:w w:val="95"/>
          <w:sz w:val="18"/>
        </w:rPr>
        <w:t>的</w:t>
      </w:r>
      <w:r>
        <w:rPr>
          <w:rFonts w:ascii="楷体" w:eastAsia="楷体"/>
          <w:w w:val="95"/>
          <w:sz w:val="18"/>
        </w:rPr>
        <w:t>遗</w:t>
      </w:r>
      <w:r>
        <w:rPr>
          <w:rFonts w:ascii="楷体" w:eastAsia="楷体"/>
          <w:w w:val="95"/>
          <w:sz w:val="18"/>
        </w:rPr>
        <w:t>传</w:t>
      </w:r>
      <w:r>
        <w:rPr>
          <w:rFonts w:ascii="楷体" w:eastAsia="楷体"/>
          <w:w w:val="95"/>
          <w:sz w:val="18"/>
        </w:rPr>
        <w:t>物</w:t>
      </w:r>
      <w:r>
        <w:rPr>
          <w:rFonts w:ascii="楷体" w:eastAsia="楷体"/>
          <w:w w:val="95"/>
          <w:sz w:val="18"/>
        </w:rPr>
        <w:t>质（</w:t>
      </w:r>
      <w:r>
        <w:rPr>
          <w:rFonts w:ascii="楷体" w:eastAsia="楷体"/>
          <w:w w:val="95"/>
          <w:sz w:val="18"/>
        </w:rPr>
        <w:t>染</w:t>
      </w:r>
      <w:r>
        <w:rPr>
          <w:rFonts w:ascii="楷体" w:eastAsia="楷体"/>
          <w:w w:val="95"/>
          <w:sz w:val="18"/>
        </w:rPr>
        <w:t>色</w:t>
      </w:r>
      <w:r>
        <w:rPr>
          <w:rFonts w:ascii="楷体" w:eastAsia="楷体"/>
          <w:w w:val="95"/>
          <w:sz w:val="18"/>
        </w:rPr>
        <w:t>体</w:t>
      </w:r>
      <w:r>
        <w:rPr>
          <w:rFonts w:ascii="楷体" w:eastAsia="楷体"/>
          <w:w w:val="95"/>
          <w:sz w:val="18"/>
        </w:rPr>
        <w:t>和</w:t>
      </w:r>
      <w:r>
        <w:rPr>
          <w:rFonts w:ascii="楷体" w:eastAsia="楷体"/>
          <w:w w:val="95"/>
          <w:sz w:val="18"/>
        </w:rPr>
        <w:t>基</w:t>
      </w:r>
      <w:r>
        <w:rPr>
          <w:rFonts w:ascii="楷体" w:eastAsia="楷体"/>
          <w:w w:val="95"/>
          <w:sz w:val="18"/>
        </w:rPr>
        <w:t>因</w:t>
      </w:r>
      <w:r>
        <w:rPr>
          <w:rFonts w:ascii="楷体" w:eastAsia="楷体"/>
          <w:w w:val="95"/>
          <w:sz w:val="18"/>
        </w:rPr>
        <w:t>）</w:t>
      </w:r>
      <w:r>
        <w:rPr>
          <w:rFonts w:ascii="楷体" w:eastAsia="楷体"/>
          <w:w w:val="95"/>
          <w:sz w:val="18"/>
        </w:rPr>
        <w:t>发</w:t>
      </w:r>
      <w:r>
        <w:rPr>
          <w:rFonts w:ascii="楷体" w:eastAsia="楷体"/>
          <w:w w:val="95"/>
          <w:sz w:val="18"/>
        </w:rPr>
        <w:t>生</w:t>
      </w:r>
      <w:r>
        <w:rPr>
          <w:rFonts w:ascii="楷体" w:eastAsia="楷体"/>
          <w:w w:val="95"/>
          <w:sz w:val="18"/>
        </w:rPr>
        <w:t>突</w:t>
      </w:r>
      <w:r>
        <w:rPr>
          <w:rFonts w:ascii="楷体" w:eastAsia="楷体"/>
          <w:w w:val="95"/>
          <w:sz w:val="18"/>
        </w:rPr>
        <w:t>变</w:t>
      </w:r>
      <w:r>
        <w:rPr>
          <w:rFonts w:ascii="楷体" w:eastAsia="楷体"/>
          <w:w w:val="95"/>
          <w:sz w:val="18"/>
        </w:rPr>
        <w:t>或</w:t>
      </w:r>
      <w:r>
        <w:rPr>
          <w:rFonts w:ascii="楷体" w:eastAsia="楷体"/>
          <w:w w:val="95"/>
          <w:sz w:val="18"/>
        </w:rPr>
        <w:t>畸</w:t>
      </w:r>
      <w:r>
        <w:rPr>
          <w:rFonts w:ascii="楷体" w:eastAsia="楷体"/>
          <w:w w:val="95"/>
          <w:sz w:val="18"/>
        </w:rPr>
        <w:t>变</w:t>
      </w:r>
      <w:r>
        <w:rPr>
          <w:rFonts w:ascii="楷体" w:eastAsia="楷体"/>
          <w:w w:val="95"/>
          <w:sz w:val="18"/>
        </w:rPr>
        <w:t>所</w:t>
      </w:r>
      <w:r>
        <w:rPr>
          <w:rFonts w:ascii="楷体" w:eastAsia="楷体"/>
          <w:w w:val="95"/>
          <w:sz w:val="18"/>
        </w:rPr>
        <w:t>引</w:t>
      </w:r>
      <w:r>
        <w:rPr>
          <w:rFonts w:ascii="楷体" w:eastAsia="楷体"/>
          <w:w w:val="95"/>
          <w:sz w:val="18"/>
        </w:rPr>
        <w:t>起</w:t>
      </w:r>
      <w:r>
        <w:rPr>
          <w:rFonts w:ascii="楷体" w:eastAsia="楷体"/>
          <w:w w:val="95"/>
          <w:sz w:val="18"/>
        </w:rPr>
        <w:t>的</w:t>
      </w:r>
      <w:r>
        <w:rPr>
          <w:rFonts w:ascii="楷体" w:eastAsia="楷体"/>
          <w:w w:val="95"/>
          <w:sz w:val="18"/>
        </w:rPr>
        <w:t>疾</w:t>
      </w:r>
      <w:r>
        <w:rPr>
          <w:rFonts w:ascii="楷体" w:eastAsia="楷体"/>
          <w:w w:val="95"/>
          <w:sz w:val="18"/>
        </w:rPr>
        <w:t>病</w:t>
      </w:r>
      <w:r>
        <w:rPr>
          <w:rFonts w:ascii="楷体" w:eastAsia="楷体"/>
          <w:w w:val="95"/>
          <w:sz w:val="18"/>
        </w:rPr>
        <w:t>，</w:t>
      </w:r>
      <w:r>
        <w:rPr>
          <w:rFonts w:ascii="楷体" w:eastAsia="楷体"/>
          <w:w w:val="95"/>
          <w:sz w:val="18"/>
        </w:rPr>
        <w:t>通</w:t>
      </w:r>
      <w:r>
        <w:rPr>
          <w:rFonts w:ascii="楷体" w:eastAsia="楷体"/>
          <w:w w:val="95"/>
          <w:sz w:val="18"/>
        </w:rPr>
        <w:t>常</w:t>
      </w:r>
      <w:r>
        <w:rPr>
          <w:rFonts w:ascii="楷体" w:eastAsia="楷体"/>
          <w:w w:val="95"/>
          <w:sz w:val="18"/>
        </w:rPr>
        <w:t>具</w:t>
      </w:r>
      <w:r>
        <w:rPr>
          <w:rFonts w:ascii="楷体" w:eastAsia="楷体"/>
          <w:w w:val="95"/>
          <w:sz w:val="18"/>
        </w:rPr>
        <w:t>有</w:t>
      </w:r>
      <w:r>
        <w:rPr>
          <w:rFonts w:ascii="楷体" w:eastAsia="楷体"/>
          <w:w w:val="95"/>
          <w:sz w:val="18"/>
        </w:rPr>
        <w:t>由</w:t>
      </w:r>
      <w:r>
        <w:rPr>
          <w:rFonts w:ascii="楷体" w:eastAsia="楷体"/>
          <w:w w:val="95"/>
          <w:sz w:val="18"/>
        </w:rPr>
        <w:t>亲</w:t>
      </w:r>
      <w:r>
        <w:rPr>
          <w:rFonts w:ascii="楷体" w:eastAsia="楷体"/>
          <w:w w:val="95"/>
          <w:sz w:val="18"/>
        </w:rPr>
        <w:t>代</w:t>
      </w:r>
      <w:r>
        <w:rPr>
          <w:rFonts w:ascii="楷体" w:eastAsia="楷体"/>
          <w:w w:val="95"/>
          <w:sz w:val="18"/>
        </w:rPr>
        <w:t>传</w:t>
      </w:r>
      <w:r>
        <w:rPr>
          <w:rFonts w:ascii="楷体" w:eastAsia="楷体"/>
          <w:w w:val="95"/>
          <w:sz w:val="18"/>
        </w:rPr>
        <w:t>至</w:t>
      </w:r>
      <w:r>
        <w:rPr>
          <w:rFonts w:ascii="楷体" w:eastAsia="楷体"/>
          <w:w w:val="95"/>
          <w:sz w:val="18"/>
        </w:rPr>
        <w:t>后</w:t>
      </w:r>
      <w:r>
        <w:rPr>
          <w:rFonts w:ascii="楷体" w:eastAsia="楷体"/>
          <w:w w:val="95"/>
          <w:sz w:val="18"/>
        </w:rPr>
        <w:t>代</w:t>
      </w:r>
      <w:r>
        <w:rPr>
          <w:rFonts w:ascii="楷体" w:eastAsia="楷体"/>
          <w:spacing w:val="-10"/>
          <w:w w:val="95"/>
          <w:sz w:val="18"/>
        </w:rPr>
        <w:t>的</w:t>
      </w:r>
    </w:p>
    <w:p>
      <w:pPr>
        <w:spacing w:before="2"/>
        <w:ind w:left="160" w:right="0" w:firstLine="0"/>
        <w:jc w:val="left"/>
        <w:rPr>
          <w:rFonts w:ascii="楷体" w:eastAsia="楷体"/>
          <w:sz w:val="18"/>
        </w:rPr>
      </w:pPr>
      <w:r>
        <w:rPr>
          <w:rFonts w:ascii="楷体" w:eastAsia="楷体"/>
          <w:spacing w:val="-2"/>
          <w:sz w:val="18"/>
        </w:rPr>
        <w:t>垂直传递的特征。</w:t>
      </w:r>
    </w:p>
    <w:p>
      <w:pPr>
        <w:spacing w:before="2"/>
        <w:ind w:left="160" w:right="0" w:firstLine="0"/>
        <w:jc w:val="left"/>
        <w:rPr>
          <w:rFonts w:ascii="楷体" w:eastAsia="楷体"/>
          <w:sz w:val="18"/>
        </w:rPr>
      </w:pPr>
      <w:r>
        <w:rPr>
          <w:b/>
          <w:w w:val="95"/>
          <w:position w:val="9"/>
          <w:sz w:val="9"/>
        </w:rPr>
        <w:t>35</w:t>
      </w:r>
      <w:r>
        <w:rPr>
          <w:rFonts w:ascii="楷体" w:eastAsia="楷体" w:hint="eastAsia"/>
          <w:b/>
          <w:w w:val="95"/>
          <w:sz w:val="18"/>
        </w:rPr>
        <w:t>先</w:t>
      </w:r>
      <w:r>
        <w:rPr>
          <w:rFonts w:ascii="楷体" w:eastAsia="楷体" w:hint="eastAsia"/>
          <w:b/>
          <w:w w:val="95"/>
          <w:sz w:val="18"/>
        </w:rPr>
        <w:t>天</w:t>
      </w:r>
      <w:r>
        <w:rPr>
          <w:rFonts w:ascii="楷体" w:eastAsia="楷体" w:hint="eastAsia"/>
          <w:b/>
          <w:w w:val="95"/>
          <w:sz w:val="18"/>
        </w:rPr>
        <w:t>性</w:t>
      </w:r>
      <w:r>
        <w:rPr>
          <w:rFonts w:ascii="楷体" w:eastAsia="楷体" w:hint="eastAsia"/>
          <w:b/>
          <w:w w:val="95"/>
          <w:sz w:val="18"/>
        </w:rPr>
        <w:t>畸</w:t>
      </w:r>
      <w:r>
        <w:rPr>
          <w:rFonts w:ascii="楷体" w:eastAsia="楷体" w:hint="eastAsia"/>
          <w:b/>
          <w:w w:val="95"/>
          <w:sz w:val="18"/>
        </w:rPr>
        <w:t>形、</w:t>
      </w:r>
      <w:r>
        <w:rPr>
          <w:rFonts w:ascii="楷体" w:eastAsia="楷体" w:hint="eastAsia"/>
          <w:b/>
          <w:w w:val="95"/>
          <w:sz w:val="18"/>
        </w:rPr>
        <w:t>变</w:t>
      </w:r>
      <w:r>
        <w:rPr>
          <w:rFonts w:ascii="楷体" w:eastAsia="楷体" w:hint="eastAsia"/>
          <w:b/>
          <w:w w:val="95"/>
          <w:sz w:val="18"/>
        </w:rPr>
        <w:t>形</w:t>
      </w:r>
      <w:r>
        <w:rPr>
          <w:rFonts w:ascii="楷体" w:eastAsia="楷体" w:hint="eastAsia"/>
          <w:b/>
          <w:w w:val="95"/>
          <w:sz w:val="18"/>
        </w:rPr>
        <w:t>或</w:t>
      </w:r>
      <w:r>
        <w:rPr>
          <w:rFonts w:ascii="楷体" w:eastAsia="楷体" w:hint="eastAsia"/>
          <w:b/>
          <w:w w:val="95"/>
          <w:sz w:val="18"/>
        </w:rPr>
        <w:t>染</w:t>
      </w:r>
      <w:r>
        <w:rPr>
          <w:rFonts w:ascii="楷体" w:eastAsia="楷体" w:hint="eastAsia"/>
          <w:b/>
          <w:w w:val="95"/>
          <w:sz w:val="18"/>
        </w:rPr>
        <w:t>色</w:t>
      </w:r>
      <w:r>
        <w:rPr>
          <w:rFonts w:ascii="楷体" w:eastAsia="楷体" w:hint="eastAsia"/>
          <w:b/>
          <w:w w:val="95"/>
          <w:sz w:val="18"/>
        </w:rPr>
        <w:t>体</w:t>
      </w:r>
      <w:r>
        <w:rPr>
          <w:rFonts w:ascii="楷体" w:eastAsia="楷体" w:hint="eastAsia"/>
          <w:b/>
          <w:w w:val="95"/>
          <w:sz w:val="18"/>
        </w:rPr>
        <w:t>异</w:t>
      </w:r>
      <w:r>
        <w:rPr>
          <w:rFonts w:ascii="楷体" w:eastAsia="楷体" w:hint="eastAsia"/>
          <w:b/>
          <w:w w:val="95"/>
          <w:sz w:val="18"/>
        </w:rPr>
        <w:t>常</w:t>
      </w:r>
      <w:r>
        <w:rPr>
          <w:rFonts w:ascii="楷体" w:eastAsia="楷体" w:hint="eastAsia"/>
          <w:b/>
          <w:w w:val="95"/>
          <w:sz w:val="18"/>
        </w:rPr>
        <w:t>：</w:t>
      </w:r>
      <w:r>
        <w:rPr>
          <w:rFonts w:ascii="楷体" w:eastAsia="楷体"/>
          <w:w w:val="95"/>
          <w:sz w:val="18"/>
        </w:rPr>
        <w:t>指</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出</w:t>
      </w:r>
      <w:r>
        <w:rPr>
          <w:rFonts w:ascii="楷体" w:eastAsia="楷体"/>
          <w:w w:val="95"/>
          <w:sz w:val="18"/>
        </w:rPr>
        <w:t>生</w:t>
      </w:r>
      <w:r>
        <w:rPr>
          <w:rFonts w:ascii="楷体" w:eastAsia="楷体"/>
          <w:w w:val="95"/>
          <w:sz w:val="18"/>
        </w:rPr>
        <w:t>时</w:t>
      </w:r>
      <w:r>
        <w:rPr>
          <w:rFonts w:ascii="楷体" w:eastAsia="楷体"/>
          <w:w w:val="95"/>
          <w:sz w:val="18"/>
        </w:rPr>
        <w:t>就</w:t>
      </w:r>
      <w:r>
        <w:rPr>
          <w:rFonts w:ascii="楷体" w:eastAsia="楷体"/>
          <w:w w:val="95"/>
          <w:sz w:val="18"/>
        </w:rPr>
        <w:t>具</w:t>
      </w:r>
      <w:r>
        <w:rPr>
          <w:rFonts w:ascii="楷体" w:eastAsia="楷体"/>
          <w:w w:val="95"/>
          <w:sz w:val="18"/>
        </w:rPr>
        <w:t>有</w:t>
      </w:r>
      <w:r>
        <w:rPr>
          <w:rFonts w:ascii="楷体" w:eastAsia="楷体"/>
          <w:w w:val="95"/>
          <w:sz w:val="18"/>
        </w:rPr>
        <w:t>的</w:t>
      </w:r>
      <w:r>
        <w:rPr>
          <w:rFonts w:ascii="楷体" w:eastAsia="楷体"/>
          <w:w w:val="95"/>
          <w:sz w:val="18"/>
        </w:rPr>
        <w:t>畸</w:t>
      </w:r>
      <w:r>
        <w:rPr>
          <w:rFonts w:ascii="楷体" w:eastAsia="楷体"/>
          <w:w w:val="95"/>
          <w:sz w:val="18"/>
        </w:rPr>
        <w:t>形</w:t>
      </w:r>
      <w:r>
        <w:rPr>
          <w:rFonts w:ascii="楷体" w:eastAsia="楷体"/>
          <w:w w:val="95"/>
          <w:sz w:val="18"/>
        </w:rPr>
        <w:t>、</w:t>
      </w:r>
      <w:r>
        <w:rPr>
          <w:rFonts w:ascii="楷体" w:eastAsia="楷体"/>
          <w:w w:val="95"/>
          <w:sz w:val="18"/>
        </w:rPr>
        <w:t>变</w:t>
      </w:r>
      <w:r>
        <w:rPr>
          <w:rFonts w:ascii="楷体" w:eastAsia="楷体"/>
          <w:w w:val="95"/>
          <w:sz w:val="18"/>
        </w:rPr>
        <w:t>形</w:t>
      </w:r>
      <w:r>
        <w:rPr>
          <w:rFonts w:ascii="楷体" w:eastAsia="楷体"/>
          <w:w w:val="95"/>
          <w:sz w:val="18"/>
        </w:rPr>
        <w:t>或</w:t>
      </w:r>
      <w:r>
        <w:rPr>
          <w:rFonts w:ascii="楷体" w:eastAsia="楷体"/>
          <w:w w:val="95"/>
          <w:sz w:val="18"/>
        </w:rPr>
        <w:t>染</w:t>
      </w:r>
      <w:r>
        <w:rPr>
          <w:rFonts w:ascii="楷体" w:eastAsia="楷体"/>
          <w:w w:val="95"/>
          <w:sz w:val="18"/>
        </w:rPr>
        <w:t>色</w:t>
      </w:r>
      <w:r>
        <w:rPr>
          <w:rFonts w:ascii="楷体" w:eastAsia="楷体"/>
          <w:w w:val="95"/>
          <w:sz w:val="18"/>
        </w:rPr>
        <w:t>体</w:t>
      </w:r>
      <w:r>
        <w:rPr>
          <w:rFonts w:ascii="楷体" w:eastAsia="楷体"/>
          <w:w w:val="95"/>
          <w:sz w:val="18"/>
        </w:rPr>
        <w:t>异</w:t>
      </w:r>
      <w:r>
        <w:rPr>
          <w:rFonts w:ascii="楷体" w:eastAsia="楷体"/>
          <w:w w:val="95"/>
          <w:sz w:val="18"/>
        </w:rPr>
        <w:t>常</w:t>
      </w:r>
      <w:r>
        <w:rPr>
          <w:rFonts w:ascii="楷体" w:eastAsia="楷体"/>
          <w:w w:val="95"/>
          <w:sz w:val="18"/>
        </w:rPr>
        <w:t>。</w:t>
      </w:r>
      <w:r>
        <w:rPr>
          <w:rFonts w:ascii="楷体" w:eastAsia="楷体"/>
          <w:w w:val="95"/>
          <w:sz w:val="18"/>
        </w:rPr>
        <w:t>先</w:t>
      </w:r>
      <w:r>
        <w:rPr>
          <w:rFonts w:ascii="楷体" w:eastAsia="楷体"/>
          <w:w w:val="95"/>
          <w:sz w:val="18"/>
        </w:rPr>
        <w:t>天</w:t>
      </w:r>
      <w:r>
        <w:rPr>
          <w:rFonts w:ascii="楷体" w:eastAsia="楷体"/>
          <w:w w:val="95"/>
          <w:sz w:val="18"/>
        </w:rPr>
        <w:t>性</w:t>
      </w:r>
      <w:r>
        <w:rPr>
          <w:rFonts w:ascii="楷体" w:eastAsia="楷体"/>
          <w:w w:val="95"/>
          <w:sz w:val="18"/>
        </w:rPr>
        <w:t>畸</w:t>
      </w:r>
      <w:r>
        <w:rPr>
          <w:rFonts w:ascii="楷体" w:eastAsia="楷体"/>
          <w:w w:val="95"/>
          <w:sz w:val="18"/>
        </w:rPr>
        <w:t>形</w:t>
      </w:r>
      <w:r>
        <w:rPr>
          <w:rFonts w:ascii="楷体" w:eastAsia="楷体"/>
          <w:w w:val="95"/>
          <w:sz w:val="18"/>
        </w:rPr>
        <w:t>、</w:t>
      </w:r>
      <w:r>
        <w:rPr>
          <w:rFonts w:ascii="楷体" w:eastAsia="楷体"/>
          <w:w w:val="95"/>
          <w:sz w:val="18"/>
        </w:rPr>
        <w:t>变</w:t>
      </w:r>
      <w:r>
        <w:rPr>
          <w:rFonts w:ascii="楷体" w:eastAsia="楷体"/>
          <w:w w:val="95"/>
          <w:sz w:val="18"/>
        </w:rPr>
        <w:t>形</w:t>
      </w:r>
      <w:r>
        <w:rPr>
          <w:rFonts w:ascii="楷体" w:eastAsia="楷体"/>
          <w:w w:val="95"/>
          <w:sz w:val="18"/>
        </w:rPr>
        <w:t>和</w:t>
      </w:r>
      <w:r>
        <w:rPr>
          <w:rFonts w:ascii="楷体" w:eastAsia="楷体"/>
          <w:w w:val="95"/>
          <w:sz w:val="18"/>
        </w:rPr>
        <w:t>染</w:t>
      </w:r>
      <w:r>
        <w:rPr>
          <w:rFonts w:ascii="楷体" w:eastAsia="楷体"/>
          <w:w w:val="95"/>
          <w:sz w:val="18"/>
        </w:rPr>
        <w:t>色</w:t>
      </w:r>
      <w:r>
        <w:rPr>
          <w:rFonts w:ascii="楷体" w:eastAsia="楷体"/>
          <w:w w:val="95"/>
          <w:sz w:val="18"/>
        </w:rPr>
        <w:t>体</w:t>
      </w:r>
      <w:r>
        <w:rPr>
          <w:rFonts w:ascii="楷体" w:eastAsia="楷体"/>
          <w:w w:val="95"/>
          <w:sz w:val="18"/>
        </w:rPr>
        <w:t>异</w:t>
      </w:r>
      <w:r>
        <w:rPr>
          <w:rFonts w:ascii="楷体" w:eastAsia="楷体"/>
          <w:w w:val="95"/>
          <w:sz w:val="18"/>
        </w:rPr>
        <w:t>常</w:t>
      </w:r>
      <w:r>
        <w:rPr>
          <w:rFonts w:ascii="楷体" w:eastAsia="楷体"/>
          <w:spacing w:val="-10"/>
          <w:w w:val="95"/>
          <w:sz w:val="18"/>
        </w:rPr>
        <w:t>依</w:t>
      </w:r>
    </w:p>
    <w:p>
      <w:pPr>
        <w:spacing w:before="5"/>
        <w:ind w:left="160" w:right="0" w:firstLine="0"/>
        <w:jc w:val="left"/>
        <w:rPr>
          <w:rFonts w:ascii="楷体" w:eastAsia="楷体"/>
          <w:sz w:val="18"/>
        </w:rPr>
      </w:pPr>
      <w:r>
        <w:rPr>
          <w:rFonts w:ascii="楷体" w:eastAsia="楷体"/>
          <w:sz w:val="18"/>
        </w:rPr>
        <w:t>照世界卫生组织《疾病和有关健康问题的国际统计分类》第十次修订版（ICD-10）</w:t>
      </w:r>
      <w:r>
        <w:rPr>
          <w:rFonts w:ascii="楷体" w:eastAsia="楷体"/>
          <w:spacing w:val="-4"/>
          <w:sz w:val="18"/>
        </w:rPr>
        <w:t>确定。</w:t>
      </w:r>
    </w:p>
    <w:p>
      <w:pPr>
        <w:spacing w:after="0"/>
        <w:jc w:val="left"/>
        <w:rPr>
          <w:rFonts w:ascii="楷体" w:eastAsia="楷体"/>
          <w:sz w:val="18"/>
        </w:rPr>
        <w:sectPr>
          <w:type w:val="continuous"/>
          <w:pgSz w:w="11910" w:h="16840"/>
          <w:pgMar w:header="0" w:footer="659" w:top="480" w:bottom="280" w:left="920" w:right="540"/>
        </w:sectPr>
      </w:pPr>
    </w:p>
    <w:p>
      <w:pPr>
        <w:pStyle w:val="BodyText"/>
        <w:spacing w:before="51"/>
        <w:ind w:left="96" w:right="2007"/>
        <w:jc w:val="center"/>
      </w:pPr>
      <w:r>
        <w:rPr>
          <w:color w:val="000000"/>
          <w:spacing w:val="-2"/>
          <w:shd w:fill="E4E4E4" w:color="auto" w:val="clear"/>
        </w:rPr>
        <w:t>在此限</w:t>
      </w:r>
      <w:r>
        <w:rPr>
          <w:color w:val="000000"/>
          <w:spacing w:val="-111"/>
          <w:shd w:fill="E4E4E4" w:color="auto" w:val="clear"/>
        </w:rPr>
        <w:t>）</w:t>
      </w:r>
      <w:r>
        <w:rPr>
          <w:color w:val="000000"/>
          <w:spacing w:val="-5"/>
          <w:shd w:fill="E4E4E4" w:color="auto" w:val="clear"/>
        </w:rPr>
        <w:t>；</w:t>
      </w:r>
    </w:p>
    <w:p>
      <w:pPr>
        <w:pStyle w:val="BodyText"/>
        <w:spacing w:before="1"/>
        <w:rPr>
          <w:sz w:val="9"/>
        </w:rPr>
      </w:pPr>
    </w:p>
    <w:p>
      <w:pPr>
        <w:pStyle w:val="ListParagraph"/>
        <w:numPr>
          <w:ilvl w:val="1"/>
          <w:numId w:val="5"/>
        </w:numPr>
        <w:tabs>
          <w:tab w:pos="3793" w:val="left" w:leader="none"/>
        </w:tabs>
        <w:spacing w:line="240" w:lineRule="auto" w:before="71" w:after="0"/>
        <w:ind w:left="3792" w:right="0" w:hanging="721"/>
        <w:jc w:val="left"/>
        <w:rPr>
          <w:sz w:val="21"/>
        </w:rPr>
      </w:pPr>
      <w:r>
        <w:rPr>
          <w:color w:val="000000"/>
          <w:spacing w:val="-3"/>
          <w:sz w:val="21"/>
          <w:shd w:fill="E4E4E4" w:color="auto" w:val="clear"/>
        </w:rPr>
        <w:t>战争、军事冲突、恐怖主义活动、暴乱或武装叛乱。</w:t>
      </w:r>
    </w:p>
    <w:p>
      <w:pPr>
        <w:pStyle w:val="BodyText"/>
        <w:spacing w:before="5"/>
        <w:rPr>
          <w:sz w:val="10"/>
        </w:rPr>
      </w:pPr>
      <w:r>
        <w:rPr/>
        <w:pict>
          <v:shape style="position:absolute;margin-left:199.610001pt;margin-top:7.878125pt;width:357.8pt;height:60pt;mso-position-horizontal-relative:page;mso-position-vertical-relative:paragraph;z-index:-15712768;mso-wrap-distance-left:0;mso-wrap-distance-right:0" type="#_x0000_t202" id="docshape24" filled="true" fillcolor="#e4e4e4" stroked="false">
            <v:textbox inset="0,0,0,0">
              <w:txbxContent>
                <w:p>
                  <w:pPr>
                    <w:pStyle w:val="BodyText"/>
                    <w:spacing w:line="266" w:lineRule="auto" w:before="25"/>
                    <w:ind w:right="-15"/>
                    <w:jc w:val="both"/>
                    <w:rPr>
                      <w:color w:val="000000"/>
                    </w:rPr>
                  </w:pPr>
                  <w:r>
                    <w:rPr>
                      <w:color w:val="000000"/>
                      <w:spacing w:val="-4"/>
                    </w:rPr>
                    <w:t>发生上述第（1）项情形导致被保险人发生除身故以外其他保险事故的，本合同</w:t>
                  </w:r>
                  <w:r>
                    <w:rPr>
                      <w:color w:val="000000"/>
                      <w:spacing w:val="-5"/>
                    </w:rPr>
                    <w:t>终止，已交足 </w:t>
                  </w:r>
                  <w:r>
                    <w:rPr>
                      <w:color w:val="000000"/>
                      <w:spacing w:val="-2"/>
                    </w:rPr>
                    <w:t>2</w:t>
                  </w:r>
                  <w:r>
                    <w:rPr>
                      <w:color w:val="000000"/>
                      <w:spacing w:val="-7"/>
                    </w:rPr>
                    <w:t> 年以上保费的，本公司向被保险人退还与该被保险人对应的现</w:t>
                  </w:r>
                  <w:r>
                    <w:rPr>
                      <w:color w:val="000000"/>
                      <w:spacing w:val="-2"/>
                    </w:rPr>
                    <w:t>金价值；发生上述其他情形导致被保险人发生除身故以外其他保险事故的，本</w:t>
                  </w:r>
                  <w:r>
                    <w:rPr>
                      <w:color w:val="000000"/>
                      <w:spacing w:val="-2"/>
                    </w:rPr>
                    <w:t>合同终止，本公司向投保人退还与该被保险人对应的现金价值。</w:t>
                  </w:r>
                </w:p>
              </w:txbxContent>
            </v:textbox>
            <v:fill type="solid"/>
            <w10:wrap type="topAndBottom"/>
          </v:shape>
        </w:pict>
      </w:r>
    </w:p>
    <w:p>
      <w:pPr>
        <w:pStyle w:val="BodyText"/>
        <w:spacing w:before="4"/>
        <w:rPr>
          <w:sz w:val="8"/>
        </w:rPr>
      </w:pPr>
    </w:p>
    <w:p>
      <w:pPr>
        <w:spacing w:after="0"/>
        <w:rPr>
          <w:sz w:val="8"/>
        </w:rPr>
        <w:sectPr>
          <w:pgSz w:w="11910" w:h="16840"/>
          <w:pgMar w:header="0" w:footer="659" w:top="1400" w:bottom="840" w:left="920" w:right="540"/>
        </w:sectPr>
      </w:pPr>
    </w:p>
    <w:p>
      <w:pPr>
        <w:pStyle w:val="Heading2"/>
        <w:numPr>
          <w:ilvl w:val="2"/>
          <w:numId w:val="2"/>
        </w:numPr>
        <w:tabs>
          <w:tab w:pos="1369" w:val="left" w:leader="none"/>
          <w:tab w:pos="1370" w:val="left" w:leader="none"/>
        </w:tabs>
        <w:spacing w:line="240" w:lineRule="auto" w:before="72" w:after="0"/>
        <w:ind w:left="1370" w:right="0" w:hanging="1103"/>
        <w:jc w:val="left"/>
      </w:pPr>
      <w:r>
        <w:rPr/>
        <w:drawing>
          <wp:anchor distT="0" distB="0" distL="0" distR="0" allowOverlap="1" layoutInCell="1" locked="0" behindDoc="1" simplePos="0" relativeHeight="486119936">
            <wp:simplePos x="0" y="0"/>
            <wp:positionH relativeFrom="page">
              <wp:posOffset>2535047</wp:posOffset>
            </wp:positionH>
            <wp:positionV relativeFrom="paragraph">
              <wp:posOffset>31241</wp:posOffset>
            </wp:positionV>
            <wp:extent cx="4543679" cy="952500"/>
            <wp:effectExtent l="0" t="0" r="0" b="0"/>
            <wp:wrapNone/>
            <wp:docPr id="31" name="image10.png"/>
            <wp:cNvGraphicFramePr>
              <a:graphicFrameLocks noChangeAspect="1"/>
            </wp:cNvGraphicFramePr>
            <a:graphic>
              <a:graphicData uri="http://schemas.openxmlformats.org/drawingml/2006/picture">
                <pic:pic>
                  <pic:nvPicPr>
                    <pic:cNvPr id="32" name="image10.png"/>
                    <pic:cNvPicPr/>
                  </pic:nvPicPr>
                  <pic:blipFill>
                    <a:blip r:embed="rId17" cstate="print"/>
                    <a:stretch>
                      <a:fillRect/>
                    </a:stretch>
                  </pic:blipFill>
                  <pic:spPr>
                    <a:xfrm>
                      <a:off x="0" y="0"/>
                      <a:ext cx="4543679" cy="952500"/>
                    </a:xfrm>
                    <a:prstGeom prst="rect">
                      <a:avLst/>
                    </a:prstGeom>
                  </pic:spPr>
                </pic:pic>
              </a:graphicData>
            </a:graphic>
          </wp:anchor>
        </w:drawing>
      </w:r>
      <w:r>
        <w:rPr>
          <w:spacing w:val="-2"/>
        </w:rPr>
        <w:t>其他免责条款</w:t>
      </w:r>
    </w:p>
    <w:p>
      <w:pPr>
        <w:pStyle w:val="BodyText"/>
        <w:spacing w:line="266" w:lineRule="auto" w:before="79"/>
        <w:ind w:left="268" w:right="108"/>
      </w:pPr>
      <w:r>
        <w:rPr/>
        <w:br w:type="column"/>
      </w:r>
      <w:r>
        <w:rPr/>
        <w:t>除“2.4.1</w:t>
      </w:r>
      <w:r>
        <w:rPr>
          <w:spacing w:val="-17"/>
        </w:rPr>
        <w:t> 身故保险金责任免除”、“</w:t>
      </w:r>
      <w:r>
        <w:rPr/>
        <w:t>2.4.2 除身故保险金外其他保险金责任免除”外，本合同还有一些免除本公司责任的条款，详见“1.4</w:t>
      </w:r>
      <w:r>
        <w:rPr>
          <w:spacing w:val="-41"/>
        </w:rPr>
        <w:t> 犹豫期”、“</w:t>
      </w:r>
      <w:r>
        <w:rPr/>
        <w:t>2.3</w:t>
      </w:r>
      <w:r>
        <w:rPr>
          <w:spacing w:val="-26"/>
        </w:rPr>
        <w:t> 保</w:t>
      </w:r>
      <w:r>
        <w:rPr>
          <w:spacing w:val="-42"/>
        </w:rPr>
        <w:t>险责任”、“</w:t>
      </w:r>
      <w:r>
        <w:rPr/>
        <w:t>3.2</w:t>
      </w:r>
      <w:r>
        <w:rPr>
          <w:spacing w:val="-18"/>
        </w:rPr>
        <w:t> 保险事故通知”</w:t>
      </w:r>
      <w:r>
        <w:rPr>
          <w:spacing w:val="-71"/>
        </w:rPr>
        <w:t>、“</w:t>
      </w:r>
      <w:r>
        <w:rPr/>
        <w:t>3.3</w:t>
      </w:r>
      <w:r>
        <w:rPr>
          <w:spacing w:val="-20"/>
        </w:rPr>
        <w:t> 保险金申请”</w:t>
      </w:r>
      <w:r>
        <w:rPr>
          <w:spacing w:val="-71"/>
        </w:rPr>
        <w:t>、“</w:t>
      </w:r>
      <w:r>
        <w:rPr/>
        <w:t>6.1</w:t>
      </w:r>
      <w:r>
        <w:rPr>
          <w:spacing w:val="-18"/>
        </w:rPr>
        <w:t> 合同效力中止”</w:t>
      </w:r>
      <w:r>
        <w:rPr>
          <w:spacing w:val="-73"/>
        </w:rPr>
        <w:t>、“</w:t>
      </w:r>
      <w:r>
        <w:rPr/>
        <w:t>8.1</w:t>
      </w:r>
      <w:r>
        <w:rPr>
          <w:spacing w:val="-11"/>
        </w:rPr>
        <w:t>明确说明与如实告知”</w:t>
      </w:r>
      <w:r>
        <w:rPr>
          <w:spacing w:val="-142"/>
        </w:rPr>
        <w:t>、</w:t>
      </w:r>
      <w:r>
        <w:rPr/>
        <w:t>“8.3</w:t>
      </w:r>
      <w:r>
        <w:rPr>
          <w:spacing w:val="-22"/>
        </w:rPr>
        <w:t> 年龄性别错误”</w:t>
      </w:r>
      <w:r>
        <w:rPr>
          <w:spacing w:val="-44"/>
        </w:rPr>
        <w:t>、“附表一”、“附表二”、“附表三”、</w:t>
      </w:r>
      <w:r>
        <w:rPr/>
        <w:t> </w:t>
      </w:r>
      <w:r>
        <w:rPr>
          <w:spacing w:val="-8"/>
        </w:rPr>
        <w:t>“附表四”中背景突出显示的内容以及“</w:t>
      </w:r>
      <w:r>
        <w:rPr/>
        <w:t>2.3</w:t>
      </w:r>
      <w:r>
        <w:rPr>
          <w:spacing w:val="-8"/>
        </w:rPr>
        <w:t> 保险责任”中脚注背景突出显示的</w:t>
      </w:r>
      <w:r>
        <w:rPr>
          <w:color w:val="000000"/>
          <w:spacing w:val="-4"/>
          <w:shd w:fill="E4E4E4" w:color="auto" w:val="clear"/>
        </w:rPr>
        <w:t>内容等。</w:t>
      </w:r>
    </w:p>
    <w:p>
      <w:pPr>
        <w:spacing w:after="0" w:line="266" w:lineRule="auto"/>
        <w:sectPr>
          <w:type w:val="continuous"/>
          <w:pgSz w:w="11910" w:h="16840"/>
          <w:pgMar w:header="0" w:footer="659" w:top="480" w:bottom="280" w:left="920" w:right="540"/>
          <w:cols w:num="2" w:equalWidth="0">
            <w:col w:w="2678" w:space="126"/>
            <w:col w:w="7646"/>
          </w:cols>
        </w:sectPr>
      </w:pPr>
    </w:p>
    <w:p>
      <w:pPr>
        <w:pStyle w:val="ListParagraph"/>
        <w:numPr>
          <w:ilvl w:val="1"/>
          <w:numId w:val="2"/>
        </w:numPr>
        <w:tabs>
          <w:tab w:pos="1369" w:val="left" w:leader="none"/>
          <w:tab w:pos="1370" w:val="left" w:leader="none"/>
          <w:tab w:pos="3072" w:val="left" w:leader="none"/>
        </w:tabs>
        <w:spacing w:line="266" w:lineRule="auto" w:before="155" w:after="0"/>
        <w:ind w:left="3072" w:right="214" w:hanging="2805"/>
        <w:jc w:val="left"/>
        <w:rPr>
          <w:sz w:val="21"/>
        </w:rPr>
      </w:pPr>
      <w:r>
        <w:rPr>
          <w:b/>
          <w:spacing w:val="-2"/>
          <w:position w:val="1"/>
          <w:sz w:val="21"/>
        </w:rPr>
        <w:t>未</w:t>
      </w:r>
      <w:r>
        <w:rPr>
          <w:b/>
          <w:spacing w:val="-2"/>
          <w:position w:val="1"/>
          <w:sz w:val="21"/>
        </w:rPr>
        <w:t>成</w:t>
      </w:r>
      <w:r>
        <w:rPr>
          <w:b/>
          <w:spacing w:val="-2"/>
          <w:position w:val="1"/>
          <w:sz w:val="21"/>
        </w:rPr>
        <w:t>年</w:t>
      </w:r>
      <w:r>
        <w:rPr>
          <w:b/>
          <w:spacing w:val="-2"/>
          <w:position w:val="1"/>
          <w:sz w:val="21"/>
        </w:rPr>
        <w:t>人</w:t>
      </w:r>
      <w:r>
        <w:rPr>
          <w:b/>
          <w:spacing w:val="-2"/>
          <w:position w:val="1"/>
          <w:sz w:val="21"/>
        </w:rPr>
        <w:t>限</w:t>
      </w:r>
      <w:r>
        <w:rPr>
          <w:b/>
          <w:spacing w:val="-2"/>
          <w:position w:val="1"/>
          <w:sz w:val="21"/>
        </w:rPr>
        <w:t>制</w:t>
      </w:r>
      <w:r>
        <w:rPr>
          <w:b/>
          <w:position w:val="1"/>
          <w:sz w:val="21"/>
        </w:rPr>
        <w:tab/>
      </w:r>
      <w:r>
        <w:rPr>
          <w:color w:val="000000"/>
          <w:spacing w:val="-2"/>
          <w:sz w:val="21"/>
          <w:shd w:fill="E4E4E4" w:color="auto" w:val="clear"/>
        </w:rPr>
        <w:t>对</w:t>
      </w:r>
      <w:r>
        <w:rPr>
          <w:color w:val="000000"/>
          <w:spacing w:val="-2"/>
          <w:sz w:val="21"/>
          <w:shd w:fill="E4E4E4" w:color="auto" w:val="clear"/>
        </w:rPr>
        <w:t>未</w:t>
      </w:r>
      <w:r>
        <w:rPr>
          <w:color w:val="000000"/>
          <w:spacing w:val="-2"/>
          <w:sz w:val="21"/>
          <w:shd w:fill="E4E4E4" w:color="auto" w:val="clear"/>
        </w:rPr>
        <w:t>成</w:t>
      </w:r>
      <w:r>
        <w:rPr>
          <w:color w:val="000000"/>
          <w:spacing w:val="-2"/>
          <w:sz w:val="21"/>
          <w:shd w:fill="E4E4E4" w:color="auto" w:val="clear"/>
        </w:rPr>
        <w:t>年</w:t>
      </w:r>
      <w:r>
        <w:rPr>
          <w:color w:val="000000"/>
          <w:spacing w:val="-2"/>
          <w:sz w:val="21"/>
          <w:shd w:fill="E4E4E4" w:color="auto" w:val="clear"/>
        </w:rPr>
        <w:t>子</w:t>
      </w:r>
      <w:r>
        <w:rPr>
          <w:color w:val="000000"/>
          <w:spacing w:val="-2"/>
          <w:sz w:val="21"/>
          <w:shd w:fill="E4E4E4" w:color="auto" w:val="clear"/>
        </w:rPr>
        <w:t>女</w:t>
      </w:r>
      <w:r>
        <w:rPr>
          <w:color w:val="000000"/>
          <w:spacing w:val="-2"/>
          <w:sz w:val="21"/>
          <w:shd w:fill="E4E4E4" w:color="auto" w:val="clear"/>
        </w:rPr>
        <w:t>投</w:t>
      </w:r>
      <w:r>
        <w:rPr>
          <w:color w:val="000000"/>
          <w:spacing w:val="-2"/>
          <w:sz w:val="21"/>
          <w:shd w:fill="E4E4E4" w:color="auto" w:val="clear"/>
        </w:rPr>
        <w:t>保</w:t>
      </w:r>
      <w:r>
        <w:rPr>
          <w:color w:val="000000"/>
          <w:spacing w:val="-2"/>
          <w:sz w:val="21"/>
          <w:shd w:fill="E4E4E4" w:color="auto" w:val="clear"/>
        </w:rPr>
        <w:t>的</w:t>
      </w:r>
      <w:r>
        <w:rPr>
          <w:color w:val="000000"/>
          <w:spacing w:val="-2"/>
          <w:sz w:val="21"/>
          <w:shd w:fill="E4E4E4" w:color="auto" w:val="clear"/>
        </w:rPr>
        <w:t>人</w:t>
      </w:r>
      <w:r>
        <w:rPr>
          <w:color w:val="000000"/>
          <w:spacing w:val="-2"/>
          <w:sz w:val="21"/>
          <w:shd w:fill="E4E4E4" w:color="auto" w:val="clear"/>
        </w:rPr>
        <w:t>身</w:t>
      </w:r>
      <w:r>
        <w:rPr>
          <w:color w:val="000000"/>
          <w:spacing w:val="-2"/>
          <w:sz w:val="21"/>
          <w:shd w:fill="E4E4E4" w:color="auto" w:val="clear"/>
        </w:rPr>
        <w:t>保</w:t>
      </w:r>
      <w:r>
        <w:rPr>
          <w:color w:val="000000"/>
          <w:spacing w:val="-2"/>
          <w:sz w:val="21"/>
          <w:shd w:fill="E4E4E4" w:color="auto" w:val="clear"/>
        </w:rPr>
        <w:t>险</w:t>
      </w:r>
      <w:r>
        <w:rPr>
          <w:color w:val="000000"/>
          <w:spacing w:val="-2"/>
          <w:sz w:val="21"/>
          <w:shd w:fill="E4E4E4" w:color="auto" w:val="clear"/>
        </w:rPr>
        <w:t>，因</w:t>
      </w:r>
      <w:r>
        <w:rPr>
          <w:color w:val="000000"/>
          <w:spacing w:val="-2"/>
          <w:sz w:val="21"/>
          <w:shd w:fill="E4E4E4" w:color="auto" w:val="clear"/>
        </w:rPr>
        <w:t>被</w:t>
      </w:r>
      <w:r>
        <w:rPr>
          <w:color w:val="000000"/>
          <w:spacing w:val="-2"/>
          <w:sz w:val="21"/>
          <w:shd w:fill="E4E4E4" w:color="auto" w:val="clear"/>
        </w:rPr>
        <w:t>保</w:t>
      </w:r>
      <w:r>
        <w:rPr>
          <w:color w:val="000000"/>
          <w:spacing w:val="-2"/>
          <w:sz w:val="21"/>
          <w:shd w:fill="E4E4E4" w:color="auto" w:val="clear"/>
        </w:rPr>
        <w:t>险</w:t>
      </w:r>
      <w:r>
        <w:rPr>
          <w:color w:val="000000"/>
          <w:spacing w:val="-2"/>
          <w:sz w:val="21"/>
          <w:shd w:fill="E4E4E4" w:color="auto" w:val="clear"/>
        </w:rPr>
        <w:t>人</w:t>
      </w:r>
      <w:r>
        <w:rPr>
          <w:color w:val="000000"/>
          <w:spacing w:val="-2"/>
          <w:sz w:val="21"/>
          <w:shd w:fill="E4E4E4" w:color="auto" w:val="clear"/>
        </w:rPr>
        <w:t>身</w:t>
      </w:r>
      <w:r>
        <w:rPr>
          <w:color w:val="000000"/>
          <w:spacing w:val="-2"/>
          <w:sz w:val="21"/>
          <w:shd w:fill="E4E4E4" w:color="auto" w:val="clear"/>
        </w:rPr>
        <w:t>故</w:t>
      </w:r>
      <w:r>
        <w:rPr>
          <w:color w:val="000000"/>
          <w:spacing w:val="-2"/>
          <w:sz w:val="21"/>
          <w:shd w:fill="E4E4E4" w:color="auto" w:val="clear"/>
        </w:rPr>
        <w:t>给</w:t>
      </w:r>
      <w:r>
        <w:rPr>
          <w:color w:val="000000"/>
          <w:spacing w:val="-2"/>
          <w:sz w:val="21"/>
          <w:shd w:fill="E4E4E4" w:color="auto" w:val="clear"/>
        </w:rPr>
        <w:t>付</w:t>
      </w:r>
      <w:r>
        <w:rPr>
          <w:color w:val="000000"/>
          <w:spacing w:val="-2"/>
          <w:sz w:val="21"/>
          <w:shd w:fill="E4E4E4" w:color="auto" w:val="clear"/>
        </w:rPr>
        <w:t>的</w:t>
      </w:r>
      <w:r>
        <w:rPr>
          <w:color w:val="000000"/>
          <w:spacing w:val="-2"/>
          <w:sz w:val="21"/>
          <w:shd w:fill="E4E4E4" w:color="auto" w:val="clear"/>
        </w:rPr>
        <w:t>保</w:t>
      </w:r>
      <w:r>
        <w:rPr>
          <w:color w:val="000000"/>
          <w:spacing w:val="-2"/>
          <w:sz w:val="21"/>
          <w:shd w:fill="E4E4E4" w:color="auto" w:val="clear"/>
        </w:rPr>
        <w:t>险</w:t>
      </w:r>
      <w:r>
        <w:rPr>
          <w:color w:val="000000"/>
          <w:spacing w:val="-2"/>
          <w:sz w:val="21"/>
          <w:shd w:fill="E4E4E4" w:color="auto" w:val="clear"/>
        </w:rPr>
        <w:t>金</w:t>
      </w:r>
      <w:r>
        <w:rPr>
          <w:color w:val="000000"/>
          <w:spacing w:val="-2"/>
          <w:sz w:val="21"/>
          <w:shd w:fill="E4E4E4" w:color="auto" w:val="clear"/>
        </w:rPr>
        <w:t>总</w:t>
      </w:r>
      <w:r>
        <w:rPr>
          <w:color w:val="000000"/>
          <w:spacing w:val="-2"/>
          <w:sz w:val="21"/>
          <w:shd w:fill="E4E4E4" w:color="auto" w:val="clear"/>
        </w:rPr>
        <w:t>和</w:t>
      </w:r>
      <w:r>
        <w:rPr>
          <w:color w:val="000000"/>
          <w:spacing w:val="-2"/>
          <w:sz w:val="21"/>
          <w:shd w:fill="E4E4E4" w:color="auto" w:val="clear"/>
        </w:rPr>
        <w:t>不</w:t>
      </w:r>
      <w:r>
        <w:rPr>
          <w:color w:val="000000"/>
          <w:spacing w:val="-2"/>
          <w:sz w:val="21"/>
          <w:shd w:fill="E4E4E4" w:color="auto" w:val="clear"/>
        </w:rPr>
        <w:t>得</w:t>
      </w:r>
      <w:r>
        <w:rPr>
          <w:color w:val="000000"/>
          <w:spacing w:val="-2"/>
          <w:sz w:val="21"/>
          <w:shd w:fill="E4E4E4" w:color="auto" w:val="clear"/>
        </w:rPr>
        <w:t>超</w:t>
      </w:r>
      <w:r>
        <w:rPr>
          <w:color w:val="000000"/>
          <w:spacing w:val="-2"/>
          <w:sz w:val="21"/>
          <w:shd w:fill="E4E4E4" w:color="auto" w:val="clear"/>
        </w:rPr>
        <w:t>过</w:t>
      </w:r>
      <w:r>
        <w:rPr>
          <w:color w:val="000000"/>
          <w:spacing w:val="-2"/>
          <w:sz w:val="21"/>
          <w:shd w:fill="E4E4E4" w:color="auto" w:val="clear"/>
        </w:rPr>
        <w:t>国</w:t>
      </w:r>
      <w:r>
        <w:rPr>
          <w:color w:val="000000"/>
          <w:spacing w:val="13755"/>
          <w:sz w:val="21"/>
          <w:shd w:fill="E4E4E4" w:color="auto" w:val="clear"/>
        </w:rPr>
        <w:t> </w:t>
      </w:r>
      <w:r>
        <w:rPr>
          <w:color w:val="000000"/>
          <w:spacing w:val="-2"/>
          <w:sz w:val="21"/>
          <w:shd w:fill="E4E4E4" w:color="auto" w:val="clear"/>
        </w:rPr>
        <w:t>务</w:t>
      </w:r>
      <w:r>
        <w:rPr>
          <w:color w:val="000000"/>
          <w:spacing w:val="-2"/>
          <w:sz w:val="21"/>
          <w:shd w:fill="E4E4E4" w:color="auto" w:val="clear"/>
        </w:rPr>
        <w:t>院</w:t>
      </w:r>
      <w:r>
        <w:rPr>
          <w:color w:val="000000"/>
          <w:spacing w:val="-2"/>
          <w:sz w:val="21"/>
          <w:shd w:fill="E4E4E4" w:color="auto" w:val="clear"/>
        </w:rPr>
        <w:t>保险监督管理机构规</w:t>
      </w:r>
      <w:r>
        <w:rPr>
          <w:color w:val="000000"/>
          <w:spacing w:val="-2"/>
          <w:sz w:val="21"/>
          <w:shd w:fill="E4E4E4" w:color="auto" w:val="clear"/>
        </w:rPr>
        <w:t>定</w:t>
      </w:r>
      <w:r>
        <w:rPr>
          <w:color w:val="000000"/>
          <w:spacing w:val="-2"/>
          <w:sz w:val="21"/>
          <w:shd w:fill="E4E4E4" w:color="auto" w:val="clear"/>
        </w:rPr>
        <w:t>的</w:t>
      </w:r>
      <w:r>
        <w:rPr>
          <w:color w:val="000000"/>
          <w:spacing w:val="-2"/>
          <w:sz w:val="21"/>
          <w:shd w:fill="E4E4E4" w:color="auto" w:val="clear"/>
        </w:rPr>
        <w:t>限</w:t>
      </w:r>
      <w:r>
        <w:rPr>
          <w:color w:val="000000"/>
          <w:spacing w:val="-2"/>
          <w:sz w:val="21"/>
          <w:shd w:fill="E4E4E4" w:color="auto" w:val="clear"/>
        </w:rPr>
        <w:t>额</w:t>
      </w:r>
      <w:r>
        <w:rPr>
          <w:color w:val="000000"/>
          <w:spacing w:val="-2"/>
          <w:sz w:val="21"/>
          <w:shd w:fill="E4E4E4" w:color="auto" w:val="clear"/>
        </w:rPr>
        <w:t>。</w:t>
      </w:r>
    </w:p>
    <w:p>
      <w:pPr>
        <w:pStyle w:val="BodyText"/>
        <w:spacing w:before="11"/>
        <w:rPr>
          <w:sz w:val="7"/>
        </w:rPr>
      </w:pPr>
    </w:p>
    <w:p>
      <w:pPr>
        <w:pStyle w:val="Heading1"/>
        <w:numPr>
          <w:ilvl w:val="0"/>
          <w:numId w:val="2"/>
        </w:numPr>
        <w:tabs>
          <w:tab w:pos="1369" w:val="left" w:leader="none"/>
          <w:tab w:pos="1370" w:val="left" w:leader="none"/>
        </w:tabs>
        <w:spacing w:line="240" w:lineRule="auto" w:before="31" w:after="6"/>
        <w:ind w:left="1370" w:right="0" w:hanging="1103"/>
        <w:jc w:val="left"/>
      </w:pPr>
      <w:r>
        <w:rPr>
          <w:w w:val="95"/>
        </w:rPr>
        <w:t>保</w:t>
      </w:r>
      <w:r>
        <w:rPr>
          <w:w w:val="95"/>
        </w:rPr>
        <w:t>险</w:t>
      </w:r>
      <w:r>
        <w:rPr>
          <w:w w:val="95"/>
        </w:rPr>
        <w:t>金</w:t>
      </w:r>
      <w:r>
        <w:rPr>
          <w:w w:val="95"/>
        </w:rPr>
        <w:t>申</w:t>
      </w:r>
      <w:r>
        <w:rPr>
          <w:spacing w:val="-10"/>
          <w:w w:val="95"/>
        </w:rPr>
        <w:t>领</w:t>
      </w:r>
    </w:p>
    <w:p>
      <w:pPr>
        <w:pStyle w:val="BodyText"/>
        <w:spacing w:line="20" w:lineRule="exact"/>
        <w:ind w:left="160"/>
        <w:rPr>
          <w:sz w:val="2"/>
        </w:rPr>
      </w:pPr>
      <w:r>
        <w:rPr>
          <w:sz w:val="2"/>
        </w:rPr>
        <w:drawing>
          <wp:inline distT="0" distB="0" distL="0" distR="0">
            <wp:extent cx="6461648" cy="6096"/>
            <wp:effectExtent l="0" t="0" r="0" b="0"/>
            <wp:docPr id="33" name="image3.png"/>
            <wp:cNvGraphicFramePr>
              <a:graphicFrameLocks noChangeAspect="1"/>
            </wp:cNvGraphicFramePr>
            <a:graphic>
              <a:graphicData uri="http://schemas.openxmlformats.org/drawingml/2006/picture">
                <pic:pic>
                  <pic:nvPicPr>
                    <pic:cNvPr id="34" name="image3.png"/>
                    <pic:cNvPicPr/>
                  </pic:nvPicPr>
                  <pic:blipFill>
                    <a:blip r:embed="rId7" cstate="print"/>
                    <a:stretch>
                      <a:fillRect/>
                    </a:stretch>
                  </pic:blipFill>
                  <pic:spPr>
                    <a:xfrm>
                      <a:off x="0" y="0"/>
                      <a:ext cx="6461648" cy="6096"/>
                    </a:xfrm>
                    <a:prstGeom prst="rect">
                      <a:avLst/>
                    </a:prstGeom>
                  </pic:spPr>
                </pic:pic>
              </a:graphicData>
            </a:graphic>
          </wp:inline>
        </w:drawing>
      </w:r>
      <w:r>
        <w:rPr>
          <w:sz w:val="2"/>
        </w:rPr>
      </w:r>
    </w:p>
    <w:p>
      <w:pPr>
        <w:pStyle w:val="ListParagraph"/>
        <w:numPr>
          <w:ilvl w:val="1"/>
          <w:numId w:val="2"/>
        </w:numPr>
        <w:tabs>
          <w:tab w:pos="1369" w:val="left" w:leader="none"/>
          <w:tab w:pos="1370" w:val="left" w:leader="none"/>
          <w:tab w:pos="3072" w:val="left" w:leader="none"/>
        </w:tabs>
        <w:spacing w:line="240" w:lineRule="auto" w:before="165" w:after="0"/>
        <w:ind w:left="1370" w:right="0" w:hanging="1103"/>
        <w:jc w:val="left"/>
        <w:rPr>
          <w:sz w:val="21"/>
        </w:rPr>
      </w:pPr>
      <w:r>
        <w:rPr>
          <w:b/>
          <w:position w:val="1"/>
          <w:sz w:val="21"/>
        </w:rPr>
        <w:t>受益</w:t>
      </w:r>
      <w:r>
        <w:rPr>
          <w:b/>
          <w:spacing w:val="-10"/>
          <w:position w:val="1"/>
          <w:sz w:val="21"/>
        </w:rPr>
        <w:t>人</w:t>
      </w:r>
      <w:r>
        <w:rPr>
          <w:b/>
          <w:position w:val="1"/>
          <w:sz w:val="21"/>
        </w:rPr>
        <w:tab/>
      </w:r>
      <w:r>
        <w:rPr>
          <w:spacing w:val="-2"/>
          <w:sz w:val="21"/>
        </w:rPr>
        <w:t>投</w:t>
      </w:r>
      <w:r>
        <w:rPr>
          <w:spacing w:val="-2"/>
          <w:sz w:val="21"/>
        </w:rPr>
        <w:t>保</w:t>
      </w:r>
      <w:r>
        <w:rPr>
          <w:spacing w:val="-2"/>
          <w:sz w:val="21"/>
        </w:rPr>
        <w:t>人或者被保险人可以</w:t>
      </w:r>
      <w:r>
        <w:rPr>
          <w:spacing w:val="-2"/>
          <w:sz w:val="21"/>
        </w:rPr>
        <w:t>指</w:t>
      </w:r>
      <w:r>
        <w:rPr>
          <w:spacing w:val="-2"/>
          <w:sz w:val="21"/>
        </w:rPr>
        <w:t>定</w:t>
      </w:r>
      <w:r>
        <w:rPr>
          <w:spacing w:val="-2"/>
          <w:sz w:val="21"/>
        </w:rPr>
        <w:t>一人或多人为身故保</w:t>
      </w:r>
      <w:r>
        <w:rPr>
          <w:spacing w:val="-2"/>
          <w:sz w:val="21"/>
        </w:rPr>
        <w:t>险</w:t>
      </w:r>
      <w:r>
        <w:rPr>
          <w:spacing w:val="-2"/>
          <w:sz w:val="21"/>
        </w:rPr>
        <w:t>金</w:t>
      </w:r>
      <w:r>
        <w:rPr>
          <w:spacing w:val="-2"/>
          <w:sz w:val="21"/>
        </w:rPr>
        <w:t>受益人</w:t>
      </w:r>
      <w:r>
        <w:rPr>
          <w:spacing w:val="-10"/>
          <w:sz w:val="21"/>
        </w:rPr>
        <w:t>。</w:t>
      </w:r>
    </w:p>
    <w:p>
      <w:pPr>
        <w:pStyle w:val="BodyText"/>
        <w:spacing w:line="266" w:lineRule="auto" w:before="187"/>
        <w:ind w:left="3072" w:right="214"/>
      </w:pPr>
      <w:r>
        <w:rPr>
          <w:spacing w:val="-2"/>
        </w:rPr>
        <w:t>身故保险金受益人为多人时，可以确定受益顺序和受益份额；如果没有确定份</w:t>
      </w:r>
      <w:r>
        <w:rPr>
          <w:spacing w:val="-2"/>
        </w:rPr>
        <w:t>额，各受益人按照相等份额享有受益权。</w:t>
      </w:r>
    </w:p>
    <w:p>
      <w:pPr>
        <w:pStyle w:val="BodyText"/>
        <w:spacing w:line="266" w:lineRule="auto" w:before="159"/>
        <w:ind w:left="3072" w:right="214"/>
      </w:pPr>
      <w:r>
        <w:rPr>
          <w:spacing w:val="-2"/>
        </w:rPr>
        <w:t>被保险人为无民事行为能力人或限制民事行为能力人的，可以由其监护人指定</w:t>
      </w:r>
      <w:r>
        <w:rPr>
          <w:spacing w:val="-4"/>
        </w:rPr>
        <w:t>受益人。</w:t>
      </w:r>
    </w:p>
    <w:p>
      <w:pPr>
        <w:pStyle w:val="BodyText"/>
        <w:spacing w:line="266" w:lineRule="auto" w:before="159"/>
        <w:ind w:left="3072" w:right="214"/>
      </w:pPr>
      <w:r>
        <w:rPr>
          <w:spacing w:val="-2"/>
        </w:rPr>
        <w:t>投保人或者被保险人可以变更身故保险金受益人并书面通知本公司。本公司收</w:t>
      </w:r>
      <w:r>
        <w:rPr>
          <w:spacing w:val="-2"/>
        </w:rPr>
        <w:t>到变更受益人的通知后，在保险单或其他保险凭证上批注或附贴批单。</w:t>
      </w:r>
    </w:p>
    <w:p>
      <w:pPr>
        <w:pStyle w:val="BodyText"/>
        <w:spacing w:before="159"/>
        <w:ind w:left="3072"/>
      </w:pPr>
      <w:r>
        <w:rPr>
          <w:spacing w:val="-3"/>
        </w:rPr>
        <w:t>投保人在指定和变更身故保险金受益人时，必须经过被保险人同意。</w:t>
      </w:r>
    </w:p>
    <w:p>
      <w:pPr>
        <w:pStyle w:val="BodyText"/>
        <w:spacing w:before="7"/>
        <w:rPr>
          <w:sz w:val="14"/>
        </w:rPr>
      </w:pPr>
    </w:p>
    <w:p>
      <w:pPr>
        <w:pStyle w:val="BodyText"/>
        <w:spacing w:line="266" w:lineRule="auto"/>
        <w:ind w:left="3072" w:right="214"/>
      </w:pPr>
      <w:r>
        <w:rPr>
          <w:spacing w:val="-2"/>
        </w:rPr>
        <w:t>被保险人身故后，有下列情形之一的，保险金作为被保险人的遗产，由本公司</w:t>
      </w:r>
      <w:r>
        <w:rPr>
          <w:spacing w:val="-2"/>
        </w:rPr>
        <w:t>依照《中华人民共和国继承法》的规定履行给付保险金的义务：</w:t>
      </w:r>
    </w:p>
    <w:p>
      <w:pPr>
        <w:pStyle w:val="ListParagraph"/>
        <w:numPr>
          <w:ilvl w:val="0"/>
          <w:numId w:val="6"/>
        </w:numPr>
        <w:tabs>
          <w:tab w:pos="3793" w:val="left" w:leader="none"/>
        </w:tabs>
        <w:spacing w:line="240" w:lineRule="auto" w:before="159" w:after="0"/>
        <w:ind w:left="3792" w:right="0" w:hanging="721"/>
        <w:jc w:val="left"/>
        <w:rPr>
          <w:sz w:val="21"/>
        </w:rPr>
      </w:pPr>
      <w:r>
        <w:rPr>
          <w:spacing w:val="-3"/>
          <w:sz w:val="21"/>
        </w:rPr>
        <w:t>没有指定受益人，或者受益人指定不明无法确定的；</w:t>
      </w:r>
    </w:p>
    <w:p>
      <w:pPr>
        <w:pStyle w:val="BodyText"/>
        <w:spacing w:before="7"/>
        <w:rPr>
          <w:sz w:val="14"/>
        </w:rPr>
      </w:pPr>
    </w:p>
    <w:p>
      <w:pPr>
        <w:pStyle w:val="ListParagraph"/>
        <w:numPr>
          <w:ilvl w:val="0"/>
          <w:numId w:val="6"/>
        </w:numPr>
        <w:tabs>
          <w:tab w:pos="3793" w:val="left" w:leader="none"/>
        </w:tabs>
        <w:spacing w:line="240" w:lineRule="auto" w:before="0" w:after="0"/>
        <w:ind w:left="3792" w:right="0" w:hanging="721"/>
        <w:jc w:val="left"/>
        <w:rPr>
          <w:sz w:val="21"/>
        </w:rPr>
      </w:pPr>
      <w:r>
        <w:rPr>
          <w:spacing w:val="-3"/>
          <w:sz w:val="21"/>
        </w:rPr>
        <w:t>受益人先于被保险人身故，没有其他受益人的；</w:t>
      </w:r>
    </w:p>
    <w:p>
      <w:pPr>
        <w:pStyle w:val="BodyText"/>
        <w:spacing w:before="8"/>
        <w:rPr>
          <w:sz w:val="14"/>
        </w:rPr>
      </w:pPr>
    </w:p>
    <w:p>
      <w:pPr>
        <w:pStyle w:val="ListParagraph"/>
        <w:numPr>
          <w:ilvl w:val="0"/>
          <w:numId w:val="6"/>
        </w:numPr>
        <w:tabs>
          <w:tab w:pos="3793" w:val="left" w:leader="none"/>
        </w:tabs>
        <w:spacing w:line="240" w:lineRule="auto" w:before="0" w:after="0"/>
        <w:ind w:left="3792" w:right="0" w:hanging="721"/>
        <w:jc w:val="left"/>
        <w:rPr>
          <w:sz w:val="21"/>
        </w:rPr>
      </w:pPr>
      <w:r>
        <w:rPr>
          <w:spacing w:val="-3"/>
          <w:sz w:val="21"/>
        </w:rPr>
        <w:t>受益人依法丧失受益权或者放弃受益权，没有其他受益人的。</w:t>
      </w:r>
    </w:p>
    <w:p>
      <w:pPr>
        <w:pStyle w:val="BodyText"/>
        <w:rPr>
          <w:sz w:val="9"/>
        </w:rPr>
      </w:pPr>
    </w:p>
    <w:p>
      <w:pPr>
        <w:pStyle w:val="BodyText"/>
        <w:spacing w:line="266" w:lineRule="auto" w:before="72"/>
        <w:ind w:left="3072" w:right="214"/>
      </w:pPr>
      <w:r>
        <w:rPr>
          <w:color w:val="000000"/>
          <w:spacing w:val="-2"/>
          <w:shd w:fill="E4E4E4" w:color="auto" w:val="clear"/>
        </w:rPr>
        <w:t>受益人与被保险人在同一事件中身故，且不能确定身故先后顺序的，推定受益</w:t>
      </w:r>
      <w:r>
        <w:rPr>
          <w:color w:val="000000"/>
          <w:spacing w:val="80"/>
          <w:w w:val="150"/>
          <w:shd w:fill="E4E4E4" w:color="auto" w:val="clear"/>
        </w:rPr>
        <w:t>                                       </w:t>
      </w:r>
      <w:r>
        <w:rPr>
          <w:color w:val="000000"/>
          <w:spacing w:val="-2"/>
          <w:shd w:fill="E4E4E4" w:color="auto" w:val="clear"/>
        </w:rPr>
        <w:t>人身故在先。</w:t>
      </w:r>
      <w:r>
        <w:rPr>
          <w:color w:val="000000"/>
          <w:spacing w:val="40"/>
          <w:shd w:fill="E4E4E4" w:color="auto" w:val="clear"/>
        </w:rPr>
        <w:t> </w:t>
      </w:r>
    </w:p>
    <w:p>
      <w:pPr>
        <w:pStyle w:val="BodyText"/>
        <w:spacing w:line="266" w:lineRule="auto" w:before="159"/>
        <w:ind w:left="3072" w:right="106"/>
      </w:pPr>
      <w:r>
        <w:rPr>
          <w:color w:val="000000"/>
          <w:spacing w:val="-4"/>
          <w:shd w:fill="E4E4E4" w:color="auto" w:val="clear"/>
        </w:rPr>
        <w:t>受益人故意造成被保险人身故、伤残、疾病的，或者故意杀害被保险人未遂的，</w:t>
      </w:r>
      <w:r>
        <w:rPr>
          <w:color w:val="000000"/>
          <w:spacing w:val="80"/>
          <w:w w:val="150"/>
          <w:shd w:fill="E4E4E4" w:color="auto" w:val="clear"/>
        </w:rPr>
        <w:t>                                       </w:t>
      </w:r>
      <w:r>
        <w:rPr>
          <w:color w:val="000000"/>
          <w:spacing w:val="-2"/>
          <w:shd w:fill="E4E4E4" w:color="auto" w:val="clear"/>
        </w:rPr>
        <w:t>该受益人丧失受益权。</w:t>
      </w:r>
    </w:p>
    <w:p>
      <w:pPr>
        <w:pStyle w:val="BodyText"/>
        <w:spacing w:line="266" w:lineRule="auto" w:before="159"/>
        <w:ind w:left="3072" w:right="214"/>
        <w:jc w:val="both"/>
      </w:pPr>
      <w:r>
        <w:rPr>
          <w:spacing w:val="-2"/>
        </w:rPr>
        <w:t>首次重大疾病保险金、首次重大疾病医疗津贴保险金、中度疾病保险金、轻度</w:t>
      </w:r>
      <w:r>
        <w:rPr>
          <w:spacing w:val="-4"/>
        </w:rPr>
        <w:t>疾病保险金、恶性肿瘤-重度额外给付保险金、心脑血管特定疾病额外给付保险</w:t>
      </w:r>
      <w:r>
        <w:rPr>
          <w:spacing w:val="-2"/>
        </w:rPr>
        <w:t>金、全残保险金的受益人为被保险人本人。</w:t>
      </w:r>
    </w:p>
    <w:p>
      <w:pPr>
        <w:spacing w:after="0" w:line="266" w:lineRule="auto"/>
        <w:jc w:val="both"/>
        <w:sectPr>
          <w:type w:val="continuous"/>
          <w:pgSz w:w="11910" w:h="16840"/>
          <w:pgMar w:header="0" w:footer="659" w:top="480" w:bottom="280" w:left="920" w:right="540"/>
        </w:sectPr>
      </w:pPr>
    </w:p>
    <w:p>
      <w:pPr>
        <w:pStyle w:val="ListParagraph"/>
        <w:numPr>
          <w:ilvl w:val="1"/>
          <w:numId w:val="2"/>
        </w:numPr>
        <w:tabs>
          <w:tab w:pos="1369" w:val="left" w:leader="none"/>
          <w:tab w:pos="1370" w:val="left" w:leader="none"/>
          <w:tab w:pos="3072" w:val="left" w:leader="none"/>
        </w:tabs>
        <w:spacing w:line="240" w:lineRule="auto" w:before="41" w:after="0"/>
        <w:ind w:left="1370" w:right="0" w:hanging="1103"/>
        <w:jc w:val="left"/>
        <w:rPr>
          <w:sz w:val="21"/>
        </w:rPr>
      </w:pPr>
      <w:r>
        <w:rPr>
          <w:b/>
          <w:position w:val="1"/>
          <w:sz w:val="21"/>
        </w:rPr>
        <w:t>保险事故通</w:t>
      </w:r>
      <w:r>
        <w:rPr>
          <w:b/>
          <w:spacing w:val="-10"/>
          <w:position w:val="1"/>
          <w:sz w:val="21"/>
        </w:rPr>
        <w:t>知</w:t>
      </w:r>
      <w:r>
        <w:rPr>
          <w:b/>
          <w:position w:val="1"/>
          <w:sz w:val="21"/>
        </w:rPr>
        <w:tab/>
      </w:r>
      <w:r>
        <w:rPr>
          <w:spacing w:val="-2"/>
          <w:sz w:val="21"/>
        </w:rPr>
        <w:t>投</w:t>
      </w:r>
      <w:r>
        <w:rPr>
          <w:spacing w:val="-2"/>
          <w:sz w:val="21"/>
        </w:rPr>
        <w:t>保</w:t>
      </w:r>
      <w:r>
        <w:rPr>
          <w:spacing w:val="-2"/>
          <w:sz w:val="21"/>
        </w:rPr>
        <w:t>人、被保险人或受益</w:t>
      </w:r>
      <w:r>
        <w:rPr>
          <w:spacing w:val="-2"/>
          <w:sz w:val="21"/>
        </w:rPr>
        <w:t>人</w:t>
      </w:r>
      <w:r>
        <w:rPr>
          <w:spacing w:val="-2"/>
          <w:sz w:val="21"/>
        </w:rPr>
        <w:t>应</w:t>
      </w:r>
      <w:r>
        <w:rPr>
          <w:spacing w:val="-2"/>
          <w:sz w:val="21"/>
        </w:rPr>
        <w:t>当在知道保险事故发</w:t>
      </w:r>
      <w:r>
        <w:rPr>
          <w:spacing w:val="-2"/>
          <w:sz w:val="21"/>
        </w:rPr>
        <w:t>生</w:t>
      </w:r>
      <w:r>
        <w:rPr>
          <w:spacing w:val="-2"/>
          <w:sz w:val="21"/>
        </w:rPr>
        <w:t>后</w:t>
      </w:r>
      <w:r>
        <w:rPr>
          <w:spacing w:val="-43"/>
          <w:sz w:val="21"/>
        </w:rPr>
        <w:t> </w:t>
      </w:r>
      <w:r>
        <w:rPr>
          <w:spacing w:val="-2"/>
          <w:sz w:val="21"/>
        </w:rPr>
        <w:t>10</w:t>
      </w:r>
      <w:r>
        <w:rPr>
          <w:spacing w:val="-41"/>
          <w:sz w:val="21"/>
        </w:rPr>
        <w:t> </w:t>
      </w:r>
      <w:r>
        <w:rPr>
          <w:spacing w:val="-2"/>
          <w:sz w:val="21"/>
        </w:rPr>
        <w:t>日内通知本公司</w:t>
      </w:r>
      <w:r>
        <w:rPr>
          <w:spacing w:val="-10"/>
          <w:sz w:val="21"/>
        </w:rPr>
        <w:t>。</w:t>
      </w:r>
    </w:p>
    <w:p>
      <w:pPr>
        <w:pStyle w:val="BodyText"/>
        <w:rPr>
          <w:sz w:val="20"/>
        </w:rPr>
      </w:pPr>
    </w:p>
    <w:p>
      <w:pPr>
        <w:pStyle w:val="BodyText"/>
        <w:rPr>
          <w:sz w:val="20"/>
        </w:rPr>
      </w:pPr>
    </w:p>
    <w:p>
      <w:pPr>
        <w:pStyle w:val="BodyText"/>
        <w:spacing w:before="11"/>
        <w:rPr>
          <w:sz w:val="15"/>
        </w:rPr>
      </w:pPr>
    </w:p>
    <w:p>
      <w:pPr>
        <w:pStyle w:val="BodyText"/>
        <w:spacing w:line="266" w:lineRule="auto" w:before="72"/>
        <w:ind w:left="3072" w:right="214" w:firstLine="1476"/>
        <w:jc w:val="both"/>
      </w:pPr>
      <w:r>
        <w:rPr/>
        <w:pict>
          <v:shape style="position:absolute;margin-left:199.610001pt;margin-top:2.099976pt;width:73.8pt;height:15pt;mso-position-horizontal-relative:page;mso-position-vertical-relative:paragraph;z-index:-17194496" type="#_x0000_t202" id="docshape26" filled="true" fillcolor="#d2d2d2" stroked="false">
            <v:textbox inset="0,0,0,0">
              <w:txbxContent>
                <w:p>
                  <w:pPr>
                    <w:pStyle w:val="BodyText"/>
                    <w:spacing w:before="30"/>
                    <w:ind w:right="-15"/>
                    <w:rPr>
                      <w:color w:val="000000"/>
                    </w:rPr>
                  </w:pPr>
                  <w:r>
                    <w:rPr>
                      <w:color w:val="000000"/>
                      <w:spacing w:val="-4"/>
                    </w:rPr>
                    <w:t>保险金的责任，</w:t>
                  </w:r>
                </w:p>
              </w:txbxContent>
            </v:textbox>
            <v:fill type="solid"/>
            <w10:wrap type="none"/>
          </v:shape>
        </w:pict>
      </w:r>
      <w:r>
        <w:rPr/>
        <w:pict>
          <v:shape style="position:absolute;margin-left:199.610001pt;margin-top:-27.900024pt;width:357.8pt;height:30pt;mso-position-horizontal-relative:page;mso-position-vertical-relative:paragraph;z-index:15747584" type="#_x0000_t202" id="docshape27" filled="true" fillcolor="#d2d2d2" stroked="false">
            <v:textbox inset="0,0,0,0">
              <w:txbxContent>
                <w:p>
                  <w:pPr>
                    <w:pStyle w:val="BodyText"/>
                    <w:spacing w:line="266" w:lineRule="auto" w:before="25"/>
                    <w:ind w:right="-15"/>
                    <w:rPr>
                      <w:color w:val="000000"/>
                    </w:rPr>
                  </w:pPr>
                  <w:r>
                    <w:rPr>
                      <w:color w:val="000000"/>
                      <w:spacing w:val="-2"/>
                    </w:rPr>
                    <w:t>若投保人、被保险人或受益人故意或因重大过失未及时通知，致使保险事故的</w:t>
                  </w:r>
                  <w:r>
                    <w:rPr>
                      <w:color w:val="000000"/>
                      <w:spacing w:val="-3"/>
                    </w:rPr>
                    <w:t>性质、原因、损失程度等难以确定的，本公司对无法确定的部分，不承担给付</w:t>
                  </w:r>
                </w:p>
              </w:txbxContent>
            </v:textbox>
            <v:fill type="solid"/>
            <w10:wrap type="none"/>
          </v:shape>
        </w:pict>
      </w:r>
      <w:r>
        <w:rPr>
          <w:spacing w:val="-2"/>
        </w:rPr>
        <w:t>但本公司通过其他途径已经及时知道或应当及时知道保险事故</w:t>
      </w:r>
      <w:r>
        <w:rPr>
          <w:spacing w:val="-2"/>
        </w:rPr>
        <w:t>发生或虽未及时通知但不影响本公司确定保险事故的性质、原因、损失程度的</w:t>
      </w:r>
      <w:r>
        <w:rPr>
          <w:spacing w:val="-4"/>
        </w:rPr>
        <w:t>除外。</w:t>
      </w:r>
    </w:p>
    <w:p>
      <w:pPr>
        <w:pStyle w:val="ListParagraph"/>
        <w:numPr>
          <w:ilvl w:val="1"/>
          <w:numId w:val="2"/>
        </w:numPr>
        <w:tabs>
          <w:tab w:pos="1370" w:val="left" w:leader="none"/>
        </w:tabs>
        <w:spacing w:line="266" w:lineRule="auto" w:before="150" w:after="0"/>
        <w:ind w:left="3072" w:right="214" w:hanging="2805"/>
        <w:jc w:val="both"/>
        <w:rPr>
          <w:sz w:val="21"/>
        </w:rPr>
      </w:pPr>
      <w:r>
        <w:rPr/>
        <w:pict>
          <v:shape style="position:absolute;margin-left:199.610001pt;margin-top:66.499985pt;width:252.15pt;height:15pt;mso-position-horizontal-relative:page;mso-position-vertical-relative:paragraph;z-index:15745536" type="#_x0000_t202" id="docshape28" filled="true" fillcolor="#e4e4e4" stroked="false">
            <v:textbox inset="0,0,0,0">
              <w:txbxContent>
                <w:p>
                  <w:pPr>
                    <w:pStyle w:val="BodyText"/>
                    <w:spacing w:before="30"/>
                    <w:ind w:right="-15"/>
                    <w:rPr>
                      <w:color w:val="000000"/>
                    </w:rPr>
                  </w:pPr>
                  <w:r>
                    <w:rPr>
                      <w:color w:val="000000"/>
                      <w:spacing w:val="-3"/>
                    </w:rPr>
                    <w:t>的，本公司对无法核实部分不承担给付保险金的责任。</w:t>
                  </w:r>
                </w:p>
              </w:txbxContent>
            </v:textbox>
            <v:fill type="solid"/>
            <w10:wrap type="none"/>
          </v:shape>
        </w:pict>
      </w:r>
      <w:r>
        <w:rPr/>
        <w:pict>
          <v:shape style="position:absolute;margin-left:199.610001pt;margin-top:51.499989pt;width:357.8pt;height:15pt;mso-position-horizontal-relative:page;mso-position-vertical-relative:paragraph;z-index:15746048" type="#_x0000_t202" id="docshape29" filled="true" fillcolor="#e4e4e4" stroked="false">
            <v:textbox inset="0,0,0,0">
              <w:txbxContent>
                <w:p>
                  <w:pPr>
                    <w:pStyle w:val="BodyText"/>
                    <w:spacing w:before="30"/>
                    <w:ind w:right="-15"/>
                    <w:rPr>
                      <w:color w:val="000000"/>
                    </w:rPr>
                  </w:pPr>
                  <w:r>
                    <w:rPr>
                      <w:color w:val="000000"/>
                      <w:spacing w:val="-3"/>
                    </w:rPr>
                    <w:t>未能提供有关证明和资料，导致本公司无法核实事故的性质、原因、损失程度</w:t>
                  </w:r>
                </w:p>
              </w:txbxContent>
            </v:textbox>
            <v:fill type="solid"/>
            <w10:wrap type="none"/>
          </v:shape>
        </w:pict>
      </w:r>
      <w:r>
        <w:rPr/>
        <w:pict>
          <v:shape style="position:absolute;margin-left:526.059998pt;margin-top:36.499989pt;width:31.35pt;height:15pt;mso-position-horizontal-relative:page;mso-position-vertical-relative:paragraph;z-index:-17195008" type="#_x0000_t202" id="docshape30" filled="true" fillcolor="#e4e4e4" stroked="false">
            <v:textbox inset="0,0,0,0">
              <w:txbxContent>
                <w:p>
                  <w:pPr>
                    <w:pStyle w:val="BodyText"/>
                    <w:spacing w:before="30"/>
                    <w:ind w:right="-15"/>
                    <w:rPr>
                      <w:color w:val="000000"/>
                    </w:rPr>
                  </w:pPr>
                  <w:r>
                    <w:rPr>
                      <w:color w:val="000000"/>
                      <w:spacing w:val="-7"/>
                    </w:rPr>
                    <w:t>受益人</w:t>
                  </w:r>
                </w:p>
              </w:txbxContent>
            </v:textbox>
            <v:fill type="solid"/>
            <w10:wrap type="none"/>
          </v:shape>
        </w:pict>
      </w:r>
      <w:r>
        <w:rPr>
          <w:b/>
          <w:spacing w:val="87"/>
          <w:position w:val="1"/>
          <w:sz w:val="21"/>
        </w:rPr>
        <w:t>保险金申请 </w:t>
      </w:r>
      <w:r>
        <w:rPr>
          <w:sz w:val="21"/>
        </w:rPr>
        <w:t>受益人向本公司申请给付保险金时，应当填写保险金给付申请书，并以书面形</w:t>
      </w:r>
      <w:r>
        <w:rPr>
          <w:spacing w:val="-2"/>
          <w:sz w:val="21"/>
        </w:rPr>
        <w:t>式或投保人与本公司约定的其他形式提交下列证明和资料。受益人因特殊原因</w:t>
      </w:r>
      <w:r>
        <w:rPr>
          <w:spacing w:val="-2"/>
          <w:sz w:val="21"/>
        </w:rPr>
        <w:t>不能提供下列证明和资料的，应当提供其他合法、有效的证明和资料。</w:t>
      </w:r>
    </w:p>
    <w:p>
      <w:pPr>
        <w:pStyle w:val="BodyText"/>
        <w:rPr>
          <w:sz w:val="20"/>
        </w:rPr>
      </w:pPr>
    </w:p>
    <w:p>
      <w:pPr>
        <w:pStyle w:val="BodyText"/>
        <w:rPr>
          <w:sz w:val="20"/>
        </w:rPr>
      </w:pPr>
    </w:p>
    <w:p>
      <w:pPr>
        <w:pStyle w:val="BodyText"/>
        <w:spacing w:before="11"/>
        <w:rPr>
          <w:sz w:val="14"/>
        </w:rPr>
      </w:pPr>
    </w:p>
    <w:p>
      <w:pPr>
        <w:spacing w:after="0"/>
        <w:rPr>
          <w:sz w:val="14"/>
        </w:rPr>
        <w:sectPr>
          <w:footerReference w:type="default" r:id="rId18"/>
          <w:pgSz w:w="11910" w:h="16840"/>
          <w:pgMar w:footer="659" w:header="0" w:top="1400" w:bottom="840" w:left="920" w:right="540"/>
        </w:sectPr>
      </w:pPr>
    </w:p>
    <w:p>
      <w:pPr>
        <w:pStyle w:val="Heading2"/>
        <w:numPr>
          <w:ilvl w:val="2"/>
          <w:numId w:val="2"/>
        </w:numPr>
        <w:tabs>
          <w:tab w:pos="1370" w:val="left" w:leader="none"/>
        </w:tabs>
        <w:spacing w:line="278" w:lineRule="auto" w:before="72" w:after="0"/>
        <w:ind w:left="1370" w:right="38" w:hanging="1102"/>
        <w:jc w:val="both"/>
      </w:pPr>
      <w:r>
        <w:rPr>
          <w:spacing w:val="-2"/>
        </w:rPr>
        <w:t>除身故保险金</w:t>
      </w:r>
      <w:r>
        <w:rPr>
          <w:spacing w:val="-2"/>
        </w:rPr>
        <w:t>或全残保险金</w:t>
      </w:r>
      <w:r>
        <w:rPr>
          <w:spacing w:val="-2"/>
        </w:rPr>
        <w:t>外其他保险金</w:t>
      </w:r>
    </w:p>
    <w:p>
      <w:pPr>
        <w:pStyle w:val="BodyText"/>
        <w:spacing w:line="268" w:lineRule="auto" w:before="79"/>
        <w:ind w:left="268" w:right="214"/>
      </w:pPr>
      <w:r>
        <w:rPr/>
        <w:br w:type="column"/>
      </w:r>
      <w:r>
        <w:rPr>
          <w:spacing w:val="-2"/>
        </w:rPr>
        <w:t>受益人需作为申请人填写保险金给付申请书，并向本公司提供下列证明文件、</w:t>
      </w:r>
      <w:r>
        <w:rPr>
          <w:spacing w:val="-2"/>
        </w:rPr>
        <w:t>资料原件：</w:t>
      </w:r>
    </w:p>
    <w:p>
      <w:pPr>
        <w:pStyle w:val="ListParagraph"/>
        <w:numPr>
          <w:ilvl w:val="0"/>
          <w:numId w:val="7"/>
        </w:numPr>
        <w:tabs>
          <w:tab w:pos="988" w:val="left" w:leader="none"/>
        </w:tabs>
        <w:spacing w:line="240" w:lineRule="auto" w:before="154" w:after="0"/>
        <w:ind w:left="988" w:right="0" w:hanging="720"/>
        <w:jc w:val="left"/>
        <w:rPr>
          <w:sz w:val="21"/>
        </w:rPr>
      </w:pPr>
      <w:r>
        <w:rPr/>
        <w:pict>
          <v:shape style="position:absolute;margin-left:56.900002pt;margin-top:17.765026pt;width:503.25pt;height:138.050pt;mso-position-horizontal-relative:page;mso-position-vertical-relative:paragraph;z-index:15748096" type="#_x0000_t202" id="docshape3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5"/>
                    <w:gridCol w:w="1772"/>
                    <w:gridCol w:w="842"/>
                    <w:gridCol w:w="6587"/>
                  </w:tblGrid>
                  <w:tr>
                    <w:trPr>
                      <w:trHeight w:val="916" w:hRule="atLeast"/>
                    </w:trPr>
                    <w:tc>
                      <w:tcPr>
                        <w:tcW w:w="865" w:type="dxa"/>
                        <w:vMerge w:val="restart"/>
                      </w:tcPr>
                      <w:p>
                        <w:pPr>
                          <w:pStyle w:val="TableParagraph"/>
                          <w:spacing w:before="0"/>
                          <w:jc w:val="left"/>
                          <w:rPr>
                            <w:rFonts w:ascii="Times New Roman"/>
                            <w:sz w:val="20"/>
                          </w:rPr>
                        </w:pPr>
                      </w:p>
                    </w:tc>
                    <w:tc>
                      <w:tcPr>
                        <w:tcW w:w="1772" w:type="dxa"/>
                      </w:tcPr>
                      <w:p>
                        <w:pPr>
                          <w:pStyle w:val="TableParagraph"/>
                          <w:spacing w:line="241" w:lineRule="exact" w:before="0"/>
                          <w:ind w:left="286"/>
                          <w:jc w:val="left"/>
                          <w:rPr>
                            <w:b/>
                            <w:sz w:val="21"/>
                          </w:rPr>
                        </w:pPr>
                        <w:r>
                          <w:rPr>
                            <w:b/>
                            <w:spacing w:val="-5"/>
                            <w:sz w:val="21"/>
                          </w:rPr>
                          <w:t>申请</w:t>
                        </w:r>
                      </w:p>
                    </w:tc>
                    <w:tc>
                      <w:tcPr>
                        <w:tcW w:w="7429" w:type="dxa"/>
                        <w:gridSpan w:val="2"/>
                      </w:tcPr>
                      <w:p>
                        <w:pPr>
                          <w:pStyle w:val="TableParagraph"/>
                          <w:spacing w:before="11"/>
                          <w:jc w:val="left"/>
                          <w:rPr>
                            <w:sz w:val="19"/>
                          </w:rPr>
                        </w:pPr>
                      </w:p>
                      <w:p>
                        <w:pPr>
                          <w:pStyle w:val="TableParagraph"/>
                          <w:spacing w:line="266" w:lineRule="auto" w:before="0"/>
                          <w:ind w:left="937" w:right="49" w:hanging="720"/>
                          <w:jc w:val="left"/>
                          <w:rPr>
                            <w:sz w:val="21"/>
                          </w:rPr>
                        </w:pPr>
                        <w:r>
                          <w:rPr>
                            <w:spacing w:val="-2"/>
                            <w:sz w:val="21"/>
                          </w:rPr>
                          <w:t>（2） 本公司指定或认可的医疗机构出具的附有病历、病理显微镜检查、血液</w:t>
                        </w:r>
                        <w:r>
                          <w:rPr>
                            <w:spacing w:val="-2"/>
                            <w:sz w:val="21"/>
                          </w:rPr>
                          <w:t>检验及其他科学方法检验报告的疾病诊断证明书；</w:t>
                        </w:r>
                      </w:p>
                    </w:tc>
                  </w:tr>
                  <w:tr>
                    <w:trPr>
                      <w:trHeight w:val="752" w:hRule="atLeast"/>
                    </w:trPr>
                    <w:tc>
                      <w:tcPr>
                        <w:tcW w:w="865" w:type="dxa"/>
                        <w:vMerge/>
                        <w:tcBorders>
                          <w:top w:val="nil"/>
                        </w:tcBorders>
                      </w:tcPr>
                      <w:p>
                        <w:pPr>
                          <w:rPr>
                            <w:sz w:val="2"/>
                            <w:szCs w:val="2"/>
                          </w:rPr>
                        </w:pPr>
                      </w:p>
                    </w:tc>
                    <w:tc>
                      <w:tcPr>
                        <w:tcW w:w="1772" w:type="dxa"/>
                      </w:tcPr>
                      <w:p>
                        <w:pPr>
                          <w:pStyle w:val="TableParagraph"/>
                          <w:spacing w:before="0"/>
                          <w:jc w:val="left"/>
                          <w:rPr>
                            <w:rFonts w:ascii="Times New Roman"/>
                            <w:sz w:val="20"/>
                          </w:rPr>
                        </w:pPr>
                      </w:p>
                    </w:tc>
                    <w:tc>
                      <w:tcPr>
                        <w:tcW w:w="7429" w:type="dxa"/>
                        <w:gridSpan w:val="2"/>
                      </w:tcPr>
                      <w:p>
                        <w:pPr>
                          <w:pStyle w:val="TableParagraph"/>
                          <w:spacing w:line="266" w:lineRule="auto" w:before="94"/>
                          <w:ind w:left="937" w:right="49" w:hanging="720"/>
                          <w:jc w:val="left"/>
                          <w:rPr>
                            <w:sz w:val="21"/>
                          </w:rPr>
                        </w:pPr>
                        <w:r>
                          <w:rPr>
                            <w:spacing w:val="-2"/>
                            <w:sz w:val="21"/>
                          </w:rPr>
                          <w:t>（3） 所能提供的与确认保险事故的性质、原因、伤害程度等有关的其他证明</w:t>
                        </w:r>
                        <w:r>
                          <w:rPr>
                            <w:spacing w:val="-4"/>
                            <w:sz w:val="21"/>
                          </w:rPr>
                          <w:t>和资料。</w:t>
                        </w:r>
                      </w:p>
                    </w:tc>
                  </w:tr>
                  <w:tr>
                    <w:trPr>
                      <w:trHeight w:val="642" w:hRule="atLeast"/>
                    </w:trPr>
                    <w:tc>
                      <w:tcPr>
                        <w:tcW w:w="865" w:type="dxa"/>
                      </w:tcPr>
                      <w:p>
                        <w:pPr>
                          <w:pStyle w:val="TableParagraph"/>
                          <w:spacing w:before="90"/>
                          <w:ind w:left="50"/>
                          <w:jc w:val="left"/>
                          <w:rPr>
                            <w:b/>
                            <w:sz w:val="21"/>
                          </w:rPr>
                        </w:pPr>
                        <w:r>
                          <w:rPr>
                            <w:b/>
                            <w:spacing w:val="-2"/>
                            <w:sz w:val="21"/>
                          </w:rPr>
                          <w:t>3.3.2</w:t>
                        </w:r>
                      </w:p>
                    </w:tc>
                    <w:tc>
                      <w:tcPr>
                        <w:tcW w:w="1772" w:type="dxa"/>
                      </w:tcPr>
                      <w:p>
                        <w:pPr>
                          <w:pStyle w:val="TableParagraph"/>
                          <w:spacing w:line="310" w:lineRule="atLeast" w:before="29"/>
                          <w:ind w:left="286" w:right="215"/>
                          <w:jc w:val="left"/>
                          <w:rPr>
                            <w:b/>
                            <w:sz w:val="21"/>
                          </w:rPr>
                        </w:pPr>
                        <w:r>
                          <w:rPr>
                            <w:b/>
                            <w:spacing w:val="-2"/>
                            <w:sz w:val="21"/>
                          </w:rPr>
                          <w:t>身故保险金或</w:t>
                        </w:r>
                        <w:r>
                          <w:rPr>
                            <w:b/>
                            <w:spacing w:val="-2"/>
                            <w:sz w:val="21"/>
                          </w:rPr>
                          <w:t>全残保险金申</w:t>
                        </w:r>
                      </w:p>
                    </w:tc>
                    <w:tc>
                      <w:tcPr>
                        <w:tcW w:w="7429" w:type="dxa"/>
                        <w:gridSpan w:val="2"/>
                      </w:tcPr>
                      <w:p>
                        <w:pPr>
                          <w:pStyle w:val="TableParagraph"/>
                          <w:spacing w:line="300" w:lineRule="atLeast" w:before="46"/>
                          <w:ind w:left="217" w:right="52"/>
                          <w:jc w:val="left"/>
                          <w:rPr>
                            <w:sz w:val="21"/>
                          </w:rPr>
                        </w:pPr>
                        <w:r>
                          <w:rPr>
                            <w:spacing w:val="-2"/>
                            <w:sz w:val="21"/>
                          </w:rPr>
                          <w:t>受益人需作为申请人填写保险金给付申请书，并向本公司提供下列证明文件、</w:t>
                        </w:r>
                        <w:r>
                          <w:rPr>
                            <w:spacing w:val="-2"/>
                            <w:sz w:val="21"/>
                          </w:rPr>
                          <w:t>资料原件：</w:t>
                        </w:r>
                      </w:p>
                    </w:tc>
                  </w:tr>
                  <w:tr>
                    <w:trPr>
                      <w:trHeight w:val="444" w:hRule="atLeast"/>
                    </w:trPr>
                    <w:tc>
                      <w:tcPr>
                        <w:tcW w:w="2637" w:type="dxa"/>
                        <w:gridSpan w:val="2"/>
                      </w:tcPr>
                      <w:p>
                        <w:pPr>
                          <w:pStyle w:val="TableParagraph"/>
                          <w:spacing w:before="65"/>
                          <w:ind w:right="119"/>
                          <w:rPr>
                            <w:b/>
                            <w:sz w:val="21"/>
                          </w:rPr>
                        </w:pPr>
                        <w:r>
                          <w:rPr>
                            <w:b/>
                            <w:w w:val="100"/>
                            <w:sz w:val="21"/>
                          </w:rPr>
                          <w:t>请</w:t>
                        </w:r>
                      </w:p>
                    </w:tc>
                    <w:tc>
                      <w:tcPr>
                        <w:tcW w:w="842" w:type="dxa"/>
                      </w:tcPr>
                      <w:p>
                        <w:pPr>
                          <w:pStyle w:val="TableParagraph"/>
                          <w:spacing w:before="12"/>
                          <w:jc w:val="left"/>
                          <w:rPr>
                            <w:sz w:val="15"/>
                          </w:rPr>
                        </w:pPr>
                      </w:p>
                      <w:p>
                        <w:pPr>
                          <w:pStyle w:val="TableParagraph"/>
                          <w:spacing w:line="220" w:lineRule="exact" w:before="0"/>
                          <w:ind w:left="217"/>
                          <w:jc w:val="left"/>
                          <w:rPr>
                            <w:sz w:val="21"/>
                          </w:rPr>
                        </w:pPr>
                        <w:r>
                          <w:rPr>
                            <w:spacing w:val="-5"/>
                            <w:sz w:val="21"/>
                          </w:rPr>
                          <w:t>（1）</w:t>
                        </w:r>
                      </w:p>
                    </w:tc>
                    <w:tc>
                      <w:tcPr>
                        <w:tcW w:w="6587" w:type="dxa"/>
                      </w:tcPr>
                      <w:p>
                        <w:pPr>
                          <w:pStyle w:val="TableParagraph"/>
                          <w:spacing w:before="12"/>
                          <w:jc w:val="left"/>
                          <w:rPr>
                            <w:sz w:val="15"/>
                          </w:rPr>
                        </w:pPr>
                      </w:p>
                      <w:p>
                        <w:pPr>
                          <w:pStyle w:val="TableParagraph"/>
                          <w:spacing w:line="220" w:lineRule="exact" w:before="0"/>
                          <w:ind w:left="95"/>
                          <w:jc w:val="left"/>
                          <w:rPr>
                            <w:sz w:val="21"/>
                          </w:rPr>
                        </w:pPr>
                        <w:r>
                          <w:rPr>
                            <w:spacing w:val="-3"/>
                            <w:sz w:val="21"/>
                          </w:rPr>
                          <w:t>受益人有效身份证件；</w:t>
                        </w:r>
                      </w:p>
                    </w:tc>
                  </w:tr>
                </w:tbl>
                <w:p>
                  <w:pPr>
                    <w:pStyle w:val="BodyText"/>
                  </w:pPr>
                </w:p>
              </w:txbxContent>
            </v:textbox>
            <w10:wrap type="none"/>
          </v:shape>
        </w:pict>
      </w:r>
      <w:r>
        <w:rPr>
          <w:spacing w:val="-3"/>
          <w:sz w:val="21"/>
        </w:rPr>
        <w:t>受益人有效身份证件；</w:t>
      </w:r>
    </w:p>
    <w:p>
      <w:pPr>
        <w:spacing w:after="0" w:line="240" w:lineRule="auto"/>
        <w:jc w:val="left"/>
        <w:rPr>
          <w:sz w:val="21"/>
        </w:rPr>
        <w:sectPr>
          <w:type w:val="continuous"/>
          <w:pgSz w:w="11910" w:h="16840"/>
          <w:pgMar w:header="0" w:footer="659" w:top="480" w:bottom="280" w:left="920" w:right="540"/>
          <w:cols w:num="2" w:equalWidth="0">
            <w:col w:w="2678" w:space="126"/>
            <w:col w:w="7646"/>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pPr>
    </w:p>
    <w:p>
      <w:pPr>
        <w:pStyle w:val="ListParagraph"/>
        <w:numPr>
          <w:ilvl w:val="1"/>
          <w:numId w:val="7"/>
        </w:numPr>
        <w:tabs>
          <w:tab w:pos="3793" w:val="left" w:leader="none"/>
        </w:tabs>
        <w:spacing w:line="266" w:lineRule="auto" w:before="71" w:after="0"/>
        <w:ind w:left="3792" w:right="211" w:hanging="720"/>
        <w:jc w:val="both"/>
        <w:rPr>
          <w:sz w:val="21"/>
        </w:rPr>
      </w:pPr>
      <w:r>
        <w:rPr>
          <w:spacing w:val="-8"/>
          <w:sz w:val="21"/>
        </w:rPr>
        <w:t>本公司指定或认可的医疗机构、公安部门或者其他有权机构出具的被保</w:t>
      </w:r>
      <w:r>
        <w:rPr>
          <w:spacing w:val="-4"/>
          <w:sz w:val="21"/>
        </w:rPr>
        <w:t>险人的死亡证明或医院、司法鉴定机构根据《评定标准》出具的伤残程</w:t>
      </w:r>
      <w:r>
        <w:rPr>
          <w:spacing w:val="-2"/>
          <w:sz w:val="21"/>
        </w:rPr>
        <w:t>度资料或伤残程度鉴定书；</w:t>
      </w:r>
    </w:p>
    <w:p>
      <w:pPr>
        <w:pStyle w:val="ListParagraph"/>
        <w:numPr>
          <w:ilvl w:val="1"/>
          <w:numId w:val="7"/>
        </w:numPr>
        <w:tabs>
          <w:tab w:pos="3793" w:val="left" w:leader="none"/>
        </w:tabs>
        <w:spacing w:line="240" w:lineRule="auto" w:before="160" w:after="0"/>
        <w:ind w:left="3792" w:right="0" w:hanging="721"/>
        <w:jc w:val="left"/>
        <w:rPr>
          <w:sz w:val="21"/>
        </w:rPr>
      </w:pPr>
      <w:r>
        <w:rPr>
          <w:spacing w:val="-3"/>
          <w:sz w:val="21"/>
        </w:rPr>
        <w:t>因意外引起的保险事故，由公安等有权部门出具的相关意外证明；</w:t>
      </w:r>
    </w:p>
    <w:p>
      <w:pPr>
        <w:pStyle w:val="BodyText"/>
        <w:spacing w:before="8"/>
        <w:rPr>
          <w:sz w:val="14"/>
        </w:rPr>
      </w:pPr>
    </w:p>
    <w:p>
      <w:pPr>
        <w:pStyle w:val="ListParagraph"/>
        <w:numPr>
          <w:ilvl w:val="1"/>
          <w:numId w:val="7"/>
        </w:numPr>
        <w:tabs>
          <w:tab w:pos="3793" w:val="left" w:leader="none"/>
        </w:tabs>
        <w:spacing w:line="266" w:lineRule="auto" w:before="0" w:after="0"/>
        <w:ind w:left="3792" w:right="212" w:hanging="720"/>
        <w:jc w:val="both"/>
        <w:rPr>
          <w:sz w:val="21"/>
        </w:rPr>
      </w:pPr>
      <w:r>
        <w:rPr>
          <w:spacing w:val="-4"/>
          <w:sz w:val="21"/>
        </w:rPr>
        <w:t>所能提供的与确认保险事故的性质、原因、伤害程度等有关的其他证明</w:t>
      </w:r>
      <w:r>
        <w:rPr>
          <w:spacing w:val="-4"/>
          <w:sz w:val="21"/>
        </w:rPr>
        <w:t>和资料。</w:t>
      </w:r>
    </w:p>
    <w:p>
      <w:pPr>
        <w:spacing w:after="0" w:line="266" w:lineRule="auto"/>
        <w:jc w:val="both"/>
        <w:rPr>
          <w:sz w:val="21"/>
        </w:rPr>
        <w:sectPr>
          <w:type w:val="continuous"/>
          <w:pgSz w:w="11910" w:h="16840"/>
          <w:pgMar w:header="0" w:footer="659" w:top="480" w:bottom="280" w:left="920" w:right="540"/>
        </w:sectPr>
      </w:pPr>
    </w:p>
    <w:p>
      <w:pPr>
        <w:pStyle w:val="Heading2"/>
        <w:numPr>
          <w:ilvl w:val="1"/>
          <w:numId w:val="2"/>
        </w:numPr>
        <w:tabs>
          <w:tab w:pos="1369" w:val="left" w:leader="none"/>
          <w:tab w:pos="1370" w:val="left" w:leader="none"/>
        </w:tabs>
        <w:spacing w:line="278" w:lineRule="auto" w:before="151" w:after="0"/>
        <w:ind w:left="1370" w:right="38" w:hanging="1102"/>
        <w:jc w:val="left"/>
      </w:pPr>
      <w:r>
        <w:rPr>
          <w:spacing w:val="-2"/>
        </w:rPr>
        <w:t>代理申请及其</w:t>
      </w:r>
      <w:r>
        <w:rPr>
          <w:spacing w:val="-10"/>
        </w:rPr>
        <w:t>他</w:t>
      </w:r>
    </w:p>
    <w:p>
      <w:pPr>
        <w:pStyle w:val="BodyText"/>
        <w:spacing w:line="266" w:lineRule="auto" w:before="159"/>
        <w:ind w:left="268" w:right="106"/>
      </w:pPr>
      <w:r>
        <w:rPr/>
        <w:br w:type="column"/>
      </w:r>
      <w:r>
        <w:rPr>
          <w:spacing w:val="-4"/>
        </w:rPr>
        <w:t>受益人委托他人申请给付保险金的，还应当提供受托人身份证明、授权委托书。</w:t>
      </w:r>
      <w:r>
        <w:rPr>
          <w:spacing w:val="-2"/>
        </w:rPr>
        <w:t>保险金作为遗产时，还应当提供可证明合法继承权的相关权利文件。受益人或</w:t>
      </w:r>
      <w:r>
        <w:rPr>
          <w:spacing w:val="-2"/>
        </w:rPr>
        <w:t>继承人为未成年人或无民事行为能力人时，由其合法监护人代其申请领取保险</w:t>
      </w:r>
      <w:r>
        <w:rPr>
          <w:spacing w:val="-2"/>
        </w:rPr>
        <w:t>金，并提供未成年人或无民事行为能力证明和合法监护权证明。</w:t>
      </w:r>
    </w:p>
    <w:p>
      <w:pPr>
        <w:spacing w:after="0" w:line="266" w:lineRule="auto"/>
        <w:sectPr>
          <w:type w:val="continuous"/>
          <w:pgSz w:w="11910" w:h="16840"/>
          <w:pgMar w:header="0" w:footer="659" w:top="480" w:bottom="280" w:left="920" w:right="540"/>
          <w:cols w:num="2" w:equalWidth="0">
            <w:col w:w="2678" w:space="126"/>
            <w:col w:w="7646"/>
          </w:cols>
        </w:sectPr>
      </w:pPr>
    </w:p>
    <w:p>
      <w:pPr>
        <w:pStyle w:val="ListParagraph"/>
        <w:numPr>
          <w:ilvl w:val="1"/>
          <w:numId w:val="2"/>
        </w:numPr>
        <w:tabs>
          <w:tab w:pos="1369" w:val="left" w:leader="none"/>
          <w:tab w:pos="1370" w:val="left" w:leader="none"/>
          <w:tab w:pos="3072" w:val="left" w:leader="none"/>
        </w:tabs>
        <w:spacing w:line="268" w:lineRule="auto" w:before="151" w:after="0"/>
        <w:ind w:left="3072" w:right="108" w:hanging="2805"/>
        <w:jc w:val="left"/>
        <w:rPr>
          <w:sz w:val="21"/>
        </w:rPr>
      </w:pPr>
      <w:r>
        <w:rPr>
          <w:b/>
          <w:spacing w:val="-4"/>
          <w:position w:val="1"/>
          <w:sz w:val="21"/>
        </w:rPr>
        <w:t>配</w:t>
      </w:r>
      <w:r>
        <w:rPr>
          <w:b/>
          <w:spacing w:val="-4"/>
          <w:position w:val="1"/>
          <w:sz w:val="21"/>
        </w:rPr>
        <w:t>合</w:t>
      </w:r>
      <w:r>
        <w:rPr>
          <w:b/>
          <w:spacing w:val="-4"/>
          <w:position w:val="1"/>
          <w:sz w:val="21"/>
        </w:rPr>
        <w:t>调</w:t>
      </w:r>
      <w:r>
        <w:rPr>
          <w:b/>
          <w:spacing w:val="-4"/>
          <w:position w:val="1"/>
          <w:sz w:val="21"/>
        </w:rPr>
        <w:t>查</w:t>
      </w:r>
      <w:r>
        <w:rPr>
          <w:b/>
          <w:position w:val="1"/>
          <w:sz w:val="21"/>
        </w:rPr>
        <w:tab/>
      </w:r>
      <w:r>
        <w:rPr>
          <w:spacing w:val="-4"/>
          <w:sz w:val="21"/>
        </w:rPr>
        <w:t>被</w:t>
      </w:r>
      <w:r>
        <w:rPr>
          <w:spacing w:val="-4"/>
          <w:sz w:val="21"/>
        </w:rPr>
        <w:t>保</w:t>
      </w:r>
      <w:r>
        <w:rPr>
          <w:spacing w:val="-4"/>
          <w:sz w:val="21"/>
        </w:rPr>
        <w:t>险人遭受事</w:t>
      </w:r>
      <w:r>
        <w:rPr>
          <w:spacing w:val="-4"/>
          <w:sz w:val="21"/>
        </w:rPr>
        <w:t>故</w:t>
      </w:r>
      <w:r>
        <w:rPr>
          <w:spacing w:val="-4"/>
          <w:sz w:val="21"/>
        </w:rPr>
        <w:t>的</w:t>
      </w:r>
      <w:r>
        <w:rPr>
          <w:spacing w:val="-4"/>
          <w:sz w:val="21"/>
        </w:rPr>
        <w:t>，除</w:t>
      </w:r>
      <w:r>
        <w:rPr>
          <w:spacing w:val="-4"/>
          <w:sz w:val="21"/>
        </w:rPr>
        <w:t>法</w:t>
      </w:r>
      <w:r>
        <w:rPr>
          <w:spacing w:val="-4"/>
          <w:sz w:val="21"/>
        </w:rPr>
        <w:t>律</w:t>
      </w:r>
      <w:r>
        <w:rPr>
          <w:spacing w:val="-4"/>
          <w:sz w:val="21"/>
        </w:rPr>
        <w:t>禁止的情况外，本公司有权对投</w:t>
      </w:r>
      <w:r>
        <w:rPr>
          <w:spacing w:val="-4"/>
          <w:sz w:val="21"/>
        </w:rPr>
        <w:t>保</w:t>
      </w:r>
      <w:r>
        <w:rPr>
          <w:spacing w:val="-4"/>
          <w:sz w:val="21"/>
        </w:rPr>
        <w:t>人</w:t>
      </w:r>
      <w:r>
        <w:rPr>
          <w:spacing w:val="-4"/>
          <w:sz w:val="21"/>
        </w:rPr>
        <w:t>、被</w:t>
      </w:r>
      <w:r>
        <w:rPr>
          <w:spacing w:val="-4"/>
          <w:sz w:val="21"/>
        </w:rPr>
        <w:t>保</w:t>
      </w:r>
      <w:r>
        <w:rPr>
          <w:spacing w:val="-4"/>
          <w:sz w:val="21"/>
        </w:rPr>
        <w:t>险</w:t>
      </w:r>
      <w:r>
        <w:rPr>
          <w:spacing w:val="-4"/>
          <w:sz w:val="21"/>
        </w:rPr>
        <w:t>人</w:t>
      </w:r>
      <w:r>
        <w:rPr>
          <w:spacing w:val="-4"/>
          <w:sz w:val="21"/>
        </w:rPr>
        <w:t>、</w:t>
      </w:r>
      <w:r>
        <w:rPr>
          <w:spacing w:val="-2"/>
          <w:sz w:val="21"/>
        </w:rPr>
        <w:t>受</w:t>
      </w:r>
      <w:r>
        <w:rPr>
          <w:spacing w:val="-2"/>
          <w:sz w:val="21"/>
        </w:rPr>
        <w:t>益</w:t>
      </w:r>
      <w:r>
        <w:rPr>
          <w:spacing w:val="-2"/>
          <w:sz w:val="21"/>
        </w:rPr>
        <w:t>人</w:t>
      </w:r>
      <w:r>
        <w:rPr>
          <w:spacing w:val="-2"/>
          <w:sz w:val="21"/>
        </w:rPr>
        <w:t>等，</w:t>
      </w:r>
      <w:r>
        <w:rPr>
          <w:spacing w:val="-2"/>
          <w:sz w:val="21"/>
        </w:rPr>
        <w:t>就</w:t>
      </w:r>
      <w:r>
        <w:rPr>
          <w:spacing w:val="-2"/>
          <w:sz w:val="21"/>
        </w:rPr>
        <w:t>事</w:t>
      </w:r>
      <w:r>
        <w:rPr>
          <w:spacing w:val="-2"/>
          <w:sz w:val="21"/>
        </w:rPr>
        <w:t>故</w:t>
      </w:r>
      <w:r>
        <w:rPr>
          <w:spacing w:val="-2"/>
          <w:sz w:val="21"/>
        </w:rPr>
        <w:t>的</w:t>
      </w:r>
      <w:r>
        <w:rPr>
          <w:spacing w:val="-2"/>
          <w:sz w:val="21"/>
        </w:rPr>
        <w:t>性</w:t>
      </w:r>
      <w:r>
        <w:rPr>
          <w:spacing w:val="-2"/>
          <w:sz w:val="21"/>
        </w:rPr>
        <w:t>质</w:t>
      </w:r>
      <w:r>
        <w:rPr>
          <w:spacing w:val="-2"/>
          <w:sz w:val="21"/>
        </w:rPr>
        <w:t>、</w:t>
      </w:r>
      <w:r>
        <w:rPr>
          <w:spacing w:val="-2"/>
          <w:sz w:val="21"/>
        </w:rPr>
        <w:t>原</w:t>
      </w:r>
      <w:r>
        <w:rPr>
          <w:spacing w:val="-2"/>
          <w:sz w:val="21"/>
        </w:rPr>
        <w:t>因</w:t>
      </w:r>
      <w:r>
        <w:rPr>
          <w:spacing w:val="-2"/>
          <w:sz w:val="21"/>
        </w:rPr>
        <w:t>、</w:t>
      </w:r>
      <w:r>
        <w:rPr>
          <w:spacing w:val="-2"/>
          <w:sz w:val="21"/>
        </w:rPr>
        <w:t>结</w:t>
      </w:r>
      <w:r>
        <w:rPr>
          <w:spacing w:val="-2"/>
          <w:sz w:val="21"/>
        </w:rPr>
        <w:t>果</w:t>
      </w:r>
      <w:r>
        <w:rPr>
          <w:spacing w:val="-2"/>
          <w:sz w:val="21"/>
        </w:rPr>
        <w:t>及</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损</w:t>
      </w:r>
      <w:r>
        <w:rPr>
          <w:spacing w:val="-2"/>
          <w:sz w:val="21"/>
        </w:rPr>
        <w:t>伤</w:t>
      </w:r>
      <w:r>
        <w:rPr>
          <w:spacing w:val="-2"/>
          <w:sz w:val="21"/>
        </w:rPr>
        <w:t>程</w:t>
      </w:r>
      <w:r>
        <w:rPr>
          <w:spacing w:val="-2"/>
          <w:sz w:val="21"/>
        </w:rPr>
        <w:t>度</w:t>
      </w:r>
      <w:r>
        <w:rPr>
          <w:spacing w:val="-2"/>
          <w:sz w:val="21"/>
        </w:rPr>
        <w:t>和</w:t>
      </w:r>
      <w:r>
        <w:rPr>
          <w:spacing w:val="-2"/>
          <w:sz w:val="21"/>
        </w:rPr>
        <w:t>身</w:t>
      </w:r>
      <w:r>
        <w:rPr>
          <w:spacing w:val="-2"/>
          <w:sz w:val="21"/>
        </w:rPr>
        <w:t>体</w:t>
      </w:r>
      <w:r>
        <w:rPr>
          <w:spacing w:val="-2"/>
          <w:sz w:val="21"/>
        </w:rPr>
        <w:t>情</w:t>
      </w:r>
      <w:r>
        <w:rPr>
          <w:spacing w:val="-2"/>
          <w:sz w:val="21"/>
        </w:rPr>
        <w:t>况</w:t>
      </w:r>
      <w:r>
        <w:rPr>
          <w:spacing w:val="-2"/>
          <w:sz w:val="21"/>
        </w:rPr>
        <w:t>等，</w:t>
      </w:r>
      <w:r>
        <w:rPr>
          <w:spacing w:val="-2"/>
          <w:sz w:val="21"/>
        </w:rPr>
        <w:t>进</w:t>
      </w:r>
      <w:r>
        <w:rPr>
          <w:spacing w:val="-2"/>
          <w:sz w:val="21"/>
        </w:rPr>
        <w:t>行</w:t>
      </w:r>
      <w:r>
        <w:rPr>
          <w:spacing w:val="-2"/>
          <w:sz w:val="21"/>
        </w:rPr>
        <w:t>调查、检查、评估和</w:t>
      </w:r>
      <w:r>
        <w:rPr>
          <w:spacing w:val="-2"/>
          <w:sz w:val="21"/>
        </w:rPr>
        <w:t>鉴</w:t>
      </w:r>
      <w:r>
        <w:rPr>
          <w:spacing w:val="-2"/>
          <w:sz w:val="21"/>
        </w:rPr>
        <w:t>定</w:t>
      </w:r>
      <w:r>
        <w:rPr>
          <w:spacing w:val="-2"/>
          <w:sz w:val="21"/>
        </w:rPr>
        <w:t>（包括但不限于提请</w:t>
      </w:r>
      <w:r>
        <w:rPr>
          <w:spacing w:val="-2"/>
          <w:sz w:val="21"/>
        </w:rPr>
        <w:t>作</w:t>
      </w:r>
      <w:r>
        <w:rPr>
          <w:spacing w:val="-2"/>
          <w:sz w:val="21"/>
        </w:rPr>
        <w:t>必</w:t>
      </w:r>
      <w:r>
        <w:rPr>
          <w:spacing w:val="-2"/>
          <w:sz w:val="21"/>
        </w:rPr>
        <w:t>要、合理的解剖检验</w:t>
      </w:r>
      <w:r>
        <w:rPr>
          <w:spacing w:val="-108"/>
          <w:sz w:val="21"/>
        </w:rPr>
        <w:t>），</w:t>
      </w:r>
      <w:r>
        <w:rPr>
          <w:spacing w:val="-2"/>
          <w:sz w:val="21"/>
        </w:rPr>
        <w:t>投</w:t>
      </w:r>
      <w:r>
        <w:rPr>
          <w:spacing w:val="-2"/>
          <w:sz w:val="21"/>
        </w:rPr>
        <w:t>保</w:t>
      </w:r>
      <w:r>
        <w:rPr>
          <w:spacing w:val="-2"/>
          <w:sz w:val="21"/>
        </w:rPr>
        <w:t>人、被保险人、受益人等应当予以充分配</w:t>
      </w:r>
      <w:r>
        <w:rPr>
          <w:spacing w:val="-2"/>
          <w:sz w:val="21"/>
        </w:rPr>
        <w:t>合</w:t>
      </w:r>
      <w:r>
        <w:rPr>
          <w:spacing w:val="-2"/>
          <w:sz w:val="21"/>
        </w:rPr>
        <w:t>。</w:t>
      </w:r>
    </w:p>
    <w:p>
      <w:pPr>
        <w:pStyle w:val="ListParagraph"/>
        <w:numPr>
          <w:ilvl w:val="1"/>
          <w:numId w:val="2"/>
        </w:numPr>
        <w:tabs>
          <w:tab w:pos="1369" w:val="left" w:leader="none"/>
          <w:tab w:pos="1370" w:val="left" w:leader="none"/>
          <w:tab w:pos="3072" w:val="left" w:leader="none"/>
        </w:tabs>
        <w:spacing w:line="266" w:lineRule="auto" w:before="141" w:after="0"/>
        <w:ind w:left="3072" w:right="211" w:hanging="2805"/>
        <w:jc w:val="left"/>
        <w:rPr>
          <w:sz w:val="21"/>
        </w:rPr>
      </w:pPr>
      <w:r>
        <w:rPr>
          <w:b/>
          <w:spacing w:val="-2"/>
          <w:position w:val="1"/>
          <w:sz w:val="21"/>
        </w:rPr>
        <w:t>保</w:t>
      </w:r>
      <w:r>
        <w:rPr>
          <w:b/>
          <w:spacing w:val="-2"/>
          <w:position w:val="1"/>
          <w:sz w:val="21"/>
        </w:rPr>
        <w:t>险</w:t>
      </w:r>
      <w:r>
        <w:rPr>
          <w:b/>
          <w:spacing w:val="-2"/>
          <w:position w:val="1"/>
          <w:sz w:val="21"/>
        </w:rPr>
        <w:t>金</w:t>
      </w:r>
      <w:r>
        <w:rPr>
          <w:b/>
          <w:spacing w:val="-2"/>
          <w:position w:val="1"/>
          <w:sz w:val="21"/>
        </w:rPr>
        <w:t>的</w:t>
      </w:r>
      <w:r>
        <w:rPr>
          <w:b/>
          <w:spacing w:val="-2"/>
          <w:position w:val="1"/>
          <w:sz w:val="21"/>
        </w:rPr>
        <w:t>给</w:t>
      </w:r>
      <w:r>
        <w:rPr>
          <w:b/>
          <w:spacing w:val="-2"/>
          <w:position w:val="1"/>
          <w:sz w:val="21"/>
        </w:rPr>
        <w:t>付</w:t>
      </w:r>
      <w:r>
        <w:rPr>
          <w:b/>
          <w:position w:val="1"/>
          <w:sz w:val="21"/>
        </w:rPr>
        <w:tab/>
      </w:r>
      <w:r>
        <w:rPr>
          <w:sz w:val="21"/>
        </w:rPr>
        <w:t>收到保险金给付申请书及</w:t>
      </w:r>
      <w:r>
        <w:rPr>
          <w:sz w:val="21"/>
        </w:rPr>
        <w:t>有关证明和资料后</w:t>
      </w:r>
      <w:r>
        <w:rPr>
          <w:spacing w:val="-92"/>
          <w:sz w:val="21"/>
        </w:rPr>
        <w:t>，</w:t>
      </w:r>
      <w:r>
        <w:rPr>
          <w:sz w:val="21"/>
        </w:rPr>
        <w:t>本公司</w:t>
      </w:r>
      <w:r>
        <w:rPr>
          <w:sz w:val="21"/>
        </w:rPr>
        <w:t>将在</w:t>
      </w:r>
      <w:r>
        <w:rPr>
          <w:spacing w:val="-53"/>
          <w:sz w:val="21"/>
        </w:rPr>
        <w:t> </w:t>
      </w:r>
      <w:r>
        <w:rPr>
          <w:sz w:val="21"/>
        </w:rPr>
        <w:t>10</w:t>
      </w:r>
      <w:r>
        <w:rPr>
          <w:spacing w:val="-52"/>
          <w:sz w:val="21"/>
        </w:rPr>
        <w:t> </w:t>
      </w:r>
      <w:r>
        <w:rPr>
          <w:sz w:val="21"/>
        </w:rPr>
        <w:t>个工作日内作出核定；情形复杂的，在</w:t>
      </w:r>
      <w:r>
        <w:rPr>
          <w:spacing w:val="-22"/>
          <w:sz w:val="21"/>
        </w:rPr>
        <w:t> </w:t>
      </w:r>
      <w:r>
        <w:rPr>
          <w:sz w:val="21"/>
        </w:rPr>
        <w:t>30</w:t>
      </w:r>
      <w:r>
        <w:rPr>
          <w:spacing w:val="-25"/>
          <w:sz w:val="21"/>
        </w:rPr>
        <w:t> </w:t>
      </w:r>
      <w:r>
        <w:rPr>
          <w:sz w:val="21"/>
        </w:rPr>
        <w:t>日</w:t>
      </w:r>
      <w:r>
        <w:rPr>
          <w:sz w:val="21"/>
        </w:rPr>
        <w:t>内作出核定。</w:t>
      </w:r>
    </w:p>
    <w:p>
      <w:pPr>
        <w:pStyle w:val="BodyText"/>
        <w:spacing w:before="159"/>
        <w:ind w:left="3072"/>
      </w:pPr>
      <w:r>
        <w:rPr>
          <w:spacing w:val="-3"/>
        </w:rPr>
        <w:t>本公司应当将核定结果通知受益人。对属于保险责任的，在与受益人达成给付</w:t>
      </w:r>
    </w:p>
    <w:p>
      <w:pPr>
        <w:spacing w:after="0"/>
        <w:sectPr>
          <w:type w:val="continuous"/>
          <w:pgSz w:w="11910" w:h="16840"/>
          <w:pgMar w:header="0" w:footer="659" w:top="480" w:bottom="280" w:left="920" w:right="540"/>
        </w:sectPr>
      </w:pPr>
    </w:p>
    <w:p>
      <w:pPr>
        <w:pStyle w:val="BodyText"/>
        <w:spacing w:before="51"/>
        <w:ind w:left="3072"/>
        <w:jc w:val="both"/>
      </w:pPr>
      <w:r>
        <w:rPr>
          <w:spacing w:val="-11"/>
        </w:rPr>
        <w:t>保险金的协议后 </w:t>
      </w:r>
      <w:r>
        <w:rPr>
          <w:spacing w:val="-4"/>
        </w:rPr>
        <w:t>10</w:t>
      </w:r>
      <w:r>
        <w:rPr>
          <w:spacing w:val="-12"/>
        </w:rPr>
        <w:t> 日内履行给付保险金义务；对不属于保险责任的，本公司自</w:t>
      </w:r>
    </w:p>
    <w:p>
      <w:pPr>
        <w:pStyle w:val="BodyText"/>
        <w:spacing w:before="32"/>
        <w:ind w:left="3072"/>
        <w:jc w:val="both"/>
      </w:pPr>
      <w:r>
        <w:rPr>
          <w:spacing w:val="-8"/>
        </w:rPr>
        <w:t>作出核定之日起 </w:t>
      </w:r>
      <w:r>
        <w:rPr>
          <w:spacing w:val="-2"/>
        </w:rPr>
        <w:t>3</w:t>
      </w:r>
      <w:r>
        <w:rPr>
          <w:spacing w:val="-10"/>
        </w:rPr>
        <w:t> 日内向受益人发出拒绝给付保险金通知书，并说明理由。</w:t>
      </w:r>
    </w:p>
    <w:p>
      <w:pPr>
        <w:pStyle w:val="BodyText"/>
        <w:spacing w:before="7"/>
        <w:rPr>
          <w:sz w:val="14"/>
        </w:rPr>
      </w:pPr>
    </w:p>
    <w:p>
      <w:pPr>
        <w:pStyle w:val="BodyText"/>
        <w:spacing w:line="266" w:lineRule="auto"/>
        <w:ind w:left="3072" w:right="214"/>
        <w:jc w:val="both"/>
      </w:pPr>
      <w:r>
        <w:rPr>
          <w:spacing w:val="-4"/>
        </w:rPr>
        <w:t>自收到保险金给付申请书及有关证明和资料之日起 </w:t>
      </w:r>
      <w:r>
        <w:rPr>
          <w:spacing w:val="-2"/>
        </w:rPr>
        <w:t>60</w:t>
      </w:r>
      <w:r>
        <w:rPr>
          <w:spacing w:val="-14"/>
        </w:rPr>
        <w:t> 日内，本公司对给付保险</w:t>
      </w:r>
      <w:r>
        <w:rPr>
          <w:spacing w:val="-2"/>
        </w:rPr>
        <w:t>金的数额不能确定的，本公司应当根据已有证明和资料可以确定的数额先予支</w:t>
      </w:r>
      <w:r>
        <w:rPr>
          <w:spacing w:val="-2"/>
        </w:rPr>
        <w:t>付；最终确定给付保险金的数额后，本公司支付相应的差额。</w:t>
      </w:r>
    </w:p>
    <w:p>
      <w:pPr>
        <w:pStyle w:val="ListParagraph"/>
        <w:numPr>
          <w:ilvl w:val="1"/>
          <w:numId w:val="2"/>
        </w:numPr>
        <w:tabs>
          <w:tab w:pos="1370" w:val="left" w:leader="none"/>
        </w:tabs>
        <w:spacing w:line="266" w:lineRule="auto" w:before="150" w:after="0"/>
        <w:ind w:left="3072" w:right="214" w:hanging="2805"/>
        <w:jc w:val="both"/>
        <w:rPr>
          <w:sz w:val="21"/>
        </w:rPr>
      </w:pPr>
      <w:r>
        <w:rPr>
          <w:b/>
          <w:position w:val="1"/>
          <w:sz w:val="21"/>
        </w:rPr>
        <w:t>诉讼时效</w:t>
      </w:r>
      <w:r>
        <w:rPr>
          <w:b/>
          <w:spacing w:val="684"/>
          <w:position w:val="1"/>
          <w:sz w:val="21"/>
        </w:rPr>
        <w:t> </w:t>
      </w:r>
      <w:r>
        <w:rPr>
          <w:spacing w:val="-2"/>
          <w:sz w:val="21"/>
        </w:rPr>
        <w:t>受益人向本公司请求给付保险金的诉讼时效期间为 </w:t>
      </w:r>
      <w:r>
        <w:rPr>
          <w:sz w:val="21"/>
        </w:rPr>
        <w:t>2</w:t>
      </w:r>
      <w:r>
        <w:rPr>
          <w:spacing w:val="-5"/>
          <w:sz w:val="21"/>
        </w:rPr>
        <w:t> 年，自其知道或应当知道</w:t>
      </w:r>
      <w:r>
        <w:rPr>
          <w:spacing w:val="-2"/>
          <w:sz w:val="21"/>
        </w:rPr>
        <w:t>保险事故发生之日起计算。</w:t>
      </w:r>
    </w:p>
    <w:p>
      <w:pPr>
        <w:pStyle w:val="BodyText"/>
        <w:spacing w:before="1"/>
        <w:rPr>
          <w:sz w:val="20"/>
        </w:rPr>
      </w:pPr>
    </w:p>
    <w:p>
      <w:pPr>
        <w:pStyle w:val="Heading1"/>
        <w:numPr>
          <w:ilvl w:val="0"/>
          <w:numId w:val="2"/>
        </w:numPr>
        <w:tabs>
          <w:tab w:pos="1369" w:val="left" w:leader="none"/>
          <w:tab w:pos="1370" w:val="left" w:leader="none"/>
        </w:tabs>
        <w:spacing w:line="240" w:lineRule="auto" w:before="31" w:after="4"/>
        <w:ind w:left="1370" w:right="0" w:hanging="1103"/>
        <w:jc w:val="left"/>
      </w:pPr>
      <w:r>
        <w:rPr>
          <w:w w:val="95"/>
        </w:rPr>
        <w:t>保</w:t>
      </w:r>
      <w:r>
        <w:rPr>
          <w:w w:val="95"/>
        </w:rPr>
        <w:t>险</w:t>
      </w:r>
      <w:r>
        <w:rPr>
          <w:w w:val="95"/>
        </w:rPr>
        <w:t>费</w:t>
      </w:r>
      <w:r>
        <w:rPr>
          <w:w w:val="95"/>
        </w:rPr>
        <w:t>交</w:t>
      </w:r>
      <w:r>
        <w:rPr>
          <w:spacing w:val="-10"/>
          <w:w w:val="95"/>
        </w:rPr>
        <w:t>纳</w:t>
      </w:r>
    </w:p>
    <w:p>
      <w:pPr>
        <w:pStyle w:val="BodyText"/>
        <w:spacing w:line="20" w:lineRule="exact"/>
        <w:ind w:left="160"/>
        <w:rPr>
          <w:sz w:val="2"/>
        </w:rPr>
      </w:pPr>
      <w:r>
        <w:rPr>
          <w:sz w:val="2"/>
        </w:rPr>
        <w:drawing>
          <wp:inline distT="0" distB="0" distL="0" distR="0">
            <wp:extent cx="6461244" cy="6096"/>
            <wp:effectExtent l="0" t="0" r="0" b="0"/>
            <wp:docPr id="35" name="image11.png"/>
            <wp:cNvGraphicFramePr>
              <a:graphicFrameLocks noChangeAspect="1"/>
            </wp:cNvGraphicFramePr>
            <a:graphic>
              <a:graphicData uri="http://schemas.openxmlformats.org/drawingml/2006/picture">
                <pic:pic>
                  <pic:nvPicPr>
                    <pic:cNvPr id="36" name="image11.png"/>
                    <pic:cNvPicPr/>
                  </pic:nvPicPr>
                  <pic:blipFill>
                    <a:blip r:embed="rId20" cstate="print"/>
                    <a:stretch>
                      <a:fillRect/>
                    </a:stretch>
                  </pic:blipFill>
                  <pic:spPr>
                    <a:xfrm>
                      <a:off x="0" y="0"/>
                      <a:ext cx="6461244" cy="6096"/>
                    </a:xfrm>
                    <a:prstGeom prst="rect">
                      <a:avLst/>
                    </a:prstGeom>
                  </pic:spPr>
                </pic:pic>
              </a:graphicData>
            </a:graphic>
          </wp:inline>
        </w:drawing>
      </w:r>
      <w:r>
        <w:rPr>
          <w:sz w:val="2"/>
        </w:rPr>
      </w:r>
    </w:p>
    <w:p>
      <w:pPr>
        <w:pStyle w:val="ListParagraph"/>
        <w:numPr>
          <w:ilvl w:val="1"/>
          <w:numId w:val="2"/>
        </w:numPr>
        <w:tabs>
          <w:tab w:pos="1370" w:val="left" w:leader="none"/>
        </w:tabs>
        <w:spacing w:line="268" w:lineRule="auto" w:before="168" w:after="0"/>
        <w:ind w:left="3072" w:right="214" w:hanging="2805"/>
        <w:jc w:val="both"/>
        <w:rPr>
          <w:sz w:val="21"/>
        </w:rPr>
      </w:pPr>
      <w:r>
        <w:rPr>
          <w:b/>
          <w:spacing w:val="45"/>
          <w:position w:val="1"/>
          <w:sz w:val="21"/>
        </w:rPr>
        <w:t>保险费的交纳 </w:t>
      </w:r>
      <w:r>
        <w:rPr>
          <w:sz w:val="21"/>
        </w:rPr>
        <w:t>本合同的交费方式和交费期间由投保人和本公司约定，并在保单上载明。分期</w:t>
      </w:r>
      <w:r>
        <w:rPr>
          <w:spacing w:val="-2"/>
          <w:sz w:val="21"/>
        </w:rPr>
        <w:t>支付保险费的，在交纳首期保险费后，投保人应当在每个保险费的约定交纳日</w:t>
      </w:r>
      <w:r>
        <w:rPr>
          <w:spacing w:val="-2"/>
          <w:sz w:val="21"/>
        </w:rPr>
        <w:t>交纳其余各期保险费。</w:t>
      </w:r>
    </w:p>
    <w:p>
      <w:pPr>
        <w:pStyle w:val="ListParagraph"/>
        <w:numPr>
          <w:ilvl w:val="1"/>
          <w:numId w:val="2"/>
        </w:numPr>
        <w:tabs>
          <w:tab w:pos="1370" w:val="left" w:leader="none"/>
        </w:tabs>
        <w:spacing w:line="266" w:lineRule="auto" w:before="142" w:after="0"/>
        <w:ind w:left="3072" w:right="214" w:hanging="2805"/>
        <w:jc w:val="both"/>
        <w:rPr>
          <w:sz w:val="21"/>
        </w:rPr>
      </w:pPr>
      <w:r>
        <w:rPr>
          <w:b/>
          <w:position w:val="1"/>
          <w:sz w:val="21"/>
        </w:rPr>
        <w:t>宽限期</w:t>
      </w:r>
      <w:r>
        <w:rPr>
          <w:b/>
          <w:spacing w:val="947"/>
          <w:position w:val="1"/>
          <w:sz w:val="21"/>
        </w:rPr>
        <w:t> </w:t>
      </w:r>
      <w:r>
        <w:rPr>
          <w:sz w:val="21"/>
        </w:rPr>
        <w:t>分期支付保险费的，投保人在支付首期保费后，除本合同另有约定外，若到期</w:t>
      </w:r>
      <w:r>
        <w:rPr>
          <w:spacing w:val="-7"/>
          <w:sz w:val="21"/>
        </w:rPr>
        <w:t>未支付保险费，自保险费的约定交纳日的次日零时起 </w:t>
      </w:r>
      <w:r>
        <w:rPr>
          <w:spacing w:val="-6"/>
          <w:sz w:val="21"/>
        </w:rPr>
        <w:t>60</w:t>
      </w:r>
      <w:r>
        <w:rPr>
          <w:spacing w:val="-8"/>
          <w:sz w:val="21"/>
        </w:rPr>
        <w:t> 日为宽限期。宽限期内</w:t>
      </w:r>
      <w:r>
        <w:rPr>
          <w:spacing w:val="-2"/>
          <w:sz w:val="21"/>
        </w:rPr>
        <w:t>发生保险事故的，本公司仍会承担保险责任，但在给付保险金时会扣减欠交保</w:t>
      </w:r>
      <w:r>
        <w:rPr>
          <w:spacing w:val="-4"/>
          <w:sz w:val="21"/>
        </w:rPr>
        <w:t>险费。</w:t>
      </w:r>
    </w:p>
    <w:p>
      <w:pPr>
        <w:pStyle w:val="BodyText"/>
        <w:spacing w:before="5"/>
        <w:rPr>
          <w:sz w:val="8"/>
        </w:rPr>
      </w:pPr>
      <w:r>
        <w:rPr/>
        <w:pict>
          <v:shape style="position:absolute;margin-left:199.610001pt;margin-top:21.595634pt;width:21pt;height:15pt;mso-position-horizontal-relative:page;mso-position-vertical-relative:paragraph;z-index:-17192960" type="#_x0000_t202" id="docshape33" filled="true" fillcolor="#e4e4e4" stroked="false">
            <v:textbox inset="0,0,0,0">
              <w:txbxContent>
                <w:p>
                  <w:pPr>
                    <w:pStyle w:val="BodyText"/>
                    <w:spacing w:before="30"/>
                    <w:ind w:right="-15"/>
                    <w:rPr>
                      <w:color w:val="000000"/>
                    </w:rPr>
                  </w:pPr>
                  <w:r>
                    <w:rPr>
                      <w:color w:val="000000"/>
                      <w:spacing w:val="-5"/>
                    </w:rPr>
                    <w:t>止。</w:t>
                  </w:r>
                </w:p>
              </w:txbxContent>
            </v:textbox>
            <v:fill type="solid"/>
            <w10:wrap type="none"/>
          </v:shape>
        </w:pict>
      </w:r>
      <w:r>
        <w:rPr/>
        <w:pict>
          <v:shape style="position:absolute;margin-left:199.610001pt;margin-top:6.595635pt;width:357.8pt;height:15pt;mso-position-horizontal-relative:page;mso-position-vertical-relative:paragraph;z-index:-15708160;mso-wrap-distance-left:0;mso-wrap-distance-right:0" type="#_x0000_t202" id="docshape34" filled="true" fillcolor="#e4e4e4" stroked="false">
            <v:textbox inset="0,0,0,0">
              <w:txbxContent>
                <w:p>
                  <w:pPr>
                    <w:pStyle w:val="BodyText"/>
                    <w:spacing w:before="30"/>
                    <w:ind w:right="-15"/>
                    <w:rPr>
                      <w:color w:val="000000"/>
                    </w:rPr>
                  </w:pPr>
                  <w:r>
                    <w:rPr>
                      <w:color w:val="000000"/>
                      <w:spacing w:val="-3"/>
                    </w:rPr>
                    <w:t>若投保人在宽限期结束后仍未支付保险费，则本合同自宽限期满次日零时起中</w:t>
                  </w:r>
                </w:p>
              </w:txbxContent>
            </v:textbox>
            <v:fill type="solid"/>
            <w10:wrap type="topAndBottom"/>
          </v:shape>
        </w:pict>
      </w:r>
    </w:p>
    <w:p>
      <w:pPr>
        <w:pStyle w:val="BodyText"/>
        <w:rPr>
          <w:sz w:val="10"/>
        </w:rPr>
      </w:pPr>
    </w:p>
    <w:p>
      <w:pPr>
        <w:pStyle w:val="Heading1"/>
        <w:numPr>
          <w:ilvl w:val="0"/>
          <w:numId w:val="2"/>
        </w:numPr>
        <w:tabs>
          <w:tab w:pos="1369" w:val="left" w:leader="none"/>
          <w:tab w:pos="1370" w:val="left" w:leader="none"/>
        </w:tabs>
        <w:spacing w:line="240" w:lineRule="auto" w:before="28" w:after="0"/>
        <w:ind w:left="1370" w:right="0" w:hanging="1103"/>
        <w:jc w:val="left"/>
      </w:pPr>
      <w:r>
        <w:rPr/>
        <w:drawing>
          <wp:anchor distT="0" distB="0" distL="0" distR="0" allowOverlap="1" layoutInCell="1" locked="0" behindDoc="0" simplePos="0" relativeHeight="41">
            <wp:simplePos x="0" y="0"/>
            <wp:positionH relativeFrom="page">
              <wp:posOffset>685800</wp:posOffset>
            </wp:positionH>
            <wp:positionV relativeFrom="paragraph">
              <wp:posOffset>413511</wp:posOffset>
            </wp:positionV>
            <wp:extent cx="6461244" cy="6096"/>
            <wp:effectExtent l="0" t="0" r="0" b="0"/>
            <wp:wrapTopAndBottom/>
            <wp:docPr id="37" name="image11.png"/>
            <wp:cNvGraphicFramePr>
              <a:graphicFrameLocks noChangeAspect="1"/>
            </wp:cNvGraphicFramePr>
            <a:graphic>
              <a:graphicData uri="http://schemas.openxmlformats.org/drawingml/2006/picture">
                <pic:pic>
                  <pic:nvPicPr>
                    <pic:cNvPr id="38" name="image11.png"/>
                    <pic:cNvPicPr/>
                  </pic:nvPicPr>
                  <pic:blipFill>
                    <a:blip r:embed="rId20" cstate="print"/>
                    <a:stretch>
                      <a:fillRect/>
                    </a:stretch>
                  </pic:blipFill>
                  <pic:spPr>
                    <a:xfrm>
                      <a:off x="0" y="0"/>
                      <a:ext cx="6461244" cy="6096"/>
                    </a:xfrm>
                    <a:prstGeom prst="rect">
                      <a:avLst/>
                    </a:prstGeom>
                  </pic:spPr>
                </pic:pic>
              </a:graphicData>
            </a:graphic>
          </wp:anchor>
        </w:drawing>
      </w:r>
      <w:r>
        <w:rPr/>
        <w:pict>
          <v:shape style="position:absolute;margin-left:199.610001pt;margin-top:70.860008pt;width:210.15pt;height:15pt;mso-position-horizontal-relative:page;mso-position-vertical-relative:paragraph;z-index:15751168" type="#_x0000_t202" id="docshape35" filled="true" fillcolor="#e4e4e4" stroked="false">
            <v:textbox inset="0,0,0,0">
              <w:txbxContent>
                <w:p>
                  <w:pPr>
                    <w:pStyle w:val="BodyText"/>
                    <w:spacing w:before="30"/>
                    <w:ind w:right="-15"/>
                    <w:rPr>
                      <w:color w:val="000000"/>
                    </w:rPr>
                  </w:pPr>
                  <w:r>
                    <w:rPr>
                      <w:color w:val="000000"/>
                      <w:spacing w:val="-3"/>
                    </w:rPr>
                    <w:t>现金价值将根据保险金已给付情况相应减少。</w:t>
                  </w:r>
                </w:p>
              </w:txbxContent>
            </v:textbox>
            <v:fill type="solid"/>
            <w10:wrap type="none"/>
          </v:shape>
        </w:pict>
      </w:r>
      <w:r>
        <w:rPr/>
        <w:pict>
          <v:shape style="position:absolute;margin-left:283.850006pt;margin-top:55.836006pt;width:273.55pt;height:15.05pt;mso-position-horizontal-relative:page;mso-position-vertical-relative:paragraph;z-index:-17189888" type="#_x0000_t202" id="docshape36" filled="true" fillcolor="#e4e4e4" stroked="false">
            <v:textbox inset="0,0,0,0">
              <w:txbxContent>
                <w:p>
                  <w:pPr>
                    <w:pStyle w:val="BodyText"/>
                    <w:spacing w:before="30"/>
                    <w:ind w:right="-15"/>
                    <w:rPr>
                      <w:color w:val="000000"/>
                    </w:rPr>
                  </w:pPr>
                  <w:r>
                    <w:rPr>
                      <w:color w:val="000000"/>
                      <w:spacing w:val="-3"/>
                    </w:rPr>
                    <w:t>若本公司已按本合同的约定给付过保险金，本合同保险单的</w:t>
                  </w:r>
                </w:p>
              </w:txbxContent>
            </v:textbox>
            <v:fill type="solid"/>
            <w10:wrap type="none"/>
          </v:shape>
        </w:pict>
      </w:r>
      <w:r>
        <w:rPr>
          <w:w w:val="95"/>
        </w:rPr>
        <w:t>现</w:t>
      </w:r>
      <w:r>
        <w:rPr>
          <w:w w:val="95"/>
        </w:rPr>
        <w:t>金</w:t>
      </w:r>
      <w:r>
        <w:rPr>
          <w:w w:val="95"/>
        </w:rPr>
        <w:t>价</w:t>
      </w:r>
      <w:r>
        <w:rPr>
          <w:w w:val="95"/>
        </w:rPr>
        <w:t>值</w:t>
      </w:r>
      <w:r>
        <w:rPr>
          <w:w w:val="95"/>
        </w:rPr>
        <w:t>权</w:t>
      </w:r>
      <w:r>
        <w:rPr>
          <w:spacing w:val="-10"/>
          <w:w w:val="95"/>
        </w:rPr>
        <w:t>益</w:t>
      </w:r>
    </w:p>
    <w:p>
      <w:pPr>
        <w:pStyle w:val="ListParagraph"/>
        <w:numPr>
          <w:ilvl w:val="1"/>
          <w:numId w:val="2"/>
        </w:numPr>
        <w:tabs>
          <w:tab w:pos="1369" w:val="left" w:leader="none"/>
          <w:tab w:pos="1370" w:val="left" w:leader="none"/>
          <w:tab w:pos="3072" w:val="left" w:leader="none"/>
        </w:tabs>
        <w:spacing w:line="268" w:lineRule="auto" w:before="176" w:after="0"/>
        <w:ind w:left="3072" w:right="214" w:hanging="2805"/>
        <w:jc w:val="left"/>
        <w:rPr>
          <w:sz w:val="21"/>
        </w:rPr>
      </w:pPr>
      <w:r>
        <w:rPr>
          <w:b/>
          <w:spacing w:val="-4"/>
          <w:position w:val="1"/>
          <w:sz w:val="21"/>
        </w:rPr>
        <w:t>现</w:t>
      </w:r>
      <w:r>
        <w:rPr>
          <w:b/>
          <w:spacing w:val="-4"/>
          <w:position w:val="1"/>
          <w:sz w:val="21"/>
        </w:rPr>
        <w:t>金</w:t>
      </w:r>
      <w:r>
        <w:rPr>
          <w:b/>
          <w:spacing w:val="-4"/>
          <w:position w:val="1"/>
          <w:sz w:val="21"/>
        </w:rPr>
        <w:t>价</w:t>
      </w:r>
      <w:r>
        <w:rPr>
          <w:b/>
          <w:spacing w:val="-4"/>
          <w:position w:val="1"/>
          <w:sz w:val="21"/>
        </w:rPr>
        <w:t>值</w:t>
      </w:r>
      <w:r>
        <w:rPr>
          <w:b/>
          <w:position w:val="1"/>
          <w:sz w:val="21"/>
        </w:rPr>
        <w:tab/>
      </w:r>
      <w:r>
        <w:rPr>
          <w:spacing w:val="-2"/>
          <w:sz w:val="21"/>
        </w:rPr>
        <w:t>本</w:t>
      </w:r>
      <w:r>
        <w:rPr>
          <w:spacing w:val="-2"/>
          <w:sz w:val="21"/>
        </w:rPr>
        <w:t>合</w:t>
      </w:r>
      <w:r>
        <w:rPr>
          <w:spacing w:val="-2"/>
          <w:sz w:val="21"/>
        </w:rPr>
        <w:t>同</w:t>
      </w:r>
      <w:r>
        <w:rPr>
          <w:spacing w:val="-2"/>
          <w:sz w:val="21"/>
        </w:rPr>
        <w:t>保</w:t>
      </w:r>
      <w:r>
        <w:rPr>
          <w:spacing w:val="-2"/>
          <w:sz w:val="21"/>
        </w:rPr>
        <w:t>单</w:t>
      </w:r>
      <w:r>
        <w:rPr>
          <w:spacing w:val="-2"/>
          <w:sz w:val="21"/>
        </w:rPr>
        <w:t>年</w:t>
      </w:r>
      <w:r>
        <w:rPr>
          <w:spacing w:val="-2"/>
          <w:sz w:val="21"/>
        </w:rPr>
        <w:t>度</w:t>
      </w:r>
      <w:r>
        <w:rPr>
          <w:spacing w:val="-2"/>
          <w:sz w:val="21"/>
        </w:rPr>
        <w:t>末</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会</w:t>
      </w:r>
      <w:r>
        <w:rPr>
          <w:spacing w:val="-2"/>
          <w:sz w:val="21"/>
        </w:rPr>
        <w:t>在</w:t>
      </w:r>
      <w:r>
        <w:rPr>
          <w:spacing w:val="-2"/>
          <w:sz w:val="21"/>
        </w:rPr>
        <w:t>保</w:t>
      </w:r>
      <w:r>
        <w:rPr>
          <w:spacing w:val="-2"/>
          <w:sz w:val="21"/>
        </w:rPr>
        <w:t>险</w:t>
      </w:r>
      <w:r>
        <w:rPr>
          <w:spacing w:val="-2"/>
          <w:sz w:val="21"/>
        </w:rPr>
        <w:t>合</w:t>
      </w:r>
      <w:r>
        <w:rPr>
          <w:spacing w:val="-2"/>
          <w:sz w:val="21"/>
        </w:rPr>
        <w:t>同</w:t>
      </w:r>
      <w:r>
        <w:rPr>
          <w:spacing w:val="-2"/>
          <w:sz w:val="21"/>
        </w:rPr>
        <w:t>中</w:t>
      </w:r>
      <w:r>
        <w:rPr>
          <w:spacing w:val="-2"/>
          <w:sz w:val="21"/>
        </w:rPr>
        <w:t>载</w:t>
      </w:r>
      <w:r>
        <w:rPr>
          <w:spacing w:val="-2"/>
          <w:sz w:val="21"/>
        </w:rPr>
        <w:t>明，</w:t>
      </w:r>
      <w:r>
        <w:rPr>
          <w:spacing w:val="-2"/>
          <w:sz w:val="21"/>
        </w:rPr>
        <w:t>保</w:t>
      </w:r>
      <w:r>
        <w:rPr>
          <w:spacing w:val="-2"/>
          <w:sz w:val="21"/>
        </w:rPr>
        <w:t>单</w:t>
      </w:r>
      <w:r>
        <w:rPr>
          <w:spacing w:val="-2"/>
          <w:sz w:val="21"/>
        </w:rPr>
        <w:t>年</w:t>
      </w:r>
      <w:r>
        <w:rPr>
          <w:spacing w:val="-2"/>
          <w:sz w:val="21"/>
        </w:rPr>
        <w:t>度</w:t>
      </w:r>
      <w:r>
        <w:rPr>
          <w:spacing w:val="-2"/>
          <w:sz w:val="21"/>
        </w:rPr>
        <w:t>之</w:t>
      </w:r>
      <w:r>
        <w:rPr>
          <w:spacing w:val="-2"/>
          <w:sz w:val="21"/>
        </w:rPr>
        <w:t>内</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可</w:t>
      </w:r>
      <w:r>
        <w:rPr>
          <w:spacing w:val="-2"/>
          <w:sz w:val="21"/>
        </w:rPr>
        <w:t>向</w:t>
      </w:r>
      <w:r>
        <w:rPr>
          <w:spacing w:val="-2"/>
          <w:sz w:val="21"/>
        </w:rPr>
        <w:t>本</w:t>
      </w:r>
      <w:r>
        <w:rPr>
          <w:spacing w:val="-2"/>
          <w:sz w:val="21"/>
        </w:rPr>
        <w:t>公</w:t>
      </w:r>
      <w:r>
        <w:rPr>
          <w:spacing w:val="-2"/>
          <w:sz w:val="21"/>
        </w:rPr>
        <w:t>司</w:t>
      </w:r>
      <w:r>
        <w:rPr>
          <w:spacing w:val="-2"/>
          <w:sz w:val="21"/>
        </w:rPr>
        <w:t>查</w:t>
      </w:r>
      <w:r>
        <w:rPr>
          <w:spacing w:val="-2"/>
          <w:sz w:val="21"/>
        </w:rPr>
        <w:t>询</w:t>
      </w:r>
      <w:r>
        <w:rPr>
          <w:spacing w:val="-2"/>
          <w:sz w:val="21"/>
        </w:rPr>
        <w:t>。</w:t>
      </w:r>
    </w:p>
    <w:p>
      <w:pPr>
        <w:pStyle w:val="BodyText"/>
        <w:spacing w:before="3"/>
        <w:rPr>
          <w:sz w:val="29"/>
        </w:rPr>
      </w:pPr>
    </w:p>
    <w:p>
      <w:pPr>
        <w:pStyle w:val="ListParagraph"/>
        <w:numPr>
          <w:ilvl w:val="1"/>
          <w:numId w:val="2"/>
        </w:numPr>
        <w:tabs>
          <w:tab w:pos="1370" w:val="left" w:leader="none"/>
        </w:tabs>
        <w:spacing w:line="266" w:lineRule="auto" w:before="69" w:after="0"/>
        <w:ind w:left="3072" w:right="214" w:hanging="2805"/>
        <w:jc w:val="both"/>
        <w:rPr>
          <w:sz w:val="21"/>
        </w:rPr>
      </w:pPr>
      <w:r>
        <w:rPr>
          <w:b/>
          <w:position w:val="1"/>
          <w:sz w:val="21"/>
        </w:rPr>
        <w:t>保单贷款</w:t>
      </w:r>
      <w:r>
        <w:rPr>
          <w:b/>
          <w:spacing w:val="736"/>
          <w:position w:val="1"/>
          <w:sz w:val="21"/>
        </w:rPr>
        <w:t> </w:t>
      </w:r>
      <w:r>
        <w:rPr>
          <w:sz w:val="21"/>
        </w:rPr>
        <w:t>在本合同有效期内，投保人可以申请并经本公司审核同意后办理保单贷款。贷</w:t>
      </w:r>
      <w:r>
        <w:rPr>
          <w:spacing w:val="-3"/>
          <w:sz w:val="21"/>
        </w:rPr>
        <w:t>款金额不得超过本合同保险单的现金价值扣除各项欠款后余额的 </w:t>
      </w:r>
      <w:r>
        <w:rPr>
          <w:spacing w:val="-2"/>
          <w:sz w:val="21"/>
        </w:rPr>
        <w:t>80％，每次贷</w:t>
      </w:r>
      <w:r>
        <w:rPr>
          <w:spacing w:val="-7"/>
          <w:sz w:val="21"/>
        </w:rPr>
        <w:t>款期限最长不超过六个月，贷款利息按</w:t>
      </w:r>
      <w:r>
        <w:rPr>
          <w:b/>
          <w:spacing w:val="-2"/>
          <w:sz w:val="21"/>
        </w:rPr>
        <w:t>本合同约定利率</w:t>
      </w:r>
      <w:r>
        <w:rPr>
          <w:spacing w:val="-2"/>
          <w:position w:val="11"/>
          <w:sz w:val="11"/>
        </w:rPr>
        <w:t>36</w:t>
      </w:r>
      <w:r>
        <w:rPr>
          <w:spacing w:val="-10"/>
          <w:sz w:val="21"/>
        </w:rPr>
        <w:t>计算。贷款本息在贷款</w:t>
      </w:r>
      <w:r>
        <w:rPr>
          <w:spacing w:val="-2"/>
          <w:sz w:val="21"/>
        </w:rPr>
        <w:t>到期时一并归还。若投保人到期未能足额偿还贷款本息，则投保人所欠的贷款</w:t>
      </w:r>
      <w:r>
        <w:rPr>
          <w:spacing w:val="-2"/>
          <w:sz w:val="21"/>
        </w:rPr>
        <w:t>本金及利息将作为新的贷款本金计息。</w:t>
      </w:r>
    </w:p>
    <w:p>
      <w:pPr>
        <w:pStyle w:val="BodyText"/>
        <w:spacing w:before="7"/>
        <w:rPr>
          <w:sz w:val="9"/>
        </w:rPr>
      </w:pPr>
    </w:p>
    <w:tbl>
      <w:tblPr>
        <w:tblW w:w="0" w:type="auto"/>
        <w:jc w:val="left"/>
        <w:tblInd w:w="30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11"/>
        <w:gridCol w:w="4839"/>
      </w:tblGrid>
      <w:tr>
        <w:trPr>
          <w:trHeight w:val="300" w:hRule="atLeast"/>
        </w:trPr>
        <w:tc>
          <w:tcPr>
            <w:tcW w:w="7150" w:type="dxa"/>
            <w:gridSpan w:val="2"/>
            <w:shd w:val="clear" w:color="auto" w:fill="E4E4E4"/>
          </w:tcPr>
          <w:p>
            <w:pPr>
              <w:pStyle w:val="TableParagraph"/>
              <w:spacing w:line="250" w:lineRule="exact" w:before="30"/>
              <w:ind w:right="-15"/>
              <w:jc w:val="left"/>
              <w:rPr>
                <w:sz w:val="21"/>
              </w:rPr>
            </w:pPr>
            <w:r>
              <w:rPr>
                <w:spacing w:val="2"/>
                <w:sz w:val="21"/>
              </w:rPr>
              <w:t>自贷款本金及利息加上其他各项欠款达到本合同保险单的现金价值的当日 </w:t>
            </w:r>
            <w:r>
              <w:rPr>
                <w:spacing w:val="-5"/>
                <w:sz w:val="21"/>
              </w:rPr>
              <w:t>24</w:t>
            </w:r>
          </w:p>
        </w:tc>
      </w:tr>
      <w:tr>
        <w:trPr>
          <w:trHeight w:val="300" w:hRule="atLeast"/>
        </w:trPr>
        <w:tc>
          <w:tcPr>
            <w:tcW w:w="2311" w:type="dxa"/>
            <w:shd w:val="clear" w:color="auto" w:fill="E4E4E4"/>
          </w:tcPr>
          <w:p>
            <w:pPr>
              <w:pStyle w:val="TableParagraph"/>
              <w:spacing w:line="250" w:lineRule="exact" w:before="30"/>
              <w:ind w:right="-15"/>
              <w:rPr>
                <w:sz w:val="21"/>
              </w:rPr>
            </w:pPr>
            <w:r>
              <w:rPr>
                <w:spacing w:val="-3"/>
                <w:sz w:val="21"/>
              </w:rPr>
              <w:t>时起，本合同效力中止。</w:t>
            </w:r>
          </w:p>
        </w:tc>
        <w:tc>
          <w:tcPr>
            <w:tcW w:w="4839" w:type="dxa"/>
          </w:tcPr>
          <w:p>
            <w:pPr>
              <w:pStyle w:val="TableParagraph"/>
              <w:spacing w:before="0"/>
              <w:jc w:val="left"/>
              <w:rPr>
                <w:rFonts w:ascii="Times New Roman"/>
                <w:sz w:val="20"/>
              </w:rPr>
            </w:pPr>
          </w:p>
        </w:tc>
      </w:tr>
      <w:tr>
        <w:trPr>
          <w:trHeight w:val="300" w:hRule="atLeast"/>
        </w:trPr>
        <w:tc>
          <w:tcPr>
            <w:tcW w:w="7150" w:type="dxa"/>
            <w:gridSpan w:val="2"/>
            <w:shd w:val="clear" w:color="auto" w:fill="E4E4E4"/>
          </w:tcPr>
          <w:p>
            <w:pPr>
              <w:pStyle w:val="TableParagraph"/>
              <w:spacing w:line="250" w:lineRule="exact" w:before="30"/>
              <w:jc w:val="left"/>
              <w:rPr>
                <w:sz w:val="21"/>
              </w:rPr>
            </w:pPr>
            <w:r>
              <w:rPr>
                <w:spacing w:val="-3"/>
                <w:sz w:val="21"/>
              </w:rPr>
              <w:t>本公司给付各项保险金、退还现金价值或退还保险费时，应先扣除保单借款及</w:t>
            </w:r>
          </w:p>
        </w:tc>
      </w:tr>
      <w:tr>
        <w:trPr>
          <w:trHeight w:val="300" w:hRule="atLeast"/>
        </w:trPr>
        <w:tc>
          <w:tcPr>
            <w:tcW w:w="2311" w:type="dxa"/>
            <w:shd w:val="clear" w:color="auto" w:fill="E4E4E4"/>
          </w:tcPr>
          <w:p>
            <w:pPr>
              <w:pStyle w:val="TableParagraph"/>
              <w:spacing w:line="250" w:lineRule="exact" w:before="30"/>
              <w:ind w:right="-15"/>
              <w:rPr>
                <w:sz w:val="21"/>
              </w:rPr>
            </w:pPr>
            <w:r>
              <w:rPr>
                <w:spacing w:val="-3"/>
                <w:sz w:val="21"/>
              </w:rPr>
              <w:t>借款利息、欠交保险费。</w:t>
            </w:r>
          </w:p>
        </w:tc>
        <w:tc>
          <w:tcPr>
            <w:tcW w:w="4839" w:type="dxa"/>
          </w:tcPr>
          <w:p>
            <w:pPr>
              <w:pStyle w:val="TableParagraph"/>
              <w:spacing w:before="0"/>
              <w:jc w:val="left"/>
              <w:rPr>
                <w:rFonts w:ascii="Times New Roman"/>
                <w:sz w:val="20"/>
              </w:rPr>
            </w:pPr>
          </w:p>
        </w:tc>
      </w:tr>
    </w:tbl>
    <w:p>
      <w:pPr>
        <w:pStyle w:val="BodyText"/>
        <w:spacing w:before="5"/>
        <w:rPr>
          <w:sz w:val="8"/>
        </w:rPr>
      </w:pPr>
    </w:p>
    <w:p>
      <w:pPr>
        <w:spacing w:after="0"/>
        <w:rPr>
          <w:sz w:val="8"/>
        </w:rPr>
        <w:sectPr>
          <w:footerReference w:type="default" r:id="rId19"/>
          <w:pgSz w:w="11910" w:h="16840"/>
          <w:pgMar w:footer="659" w:header="0" w:top="1400" w:bottom="840" w:left="920" w:right="540"/>
        </w:sectPr>
      </w:pPr>
    </w:p>
    <w:p>
      <w:pPr>
        <w:pStyle w:val="Heading2"/>
        <w:numPr>
          <w:ilvl w:val="1"/>
          <w:numId w:val="2"/>
        </w:numPr>
        <w:tabs>
          <w:tab w:pos="1369" w:val="left" w:leader="none"/>
          <w:tab w:pos="1370" w:val="left" w:leader="none"/>
        </w:tabs>
        <w:spacing w:line="278" w:lineRule="auto" w:before="72" w:after="0"/>
        <w:ind w:left="1370" w:right="38" w:hanging="1102"/>
        <w:jc w:val="left"/>
      </w:pPr>
      <w:r>
        <w:rPr/>
        <w:pict>
          <v:shape style="position:absolute;margin-left:199.610001pt;margin-top:62.460007pt;width:357.8pt;height:15pt;mso-position-horizontal-relative:page;mso-position-vertical-relative:paragraph;z-index:15750144" type="#_x0000_t202" id="docshape37" filled="true" fillcolor="#e4e4e4" stroked="false">
            <v:textbox inset="0,0,0,0">
              <w:txbxContent>
                <w:p>
                  <w:pPr>
                    <w:pStyle w:val="BodyText"/>
                    <w:spacing w:before="30"/>
                    <w:ind w:right="-15"/>
                    <w:rPr>
                      <w:color w:val="000000"/>
                    </w:rPr>
                  </w:pPr>
                  <w:r>
                    <w:rPr>
                      <w:color w:val="000000"/>
                      <w:spacing w:val="-3"/>
                    </w:rPr>
                    <w:t>合同现金价值扣除未还款项及其利息后的余额不足以垫交当期保险费，本合同</w:t>
                  </w:r>
                </w:p>
              </w:txbxContent>
            </v:textbox>
            <v:fill type="solid"/>
            <w10:wrap type="none"/>
          </v:shape>
        </w:pict>
      </w:r>
      <w:r>
        <w:rPr/>
        <w:pict>
          <v:shape style="position:absolute;margin-left:526.059998pt;margin-top:47.460007pt;width:31.35pt;height:15pt;mso-position-horizontal-relative:page;mso-position-vertical-relative:paragraph;z-index:-17190912" type="#_x0000_t202" id="docshape38" filled="true" fillcolor="#e4e4e4" stroked="false">
            <v:textbox inset="0,0,0,0">
              <w:txbxContent>
                <w:p>
                  <w:pPr>
                    <w:pStyle w:val="BodyText"/>
                    <w:spacing w:before="30"/>
                    <w:ind w:right="-15"/>
                    <w:rPr>
                      <w:color w:val="000000"/>
                    </w:rPr>
                  </w:pPr>
                  <w:r>
                    <w:rPr>
                      <w:color w:val="000000"/>
                      <w:spacing w:val="-7"/>
                    </w:rPr>
                    <w:t>若保险</w:t>
                  </w:r>
                </w:p>
              </w:txbxContent>
            </v:textbox>
            <v:fill type="solid"/>
            <w10:wrap type="none"/>
          </v:shape>
        </w:pict>
      </w:r>
      <w:r>
        <w:rPr>
          <w:spacing w:val="-2"/>
        </w:rPr>
        <w:t>保险费自动垫</w:t>
      </w:r>
      <w:r>
        <w:rPr>
          <w:spacing w:val="-10"/>
        </w:rPr>
        <w:t>交</w:t>
      </w:r>
    </w:p>
    <w:p>
      <w:pPr>
        <w:pStyle w:val="BodyText"/>
        <w:spacing w:line="266" w:lineRule="auto" w:before="79"/>
        <w:ind w:left="268" w:right="214"/>
        <w:jc w:val="both"/>
      </w:pPr>
      <w:r>
        <w:rPr/>
        <w:br w:type="column"/>
      </w:r>
      <w:r>
        <w:rPr>
          <w:spacing w:val="-2"/>
        </w:rPr>
        <w:t>投保人在投保时选择保险费自动垫交方式的，若分期交付的保险费超过宽限期</w:t>
      </w:r>
      <w:r>
        <w:rPr>
          <w:spacing w:val="-2"/>
        </w:rPr>
        <w:t>仍未交付，且此时保险合同现金价值扣除未还款项及其利息后的余额足以垫交</w:t>
      </w:r>
      <w:r>
        <w:rPr>
          <w:spacing w:val="-2"/>
        </w:rPr>
        <w:t>当期保险费，本公司将以本合同现金价值扣除未还款项及其利息后的余额自动</w:t>
      </w:r>
      <w:r>
        <w:rPr>
          <w:spacing w:val="-2"/>
        </w:rPr>
        <w:t>垫交应交付的保险费，本合同继续有效。垫交的保险费视作保单借款。</w:t>
      </w:r>
    </w:p>
    <w:p>
      <w:pPr>
        <w:spacing w:after="0" w:line="266" w:lineRule="auto"/>
        <w:jc w:val="both"/>
        <w:sectPr>
          <w:type w:val="continuous"/>
          <w:pgSz w:w="11910" w:h="16840"/>
          <w:pgMar w:header="0" w:footer="659" w:top="480" w:bottom="280" w:left="920" w:right="540"/>
          <w:cols w:num="2" w:equalWidth="0">
            <w:col w:w="2678" w:space="126"/>
            <w:col w:w="7646"/>
          </w:cols>
        </w:sectPr>
      </w:pPr>
    </w:p>
    <w:p>
      <w:pPr>
        <w:pStyle w:val="BodyText"/>
        <w:rPr>
          <w:sz w:val="20"/>
        </w:rPr>
      </w:pPr>
    </w:p>
    <w:p>
      <w:pPr>
        <w:pStyle w:val="BodyText"/>
        <w:spacing w:before="8"/>
        <w:rPr>
          <w:sz w:val="28"/>
        </w:rPr>
      </w:pPr>
    </w:p>
    <w:p>
      <w:pPr>
        <w:pStyle w:val="BodyText"/>
        <w:spacing w:line="20" w:lineRule="exact"/>
        <w:ind w:left="160"/>
        <w:rPr>
          <w:sz w:val="2"/>
        </w:rPr>
      </w:pPr>
      <w:r>
        <w:rPr>
          <w:sz w:val="2"/>
        </w:rPr>
        <w:drawing>
          <wp:inline distT="0" distB="0" distL="0" distR="0">
            <wp:extent cx="1829282" cy="6096"/>
            <wp:effectExtent l="0" t="0" r="0" b="0"/>
            <wp:docPr id="39" name="image4.png"/>
            <wp:cNvGraphicFramePr>
              <a:graphicFrameLocks noChangeAspect="1"/>
            </wp:cNvGraphicFramePr>
            <a:graphic>
              <a:graphicData uri="http://schemas.openxmlformats.org/drawingml/2006/picture">
                <pic:pic>
                  <pic:nvPicPr>
                    <pic:cNvPr id="40" name="image4.png"/>
                    <pic:cNvPicPr/>
                  </pic:nvPicPr>
                  <pic:blipFill>
                    <a:blip r:embed="rId8" cstate="print"/>
                    <a:stretch>
                      <a:fillRect/>
                    </a:stretch>
                  </pic:blipFill>
                  <pic:spPr>
                    <a:xfrm>
                      <a:off x="0" y="0"/>
                      <a:ext cx="1829282" cy="6096"/>
                    </a:xfrm>
                    <a:prstGeom prst="rect">
                      <a:avLst/>
                    </a:prstGeom>
                  </pic:spPr>
                </pic:pic>
              </a:graphicData>
            </a:graphic>
          </wp:inline>
        </w:drawing>
      </w:r>
      <w:r>
        <w:rPr>
          <w:sz w:val="2"/>
        </w:rPr>
      </w:r>
    </w:p>
    <w:p>
      <w:pPr>
        <w:spacing w:line="244" w:lineRule="auto" w:before="81"/>
        <w:ind w:left="160" w:right="534" w:firstLine="0"/>
        <w:jc w:val="left"/>
        <w:rPr>
          <w:rFonts w:ascii="楷体" w:eastAsia="楷体"/>
          <w:sz w:val="18"/>
        </w:rPr>
      </w:pPr>
      <w:r>
        <w:rPr>
          <w:spacing w:val="-2"/>
          <w:position w:val="9"/>
          <w:sz w:val="9"/>
        </w:rPr>
        <w:t>36</w:t>
      </w:r>
      <w:r>
        <w:rPr>
          <w:rFonts w:ascii="楷体" w:eastAsia="楷体" w:hint="eastAsia"/>
          <w:b/>
          <w:spacing w:val="-2"/>
          <w:sz w:val="18"/>
        </w:rPr>
        <w:t>本</w:t>
      </w:r>
      <w:r>
        <w:rPr>
          <w:rFonts w:ascii="楷体" w:eastAsia="楷体" w:hint="eastAsia"/>
          <w:b/>
          <w:spacing w:val="-2"/>
          <w:sz w:val="18"/>
        </w:rPr>
        <w:t>合</w:t>
      </w:r>
      <w:r>
        <w:rPr>
          <w:rFonts w:ascii="楷体" w:eastAsia="楷体" w:hint="eastAsia"/>
          <w:b/>
          <w:spacing w:val="-2"/>
          <w:sz w:val="18"/>
        </w:rPr>
        <w:t>同</w:t>
      </w:r>
      <w:r>
        <w:rPr>
          <w:rFonts w:ascii="楷体" w:eastAsia="楷体" w:hint="eastAsia"/>
          <w:b/>
          <w:spacing w:val="-2"/>
          <w:sz w:val="18"/>
        </w:rPr>
        <w:t>约</w:t>
      </w:r>
      <w:r>
        <w:rPr>
          <w:rFonts w:ascii="楷体" w:eastAsia="楷体" w:hint="eastAsia"/>
          <w:b/>
          <w:spacing w:val="-2"/>
          <w:sz w:val="18"/>
        </w:rPr>
        <w:t>定利率</w:t>
      </w:r>
      <w:r>
        <w:rPr>
          <w:rFonts w:ascii="楷体" w:eastAsia="楷体"/>
          <w:spacing w:val="-4"/>
          <w:sz w:val="18"/>
        </w:rPr>
        <w:t>：由本公司每年宣布两次，宣布时间为每年的 </w:t>
      </w:r>
      <w:r>
        <w:rPr>
          <w:rFonts w:ascii="楷体" w:eastAsia="楷体"/>
          <w:spacing w:val="-2"/>
          <w:sz w:val="18"/>
        </w:rPr>
        <w:t>1</w:t>
      </w:r>
      <w:r>
        <w:rPr>
          <w:rFonts w:ascii="楷体" w:eastAsia="楷体"/>
          <w:spacing w:val="-24"/>
          <w:sz w:val="18"/>
        </w:rPr>
        <w:t> 月和 </w:t>
      </w:r>
      <w:r>
        <w:rPr>
          <w:rFonts w:ascii="楷体" w:eastAsia="楷体"/>
          <w:spacing w:val="-2"/>
          <w:sz w:val="18"/>
        </w:rPr>
        <w:t>7</w:t>
      </w:r>
      <w:r>
        <w:rPr>
          <w:rFonts w:ascii="楷体" w:eastAsia="楷体"/>
          <w:spacing w:val="-9"/>
          <w:sz w:val="18"/>
        </w:rPr>
        <w:t> 月，该利率将根据公司自身情况并参照中国人民银行</w:t>
      </w:r>
      <w:r>
        <w:rPr>
          <w:rFonts w:ascii="楷体" w:eastAsia="楷体"/>
          <w:spacing w:val="-2"/>
          <w:sz w:val="18"/>
        </w:rPr>
        <w:t>公布的同期人民币贷款基准利率来确定。在利率环境发生变化的情况下，本公司保留修改该利率计算方法的权力。</w:t>
      </w:r>
    </w:p>
    <w:p>
      <w:pPr>
        <w:spacing w:after="0" w:line="244" w:lineRule="auto"/>
        <w:jc w:val="left"/>
        <w:rPr>
          <w:rFonts w:ascii="楷体" w:eastAsia="楷体"/>
          <w:sz w:val="18"/>
        </w:rPr>
        <w:sectPr>
          <w:type w:val="continuous"/>
          <w:pgSz w:w="11910" w:h="16840"/>
          <w:pgMar w:header="0" w:footer="659" w:top="480" w:bottom="280" w:left="920" w:right="540"/>
        </w:sectPr>
      </w:pPr>
    </w:p>
    <w:p>
      <w:pPr>
        <w:pStyle w:val="BodyText"/>
        <w:spacing w:before="51"/>
        <w:ind w:left="3072"/>
      </w:pPr>
      <w:r>
        <w:rPr>
          <w:color w:val="000000"/>
          <w:spacing w:val="-3"/>
          <w:shd w:fill="E4E4E4" w:color="auto" w:val="clear"/>
        </w:rPr>
        <w:t>自宽限期满的次日零时起中止。</w:t>
      </w:r>
    </w:p>
    <w:p>
      <w:pPr>
        <w:pStyle w:val="BodyText"/>
        <w:spacing w:before="7"/>
      </w:pPr>
    </w:p>
    <w:p>
      <w:pPr>
        <w:pStyle w:val="Heading1"/>
        <w:numPr>
          <w:ilvl w:val="0"/>
          <w:numId w:val="2"/>
        </w:numPr>
        <w:tabs>
          <w:tab w:pos="1369" w:val="left" w:leader="none"/>
          <w:tab w:pos="1370" w:val="left" w:leader="none"/>
        </w:tabs>
        <w:spacing w:line="240" w:lineRule="auto" w:before="0" w:after="6"/>
        <w:ind w:left="1370" w:right="0" w:hanging="1103"/>
        <w:jc w:val="left"/>
      </w:pPr>
      <w:r>
        <w:rPr>
          <w:w w:val="95"/>
        </w:rPr>
        <w:t>合</w:t>
      </w:r>
      <w:r>
        <w:rPr>
          <w:w w:val="95"/>
        </w:rPr>
        <w:t>同</w:t>
      </w:r>
      <w:r>
        <w:rPr>
          <w:w w:val="95"/>
        </w:rPr>
        <w:t>效</w:t>
      </w:r>
      <w:r>
        <w:rPr>
          <w:w w:val="95"/>
        </w:rPr>
        <w:t>力</w:t>
      </w:r>
      <w:r>
        <w:rPr>
          <w:w w:val="95"/>
        </w:rPr>
        <w:t>中</w:t>
      </w:r>
      <w:r>
        <w:rPr>
          <w:w w:val="95"/>
        </w:rPr>
        <w:t>止</w:t>
      </w:r>
      <w:r>
        <w:rPr>
          <w:w w:val="95"/>
        </w:rPr>
        <w:t>和</w:t>
      </w:r>
      <w:r>
        <w:rPr>
          <w:w w:val="95"/>
        </w:rPr>
        <w:t>恢</w:t>
      </w:r>
      <w:r>
        <w:rPr>
          <w:spacing w:val="-10"/>
          <w:w w:val="95"/>
        </w:rPr>
        <w:t>复</w:t>
      </w:r>
    </w:p>
    <w:p>
      <w:pPr>
        <w:pStyle w:val="BodyText"/>
        <w:spacing w:line="20" w:lineRule="exact"/>
        <w:ind w:left="160"/>
        <w:rPr>
          <w:sz w:val="2"/>
        </w:rPr>
      </w:pPr>
      <w:r>
        <w:rPr>
          <w:sz w:val="2"/>
        </w:rPr>
        <w:drawing>
          <wp:inline distT="0" distB="0" distL="0" distR="0">
            <wp:extent cx="6461244" cy="6096"/>
            <wp:effectExtent l="0" t="0" r="0" b="0"/>
            <wp:docPr id="41" name="image11.png"/>
            <wp:cNvGraphicFramePr>
              <a:graphicFrameLocks noChangeAspect="1"/>
            </wp:cNvGraphicFramePr>
            <a:graphic>
              <a:graphicData uri="http://schemas.openxmlformats.org/drawingml/2006/picture">
                <pic:pic>
                  <pic:nvPicPr>
                    <pic:cNvPr id="42" name="image11.png"/>
                    <pic:cNvPicPr/>
                  </pic:nvPicPr>
                  <pic:blipFill>
                    <a:blip r:embed="rId20" cstate="print"/>
                    <a:stretch>
                      <a:fillRect/>
                    </a:stretch>
                  </pic:blipFill>
                  <pic:spPr>
                    <a:xfrm>
                      <a:off x="0" y="0"/>
                      <a:ext cx="6461244" cy="6096"/>
                    </a:xfrm>
                    <a:prstGeom prst="rect">
                      <a:avLst/>
                    </a:prstGeom>
                  </pic:spPr>
                </pic:pic>
              </a:graphicData>
            </a:graphic>
          </wp:inline>
        </w:drawing>
      </w:r>
      <w:r>
        <w:rPr>
          <w:sz w:val="2"/>
        </w:rPr>
      </w:r>
    </w:p>
    <w:p>
      <w:pPr>
        <w:pStyle w:val="ListParagraph"/>
        <w:numPr>
          <w:ilvl w:val="1"/>
          <w:numId w:val="2"/>
        </w:numPr>
        <w:tabs>
          <w:tab w:pos="1369" w:val="left" w:leader="none"/>
          <w:tab w:pos="1370" w:val="left" w:leader="none"/>
          <w:tab w:pos="3072" w:val="left" w:leader="none"/>
        </w:tabs>
        <w:spacing w:line="240" w:lineRule="auto" w:before="173" w:after="0"/>
        <w:ind w:left="1370" w:right="0" w:hanging="1103"/>
        <w:jc w:val="left"/>
        <w:rPr>
          <w:sz w:val="21"/>
        </w:rPr>
      </w:pPr>
      <w:r>
        <w:rPr>
          <w:b/>
          <w:position w:val="1"/>
          <w:sz w:val="21"/>
        </w:rPr>
        <w:t>合同效力中</w:t>
      </w:r>
      <w:r>
        <w:rPr>
          <w:b/>
          <w:spacing w:val="-10"/>
          <w:position w:val="1"/>
          <w:sz w:val="21"/>
        </w:rPr>
        <w:t>止</w:t>
      </w:r>
      <w:r>
        <w:rPr>
          <w:b/>
          <w:position w:val="1"/>
          <w:sz w:val="21"/>
        </w:rPr>
        <w:tab/>
      </w:r>
      <w:r>
        <w:rPr>
          <w:color w:val="000000"/>
          <w:spacing w:val="-2"/>
          <w:sz w:val="21"/>
          <w:shd w:fill="E4E4E4" w:color="auto" w:val="clear"/>
        </w:rPr>
        <w:t>本</w:t>
      </w:r>
      <w:r>
        <w:rPr>
          <w:color w:val="000000"/>
          <w:spacing w:val="-2"/>
          <w:sz w:val="21"/>
          <w:shd w:fill="E4E4E4" w:color="auto" w:val="clear"/>
        </w:rPr>
        <w:t>合</w:t>
      </w:r>
      <w:r>
        <w:rPr>
          <w:color w:val="000000"/>
          <w:spacing w:val="-2"/>
          <w:sz w:val="21"/>
          <w:shd w:fill="E4E4E4" w:color="auto" w:val="clear"/>
        </w:rPr>
        <w:t>同效力中止期间本公</w:t>
      </w:r>
      <w:r>
        <w:rPr>
          <w:color w:val="000000"/>
          <w:spacing w:val="-2"/>
          <w:sz w:val="21"/>
          <w:shd w:fill="E4E4E4" w:color="auto" w:val="clear"/>
        </w:rPr>
        <w:t>司</w:t>
      </w:r>
      <w:r>
        <w:rPr>
          <w:color w:val="000000"/>
          <w:spacing w:val="-2"/>
          <w:sz w:val="21"/>
          <w:shd w:fill="E4E4E4" w:color="auto" w:val="clear"/>
        </w:rPr>
        <w:t>不</w:t>
      </w:r>
      <w:r>
        <w:rPr>
          <w:color w:val="000000"/>
          <w:spacing w:val="-2"/>
          <w:sz w:val="21"/>
          <w:shd w:fill="E4E4E4" w:color="auto" w:val="clear"/>
        </w:rPr>
        <w:t>承担保险责</w:t>
      </w:r>
      <w:r>
        <w:rPr>
          <w:color w:val="000000"/>
          <w:spacing w:val="-2"/>
          <w:sz w:val="21"/>
          <w:shd w:fill="E4E4E4" w:color="auto" w:val="clear"/>
        </w:rPr>
        <w:t>任</w:t>
      </w:r>
      <w:r>
        <w:rPr>
          <w:color w:val="000000"/>
          <w:spacing w:val="-10"/>
          <w:sz w:val="21"/>
          <w:shd w:fill="E4E4E4" w:color="auto" w:val="clear"/>
        </w:rPr>
        <w:t>。</w:t>
      </w:r>
    </w:p>
    <w:p>
      <w:pPr>
        <w:pStyle w:val="BodyText"/>
        <w:spacing w:before="12"/>
        <w:rPr>
          <w:sz w:val="20"/>
        </w:rPr>
      </w:pPr>
    </w:p>
    <w:p>
      <w:pPr>
        <w:pStyle w:val="ListParagraph"/>
        <w:numPr>
          <w:ilvl w:val="1"/>
          <w:numId w:val="2"/>
        </w:numPr>
        <w:tabs>
          <w:tab w:pos="1370" w:val="left" w:leader="none"/>
        </w:tabs>
        <w:spacing w:line="266" w:lineRule="auto" w:before="69" w:after="0"/>
        <w:ind w:left="3072" w:right="214" w:hanging="2805"/>
        <w:jc w:val="both"/>
        <w:rPr>
          <w:sz w:val="21"/>
        </w:rPr>
      </w:pPr>
      <w:r>
        <w:rPr>
          <w:b/>
          <w:spacing w:val="22"/>
          <w:position w:val="1"/>
          <w:sz w:val="21"/>
        </w:rPr>
        <w:t>合同效力恢复 </w:t>
      </w:r>
      <w:r>
        <w:rPr>
          <w:spacing w:val="-3"/>
          <w:sz w:val="21"/>
        </w:rPr>
        <w:t>本合同效力中止后 </w:t>
      </w:r>
      <w:r>
        <w:rPr>
          <w:sz w:val="21"/>
        </w:rPr>
        <w:t>2</w:t>
      </w:r>
      <w:r>
        <w:rPr>
          <w:spacing w:val="-5"/>
          <w:sz w:val="21"/>
        </w:rPr>
        <w:t> 年内，投保人可以申请恢复合同效力</w:t>
      </w:r>
      <w:r>
        <w:rPr>
          <w:sz w:val="21"/>
        </w:rPr>
        <w:t>（即复效</w:t>
      </w:r>
      <w:r>
        <w:rPr>
          <w:spacing w:val="-106"/>
          <w:sz w:val="21"/>
        </w:rPr>
        <w:t>）</w:t>
      </w:r>
      <w:r>
        <w:rPr>
          <w:sz w:val="21"/>
        </w:rPr>
        <w:t>。经与本公</w:t>
      </w:r>
      <w:r>
        <w:rPr>
          <w:spacing w:val="-2"/>
          <w:sz w:val="21"/>
        </w:rPr>
        <w:t>司协商并达成协议，自投保人补交复效时应交纳的全部保险费及其利息、借款</w:t>
      </w:r>
      <w:r>
        <w:rPr>
          <w:spacing w:val="-2"/>
          <w:sz w:val="21"/>
        </w:rPr>
        <w:t>本息和其他未还款项及其利息的次日零时起，本合同效力恢复。</w:t>
      </w:r>
    </w:p>
    <w:p>
      <w:pPr>
        <w:spacing w:after="0" w:line="266" w:lineRule="auto"/>
        <w:jc w:val="both"/>
        <w:rPr>
          <w:sz w:val="21"/>
        </w:rPr>
        <w:sectPr>
          <w:footerReference w:type="default" r:id="rId21"/>
          <w:pgSz w:w="11910" w:h="16840"/>
          <w:pgMar w:footer="659" w:header="0" w:top="1400" w:bottom="840" w:left="920" w:right="540"/>
          <w:pgNumType w:start="2"/>
        </w:sectPr>
      </w:pPr>
    </w:p>
    <w:p>
      <w:pPr>
        <w:pStyle w:val="BodyText"/>
        <w:rPr>
          <w:sz w:val="48"/>
        </w:rPr>
      </w:pPr>
    </w:p>
    <w:p>
      <w:pPr>
        <w:pStyle w:val="Heading1"/>
        <w:numPr>
          <w:ilvl w:val="0"/>
          <w:numId w:val="2"/>
        </w:numPr>
        <w:tabs>
          <w:tab w:pos="1369" w:val="left" w:leader="none"/>
          <w:tab w:pos="1370" w:val="left" w:leader="none"/>
        </w:tabs>
        <w:spacing w:line="240" w:lineRule="auto" w:before="402" w:after="0"/>
        <w:ind w:left="1370" w:right="0" w:hanging="1103"/>
        <w:jc w:val="left"/>
      </w:pPr>
      <w:r>
        <w:rPr>
          <w:w w:val="95"/>
        </w:rPr>
        <w:t>合</w:t>
      </w:r>
      <w:r>
        <w:rPr>
          <w:w w:val="95"/>
        </w:rPr>
        <w:t>同</w:t>
      </w:r>
      <w:r>
        <w:rPr>
          <w:spacing w:val="-5"/>
          <w:w w:val="95"/>
        </w:rPr>
        <w:t>解除</w:t>
      </w:r>
    </w:p>
    <w:p>
      <w:pPr>
        <w:pStyle w:val="Heading2"/>
        <w:numPr>
          <w:ilvl w:val="1"/>
          <w:numId w:val="2"/>
        </w:numPr>
        <w:tabs>
          <w:tab w:pos="1369" w:val="left" w:leader="none"/>
          <w:tab w:pos="1370" w:val="left" w:leader="none"/>
        </w:tabs>
        <w:spacing w:line="278" w:lineRule="auto" w:before="197" w:after="0"/>
        <w:ind w:left="1370" w:right="38" w:hanging="1102"/>
        <w:jc w:val="left"/>
      </w:pPr>
      <w:r>
        <w:rPr>
          <w:spacing w:val="-2"/>
        </w:rPr>
        <w:t>解除合同的手</w:t>
      </w:r>
      <w:r>
        <w:rPr>
          <w:spacing w:val="-4"/>
        </w:rPr>
        <w:t>续及风险</w:t>
      </w:r>
    </w:p>
    <w:p>
      <w:pPr>
        <w:pStyle w:val="BodyText"/>
        <w:spacing w:line="266" w:lineRule="auto" w:before="160"/>
        <w:ind w:left="268" w:right="214"/>
        <w:jc w:val="both"/>
      </w:pPr>
      <w:r>
        <w:rPr/>
        <w:br w:type="column"/>
      </w:r>
      <w:r>
        <w:rPr>
          <w:spacing w:val="-5"/>
        </w:rPr>
        <w:t>自本合同中止之日起满 </w:t>
      </w:r>
      <w:r>
        <w:rPr>
          <w:spacing w:val="-2"/>
        </w:rPr>
        <w:t>2</w:t>
      </w:r>
      <w:r>
        <w:rPr>
          <w:spacing w:val="-7"/>
        </w:rPr>
        <w:t> 年投保人与本公司未达成协议的，本公司有权解除合</w:t>
      </w:r>
      <w:r>
        <w:rPr>
          <w:spacing w:val="-2"/>
        </w:rPr>
        <w:t>同。若解除合同，向投保人退还合同中止时的现金价值。</w:t>
      </w:r>
    </w:p>
    <w:p>
      <w:pPr>
        <w:pStyle w:val="BodyText"/>
        <w:rPr>
          <w:sz w:val="20"/>
        </w:rPr>
      </w:pPr>
    </w:p>
    <w:p>
      <w:pPr>
        <w:pStyle w:val="BodyText"/>
        <w:rPr>
          <w:sz w:val="20"/>
        </w:rPr>
      </w:pPr>
    </w:p>
    <w:p>
      <w:pPr>
        <w:pStyle w:val="BodyText"/>
        <w:rPr>
          <w:sz w:val="20"/>
        </w:rPr>
      </w:pPr>
    </w:p>
    <w:p>
      <w:pPr>
        <w:pStyle w:val="BodyText"/>
        <w:spacing w:before="2"/>
        <w:rPr>
          <w:sz w:val="24"/>
        </w:rPr>
      </w:pPr>
    </w:p>
    <w:p>
      <w:pPr>
        <w:pStyle w:val="BodyText"/>
        <w:ind w:left="268"/>
      </w:pPr>
      <w:r>
        <w:rPr/>
        <w:drawing>
          <wp:anchor distT="0" distB="0" distL="0" distR="0" allowOverlap="1" layoutInCell="1" locked="0" behindDoc="0" simplePos="0" relativeHeight="15752704">
            <wp:simplePos x="0" y="0"/>
            <wp:positionH relativeFrom="page">
              <wp:posOffset>685800</wp:posOffset>
            </wp:positionH>
            <wp:positionV relativeFrom="paragraph">
              <wp:posOffset>-124206</wp:posOffset>
            </wp:positionV>
            <wp:extent cx="6461379" cy="6096"/>
            <wp:effectExtent l="0" t="0" r="0" b="0"/>
            <wp:wrapNone/>
            <wp:docPr id="43" name="image3.png"/>
            <wp:cNvGraphicFramePr>
              <a:graphicFrameLocks noChangeAspect="1"/>
            </wp:cNvGraphicFramePr>
            <a:graphic>
              <a:graphicData uri="http://schemas.openxmlformats.org/drawingml/2006/picture">
                <pic:pic>
                  <pic:nvPicPr>
                    <pic:cNvPr id="44" name="image3.png"/>
                    <pic:cNvPicPr/>
                  </pic:nvPicPr>
                  <pic:blipFill>
                    <a:blip r:embed="rId7" cstate="print"/>
                    <a:stretch>
                      <a:fillRect/>
                    </a:stretch>
                  </pic:blipFill>
                  <pic:spPr>
                    <a:xfrm>
                      <a:off x="0" y="0"/>
                      <a:ext cx="6461379" cy="6096"/>
                    </a:xfrm>
                    <a:prstGeom prst="rect">
                      <a:avLst/>
                    </a:prstGeom>
                  </pic:spPr>
                </pic:pic>
              </a:graphicData>
            </a:graphic>
          </wp:anchor>
        </w:drawing>
      </w:r>
      <w:r>
        <w:rPr>
          <w:spacing w:val="-3"/>
        </w:rPr>
        <w:t>本合同成立后，投保人可申请解除合同。</w:t>
      </w:r>
    </w:p>
    <w:p>
      <w:pPr>
        <w:pStyle w:val="BodyText"/>
        <w:spacing w:before="8"/>
        <w:rPr>
          <w:sz w:val="14"/>
        </w:rPr>
      </w:pPr>
    </w:p>
    <w:p>
      <w:pPr>
        <w:pStyle w:val="BodyText"/>
        <w:ind w:left="268"/>
      </w:pPr>
      <w:r>
        <w:rPr>
          <w:spacing w:val="-3"/>
        </w:rPr>
        <w:t>投保人申请解除本合同时，应当向本公司送达：</w:t>
      </w:r>
    </w:p>
    <w:p>
      <w:pPr>
        <w:pStyle w:val="ListParagraph"/>
        <w:numPr>
          <w:ilvl w:val="0"/>
          <w:numId w:val="8"/>
        </w:numPr>
        <w:tabs>
          <w:tab w:pos="797" w:val="left" w:leader="none"/>
        </w:tabs>
        <w:spacing w:line="240" w:lineRule="auto" w:before="180" w:after="0"/>
        <w:ind w:left="797" w:right="0" w:hanging="529"/>
        <w:jc w:val="left"/>
        <w:rPr>
          <w:sz w:val="21"/>
        </w:rPr>
      </w:pPr>
      <w:r>
        <w:rPr>
          <w:spacing w:val="-4"/>
          <w:sz w:val="21"/>
        </w:rPr>
        <w:t>解除合同申请书；</w:t>
      </w:r>
    </w:p>
    <w:p>
      <w:pPr>
        <w:pStyle w:val="BodyText"/>
        <w:spacing w:before="6"/>
        <w:rPr>
          <w:sz w:val="15"/>
        </w:rPr>
      </w:pPr>
    </w:p>
    <w:p>
      <w:pPr>
        <w:pStyle w:val="ListParagraph"/>
        <w:numPr>
          <w:ilvl w:val="0"/>
          <w:numId w:val="8"/>
        </w:numPr>
        <w:tabs>
          <w:tab w:pos="797" w:val="left" w:leader="none"/>
        </w:tabs>
        <w:spacing w:line="240" w:lineRule="auto" w:before="0" w:after="0"/>
        <w:ind w:left="797" w:right="0" w:hanging="529"/>
        <w:jc w:val="left"/>
        <w:rPr>
          <w:sz w:val="21"/>
        </w:rPr>
      </w:pPr>
      <w:r>
        <w:rPr>
          <w:spacing w:val="-4"/>
          <w:sz w:val="21"/>
        </w:rPr>
        <w:t>本合同；</w:t>
      </w:r>
    </w:p>
    <w:p>
      <w:pPr>
        <w:pStyle w:val="BodyText"/>
        <w:spacing w:before="7"/>
        <w:rPr>
          <w:sz w:val="15"/>
        </w:rPr>
      </w:pPr>
    </w:p>
    <w:p>
      <w:pPr>
        <w:pStyle w:val="ListParagraph"/>
        <w:numPr>
          <w:ilvl w:val="0"/>
          <w:numId w:val="8"/>
        </w:numPr>
        <w:tabs>
          <w:tab w:pos="797" w:val="left" w:leader="none"/>
        </w:tabs>
        <w:spacing w:line="240" w:lineRule="auto" w:before="0" w:after="0"/>
        <w:ind w:left="797" w:right="0" w:hanging="529"/>
        <w:jc w:val="left"/>
        <w:rPr>
          <w:sz w:val="21"/>
        </w:rPr>
      </w:pPr>
      <w:r>
        <w:rPr>
          <w:spacing w:val="-3"/>
          <w:sz w:val="21"/>
        </w:rPr>
        <w:t>投保人有效身份证件；</w:t>
      </w:r>
    </w:p>
    <w:p>
      <w:pPr>
        <w:pStyle w:val="BodyText"/>
        <w:spacing w:before="7"/>
        <w:rPr>
          <w:sz w:val="15"/>
        </w:rPr>
      </w:pPr>
    </w:p>
    <w:p>
      <w:pPr>
        <w:pStyle w:val="ListParagraph"/>
        <w:numPr>
          <w:ilvl w:val="0"/>
          <w:numId w:val="8"/>
        </w:numPr>
        <w:tabs>
          <w:tab w:pos="797" w:val="left" w:leader="none"/>
        </w:tabs>
        <w:spacing w:line="240" w:lineRule="auto" w:before="0" w:after="0"/>
        <w:ind w:left="797" w:right="0" w:hanging="529"/>
        <w:jc w:val="left"/>
        <w:rPr>
          <w:sz w:val="21"/>
        </w:rPr>
      </w:pPr>
      <w:r>
        <w:rPr>
          <w:spacing w:val="-3"/>
          <w:sz w:val="21"/>
        </w:rPr>
        <w:t>本公司要求的其他有关证明和资料。</w:t>
      </w:r>
    </w:p>
    <w:p>
      <w:pPr>
        <w:pStyle w:val="BodyText"/>
        <w:spacing w:before="1"/>
        <w:rPr>
          <w:sz w:val="16"/>
        </w:rPr>
      </w:pPr>
    </w:p>
    <w:p>
      <w:pPr>
        <w:pStyle w:val="BodyText"/>
        <w:spacing w:line="268" w:lineRule="auto"/>
        <w:ind w:left="268" w:right="214"/>
        <w:jc w:val="both"/>
      </w:pPr>
      <w:r>
        <w:rPr>
          <w:spacing w:val="-2"/>
        </w:rPr>
        <w:t>本合同的效力至本公司接到解除合同申请书之日的次日零时或解除合同申请书</w:t>
      </w:r>
      <w:r>
        <w:rPr>
          <w:spacing w:val="-2"/>
        </w:rPr>
        <w:t>上载明的合同终止时间（二者中以较晚者为准）终止。本公司自收到完整的证</w:t>
      </w:r>
      <w:r>
        <w:rPr>
          <w:spacing w:val="-3"/>
        </w:rPr>
        <w:t>明和资料之日起 </w:t>
      </w:r>
      <w:r>
        <w:rPr/>
        <w:t>30</w:t>
      </w:r>
      <w:r>
        <w:rPr>
          <w:spacing w:val="-5"/>
        </w:rPr>
        <w:t> 日内向投保人退还本合同的现金价值。</w:t>
      </w:r>
    </w:p>
    <w:p>
      <w:pPr>
        <w:spacing w:after="0" w:line="268" w:lineRule="auto"/>
        <w:jc w:val="both"/>
        <w:sectPr>
          <w:type w:val="continuous"/>
          <w:pgSz w:w="11910" w:h="16840"/>
          <w:pgMar w:header="0" w:footer="659" w:top="480" w:bottom="280" w:left="920" w:right="540"/>
          <w:cols w:num="2" w:equalWidth="0">
            <w:col w:w="2678" w:space="126"/>
            <w:col w:w="7646"/>
          </w:cols>
        </w:sectPr>
      </w:pPr>
    </w:p>
    <w:p>
      <w:pPr>
        <w:pStyle w:val="BodyText"/>
        <w:spacing w:before="4"/>
        <w:rPr>
          <w:sz w:val="45"/>
        </w:rPr>
      </w:pPr>
    </w:p>
    <w:p>
      <w:pPr>
        <w:pStyle w:val="Heading1"/>
        <w:numPr>
          <w:ilvl w:val="0"/>
          <w:numId w:val="2"/>
        </w:numPr>
        <w:tabs>
          <w:tab w:pos="1369" w:val="left" w:leader="none"/>
          <w:tab w:pos="1370" w:val="left" w:leader="none"/>
        </w:tabs>
        <w:spacing w:line="240" w:lineRule="auto" w:before="1" w:after="0"/>
        <w:ind w:left="1370" w:right="0" w:hanging="1103"/>
        <w:jc w:val="left"/>
      </w:pPr>
      <w:r>
        <w:rPr>
          <w:w w:val="95"/>
        </w:rPr>
        <w:t>其</w:t>
      </w:r>
      <w:r>
        <w:rPr>
          <w:w w:val="95"/>
        </w:rPr>
        <w:t>他</w:t>
      </w:r>
      <w:r>
        <w:rPr>
          <w:spacing w:val="-5"/>
          <w:w w:val="95"/>
        </w:rPr>
        <w:t>事项</w:t>
      </w:r>
    </w:p>
    <w:p>
      <w:pPr>
        <w:pStyle w:val="Heading2"/>
        <w:numPr>
          <w:ilvl w:val="1"/>
          <w:numId w:val="2"/>
        </w:numPr>
        <w:tabs>
          <w:tab w:pos="1369" w:val="left" w:leader="none"/>
          <w:tab w:pos="1370" w:val="left" w:leader="none"/>
        </w:tabs>
        <w:spacing w:line="278" w:lineRule="auto" w:before="194" w:after="0"/>
        <w:ind w:left="1370" w:right="38" w:hanging="1102"/>
        <w:jc w:val="left"/>
      </w:pPr>
      <w:r>
        <w:rPr>
          <w:spacing w:val="-2"/>
        </w:rPr>
        <w:t>明确说明与如</w:t>
      </w:r>
      <w:r>
        <w:rPr>
          <w:spacing w:val="-4"/>
        </w:rPr>
        <w:t>实告知</w:t>
      </w:r>
    </w:p>
    <w:p>
      <w:pPr>
        <w:pStyle w:val="BodyText"/>
        <w:spacing w:before="152"/>
        <w:ind w:left="268"/>
      </w:pPr>
      <w:r>
        <w:rPr/>
        <w:br w:type="column"/>
      </w:r>
      <w:r>
        <w:rPr>
          <w:color w:val="000000"/>
          <w:spacing w:val="-3"/>
          <w:shd w:fill="E4E4E4" w:color="auto" w:val="clear"/>
        </w:rPr>
        <w:t>投保人在犹豫期后解除合同会遭受一定损失。</w:t>
      </w:r>
    </w:p>
    <w:p>
      <w:pPr>
        <w:pStyle w:val="BodyText"/>
        <w:rPr>
          <w:sz w:val="20"/>
        </w:rPr>
      </w:pPr>
    </w:p>
    <w:p>
      <w:pPr>
        <w:pStyle w:val="BodyText"/>
        <w:rPr>
          <w:sz w:val="20"/>
        </w:rPr>
      </w:pPr>
    </w:p>
    <w:p>
      <w:pPr>
        <w:pStyle w:val="BodyText"/>
        <w:rPr>
          <w:sz w:val="20"/>
        </w:rPr>
      </w:pPr>
    </w:p>
    <w:p>
      <w:pPr>
        <w:pStyle w:val="BodyText"/>
        <w:spacing w:before="3"/>
        <w:rPr>
          <w:sz w:val="16"/>
        </w:rPr>
      </w:pPr>
    </w:p>
    <w:p>
      <w:pPr>
        <w:pStyle w:val="BodyText"/>
        <w:spacing w:line="266" w:lineRule="auto"/>
        <w:ind w:left="268" w:right="214"/>
        <w:jc w:val="both"/>
      </w:pPr>
      <w:r>
        <w:rPr/>
        <w:drawing>
          <wp:anchor distT="0" distB="0" distL="0" distR="0" allowOverlap="1" layoutInCell="1" locked="0" behindDoc="0" simplePos="0" relativeHeight="15753216">
            <wp:simplePos x="0" y="0"/>
            <wp:positionH relativeFrom="page">
              <wp:posOffset>685800</wp:posOffset>
            </wp:positionH>
            <wp:positionV relativeFrom="paragraph">
              <wp:posOffset>-124205</wp:posOffset>
            </wp:positionV>
            <wp:extent cx="6461379" cy="6095"/>
            <wp:effectExtent l="0" t="0" r="0" b="0"/>
            <wp:wrapNone/>
            <wp:docPr id="45" name="image3.png"/>
            <wp:cNvGraphicFramePr>
              <a:graphicFrameLocks noChangeAspect="1"/>
            </wp:cNvGraphicFramePr>
            <a:graphic>
              <a:graphicData uri="http://schemas.openxmlformats.org/drawingml/2006/picture">
                <pic:pic>
                  <pic:nvPicPr>
                    <pic:cNvPr id="46" name="image3.png"/>
                    <pic:cNvPicPr/>
                  </pic:nvPicPr>
                  <pic:blipFill>
                    <a:blip r:embed="rId7" cstate="print"/>
                    <a:stretch>
                      <a:fillRect/>
                    </a:stretch>
                  </pic:blipFill>
                  <pic:spPr>
                    <a:xfrm>
                      <a:off x="0" y="0"/>
                      <a:ext cx="6461379" cy="6095"/>
                    </a:xfrm>
                    <a:prstGeom prst="rect">
                      <a:avLst/>
                    </a:prstGeom>
                  </pic:spPr>
                </pic:pic>
              </a:graphicData>
            </a:graphic>
          </wp:anchor>
        </w:drawing>
      </w:r>
      <w:r>
        <w:rPr>
          <w:spacing w:val="-2"/>
        </w:rPr>
        <w:t>订立本合同时，本公司会向投保人明确说明本合同的内容。对本合同中免除本</w:t>
      </w:r>
      <w:r>
        <w:rPr>
          <w:spacing w:val="-2"/>
        </w:rPr>
        <w:t>公司责任的条款，本公司在订立合同时会在投保单、保险单或其他保险凭证上</w:t>
      </w:r>
      <w:r>
        <w:rPr>
          <w:spacing w:val="-2"/>
        </w:rPr>
        <w:t>作出足以引起投保人注意的提示，并对该条款的内容以书面或口头形式向投保</w:t>
      </w:r>
      <w:r>
        <w:rPr>
          <w:spacing w:val="-2"/>
        </w:rPr>
        <w:t>人作出明确说明，未作提示或明确说明的，该条款不产生效力。</w:t>
      </w:r>
    </w:p>
    <w:p>
      <w:pPr>
        <w:pStyle w:val="BodyText"/>
        <w:spacing w:before="161"/>
        <w:ind w:left="268"/>
      </w:pPr>
      <w:r>
        <w:rPr>
          <w:spacing w:val="-3"/>
        </w:rPr>
        <w:t>本公司就投保人、被保险人的有关情况提出询问，投保人应当如实告知。</w:t>
      </w:r>
    </w:p>
    <w:p>
      <w:pPr>
        <w:spacing w:after="0"/>
        <w:sectPr>
          <w:type w:val="continuous"/>
          <w:pgSz w:w="11910" w:h="16840"/>
          <w:pgMar w:header="0" w:footer="659" w:top="480" w:bottom="280" w:left="920" w:right="540"/>
          <w:cols w:num="2" w:equalWidth="0">
            <w:col w:w="2678" w:space="126"/>
            <w:col w:w="7646"/>
          </w:cols>
        </w:sectPr>
      </w:pPr>
    </w:p>
    <w:p>
      <w:pPr>
        <w:pStyle w:val="BodyText"/>
        <w:spacing w:before="1"/>
        <w:rPr>
          <w:sz w:val="9"/>
        </w:rPr>
      </w:pPr>
    </w:p>
    <w:p>
      <w:pPr>
        <w:pStyle w:val="BodyText"/>
        <w:spacing w:line="266" w:lineRule="auto" w:before="72"/>
        <w:ind w:left="3072" w:right="214"/>
      </w:pPr>
      <w:r>
        <w:rPr>
          <w:color w:val="000000"/>
          <w:spacing w:val="-2"/>
          <w:shd w:fill="E4E4E4" w:color="auto" w:val="clear"/>
        </w:rPr>
        <w:t>投保人故意或因重大过失未履行前款规定的如实告知义务，足以影响本公司决</w:t>
      </w:r>
      <w:r>
        <w:rPr>
          <w:color w:val="000000"/>
          <w:spacing w:val="80"/>
          <w:w w:val="150"/>
          <w:shd w:fill="E4E4E4" w:color="auto" w:val="clear"/>
        </w:rPr>
        <w:t>                                       </w:t>
      </w:r>
      <w:r>
        <w:rPr>
          <w:color w:val="000000"/>
          <w:spacing w:val="-2"/>
          <w:shd w:fill="E4E4E4" w:color="auto" w:val="clear"/>
        </w:rPr>
        <w:t>定是否同意承保或提高保险费率的，本公司有权解除本合同。</w:t>
      </w:r>
    </w:p>
    <w:p>
      <w:pPr>
        <w:pStyle w:val="BodyText"/>
        <w:spacing w:line="266" w:lineRule="auto" w:before="158"/>
        <w:ind w:left="3072" w:right="106"/>
      </w:pPr>
      <w:r>
        <w:rPr>
          <w:color w:val="000000"/>
          <w:spacing w:val="-8"/>
          <w:shd w:fill="E4E4E4" w:color="auto" w:val="clear"/>
        </w:rPr>
        <w:t>投保人故意不履行如实告知义务的，本公司对于本合同解除前发生的保险事故，</w:t>
      </w:r>
      <w:r>
        <w:rPr>
          <w:color w:val="000000"/>
          <w:spacing w:val="80"/>
          <w:w w:val="150"/>
          <w:shd w:fill="E4E4E4" w:color="auto" w:val="clear"/>
        </w:rPr>
        <w:t>                                       </w:t>
      </w:r>
      <w:r>
        <w:rPr>
          <w:color w:val="000000"/>
          <w:spacing w:val="-2"/>
          <w:shd w:fill="E4E4E4" w:color="auto" w:val="clear"/>
        </w:rPr>
        <w:t>不承担给付保险金的责任，并不退还保险费。</w:t>
      </w:r>
    </w:p>
    <w:p>
      <w:pPr>
        <w:pStyle w:val="BodyText"/>
        <w:spacing w:before="2"/>
        <w:rPr>
          <w:sz w:val="8"/>
        </w:rPr>
      </w:pPr>
      <w:r>
        <w:rPr/>
        <w:pict>
          <v:shape style="position:absolute;margin-left:199.610001pt;margin-top:6.425pt;width:357.8pt;height:30pt;mso-position-horizontal-relative:page;mso-position-vertical-relative:paragraph;z-index:-15705088;mso-wrap-distance-left:0;mso-wrap-distance-right:0" type="#_x0000_t202" id="docshape40" filled="true" fillcolor="#e4e4e4" stroked="false">
            <v:textbox inset="0,0,0,0">
              <w:txbxContent>
                <w:p>
                  <w:pPr>
                    <w:pStyle w:val="BodyText"/>
                    <w:spacing w:line="266" w:lineRule="auto" w:before="25"/>
                    <w:ind w:right="-15"/>
                    <w:rPr>
                      <w:color w:val="000000"/>
                    </w:rPr>
                  </w:pPr>
                  <w:r>
                    <w:rPr>
                      <w:color w:val="000000"/>
                      <w:spacing w:val="-2"/>
                    </w:rPr>
                    <w:t>投保人因重大过失未履行如实告知义务，对保险事故的发生有严重影响的，本</w:t>
                  </w:r>
                  <w:r>
                    <w:rPr>
                      <w:color w:val="000000"/>
                      <w:spacing w:val="-3"/>
                    </w:rPr>
                    <w:t>公司对于本合同解除前发生的保险事故，不承担给付保险金的责任，但会退还</w:t>
                  </w:r>
                </w:p>
              </w:txbxContent>
            </v:textbox>
            <v:fill type="solid"/>
            <w10:wrap type="topAndBottom"/>
          </v:shape>
        </w:pict>
      </w:r>
    </w:p>
    <w:p>
      <w:pPr>
        <w:spacing w:after="0"/>
        <w:rPr>
          <w:sz w:val="8"/>
        </w:rPr>
        <w:sectPr>
          <w:type w:val="continuous"/>
          <w:pgSz w:w="11910" w:h="16840"/>
          <w:pgMar w:header="0" w:footer="659" w:top="480" w:bottom="280" w:left="920" w:right="540"/>
        </w:sectPr>
      </w:pPr>
    </w:p>
    <w:p>
      <w:pPr>
        <w:pStyle w:val="BodyText"/>
        <w:ind w:left="3072"/>
        <w:rPr>
          <w:sz w:val="20"/>
        </w:rPr>
      </w:pPr>
      <w:r>
        <w:rPr>
          <w:sz w:val="20"/>
        </w:rPr>
        <w:pict>
          <v:shape style="width:42pt;height:15pt;mso-position-horizontal-relative:char;mso-position-vertical-relative:line" type="#_x0000_t202" id="docshape41" filled="true" fillcolor="#e4e4e4" stroked="false">
            <w10:anchorlock/>
            <v:textbox inset="0,0,0,0">
              <w:txbxContent>
                <w:p>
                  <w:pPr>
                    <w:pStyle w:val="BodyText"/>
                    <w:spacing w:before="30"/>
                    <w:ind w:right="-15"/>
                    <w:rPr>
                      <w:color w:val="000000"/>
                    </w:rPr>
                  </w:pPr>
                  <w:r>
                    <w:rPr>
                      <w:color w:val="000000"/>
                      <w:spacing w:val="-6"/>
                    </w:rPr>
                    <w:t>保险费。</w:t>
                  </w:r>
                </w:p>
              </w:txbxContent>
            </v:textbox>
            <v:fill type="solid"/>
          </v:shape>
        </w:pict>
      </w:r>
      <w:r>
        <w:rPr>
          <w:sz w:val="20"/>
        </w:rPr>
      </w:r>
    </w:p>
    <w:p>
      <w:pPr>
        <w:pStyle w:val="BodyText"/>
        <w:spacing w:before="8"/>
        <w:rPr>
          <w:sz w:val="8"/>
        </w:rPr>
      </w:pPr>
    </w:p>
    <w:p>
      <w:pPr>
        <w:pStyle w:val="BodyText"/>
        <w:spacing w:line="266" w:lineRule="auto" w:before="72"/>
        <w:ind w:left="3072" w:right="214"/>
      </w:pPr>
      <w:r>
        <w:rPr/>
        <w:drawing>
          <wp:anchor distT="0" distB="0" distL="0" distR="0" allowOverlap="1" layoutInCell="1" locked="0" behindDoc="0" simplePos="0" relativeHeight="15754240">
            <wp:simplePos x="0" y="0"/>
            <wp:positionH relativeFrom="page">
              <wp:posOffset>685800</wp:posOffset>
            </wp:positionH>
            <wp:positionV relativeFrom="paragraph">
              <wp:posOffset>-269240</wp:posOffset>
            </wp:positionV>
            <wp:extent cx="6461378" cy="6096"/>
            <wp:effectExtent l="0" t="0" r="0" b="0"/>
            <wp:wrapNone/>
            <wp:docPr id="47" name="image3.png"/>
            <wp:cNvGraphicFramePr>
              <a:graphicFrameLocks noChangeAspect="1"/>
            </wp:cNvGraphicFramePr>
            <a:graphic>
              <a:graphicData uri="http://schemas.openxmlformats.org/drawingml/2006/picture">
                <pic:pic>
                  <pic:nvPicPr>
                    <pic:cNvPr id="48" name="image3.png"/>
                    <pic:cNvPicPr/>
                  </pic:nvPicPr>
                  <pic:blipFill>
                    <a:blip r:embed="rId7" cstate="print"/>
                    <a:stretch>
                      <a:fillRect/>
                    </a:stretch>
                  </pic:blipFill>
                  <pic:spPr>
                    <a:xfrm>
                      <a:off x="0" y="0"/>
                      <a:ext cx="6461378" cy="6096"/>
                    </a:xfrm>
                    <a:prstGeom prst="rect">
                      <a:avLst/>
                    </a:prstGeom>
                  </pic:spPr>
                </pic:pic>
              </a:graphicData>
            </a:graphic>
          </wp:anchor>
        </w:drawing>
      </w:r>
      <w:r>
        <w:rPr>
          <w:spacing w:val="-2"/>
        </w:rPr>
        <w:t>本公司在本合同订立时已经知道投保人未如实告知的情况的，本公司不得解除</w:t>
      </w:r>
      <w:r>
        <w:rPr>
          <w:spacing w:val="-2"/>
        </w:rPr>
        <w:t>合同；发生保险事故的，本公司承担给付保险金的责任。</w:t>
      </w:r>
    </w:p>
    <w:p>
      <w:pPr>
        <w:spacing w:after="0" w:line="266" w:lineRule="auto"/>
        <w:sectPr>
          <w:pgSz w:w="11910" w:h="16840"/>
          <w:pgMar w:header="0" w:footer="659" w:top="1420" w:bottom="840" w:left="920" w:right="540"/>
        </w:sectPr>
      </w:pPr>
    </w:p>
    <w:p>
      <w:pPr>
        <w:pStyle w:val="Heading2"/>
        <w:numPr>
          <w:ilvl w:val="1"/>
          <w:numId w:val="2"/>
        </w:numPr>
        <w:tabs>
          <w:tab w:pos="1369" w:val="left" w:leader="none"/>
          <w:tab w:pos="1370" w:val="left" w:leader="none"/>
        </w:tabs>
        <w:spacing w:line="278" w:lineRule="auto" w:before="151" w:after="0"/>
        <w:ind w:left="1370" w:right="38" w:hanging="1102"/>
        <w:jc w:val="left"/>
      </w:pPr>
      <w:r>
        <w:rPr>
          <w:spacing w:val="-2"/>
        </w:rPr>
        <w:t>本公司合同解</w:t>
      </w:r>
      <w:r>
        <w:rPr>
          <w:spacing w:val="-2"/>
        </w:rPr>
        <w:t>除权的限制</w:t>
      </w:r>
    </w:p>
    <w:p>
      <w:pPr>
        <w:pStyle w:val="BodyText"/>
        <w:spacing w:line="266" w:lineRule="auto" w:before="158"/>
        <w:ind w:left="268" w:right="211"/>
        <w:jc w:val="both"/>
      </w:pPr>
      <w:r>
        <w:rPr/>
        <w:br w:type="column"/>
      </w:r>
      <w:r>
        <w:rPr>
          <w:w w:val="95"/>
        </w:rPr>
        <w:t>8.1 款规定的合同解除权，</w:t>
      </w:r>
      <w:r>
        <w:rPr>
          <w:w w:val="95"/>
        </w:rPr>
        <w:t>自</w:t>
      </w:r>
      <w:r>
        <w:rPr>
          <w:w w:val="95"/>
        </w:rPr>
        <w:t>本</w:t>
      </w:r>
      <w:r>
        <w:rPr>
          <w:w w:val="95"/>
        </w:rPr>
        <w:t>公司知道有解除事由</w:t>
      </w:r>
      <w:r>
        <w:rPr>
          <w:w w:val="95"/>
        </w:rPr>
        <w:t>之</w:t>
      </w:r>
      <w:r>
        <w:rPr>
          <w:w w:val="95"/>
        </w:rPr>
        <w:t>日</w:t>
      </w:r>
      <w:r>
        <w:rPr>
          <w:w w:val="95"/>
        </w:rPr>
        <w:t>起，超过 30 日不</w:t>
      </w:r>
      <w:r>
        <w:rPr>
          <w:w w:val="95"/>
        </w:rPr>
        <w:t>行</w:t>
      </w:r>
      <w:r>
        <w:rPr>
          <w:w w:val="95"/>
        </w:rPr>
        <w:t>使</w:t>
      </w:r>
      <w:r>
        <w:rPr>
          <w:spacing w:val="-4"/>
        </w:rPr>
        <w:t>而消灭。自本合同成立之日起超过 </w:t>
      </w:r>
      <w:r>
        <w:rPr>
          <w:spacing w:val="-2"/>
        </w:rPr>
        <w:t>2</w:t>
      </w:r>
      <w:r>
        <w:rPr>
          <w:spacing w:val="-7"/>
        </w:rPr>
        <w:t> 年的，本公司不得解除合同；发生保险事</w:t>
      </w:r>
      <w:r>
        <w:rPr>
          <w:spacing w:val="-2"/>
        </w:rPr>
        <w:t>故时，本公司承担给付保险金的责任。</w:t>
      </w:r>
    </w:p>
    <w:p>
      <w:pPr>
        <w:spacing w:after="0" w:line="266" w:lineRule="auto"/>
        <w:jc w:val="both"/>
        <w:sectPr>
          <w:type w:val="continuous"/>
          <w:pgSz w:w="11910" w:h="16840"/>
          <w:pgMar w:header="0" w:footer="659" w:top="480" w:bottom="280" w:left="920" w:right="540"/>
          <w:cols w:num="2" w:equalWidth="0">
            <w:col w:w="2678" w:space="126"/>
            <w:col w:w="7646"/>
          </w:cols>
        </w:sectPr>
      </w:pPr>
    </w:p>
    <w:p>
      <w:pPr>
        <w:pStyle w:val="ListParagraph"/>
        <w:numPr>
          <w:ilvl w:val="1"/>
          <w:numId w:val="9"/>
        </w:numPr>
        <w:tabs>
          <w:tab w:pos="1370" w:val="left" w:leader="none"/>
        </w:tabs>
        <w:spacing w:line="266" w:lineRule="auto" w:before="148" w:after="0"/>
        <w:ind w:left="3072" w:right="214" w:hanging="2805"/>
        <w:jc w:val="both"/>
        <w:rPr>
          <w:sz w:val="21"/>
        </w:rPr>
      </w:pPr>
      <w:r>
        <w:rPr>
          <w:b/>
          <w:spacing w:val="45"/>
          <w:position w:val="1"/>
          <w:sz w:val="21"/>
        </w:rPr>
        <w:t>年龄性别错误 </w:t>
      </w:r>
      <w:r>
        <w:rPr>
          <w:sz w:val="21"/>
        </w:rPr>
        <w:t>投保人在申请投保时，应将与有效身份证件相符的被保险人的出生日期或周岁</w:t>
      </w:r>
      <w:r>
        <w:rPr>
          <w:spacing w:val="-2"/>
          <w:sz w:val="21"/>
        </w:rPr>
        <w:t>年龄和性别在投保单或其他投保文件上填明，若发生错误按照下列方式办理：</w:t>
      </w:r>
    </w:p>
    <w:p>
      <w:pPr>
        <w:pStyle w:val="ListParagraph"/>
        <w:numPr>
          <w:ilvl w:val="2"/>
          <w:numId w:val="9"/>
        </w:numPr>
        <w:tabs>
          <w:tab w:pos="3793" w:val="left" w:leader="none"/>
        </w:tabs>
        <w:spacing w:line="266" w:lineRule="auto" w:before="3" w:after="0"/>
        <w:ind w:left="3792" w:right="212" w:hanging="720"/>
        <w:jc w:val="both"/>
        <w:rPr>
          <w:sz w:val="21"/>
        </w:rPr>
      </w:pPr>
      <w:r>
        <w:rPr>
          <w:spacing w:val="-6"/>
          <w:sz w:val="21"/>
        </w:rPr>
        <w:t>投保人申报的被保险人年龄和性别不真实，并且其真实年龄和性别不符</w:t>
      </w:r>
      <w:r>
        <w:rPr>
          <w:spacing w:val="-7"/>
          <w:sz w:val="21"/>
        </w:rPr>
        <w:t>合本合同约定投保年龄或性别限制的，本公司有权取消该被保险人的被</w:t>
      </w:r>
      <w:r>
        <w:rPr>
          <w:spacing w:val="-4"/>
          <w:sz w:val="21"/>
        </w:rPr>
        <w:t>保资格，并向投保人退还相应现金价值。本公司行使被保险人的被保资</w:t>
      </w:r>
      <w:r>
        <w:rPr>
          <w:sz w:val="21"/>
        </w:rPr>
        <w:t>格取消权适用“8.2</w:t>
      </w:r>
      <w:r>
        <w:rPr>
          <w:spacing w:val="-7"/>
          <w:sz w:val="21"/>
        </w:rPr>
        <w:t> 本公司合同解除权的限制”的规定；</w:t>
      </w:r>
    </w:p>
    <w:p>
      <w:pPr>
        <w:pStyle w:val="ListParagraph"/>
        <w:numPr>
          <w:ilvl w:val="2"/>
          <w:numId w:val="9"/>
        </w:numPr>
        <w:tabs>
          <w:tab w:pos="3793" w:val="left" w:leader="none"/>
        </w:tabs>
        <w:spacing w:line="266" w:lineRule="auto" w:before="6" w:after="0"/>
        <w:ind w:left="3792" w:right="211" w:hanging="720"/>
        <w:jc w:val="both"/>
        <w:rPr>
          <w:sz w:val="21"/>
        </w:rPr>
      </w:pPr>
      <w:r>
        <w:rPr/>
        <w:drawing>
          <wp:anchor distT="0" distB="0" distL="0" distR="0" allowOverlap="1" layoutInCell="1" locked="0" behindDoc="1" simplePos="0" relativeHeight="486129664">
            <wp:simplePos x="0" y="0"/>
            <wp:positionH relativeFrom="page">
              <wp:posOffset>6414261</wp:posOffset>
            </wp:positionH>
            <wp:positionV relativeFrom="paragraph">
              <wp:posOffset>175259</wp:posOffset>
            </wp:positionV>
            <wp:extent cx="664463" cy="190500"/>
            <wp:effectExtent l="0" t="0" r="0" b="0"/>
            <wp:wrapNone/>
            <wp:docPr id="49" name="image12.png"/>
            <wp:cNvGraphicFramePr>
              <a:graphicFrameLocks noChangeAspect="1"/>
            </wp:cNvGraphicFramePr>
            <a:graphic>
              <a:graphicData uri="http://schemas.openxmlformats.org/drawingml/2006/picture">
                <pic:pic>
                  <pic:nvPicPr>
                    <pic:cNvPr id="50" name="image12.png"/>
                    <pic:cNvPicPr/>
                  </pic:nvPicPr>
                  <pic:blipFill>
                    <a:blip r:embed="rId22" cstate="print"/>
                    <a:stretch>
                      <a:fillRect/>
                    </a:stretch>
                  </pic:blipFill>
                  <pic:spPr>
                    <a:xfrm>
                      <a:off x="0" y="0"/>
                      <a:ext cx="664463" cy="190500"/>
                    </a:xfrm>
                    <a:prstGeom prst="rect">
                      <a:avLst/>
                    </a:prstGeom>
                  </pic:spPr>
                </pic:pic>
              </a:graphicData>
            </a:graphic>
          </wp:anchor>
        </w:drawing>
      </w:r>
      <w:r>
        <w:rPr/>
        <w:pict>
          <v:shape style="position:absolute;margin-left:235.610001pt;margin-top:43.799984pt;width:157.6pt;height:15pt;mso-position-horizontal-relative:page;mso-position-vertical-relative:paragraph;z-index:15755264" type="#_x0000_t202" id="docshape42" filled="true" fillcolor="#e4e4e4" stroked="false">
            <v:textbox inset="0,0,0,0">
              <w:txbxContent>
                <w:p>
                  <w:pPr>
                    <w:pStyle w:val="BodyText"/>
                    <w:spacing w:before="30"/>
                    <w:ind w:right="-15"/>
                    <w:rPr>
                      <w:color w:val="000000"/>
                    </w:rPr>
                  </w:pPr>
                  <w:r>
                    <w:rPr>
                      <w:color w:val="000000"/>
                      <w:spacing w:val="-3"/>
                    </w:rPr>
                    <w:t>分“提供的保障”约定的保险金；</w:t>
                  </w:r>
                </w:p>
              </w:txbxContent>
            </v:textbox>
            <v:fill type="solid"/>
            <w10:wrap type="none"/>
          </v:shape>
        </w:pict>
      </w:r>
      <w:r>
        <w:rPr/>
        <w:pict>
          <v:shape style="position:absolute;margin-left:235.610001pt;margin-top:28.799986pt;width:321.8pt;height:15pt;mso-position-horizontal-relative:page;mso-position-vertical-relative:paragraph;z-index:15755776" type="#_x0000_t202" id="docshape43" filled="true" fillcolor="#e4e4e4" stroked="false">
            <v:textbox inset="0,0,0,0">
              <w:txbxContent>
                <w:p>
                  <w:pPr>
                    <w:pStyle w:val="BodyText"/>
                    <w:spacing w:before="30"/>
                    <w:ind w:right="-15"/>
                    <w:rPr>
                      <w:color w:val="000000"/>
                    </w:rPr>
                  </w:pPr>
                  <w:r>
                    <w:rPr>
                      <w:color w:val="000000"/>
                      <w:spacing w:val="-13"/>
                    </w:rPr>
                    <w:t>生保险事故，本公司有权按实收保险费占应交保险费的比例给付第 </w:t>
                  </w:r>
                  <w:r>
                    <w:rPr>
                      <w:color w:val="000000"/>
                      <w:spacing w:val="-2"/>
                    </w:rPr>
                    <w:t>2</w:t>
                  </w:r>
                  <w:r>
                    <w:rPr>
                      <w:color w:val="000000"/>
                      <w:spacing w:val="-27"/>
                    </w:rPr>
                    <w:t> 部</w:t>
                  </w:r>
                </w:p>
              </w:txbxContent>
            </v:textbox>
            <v:fill type="solid"/>
            <w10:wrap type="none"/>
          </v:shape>
        </w:pict>
      </w:r>
      <w:r>
        <w:rPr>
          <w:spacing w:val="-6"/>
          <w:sz w:val="21"/>
        </w:rPr>
        <w:t>投保人申报的被保险人年龄和性别不真实，致使投保人实交保险费少于</w:t>
      </w:r>
      <w:r>
        <w:rPr>
          <w:spacing w:val="-4"/>
          <w:sz w:val="21"/>
        </w:rPr>
        <w:t>应交保险费的，本公司有权更正并要求投保人补交保险费，但若已经发</w:t>
      </w:r>
    </w:p>
    <w:p>
      <w:pPr>
        <w:pStyle w:val="BodyText"/>
        <w:rPr>
          <w:sz w:val="20"/>
        </w:rPr>
      </w:pPr>
    </w:p>
    <w:p>
      <w:pPr>
        <w:pStyle w:val="BodyText"/>
        <w:spacing w:before="5"/>
      </w:pPr>
    </w:p>
    <w:p>
      <w:pPr>
        <w:pStyle w:val="ListParagraph"/>
        <w:numPr>
          <w:ilvl w:val="2"/>
          <w:numId w:val="9"/>
        </w:numPr>
        <w:tabs>
          <w:tab w:pos="3793" w:val="left" w:leader="none"/>
        </w:tabs>
        <w:spacing w:line="266" w:lineRule="auto" w:before="72" w:after="0"/>
        <w:ind w:left="3792" w:right="212" w:hanging="720"/>
        <w:jc w:val="left"/>
        <w:rPr>
          <w:sz w:val="21"/>
        </w:rPr>
      </w:pPr>
      <w:r>
        <w:rPr>
          <w:spacing w:val="-6"/>
          <w:sz w:val="21"/>
        </w:rPr>
        <w:t>投保人申报的被保险人年龄和性别不真实，致使投保人实交保险费多于</w:t>
      </w:r>
      <w:r>
        <w:rPr>
          <w:spacing w:val="-2"/>
          <w:sz w:val="21"/>
        </w:rPr>
        <w:t>应交保险费的，本公司会将多收的保险费无息退还给投保人。</w:t>
      </w:r>
    </w:p>
    <w:p>
      <w:pPr>
        <w:pStyle w:val="ListParagraph"/>
        <w:numPr>
          <w:ilvl w:val="1"/>
          <w:numId w:val="9"/>
        </w:numPr>
        <w:tabs>
          <w:tab w:pos="1369" w:val="left" w:leader="none"/>
          <w:tab w:pos="1370" w:val="left" w:leader="none"/>
          <w:tab w:pos="3072" w:val="left" w:leader="none"/>
        </w:tabs>
        <w:spacing w:line="266" w:lineRule="auto" w:before="149" w:after="0"/>
        <w:ind w:left="3072" w:right="214" w:hanging="2805"/>
        <w:jc w:val="left"/>
        <w:rPr>
          <w:sz w:val="21"/>
        </w:rPr>
      </w:pPr>
      <w:r>
        <w:rPr>
          <w:b/>
          <w:spacing w:val="-4"/>
          <w:position w:val="1"/>
          <w:sz w:val="21"/>
        </w:rPr>
        <w:t>未</w:t>
      </w:r>
      <w:r>
        <w:rPr>
          <w:b/>
          <w:spacing w:val="-4"/>
          <w:position w:val="1"/>
          <w:sz w:val="21"/>
        </w:rPr>
        <w:t>还</w:t>
      </w:r>
      <w:r>
        <w:rPr>
          <w:b/>
          <w:spacing w:val="-4"/>
          <w:position w:val="1"/>
          <w:sz w:val="21"/>
        </w:rPr>
        <w:t>款</w:t>
      </w:r>
      <w:r>
        <w:rPr>
          <w:b/>
          <w:spacing w:val="-4"/>
          <w:position w:val="1"/>
          <w:sz w:val="21"/>
        </w:rPr>
        <w:t>项</w:t>
      </w:r>
      <w:r>
        <w:rPr>
          <w:b/>
          <w:position w:val="1"/>
          <w:sz w:val="21"/>
        </w:rPr>
        <w:tab/>
      </w:r>
      <w:r>
        <w:rPr>
          <w:spacing w:val="-2"/>
          <w:sz w:val="21"/>
        </w:rPr>
        <w:t>本</w:t>
      </w:r>
      <w:r>
        <w:rPr>
          <w:spacing w:val="-2"/>
          <w:sz w:val="21"/>
        </w:rPr>
        <w:t>公</w:t>
      </w:r>
      <w:r>
        <w:rPr>
          <w:spacing w:val="-2"/>
          <w:sz w:val="21"/>
        </w:rPr>
        <w:t>司</w:t>
      </w:r>
      <w:r>
        <w:rPr>
          <w:spacing w:val="-2"/>
          <w:sz w:val="21"/>
        </w:rPr>
        <w:t>在</w:t>
      </w:r>
      <w:r>
        <w:rPr>
          <w:spacing w:val="-2"/>
          <w:sz w:val="21"/>
        </w:rPr>
        <w:t>给</w:t>
      </w:r>
      <w:r>
        <w:rPr>
          <w:spacing w:val="-2"/>
          <w:sz w:val="21"/>
        </w:rPr>
        <w:t>付</w:t>
      </w:r>
      <w:r>
        <w:rPr>
          <w:spacing w:val="-2"/>
          <w:sz w:val="21"/>
        </w:rPr>
        <w:t>各</w:t>
      </w:r>
      <w:r>
        <w:rPr>
          <w:spacing w:val="-2"/>
          <w:sz w:val="21"/>
        </w:rPr>
        <w:t>项</w:t>
      </w:r>
      <w:r>
        <w:rPr>
          <w:spacing w:val="-2"/>
          <w:sz w:val="21"/>
        </w:rPr>
        <w:t>保</w:t>
      </w:r>
      <w:r>
        <w:rPr>
          <w:spacing w:val="-2"/>
          <w:sz w:val="21"/>
        </w:rPr>
        <w:t>险</w:t>
      </w:r>
      <w:r>
        <w:rPr>
          <w:spacing w:val="-2"/>
          <w:sz w:val="21"/>
        </w:rPr>
        <w:t>金</w:t>
      </w:r>
      <w:r>
        <w:rPr>
          <w:spacing w:val="-2"/>
          <w:sz w:val="21"/>
        </w:rPr>
        <w:t>、</w:t>
      </w:r>
      <w:r>
        <w:rPr>
          <w:spacing w:val="-2"/>
          <w:sz w:val="21"/>
        </w:rPr>
        <w:t>退</w:t>
      </w:r>
      <w:r>
        <w:rPr>
          <w:spacing w:val="-2"/>
          <w:sz w:val="21"/>
        </w:rPr>
        <w:t>还</w:t>
      </w:r>
      <w:r>
        <w:rPr>
          <w:spacing w:val="-2"/>
          <w:sz w:val="21"/>
        </w:rPr>
        <w:t>现</w:t>
      </w:r>
      <w:r>
        <w:rPr>
          <w:spacing w:val="-2"/>
          <w:sz w:val="21"/>
        </w:rPr>
        <w:t>金</w:t>
      </w:r>
      <w:r>
        <w:rPr>
          <w:spacing w:val="-2"/>
          <w:sz w:val="21"/>
        </w:rPr>
        <w:t>价</w:t>
      </w:r>
      <w:r>
        <w:rPr>
          <w:spacing w:val="-2"/>
          <w:sz w:val="21"/>
        </w:rPr>
        <w:t>值</w:t>
      </w:r>
      <w:r>
        <w:rPr>
          <w:spacing w:val="-2"/>
          <w:sz w:val="21"/>
        </w:rPr>
        <w:t>或</w:t>
      </w:r>
      <w:r>
        <w:rPr>
          <w:spacing w:val="-2"/>
          <w:sz w:val="21"/>
        </w:rPr>
        <w:t>保</w:t>
      </w:r>
      <w:r>
        <w:rPr>
          <w:spacing w:val="-2"/>
          <w:sz w:val="21"/>
        </w:rPr>
        <w:t>险</w:t>
      </w:r>
      <w:r>
        <w:rPr>
          <w:spacing w:val="-2"/>
          <w:sz w:val="21"/>
        </w:rPr>
        <w:t>费</w:t>
      </w:r>
      <w:r>
        <w:rPr>
          <w:spacing w:val="-2"/>
          <w:sz w:val="21"/>
        </w:rPr>
        <w:t>等</w:t>
      </w:r>
      <w:r>
        <w:rPr>
          <w:spacing w:val="-2"/>
          <w:sz w:val="21"/>
        </w:rPr>
        <w:t>款</w:t>
      </w:r>
      <w:r>
        <w:rPr>
          <w:spacing w:val="-2"/>
          <w:sz w:val="21"/>
        </w:rPr>
        <w:t>项</w:t>
      </w:r>
      <w:r>
        <w:rPr>
          <w:spacing w:val="-2"/>
          <w:sz w:val="21"/>
        </w:rPr>
        <w:t>时，</w:t>
      </w:r>
      <w:r>
        <w:rPr>
          <w:spacing w:val="-2"/>
          <w:sz w:val="21"/>
        </w:rPr>
        <w:t>若</w:t>
      </w:r>
      <w:r>
        <w:rPr>
          <w:spacing w:val="-2"/>
          <w:sz w:val="21"/>
        </w:rPr>
        <w:t>投</w:t>
      </w:r>
      <w:r>
        <w:rPr>
          <w:spacing w:val="-2"/>
          <w:sz w:val="21"/>
        </w:rPr>
        <w:t>保</w:t>
      </w:r>
      <w:r>
        <w:rPr>
          <w:spacing w:val="-2"/>
          <w:sz w:val="21"/>
        </w:rPr>
        <w:t>人</w:t>
      </w:r>
      <w:r>
        <w:rPr>
          <w:spacing w:val="-2"/>
          <w:sz w:val="21"/>
        </w:rPr>
        <w:t>有</w:t>
      </w:r>
      <w:r>
        <w:rPr>
          <w:spacing w:val="-2"/>
          <w:sz w:val="21"/>
        </w:rPr>
        <w:t>欠</w:t>
      </w:r>
      <w:r>
        <w:rPr>
          <w:spacing w:val="-2"/>
          <w:sz w:val="21"/>
        </w:rPr>
        <w:t>交</w:t>
      </w:r>
      <w:r>
        <w:rPr>
          <w:spacing w:val="-2"/>
          <w:sz w:val="21"/>
        </w:rPr>
        <w:t>或</w:t>
      </w:r>
      <w:r>
        <w:rPr>
          <w:spacing w:val="-2"/>
          <w:sz w:val="21"/>
        </w:rPr>
        <w:t>未</w:t>
      </w:r>
      <w:r>
        <w:rPr>
          <w:spacing w:val="-2"/>
          <w:sz w:val="21"/>
        </w:rPr>
        <w:t>还清款项，本公司会</w:t>
      </w:r>
      <w:r>
        <w:rPr>
          <w:spacing w:val="-2"/>
          <w:sz w:val="21"/>
        </w:rPr>
        <w:t>在</w:t>
      </w:r>
      <w:r>
        <w:rPr>
          <w:spacing w:val="-2"/>
          <w:sz w:val="21"/>
        </w:rPr>
        <w:t>扣</w:t>
      </w:r>
      <w:r>
        <w:rPr>
          <w:spacing w:val="-2"/>
          <w:sz w:val="21"/>
        </w:rPr>
        <w:t>除相应款项后给</w:t>
      </w:r>
      <w:r>
        <w:rPr>
          <w:spacing w:val="-2"/>
          <w:sz w:val="21"/>
        </w:rPr>
        <w:t>付</w:t>
      </w:r>
      <w:r>
        <w:rPr>
          <w:spacing w:val="-2"/>
          <w:sz w:val="21"/>
        </w:rPr>
        <w:t>。</w:t>
      </w:r>
    </w:p>
    <w:p>
      <w:pPr>
        <w:pStyle w:val="ListParagraph"/>
        <w:numPr>
          <w:ilvl w:val="1"/>
          <w:numId w:val="9"/>
        </w:numPr>
        <w:tabs>
          <w:tab w:pos="1369" w:val="left" w:leader="none"/>
          <w:tab w:pos="1370" w:val="left" w:leader="none"/>
          <w:tab w:pos="3072" w:val="left" w:leader="none"/>
        </w:tabs>
        <w:spacing w:line="266" w:lineRule="auto" w:before="148" w:after="0"/>
        <w:ind w:left="3072" w:right="106" w:hanging="2805"/>
        <w:jc w:val="left"/>
        <w:rPr>
          <w:sz w:val="21"/>
        </w:rPr>
      </w:pPr>
      <w:r>
        <w:rPr>
          <w:b/>
          <w:spacing w:val="-2"/>
          <w:position w:val="1"/>
          <w:sz w:val="21"/>
        </w:rPr>
        <w:t>合</w:t>
      </w:r>
      <w:r>
        <w:rPr>
          <w:b/>
          <w:spacing w:val="-2"/>
          <w:position w:val="1"/>
          <w:sz w:val="21"/>
        </w:rPr>
        <w:t>同</w:t>
      </w:r>
      <w:r>
        <w:rPr>
          <w:b/>
          <w:spacing w:val="-2"/>
          <w:position w:val="1"/>
          <w:sz w:val="21"/>
        </w:rPr>
        <w:t>内</w:t>
      </w:r>
      <w:r>
        <w:rPr>
          <w:b/>
          <w:spacing w:val="-2"/>
          <w:position w:val="1"/>
          <w:sz w:val="21"/>
        </w:rPr>
        <w:t>容</w:t>
      </w:r>
      <w:r>
        <w:rPr>
          <w:b/>
          <w:spacing w:val="-2"/>
          <w:position w:val="1"/>
          <w:sz w:val="21"/>
        </w:rPr>
        <w:t>变</w:t>
      </w:r>
      <w:r>
        <w:rPr>
          <w:b/>
          <w:spacing w:val="-2"/>
          <w:position w:val="1"/>
          <w:sz w:val="21"/>
        </w:rPr>
        <w:t>更</w:t>
      </w:r>
      <w:r>
        <w:rPr>
          <w:b/>
          <w:position w:val="1"/>
          <w:sz w:val="21"/>
        </w:rPr>
        <w:tab/>
      </w:r>
      <w:r>
        <w:rPr>
          <w:spacing w:val="-4"/>
          <w:sz w:val="21"/>
        </w:rPr>
        <w:t>在</w:t>
      </w:r>
      <w:r>
        <w:rPr>
          <w:spacing w:val="-4"/>
          <w:sz w:val="21"/>
        </w:rPr>
        <w:t>本</w:t>
      </w:r>
      <w:r>
        <w:rPr>
          <w:spacing w:val="-4"/>
          <w:sz w:val="21"/>
        </w:rPr>
        <w:t>合同有效期内，经投</w:t>
      </w:r>
      <w:r>
        <w:rPr>
          <w:spacing w:val="-4"/>
          <w:sz w:val="21"/>
        </w:rPr>
        <w:t>保</w:t>
      </w:r>
      <w:r>
        <w:rPr>
          <w:spacing w:val="-4"/>
          <w:sz w:val="21"/>
        </w:rPr>
        <w:t>人</w:t>
      </w:r>
      <w:r>
        <w:rPr>
          <w:spacing w:val="-4"/>
          <w:sz w:val="21"/>
        </w:rPr>
        <w:t>与本公司协商一致，</w:t>
      </w:r>
      <w:r>
        <w:rPr>
          <w:spacing w:val="-4"/>
          <w:sz w:val="21"/>
        </w:rPr>
        <w:t>可</w:t>
      </w:r>
      <w:r>
        <w:rPr>
          <w:spacing w:val="-4"/>
          <w:sz w:val="21"/>
        </w:rPr>
        <w:t>以</w:t>
      </w:r>
      <w:r>
        <w:rPr>
          <w:spacing w:val="-4"/>
          <w:sz w:val="21"/>
        </w:rPr>
        <w:t>变更本合同的有关内</w:t>
      </w:r>
      <w:r>
        <w:rPr>
          <w:spacing w:val="-4"/>
          <w:sz w:val="21"/>
        </w:rPr>
        <w:t>容</w:t>
      </w:r>
      <w:r>
        <w:rPr>
          <w:spacing w:val="-4"/>
          <w:sz w:val="21"/>
        </w:rPr>
        <w:t>，</w:t>
      </w:r>
      <w:r>
        <w:rPr>
          <w:spacing w:val="-2"/>
          <w:sz w:val="21"/>
        </w:rPr>
        <w:t>并</w:t>
      </w:r>
      <w:r>
        <w:rPr>
          <w:spacing w:val="-2"/>
          <w:sz w:val="21"/>
        </w:rPr>
        <w:t>由</w:t>
      </w:r>
      <w:r>
        <w:rPr>
          <w:spacing w:val="-2"/>
          <w:sz w:val="21"/>
        </w:rPr>
        <w:t>本</w:t>
      </w:r>
      <w:r>
        <w:rPr>
          <w:spacing w:val="-2"/>
          <w:sz w:val="21"/>
        </w:rPr>
        <w:t>公</w:t>
      </w:r>
      <w:r>
        <w:rPr>
          <w:spacing w:val="-2"/>
          <w:sz w:val="21"/>
        </w:rPr>
        <w:t>司</w:t>
      </w:r>
      <w:r>
        <w:rPr>
          <w:spacing w:val="-2"/>
          <w:sz w:val="21"/>
        </w:rPr>
        <w:t>在</w:t>
      </w:r>
      <w:r>
        <w:rPr>
          <w:spacing w:val="-2"/>
          <w:sz w:val="21"/>
        </w:rPr>
        <w:t>保</w:t>
      </w:r>
      <w:r>
        <w:rPr>
          <w:spacing w:val="-2"/>
          <w:sz w:val="21"/>
        </w:rPr>
        <w:t>险</w:t>
      </w:r>
      <w:r>
        <w:rPr>
          <w:spacing w:val="-2"/>
          <w:sz w:val="21"/>
        </w:rPr>
        <w:t>单</w:t>
      </w:r>
      <w:r>
        <w:rPr>
          <w:spacing w:val="-2"/>
          <w:sz w:val="21"/>
        </w:rPr>
        <w:t>或</w:t>
      </w:r>
      <w:r>
        <w:rPr>
          <w:spacing w:val="-2"/>
          <w:sz w:val="21"/>
        </w:rPr>
        <w:t>其</w:t>
      </w:r>
      <w:r>
        <w:rPr>
          <w:spacing w:val="-2"/>
          <w:sz w:val="21"/>
        </w:rPr>
        <w:t>他</w:t>
      </w:r>
      <w:r>
        <w:rPr>
          <w:spacing w:val="-2"/>
          <w:sz w:val="21"/>
        </w:rPr>
        <w:t>保</w:t>
      </w:r>
      <w:r>
        <w:rPr>
          <w:spacing w:val="-2"/>
          <w:sz w:val="21"/>
        </w:rPr>
        <w:t>险</w:t>
      </w:r>
      <w:r>
        <w:rPr>
          <w:spacing w:val="-2"/>
          <w:sz w:val="21"/>
        </w:rPr>
        <w:t>凭</w:t>
      </w:r>
      <w:r>
        <w:rPr>
          <w:spacing w:val="-2"/>
          <w:sz w:val="21"/>
        </w:rPr>
        <w:t>证</w:t>
      </w:r>
      <w:r>
        <w:rPr>
          <w:spacing w:val="-2"/>
          <w:sz w:val="21"/>
        </w:rPr>
        <w:t>上</w:t>
      </w:r>
      <w:r>
        <w:rPr>
          <w:spacing w:val="-2"/>
          <w:sz w:val="21"/>
        </w:rPr>
        <w:t>批</w:t>
      </w:r>
      <w:r>
        <w:rPr>
          <w:spacing w:val="-2"/>
          <w:sz w:val="21"/>
        </w:rPr>
        <w:t>注</w:t>
      </w:r>
      <w:r>
        <w:rPr>
          <w:spacing w:val="-2"/>
          <w:sz w:val="21"/>
        </w:rPr>
        <w:t>或</w:t>
      </w:r>
      <w:r>
        <w:rPr>
          <w:spacing w:val="-2"/>
          <w:sz w:val="21"/>
        </w:rPr>
        <w:t>附</w:t>
      </w:r>
      <w:r>
        <w:rPr>
          <w:spacing w:val="-2"/>
          <w:sz w:val="21"/>
        </w:rPr>
        <w:t>贴</w:t>
      </w:r>
      <w:r>
        <w:rPr>
          <w:spacing w:val="-2"/>
          <w:sz w:val="21"/>
        </w:rPr>
        <w:t>批</w:t>
      </w:r>
      <w:r>
        <w:rPr>
          <w:spacing w:val="-2"/>
          <w:sz w:val="21"/>
        </w:rPr>
        <w:t>单</w:t>
      </w:r>
      <w:r>
        <w:rPr>
          <w:spacing w:val="-2"/>
          <w:sz w:val="21"/>
        </w:rPr>
        <w:t>，或</w:t>
      </w:r>
      <w:r>
        <w:rPr>
          <w:spacing w:val="-2"/>
          <w:sz w:val="21"/>
        </w:rPr>
        <w:t>由</w:t>
      </w:r>
      <w:r>
        <w:rPr>
          <w:spacing w:val="-2"/>
          <w:sz w:val="21"/>
        </w:rPr>
        <w:t>投</w:t>
      </w:r>
      <w:r>
        <w:rPr>
          <w:spacing w:val="-2"/>
          <w:sz w:val="21"/>
        </w:rPr>
        <w:t>保</w:t>
      </w:r>
      <w:r>
        <w:rPr>
          <w:spacing w:val="-2"/>
          <w:sz w:val="21"/>
        </w:rPr>
        <w:t>人</w:t>
      </w:r>
      <w:r>
        <w:rPr>
          <w:spacing w:val="-2"/>
          <w:sz w:val="21"/>
        </w:rPr>
        <w:t>与</w:t>
      </w:r>
      <w:r>
        <w:rPr>
          <w:spacing w:val="-2"/>
          <w:sz w:val="21"/>
        </w:rPr>
        <w:t>本</w:t>
      </w:r>
      <w:r>
        <w:rPr>
          <w:spacing w:val="-2"/>
          <w:sz w:val="21"/>
        </w:rPr>
        <w:t>公司</w:t>
      </w:r>
      <w:r>
        <w:rPr>
          <w:spacing w:val="-2"/>
          <w:sz w:val="21"/>
        </w:rPr>
        <w:t>订</w:t>
      </w:r>
      <w:r>
        <w:rPr>
          <w:spacing w:val="-2"/>
          <w:sz w:val="21"/>
        </w:rPr>
        <w:t>立</w:t>
      </w:r>
      <w:r>
        <w:rPr>
          <w:spacing w:val="-2"/>
          <w:sz w:val="21"/>
        </w:rPr>
        <w:t>书面的变更协议。</w:t>
      </w:r>
    </w:p>
    <w:p>
      <w:pPr>
        <w:pStyle w:val="ListParagraph"/>
        <w:numPr>
          <w:ilvl w:val="1"/>
          <w:numId w:val="9"/>
        </w:numPr>
        <w:tabs>
          <w:tab w:pos="1369" w:val="left" w:leader="none"/>
          <w:tab w:pos="1370" w:val="left" w:leader="none"/>
          <w:tab w:pos="3072" w:val="left" w:leader="none"/>
        </w:tabs>
        <w:spacing w:line="266" w:lineRule="auto" w:before="151" w:after="0"/>
        <w:ind w:left="3072" w:right="106" w:hanging="2805"/>
        <w:jc w:val="left"/>
        <w:rPr>
          <w:sz w:val="21"/>
        </w:rPr>
      </w:pPr>
      <w:r>
        <w:rPr>
          <w:b/>
          <w:spacing w:val="-2"/>
          <w:position w:val="1"/>
          <w:sz w:val="21"/>
        </w:rPr>
        <w:t>联</w:t>
      </w:r>
      <w:r>
        <w:rPr>
          <w:b/>
          <w:spacing w:val="-2"/>
          <w:position w:val="1"/>
          <w:sz w:val="21"/>
        </w:rPr>
        <w:t>系</w:t>
      </w:r>
      <w:r>
        <w:rPr>
          <w:b/>
          <w:spacing w:val="-2"/>
          <w:position w:val="1"/>
          <w:sz w:val="21"/>
        </w:rPr>
        <w:t>方</w:t>
      </w:r>
      <w:r>
        <w:rPr>
          <w:b/>
          <w:spacing w:val="-2"/>
          <w:position w:val="1"/>
          <w:sz w:val="21"/>
        </w:rPr>
        <w:t>式</w:t>
      </w:r>
      <w:r>
        <w:rPr>
          <w:b/>
          <w:spacing w:val="-2"/>
          <w:position w:val="1"/>
          <w:sz w:val="21"/>
        </w:rPr>
        <w:t>变</w:t>
      </w:r>
      <w:r>
        <w:rPr>
          <w:b/>
          <w:spacing w:val="-2"/>
          <w:position w:val="1"/>
          <w:sz w:val="21"/>
        </w:rPr>
        <w:t>更</w:t>
      </w:r>
      <w:r>
        <w:rPr>
          <w:b/>
          <w:position w:val="1"/>
          <w:sz w:val="21"/>
        </w:rPr>
        <w:tab/>
      </w:r>
      <w:r>
        <w:rPr>
          <w:spacing w:val="-4"/>
          <w:sz w:val="21"/>
        </w:rPr>
        <w:t>为</w:t>
      </w:r>
      <w:r>
        <w:rPr>
          <w:spacing w:val="-4"/>
          <w:sz w:val="21"/>
        </w:rPr>
        <w:t>保</w:t>
      </w:r>
      <w:r>
        <w:rPr>
          <w:spacing w:val="-4"/>
          <w:sz w:val="21"/>
        </w:rPr>
        <w:t>障投保人的合法权益，投保人的</w:t>
      </w:r>
      <w:r>
        <w:rPr>
          <w:spacing w:val="-4"/>
          <w:sz w:val="21"/>
        </w:rPr>
        <w:t>住</w:t>
      </w:r>
      <w:r>
        <w:rPr>
          <w:spacing w:val="-4"/>
          <w:sz w:val="21"/>
        </w:rPr>
        <w:t>所</w:t>
      </w:r>
      <w:r>
        <w:rPr>
          <w:spacing w:val="-4"/>
          <w:sz w:val="21"/>
        </w:rPr>
        <w:t>、通讯地址</w:t>
      </w:r>
      <w:r>
        <w:rPr>
          <w:spacing w:val="-4"/>
          <w:sz w:val="21"/>
        </w:rPr>
        <w:t>或</w:t>
      </w:r>
      <w:r>
        <w:rPr>
          <w:spacing w:val="-4"/>
          <w:sz w:val="21"/>
        </w:rPr>
        <w:t>电</w:t>
      </w:r>
      <w:r>
        <w:rPr>
          <w:spacing w:val="-4"/>
          <w:sz w:val="21"/>
        </w:rPr>
        <w:t>话等联系方式变更时，</w:t>
      </w:r>
      <w:r>
        <w:rPr>
          <w:spacing w:val="-2"/>
          <w:sz w:val="21"/>
        </w:rPr>
        <w:t>请</w:t>
      </w:r>
      <w:r>
        <w:rPr>
          <w:spacing w:val="-2"/>
          <w:sz w:val="21"/>
        </w:rPr>
        <w:t>及</w:t>
      </w:r>
      <w:r>
        <w:rPr>
          <w:spacing w:val="-2"/>
          <w:sz w:val="21"/>
        </w:rPr>
        <w:t>时</w:t>
      </w:r>
      <w:r>
        <w:rPr>
          <w:spacing w:val="-2"/>
          <w:sz w:val="21"/>
        </w:rPr>
        <w:t>以</w:t>
      </w:r>
      <w:r>
        <w:rPr>
          <w:spacing w:val="-2"/>
          <w:sz w:val="21"/>
        </w:rPr>
        <w:t>书</w:t>
      </w:r>
      <w:r>
        <w:rPr>
          <w:spacing w:val="-2"/>
          <w:sz w:val="21"/>
        </w:rPr>
        <w:t>面</w:t>
      </w:r>
      <w:r>
        <w:rPr>
          <w:spacing w:val="-2"/>
          <w:sz w:val="21"/>
        </w:rPr>
        <w:t>形</w:t>
      </w:r>
      <w:r>
        <w:rPr>
          <w:spacing w:val="-2"/>
          <w:sz w:val="21"/>
        </w:rPr>
        <w:t>式</w:t>
      </w:r>
      <w:r>
        <w:rPr>
          <w:spacing w:val="-2"/>
          <w:sz w:val="21"/>
        </w:rPr>
        <w:t>或</w:t>
      </w:r>
      <w:r>
        <w:rPr>
          <w:spacing w:val="-2"/>
          <w:sz w:val="21"/>
        </w:rPr>
        <w:t>投</w:t>
      </w:r>
      <w:r>
        <w:rPr>
          <w:spacing w:val="-2"/>
          <w:sz w:val="21"/>
        </w:rPr>
        <w:t>保</w:t>
      </w:r>
      <w:r>
        <w:rPr>
          <w:spacing w:val="-2"/>
          <w:sz w:val="21"/>
        </w:rPr>
        <w:t>人</w:t>
      </w:r>
      <w:r>
        <w:rPr>
          <w:spacing w:val="-2"/>
          <w:sz w:val="21"/>
        </w:rPr>
        <w:t>与</w:t>
      </w:r>
      <w:r>
        <w:rPr>
          <w:spacing w:val="-2"/>
          <w:sz w:val="21"/>
        </w:rPr>
        <w:t>本</w:t>
      </w:r>
      <w:r>
        <w:rPr>
          <w:spacing w:val="-2"/>
          <w:sz w:val="21"/>
        </w:rPr>
        <w:t>公</w:t>
      </w:r>
      <w:r>
        <w:rPr>
          <w:spacing w:val="-2"/>
          <w:sz w:val="21"/>
        </w:rPr>
        <w:t>司</w:t>
      </w:r>
      <w:r>
        <w:rPr>
          <w:spacing w:val="-2"/>
          <w:sz w:val="21"/>
        </w:rPr>
        <w:t>约</w:t>
      </w:r>
      <w:r>
        <w:rPr>
          <w:spacing w:val="-2"/>
          <w:sz w:val="21"/>
        </w:rPr>
        <w:t>定</w:t>
      </w:r>
      <w:r>
        <w:rPr>
          <w:spacing w:val="-2"/>
          <w:sz w:val="21"/>
        </w:rPr>
        <w:t>的</w:t>
      </w:r>
      <w:r>
        <w:rPr>
          <w:spacing w:val="-2"/>
          <w:sz w:val="21"/>
        </w:rPr>
        <w:t>其</w:t>
      </w:r>
      <w:r>
        <w:rPr>
          <w:spacing w:val="-2"/>
          <w:sz w:val="21"/>
        </w:rPr>
        <w:t>他</w:t>
      </w:r>
      <w:r>
        <w:rPr>
          <w:spacing w:val="-2"/>
          <w:sz w:val="21"/>
        </w:rPr>
        <w:t>形</w:t>
      </w:r>
      <w:r>
        <w:rPr>
          <w:spacing w:val="-2"/>
          <w:sz w:val="21"/>
        </w:rPr>
        <w:t>式</w:t>
      </w:r>
      <w:r>
        <w:rPr>
          <w:spacing w:val="-2"/>
          <w:sz w:val="21"/>
        </w:rPr>
        <w:t>通</w:t>
      </w:r>
      <w:r>
        <w:rPr>
          <w:spacing w:val="-2"/>
          <w:sz w:val="21"/>
        </w:rPr>
        <w:t>知</w:t>
      </w:r>
      <w:r>
        <w:rPr>
          <w:spacing w:val="-2"/>
          <w:sz w:val="21"/>
        </w:rPr>
        <w:t>本</w:t>
      </w:r>
      <w:r>
        <w:rPr>
          <w:spacing w:val="-2"/>
          <w:sz w:val="21"/>
        </w:rPr>
        <w:t>公</w:t>
      </w:r>
      <w:r>
        <w:rPr>
          <w:spacing w:val="-2"/>
          <w:sz w:val="21"/>
        </w:rPr>
        <w:t>司</w:t>
      </w:r>
      <w:r>
        <w:rPr>
          <w:spacing w:val="-2"/>
          <w:sz w:val="21"/>
        </w:rPr>
        <w:t>。</w:t>
      </w:r>
      <w:r>
        <w:rPr>
          <w:spacing w:val="-2"/>
          <w:sz w:val="21"/>
        </w:rPr>
        <w:t>若</w:t>
      </w:r>
      <w:r>
        <w:rPr>
          <w:spacing w:val="-2"/>
          <w:sz w:val="21"/>
        </w:rPr>
        <w:t>投</w:t>
      </w:r>
      <w:r>
        <w:rPr>
          <w:spacing w:val="-2"/>
          <w:sz w:val="21"/>
        </w:rPr>
        <w:t>保</w:t>
      </w:r>
      <w:r>
        <w:rPr>
          <w:spacing w:val="-2"/>
          <w:sz w:val="21"/>
        </w:rPr>
        <w:t>人未</w:t>
      </w:r>
      <w:r>
        <w:rPr>
          <w:spacing w:val="-2"/>
          <w:sz w:val="21"/>
        </w:rPr>
        <w:t>通</w:t>
      </w:r>
      <w:r>
        <w:rPr>
          <w:spacing w:val="-2"/>
          <w:sz w:val="21"/>
        </w:rPr>
        <w:t>知</w:t>
      </w:r>
      <w:r>
        <w:rPr>
          <w:spacing w:val="-2"/>
          <w:sz w:val="21"/>
        </w:rPr>
        <w:t>本</w:t>
      </w:r>
      <w:r>
        <w:rPr>
          <w:spacing w:val="-2"/>
          <w:sz w:val="21"/>
        </w:rPr>
        <w:t>公</w:t>
      </w:r>
      <w:r>
        <w:rPr>
          <w:spacing w:val="-2"/>
          <w:sz w:val="21"/>
        </w:rPr>
        <w:t>司</w:t>
      </w:r>
      <w:r>
        <w:rPr>
          <w:spacing w:val="-2"/>
          <w:sz w:val="21"/>
        </w:rPr>
        <w:t>，</w:t>
      </w:r>
      <w:r>
        <w:rPr>
          <w:spacing w:val="-2"/>
          <w:sz w:val="21"/>
        </w:rPr>
        <w:t>本</w:t>
      </w:r>
      <w:r>
        <w:rPr>
          <w:spacing w:val="-2"/>
          <w:sz w:val="21"/>
        </w:rPr>
        <w:t>公</w:t>
      </w:r>
      <w:r>
        <w:rPr>
          <w:spacing w:val="-2"/>
          <w:sz w:val="21"/>
        </w:rPr>
        <w:t>司</w:t>
      </w:r>
      <w:r>
        <w:rPr>
          <w:spacing w:val="-2"/>
          <w:sz w:val="21"/>
        </w:rPr>
        <w:t>按</w:t>
      </w:r>
      <w:r>
        <w:rPr>
          <w:spacing w:val="-2"/>
          <w:sz w:val="21"/>
        </w:rPr>
        <w:t>本</w:t>
      </w:r>
      <w:r>
        <w:rPr>
          <w:spacing w:val="-2"/>
          <w:sz w:val="21"/>
        </w:rPr>
        <w:t>合</w:t>
      </w:r>
      <w:r>
        <w:rPr>
          <w:spacing w:val="-2"/>
          <w:sz w:val="21"/>
        </w:rPr>
        <w:t>同</w:t>
      </w:r>
      <w:r>
        <w:rPr>
          <w:spacing w:val="-2"/>
          <w:sz w:val="21"/>
        </w:rPr>
        <w:t>载</w:t>
      </w:r>
      <w:r>
        <w:rPr>
          <w:spacing w:val="-2"/>
          <w:sz w:val="21"/>
        </w:rPr>
        <w:t>明</w:t>
      </w:r>
      <w:r>
        <w:rPr>
          <w:spacing w:val="-2"/>
          <w:sz w:val="21"/>
        </w:rPr>
        <w:t>的</w:t>
      </w:r>
      <w:r>
        <w:rPr>
          <w:spacing w:val="-2"/>
          <w:sz w:val="21"/>
        </w:rPr>
        <w:t>最</w:t>
      </w:r>
      <w:r>
        <w:rPr>
          <w:spacing w:val="-2"/>
          <w:sz w:val="21"/>
        </w:rPr>
        <w:t>后</w:t>
      </w:r>
      <w:r>
        <w:rPr>
          <w:spacing w:val="-2"/>
          <w:sz w:val="21"/>
        </w:rPr>
        <w:t>住</w:t>
      </w:r>
      <w:r>
        <w:rPr>
          <w:spacing w:val="-2"/>
          <w:sz w:val="21"/>
        </w:rPr>
        <w:t>所</w:t>
      </w:r>
      <w:r>
        <w:rPr>
          <w:spacing w:val="-2"/>
          <w:sz w:val="21"/>
        </w:rPr>
        <w:t>或</w:t>
      </w:r>
      <w:r>
        <w:rPr>
          <w:spacing w:val="-2"/>
          <w:sz w:val="21"/>
        </w:rPr>
        <w:t>通</w:t>
      </w:r>
      <w:r>
        <w:rPr>
          <w:spacing w:val="-2"/>
          <w:sz w:val="21"/>
        </w:rPr>
        <w:t>讯</w:t>
      </w:r>
      <w:r>
        <w:rPr>
          <w:spacing w:val="-2"/>
          <w:sz w:val="21"/>
        </w:rPr>
        <w:t>地</w:t>
      </w:r>
      <w:r>
        <w:rPr>
          <w:spacing w:val="-2"/>
          <w:sz w:val="21"/>
        </w:rPr>
        <w:t>址</w:t>
      </w:r>
      <w:r>
        <w:rPr>
          <w:spacing w:val="-2"/>
          <w:sz w:val="21"/>
        </w:rPr>
        <w:t>所</w:t>
      </w:r>
      <w:r>
        <w:rPr>
          <w:spacing w:val="-2"/>
          <w:sz w:val="21"/>
        </w:rPr>
        <w:t>发</w:t>
      </w:r>
      <w:r>
        <w:rPr>
          <w:spacing w:val="-2"/>
          <w:sz w:val="21"/>
        </w:rPr>
        <w:t>送</w:t>
      </w:r>
      <w:r>
        <w:rPr>
          <w:spacing w:val="-2"/>
          <w:sz w:val="21"/>
        </w:rPr>
        <w:t>的</w:t>
      </w:r>
      <w:r>
        <w:rPr>
          <w:spacing w:val="-2"/>
          <w:sz w:val="21"/>
        </w:rPr>
        <w:t>有</w:t>
      </w:r>
      <w:r>
        <w:rPr>
          <w:spacing w:val="-2"/>
          <w:sz w:val="21"/>
        </w:rPr>
        <w:t>关</w:t>
      </w:r>
      <w:r>
        <w:rPr>
          <w:spacing w:val="-2"/>
          <w:sz w:val="21"/>
        </w:rPr>
        <w:t>通</w:t>
      </w:r>
      <w:r>
        <w:rPr>
          <w:spacing w:val="-2"/>
          <w:sz w:val="21"/>
        </w:rPr>
        <w:t>知，</w:t>
      </w:r>
      <w:r>
        <w:rPr>
          <w:spacing w:val="-2"/>
          <w:sz w:val="21"/>
        </w:rPr>
        <w:t>均</w:t>
      </w:r>
      <w:r>
        <w:rPr>
          <w:spacing w:val="-2"/>
          <w:sz w:val="21"/>
        </w:rPr>
        <w:t>视</w:t>
      </w:r>
      <w:r>
        <w:rPr>
          <w:spacing w:val="-2"/>
          <w:sz w:val="21"/>
        </w:rPr>
        <w:t>为已送</w:t>
      </w:r>
      <w:r>
        <w:rPr>
          <w:spacing w:val="-2"/>
          <w:sz w:val="21"/>
        </w:rPr>
        <w:t>达</w:t>
      </w:r>
      <w:r>
        <w:rPr>
          <w:spacing w:val="-2"/>
          <w:sz w:val="21"/>
        </w:rPr>
        <w:t>。</w:t>
      </w:r>
    </w:p>
    <w:p>
      <w:pPr>
        <w:pStyle w:val="ListParagraph"/>
        <w:numPr>
          <w:ilvl w:val="1"/>
          <w:numId w:val="9"/>
        </w:numPr>
        <w:tabs>
          <w:tab w:pos="1369" w:val="left" w:leader="none"/>
          <w:tab w:pos="1370" w:val="left" w:leader="none"/>
          <w:tab w:pos="3072" w:val="left" w:leader="none"/>
        </w:tabs>
        <w:spacing w:line="266" w:lineRule="auto" w:before="151" w:after="0"/>
        <w:ind w:left="3072" w:right="214" w:hanging="2805"/>
        <w:jc w:val="left"/>
        <w:rPr>
          <w:sz w:val="21"/>
        </w:rPr>
      </w:pPr>
      <w:r>
        <w:rPr>
          <w:b/>
          <w:spacing w:val="-4"/>
          <w:position w:val="1"/>
          <w:sz w:val="21"/>
        </w:rPr>
        <w:t>争</w:t>
      </w:r>
      <w:r>
        <w:rPr>
          <w:b/>
          <w:spacing w:val="-4"/>
          <w:position w:val="1"/>
          <w:sz w:val="21"/>
        </w:rPr>
        <w:t>议</w:t>
      </w:r>
      <w:r>
        <w:rPr>
          <w:b/>
          <w:spacing w:val="-4"/>
          <w:position w:val="1"/>
          <w:sz w:val="21"/>
        </w:rPr>
        <w:t>处</w:t>
      </w:r>
      <w:r>
        <w:rPr>
          <w:b/>
          <w:spacing w:val="-4"/>
          <w:position w:val="1"/>
          <w:sz w:val="21"/>
        </w:rPr>
        <w:t>理</w:t>
      </w:r>
      <w:r>
        <w:rPr>
          <w:b/>
          <w:position w:val="1"/>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时</w:t>
      </w:r>
      <w:r>
        <w:rPr>
          <w:spacing w:val="-2"/>
          <w:sz w:val="21"/>
        </w:rPr>
        <w:t>，</w:t>
      </w:r>
      <w:r>
        <w:rPr>
          <w:spacing w:val="-2"/>
          <w:sz w:val="21"/>
        </w:rPr>
        <w:t>可</w:t>
      </w:r>
      <w:r>
        <w:rPr>
          <w:spacing w:val="-2"/>
          <w:sz w:val="21"/>
        </w:rPr>
        <w:t>以</w:t>
      </w:r>
      <w:r>
        <w:rPr>
          <w:spacing w:val="-2"/>
          <w:sz w:val="21"/>
        </w:rPr>
        <w:t>从</w:t>
      </w:r>
      <w:r>
        <w:rPr>
          <w:spacing w:val="-2"/>
          <w:sz w:val="21"/>
        </w:rPr>
        <w:t>下</w:t>
      </w:r>
      <w:r>
        <w:rPr>
          <w:spacing w:val="-2"/>
          <w:sz w:val="21"/>
        </w:rPr>
        <w:t>列</w:t>
      </w:r>
      <w:r>
        <w:rPr>
          <w:spacing w:val="-2"/>
          <w:sz w:val="21"/>
        </w:rPr>
        <w:t>两</w:t>
      </w:r>
      <w:r>
        <w:rPr>
          <w:spacing w:val="-2"/>
          <w:sz w:val="21"/>
        </w:rPr>
        <w:t>种</w:t>
      </w:r>
      <w:r>
        <w:rPr>
          <w:spacing w:val="-2"/>
          <w:sz w:val="21"/>
        </w:rPr>
        <w:t>方</w:t>
      </w:r>
      <w:r>
        <w:rPr>
          <w:spacing w:val="-2"/>
          <w:sz w:val="21"/>
        </w:rPr>
        <w:t>式</w:t>
      </w:r>
      <w:r>
        <w:rPr>
          <w:spacing w:val="-2"/>
          <w:sz w:val="21"/>
        </w:rPr>
        <w:t>中</w:t>
      </w:r>
      <w:r>
        <w:rPr>
          <w:spacing w:val="-2"/>
          <w:sz w:val="21"/>
        </w:rPr>
        <w:t>选</w:t>
      </w:r>
      <w:r>
        <w:rPr>
          <w:spacing w:val="-2"/>
          <w:sz w:val="21"/>
        </w:rPr>
        <w:t>择</w:t>
      </w:r>
      <w:r>
        <w:rPr>
          <w:spacing w:val="-2"/>
          <w:sz w:val="21"/>
        </w:rPr>
        <w:t>一</w:t>
      </w:r>
      <w:r>
        <w:rPr>
          <w:spacing w:val="-2"/>
          <w:sz w:val="21"/>
        </w:rPr>
        <w:t>种</w:t>
      </w:r>
      <w:r>
        <w:rPr>
          <w:spacing w:val="-2"/>
          <w:sz w:val="21"/>
        </w:rPr>
        <w:t>争</w:t>
      </w:r>
      <w:r>
        <w:rPr>
          <w:spacing w:val="-2"/>
          <w:sz w:val="21"/>
        </w:rPr>
        <w:t>议</w:t>
      </w:r>
      <w:r>
        <w:rPr>
          <w:spacing w:val="-2"/>
          <w:sz w:val="21"/>
        </w:rPr>
        <w:t>处</w:t>
      </w:r>
      <w:r>
        <w:rPr>
          <w:spacing w:val="-4"/>
          <w:sz w:val="21"/>
        </w:rPr>
        <w:t>理</w:t>
      </w:r>
      <w:r>
        <w:rPr>
          <w:spacing w:val="-4"/>
          <w:sz w:val="21"/>
        </w:rPr>
        <w:t>方</w:t>
      </w:r>
      <w:r>
        <w:rPr>
          <w:spacing w:val="-4"/>
          <w:sz w:val="21"/>
        </w:rPr>
        <w:t>式：</w:t>
      </w:r>
    </w:p>
    <w:p>
      <w:pPr>
        <w:pStyle w:val="ListParagraph"/>
        <w:numPr>
          <w:ilvl w:val="0"/>
          <w:numId w:val="10"/>
        </w:numPr>
        <w:tabs>
          <w:tab w:pos="3793" w:val="left" w:leader="none"/>
        </w:tabs>
        <w:spacing w:line="266" w:lineRule="auto" w:before="159" w:after="0"/>
        <w:ind w:left="3792" w:right="212" w:hanging="720"/>
        <w:jc w:val="left"/>
        <w:rPr>
          <w:sz w:val="21"/>
        </w:rPr>
      </w:pPr>
      <w:r>
        <w:rPr>
          <w:spacing w:val="-4"/>
          <w:sz w:val="21"/>
        </w:rPr>
        <w:t>因履行本合同发生的争议，由双方协商解决，协商不成的，提交本合同</w:t>
      </w:r>
      <w:r>
        <w:rPr>
          <w:spacing w:val="-2"/>
          <w:sz w:val="21"/>
        </w:rPr>
        <w:t>约定的仲裁委员会仲裁；</w:t>
      </w:r>
    </w:p>
    <w:p>
      <w:pPr>
        <w:pStyle w:val="ListParagraph"/>
        <w:numPr>
          <w:ilvl w:val="0"/>
          <w:numId w:val="10"/>
        </w:numPr>
        <w:tabs>
          <w:tab w:pos="3793" w:val="left" w:leader="none"/>
        </w:tabs>
        <w:spacing w:line="266" w:lineRule="auto" w:before="159" w:after="0"/>
        <w:ind w:left="3792" w:right="212" w:hanging="720"/>
        <w:jc w:val="left"/>
        <w:rPr>
          <w:sz w:val="21"/>
        </w:rPr>
      </w:pPr>
      <w:r>
        <w:rPr>
          <w:spacing w:val="-4"/>
          <w:sz w:val="21"/>
        </w:rPr>
        <w:t>因履行本合同发生的争议，由双方协商解决，协商不成的，依法向人民</w:t>
      </w:r>
      <w:r>
        <w:rPr>
          <w:spacing w:val="-2"/>
          <w:sz w:val="21"/>
        </w:rPr>
        <w:t>法院起诉。</w:t>
      </w:r>
    </w:p>
    <w:p>
      <w:pPr>
        <w:pStyle w:val="BodyText"/>
        <w:spacing w:before="159"/>
        <w:ind w:left="3072"/>
      </w:pPr>
      <w:r>
        <w:rPr>
          <w:spacing w:val="-3"/>
        </w:rPr>
        <w:t>与本合同有关的以及履行本合同产生的一切争议处理适用中华人民共和国法律</w:t>
      </w:r>
    </w:p>
    <w:p>
      <w:pPr>
        <w:pStyle w:val="BodyText"/>
        <w:rPr>
          <w:sz w:val="9"/>
        </w:rPr>
      </w:pPr>
    </w:p>
    <w:p>
      <w:pPr>
        <w:pStyle w:val="BodyText"/>
        <w:spacing w:before="72"/>
        <w:ind w:left="3072"/>
      </w:pPr>
      <w:r>
        <w:rPr>
          <w:color w:val="000000"/>
          <w:spacing w:val="-2"/>
          <w:shd w:fill="E4E4E4" w:color="auto" w:val="clear"/>
        </w:rPr>
        <w:t>（不包括港、澳、台地区法律</w:t>
      </w:r>
      <w:r>
        <w:rPr>
          <w:color w:val="000000"/>
          <w:spacing w:val="-108"/>
          <w:shd w:fill="E4E4E4" w:color="auto" w:val="clear"/>
        </w:rPr>
        <w:t>）</w:t>
      </w:r>
      <w:r>
        <w:rPr>
          <w:color w:val="000000"/>
          <w:spacing w:val="-10"/>
          <w:shd w:fill="E4E4E4" w:color="auto" w:val="clear"/>
        </w:rPr>
        <w:t>。</w:t>
      </w:r>
    </w:p>
    <w:p>
      <w:pPr>
        <w:pStyle w:val="BodyText"/>
        <w:spacing w:before="12"/>
        <w:rPr>
          <w:sz w:val="8"/>
        </w:rPr>
      </w:pPr>
    </w:p>
    <w:p>
      <w:pPr>
        <w:pStyle w:val="BodyText"/>
        <w:spacing w:before="72"/>
        <w:ind w:right="843"/>
        <w:jc w:val="right"/>
      </w:pPr>
      <w:r>
        <w:rPr>
          <w:spacing w:val="-4"/>
        </w:rPr>
        <w:t>[本页内容结束]</w:t>
      </w:r>
    </w:p>
    <w:p>
      <w:pPr>
        <w:spacing w:after="0"/>
        <w:jc w:val="right"/>
        <w:sectPr>
          <w:type w:val="continuous"/>
          <w:pgSz w:w="11910" w:h="16840"/>
          <w:pgMar w:header="0" w:footer="659" w:top="480" w:bottom="280" w:left="920" w:right="540"/>
        </w:sectPr>
      </w:pPr>
    </w:p>
    <w:p>
      <w:pPr>
        <w:pStyle w:val="Heading2"/>
        <w:tabs>
          <w:tab w:pos="2533" w:val="left" w:leader="none"/>
        </w:tabs>
        <w:spacing w:line="278" w:lineRule="auto" w:before="60"/>
        <w:ind w:left="2533" w:right="252" w:hanging="2266"/>
      </w:pPr>
      <w:r>
        <w:rPr/>
        <w:t>附表一</w:t>
      </w:r>
      <w:r>
        <w:rPr>
          <w:spacing w:val="128"/>
        </w:rPr>
        <w:t> </w:t>
      </w:r>
      <w:r>
        <w:rPr/>
        <w:t>重大疾病</w:t>
        <w:tab/>
        <w:t>以下第</w:t>
      </w:r>
      <w:r>
        <w:rPr>
          <w:spacing w:val="-17"/>
        </w:rPr>
        <w:t> </w:t>
      </w:r>
      <w:r>
        <w:rPr/>
        <w:t>1</w:t>
      </w:r>
      <w:r>
        <w:rPr>
          <w:spacing w:val="-21"/>
        </w:rPr>
        <w:t> </w:t>
      </w:r>
      <w:r>
        <w:rPr/>
        <w:t>至</w:t>
      </w:r>
      <w:r>
        <w:rPr>
          <w:spacing w:val="-18"/>
        </w:rPr>
        <w:t> </w:t>
      </w:r>
      <w:r>
        <w:rPr/>
        <w:t>28</w:t>
      </w:r>
      <w:r>
        <w:rPr>
          <w:spacing w:val="-18"/>
        </w:rPr>
        <w:t> </w:t>
      </w:r>
      <w:r>
        <w:rPr/>
        <w:t>种重大</w:t>
      </w:r>
      <w:r>
        <w:rPr/>
        <w:t>疾</w:t>
      </w:r>
      <w:r>
        <w:rPr/>
        <w:t>病</w:t>
      </w:r>
      <w:r>
        <w:rPr/>
        <w:t>是中国保险行业协会制</w:t>
      </w:r>
      <w:r>
        <w:rPr/>
        <w:t>定的《重大疾病保险的疾</w:t>
      </w:r>
      <w:r>
        <w:rPr/>
        <w:t>病定义</w:t>
      </w:r>
      <w:r>
        <w:rPr>
          <w:spacing w:val="-2"/>
        </w:rPr>
        <w:t>使</w:t>
      </w:r>
      <w:r>
        <w:rPr>
          <w:spacing w:val="-2"/>
        </w:rPr>
        <w:t>用</w:t>
      </w:r>
      <w:r>
        <w:rPr>
          <w:spacing w:val="-2"/>
        </w:rPr>
        <w:t>规</w:t>
      </w:r>
      <w:r>
        <w:rPr>
          <w:spacing w:val="-2"/>
        </w:rPr>
        <w:t>范（2020</w:t>
      </w:r>
      <w:r>
        <w:rPr>
          <w:spacing w:val="-54"/>
        </w:rPr>
        <w:t> </w:t>
      </w:r>
      <w:r>
        <w:rPr>
          <w:spacing w:val="-2"/>
        </w:rPr>
        <w:t>年</w:t>
      </w:r>
      <w:r>
        <w:rPr>
          <w:spacing w:val="-2"/>
        </w:rPr>
        <w:t>修</w:t>
      </w:r>
      <w:r>
        <w:rPr>
          <w:spacing w:val="-2"/>
        </w:rPr>
        <w:t>订</w:t>
      </w:r>
      <w:r>
        <w:rPr>
          <w:spacing w:val="-2"/>
        </w:rPr>
        <w:t>版</w:t>
      </w:r>
      <w:r>
        <w:rPr>
          <w:spacing w:val="-108"/>
        </w:rPr>
        <w:t>）</w:t>
      </w:r>
      <w:r>
        <w:rPr>
          <w:spacing w:val="-130"/>
        </w:rPr>
        <w:t>》</w:t>
      </w:r>
      <w:r>
        <w:rPr>
          <w:spacing w:val="-2"/>
        </w:rPr>
        <w:t>（</w:t>
      </w:r>
      <w:r>
        <w:rPr>
          <w:spacing w:val="-2"/>
        </w:rPr>
        <w:t>以</w:t>
      </w:r>
      <w:r>
        <w:rPr>
          <w:spacing w:val="-2"/>
        </w:rPr>
        <w:t>下</w:t>
      </w:r>
      <w:r>
        <w:rPr>
          <w:spacing w:val="-2"/>
        </w:rPr>
        <w:t>简</w:t>
      </w:r>
      <w:r>
        <w:rPr>
          <w:spacing w:val="-2"/>
        </w:rPr>
        <w:t>称</w:t>
      </w:r>
      <w:r>
        <w:rPr>
          <w:spacing w:val="-53"/>
        </w:rPr>
        <w:t> </w:t>
      </w:r>
      <w:r>
        <w:rPr>
          <w:spacing w:val="-2"/>
        </w:rPr>
        <w:t>2020</w:t>
      </w:r>
      <w:r>
        <w:rPr>
          <w:spacing w:val="-54"/>
        </w:rPr>
        <w:t> </w:t>
      </w:r>
      <w:r>
        <w:rPr>
          <w:spacing w:val="-2"/>
        </w:rPr>
        <w:t>版</w:t>
      </w:r>
      <w:r>
        <w:rPr>
          <w:spacing w:val="-2"/>
        </w:rPr>
        <w:t>定</w:t>
      </w:r>
      <w:r>
        <w:rPr>
          <w:spacing w:val="-2"/>
        </w:rPr>
        <w:t>义）</w:t>
      </w:r>
      <w:r>
        <w:rPr>
          <w:spacing w:val="-2"/>
        </w:rPr>
        <w:t>规</w:t>
      </w:r>
      <w:r>
        <w:rPr>
          <w:spacing w:val="-2"/>
        </w:rPr>
        <w:t>定</w:t>
      </w:r>
      <w:r>
        <w:rPr>
          <w:spacing w:val="-2"/>
        </w:rPr>
        <w:t>的</w:t>
      </w:r>
      <w:r>
        <w:rPr>
          <w:spacing w:val="-2"/>
        </w:rPr>
        <w:t>重</w:t>
      </w:r>
      <w:r>
        <w:rPr>
          <w:spacing w:val="-2"/>
        </w:rPr>
        <w:t>大</w:t>
      </w:r>
      <w:r>
        <w:rPr>
          <w:spacing w:val="-2"/>
        </w:rPr>
        <w:t>疾</w:t>
      </w:r>
      <w:r>
        <w:rPr>
          <w:spacing w:val="-2"/>
        </w:rPr>
        <w:t>病</w:t>
      </w:r>
      <w:r>
        <w:rPr>
          <w:spacing w:val="-2"/>
        </w:rPr>
        <w:t>，疾病</w:t>
      </w:r>
      <w:r>
        <w:rPr>
          <w:spacing w:val="-2"/>
        </w:rPr>
        <w:t>名</w:t>
      </w:r>
      <w:r>
        <w:rPr>
          <w:spacing w:val="-2"/>
        </w:rPr>
        <w:t>称</w:t>
      </w:r>
      <w:r>
        <w:rPr>
          <w:spacing w:val="-2"/>
        </w:rPr>
        <w:t>、</w:t>
      </w:r>
      <w:r>
        <w:rPr/>
        <w:t>病种名称、</w:t>
      </w:r>
      <w:r>
        <w:rPr/>
        <w:t>疾病定义与</w:t>
      </w:r>
      <w:r>
        <w:rPr>
          <w:spacing w:val="-44"/>
        </w:rPr>
        <w:t> </w:t>
      </w:r>
      <w:r>
        <w:rPr/>
        <w:t>2020</w:t>
      </w:r>
      <w:r>
        <w:rPr>
          <w:spacing w:val="-46"/>
        </w:rPr>
        <w:t> </w:t>
      </w:r>
      <w:r>
        <w:rPr/>
        <w:t>版定义保持一致，其余</w:t>
      </w:r>
      <w:r>
        <w:rPr/>
        <w:t>重大疾病</w:t>
      </w:r>
      <w:r>
        <w:rPr/>
        <w:t>是本公司在</w:t>
      </w:r>
      <w:r>
        <w:rPr>
          <w:spacing w:val="-44"/>
        </w:rPr>
        <w:t> </w:t>
      </w:r>
      <w:r>
        <w:rPr/>
        <w:t>2020</w:t>
      </w:r>
      <w:r>
        <w:rPr>
          <w:spacing w:val="-48"/>
        </w:rPr>
        <w:t> </w:t>
      </w:r>
      <w:r>
        <w:rPr/>
        <w:t>版</w:t>
      </w:r>
      <w:r>
        <w:rPr/>
        <w:t>定</w:t>
      </w:r>
      <w:r>
        <w:rPr>
          <w:spacing w:val="-2"/>
        </w:rPr>
        <w:t>义</w:t>
      </w:r>
      <w:r>
        <w:rPr>
          <w:spacing w:val="-2"/>
        </w:rPr>
        <w:t>规</w:t>
      </w:r>
      <w:r>
        <w:rPr>
          <w:spacing w:val="-2"/>
        </w:rPr>
        <w:t>定</w:t>
      </w:r>
      <w:r>
        <w:rPr>
          <w:spacing w:val="-2"/>
        </w:rPr>
        <w:t>的</w:t>
      </w:r>
      <w:r>
        <w:rPr>
          <w:spacing w:val="-2"/>
        </w:rPr>
        <w:t>重</w:t>
      </w:r>
      <w:r>
        <w:rPr>
          <w:spacing w:val="-2"/>
        </w:rPr>
        <w:t>大</w:t>
      </w:r>
      <w:r>
        <w:rPr>
          <w:spacing w:val="-2"/>
        </w:rPr>
        <w:t>疾</w:t>
      </w:r>
      <w:r>
        <w:rPr>
          <w:spacing w:val="-2"/>
        </w:rPr>
        <w:t>病</w:t>
      </w:r>
      <w:r>
        <w:rPr>
          <w:spacing w:val="-2"/>
        </w:rPr>
        <w:t>范围之</w:t>
      </w:r>
      <w:r>
        <w:rPr>
          <w:spacing w:val="-2"/>
        </w:rPr>
        <w:t>外</w:t>
      </w:r>
      <w:r>
        <w:rPr>
          <w:spacing w:val="-2"/>
        </w:rPr>
        <w:t>增</w:t>
      </w:r>
      <w:r>
        <w:rPr>
          <w:spacing w:val="-2"/>
        </w:rPr>
        <w:t>加</w:t>
      </w:r>
      <w:r>
        <w:rPr>
          <w:spacing w:val="-2"/>
        </w:rPr>
        <w:t>的</w:t>
      </w:r>
      <w:r>
        <w:rPr>
          <w:spacing w:val="-2"/>
        </w:rPr>
        <w:t>重</w:t>
      </w:r>
      <w:r>
        <w:rPr>
          <w:spacing w:val="-2"/>
        </w:rPr>
        <w:t>大</w:t>
      </w:r>
      <w:r>
        <w:rPr>
          <w:spacing w:val="-2"/>
        </w:rPr>
        <w:t>疾</w:t>
      </w:r>
      <w:r>
        <w:rPr>
          <w:spacing w:val="-2"/>
        </w:rPr>
        <w:t>病</w:t>
      </w:r>
      <w:r>
        <w:rPr>
          <w:spacing w:val="-2"/>
        </w:rPr>
        <w:t>。</w:t>
      </w:r>
      <w:r>
        <w:rPr>
          <w:spacing w:val="-2"/>
        </w:rPr>
        <w:t>被</w:t>
      </w:r>
      <w:r>
        <w:rPr>
          <w:spacing w:val="-2"/>
        </w:rPr>
        <w:t>保</w:t>
      </w:r>
      <w:r>
        <w:rPr>
          <w:spacing w:val="-2"/>
        </w:rPr>
        <w:t>险</w:t>
      </w:r>
      <w:r>
        <w:rPr>
          <w:spacing w:val="-2"/>
        </w:rPr>
        <w:t>人</w:t>
      </w:r>
      <w:r>
        <w:rPr>
          <w:spacing w:val="-2"/>
        </w:rPr>
        <w:t>发</w:t>
      </w:r>
      <w:r>
        <w:rPr>
          <w:spacing w:val="-2"/>
        </w:rPr>
        <w:t>生</w:t>
      </w:r>
      <w:r>
        <w:rPr>
          <w:spacing w:val="-2"/>
        </w:rPr>
        <w:t>符</w:t>
      </w:r>
      <w:r>
        <w:rPr>
          <w:spacing w:val="-2"/>
        </w:rPr>
        <w:t>合</w:t>
      </w:r>
      <w:r>
        <w:rPr>
          <w:spacing w:val="-2"/>
        </w:rPr>
        <w:t>以</w:t>
      </w:r>
      <w:r>
        <w:rPr>
          <w:spacing w:val="-2"/>
        </w:rPr>
        <w:t>下</w:t>
      </w:r>
      <w:r>
        <w:rPr>
          <w:spacing w:val="-2"/>
        </w:rPr>
        <w:t>重大疾</w:t>
      </w:r>
      <w:r>
        <w:rPr>
          <w:spacing w:val="-2"/>
        </w:rPr>
        <w:t>病</w:t>
      </w:r>
      <w:r>
        <w:rPr>
          <w:spacing w:val="-2"/>
        </w:rPr>
        <w:t>定</w:t>
      </w:r>
      <w:r>
        <w:rPr>
          <w:spacing w:val="-2"/>
        </w:rPr>
        <w:t>义</w:t>
      </w:r>
      <w:r>
        <w:rPr>
          <w:spacing w:val="-2"/>
        </w:rPr>
        <w:t>所</w:t>
      </w:r>
      <w:r>
        <w:rPr>
          <w:spacing w:val="-2"/>
        </w:rPr>
        <w:t>述</w:t>
      </w:r>
      <w:r>
        <w:rPr>
          <w:spacing w:val="-2"/>
        </w:rPr>
        <w:t>条</w:t>
      </w:r>
      <w:r>
        <w:rPr>
          <w:spacing w:val="-2"/>
        </w:rPr>
        <w:t>件</w:t>
      </w:r>
      <w:r>
        <w:rPr>
          <w:spacing w:val="-2"/>
        </w:rPr>
        <w:t>的</w:t>
      </w:r>
      <w:r>
        <w:rPr>
          <w:spacing w:val="-2"/>
        </w:rPr>
        <w:t>疾</w:t>
      </w:r>
      <w:r>
        <w:rPr>
          <w:spacing w:val="-2"/>
        </w:rPr>
        <w:t>病</w:t>
      </w:r>
      <w:r>
        <w:rPr>
          <w:spacing w:val="-2"/>
        </w:rPr>
        <w:t>，应当由</w:t>
      </w:r>
      <w:r>
        <w:rPr>
          <w:spacing w:val="-2"/>
        </w:rPr>
        <w:t>专</w:t>
      </w:r>
      <w:r>
        <w:rPr>
          <w:spacing w:val="-2"/>
        </w:rPr>
        <w:t>科</w:t>
      </w:r>
      <w:r>
        <w:rPr>
          <w:spacing w:val="-2"/>
        </w:rPr>
        <w:t>医</w:t>
      </w:r>
      <w:r>
        <w:rPr>
          <w:spacing w:val="-2"/>
        </w:rPr>
        <w:t>生</w:t>
      </w:r>
      <w:r>
        <w:rPr>
          <w:spacing w:val="-2"/>
        </w:rPr>
        <w:t>明</w:t>
      </w:r>
      <w:r>
        <w:rPr>
          <w:spacing w:val="-2"/>
        </w:rPr>
        <w:t>确</w:t>
      </w:r>
      <w:r>
        <w:rPr>
          <w:spacing w:val="-2"/>
        </w:rPr>
        <w:t>诊</w:t>
      </w:r>
      <w:r>
        <w:rPr>
          <w:spacing w:val="-2"/>
        </w:rPr>
        <w:t>断</w:t>
      </w:r>
      <w:r>
        <w:rPr>
          <w:spacing w:val="-2"/>
        </w:rPr>
        <w:t>。</w:t>
      </w:r>
    </w:p>
    <w:p>
      <w:pPr>
        <w:pStyle w:val="ListParagraph"/>
        <w:numPr>
          <w:ilvl w:val="0"/>
          <w:numId w:val="11"/>
        </w:numPr>
        <w:tabs>
          <w:tab w:pos="3063" w:val="left" w:leader="none"/>
        </w:tabs>
        <w:spacing w:line="240" w:lineRule="auto" w:before="156" w:after="0"/>
        <w:ind w:left="3063" w:right="0" w:hanging="530"/>
        <w:jc w:val="left"/>
        <w:rPr>
          <w:b/>
          <w:sz w:val="21"/>
        </w:rPr>
      </w:pPr>
      <w:r>
        <w:rPr>
          <w:b/>
          <w:spacing w:val="-2"/>
          <w:sz w:val="21"/>
        </w:rPr>
        <w:t>恶性肿瘤——重度:</w:t>
      </w:r>
    </w:p>
    <w:p>
      <w:pPr>
        <w:pStyle w:val="BodyText"/>
        <w:spacing w:before="6"/>
        <w:rPr>
          <w:b/>
          <w:sz w:val="15"/>
        </w:rPr>
      </w:pPr>
    </w:p>
    <w:p>
      <w:pPr>
        <w:pStyle w:val="BodyText"/>
        <w:spacing w:before="1"/>
        <w:ind w:left="2533"/>
      </w:pPr>
      <w:r>
        <w:rPr>
          <w:spacing w:val="-9"/>
        </w:rPr>
        <w:t>指恶性细胞不受控制的进行性增长和扩散，浸润和破坏周围正常组织，可以经血管、</w:t>
      </w:r>
    </w:p>
    <w:p>
      <w:pPr>
        <w:spacing w:after="0"/>
        <w:sectPr>
          <w:pgSz w:w="11910" w:h="16840"/>
          <w:pgMar w:header="0" w:footer="659" w:top="1540" w:bottom="840" w:left="920" w:right="540"/>
        </w:sectPr>
      </w:pPr>
    </w:p>
    <w:p>
      <w:pPr>
        <w:spacing w:before="33"/>
        <w:ind w:left="2533" w:right="0" w:firstLine="0"/>
        <w:jc w:val="left"/>
        <w:rPr>
          <w:b/>
          <w:sz w:val="11"/>
        </w:rPr>
      </w:pPr>
      <w:r>
        <w:rPr>
          <w:spacing w:val="-6"/>
          <w:sz w:val="21"/>
        </w:rPr>
        <w:t>淋巴管和体腔扩散转移到身体其它部位，病灶经</w:t>
      </w:r>
      <w:r>
        <w:rPr>
          <w:b/>
          <w:spacing w:val="-2"/>
          <w:sz w:val="21"/>
        </w:rPr>
        <w:t>组织病理学检查</w:t>
      </w:r>
      <w:r>
        <w:rPr>
          <w:b/>
          <w:spacing w:val="-14"/>
          <w:w w:val="99"/>
          <w:position w:val="11"/>
          <w:sz w:val="11"/>
        </w:rPr>
        <w:t>3</w:t>
      </w:r>
      <w:r>
        <w:rPr>
          <w:spacing w:val="-213"/>
          <w:sz w:val="21"/>
        </w:rPr>
        <w:t>（</w:t>
      </w:r>
      <w:r>
        <w:rPr>
          <w:b/>
          <w:spacing w:val="-9"/>
          <w:w w:val="99"/>
          <w:position w:val="11"/>
          <w:sz w:val="11"/>
        </w:rPr>
        <w:t>7</w:t>
      </w:r>
    </w:p>
    <w:p>
      <w:pPr>
        <w:pStyle w:val="BodyText"/>
        <w:spacing w:before="43"/>
        <w:ind w:left="108"/>
      </w:pPr>
      <w:r>
        <w:rPr/>
        <w:br w:type="column"/>
      </w:r>
      <w:r>
        <w:rPr>
          <w:spacing w:val="-4"/>
        </w:rPr>
        <w:t>涵盖骨髓病理学</w:t>
      </w:r>
    </w:p>
    <w:p>
      <w:pPr>
        <w:spacing w:after="0"/>
        <w:sectPr>
          <w:type w:val="continuous"/>
          <w:pgSz w:w="11910" w:h="16840"/>
          <w:pgMar w:header="0" w:footer="659" w:top="480" w:bottom="280" w:left="920" w:right="540"/>
          <w:cols w:num="2" w:equalWidth="0">
            <w:col w:w="8471" w:space="40"/>
            <w:col w:w="1939"/>
          </w:cols>
        </w:sectPr>
      </w:pPr>
    </w:p>
    <w:p>
      <w:pPr>
        <w:pStyle w:val="BodyText"/>
        <w:spacing w:line="276" w:lineRule="auto" w:before="43"/>
        <w:ind w:left="2533" w:right="336"/>
        <w:jc w:val="both"/>
      </w:pPr>
      <w:r>
        <w:rPr>
          <w:spacing w:val="33"/>
          <w:w w:val="95"/>
        </w:rPr>
        <w:t>检</w:t>
      </w:r>
      <w:r>
        <w:rPr>
          <w:spacing w:val="33"/>
          <w:w w:val="95"/>
        </w:rPr>
        <w:t>查</w:t>
      </w:r>
      <w:r>
        <w:rPr>
          <w:w w:val="95"/>
        </w:rPr>
        <w:t>）</w:t>
      </w:r>
      <w:r>
        <w:rPr>
          <w:spacing w:val="5"/>
          <w:w w:val="95"/>
        </w:rPr>
        <w:t> 结</w:t>
      </w:r>
      <w:r>
        <w:rPr>
          <w:spacing w:val="33"/>
          <w:w w:val="95"/>
        </w:rPr>
        <w:t>果</w:t>
      </w:r>
      <w:r>
        <w:rPr>
          <w:spacing w:val="33"/>
          <w:w w:val="95"/>
        </w:rPr>
        <w:t>明</w:t>
      </w:r>
      <w:r>
        <w:rPr>
          <w:spacing w:val="31"/>
          <w:w w:val="95"/>
        </w:rPr>
        <w:t>确</w:t>
      </w:r>
      <w:r>
        <w:rPr>
          <w:spacing w:val="33"/>
          <w:w w:val="95"/>
        </w:rPr>
        <w:t>诊</w:t>
      </w:r>
      <w:r>
        <w:rPr>
          <w:spacing w:val="33"/>
          <w:w w:val="95"/>
        </w:rPr>
        <w:t>断</w:t>
      </w:r>
      <w:r>
        <w:rPr>
          <w:spacing w:val="-11"/>
          <w:w w:val="95"/>
        </w:rPr>
        <w:t>， </w:t>
      </w:r>
      <w:r>
        <w:rPr>
          <w:spacing w:val="33"/>
          <w:w w:val="95"/>
        </w:rPr>
        <w:t>临</w:t>
      </w:r>
      <w:r>
        <w:rPr>
          <w:spacing w:val="33"/>
          <w:w w:val="95"/>
        </w:rPr>
        <w:t>床</w:t>
      </w:r>
      <w:r>
        <w:rPr>
          <w:spacing w:val="33"/>
          <w:w w:val="95"/>
        </w:rPr>
        <w:t>诊</w:t>
      </w:r>
      <w:r>
        <w:rPr>
          <w:spacing w:val="31"/>
          <w:w w:val="95"/>
        </w:rPr>
        <w:t>断</w:t>
      </w:r>
      <w:r>
        <w:rPr>
          <w:spacing w:val="33"/>
          <w:w w:val="95"/>
        </w:rPr>
        <w:t>属</w:t>
      </w:r>
      <w:r>
        <w:rPr>
          <w:spacing w:val="33"/>
          <w:w w:val="95"/>
        </w:rPr>
        <w:t>于</w:t>
      </w:r>
      <w:r>
        <w:rPr>
          <w:spacing w:val="31"/>
          <w:w w:val="95"/>
        </w:rPr>
        <w:t>世</w:t>
      </w:r>
      <w:r>
        <w:rPr>
          <w:spacing w:val="33"/>
          <w:w w:val="95"/>
        </w:rPr>
        <w:t>界</w:t>
      </w:r>
      <w:r>
        <w:rPr>
          <w:spacing w:val="33"/>
          <w:w w:val="95"/>
        </w:rPr>
        <w:t>卫</w:t>
      </w:r>
      <w:r>
        <w:rPr>
          <w:spacing w:val="34"/>
          <w:w w:val="95"/>
        </w:rPr>
        <w:t>生组织</w:t>
      </w:r>
      <w:r>
        <w:rPr>
          <w:w w:val="95"/>
        </w:rPr>
        <w:t>（</w:t>
      </w:r>
      <w:r>
        <w:rPr>
          <w:spacing w:val="-21"/>
          <w:w w:val="95"/>
        </w:rPr>
        <w:t> </w:t>
      </w:r>
      <w:r>
        <w:rPr>
          <w:w w:val="95"/>
        </w:rPr>
        <w:t>WHO</w:t>
      </w:r>
      <w:r>
        <w:rPr>
          <w:spacing w:val="-15"/>
          <w:w w:val="95"/>
        </w:rPr>
        <w:t> ， </w:t>
      </w:r>
      <w:r>
        <w:rPr>
          <w:w w:val="95"/>
        </w:rPr>
        <w:t>World</w:t>
      </w:r>
      <w:r>
        <w:rPr>
          <w:spacing w:val="40"/>
        </w:rPr>
        <w:t>  </w:t>
      </w:r>
      <w:r>
        <w:rPr>
          <w:w w:val="95"/>
        </w:rPr>
        <w:t>Health </w:t>
      </w:r>
      <w:r>
        <w:rPr>
          <w:spacing w:val="4"/>
        </w:rPr>
        <w:t>Organ</w:t>
      </w:r>
      <w:r>
        <w:rPr>
          <w:spacing w:val="1"/>
        </w:rPr>
        <w:t>i</w:t>
      </w:r>
      <w:r>
        <w:rPr>
          <w:spacing w:val="4"/>
        </w:rPr>
        <w:t>zat</w:t>
      </w:r>
      <w:r>
        <w:rPr>
          <w:spacing w:val="1"/>
        </w:rPr>
        <w:t>i</w:t>
      </w:r>
      <w:r>
        <w:rPr>
          <w:spacing w:val="4"/>
        </w:rPr>
        <w:t>on</w:t>
      </w:r>
      <w:r>
        <w:rPr>
          <w:spacing w:val="-104"/>
        </w:rPr>
        <w:t>）</w:t>
      </w:r>
      <w:r>
        <w:rPr>
          <w:spacing w:val="-4"/>
        </w:rPr>
        <w:t>《疾病和有关健康问题的国际统计分类》第十次修订版（</w:t>
      </w:r>
      <w:r>
        <w:rPr>
          <w:b/>
          <w:spacing w:val="-4"/>
        </w:rPr>
        <w:t>ICD-10</w:t>
      </w:r>
      <w:r>
        <w:rPr>
          <w:b/>
          <w:spacing w:val="-4"/>
          <w:position w:val="11"/>
          <w:sz w:val="11"/>
        </w:rPr>
        <w:t>38</w:t>
      </w:r>
      <w:r>
        <w:rPr>
          <w:spacing w:val="-4"/>
        </w:rPr>
        <w:t>）</w:t>
      </w:r>
      <w:r>
        <w:rPr>
          <w:spacing w:val="-4"/>
        </w:rPr>
        <w:t>的恶性肿瘤类别及《国际疾病分类肿瘤学专辑》第三版（ICD-O-3）的肿瘤形态学编</w:t>
      </w:r>
      <w:r>
        <w:rPr>
          <w:spacing w:val="-10"/>
        </w:rPr>
        <w:t>码属于 </w:t>
      </w:r>
      <w:r>
        <w:rPr/>
        <w:t>3、6、9（恶性肿瘤）范畴的疾病。</w:t>
      </w:r>
    </w:p>
    <w:p>
      <w:pPr>
        <w:pStyle w:val="BodyText"/>
        <w:ind w:left="1631" w:right="1647"/>
        <w:jc w:val="center"/>
      </w:pPr>
      <w:r>
        <w:rPr>
          <w:color w:val="000000"/>
          <w:spacing w:val="-10"/>
          <w:shd w:fill="E4E4E4" w:color="auto" w:val="clear"/>
        </w:rPr>
        <w:t>下列疾病不属于“恶性肿瘤——重度”，不在保障范围内：</w:t>
      </w:r>
    </w:p>
    <w:p>
      <w:pPr>
        <w:pStyle w:val="BodyText"/>
        <w:rPr>
          <w:sz w:val="10"/>
        </w:rPr>
      </w:pPr>
    </w:p>
    <w:p>
      <w:pPr>
        <w:pStyle w:val="ListParagraph"/>
        <w:numPr>
          <w:ilvl w:val="0"/>
          <w:numId w:val="12"/>
        </w:numPr>
        <w:tabs>
          <w:tab w:pos="3254" w:val="left" w:leader="none"/>
          <w:tab w:pos="3255" w:val="left" w:leader="none"/>
        </w:tabs>
        <w:spacing w:line="278" w:lineRule="auto" w:before="71" w:after="0"/>
        <w:ind w:left="3254" w:right="358" w:hanging="721"/>
        <w:jc w:val="left"/>
        <w:rPr>
          <w:sz w:val="21"/>
        </w:rPr>
      </w:pPr>
      <w:r>
        <w:rPr>
          <w:color w:val="000000"/>
          <w:sz w:val="21"/>
          <w:shd w:fill="E4E4E4" w:color="auto" w:val="clear"/>
        </w:rPr>
        <w:t>ICD-O-3</w:t>
      </w:r>
      <w:r>
        <w:rPr>
          <w:color w:val="000000"/>
          <w:spacing w:val="-13"/>
          <w:sz w:val="21"/>
          <w:shd w:fill="E4E4E4" w:color="auto" w:val="clear"/>
        </w:rPr>
        <w:t> 肿瘤形态学编码属于 </w:t>
      </w:r>
      <w:r>
        <w:rPr>
          <w:color w:val="000000"/>
          <w:sz w:val="21"/>
          <w:shd w:fill="E4E4E4" w:color="auto" w:val="clear"/>
        </w:rPr>
        <w:t>0（良性肿瘤</w:t>
      </w:r>
      <w:r>
        <w:rPr>
          <w:color w:val="000000"/>
          <w:spacing w:val="-108"/>
          <w:sz w:val="21"/>
          <w:shd w:fill="E4E4E4" w:color="auto" w:val="clear"/>
        </w:rPr>
        <w:t>）</w:t>
      </w:r>
      <w:r>
        <w:rPr>
          <w:color w:val="000000"/>
          <w:sz w:val="21"/>
          <w:shd w:fill="E4E4E4" w:color="auto" w:val="clear"/>
        </w:rPr>
        <w:t>、1（动态未定性肿瘤</w:t>
      </w:r>
      <w:r>
        <w:rPr>
          <w:color w:val="000000"/>
          <w:spacing w:val="-106"/>
          <w:sz w:val="21"/>
          <w:shd w:fill="E4E4E4" w:color="auto" w:val="clear"/>
        </w:rPr>
        <w:t>）</w:t>
      </w:r>
      <w:r>
        <w:rPr>
          <w:color w:val="000000"/>
          <w:sz w:val="21"/>
          <w:shd w:fill="E4E4E4" w:color="auto" w:val="clear"/>
        </w:rPr>
        <w:t>、2（原</w:t>
      </w:r>
      <w:r>
        <w:rPr>
          <w:color w:val="000000"/>
          <w:spacing w:val="13155"/>
          <w:sz w:val="21"/>
          <w:shd w:fill="E4E4E4" w:color="auto" w:val="clear"/>
        </w:rPr>
        <w:t> </w:t>
      </w:r>
      <w:r>
        <w:rPr>
          <w:color w:val="000000"/>
          <w:spacing w:val="-2"/>
          <w:sz w:val="21"/>
          <w:shd w:fill="E4E4E4" w:color="auto" w:val="clear"/>
        </w:rPr>
        <w:t>位癌和非侵袭性癌）范畴的疾病，如：</w:t>
      </w:r>
    </w:p>
    <w:p>
      <w:pPr>
        <w:pStyle w:val="ListParagraph"/>
        <w:numPr>
          <w:ilvl w:val="1"/>
          <w:numId w:val="12"/>
        </w:numPr>
        <w:tabs>
          <w:tab w:pos="3467" w:val="left" w:leader="none"/>
        </w:tabs>
        <w:spacing w:line="278" w:lineRule="auto" w:before="0" w:after="0"/>
        <w:ind w:left="3254" w:right="255" w:firstLine="0"/>
        <w:jc w:val="left"/>
        <w:rPr>
          <w:sz w:val="21"/>
        </w:rPr>
      </w:pPr>
      <w:r>
        <w:rPr>
          <w:color w:val="000000"/>
          <w:spacing w:val="-2"/>
          <w:sz w:val="21"/>
          <w:shd w:fill="E4E4E4" w:color="auto" w:val="clear"/>
        </w:rPr>
        <w:t>原位癌，癌前病变，非浸润性癌，非侵袭性癌，肿瘤细胞未侵犯基底层，</w:t>
      </w:r>
      <w:r>
        <w:rPr>
          <w:color w:val="000000"/>
          <w:spacing w:val="13335"/>
          <w:sz w:val="21"/>
          <w:shd w:fill="E4E4E4" w:color="auto" w:val="clear"/>
        </w:rPr>
        <w:t> </w:t>
      </w:r>
      <w:r>
        <w:rPr>
          <w:color w:val="000000"/>
          <w:spacing w:val="-2"/>
          <w:sz w:val="21"/>
          <w:shd w:fill="E4E4E4" w:color="auto" w:val="clear"/>
        </w:rPr>
        <w:t>上皮内瘤变，细胞不典型性增生等；</w:t>
      </w:r>
    </w:p>
    <w:p>
      <w:pPr>
        <w:pStyle w:val="ListParagraph"/>
        <w:numPr>
          <w:ilvl w:val="1"/>
          <w:numId w:val="12"/>
        </w:numPr>
        <w:tabs>
          <w:tab w:pos="3467" w:val="left" w:leader="none"/>
        </w:tabs>
        <w:spacing w:line="269" w:lineRule="exact" w:before="0" w:after="0"/>
        <w:ind w:left="3466" w:right="0" w:hanging="213"/>
        <w:jc w:val="left"/>
        <w:rPr>
          <w:sz w:val="21"/>
        </w:rPr>
      </w:pPr>
      <w:r>
        <w:rPr>
          <w:color w:val="000000"/>
          <w:spacing w:val="-3"/>
          <w:sz w:val="21"/>
          <w:shd w:fill="E4E4E4" w:color="auto" w:val="clear"/>
        </w:rPr>
        <w:t>交界性肿瘤，交界恶性肿瘤，肿瘤低度恶性潜能，潜在低度恶性肿瘤等；</w:t>
      </w:r>
    </w:p>
    <w:p>
      <w:pPr>
        <w:pStyle w:val="BodyText"/>
        <w:spacing w:before="9"/>
        <w:rPr>
          <w:sz w:val="14"/>
        </w:rPr>
      </w:pPr>
    </w:p>
    <w:p>
      <w:pPr>
        <w:pStyle w:val="ListParagraph"/>
        <w:numPr>
          <w:ilvl w:val="0"/>
          <w:numId w:val="12"/>
        </w:numPr>
        <w:tabs>
          <w:tab w:pos="3254" w:val="left" w:leader="none"/>
          <w:tab w:pos="3255" w:val="left" w:leader="none"/>
        </w:tabs>
        <w:spacing w:line="240" w:lineRule="auto" w:before="1" w:after="0"/>
        <w:ind w:left="3254" w:right="0" w:hanging="722"/>
        <w:jc w:val="left"/>
        <w:rPr>
          <w:sz w:val="21"/>
        </w:rPr>
      </w:pPr>
      <w:r>
        <w:rPr>
          <w:b/>
          <w:color w:val="000000"/>
          <w:w w:val="95"/>
          <w:sz w:val="21"/>
          <w:shd w:fill="E4E4E4" w:color="auto" w:val="clear"/>
        </w:rPr>
        <w:t>TNM</w:t>
      </w:r>
      <w:r>
        <w:rPr>
          <w:b/>
          <w:color w:val="000000"/>
          <w:spacing w:val="52"/>
          <w:w w:val="150"/>
          <w:sz w:val="21"/>
          <w:shd w:fill="E4E4E4" w:color="auto" w:val="clear"/>
        </w:rPr>
        <w:t> </w:t>
      </w:r>
      <w:r>
        <w:rPr>
          <w:b/>
          <w:color w:val="000000"/>
          <w:w w:val="95"/>
          <w:sz w:val="21"/>
          <w:shd w:fill="E4E4E4" w:color="auto" w:val="clear"/>
        </w:rPr>
        <w:t>分</w:t>
      </w:r>
      <w:r>
        <w:rPr>
          <w:b/>
          <w:color w:val="000000"/>
          <w:w w:val="95"/>
          <w:sz w:val="21"/>
          <w:shd w:fill="E4E4E4" w:color="auto" w:val="clear"/>
        </w:rPr>
        <w:t>期</w:t>
      </w:r>
      <w:r>
        <w:rPr>
          <w:b/>
          <w:color w:val="000000"/>
          <w:w w:val="95"/>
          <w:position w:val="11"/>
          <w:sz w:val="11"/>
        </w:rPr>
        <w:t>39</w:t>
      </w:r>
      <w:r>
        <w:rPr>
          <w:color w:val="000000"/>
          <w:w w:val="95"/>
          <w:sz w:val="21"/>
          <w:shd w:fill="E4E4E4" w:color="auto" w:val="clear"/>
        </w:rPr>
        <w:t>为Ⅰ期或更轻分</w:t>
      </w:r>
      <w:r>
        <w:rPr>
          <w:color w:val="000000"/>
          <w:w w:val="95"/>
          <w:sz w:val="21"/>
          <w:shd w:fill="E4E4E4" w:color="auto" w:val="clear"/>
        </w:rPr>
        <w:t>期</w:t>
      </w:r>
      <w:r>
        <w:rPr>
          <w:color w:val="000000"/>
          <w:w w:val="95"/>
          <w:sz w:val="21"/>
          <w:shd w:fill="E4E4E4" w:color="auto" w:val="clear"/>
        </w:rPr>
        <w:t>的</w:t>
      </w:r>
      <w:r>
        <w:rPr>
          <w:color w:val="000000"/>
          <w:spacing w:val="-2"/>
          <w:w w:val="95"/>
          <w:sz w:val="21"/>
          <w:shd w:fill="E4E4E4" w:color="auto" w:val="clear"/>
        </w:rPr>
        <w:t>甲状腺癌；</w:t>
      </w:r>
    </w:p>
    <w:p>
      <w:pPr>
        <w:pStyle w:val="BodyText"/>
        <w:spacing w:before="12"/>
        <w:rPr>
          <w:sz w:val="9"/>
        </w:rPr>
      </w:pPr>
    </w:p>
    <w:p>
      <w:pPr>
        <w:pStyle w:val="ListParagraph"/>
        <w:numPr>
          <w:ilvl w:val="0"/>
          <w:numId w:val="12"/>
        </w:numPr>
        <w:tabs>
          <w:tab w:pos="3254" w:val="left" w:leader="none"/>
          <w:tab w:pos="3255" w:val="left" w:leader="none"/>
        </w:tabs>
        <w:spacing w:line="240" w:lineRule="auto" w:before="71" w:after="0"/>
        <w:ind w:left="3254" w:right="0" w:hanging="722"/>
        <w:jc w:val="left"/>
        <w:rPr>
          <w:sz w:val="21"/>
        </w:rPr>
      </w:pPr>
      <w:r>
        <w:rPr>
          <w:color w:val="000000"/>
          <w:spacing w:val="-2"/>
          <w:sz w:val="21"/>
          <w:shd w:fill="E4E4E4" w:color="auto" w:val="clear"/>
        </w:rPr>
        <w:t>TNM</w:t>
      </w:r>
      <w:r>
        <w:rPr>
          <w:color w:val="000000"/>
          <w:spacing w:val="-21"/>
          <w:sz w:val="21"/>
          <w:shd w:fill="E4E4E4" w:color="auto" w:val="clear"/>
        </w:rPr>
        <w:t> 分期为 </w:t>
      </w:r>
      <w:r>
        <w:rPr>
          <w:color w:val="000000"/>
          <w:spacing w:val="-2"/>
          <w:sz w:val="21"/>
          <w:shd w:fill="E4E4E4" w:color="auto" w:val="clear"/>
        </w:rPr>
        <w:t>T1N0M0</w:t>
      </w:r>
      <w:r>
        <w:rPr>
          <w:color w:val="000000"/>
          <w:spacing w:val="-10"/>
          <w:sz w:val="21"/>
          <w:shd w:fill="E4E4E4" w:color="auto" w:val="clear"/>
        </w:rPr>
        <w:t> 期或更轻分期的前列腺癌；</w:t>
      </w:r>
    </w:p>
    <w:p>
      <w:pPr>
        <w:pStyle w:val="BodyText"/>
        <w:spacing w:before="12"/>
        <w:rPr>
          <w:sz w:val="9"/>
        </w:rPr>
      </w:pPr>
    </w:p>
    <w:p>
      <w:pPr>
        <w:pStyle w:val="ListParagraph"/>
        <w:numPr>
          <w:ilvl w:val="0"/>
          <w:numId w:val="12"/>
        </w:numPr>
        <w:tabs>
          <w:tab w:pos="3254" w:val="left" w:leader="none"/>
          <w:tab w:pos="3255" w:val="left" w:leader="none"/>
        </w:tabs>
        <w:spacing w:line="240" w:lineRule="auto" w:before="72" w:after="0"/>
        <w:ind w:left="3254" w:right="0" w:hanging="722"/>
        <w:jc w:val="left"/>
        <w:rPr>
          <w:sz w:val="21"/>
        </w:rPr>
      </w:pPr>
      <w:r>
        <w:rPr>
          <w:color w:val="000000"/>
          <w:spacing w:val="-3"/>
          <w:sz w:val="21"/>
          <w:shd w:fill="E4E4E4" w:color="auto" w:val="clear"/>
        </w:rPr>
        <w:t>黑色素瘤以外的未发生淋巴结和远处转移的皮肤恶性肿瘤；</w:t>
      </w:r>
    </w:p>
    <w:p>
      <w:pPr>
        <w:pStyle w:val="BodyText"/>
        <w:spacing w:before="12"/>
        <w:rPr>
          <w:sz w:val="9"/>
        </w:rPr>
      </w:pPr>
    </w:p>
    <w:p>
      <w:pPr>
        <w:pStyle w:val="ListParagraph"/>
        <w:numPr>
          <w:ilvl w:val="0"/>
          <w:numId w:val="12"/>
        </w:numPr>
        <w:tabs>
          <w:tab w:pos="3254" w:val="left" w:leader="none"/>
          <w:tab w:pos="3255" w:val="left" w:leader="none"/>
        </w:tabs>
        <w:spacing w:line="240" w:lineRule="auto" w:before="72" w:after="0"/>
        <w:ind w:left="3254" w:right="0" w:hanging="722"/>
        <w:jc w:val="left"/>
        <w:rPr>
          <w:sz w:val="21"/>
        </w:rPr>
      </w:pPr>
      <w:r>
        <w:rPr>
          <w:color w:val="000000"/>
          <w:spacing w:val="-14"/>
          <w:sz w:val="21"/>
          <w:shd w:fill="E4E4E4" w:color="auto" w:val="clear"/>
        </w:rPr>
        <w:t>相当于 </w:t>
      </w:r>
      <w:r>
        <w:rPr>
          <w:color w:val="000000"/>
          <w:spacing w:val="-2"/>
          <w:sz w:val="21"/>
          <w:shd w:fill="E4E4E4" w:color="auto" w:val="clear"/>
        </w:rPr>
        <w:t>Binet</w:t>
      </w:r>
      <w:r>
        <w:rPr>
          <w:color w:val="000000"/>
          <w:spacing w:val="-18"/>
          <w:sz w:val="21"/>
          <w:shd w:fill="E4E4E4" w:color="auto" w:val="clear"/>
        </w:rPr>
        <w:t> 分期方案 </w:t>
      </w:r>
      <w:r>
        <w:rPr>
          <w:color w:val="000000"/>
          <w:spacing w:val="-2"/>
          <w:sz w:val="21"/>
          <w:shd w:fill="E4E4E4" w:color="auto" w:val="clear"/>
        </w:rPr>
        <w:t>A</w:t>
      </w:r>
      <w:r>
        <w:rPr>
          <w:color w:val="000000"/>
          <w:spacing w:val="-10"/>
          <w:sz w:val="21"/>
          <w:shd w:fill="E4E4E4" w:color="auto" w:val="clear"/>
        </w:rPr>
        <w:t> 期程度的慢性淋巴细胞白血病；</w:t>
      </w:r>
    </w:p>
    <w:p>
      <w:pPr>
        <w:pStyle w:val="BodyText"/>
        <w:spacing w:before="12"/>
        <w:rPr>
          <w:sz w:val="9"/>
        </w:rPr>
      </w:pPr>
    </w:p>
    <w:p>
      <w:pPr>
        <w:pStyle w:val="ListParagraph"/>
        <w:numPr>
          <w:ilvl w:val="0"/>
          <w:numId w:val="12"/>
        </w:numPr>
        <w:tabs>
          <w:tab w:pos="3254" w:val="left" w:leader="none"/>
          <w:tab w:pos="3255" w:val="left" w:leader="none"/>
        </w:tabs>
        <w:spacing w:line="240" w:lineRule="auto" w:before="72" w:after="0"/>
        <w:ind w:left="3254" w:right="0" w:hanging="722"/>
        <w:jc w:val="left"/>
        <w:rPr>
          <w:sz w:val="21"/>
        </w:rPr>
      </w:pPr>
      <w:r>
        <w:rPr>
          <w:color w:val="000000"/>
          <w:spacing w:val="-14"/>
          <w:sz w:val="21"/>
          <w:shd w:fill="E4E4E4" w:color="auto" w:val="clear"/>
        </w:rPr>
        <w:t>相当于 </w:t>
      </w:r>
      <w:r>
        <w:rPr>
          <w:color w:val="000000"/>
          <w:spacing w:val="-2"/>
          <w:sz w:val="21"/>
          <w:shd w:fill="E4E4E4" w:color="auto" w:val="clear"/>
        </w:rPr>
        <w:t>Ann</w:t>
      </w:r>
      <w:r>
        <w:rPr>
          <w:color w:val="000000"/>
          <w:spacing w:val="10"/>
          <w:sz w:val="21"/>
          <w:shd w:fill="E4E4E4" w:color="auto" w:val="clear"/>
        </w:rPr>
        <w:t> </w:t>
      </w:r>
      <w:r>
        <w:rPr>
          <w:color w:val="000000"/>
          <w:spacing w:val="-2"/>
          <w:sz w:val="21"/>
          <w:shd w:fill="E4E4E4" w:color="auto" w:val="clear"/>
        </w:rPr>
        <w:t>Arbor</w:t>
      </w:r>
      <w:r>
        <w:rPr>
          <w:color w:val="000000"/>
          <w:spacing w:val="-10"/>
          <w:sz w:val="21"/>
          <w:shd w:fill="E4E4E4" w:color="auto" w:val="clear"/>
        </w:rPr>
        <w:t> 分期方案Ⅰ期程度的何杰金氏病；</w:t>
      </w:r>
    </w:p>
    <w:p>
      <w:pPr>
        <w:pStyle w:val="BodyText"/>
        <w:spacing w:before="11"/>
        <w:rPr>
          <w:sz w:val="9"/>
        </w:rPr>
      </w:pPr>
    </w:p>
    <w:p>
      <w:pPr>
        <w:pStyle w:val="ListParagraph"/>
        <w:numPr>
          <w:ilvl w:val="0"/>
          <w:numId w:val="12"/>
        </w:numPr>
        <w:tabs>
          <w:tab w:pos="3254" w:val="left" w:leader="none"/>
          <w:tab w:pos="3255" w:val="left" w:leader="none"/>
        </w:tabs>
        <w:spacing w:line="278" w:lineRule="auto" w:before="72" w:after="0"/>
        <w:ind w:left="3254" w:right="356" w:hanging="721"/>
        <w:jc w:val="left"/>
        <w:rPr>
          <w:sz w:val="21"/>
        </w:rPr>
      </w:pPr>
      <w:r>
        <w:rPr>
          <w:color w:val="000000"/>
          <w:spacing w:val="-5"/>
          <w:sz w:val="21"/>
          <w:shd w:fill="E4E4E4" w:color="auto" w:val="clear"/>
        </w:rPr>
        <w:t>未发生淋巴结和远处转移且 </w:t>
      </w:r>
      <w:r>
        <w:rPr>
          <w:color w:val="000000"/>
          <w:sz w:val="21"/>
          <w:shd w:fill="E4E4E4" w:color="auto" w:val="clear"/>
        </w:rPr>
        <w:t>WHO</w:t>
      </w:r>
      <w:r>
        <w:rPr>
          <w:color w:val="000000"/>
          <w:spacing w:val="-22"/>
          <w:sz w:val="21"/>
          <w:shd w:fill="E4E4E4" w:color="auto" w:val="clear"/>
        </w:rPr>
        <w:t> 分级为 </w:t>
      </w:r>
      <w:r>
        <w:rPr>
          <w:color w:val="000000"/>
          <w:sz w:val="21"/>
          <w:shd w:fill="E4E4E4" w:color="auto" w:val="clear"/>
        </w:rPr>
        <w:t>G1</w:t>
      </w:r>
      <w:r>
        <w:rPr>
          <w:color w:val="000000"/>
          <w:spacing w:val="-19"/>
          <w:sz w:val="21"/>
          <w:shd w:fill="E4E4E4" w:color="auto" w:val="clear"/>
        </w:rPr>
        <w:t> 级别</w:t>
      </w:r>
      <w:r>
        <w:rPr>
          <w:color w:val="000000"/>
          <w:sz w:val="21"/>
          <w:shd w:fill="E4E4E4" w:color="auto" w:val="clear"/>
        </w:rPr>
        <w:t>（核分裂像＜10/50</w:t>
      </w:r>
      <w:r>
        <w:rPr>
          <w:color w:val="000000"/>
          <w:spacing w:val="33"/>
          <w:sz w:val="21"/>
          <w:shd w:fill="E4E4E4" w:color="auto" w:val="clear"/>
        </w:rPr>
        <w:t> </w:t>
      </w:r>
      <w:r>
        <w:rPr>
          <w:color w:val="000000"/>
          <w:sz w:val="21"/>
          <w:shd w:fill="E4E4E4" w:color="auto" w:val="clear"/>
        </w:rPr>
        <w:t>HPF</w:t>
      </w:r>
      <w:r>
        <w:rPr>
          <w:color w:val="000000"/>
          <w:spacing w:val="-28"/>
          <w:sz w:val="21"/>
          <w:shd w:fill="E4E4E4" w:color="auto" w:val="clear"/>
        </w:rPr>
        <w:t> 和</w:t>
      </w:r>
      <w:r>
        <w:rPr>
          <w:color w:val="000000"/>
          <w:sz w:val="21"/>
        </w:rPr>
        <w:t> </w:t>
      </w:r>
      <w:r>
        <w:rPr>
          <w:color w:val="000000"/>
          <w:spacing w:val="-2"/>
          <w:sz w:val="21"/>
          <w:shd w:fill="E4E4E4" w:color="auto" w:val="clear"/>
        </w:rPr>
        <w:t>ki-67≤2%）或更轻分级的神经内分泌肿瘤。</w:t>
      </w:r>
    </w:p>
    <w:p>
      <w:pPr>
        <w:pStyle w:val="Heading2"/>
        <w:numPr>
          <w:ilvl w:val="0"/>
          <w:numId w:val="11"/>
        </w:numPr>
        <w:tabs>
          <w:tab w:pos="3169" w:val="left" w:leader="none"/>
        </w:tabs>
        <w:spacing w:line="240" w:lineRule="auto" w:before="156" w:after="0"/>
        <w:ind w:left="3168" w:right="0" w:hanging="636"/>
        <w:jc w:val="left"/>
      </w:pPr>
      <w:r>
        <w:rPr>
          <w:spacing w:val="-2"/>
        </w:rPr>
        <w:t>较重急性心肌梗死:</w:t>
      </w:r>
    </w:p>
    <w:p>
      <w:pPr>
        <w:pStyle w:val="BodyText"/>
        <w:spacing w:before="6"/>
        <w:rPr>
          <w:b/>
          <w:sz w:val="15"/>
        </w:rPr>
      </w:pPr>
    </w:p>
    <w:p>
      <w:pPr>
        <w:pStyle w:val="BodyText"/>
        <w:spacing w:line="278" w:lineRule="auto" w:before="1"/>
        <w:ind w:left="2533" w:right="357"/>
      </w:pPr>
      <w:r>
        <w:rPr>
          <w:spacing w:val="2"/>
          <w:w w:val="100"/>
        </w:rPr>
        <w:t>急性心肌梗死指由于冠状动脉闭塞或梗阻引起部分心肌严重的持久性缺血造成急</w:t>
      </w:r>
      <w:r>
        <w:rPr>
          <w:spacing w:val="-3"/>
          <w:w w:val="100"/>
        </w:rPr>
        <w:t>性心肌坏死。急性心肌梗死的诊断必须依据国际国内诊断标准，符合</w:t>
      </w:r>
    </w:p>
    <w:p>
      <w:pPr>
        <w:pStyle w:val="BodyText"/>
        <w:rPr>
          <w:sz w:val="20"/>
        </w:rPr>
      </w:pPr>
    </w:p>
    <w:p>
      <w:pPr>
        <w:pStyle w:val="BodyText"/>
        <w:spacing w:before="4"/>
        <w:rPr>
          <w:sz w:val="11"/>
        </w:rPr>
      </w:pPr>
      <w:r>
        <w:rPr/>
        <w:drawing>
          <wp:anchor distT="0" distB="0" distL="0" distR="0" allowOverlap="1" layoutInCell="1" locked="0" behindDoc="0" simplePos="0" relativeHeight="54">
            <wp:simplePos x="0" y="0"/>
            <wp:positionH relativeFrom="page">
              <wp:posOffset>685800</wp:posOffset>
            </wp:positionH>
            <wp:positionV relativeFrom="paragraph">
              <wp:posOffset>107631</wp:posOffset>
            </wp:positionV>
            <wp:extent cx="1829282" cy="6095"/>
            <wp:effectExtent l="0" t="0" r="0" b="0"/>
            <wp:wrapTopAndBottom/>
            <wp:docPr id="51" name="image4.png"/>
            <wp:cNvGraphicFramePr>
              <a:graphicFrameLocks noChangeAspect="1"/>
            </wp:cNvGraphicFramePr>
            <a:graphic>
              <a:graphicData uri="http://schemas.openxmlformats.org/drawingml/2006/picture">
                <pic:pic>
                  <pic:nvPicPr>
                    <pic:cNvPr id="52" name="image4.png"/>
                    <pic:cNvPicPr/>
                  </pic:nvPicPr>
                  <pic:blipFill>
                    <a:blip r:embed="rId8" cstate="print"/>
                    <a:stretch>
                      <a:fillRect/>
                    </a:stretch>
                  </pic:blipFill>
                  <pic:spPr>
                    <a:xfrm>
                      <a:off x="0" y="0"/>
                      <a:ext cx="1829282" cy="6095"/>
                    </a:xfrm>
                    <a:prstGeom prst="rect">
                      <a:avLst/>
                    </a:prstGeom>
                  </pic:spPr>
                </pic:pic>
              </a:graphicData>
            </a:graphic>
          </wp:anchor>
        </w:drawing>
      </w:r>
    </w:p>
    <w:p>
      <w:pPr>
        <w:spacing w:before="91"/>
        <w:ind w:left="160" w:right="0" w:firstLine="0"/>
        <w:jc w:val="left"/>
        <w:rPr>
          <w:rFonts w:ascii="楷体" w:eastAsia="楷体"/>
          <w:sz w:val="18"/>
        </w:rPr>
      </w:pPr>
      <w:r>
        <w:rPr>
          <w:w w:val="95"/>
          <w:position w:val="9"/>
          <w:sz w:val="9"/>
        </w:rPr>
        <w:t>37</w:t>
      </w:r>
      <w:r>
        <w:rPr>
          <w:rFonts w:ascii="楷体" w:eastAsia="楷体" w:hint="eastAsia"/>
          <w:b/>
          <w:w w:val="95"/>
          <w:sz w:val="18"/>
        </w:rPr>
        <w:t>组</w:t>
      </w:r>
      <w:r>
        <w:rPr>
          <w:rFonts w:ascii="楷体" w:eastAsia="楷体" w:hint="eastAsia"/>
          <w:b/>
          <w:w w:val="95"/>
          <w:sz w:val="18"/>
        </w:rPr>
        <w:t>织</w:t>
      </w:r>
      <w:r>
        <w:rPr>
          <w:rFonts w:ascii="楷体" w:eastAsia="楷体" w:hint="eastAsia"/>
          <w:b/>
          <w:w w:val="95"/>
          <w:sz w:val="18"/>
        </w:rPr>
        <w:t>病</w:t>
      </w:r>
      <w:r>
        <w:rPr>
          <w:rFonts w:ascii="楷体" w:eastAsia="楷体" w:hint="eastAsia"/>
          <w:b/>
          <w:w w:val="95"/>
          <w:sz w:val="18"/>
        </w:rPr>
        <w:t>理</w:t>
      </w:r>
      <w:r>
        <w:rPr>
          <w:rFonts w:ascii="楷体" w:eastAsia="楷体" w:hint="eastAsia"/>
          <w:b/>
          <w:w w:val="95"/>
          <w:sz w:val="18"/>
        </w:rPr>
        <w:t>学检查</w:t>
      </w:r>
      <w:r>
        <w:rPr>
          <w:rFonts w:ascii="楷体" w:eastAsia="楷体"/>
          <w:w w:val="95"/>
          <w:sz w:val="18"/>
        </w:rPr>
        <w:t>：</w:t>
      </w:r>
      <w:r>
        <w:rPr>
          <w:rFonts w:ascii="楷体" w:eastAsia="楷体"/>
          <w:w w:val="95"/>
          <w:sz w:val="18"/>
        </w:rPr>
        <w:t>组</w:t>
      </w:r>
      <w:r>
        <w:rPr>
          <w:rFonts w:ascii="楷体" w:eastAsia="楷体"/>
          <w:w w:val="95"/>
          <w:sz w:val="18"/>
        </w:rPr>
        <w:t>织</w:t>
      </w:r>
      <w:r>
        <w:rPr>
          <w:rFonts w:ascii="楷体" w:eastAsia="楷体"/>
          <w:w w:val="95"/>
          <w:sz w:val="18"/>
        </w:rPr>
        <w:t>病</w:t>
      </w:r>
      <w:r>
        <w:rPr>
          <w:rFonts w:ascii="楷体" w:eastAsia="楷体"/>
          <w:w w:val="95"/>
          <w:sz w:val="18"/>
        </w:rPr>
        <w:t>理</w:t>
      </w:r>
      <w:r>
        <w:rPr>
          <w:rFonts w:ascii="楷体" w:eastAsia="楷体"/>
          <w:w w:val="95"/>
          <w:sz w:val="18"/>
        </w:rPr>
        <w:t>学</w:t>
      </w:r>
      <w:r>
        <w:rPr>
          <w:rFonts w:ascii="楷体" w:eastAsia="楷体"/>
          <w:w w:val="95"/>
          <w:sz w:val="18"/>
        </w:rPr>
        <w:t>检</w:t>
      </w:r>
      <w:r>
        <w:rPr>
          <w:rFonts w:ascii="楷体" w:eastAsia="楷体"/>
          <w:w w:val="95"/>
          <w:sz w:val="18"/>
        </w:rPr>
        <w:t>查</w:t>
      </w:r>
      <w:r>
        <w:rPr>
          <w:rFonts w:ascii="楷体" w:eastAsia="楷体"/>
          <w:w w:val="95"/>
          <w:sz w:val="18"/>
        </w:rPr>
        <w:t>是</w:t>
      </w:r>
      <w:r>
        <w:rPr>
          <w:rFonts w:ascii="楷体" w:eastAsia="楷体"/>
          <w:w w:val="95"/>
          <w:sz w:val="18"/>
        </w:rPr>
        <w:t>通</w:t>
      </w:r>
      <w:r>
        <w:rPr>
          <w:rFonts w:ascii="楷体" w:eastAsia="楷体"/>
          <w:w w:val="95"/>
          <w:sz w:val="18"/>
        </w:rPr>
        <w:t>过</w:t>
      </w:r>
      <w:r>
        <w:rPr>
          <w:rFonts w:ascii="楷体" w:eastAsia="楷体"/>
          <w:w w:val="95"/>
          <w:sz w:val="18"/>
        </w:rPr>
        <w:t>局</w:t>
      </w:r>
      <w:r>
        <w:rPr>
          <w:rFonts w:ascii="楷体" w:eastAsia="楷体"/>
          <w:w w:val="95"/>
          <w:sz w:val="18"/>
        </w:rPr>
        <w:t>部</w:t>
      </w:r>
      <w:r>
        <w:rPr>
          <w:rFonts w:ascii="楷体" w:eastAsia="楷体"/>
          <w:w w:val="95"/>
          <w:sz w:val="18"/>
        </w:rPr>
        <w:t>切</w:t>
      </w:r>
      <w:r>
        <w:rPr>
          <w:rFonts w:ascii="楷体" w:eastAsia="楷体"/>
          <w:w w:val="95"/>
          <w:sz w:val="18"/>
        </w:rPr>
        <w:t>除</w:t>
      </w:r>
      <w:r>
        <w:rPr>
          <w:rFonts w:ascii="楷体" w:eastAsia="楷体"/>
          <w:w w:val="95"/>
          <w:sz w:val="18"/>
        </w:rPr>
        <w:t>、</w:t>
      </w:r>
      <w:r>
        <w:rPr>
          <w:rFonts w:ascii="楷体" w:eastAsia="楷体"/>
          <w:w w:val="95"/>
          <w:sz w:val="18"/>
        </w:rPr>
        <w:t>钳</w:t>
      </w:r>
      <w:r>
        <w:rPr>
          <w:rFonts w:ascii="楷体" w:eastAsia="楷体"/>
          <w:w w:val="95"/>
          <w:sz w:val="18"/>
        </w:rPr>
        <w:t>取</w:t>
      </w:r>
      <w:r>
        <w:rPr>
          <w:rFonts w:ascii="楷体" w:eastAsia="楷体"/>
          <w:w w:val="95"/>
          <w:sz w:val="18"/>
        </w:rPr>
        <w:t>、</w:t>
      </w:r>
      <w:r>
        <w:rPr>
          <w:rFonts w:ascii="楷体" w:eastAsia="楷体"/>
          <w:w w:val="95"/>
          <w:sz w:val="18"/>
        </w:rPr>
        <w:t>穿</w:t>
      </w:r>
      <w:r>
        <w:rPr>
          <w:rFonts w:ascii="楷体" w:eastAsia="楷体"/>
          <w:w w:val="95"/>
          <w:sz w:val="18"/>
        </w:rPr>
        <w:t>刺</w:t>
      </w:r>
      <w:r>
        <w:rPr>
          <w:rFonts w:ascii="楷体" w:eastAsia="楷体"/>
          <w:w w:val="95"/>
          <w:sz w:val="18"/>
        </w:rPr>
        <w:t>等</w:t>
      </w:r>
      <w:r>
        <w:rPr>
          <w:rFonts w:ascii="楷体" w:eastAsia="楷体"/>
          <w:w w:val="95"/>
          <w:sz w:val="18"/>
        </w:rPr>
        <w:t>手</w:t>
      </w:r>
      <w:r>
        <w:rPr>
          <w:rFonts w:ascii="楷体" w:eastAsia="楷体"/>
          <w:w w:val="95"/>
          <w:sz w:val="18"/>
        </w:rPr>
        <w:t>术</w:t>
      </w:r>
      <w:r>
        <w:rPr>
          <w:rFonts w:ascii="楷体" w:eastAsia="楷体"/>
          <w:w w:val="95"/>
          <w:sz w:val="18"/>
        </w:rPr>
        <w:t>方</w:t>
      </w:r>
      <w:r>
        <w:rPr>
          <w:rFonts w:ascii="楷体" w:eastAsia="楷体"/>
          <w:w w:val="95"/>
          <w:sz w:val="18"/>
        </w:rPr>
        <w:t>法</w:t>
      </w:r>
      <w:r>
        <w:rPr>
          <w:rFonts w:ascii="楷体" w:eastAsia="楷体"/>
          <w:w w:val="95"/>
          <w:sz w:val="18"/>
        </w:rPr>
        <w:t>，</w:t>
      </w:r>
      <w:r>
        <w:rPr>
          <w:rFonts w:ascii="楷体" w:eastAsia="楷体"/>
          <w:w w:val="95"/>
          <w:sz w:val="18"/>
        </w:rPr>
        <w:t>从</w:t>
      </w:r>
      <w:r>
        <w:rPr>
          <w:rFonts w:ascii="楷体" w:eastAsia="楷体"/>
          <w:w w:val="95"/>
          <w:sz w:val="18"/>
        </w:rPr>
        <w:t>患</w:t>
      </w:r>
      <w:r>
        <w:rPr>
          <w:rFonts w:ascii="楷体" w:eastAsia="楷体"/>
          <w:w w:val="95"/>
          <w:sz w:val="18"/>
        </w:rPr>
        <w:t>者</w:t>
      </w:r>
      <w:r>
        <w:rPr>
          <w:rFonts w:ascii="楷体" w:eastAsia="楷体"/>
          <w:w w:val="95"/>
          <w:sz w:val="18"/>
        </w:rPr>
        <w:t>机</w:t>
      </w:r>
      <w:r>
        <w:rPr>
          <w:rFonts w:ascii="楷体" w:eastAsia="楷体"/>
          <w:w w:val="95"/>
          <w:sz w:val="18"/>
        </w:rPr>
        <w:t>体</w:t>
      </w:r>
      <w:r>
        <w:rPr>
          <w:rFonts w:ascii="楷体" w:eastAsia="楷体"/>
          <w:w w:val="95"/>
          <w:sz w:val="18"/>
        </w:rPr>
        <w:t>采</w:t>
      </w:r>
      <w:r>
        <w:rPr>
          <w:rFonts w:ascii="楷体" w:eastAsia="楷体"/>
          <w:w w:val="95"/>
          <w:sz w:val="18"/>
        </w:rPr>
        <w:t>取</w:t>
      </w:r>
      <w:r>
        <w:rPr>
          <w:rFonts w:ascii="楷体" w:eastAsia="楷体"/>
          <w:w w:val="95"/>
          <w:sz w:val="18"/>
        </w:rPr>
        <w:t>病</w:t>
      </w:r>
      <w:r>
        <w:rPr>
          <w:rFonts w:ascii="楷体" w:eastAsia="楷体"/>
          <w:w w:val="95"/>
          <w:sz w:val="18"/>
        </w:rPr>
        <w:t>变</w:t>
      </w:r>
      <w:r>
        <w:rPr>
          <w:rFonts w:ascii="楷体" w:eastAsia="楷体"/>
          <w:w w:val="95"/>
          <w:sz w:val="18"/>
        </w:rPr>
        <w:t>组</w:t>
      </w:r>
      <w:r>
        <w:rPr>
          <w:rFonts w:ascii="楷体" w:eastAsia="楷体"/>
          <w:w w:val="95"/>
          <w:sz w:val="18"/>
        </w:rPr>
        <w:t>织</w:t>
      </w:r>
      <w:r>
        <w:rPr>
          <w:rFonts w:ascii="楷体" w:eastAsia="楷体"/>
          <w:w w:val="95"/>
          <w:sz w:val="18"/>
        </w:rPr>
        <w:t>块</w:t>
      </w:r>
      <w:r>
        <w:rPr>
          <w:rFonts w:ascii="楷体" w:eastAsia="楷体"/>
          <w:w w:val="95"/>
          <w:sz w:val="18"/>
        </w:rPr>
        <w:t>，</w:t>
      </w:r>
      <w:r>
        <w:rPr>
          <w:rFonts w:ascii="楷体" w:eastAsia="楷体"/>
          <w:w w:val="95"/>
          <w:sz w:val="18"/>
        </w:rPr>
        <w:t>经</w:t>
      </w:r>
      <w:r>
        <w:rPr>
          <w:rFonts w:ascii="楷体" w:eastAsia="楷体"/>
          <w:w w:val="95"/>
          <w:sz w:val="18"/>
        </w:rPr>
        <w:t>过</w:t>
      </w:r>
      <w:r>
        <w:rPr>
          <w:rFonts w:ascii="楷体" w:eastAsia="楷体"/>
          <w:w w:val="95"/>
          <w:sz w:val="18"/>
        </w:rPr>
        <w:t>包</w:t>
      </w:r>
      <w:r>
        <w:rPr>
          <w:rFonts w:ascii="楷体" w:eastAsia="楷体"/>
          <w:w w:val="95"/>
          <w:sz w:val="18"/>
        </w:rPr>
        <w:t>埋</w:t>
      </w:r>
      <w:r>
        <w:rPr>
          <w:rFonts w:ascii="楷体" w:eastAsia="楷体"/>
          <w:w w:val="95"/>
          <w:sz w:val="18"/>
        </w:rPr>
        <w:t>、</w:t>
      </w:r>
      <w:r>
        <w:rPr>
          <w:rFonts w:ascii="楷体" w:eastAsia="楷体"/>
          <w:w w:val="95"/>
          <w:sz w:val="18"/>
        </w:rPr>
        <w:t>切</w:t>
      </w:r>
      <w:r>
        <w:rPr>
          <w:rFonts w:ascii="楷体" w:eastAsia="楷体"/>
          <w:spacing w:val="-10"/>
          <w:w w:val="95"/>
          <w:sz w:val="18"/>
        </w:rPr>
        <w:t>片</w:t>
      </w:r>
    </w:p>
    <w:p>
      <w:pPr>
        <w:spacing w:line="242" w:lineRule="auto" w:before="2"/>
        <w:ind w:left="160" w:right="537" w:firstLine="0"/>
        <w:jc w:val="left"/>
        <w:rPr>
          <w:rFonts w:ascii="楷体" w:eastAsia="楷体"/>
          <w:sz w:val="18"/>
        </w:rPr>
      </w:pPr>
      <w:r>
        <w:rPr>
          <w:rFonts w:ascii="楷体" w:eastAsia="楷体"/>
          <w:spacing w:val="-2"/>
          <w:sz w:val="18"/>
        </w:rPr>
        <w:t>后，进行病理检查的方法。通过采集病变部位脱落细胞、细针吸取病变部位细胞、体腔积液分离病变细胞等方式获取病变细</w:t>
      </w:r>
      <w:r>
        <w:rPr>
          <w:rFonts w:ascii="楷体" w:eastAsia="楷体"/>
          <w:spacing w:val="-2"/>
          <w:sz w:val="18"/>
        </w:rPr>
        <w:t>胞，制成涂片，进行病理检查的方法，属于细胞病理学检查，不属于组织病理学检查。</w:t>
      </w:r>
    </w:p>
    <w:p>
      <w:pPr>
        <w:spacing w:before="0"/>
        <w:ind w:left="160" w:right="0" w:firstLine="0"/>
        <w:jc w:val="left"/>
        <w:rPr>
          <w:rFonts w:ascii="楷体" w:eastAsia="楷体"/>
          <w:sz w:val="18"/>
        </w:rPr>
      </w:pPr>
      <w:r>
        <w:rPr>
          <w:rFonts w:ascii="楷体" w:eastAsia="楷体"/>
          <w:w w:val="95"/>
          <w:position w:val="9"/>
          <w:sz w:val="9"/>
        </w:rPr>
        <w:t>38</w:t>
      </w:r>
      <w:r>
        <w:rPr>
          <w:rFonts w:ascii="楷体" w:eastAsia="楷体" w:hint="eastAsia"/>
          <w:b/>
          <w:w w:val="95"/>
          <w:sz w:val="18"/>
        </w:rPr>
        <w:t>ICD-10</w:t>
      </w:r>
      <w:r>
        <w:rPr>
          <w:rFonts w:ascii="楷体" w:eastAsia="楷体"/>
          <w:w w:val="95"/>
          <w:sz w:val="18"/>
        </w:rPr>
        <w:t>:</w:t>
      </w:r>
      <w:r>
        <w:rPr>
          <w:rFonts w:ascii="楷体" w:eastAsia="楷体"/>
          <w:w w:val="95"/>
          <w:sz w:val="18"/>
        </w:rPr>
        <w:t>《</w:t>
      </w:r>
      <w:r>
        <w:rPr>
          <w:rFonts w:ascii="楷体" w:eastAsia="楷体"/>
          <w:w w:val="95"/>
          <w:sz w:val="18"/>
        </w:rPr>
        <w:t>疾</w:t>
      </w:r>
      <w:r>
        <w:rPr>
          <w:rFonts w:ascii="楷体" w:eastAsia="楷体"/>
          <w:w w:val="95"/>
          <w:sz w:val="18"/>
        </w:rPr>
        <w:t>病</w:t>
      </w:r>
      <w:r>
        <w:rPr>
          <w:rFonts w:ascii="楷体" w:eastAsia="楷体"/>
          <w:w w:val="95"/>
          <w:sz w:val="18"/>
        </w:rPr>
        <w:t>和</w:t>
      </w:r>
      <w:r>
        <w:rPr>
          <w:rFonts w:ascii="楷体" w:eastAsia="楷体"/>
          <w:w w:val="95"/>
          <w:sz w:val="18"/>
        </w:rPr>
        <w:t>有</w:t>
      </w:r>
      <w:r>
        <w:rPr>
          <w:rFonts w:ascii="楷体" w:eastAsia="楷体"/>
          <w:w w:val="95"/>
          <w:sz w:val="18"/>
        </w:rPr>
        <w:t>关</w:t>
      </w:r>
      <w:r>
        <w:rPr>
          <w:rFonts w:ascii="楷体" w:eastAsia="楷体"/>
          <w:w w:val="95"/>
          <w:sz w:val="18"/>
        </w:rPr>
        <w:t>健</w:t>
      </w:r>
      <w:r>
        <w:rPr>
          <w:rFonts w:ascii="楷体" w:eastAsia="楷体"/>
          <w:w w:val="95"/>
          <w:sz w:val="18"/>
        </w:rPr>
        <w:t>康</w:t>
      </w:r>
      <w:r>
        <w:rPr>
          <w:rFonts w:ascii="楷体" w:eastAsia="楷体"/>
          <w:w w:val="95"/>
          <w:sz w:val="18"/>
        </w:rPr>
        <w:t>问</w:t>
      </w:r>
      <w:r>
        <w:rPr>
          <w:rFonts w:ascii="楷体" w:eastAsia="楷体"/>
          <w:w w:val="95"/>
          <w:sz w:val="18"/>
        </w:rPr>
        <w:t>题</w:t>
      </w:r>
      <w:r>
        <w:rPr>
          <w:rFonts w:ascii="楷体" w:eastAsia="楷体"/>
          <w:w w:val="95"/>
          <w:sz w:val="18"/>
        </w:rPr>
        <w:t>的</w:t>
      </w:r>
      <w:r>
        <w:rPr>
          <w:rFonts w:ascii="楷体" w:eastAsia="楷体"/>
          <w:w w:val="95"/>
          <w:sz w:val="18"/>
        </w:rPr>
        <w:t>国</w:t>
      </w:r>
      <w:r>
        <w:rPr>
          <w:rFonts w:ascii="楷体" w:eastAsia="楷体"/>
          <w:w w:val="95"/>
          <w:sz w:val="18"/>
        </w:rPr>
        <w:t>际</w:t>
      </w:r>
      <w:r>
        <w:rPr>
          <w:rFonts w:ascii="楷体" w:eastAsia="楷体"/>
          <w:w w:val="95"/>
          <w:sz w:val="18"/>
        </w:rPr>
        <w:t>统</w:t>
      </w:r>
      <w:r>
        <w:rPr>
          <w:rFonts w:ascii="楷体" w:eastAsia="楷体"/>
          <w:w w:val="95"/>
          <w:sz w:val="18"/>
        </w:rPr>
        <w:t>计</w:t>
      </w:r>
      <w:r>
        <w:rPr>
          <w:rFonts w:ascii="楷体" w:eastAsia="楷体"/>
          <w:w w:val="95"/>
          <w:sz w:val="18"/>
        </w:rPr>
        <w:t>分</w:t>
      </w:r>
      <w:r>
        <w:rPr>
          <w:rFonts w:ascii="楷体" w:eastAsia="楷体"/>
          <w:w w:val="95"/>
          <w:sz w:val="18"/>
        </w:rPr>
        <w:t>类</w:t>
      </w:r>
      <w:r>
        <w:rPr>
          <w:rFonts w:ascii="楷体" w:eastAsia="楷体"/>
          <w:w w:val="95"/>
          <w:sz w:val="18"/>
        </w:rPr>
        <w:t>》</w:t>
      </w:r>
      <w:r>
        <w:rPr>
          <w:rFonts w:ascii="楷体" w:eastAsia="楷体"/>
          <w:w w:val="95"/>
          <w:sz w:val="18"/>
        </w:rPr>
        <w:t>第</w:t>
      </w:r>
      <w:r>
        <w:rPr>
          <w:rFonts w:ascii="楷体" w:eastAsia="楷体"/>
          <w:w w:val="95"/>
          <w:sz w:val="18"/>
        </w:rPr>
        <w:t>十</w:t>
      </w:r>
      <w:r>
        <w:rPr>
          <w:rFonts w:ascii="楷体" w:eastAsia="楷体"/>
          <w:w w:val="95"/>
          <w:sz w:val="18"/>
        </w:rPr>
        <w:t>次</w:t>
      </w:r>
      <w:r>
        <w:rPr>
          <w:rFonts w:ascii="楷体" w:eastAsia="楷体"/>
          <w:w w:val="95"/>
          <w:sz w:val="18"/>
        </w:rPr>
        <w:t>修</w:t>
      </w:r>
      <w:r>
        <w:rPr>
          <w:rFonts w:ascii="楷体" w:eastAsia="楷体"/>
          <w:w w:val="95"/>
          <w:sz w:val="18"/>
        </w:rPr>
        <w:t>订版（ICD-10）,</w:t>
      </w:r>
      <w:r>
        <w:rPr>
          <w:rFonts w:ascii="楷体" w:eastAsia="楷体"/>
          <w:w w:val="95"/>
          <w:sz w:val="18"/>
        </w:rPr>
        <w:t>是</w:t>
      </w:r>
      <w:r>
        <w:rPr>
          <w:rFonts w:ascii="楷体" w:eastAsia="楷体"/>
          <w:w w:val="95"/>
          <w:sz w:val="18"/>
        </w:rPr>
        <w:t>世</w:t>
      </w:r>
      <w:r>
        <w:rPr>
          <w:rFonts w:ascii="楷体" w:eastAsia="楷体"/>
          <w:w w:val="95"/>
          <w:sz w:val="18"/>
        </w:rPr>
        <w:t>界</w:t>
      </w:r>
      <w:r>
        <w:rPr>
          <w:rFonts w:ascii="楷体" w:eastAsia="楷体"/>
          <w:w w:val="95"/>
          <w:sz w:val="18"/>
        </w:rPr>
        <w:t>卫</w:t>
      </w:r>
      <w:r>
        <w:rPr>
          <w:rFonts w:ascii="楷体" w:eastAsia="楷体"/>
          <w:w w:val="95"/>
          <w:sz w:val="18"/>
        </w:rPr>
        <w:t>生</w:t>
      </w:r>
      <w:r>
        <w:rPr>
          <w:rFonts w:ascii="楷体" w:eastAsia="楷体"/>
          <w:w w:val="95"/>
          <w:sz w:val="18"/>
        </w:rPr>
        <w:t>组</w:t>
      </w:r>
      <w:r>
        <w:rPr>
          <w:rFonts w:ascii="楷体" w:eastAsia="楷体"/>
          <w:w w:val="95"/>
          <w:sz w:val="18"/>
        </w:rPr>
        <w:t>织（WHO）</w:t>
      </w:r>
      <w:r>
        <w:rPr>
          <w:rFonts w:ascii="楷体" w:eastAsia="楷体"/>
          <w:w w:val="95"/>
          <w:sz w:val="18"/>
        </w:rPr>
        <w:t>发</w:t>
      </w:r>
      <w:r>
        <w:rPr>
          <w:rFonts w:ascii="楷体" w:eastAsia="楷体"/>
          <w:w w:val="95"/>
          <w:sz w:val="18"/>
        </w:rPr>
        <w:t>布</w:t>
      </w:r>
      <w:r>
        <w:rPr>
          <w:rFonts w:ascii="楷体" w:eastAsia="楷体"/>
          <w:w w:val="95"/>
          <w:sz w:val="18"/>
        </w:rPr>
        <w:t>的</w:t>
      </w:r>
      <w:r>
        <w:rPr>
          <w:rFonts w:ascii="楷体" w:eastAsia="楷体"/>
          <w:w w:val="95"/>
          <w:sz w:val="18"/>
        </w:rPr>
        <w:t>国</w:t>
      </w:r>
      <w:r>
        <w:rPr>
          <w:rFonts w:ascii="楷体" w:eastAsia="楷体"/>
          <w:w w:val="95"/>
          <w:sz w:val="18"/>
        </w:rPr>
        <w:t>际</w:t>
      </w:r>
      <w:r>
        <w:rPr>
          <w:rFonts w:ascii="楷体" w:eastAsia="楷体"/>
          <w:w w:val="95"/>
          <w:sz w:val="18"/>
        </w:rPr>
        <w:t>通</w:t>
      </w:r>
      <w:r>
        <w:rPr>
          <w:rFonts w:ascii="楷体" w:eastAsia="楷体"/>
          <w:w w:val="95"/>
          <w:sz w:val="18"/>
        </w:rPr>
        <w:t>用</w:t>
      </w:r>
      <w:r>
        <w:rPr>
          <w:rFonts w:ascii="楷体" w:eastAsia="楷体"/>
          <w:w w:val="95"/>
          <w:sz w:val="18"/>
        </w:rPr>
        <w:t>的</w:t>
      </w:r>
      <w:r>
        <w:rPr>
          <w:rFonts w:ascii="楷体" w:eastAsia="楷体"/>
          <w:w w:val="95"/>
          <w:sz w:val="18"/>
        </w:rPr>
        <w:t>疾</w:t>
      </w:r>
      <w:r>
        <w:rPr>
          <w:rFonts w:ascii="楷体" w:eastAsia="楷体"/>
          <w:spacing w:val="-10"/>
          <w:w w:val="95"/>
          <w:sz w:val="18"/>
        </w:rPr>
        <w:t>病</w:t>
      </w:r>
    </w:p>
    <w:p>
      <w:pPr>
        <w:spacing w:line="242" w:lineRule="auto" w:before="5"/>
        <w:ind w:left="160" w:right="534" w:firstLine="0"/>
        <w:jc w:val="both"/>
        <w:rPr>
          <w:rFonts w:ascii="楷体" w:eastAsia="楷体"/>
          <w:sz w:val="18"/>
        </w:rPr>
      </w:pPr>
      <w:r>
        <w:rPr>
          <w:rFonts w:ascii="楷体" w:eastAsia="楷体"/>
          <w:spacing w:val="-11"/>
          <w:sz w:val="18"/>
        </w:rPr>
        <w:t>分类方法。《国际疾病分类肿瘤学专辑》第三版</w:t>
      </w:r>
      <w:r>
        <w:rPr>
          <w:rFonts w:ascii="楷体" w:eastAsia="楷体"/>
          <w:sz w:val="18"/>
        </w:rPr>
        <w:t>（</w:t>
      </w:r>
      <w:r>
        <w:rPr>
          <w:rFonts w:ascii="楷体" w:eastAsia="楷体"/>
          <w:spacing w:val="-2"/>
          <w:sz w:val="18"/>
        </w:rPr>
        <w:t>I</w:t>
      </w:r>
      <w:r>
        <w:rPr>
          <w:rFonts w:ascii="楷体" w:eastAsia="楷体"/>
          <w:spacing w:val="1"/>
          <w:sz w:val="18"/>
        </w:rPr>
        <w:t>C</w:t>
      </w:r>
      <w:r>
        <w:rPr>
          <w:rFonts w:ascii="楷体" w:eastAsia="楷体"/>
          <w:spacing w:val="-2"/>
          <w:sz w:val="18"/>
        </w:rPr>
        <w:t>D</w:t>
      </w:r>
      <w:r>
        <w:rPr>
          <w:rFonts w:ascii="楷体" w:eastAsia="楷体"/>
          <w:spacing w:val="1"/>
          <w:sz w:val="18"/>
        </w:rPr>
        <w:t>-</w:t>
      </w:r>
      <w:r>
        <w:rPr>
          <w:rFonts w:ascii="楷体" w:eastAsia="楷体"/>
          <w:spacing w:val="-2"/>
          <w:sz w:val="18"/>
        </w:rPr>
        <w:t>O</w:t>
      </w:r>
      <w:r>
        <w:rPr>
          <w:rFonts w:ascii="楷体" w:eastAsia="楷体"/>
          <w:spacing w:val="1"/>
          <w:sz w:val="18"/>
        </w:rPr>
        <w:t>-</w:t>
      </w:r>
      <w:r>
        <w:rPr>
          <w:rFonts w:ascii="楷体" w:eastAsia="楷体"/>
          <w:spacing w:val="-2"/>
          <w:sz w:val="18"/>
        </w:rPr>
        <w:t>3</w:t>
      </w:r>
      <w:r>
        <w:rPr>
          <w:rFonts w:ascii="楷体" w:eastAsia="楷体"/>
          <w:spacing w:val="-10"/>
          <w:sz w:val="18"/>
        </w:rPr>
        <w:t>）</w:t>
      </w:r>
      <w:r>
        <w:rPr>
          <w:rFonts w:ascii="楷体" w:eastAsia="楷体"/>
          <w:spacing w:val="-16"/>
          <w:sz w:val="18"/>
        </w:rPr>
        <w:t>,是 </w:t>
      </w:r>
      <w:r>
        <w:rPr>
          <w:rFonts w:ascii="楷体" w:eastAsia="楷体"/>
          <w:spacing w:val="1"/>
          <w:sz w:val="18"/>
        </w:rPr>
        <w:t>W</w:t>
      </w:r>
      <w:r>
        <w:rPr>
          <w:rFonts w:ascii="楷体" w:eastAsia="楷体"/>
          <w:spacing w:val="-2"/>
          <w:sz w:val="18"/>
        </w:rPr>
        <w:t>H</w:t>
      </w:r>
      <w:r>
        <w:rPr>
          <w:rFonts w:ascii="楷体" w:eastAsia="楷体"/>
          <w:sz w:val="18"/>
        </w:rPr>
        <w:t>O</w:t>
      </w:r>
      <w:r>
        <w:rPr>
          <w:rFonts w:ascii="楷体" w:eastAsia="楷体"/>
          <w:spacing w:val="-2"/>
          <w:sz w:val="18"/>
        </w:rPr>
        <w:t> 发布的针对</w:t>
      </w:r>
      <w:r>
        <w:rPr>
          <w:rFonts w:ascii="楷体" w:eastAsia="楷体"/>
          <w:spacing w:val="1"/>
          <w:sz w:val="18"/>
        </w:rPr>
        <w:t>I</w:t>
      </w:r>
      <w:r>
        <w:rPr>
          <w:rFonts w:ascii="楷体" w:eastAsia="楷体"/>
          <w:spacing w:val="-2"/>
          <w:sz w:val="18"/>
        </w:rPr>
        <w:t>C</w:t>
      </w:r>
      <w:r>
        <w:rPr>
          <w:rFonts w:ascii="楷体" w:eastAsia="楷体"/>
          <w:sz w:val="18"/>
        </w:rPr>
        <w:t>D</w:t>
      </w:r>
      <w:r>
        <w:rPr>
          <w:rFonts w:ascii="楷体" w:eastAsia="楷体"/>
          <w:spacing w:val="-9"/>
          <w:sz w:val="18"/>
        </w:rPr>
        <w:t> 中肿瘤形态学组织学细胞分类、动态、分化程度的补充编码。其中形态学编码：</w:t>
      </w:r>
      <w:r>
        <w:rPr>
          <w:rFonts w:ascii="楷体" w:eastAsia="楷体"/>
          <w:sz w:val="18"/>
        </w:rPr>
        <w:t>0</w:t>
      </w:r>
      <w:r>
        <w:rPr>
          <w:rFonts w:ascii="楷体" w:eastAsia="楷体"/>
          <w:spacing w:val="-7"/>
          <w:sz w:val="18"/>
        </w:rPr>
        <w:t> 代表良性肿瘤</w:t>
      </w:r>
      <w:r>
        <w:rPr>
          <w:rFonts w:ascii="楷体" w:eastAsia="楷体"/>
          <w:sz w:val="18"/>
        </w:rPr>
        <w:t>；1</w:t>
      </w:r>
      <w:r>
        <w:rPr>
          <w:rFonts w:ascii="楷体" w:eastAsia="楷体"/>
          <w:spacing w:val="-7"/>
          <w:sz w:val="18"/>
        </w:rPr>
        <w:t> 代表动态未定性肿瘤</w:t>
      </w:r>
      <w:r>
        <w:rPr>
          <w:rFonts w:ascii="楷体" w:eastAsia="楷体"/>
          <w:sz w:val="18"/>
        </w:rPr>
        <w:t>；2</w:t>
      </w:r>
      <w:r>
        <w:rPr>
          <w:rFonts w:ascii="楷体" w:eastAsia="楷体"/>
          <w:spacing w:val="-7"/>
          <w:sz w:val="18"/>
        </w:rPr>
        <w:t> 代表原位癌和非侵袭性癌</w:t>
      </w:r>
      <w:r>
        <w:rPr>
          <w:rFonts w:ascii="楷体" w:eastAsia="楷体"/>
          <w:sz w:val="18"/>
        </w:rPr>
        <w:t>；3</w:t>
      </w:r>
      <w:r>
        <w:rPr>
          <w:rFonts w:ascii="楷体" w:eastAsia="楷体"/>
          <w:spacing w:val="-10"/>
          <w:sz w:val="18"/>
        </w:rPr>
        <w:t> 代表恶性肿</w:t>
      </w:r>
      <w:r>
        <w:rPr>
          <w:rFonts w:ascii="楷体" w:eastAsia="楷体"/>
          <w:spacing w:val="-10"/>
          <w:sz w:val="18"/>
        </w:rPr>
        <w:t>瘤</w:t>
      </w:r>
      <w:r>
        <w:rPr>
          <w:rFonts w:ascii="楷体" w:eastAsia="楷体"/>
          <w:sz w:val="18"/>
        </w:rPr>
        <w:t>（原发性</w:t>
      </w:r>
      <w:r>
        <w:rPr>
          <w:rFonts w:ascii="楷体" w:eastAsia="楷体"/>
          <w:spacing w:val="-92"/>
          <w:sz w:val="18"/>
        </w:rPr>
        <w:t>）</w:t>
      </w:r>
      <w:r>
        <w:rPr>
          <w:rFonts w:ascii="楷体" w:eastAsia="楷体"/>
          <w:spacing w:val="-10"/>
          <w:sz w:val="18"/>
        </w:rPr>
        <w:t>；</w:t>
      </w:r>
      <w:r>
        <w:rPr>
          <w:rFonts w:ascii="楷体" w:eastAsia="楷体"/>
          <w:sz w:val="18"/>
        </w:rPr>
        <w:t>6</w:t>
      </w:r>
      <w:r>
        <w:rPr>
          <w:rFonts w:ascii="楷体" w:eastAsia="楷体"/>
          <w:spacing w:val="-10"/>
          <w:sz w:val="18"/>
        </w:rPr>
        <w:t> 代表恶性肿瘤</w:t>
      </w:r>
      <w:r>
        <w:rPr>
          <w:rFonts w:ascii="楷体" w:eastAsia="楷体"/>
          <w:sz w:val="18"/>
        </w:rPr>
        <w:t>（转移性</w:t>
      </w:r>
      <w:r>
        <w:rPr>
          <w:rFonts w:ascii="楷体" w:eastAsia="楷体"/>
          <w:spacing w:val="-92"/>
          <w:sz w:val="18"/>
        </w:rPr>
        <w:t>）</w:t>
      </w:r>
      <w:r>
        <w:rPr>
          <w:rFonts w:ascii="楷体" w:eastAsia="楷体"/>
          <w:spacing w:val="-9"/>
          <w:sz w:val="18"/>
        </w:rPr>
        <w:t>；</w:t>
      </w:r>
      <w:r>
        <w:rPr>
          <w:rFonts w:ascii="楷体" w:eastAsia="楷体"/>
          <w:sz w:val="18"/>
        </w:rPr>
        <w:t>9</w:t>
      </w:r>
      <w:r>
        <w:rPr>
          <w:rFonts w:ascii="楷体" w:eastAsia="楷体"/>
          <w:spacing w:val="-10"/>
          <w:sz w:val="18"/>
        </w:rPr>
        <w:t> 代表恶性肿瘤</w:t>
      </w:r>
      <w:r>
        <w:rPr>
          <w:rFonts w:ascii="楷体" w:eastAsia="楷体"/>
          <w:spacing w:val="-3"/>
          <w:sz w:val="18"/>
        </w:rPr>
        <w:t>（</w:t>
      </w:r>
      <w:r>
        <w:rPr>
          <w:rFonts w:ascii="楷体" w:eastAsia="楷体"/>
          <w:sz w:val="18"/>
        </w:rPr>
        <w:t>原发性或转移性未肯定</w:t>
      </w:r>
      <w:r>
        <w:rPr>
          <w:rFonts w:ascii="楷体" w:eastAsia="楷体"/>
          <w:spacing w:val="-92"/>
          <w:sz w:val="18"/>
        </w:rPr>
        <w:t>）</w:t>
      </w:r>
      <w:r>
        <w:rPr>
          <w:rFonts w:ascii="楷体" w:eastAsia="楷体"/>
          <w:spacing w:val="-10"/>
          <w:sz w:val="18"/>
        </w:rPr>
        <w:t>。如果出现 </w:t>
      </w:r>
      <w:r>
        <w:rPr>
          <w:rFonts w:ascii="楷体" w:eastAsia="楷体"/>
          <w:spacing w:val="1"/>
          <w:sz w:val="18"/>
        </w:rPr>
        <w:t>I</w:t>
      </w:r>
      <w:r>
        <w:rPr>
          <w:rFonts w:ascii="楷体" w:eastAsia="楷体"/>
          <w:spacing w:val="-2"/>
          <w:sz w:val="18"/>
        </w:rPr>
        <w:t>C</w:t>
      </w:r>
      <w:r>
        <w:rPr>
          <w:rFonts w:ascii="楷体" w:eastAsia="楷体"/>
          <w:spacing w:val="1"/>
          <w:sz w:val="18"/>
        </w:rPr>
        <w:t>D</w:t>
      </w:r>
      <w:r>
        <w:rPr>
          <w:rFonts w:ascii="楷体" w:eastAsia="楷体"/>
          <w:spacing w:val="-2"/>
          <w:sz w:val="18"/>
        </w:rPr>
        <w:t>-</w:t>
      </w:r>
      <w:r>
        <w:rPr>
          <w:rFonts w:ascii="楷体" w:eastAsia="楷体"/>
          <w:spacing w:val="1"/>
          <w:sz w:val="18"/>
        </w:rPr>
        <w:t>1</w:t>
      </w:r>
      <w:r>
        <w:rPr>
          <w:rFonts w:ascii="楷体" w:eastAsia="楷体"/>
          <w:sz w:val="18"/>
        </w:rPr>
        <w:t>0</w:t>
      </w:r>
      <w:r>
        <w:rPr>
          <w:rFonts w:ascii="楷体" w:eastAsia="楷体"/>
          <w:spacing w:val="-30"/>
          <w:sz w:val="18"/>
        </w:rPr>
        <w:t> 与 </w:t>
      </w:r>
      <w:r>
        <w:rPr>
          <w:rFonts w:ascii="楷体" w:eastAsia="楷体"/>
          <w:spacing w:val="-2"/>
          <w:sz w:val="18"/>
        </w:rPr>
        <w:t>I</w:t>
      </w:r>
      <w:r>
        <w:rPr>
          <w:rFonts w:ascii="楷体" w:eastAsia="楷体"/>
          <w:spacing w:val="1"/>
          <w:sz w:val="18"/>
        </w:rPr>
        <w:t>C</w:t>
      </w:r>
      <w:r>
        <w:rPr>
          <w:rFonts w:ascii="楷体" w:eastAsia="楷体"/>
          <w:spacing w:val="-2"/>
          <w:sz w:val="18"/>
        </w:rPr>
        <w:t>D</w:t>
      </w:r>
      <w:r>
        <w:rPr>
          <w:rFonts w:ascii="楷体" w:eastAsia="楷体"/>
          <w:spacing w:val="1"/>
          <w:sz w:val="18"/>
        </w:rPr>
        <w:t>-</w:t>
      </w:r>
      <w:r>
        <w:rPr>
          <w:rFonts w:ascii="楷体" w:eastAsia="楷体"/>
          <w:spacing w:val="-2"/>
          <w:sz w:val="18"/>
        </w:rPr>
        <w:t>0</w:t>
      </w:r>
      <w:r>
        <w:rPr>
          <w:rFonts w:ascii="楷体" w:eastAsia="楷体"/>
          <w:spacing w:val="1"/>
          <w:sz w:val="18"/>
        </w:rPr>
        <w:t>-</w:t>
      </w:r>
      <w:r>
        <w:rPr>
          <w:rFonts w:ascii="楷体" w:eastAsia="楷体"/>
          <w:sz w:val="18"/>
        </w:rPr>
        <w:t>3</w:t>
      </w:r>
      <w:r>
        <w:rPr>
          <w:rFonts w:ascii="楷体" w:eastAsia="楷体"/>
          <w:spacing w:val="-10"/>
          <w:sz w:val="18"/>
        </w:rPr>
        <w:t> 不一致的</w:t>
      </w:r>
      <w:r>
        <w:rPr>
          <w:rFonts w:ascii="楷体" w:eastAsia="楷体"/>
          <w:spacing w:val="-17"/>
          <w:sz w:val="18"/>
        </w:rPr>
        <w:t>情况，以 </w:t>
      </w:r>
      <w:r>
        <w:rPr>
          <w:rFonts w:ascii="楷体" w:eastAsia="楷体"/>
          <w:spacing w:val="1"/>
          <w:sz w:val="18"/>
        </w:rPr>
        <w:t>I</w:t>
      </w:r>
      <w:r>
        <w:rPr>
          <w:rFonts w:ascii="楷体" w:eastAsia="楷体"/>
          <w:spacing w:val="-2"/>
          <w:sz w:val="18"/>
        </w:rPr>
        <w:t>C</w:t>
      </w:r>
      <w:r>
        <w:rPr>
          <w:rFonts w:ascii="楷体" w:eastAsia="楷体"/>
          <w:spacing w:val="1"/>
          <w:sz w:val="18"/>
        </w:rPr>
        <w:t>D</w:t>
      </w:r>
      <w:r>
        <w:rPr>
          <w:rFonts w:ascii="楷体" w:eastAsia="楷体"/>
          <w:spacing w:val="-2"/>
          <w:sz w:val="18"/>
        </w:rPr>
        <w:t>-</w:t>
      </w:r>
      <w:r>
        <w:rPr>
          <w:rFonts w:ascii="楷体" w:eastAsia="楷体"/>
          <w:spacing w:val="1"/>
          <w:sz w:val="18"/>
        </w:rPr>
        <w:t>0</w:t>
      </w:r>
      <w:r>
        <w:rPr>
          <w:rFonts w:ascii="楷体" w:eastAsia="楷体"/>
          <w:spacing w:val="-2"/>
          <w:sz w:val="18"/>
        </w:rPr>
        <w:t>-</w:t>
      </w:r>
      <w:r>
        <w:rPr>
          <w:rFonts w:ascii="楷体" w:eastAsia="楷体"/>
          <w:sz w:val="18"/>
        </w:rPr>
        <w:t>3</w:t>
      </w:r>
      <w:r>
        <w:rPr>
          <w:rFonts w:ascii="楷体" w:eastAsia="楷体"/>
          <w:spacing w:val="-12"/>
          <w:sz w:val="18"/>
        </w:rPr>
        <w:t> 为准。</w:t>
      </w:r>
    </w:p>
    <w:p>
      <w:pPr>
        <w:spacing w:line="242" w:lineRule="auto" w:before="2"/>
        <w:ind w:left="102" w:right="533" w:firstLine="0"/>
        <w:jc w:val="both"/>
        <w:rPr>
          <w:rFonts w:ascii="楷体" w:eastAsia="楷体"/>
          <w:sz w:val="18"/>
        </w:rPr>
      </w:pPr>
      <w:r>
        <w:rPr>
          <w:rFonts w:ascii="楷体" w:eastAsia="楷体"/>
          <w:w w:val="101"/>
          <w:position w:val="9"/>
          <w:sz w:val="9"/>
        </w:rPr>
        <w:t>39</w:t>
      </w:r>
      <w:r>
        <w:rPr>
          <w:rFonts w:ascii="楷体" w:eastAsia="楷体" w:hint="eastAsia"/>
          <w:b/>
          <w:spacing w:val="1"/>
          <w:w w:val="99"/>
          <w:sz w:val="18"/>
        </w:rPr>
        <w:t>TN</w:t>
      </w:r>
      <w:r>
        <w:rPr>
          <w:rFonts w:ascii="楷体" w:eastAsia="楷体" w:hint="eastAsia"/>
          <w:b/>
          <w:w w:val="99"/>
          <w:sz w:val="18"/>
        </w:rPr>
        <w:t>M</w:t>
      </w:r>
      <w:r>
        <w:rPr>
          <w:rFonts w:ascii="楷体" w:eastAsia="楷体" w:hint="eastAsia"/>
          <w:b/>
          <w:spacing w:val="-44"/>
          <w:sz w:val="18"/>
        </w:rPr>
        <w:t> </w:t>
      </w:r>
      <w:r>
        <w:rPr>
          <w:rFonts w:ascii="楷体" w:eastAsia="楷体" w:hint="eastAsia"/>
          <w:b/>
          <w:w w:val="99"/>
          <w:sz w:val="18"/>
        </w:rPr>
        <w:t>分期</w:t>
      </w:r>
      <w:r>
        <w:rPr>
          <w:rFonts w:ascii="楷体" w:eastAsia="楷体"/>
          <w:spacing w:val="-3"/>
          <w:sz w:val="18"/>
        </w:rPr>
        <w:t>：</w:t>
      </w:r>
      <w:r>
        <w:rPr>
          <w:rFonts w:ascii="楷体" w:eastAsia="楷体"/>
          <w:spacing w:val="-2"/>
          <w:sz w:val="18"/>
        </w:rPr>
        <w:t>T</w:t>
      </w:r>
      <w:r>
        <w:rPr>
          <w:rFonts w:ascii="楷体" w:eastAsia="楷体"/>
          <w:spacing w:val="1"/>
          <w:sz w:val="18"/>
        </w:rPr>
        <w:t>N</w:t>
      </w:r>
      <w:r>
        <w:rPr>
          <w:rFonts w:ascii="楷体" w:eastAsia="楷体"/>
          <w:sz w:val="18"/>
        </w:rPr>
        <w:t>M</w:t>
      </w:r>
      <w:r>
        <w:rPr>
          <w:rFonts w:ascii="楷体" w:eastAsia="楷体"/>
          <w:spacing w:val="-16"/>
          <w:sz w:val="18"/>
        </w:rPr>
        <w:t> 分期采用 </w:t>
      </w:r>
      <w:r>
        <w:rPr>
          <w:rFonts w:ascii="楷体" w:eastAsia="楷体"/>
          <w:spacing w:val="-2"/>
          <w:sz w:val="18"/>
        </w:rPr>
        <w:t>A</w:t>
      </w:r>
      <w:r>
        <w:rPr>
          <w:rFonts w:ascii="楷体" w:eastAsia="楷体"/>
          <w:spacing w:val="1"/>
          <w:sz w:val="18"/>
        </w:rPr>
        <w:t>J</w:t>
      </w:r>
      <w:r>
        <w:rPr>
          <w:rFonts w:ascii="楷体" w:eastAsia="楷体"/>
          <w:spacing w:val="-2"/>
          <w:sz w:val="18"/>
        </w:rPr>
        <w:t>C</w:t>
      </w:r>
      <w:r>
        <w:rPr>
          <w:rFonts w:ascii="楷体" w:eastAsia="楷体"/>
          <w:sz w:val="18"/>
        </w:rPr>
        <w:t>C</w:t>
      </w:r>
      <w:r>
        <w:rPr>
          <w:rFonts w:ascii="楷体" w:eastAsia="楷体"/>
          <w:spacing w:val="-9"/>
          <w:sz w:val="18"/>
        </w:rPr>
        <w:t> 癌症分期手册标准。该标准由美国癌症联合委员会与国际抗癌联合会 </w:t>
      </w:r>
      <w:r>
        <w:rPr>
          <w:rFonts w:ascii="楷体" w:eastAsia="楷体"/>
          <w:spacing w:val="1"/>
          <w:sz w:val="18"/>
        </w:rPr>
        <w:t>T</w:t>
      </w:r>
      <w:r>
        <w:rPr>
          <w:rFonts w:ascii="楷体" w:eastAsia="楷体"/>
          <w:spacing w:val="-2"/>
          <w:sz w:val="18"/>
        </w:rPr>
        <w:t>N</w:t>
      </w:r>
      <w:r>
        <w:rPr>
          <w:rFonts w:ascii="楷体" w:eastAsia="楷体"/>
          <w:sz w:val="18"/>
        </w:rPr>
        <w:t>M</w:t>
      </w:r>
      <w:r>
        <w:rPr>
          <w:rFonts w:ascii="楷体" w:eastAsia="楷体"/>
          <w:spacing w:val="-8"/>
          <w:sz w:val="18"/>
        </w:rPr>
        <w:t> 委员会联合制定，是目前肿瘤医学分期的国际通用标准。T</w:t>
      </w:r>
      <w:r>
        <w:rPr>
          <w:rFonts w:ascii="楷体" w:eastAsia="楷体"/>
          <w:spacing w:val="-6"/>
          <w:sz w:val="18"/>
        </w:rPr>
        <w:t> 指原发肿瘤大小、形态等</w:t>
      </w:r>
      <w:r>
        <w:rPr>
          <w:rFonts w:ascii="楷体" w:eastAsia="楷体"/>
          <w:sz w:val="18"/>
        </w:rPr>
        <w:t>；N</w:t>
      </w:r>
      <w:r>
        <w:rPr>
          <w:rFonts w:ascii="楷体" w:eastAsia="楷体"/>
          <w:spacing w:val="-6"/>
          <w:sz w:val="18"/>
        </w:rPr>
        <w:t> 指淋巴结的转移情况</w:t>
      </w:r>
      <w:r>
        <w:rPr>
          <w:rFonts w:ascii="楷体" w:eastAsia="楷体"/>
          <w:sz w:val="18"/>
        </w:rPr>
        <w:t>；M</w:t>
      </w:r>
      <w:r>
        <w:rPr>
          <w:rFonts w:ascii="楷体" w:eastAsia="楷体"/>
          <w:spacing w:val="-7"/>
          <w:sz w:val="18"/>
        </w:rPr>
        <w:t> 指有无其他脏器的转移情况。甲</w:t>
      </w:r>
      <w:r>
        <w:rPr>
          <w:rFonts w:ascii="楷体" w:eastAsia="楷体"/>
          <w:spacing w:val="-9"/>
          <w:sz w:val="18"/>
        </w:rPr>
        <w:t>状腺癌的 </w:t>
      </w:r>
      <w:r>
        <w:rPr>
          <w:rFonts w:ascii="楷体" w:eastAsia="楷体"/>
          <w:spacing w:val="1"/>
          <w:sz w:val="18"/>
        </w:rPr>
        <w:t>T</w:t>
      </w:r>
      <w:r>
        <w:rPr>
          <w:rFonts w:ascii="楷体" w:eastAsia="楷体"/>
          <w:spacing w:val="-2"/>
          <w:sz w:val="18"/>
        </w:rPr>
        <w:t>N</w:t>
      </w:r>
      <w:r>
        <w:rPr>
          <w:rFonts w:ascii="楷体" w:eastAsia="楷体"/>
          <w:sz w:val="18"/>
        </w:rPr>
        <w:t>M</w:t>
      </w:r>
      <w:r>
        <w:rPr>
          <w:rFonts w:ascii="楷体" w:eastAsia="楷体"/>
          <w:spacing w:val="-12"/>
          <w:sz w:val="18"/>
        </w:rPr>
        <w:t> 分期采用目前现行的 </w:t>
      </w:r>
      <w:r>
        <w:rPr>
          <w:rFonts w:ascii="楷体" w:eastAsia="楷体"/>
          <w:spacing w:val="1"/>
          <w:sz w:val="18"/>
        </w:rPr>
        <w:t>A</w:t>
      </w:r>
      <w:r>
        <w:rPr>
          <w:rFonts w:ascii="楷体" w:eastAsia="楷体"/>
          <w:spacing w:val="-2"/>
          <w:sz w:val="18"/>
        </w:rPr>
        <w:t>J</w:t>
      </w:r>
      <w:r>
        <w:rPr>
          <w:rFonts w:ascii="楷体" w:eastAsia="楷体"/>
          <w:spacing w:val="1"/>
          <w:sz w:val="18"/>
        </w:rPr>
        <w:t>C</w:t>
      </w:r>
      <w:r>
        <w:rPr>
          <w:rFonts w:ascii="楷体" w:eastAsia="楷体"/>
          <w:sz w:val="18"/>
        </w:rPr>
        <w:t>C</w:t>
      </w:r>
      <w:r>
        <w:rPr>
          <w:rFonts w:ascii="楷体" w:eastAsia="楷体"/>
          <w:spacing w:val="-12"/>
          <w:sz w:val="18"/>
        </w:rPr>
        <w:t> 第八版定义标准，我国国家卫生健康委员会 </w:t>
      </w:r>
      <w:r>
        <w:rPr>
          <w:rFonts w:ascii="楷体" w:eastAsia="楷体"/>
          <w:spacing w:val="1"/>
          <w:sz w:val="18"/>
        </w:rPr>
        <w:t>2</w:t>
      </w:r>
      <w:r>
        <w:rPr>
          <w:rFonts w:ascii="楷体" w:eastAsia="楷体"/>
          <w:spacing w:val="-2"/>
          <w:sz w:val="18"/>
        </w:rPr>
        <w:t>0</w:t>
      </w:r>
      <w:r>
        <w:rPr>
          <w:rFonts w:ascii="楷体" w:eastAsia="楷体"/>
          <w:spacing w:val="1"/>
          <w:sz w:val="18"/>
        </w:rPr>
        <w:t>1</w:t>
      </w:r>
      <w:r>
        <w:rPr>
          <w:rFonts w:ascii="楷体" w:eastAsia="楷体"/>
          <w:sz w:val="18"/>
        </w:rPr>
        <w:t>8</w:t>
      </w:r>
      <w:r>
        <w:rPr>
          <w:rFonts w:ascii="楷体" w:eastAsia="楷体"/>
          <w:spacing w:val="-11"/>
          <w:sz w:val="18"/>
        </w:rPr>
        <w:t> 年发布的《甲状腺癌诊疗规范</w:t>
      </w:r>
      <w:r>
        <w:rPr>
          <w:rFonts w:ascii="楷体" w:eastAsia="楷体"/>
          <w:sz w:val="18"/>
        </w:rPr>
        <w:t>（</w:t>
      </w:r>
      <w:r>
        <w:rPr>
          <w:rFonts w:ascii="楷体" w:eastAsia="楷体"/>
          <w:spacing w:val="-2"/>
          <w:sz w:val="18"/>
        </w:rPr>
        <w:t>20</w:t>
      </w:r>
      <w:r>
        <w:rPr>
          <w:rFonts w:ascii="楷体" w:eastAsia="楷体"/>
          <w:spacing w:val="1"/>
          <w:sz w:val="18"/>
        </w:rPr>
        <w:t>1</w:t>
      </w:r>
      <w:r>
        <w:rPr>
          <w:rFonts w:ascii="楷体" w:eastAsia="楷体"/>
          <w:sz w:val="18"/>
        </w:rPr>
        <w:t>8年版</w:t>
      </w:r>
      <w:r>
        <w:rPr>
          <w:rFonts w:ascii="楷体" w:eastAsia="楷体"/>
          <w:spacing w:val="-92"/>
          <w:sz w:val="18"/>
        </w:rPr>
        <w:t>）</w:t>
      </w:r>
      <w:r>
        <w:rPr>
          <w:rFonts w:ascii="楷体" w:eastAsia="楷体"/>
          <w:sz w:val="18"/>
        </w:rPr>
        <w:t>》也采用此定义标准，具体见本保险条款附表五。</w:t>
      </w:r>
    </w:p>
    <w:p>
      <w:pPr>
        <w:spacing w:after="0" w:line="242" w:lineRule="auto"/>
        <w:jc w:val="both"/>
        <w:rPr>
          <w:rFonts w:ascii="楷体" w:eastAsia="楷体"/>
          <w:sz w:val="18"/>
        </w:rPr>
        <w:sectPr>
          <w:type w:val="continuous"/>
          <w:pgSz w:w="11910" w:h="16840"/>
          <w:pgMar w:header="0" w:footer="659" w:top="480" w:bottom="280" w:left="920" w:right="540"/>
        </w:sectPr>
      </w:pPr>
    </w:p>
    <w:p>
      <w:pPr>
        <w:pStyle w:val="ListParagraph"/>
        <w:numPr>
          <w:ilvl w:val="0"/>
          <w:numId w:val="13"/>
        </w:numPr>
        <w:tabs>
          <w:tab w:pos="3255" w:val="left" w:leader="none"/>
        </w:tabs>
        <w:spacing w:line="278" w:lineRule="auto" w:before="44" w:after="0"/>
        <w:ind w:left="3254" w:right="355" w:hanging="721"/>
        <w:jc w:val="both"/>
        <w:rPr>
          <w:sz w:val="21"/>
        </w:rPr>
      </w:pPr>
      <w:r>
        <w:rPr>
          <w:spacing w:val="-2"/>
          <w:sz w:val="21"/>
        </w:rPr>
        <w:t>检测到肌酸激酶同工酶（CK-MB）或肌钙蛋白（cTn）升高和/或降低的动态</w:t>
      </w:r>
      <w:r>
        <w:rPr>
          <w:spacing w:val="-2"/>
          <w:sz w:val="21"/>
        </w:rPr>
        <w:t>变化，至少一次达到或超过心肌梗死的临床诊断标准；</w:t>
      </w:r>
    </w:p>
    <w:p>
      <w:pPr>
        <w:pStyle w:val="ListParagraph"/>
        <w:numPr>
          <w:ilvl w:val="0"/>
          <w:numId w:val="13"/>
        </w:numPr>
        <w:tabs>
          <w:tab w:pos="3255" w:val="left" w:leader="none"/>
        </w:tabs>
        <w:spacing w:line="278" w:lineRule="auto" w:before="156" w:after="0"/>
        <w:ind w:left="3254" w:right="355" w:hanging="721"/>
        <w:jc w:val="both"/>
        <w:rPr>
          <w:sz w:val="21"/>
        </w:rPr>
      </w:pPr>
      <w:r>
        <w:rPr>
          <w:spacing w:val="-4"/>
          <w:sz w:val="21"/>
        </w:rPr>
        <w:t>同时存在下列之一的证据，包括：缺血性胸痛症状、新发生的缺血性心电图</w:t>
      </w:r>
      <w:r>
        <w:rPr>
          <w:spacing w:val="-12"/>
          <w:sz w:val="21"/>
        </w:rPr>
        <w:t>改变、新生成的病理性 </w:t>
      </w:r>
      <w:r>
        <w:rPr>
          <w:spacing w:val="-2"/>
          <w:sz w:val="21"/>
        </w:rPr>
        <w:t>Q</w:t>
      </w:r>
      <w:r>
        <w:rPr>
          <w:spacing w:val="-11"/>
          <w:sz w:val="21"/>
        </w:rPr>
        <w:t> 波、影像学证据显示有新出现的心肌活性丧失或新</w:t>
      </w:r>
      <w:r>
        <w:rPr>
          <w:spacing w:val="-2"/>
          <w:sz w:val="21"/>
        </w:rPr>
        <w:t>出现局部室壁运动异常、冠脉造影证实存在冠状动脉血栓。</w:t>
      </w:r>
    </w:p>
    <w:p>
      <w:pPr>
        <w:pStyle w:val="BodyText"/>
        <w:spacing w:line="278" w:lineRule="auto" w:before="156"/>
        <w:ind w:left="2533" w:right="356"/>
      </w:pPr>
      <w:r>
        <w:rPr>
          <w:spacing w:val="-2"/>
        </w:rPr>
        <w:t>较重急性心肌梗死指依照上述标准被明确诊断为急性心肌梗死，并且必须同时满足</w:t>
      </w:r>
      <w:r>
        <w:rPr>
          <w:spacing w:val="-2"/>
        </w:rPr>
        <w:t>下列至少一项条件：</w:t>
      </w:r>
    </w:p>
    <w:p>
      <w:pPr>
        <w:pStyle w:val="ListParagraph"/>
        <w:numPr>
          <w:ilvl w:val="0"/>
          <w:numId w:val="14"/>
        </w:numPr>
        <w:tabs>
          <w:tab w:pos="3254" w:val="left" w:leader="none"/>
          <w:tab w:pos="3255" w:val="left" w:leader="none"/>
        </w:tabs>
        <w:spacing w:line="278" w:lineRule="auto" w:before="156" w:after="0"/>
        <w:ind w:left="3254" w:right="356" w:hanging="721"/>
        <w:jc w:val="left"/>
        <w:rPr>
          <w:sz w:val="21"/>
        </w:rPr>
      </w:pPr>
      <w:r>
        <w:rPr>
          <w:spacing w:val="-2"/>
          <w:sz w:val="21"/>
        </w:rPr>
        <w:t>心肌损伤标志物肌钙蛋白（cTn）升高，至少一次检测结果达到该检验正常</w:t>
      </w:r>
      <w:r>
        <w:rPr>
          <w:spacing w:val="-4"/>
          <w:sz w:val="21"/>
        </w:rPr>
        <w:t>参考值上限的 </w:t>
      </w:r>
      <w:r>
        <w:rPr>
          <w:sz w:val="21"/>
        </w:rPr>
        <w:t>15</w:t>
      </w:r>
      <w:r>
        <w:rPr>
          <w:spacing w:val="-11"/>
          <w:sz w:val="21"/>
        </w:rPr>
        <w:t> 倍</w:t>
      </w:r>
      <w:r>
        <w:rPr>
          <w:sz w:val="21"/>
        </w:rPr>
        <w:t>（含）以上；</w:t>
      </w:r>
    </w:p>
    <w:p>
      <w:pPr>
        <w:pStyle w:val="ListParagraph"/>
        <w:numPr>
          <w:ilvl w:val="0"/>
          <w:numId w:val="14"/>
        </w:numPr>
        <w:tabs>
          <w:tab w:pos="3254" w:val="left" w:leader="none"/>
          <w:tab w:pos="3255" w:val="left" w:leader="none"/>
        </w:tabs>
        <w:spacing w:line="278" w:lineRule="auto" w:before="155" w:after="0"/>
        <w:ind w:left="3254" w:right="356" w:hanging="721"/>
        <w:jc w:val="left"/>
        <w:rPr>
          <w:sz w:val="21"/>
        </w:rPr>
      </w:pPr>
      <w:r>
        <w:rPr>
          <w:spacing w:val="-2"/>
          <w:sz w:val="21"/>
        </w:rPr>
        <w:t>肌酸激酶同工酶（CK-MB）升高，至少一次检测结果达到该检验正常参考上</w:t>
      </w:r>
      <w:r>
        <w:rPr>
          <w:spacing w:val="-8"/>
          <w:sz w:val="21"/>
        </w:rPr>
        <w:t>限的 </w:t>
      </w:r>
      <w:r>
        <w:rPr>
          <w:sz w:val="21"/>
        </w:rPr>
        <w:t>2</w:t>
      </w:r>
      <w:r>
        <w:rPr>
          <w:spacing w:val="-13"/>
          <w:sz w:val="21"/>
        </w:rPr>
        <w:t> 倍</w:t>
      </w:r>
      <w:r>
        <w:rPr>
          <w:sz w:val="21"/>
        </w:rPr>
        <w:t>（含）以上；</w:t>
      </w:r>
    </w:p>
    <w:p>
      <w:pPr>
        <w:pStyle w:val="ListParagraph"/>
        <w:numPr>
          <w:ilvl w:val="0"/>
          <w:numId w:val="14"/>
        </w:numPr>
        <w:tabs>
          <w:tab w:pos="3254" w:val="left" w:leader="none"/>
          <w:tab w:pos="3255" w:val="left" w:leader="none"/>
        </w:tabs>
        <w:spacing w:line="278" w:lineRule="auto" w:before="157" w:after="0"/>
        <w:ind w:left="3254" w:right="384" w:hanging="721"/>
        <w:jc w:val="left"/>
        <w:rPr>
          <w:sz w:val="21"/>
        </w:rPr>
      </w:pPr>
      <w:r>
        <w:rPr>
          <w:spacing w:val="-8"/>
          <w:sz w:val="21"/>
        </w:rPr>
        <w:t>出现左心室收缩功能下降，在确诊 </w:t>
      </w:r>
      <w:r>
        <w:rPr>
          <w:spacing w:val="-4"/>
          <w:sz w:val="21"/>
        </w:rPr>
        <w:t>6</w:t>
      </w:r>
      <w:r>
        <w:rPr>
          <w:spacing w:val="-12"/>
          <w:sz w:val="21"/>
        </w:rPr>
        <w:t> 周以后，检测左室射血分数</w:t>
      </w:r>
      <w:r>
        <w:rPr>
          <w:spacing w:val="-4"/>
          <w:sz w:val="21"/>
        </w:rPr>
        <w:t>（LVEF）低</w:t>
      </w:r>
      <w:r>
        <w:rPr>
          <w:sz w:val="21"/>
        </w:rPr>
        <w:t>于 50%（不含</w:t>
      </w:r>
      <w:r>
        <w:rPr>
          <w:spacing w:val="-108"/>
          <w:sz w:val="21"/>
        </w:rPr>
        <w:t>）</w:t>
      </w:r>
      <w:r>
        <w:rPr>
          <w:sz w:val="21"/>
        </w:rPr>
        <w:t>；</w:t>
      </w:r>
    </w:p>
    <w:p>
      <w:pPr>
        <w:pStyle w:val="ListParagraph"/>
        <w:numPr>
          <w:ilvl w:val="0"/>
          <w:numId w:val="14"/>
        </w:numPr>
        <w:tabs>
          <w:tab w:pos="3254" w:val="left" w:leader="none"/>
          <w:tab w:pos="3255" w:val="left" w:leader="none"/>
        </w:tabs>
        <w:spacing w:line="278" w:lineRule="auto" w:before="156" w:after="0"/>
        <w:ind w:left="3254" w:right="356" w:hanging="721"/>
        <w:jc w:val="left"/>
        <w:rPr>
          <w:sz w:val="21"/>
        </w:rPr>
      </w:pPr>
      <w:r>
        <w:rPr>
          <w:spacing w:val="-4"/>
          <w:sz w:val="21"/>
        </w:rPr>
        <w:t>影像学检查证实存在新发的乳头肌功能失调或断裂引起的中度</w:t>
      </w:r>
      <w:r>
        <w:rPr>
          <w:spacing w:val="-2"/>
          <w:sz w:val="21"/>
        </w:rPr>
        <w:t>（含</w:t>
      </w:r>
      <w:r>
        <w:rPr>
          <w:spacing w:val="-53"/>
          <w:sz w:val="21"/>
        </w:rPr>
        <w:t>）</w:t>
      </w:r>
      <w:r>
        <w:rPr>
          <w:spacing w:val="-2"/>
          <w:sz w:val="21"/>
        </w:rPr>
        <w:t>以上的</w:t>
      </w:r>
      <w:r>
        <w:rPr>
          <w:spacing w:val="-2"/>
          <w:sz w:val="21"/>
        </w:rPr>
        <w:t>二尖瓣反流；</w:t>
      </w:r>
    </w:p>
    <w:p>
      <w:pPr>
        <w:pStyle w:val="ListParagraph"/>
        <w:numPr>
          <w:ilvl w:val="0"/>
          <w:numId w:val="14"/>
        </w:numPr>
        <w:tabs>
          <w:tab w:pos="3254" w:val="left" w:leader="none"/>
          <w:tab w:pos="3255" w:val="left" w:leader="none"/>
        </w:tabs>
        <w:spacing w:line="240" w:lineRule="auto" w:before="155" w:after="0"/>
        <w:ind w:left="3254" w:right="0" w:hanging="722"/>
        <w:jc w:val="left"/>
        <w:rPr>
          <w:sz w:val="21"/>
        </w:rPr>
      </w:pPr>
      <w:r>
        <w:rPr>
          <w:spacing w:val="-3"/>
          <w:sz w:val="21"/>
        </w:rPr>
        <w:t>影像学检查证实存在新出现的室壁瘤；</w:t>
      </w:r>
    </w:p>
    <w:p>
      <w:pPr>
        <w:pStyle w:val="BodyText"/>
        <w:spacing w:before="7"/>
        <w:rPr>
          <w:sz w:val="15"/>
        </w:rPr>
      </w:pPr>
    </w:p>
    <w:p>
      <w:pPr>
        <w:pStyle w:val="ListParagraph"/>
        <w:numPr>
          <w:ilvl w:val="0"/>
          <w:numId w:val="14"/>
        </w:numPr>
        <w:tabs>
          <w:tab w:pos="3254" w:val="left" w:leader="none"/>
          <w:tab w:pos="3255" w:val="left" w:leader="none"/>
        </w:tabs>
        <w:spacing w:line="240" w:lineRule="auto" w:before="0" w:after="0"/>
        <w:ind w:left="3254" w:right="0" w:hanging="722"/>
        <w:jc w:val="left"/>
        <w:rPr>
          <w:sz w:val="21"/>
        </w:rPr>
      </w:pPr>
      <w:r>
        <w:rPr>
          <w:spacing w:val="-3"/>
          <w:sz w:val="21"/>
        </w:rPr>
        <w:t>出现室性心动过速、心室颤动或心源性休克。</w:t>
      </w:r>
    </w:p>
    <w:p>
      <w:pPr>
        <w:pStyle w:val="BodyText"/>
        <w:spacing w:before="12"/>
        <w:rPr>
          <w:sz w:val="9"/>
        </w:rPr>
      </w:pPr>
    </w:p>
    <w:p>
      <w:pPr>
        <w:pStyle w:val="BodyText"/>
        <w:spacing w:before="72"/>
        <w:ind w:left="2533"/>
      </w:pPr>
      <w:r>
        <w:rPr>
          <w:color w:val="000000"/>
          <w:spacing w:val="-2"/>
          <w:shd w:fill="E4E4E4" w:color="auto" w:val="clear"/>
        </w:rPr>
        <w:t>其他非冠状动脉阻塞性疾病所引起的肌钙蛋白（cTn）</w:t>
      </w:r>
      <w:r>
        <w:rPr>
          <w:color w:val="000000"/>
          <w:spacing w:val="-3"/>
          <w:shd w:fill="E4E4E4" w:color="auto" w:val="clear"/>
        </w:rPr>
        <w:t>升高不在保障范围内。</w:t>
      </w:r>
    </w:p>
    <w:p>
      <w:pPr>
        <w:pStyle w:val="BodyText"/>
        <w:spacing w:before="6"/>
        <w:rPr>
          <w:sz w:val="15"/>
        </w:rPr>
      </w:pPr>
    </w:p>
    <w:p>
      <w:pPr>
        <w:pStyle w:val="Heading2"/>
        <w:numPr>
          <w:ilvl w:val="0"/>
          <w:numId w:val="11"/>
        </w:numPr>
        <w:tabs>
          <w:tab w:pos="3063" w:val="left" w:leader="none"/>
        </w:tabs>
        <w:spacing w:line="240" w:lineRule="auto" w:before="1" w:after="0"/>
        <w:ind w:left="3063" w:right="0" w:hanging="530"/>
        <w:jc w:val="left"/>
      </w:pPr>
      <w:r>
        <w:rPr>
          <w:spacing w:val="-2"/>
        </w:rPr>
        <w:t>严重脑中风后遗症:</w:t>
      </w:r>
    </w:p>
    <w:p>
      <w:pPr>
        <w:pStyle w:val="BodyText"/>
        <w:spacing w:before="6"/>
        <w:rPr>
          <w:b/>
          <w:sz w:val="15"/>
        </w:rPr>
      </w:pPr>
    </w:p>
    <w:p>
      <w:pPr>
        <w:pStyle w:val="BodyText"/>
        <w:spacing w:line="278" w:lineRule="auto" w:before="1"/>
        <w:ind w:left="2533" w:right="358"/>
        <w:jc w:val="both"/>
      </w:pPr>
      <w:r>
        <w:rPr>
          <w:spacing w:val="-6"/>
        </w:rPr>
        <w:t>指因脑血管的突发病变引起脑血管出血、栓塞或梗塞，须由头颅断层扫描</w:t>
      </w:r>
      <w:r>
        <w:rPr>
          <w:spacing w:val="21"/>
        </w:rPr>
        <w:t>（</w:t>
      </w:r>
      <w:r>
        <w:rPr>
          <w:spacing w:val="18"/>
        </w:rPr>
        <w:t>C</w:t>
      </w:r>
      <w:r>
        <w:rPr>
          <w:spacing w:val="21"/>
        </w:rPr>
        <w:t>T</w:t>
      </w:r>
      <w:r>
        <w:rPr>
          <w:spacing w:val="-85"/>
        </w:rPr>
        <w:t>）</w:t>
      </w:r>
      <w:r>
        <w:rPr>
          <w:spacing w:val="-6"/>
        </w:rPr>
        <w:t>、核</w:t>
      </w:r>
      <w:r>
        <w:rPr>
          <w:spacing w:val="-4"/>
        </w:rPr>
        <w:t>磁共振检查（MRI）等影像学检查证实，并导致神经系统永久性的功能障碍。神经系</w:t>
      </w:r>
      <w:r>
        <w:rPr>
          <w:spacing w:val="-2"/>
        </w:rPr>
        <w:t>统永久性的功能障碍，指疾病确诊 </w:t>
      </w:r>
      <w:r>
        <w:rPr/>
        <w:t>180</w:t>
      </w:r>
      <w:r>
        <w:rPr>
          <w:spacing w:val="-5"/>
        </w:rPr>
        <w:t> 天后，仍遗留下列至少一种障碍：</w:t>
      </w:r>
    </w:p>
    <w:p>
      <w:pPr>
        <w:pStyle w:val="ListParagraph"/>
        <w:numPr>
          <w:ilvl w:val="0"/>
          <w:numId w:val="15"/>
        </w:numPr>
        <w:tabs>
          <w:tab w:pos="3255" w:val="left" w:leader="none"/>
        </w:tabs>
        <w:spacing w:line="240" w:lineRule="auto" w:before="145" w:after="0"/>
        <w:ind w:left="3254" w:right="0" w:hanging="722"/>
        <w:jc w:val="both"/>
        <w:rPr>
          <w:sz w:val="21"/>
        </w:rPr>
      </w:pPr>
      <w:r>
        <w:rPr>
          <w:w w:val="95"/>
          <w:sz w:val="21"/>
        </w:rPr>
        <w:t>一</w:t>
      </w:r>
      <w:r>
        <w:rPr>
          <w:w w:val="95"/>
          <w:sz w:val="21"/>
        </w:rPr>
        <w:t>肢</w:t>
      </w:r>
      <w:r>
        <w:rPr>
          <w:w w:val="95"/>
          <w:sz w:val="21"/>
        </w:rPr>
        <w:t>（含）以上</w:t>
      </w:r>
      <w:r>
        <w:rPr>
          <w:b/>
          <w:w w:val="95"/>
          <w:sz w:val="21"/>
        </w:rPr>
        <w:t>肢体</w:t>
      </w:r>
      <w:r>
        <w:rPr>
          <w:b/>
          <w:w w:val="95"/>
          <w:position w:val="11"/>
          <w:sz w:val="11"/>
        </w:rPr>
        <w:t>40</w:t>
      </w:r>
      <w:r>
        <w:rPr>
          <w:b/>
          <w:w w:val="95"/>
          <w:sz w:val="21"/>
        </w:rPr>
        <w:t>肌</w:t>
      </w:r>
      <w:r>
        <w:rPr>
          <w:b/>
          <w:w w:val="95"/>
          <w:sz w:val="21"/>
        </w:rPr>
        <w:t>力</w:t>
      </w:r>
      <w:r>
        <w:rPr>
          <w:b/>
          <w:w w:val="95"/>
          <w:position w:val="11"/>
          <w:sz w:val="11"/>
        </w:rPr>
        <w:t>41</w:t>
      </w:r>
      <w:r>
        <w:rPr>
          <w:w w:val="95"/>
          <w:sz w:val="21"/>
        </w:rPr>
        <w:t>2</w:t>
      </w:r>
      <w:r>
        <w:rPr>
          <w:spacing w:val="74"/>
          <w:w w:val="150"/>
          <w:sz w:val="21"/>
        </w:rPr>
        <w:t> </w:t>
      </w:r>
      <w:r>
        <w:rPr>
          <w:w w:val="95"/>
          <w:sz w:val="21"/>
        </w:rPr>
        <w:t>级（含）</w:t>
      </w:r>
      <w:r>
        <w:rPr>
          <w:spacing w:val="-4"/>
          <w:w w:val="95"/>
          <w:sz w:val="21"/>
        </w:rPr>
        <w:t>以下；</w:t>
      </w:r>
    </w:p>
    <w:p>
      <w:pPr>
        <w:pStyle w:val="ListParagraph"/>
        <w:numPr>
          <w:ilvl w:val="0"/>
          <w:numId w:val="15"/>
        </w:numPr>
        <w:tabs>
          <w:tab w:pos="3255" w:val="left" w:leader="none"/>
        </w:tabs>
        <w:spacing w:line="240" w:lineRule="auto" w:before="189" w:after="0"/>
        <w:ind w:left="3254" w:right="0" w:hanging="722"/>
        <w:jc w:val="both"/>
        <w:rPr>
          <w:sz w:val="21"/>
        </w:rPr>
      </w:pPr>
      <w:r>
        <w:rPr>
          <w:b/>
          <w:sz w:val="21"/>
        </w:rPr>
        <w:t>语言能力完全丧失</w:t>
      </w:r>
      <w:r>
        <w:rPr>
          <w:b/>
          <w:position w:val="11"/>
          <w:sz w:val="11"/>
        </w:rPr>
        <w:t>42</w:t>
      </w:r>
      <w:r>
        <w:rPr>
          <w:sz w:val="21"/>
        </w:rPr>
        <w:t>，或</w:t>
      </w:r>
      <w:r>
        <w:rPr>
          <w:b/>
          <w:sz w:val="21"/>
        </w:rPr>
        <w:t>严重咀嚼吞咽功能障碍</w:t>
      </w:r>
      <w:r>
        <w:rPr>
          <w:position w:val="11"/>
          <w:sz w:val="11"/>
        </w:rPr>
        <w:t>43</w:t>
      </w:r>
      <w:r>
        <w:rPr>
          <w:spacing w:val="44"/>
          <w:position w:val="11"/>
          <w:sz w:val="11"/>
        </w:rPr>
        <w:t> </w:t>
      </w:r>
      <w:r>
        <w:rPr>
          <w:spacing w:val="-10"/>
          <w:sz w:val="21"/>
        </w:rPr>
        <w:t>；</w:t>
      </w:r>
    </w:p>
    <w:p>
      <w:pPr>
        <w:pStyle w:val="ListParagraph"/>
        <w:numPr>
          <w:ilvl w:val="0"/>
          <w:numId w:val="15"/>
        </w:numPr>
        <w:tabs>
          <w:tab w:pos="3254" w:val="left" w:leader="none"/>
          <w:tab w:pos="3255" w:val="left" w:leader="none"/>
        </w:tabs>
        <w:spacing w:line="240" w:lineRule="auto" w:before="189" w:after="0"/>
        <w:ind w:left="3254" w:right="0" w:hanging="722"/>
        <w:jc w:val="left"/>
        <w:rPr>
          <w:sz w:val="21"/>
        </w:rPr>
      </w:pPr>
      <w:r>
        <w:rPr>
          <w:w w:val="95"/>
          <w:sz w:val="21"/>
        </w:rPr>
        <w:t>自</w:t>
      </w:r>
      <w:r>
        <w:rPr>
          <w:w w:val="95"/>
          <w:sz w:val="21"/>
        </w:rPr>
        <w:t>主</w:t>
      </w:r>
      <w:r>
        <w:rPr>
          <w:w w:val="95"/>
          <w:sz w:val="21"/>
        </w:rPr>
        <w:t>生活能力完全丧失，</w:t>
      </w:r>
      <w:r>
        <w:rPr>
          <w:w w:val="95"/>
          <w:sz w:val="21"/>
        </w:rPr>
        <w:t>无</w:t>
      </w:r>
      <w:r>
        <w:rPr>
          <w:w w:val="95"/>
          <w:sz w:val="21"/>
        </w:rPr>
        <w:t>法</w:t>
      </w:r>
      <w:r>
        <w:rPr>
          <w:w w:val="95"/>
          <w:sz w:val="21"/>
        </w:rPr>
        <w:t>独立完成</w:t>
      </w:r>
      <w:r>
        <w:rPr>
          <w:b/>
          <w:w w:val="95"/>
          <w:sz w:val="21"/>
        </w:rPr>
        <w:t>六</w:t>
      </w:r>
      <w:r>
        <w:rPr>
          <w:b/>
          <w:w w:val="95"/>
          <w:sz w:val="21"/>
        </w:rPr>
        <w:t>项</w:t>
      </w:r>
      <w:r>
        <w:rPr>
          <w:b/>
          <w:w w:val="95"/>
          <w:sz w:val="21"/>
        </w:rPr>
        <w:t>基</w:t>
      </w:r>
      <w:r>
        <w:rPr>
          <w:b/>
          <w:w w:val="95"/>
          <w:sz w:val="21"/>
        </w:rPr>
        <w:t>本</w:t>
      </w:r>
      <w:r>
        <w:rPr>
          <w:b/>
          <w:w w:val="95"/>
          <w:sz w:val="21"/>
        </w:rPr>
        <w:t>日</w:t>
      </w:r>
      <w:r>
        <w:rPr>
          <w:b/>
          <w:w w:val="95"/>
          <w:sz w:val="21"/>
        </w:rPr>
        <w:t>常</w:t>
      </w:r>
      <w:r>
        <w:rPr>
          <w:b/>
          <w:w w:val="95"/>
          <w:sz w:val="21"/>
        </w:rPr>
        <w:t>生</w:t>
      </w:r>
      <w:r>
        <w:rPr>
          <w:b/>
          <w:w w:val="95"/>
          <w:sz w:val="21"/>
        </w:rPr>
        <w:t>活</w:t>
      </w:r>
      <w:r>
        <w:rPr>
          <w:b/>
          <w:w w:val="95"/>
          <w:sz w:val="21"/>
        </w:rPr>
        <w:t>活</w:t>
      </w:r>
      <w:r>
        <w:rPr>
          <w:b/>
          <w:w w:val="95"/>
          <w:sz w:val="21"/>
        </w:rPr>
        <w:t>动</w:t>
      </w:r>
      <w:r>
        <w:rPr>
          <w:b/>
          <w:w w:val="95"/>
          <w:position w:val="11"/>
          <w:sz w:val="11"/>
        </w:rPr>
        <w:t>44</w:t>
      </w:r>
      <w:r>
        <w:rPr>
          <w:w w:val="95"/>
          <w:sz w:val="21"/>
        </w:rPr>
        <w:t>中</w:t>
      </w:r>
      <w:r>
        <w:rPr>
          <w:w w:val="95"/>
          <w:sz w:val="21"/>
        </w:rPr>
        <w:t>的</w:t>
      </w:r>
      <w:r>
        <w:rPr>
          <w:spacing w:val="-4"/>
          <w:w w:val="95"/>
          <w:sz w:val="21"/>
        </w:rPr>
        <w:t>三项或</w:t>
      </w:r>
    </w:p>
    <w:p>
      <w:pPr>
        <w:pStyle w:val="BodyText"/>
        <w:spacing w:before="9"/>
        <w:rPr>
          <w:sz w:val="28"/>
        </w:rPr>
      </w:pPr>
      <w:r>
        <w:rPr/>
        <w:drawing>
          <wp:anchor distT="0" distB="0" distL="0" distR="0" allowOverlap="1" layoutInCell="1" locked="0" behindDoc="0" simplePos="0" relativeHeight="55">
            <wp:simplePos x="0" y="0"/>
            <wp:positionH relativeFrom="page">
              <wp:posOffset>685800</wp:posOffset>
            </wp:positionH>
            <wp:positionV relativeFrom="paragraph">
              <wp:posOffset>249340</wp:posOffset>
            </wp:positionV>
            <wp:extent cx="1829511" cy="6095"/>
            <wp:effectExtent l="0" t="0" r="0" b="0"/>
            <wp:wrapTopAndBottom/>
            <wp:docPr id="53" name="image6.png"/>
            <wp:cNvGraphicFramePr>
              <a:graphicFrameLocks noChangeAspect="1"/>
            </wp:cNvGraphicFramePr>
            <a:graphic>
              <a:graphicData uri="http://schemas.openxmlformats.org/drawingml/2006/picture">
                <pic:pic>
                  <pic:nvPicPr>
                    <pic:cNvPr id="54"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before="91"/>
        <w:ind w:left="160" w:right="0" w:firstLine="0"/>
        <w:jc w:val="left"/>
        <w:rPr>
          <w:rFonts w:ascii="楷体" w:eastAsia="楷体"/>
          <w:sz w:val="18"/>
        </w:rPr>
      </w:pPr>
      <w:r>
        <w:rPr>
          <w:rFonts w:ascii="楷体" w:eastAsia="楷体"/>
          <w:w w:val="95"/>
          <w:position w:val="9"/>
          <w:sz w:val="9"/>
        </w:rPr>
        <w:t>40</w:t>
      </w:r>
      <w:r>
        <w:rPr>
          <w:rFonts w:ascii="楷体" w:eastAsia="楷体" w:hint="eastAsia"/>
          <w:b/>
          <w:w w:val="95"/>
          <w:sz w:val="18"/>
        </w:rPr>
        <w:t>肢</w:t>
      </w:r>
      <w:r>
        <w:rPr>
          <w:rFonts w:ascii="楷体" w:eastAsia="楷体" w:hint="eastAsia"/>
          <w:b/>
          <w:w w:val="95"/>
          <w:sz w:val="18"/>
        </w:rPr>
        <w:t>体</w:t>
      </w:r>
      <w:r>
        <w:rPr>
          <w:rFonts w:ascii="楷体" w:eastAsia="楷体"/>
          <w:w w:val="95"/>
          <w:sz w:val="18"/>
        </w:rPr>
        <w:t>：</w:t>
      </w:r>
      <w:r>
        <w:rPr>
          <w:rFonts w:ascii="楷体" w:eastAsia="楷体"/>
          <w:w w:val="95"/>
          <w:sz w:val="18"/>
        </w:rPr>
        <w:t>是</w:t>
      </w:r>
      <w:r>
        <w:rPr>
          <w:rFonts w:ascii="楷体" w:eastAsia="楷体"/>
          <w:w w:val="95"/>
          <w:sz w:val="18"/>
        </w:rPr>
        <w:t>指</w:t>
      </w:r>
      <w:r>
        <w:rPr>
          <w:rFonts w:ascii="楷体" w:eastAsia="楷体"/>
          <w:w w:val="95"/>
          <w:sz w:val="18"/>
        </w:rPr>
        <w:t>包</w:t>
      </w:r>
      <w:r>
        <w:rPr>
          <w:rFonts w:ascii="楷体" w:eastAsia="楷体"/>
          <w:w w:val="95"/>
          <w:sz w:val="18"/>
        </w:rPr>
        <w:t>括</w:t>
      </w:r>
      <w:r>
        <w:rPr>
          <w:rFonts w:ascii="楷体" w:eastAsia="楷体"/>
          <w:w w:val="95"/>
          <w:sz w:val="18"/>
        </w:rPr>
        <w:t>肩</w:t>
      </w:r>
      <w:r>
        <w:rPr>
          <w:rFonts w:ascii="楷体" w:eastAsia="楷体"/>
          <w:w w:val="95"/>
          <w:sz w:val="18"/>
        </w:rPr>
        <w:t>关</w:t>
      </w:r>
      <w:r>
        <w:rPr>
          <w:rFonts w:ascii="楷体" w:eastAsia="楷体"/>
          <w:w w:val="95"/>
          <w:sz w:val="18"/>
        </w:rPr>
        <w:t>节</w:t>
      </w:r>
      <w:r>
        <w:rPr>
          <w:rFonts w:ascii="楷体" w:eastAsia="楷体"/>
          <w:w w:val="95"/>
          <w:sz w:val="18"/>
        </w:rPr>
        <w:t>的</w:t>
      </w:r>
      <w:r>
        <w:rPr>
          <w:rFonts w:ascii="楷体" w:eastAsia="楷体"/>
          <w:w w:val="95"/>
          <w:sz w:val="18"/>
        </w:rPr>
        <w:t>整</w:t>
      </w:r>
      <w:r>
        <w:rPr>
          <w:rFonts w:ascii="楷体" w:eastAsia="楷体"/>
          <w:w w:val="95"/>
          <w:sz w:val="18"/>
        </w:rPr>
        <w:t>个</w:t>
      </w:r>
      <w:r>
        <w:rPr>
          <w:rFonts w:ascii="楷体" w:eastAsia="楷体"/>
          <w:w w:val="95"/>
          <w:sz w:val="18"/>
        </w:rPr>
        <w:t>上</w:t>
      </w:r>
      <w:r>
        <w:rPr>
          <w:rFonts w:ascii="楷体" w:eastAsia="楷体"/>
          <w:w w:val="95"/>
          <w:sz w:val="18"/>
        </w:rPr>
        <w:t>肢</w:t>
      </w:r>
      <w:r>
        <w:rPr>
          <w:rFonts w:ascii="楷体" w:eastAsia="楷体"/>
          <w:w w:val="95"/>
          <w:sz w:val="18"/>
        </w:rPr>
        <w:t>或</w:t>
      </w:r>
      <w:r>
        <w:rPr>
          <w:rFonts w:ascii="楷体" w:eastAsia="楷体"/>
          <w:w w:val="95"/>
          <w:sz w:val="18"/>
        </w:rPr>
        <w:t>包</w:t>
      </w:r>
      <w:r>
        <w:rPr>
          <w:rFonts w:ascii="楷体" w:eastAsia="楷体"/>
          <w:w w:val="95"/>
          <w:sz w:val="18"/>
        </w:rPr>
        <w:t>括</w:t>
      </w:r>
      <w:r>
        <w:rPr>
          <w:rFonts w:ascii="楷体" w:eastAsia="楷体"/>
          <w:w w:val="95"/>
          <w:sz w:val="18"/>
        </w:rPr>
        <w:t>髋</w:t>
      </w:r>
      <w:r>
        <w:rPr>
          <w:rFonts w:ascii="楷体" w:eastAsia="楷体"/>
          <w:w w:val="95"/>
          <w:sz w:val="18"/>
        </w:rPr>
        <w:t>关</w:t>
      </w:r>
      <w:r>
        <w:rPr>
          <w:rFonts w:ascii="楷体" w:eastAsia="楷体"/>
          <w:w w:val="95"/>
          <w:sz w:val="18"/>
        </w:rPr>
        <w:t>节</w:t>
      </w:r>
      <w:r>
        <w:rPr>
          <w:rFonts w:ascii="楷体" w:eastAsia="楷体"/>
          <w:w w:val="95"/>
          <w:sz w:val="18"/>
        </w:rPr>
        <w:t>的</w:t>
      </w:r>
      <w:r>
        <w:rPr>
          <w:rFonts w:ascii="楷体" w:eastAsia="楷体"/>
          <w:w w:val="95"/>
          <w:sz w:val="18"/>
        </w:rPr>
        <w:t>整</w:t>
      </w:r>
      <w:r>
        <w:rPr>
          <w:rFonts w:ascii="楷体" w:eastAsia="楷体"/>
          <w:w w:val="95"/>
          <w:sz w:val="18"/>
        </w:rPr>
        <w:t>个</w:t>
      </w:r>
      <w:r>
        <w:rPr>
          <w:rFonts w:ascii="楷体" w:eastAsia="楷体"/>
          <w:w w:val="95"/>
          <w:sz w:val="18"/>
        </w:rPr>
        <w:t>下</w:t>
      </w:r>
      <w:r>
        <w:rPr>
          <w:rFonts w:ascii="楷体" w:eastAsia="楷体"/>
          <w:w w:val="95"/>
          <w:sz w:val="18"/>
        </w:rPr>
        <w:t>肢</w:t>
      </w:r>
      <w:r>
        <w:rPr>
          <w:rFonts w:ascii="楷体" w:eastAsia="楷体"/>
          <w:spacing w:val="-10"/>
          <w:w w:val="95"/>
          <w:sz w:val="18"/>
        </w:rPr>
        <w:t>。</w:t>
      </w:r>
    </w:p>
    <w:p>
      <w:pPr>
        <w:spacing w:before="2"/>
        <w:ind w:left="160" w:right="0" w:firstLine="0"/>
        <w:jc w:val="left"/>
        <w:rPr>
          <w:rFonts w:ascii="楷体" w:eastAsia="楷体"/>
          <w:sz w:val="18"/>
        </w:rPr>
      </w:pPr>
      <w:r>
        <w:rPr>
          <w:rFonts w:ascii="楷体" w:eastAsia="楷体"/>
          <w:w w:val="95"/>
          <w:position w:val="9"/>
          <w:sz w:val="9"/>
        </w:rPr>
        <w:t>41</w:t>
      </w:r>
      <w:r>
        <w:rPr>
          <w:rFonts w:ascii="楷体" w:eastAsia="楷体" w:hint="eastAsia"/>
          <w:b/>
          <w:w w:val="95"/>
          <w:sz w:val="18"/>
        </w:rPr>
        <w:t>肌</w:t>
      </w:r>
      <w:r>
        <w:rPr>
          <w:rFonts w:ascii="楷体" w:eastAsia="楷体" w:hint="eastAsia"/>
          <w:b/>
          <w:w w:val="95"/>
          <w:sz w:val="18"/>
        </w:rPr>
        <w:t>力</w:t>
      </w:r>
      <w:r>
        <w:rPr>
          <w:rFonts w:ascii="楷体" w:eastAsia="楷体"/>
          <w:w w:val="95"/>
          <w:sz w:val="18"/>
        </w:rPr>
        <w:t>：</w:t>
      </w:r>
      <w:r>
        <w:rPr>
          <w:rFonts w:ascii="楷体" w:eastAsia="楷体"/>
          <w:w w:val="95"/>
          <w:sz w:val="18"/>
        </w:rPr>
        <w:t>指</w:t>
      </w:r>
      <w:r>
        <w:rPr>
          <w:rFonts w:ascii="楷体" w:eastAsia="楷体"/>
          <w:w w:val="95"/>
          <w:sz w:val="18"/>
        </w:rPr>
        <w:t>肌</w:t>
      </w:r>
      <w:r>
        <w:rPr>
          <w:rFonts w:ascii="楷体" w:eastAsia="楷体"/>
          <w:w w:val="95"/>
          <w:sz w:val="18"/>
        </w:rPr>
        <w:t>肉</w:t>
      </w:r>
      <w:r>
        <w:rPr>
          <w:rFonts w:ascii="楷体" w:eastAsia="楷体"/>
          <w:w w:val="95"/>
          <w:sz w:val="18"/>
        </w:rPr>
        <w:t>收</w:t>
      </w:r>
      <w:r>
        <w:rPr>
          <w:rFonts w:ascii="楷体" w:eastAsia="楷体"/>
          <w:w w:val="95"/>
          <w:sz w:val="18"/>
        </w:rPr>
        <w:t>缩</w:t>
      </w:r>
      <w:r>
        <w:rPr>
          <w:rFonts w:ascii="楷体" w:eastAsia="楷体"/>
          <w:w w:val="95"/>
          <w:sz w:val="18"/>
        </w:rPr>
        <w:t>时</w:t>
      </w:r>
      <w:r>
        <w:rPr>
          <w:rFonts w:ascii="楷体" w:eastAsia="楷体"/>
          <w:w w:val="95"/>
          <w:sz w:val="18"/>
        </w:rPr>
        <w:t>的</w:t>
      </w:r>
      <w:r>
        <w:rPr>
          <w:rFonts w:ascii="楷体" w:eastAsia="楷体"/>
          <w:w w:val="95"/>
          <w:sz w:val="18"/>
        </w:rPr>
        <w:t>力</w:t>
      </w:r>
      <w:r>
        <w:rPr>
          <w:rFonts w:ascii="楷体" w:eastAsia="楷体"/>
          <w:w w:val="95"/>
          <w:sz w:val="18"/>
        </w:rPr>
        <w:t>量</w:t>
      </w:r>
      <w:r>
        <w:rPr>
          <w:rFonts w:ascii="楷体" w:eastAsia="楷体"/>
          <w:w w:val="95"/>
          <w:sz w:val="18"/>
        </w:rPr>
        <w:t>。</w:t>
      </w:r>
      <w:r>
        <w:rPr>
          <w:rFonts w:ascii="楷体" w:eastAsia="楷体"/>
          <w:w w:val="95"/>
          <w:sz w:val="18"/>
        </w:rPr>
        <w:t>肌</w:t>
      </w:r>
      <w:r>
        <w:rPr>
          <w:rFonts w:ascii="楷体" w:eastAsia="楷体"/>
          <w:w w:val="95"/>
          <w:sz w:val="18"/>
        </w:rPr>
        <w:t>力</w:t>
      </w:r>
      <w:r>
        <w:rPr>
          <w:rFonts w:ascii="楷体" w:eastAsia="楷体"/>
          <w:w w:val="95"/>
          <w:sz w:val="18"/>
        </w:rPr>
        <w:t>划</w:t>
      </w:r>
      <w:r>
        <w:rPr>
          <w:rFonts w:ascii="楷体" w:eastAsia="楷体"/>
          <w:w w:val="95"/>
          <w:sz w:val="18"/>
        </w:rPr>
        <w:t>分</w:t>
      </w:r>
      <w:r>
        <w:rPr>
          <w:rFonts w:ascii="楷体" w:eastAsia="楷体"/>
          <w:w w:val="95"/>
          <w:sz w:val="18"/>
        </w:rPr>
        <w:t>为</w:t>
      </w:r>
      <w:r>
        <w:rPr>
          <w:rFonts w:ascii="楷体" w:eastAsia="楷体"/>
          <w:spacing w:val="67"/>
          <w:sz w:val="18"/>
        </w:rPr>
        <w:t> </w:t>
      </w:r>
      <w:r>
        <w:rPr>
          <w:rFonts w:ascii="楷体" w:eastAsia="楷体"/>
          <w:w w:val="95"/>
          <w:sz w:val="18"/>
        </w:rPr>
        <w:t>0-5</w:t>
      </w:r>
      <w:r>
        <w:rPr>
          <w:rFonts w:ascii="楷体" w:eastAsia="楷体"/>
          <w:spacing w:val="67"/>
          <w:sz w:val="18"/>
        </w:rPr>
        <w:t> </w:t>
      </w:r>
      <w:r>
        <w:rPr>
          <w:rFonts w:ascii="楷体" w:eastAsia="楷体"/>
          <w:w w:val="95"/>
          <w:sz w:val="18"/>
        </w:rPr>
        <w:t>级</w:t>
      </w:r>
      <w:r>
        <w:rPr>
          <w:rFonts w:ascii="楷体" w:eastAsia="楷体"/>
          <w:w w:val="95"/>
          <w:sz w:val="18"/>
        </w:rPr>
        <w:t>，</w:t>
      </w:r>
      <w:r>
        <w:rPr>
          <w:rFonts w:ascii="楷体" w:eastAsia="楷体"/>
          <w:w w:val="95"/>
          <w:sz w:val="18"/>
        </w:rPr>
        <w:t>具</w:t>
      </w:r>
      <w:r>
        <w:rPr>
          <w:rFonts w:ascii="楷体" w:eastAsia="楷体"/>
          <w:w w:val="95"/>
          <w:sz w:val="18"/>
        </w:rPr>
        <w:t>体</w:t>
      </w:r>
      <w:r>
        <w:rPr>
          <w:rFonts w:ascii="楷体" w:eastAsia="楷体"/>
          <w:w w:val="95"/>
          <w:sz w:val="18"/>
        </w:rPr>
        <w:t>为</w:t>
      </w:r>
      <w:r>
        <w:rPr>
          <w:rFonts w:ascii="楷体" w:eastAsia="楷体"/>
          <w:spacing w:val="-10"/>
          <w:w w:val="95"/>
          <w:sz w:val="18"/>
        </w:rPr>
        <w:t>：</w:t>
      </w:r>
    </w:p>
    <w:p>
      <w:pPr>
        <w:pStyle w:val="ListParagraph"/>
        <w:numPr>
          <w:ilvl w:val="0"/>
          <w:numId w:val="16"/>
        </w:numPr>
        <w:tabs>
          <w:tab w:pos="355" w:val="left" w:leader="none"/>
        </w:tabs>
        <w:spacing w:line="240" w:lineRule="auto" w:before="2" w:after="0"/>
        <w:ind w:left="354" w:right="0" w:hanging="138"/>
        <w:jc w:val="left"/>
        <w:rPr>
          <w:rFonts w:ascii="楷体" w:eastAsia="楷体"/>
          <w:sz w:val="18"/>
        </w:rPr>
      </w:pPr>
      <w:r>
        <w:rPr>
          <w:rFonts w:ascii="楷体" w:eastAsia="楷体"/>
          <w:spacing w:val="-3"/>
          <w:sz w:val="18"/>
        </w:rPr>
        <w:t>级：肌肉完全瘫痪，毫无收缩。</w:t>
      </w:r>
    </w:p>
    <w:p>
      <w:pPr>
        <w:pStyle w:val="ListParagraph"/>
        <w:numPr>
          <w:ilvl w:val="0"/>
          <w:numId w:val="16"/>
        </w:numPr>
        <w:tabs>
          <w:tab w:pos="355" w:val="left" w:leader="none"/>
        </w:tabs>
        <w:spacing w:line="240" w:lineRule="auto" w:before="5" w:after="0"/>
        <w:ind w:left="354" w:right="0" w:hanging="138"/>
        <w:jc w:val="left"/>
        <w:rPr>
          <w:rFonts w:ascii="楷体" w:eastAsia="楷体"/>
          <w:sz w:val="18"/>
        </w:rPr>
      </w:pPr>
      <w:r>
        <w:rPr>
          <w:rFonts w:ascii="楷体" w:eastAsia="楷体"/>
          <w:spacing w:val="-3"/>
          <w:sz w:val="18"/>
        </w:rPr>
        <w:t>级：可看到或者触及肌肉轻微收缩，但不能产生动作。</w:t>
      </w:r>
    </w:p>
    <w:p>
      <w:pPr>
        <w:pStyle w:val="ListParagraph"/>
        <w:numPr>
          <w:ilvl w:val="0"/>
          <w:numId w:val="16"/>
        </w:numPr>
        <w:tabs>
          <w:tab w:pos="401" w:val="left" w:leader="none"/>
        </w:tabs>
        <w:spacing w:line="240" w:lineRule="auto" w:before="2" w:after="0"/>
        <w:ind w:left="400" w:right="0" w:hanging="184"/>
        <w:jc w:val="left"/>
        <w:rPr>
          <w:rFonts w:ascii="楷体" w:eastAsia="楷体"/>
          <w:sz w:val="18"/>
        </w:rPr>
      </w:pPr>
      <w:r>
        <w:rPr>
          <w:rFonts w:ascii="楷体" w:eastAsia="楷体"/>
          <w:spacing w:val="-3"/>
          <w:sz w:val="18"/>
        </w:rPr>
        <w:t>级：肌肉在不受重力影响下，可进行运动，即肢体能在床面上移动，但不能抬高。</w:t>
      </w:r>
    </w:p>
    <w:p>
      <w:pPr>
        <w:pStyle w:val="ListParagraph"/>
        <w:numPr>
          <w:ilvl w:val="0"/>
          <w:numId w:val="16"/>
        </w:numPr>
        <w:tabs>
          <w:tab w:pos="401" w:val="left" w:leader="none"/>
        </w:tabs>
        <w:spacing w:line="240" w:lineRule="auto" w:before="3" w:after="0"/>
        <w:ind w:left="400" w:right="0" w:hanging="184"/>
        <w:jc w:val="left"/>
        <w:rPr>
          <w:rFonts w:ascii="楷体" w:eastAsia="楷体"/>
          <w:sz w:val="18"/>
        </w:rPr>
      </w:pPr>
      <w:r>
        <w:rPr>
          <w:rFonts w:ascii="楷体" w:eastAsia="楷体"/>
          <w:spacing w:val="-3"/>
          <w:sz w:val="18"/>
        </w:rPr>
        <w:t>级：在和地心引力相反的方向中尚能完成其动作，但不能对抗外加阻力。</w:t>
      </w:r>
    </w:p>
    <w:p>
      <w:pPr>
        <w:pStyle w:val="ListParagraph"/>
        <w:numPr>
          <w:ilvl w:val="0"/>
          <w:numId w:val="16"/>
        </w:numPr>
        <w:tabs>
          <w:tab w:pos="401" w:val="left" w:leader="none"/>
        </w:tabs>
        <w:spacing w:line="240" w:lineRule="auto" w:before="2" w:after="0"/>
        <w:ind w:left="400" w:right="0" w:hanging="184"/>
        <w:jc w:val="left"/>
        <w:rPr>
          <w:rFonts w:ascii="楷体" w:eastAsia="楷体"/>
          <w:sz w:val="18"/>
        </w:rPr>
      </w:pPr>
      <w:r>
        <w:rPr>
          <w:rFonts w:ascii="楷体" w:eastAsia="楷体"/>
          <w:spacing w:val="-3"/>
          <w:sz w:val="18"/>
        </w:rPr>
        <w:t>级：能对抗一定的阻力，但较正常人为低。</w:t>
      </w:r>
    </w:p>
    <w:p>
      <w:pPr>
        <w:pStyle w:val="ListParagraph"/>
        <w:numPr>
          <w:ilvl w:val="0"/>
          <w:numId w:val="16"/>
        </w:numPr>
        <w:tabs>
          <w:tab w:pos="401" w:val="left" w:leader="none"/>
        </w:tabs>
        <w:spacing w:line="240" w:lineRule="auto" w:before="5" w:after="0"/>
        <w:ind w:left="400" w:right="0" w:hanging="184"/>
        <w:jc w:val="left"/>
        <w:rPr>
          <w:rFonts w:ascii="楷体" w:eastAsia="楷体"/>
          <w:sz w:val="18"/>
        </w:rPr>
      </w:pPr>
      <w:r>
        <w:rPr>
          <w:rFonts w:ascii="楷体" w:eastAsia="楷体"/>
          <w:spacing w:val="-2"/>
          <w:sz w:val="18"/>
        </w:rPr>
        <w:t>级：正常肌力。</w:t>
      </w:r>
    </w:p>
    <w:p>
      <w:pPr>
        <w:spacing w:before="2"/>
        <w:ind w:left="160" w:right="0" w:firstLine="0"/>
        <w:jc w:val="left"/>
        <w:rPr>
          <w:rFonts w:ascii="楷体" w:eastAsia="楷体"/>
          <w:sz w:val="18"/>
        </w:rPr>
      </w:pPr>
      <w:r>
        <w:rPr>
          <w:rFonts w:ascii="楷体" w:eastAsia="楷体"/>
          <w:w w:val="95"/>
          <w:position w:val="9"/>
          <w:sz w:val="9"/>
        </w:rPr>
        <w:t>42</w:t>
      </w:r>
      <w:r>
        <w:rPr>
          <w:rFonts w:ascii="楷体" w:eastAsia="楷体" w:hint="eastAsia"/>
          <w:b/>
          <w:w w:val="95"/>
          <w:sz w:val="18"/>
        </w:rPr>
        <w:t>语</w:t>
      </w:r>
      <w:r>
        <w:rPr>
          <w:rFonts w:ascii="楷体" w:eastAsia="楷体" w:hint="eastAsia"/>
          <w:b/>
          <w:w w:val="95"/>
          <w:sz w:val="18"/>
        </w:rPr>
        <w:t>言</w:t>
      </w:r>
      <w:r>
        <w:rPr>
          <w:rFonts w:ascii="楷体" w:eastAsia="楷体" w:hint="eastAsia"/>
          <w:b/>
          <w:w w:val="95"/>
          <w:sz w:val="18"/>
        </w:rPr>
        <w:t>能</w:t>
      </w:r>
      <w:r>
        <w:rPr>
          <w:rFonts w:ascii="楷体" w:eastAsia="楷体" w:hint="eastAsia"/>
          <w:b/>
          <w:w w:val="95"/>
          <w:sz w:val="18"/>
        </w:rPr>
        <w:t>力</w:t>
      </w:r>
      <w:r>
        <w:rPr>
          <w:rFonts w:ascii="楷体" w:eastAsia="楷体" w:hint="eastAsia"/>
          <w:b/>
          <w:w w:val="95"/>
          <w:sz w:val="18"/>
        </w:rPr>
        <w:t>完</w:t>
      </w:r>
      <w:r>
        <w:rPr>
          <w:rFonts w:ascii="楷体" w:eastAsia="楷体" w:hint="eastAsia"/>
          <w:b/>
          <w:w w:val="95"/>
          <w:sz w:val="18"/>
        </w:rPr>
        <w:t>全</w:t>
      </w:r>
      <w:r>
        <w:rPr>
          <w:rFonts w:ascii="楷体" w:eastAsia="楷体" w:hint="eastAsia"/>
          <w:b/>
          <w:w w:val="95"/>
          <w:sz w:val="18"/>
        </w:rPr>
        <w:t>丧</w:t>
      </w:r>
      <w:r>
        <w:rPr>
          <w:rFonts w:ascii="楷体" w:eastAsia="楷体" w:hint="eastAsia"/>
          <w:b/>
          <w:w w:val="95"/>
          <w:sz w:val="18"/>
        </w:rPr>
        <w:t>失</w:t>
      </w:r>
      <w:r>
        <w:rPr>
          <w:rFonts w:ascii="楷体" w:eastAsia="楷体"/>
          <w:w w:val="95"/>
          <w:sz w:val="18"/>
        </w:rPr>
        <w:t>：</w:t>
      </w:r>
      <w:r>
        <w:rPr>
          <w:rFonts w:ascii="楷体" w:eastAsia="楷体"/>
          <w:w w:val="95"/>
          <w:sz w:val="18"/>
        </w:rPr>
        <w:t>指</w:t>
      </w:r>
      <w:r>
        <w:rPr>
          <w:rFonts w:ascii="楷体" w:eastAsia="楷体"/>
          <w:w w:val="95"/>
          <w:sz w:val="18"/>
        </w:rPr>
        <w:t>无</w:t>
      </w:r>
      <w:r>
        <w:rPr>
          <w:rFonts w:ascii="楷体" w:eastAsia="楷体"/>
          <w:w w:val="95"/>
          <w:sz w:val="18"/>
        </w:rPr>
        <w:t>法</w:t>
      </w:r>
      <w:r>
        <w:rPr>
          <w:rFonts w:ascii="楷体" w:eastAsia="楷体"/>
          <w:w w:val="95"/>
          <w:sz w:val="18"/>
        </w:rPr>
        <w:t>发</w:t>
      </w:r>
      <w:r>
        <w:rPr>
          <w:rFonts w:ascii="楷体" w:eastAsia="楷体"/>
          <w:w w:val="95"/>
          <w:sz w:val="18"/>
        </w:rPr>
        <w:t>出</w:t>
      </w:r>
      <w:r>
        <w:rPr>
          <w:rFonts w:ascii="楷体" w:eastAsia="楷体"/>
          <w:w w:val="95"/>
          <w:sz w:val="18"/>
        </w:rPr>
        <w:t>四</w:t>
      </w:r>
      <w:r>
        <w:rPr>
          <w:rFonts w:ascii="楷体" w:eastAsia="楷体"/>
          <w:w w:val="95"/>
          <w:sz w:val="18"/>
        </w:rPr>
        <w:t>种</w:t>
      </w:r>
      <w:r>
        <w:rPr>
          <w:rFonts w:ascii="楷体" w:eastAsia="楷体"/>
          <w:w w:val="95"/>
          <w:sz w:val="18"/>
        </w:rPr>
        <w:t>语</w:t>
      </w:r>
      <w:r>
        <w:rPr>
          <w:rFonts w:ascii="楷体" w:eastAsia="楷体"/>
          <w:w w:val="95"/>
          <w:sz w:val="18"/>
        </w:rPr>
        <w:t>音（</w:t>
      </w:r>
      <w:r>
        <w:rPr>
          <w:rFonts w:ascii="楷体" w:eastAsia="楷体"/>
          <w:w w:val="95"/>
          <w:sz w:val="18"/>
        </w:rPr>
        <w:t>包</w:t>
      </w:r>
      <w:r>
        <w:rPr>
          <w:rFonts w:ascii="楷体" w:eastAsia="楷体"/>
          <w:w w:val="95"/>
          <w:sz w:val="18"/>
        </w:rPr>
        <w:t>括</w:t>
      </w:r>
      <w:r>
        <w:rPr>
          <w:rFonts w:ascii="楷体" w:eastAsia="楷体"/>
          <w:w w:val="95"/>
          <w:sz w:val="18"/>
        </w:rPr>
        <w:t>口</w:t>
      </w:r>
      <w:r>
        <w:rPr>
          <w:rFonts w:ascii="楷体" w:eastAsia="楷体"/>
          <w:w w:val="95"/>
          <w:sz w:val="18"/>
        </w:rPr>
        <w:t>唇</w:t>
      </w:r>
      <w:r>
        <w:rPr>
          <w:rFonts w:ascii="楷体" w:eastAsia="楷体"/>
          <w:w w:val="95"/>
          <w:sz w:val="18"/>
        </w:rPr>
        <w:t>音</w:t>
      </w:r>
      <w:r>
        <w:rPr>
          <w:rFonts w:ascii="楷体" w:eastAsia="楷体"/>
          <w:w w:val="95"/>
          <w:sz w:val="18"/>
        </w:rPr>
        <w:t>、</w:t>
      </w:r>
      <w:r>
        <w:rPr>
          <w:rFonts w:ascii="楷体" w:eastAsia="楷体"/>
          <w:w w:val="95"/>
          <w:sz w:val="18"/>
        </w:rPr>
        <w:t>齿</w:t>
      </w:r>
      <w:r>
        <w:rPr>
          <w:rFonts w:ascii="楷体" w:eastAsia="楷体"/>
          <w:w w:val="95"/>
          <w:sz w:val="18"/>
        </w:rPr>
        <w:t>舌</w:t>
      </w:r>
      <w:r>
        <w:rPr>
          <w:rFonts w:ascii="楷体" w:eastAsia="楷体"/>
          <w:w w:val="95"/>
          <w:sz w:val="18"/>
        </w:rPr>
        <w:t>音</w:t>
      </w:r>
      <w:r>
        <w:rPr>
          <w:rFonts w:ascii="楷体" w:eastAsia="楷体"/>
          <w:w w:val="95"/>
          <w:sz w:val="18"/>
        </w:rPr>
        <w:t>、</w:t>
      </w:r>
      <w:r>
        <w:rPr>
          <w:rFonts w:ascii="楷体" w:eastAsia="楷体"/>
          <w:w w:val="95"/>
          <w:sz w:val="18"/>
        </w:rPr>
        <w:t>口</w:t>
      </w:r>
      <w:r>
        <w:rPr>
          <w:rFonts w:ascii="楷体" w:eastAsia="楷体"/>
          <w:w w:val="95"/>
          <w:sz w:val="18"/>
        </w:rPr>
        <w:t>盖</w:t>
      </w:r>
      <w:r>
        <w:rPr>
          <w:rFonts w:ascii="楷体" w:eastAsia="楷体"/>
          <w:w w:val="95"/>
          <w:sz w:val="18"/>
        </w:rPr>
        <w:t>音</w:t>
      </w:r>
      <w:r>
        <w:rPr>
          <w:rFonts w:ascii="楷体" w:eastAsia="楷体"/>
          <w:w w:val="95"/>
          <w:sz w:val="18"/>
        </w:rPr>
        <w:t>和</w:t>
      </w:r>
      <w:r>
        <w:rPr>
          <w:rFonts w:ascii="楷体" w:eastAsia="楷体"/>
          <w:w w:val="95"/>
          <w:sz w:val="18"/>
        </w:rPr>
        <w:t>喉</w:t>
      </w:r>
      <w:r>
        <w:rPr>
          <w:rFonts w:ascii="楷体" w:eastAsia="楷体"/>
          <w:w w:val="95"/>
          <w:sz w:val="18"/>
        </w:rPr>
        <w:t>头</w:t>
      </w:r>
      <w:r>
        <w:rPr>
          <w:rFonts w:ascii="楷体" w:eastAsia="楷体"/>
          <w:w w:val="95"/>
          <w:sz w:val="18"/>
        </w:rPr>
        <w:t>音</w:t>
      </w:r>
      <w:r>
        <w:rPr>
          <w:rFonts w:ascii="楷体" w:eastAsia="楷体"/>
          <w:w w:val="95"/>
          <w:sz w:val="18"/>
        </w:rPr>
        <w:t>）</w:t>
      </w:r>
      <w:r>
        <w:rPr>
          <w:rFonts w:ascii="楷体" w:eastAsia="楷体"/>
          <w:w w:val="95"/>
          <w:sz w:val="18"/>
        </w:rPr>
        <w:t>中</w:t>
      </w:r>
      <w:r>
        <w:rPr>
          <w:rFonts w:ascii="楷体" w:eastAsia="楷体"/>
          <w:w w:val="95"/>
          <w:sz w:val="18"/>
        </w:rPr>
        <w:t>的</w:t>
      </w:r>
      <w:r>
        <w:rPr>
          <w:rFonts w:ascii="楷体" w:eastAsia="楷体"/>
          <w:w w:val="95"/>
          <w:sz w:val="18"/>
        </w:rPr>
        <w:t>任</w:t>
      </w:r>
      <w:r>
        <w:rPr>
          <w:rFonts w:ascii="楷体" w:eastAsia="楷体"/>
          <w:w w:val="95"/>
          <w:sz w:val="18"/>
        </w:rPr>
        <w:t>何</w:t>
      </w:r>
      <w:r>
        <w:rPr>
          <w:rFonts w:ascii="楷体" w:eastAsia="楷体"/>
          <w:w w:val="95"/>
          <w:sz w:val="18"/>
        </w:rPr>
        <w:t>三</w:t>
      </w:r>
      <w:r>
        <w:rPr>
          <w:rFonts w:ascii="楷体" w:eastAsia="楷体"/>
          <w:w w:val="95"/>
          <w:sz w:val="18"/>
        </w:rPr>
        <w:t>种</w:t>
      </w:r>
      <w:r>
        <w:rPr>
          <w:rFonts w:ascii="楷体" w:eastAsia="楷体"/>
          <w:w w:val="95"/>
          <w:sz w:val="18"/>
        </w:rPr>
        <w:t>、</w:t>
      </w:r>
      <w:r>
        <w:rPr>
          <w:rFonts w:ascii="楷体" w:eastAsia="楷体"/>
          <w:w w:val="95"/>
          <w:sz w:val="18"/>
        </w:rPr>
        <w:t>或</w:t>
      </w:r>
      <w:r>
        <w:rPr>
          <w:rFonts w:ascii="楷体" w:eastAsia="楷体"/>
          <w:w w:val="95"/>
          <w:sz w:val="18"/>
        </w:rPr>
        <w:t>声</w:t>
      </w:r>
      <w:r>
        <w:rPr>
          <w:rFonts w:ascii="楷体" w:eastAsia="楷体"/>
          <w:w w:val="95"/>
          <w:sz w:val="18"/>
        </w:rPr>
        <w:t>带</w:t>
      </w:r>
      <w:r>
        <w:rPr>
          <w:rFonts w:ascii="楷体" w:eastAsia="楷体"/>
          <w:w w:val="95"/>
          <w:sz w:val="18"/>
        </w:rPr>
        <w:t>全</w:t>
      </w:r>
      <w:r>
        <w:rPr>
          <w:rFonts w:ascii="楷体" w:eastAsia="楷体"/>
          <w:w w:val="95"/>
          <w:sz w:val="18"/>
        </w:rPr>
        <w:t>部</w:t>
      </w:r>
      <w:r>
        <w:rPr>
          <w:rFonts w:ascii="楷体" w:eastAsia="楷体"/>
          <w:w w:val="95"/>
          <w:sz w:val="18"/>
        </w:rPr>
        <w:t>切</w:t>
      </w:r>
      <w:r>
        <w:rPr>
          <w:rFonts w:ascii="楷体" w:eastAsia="楷体"/>
          <w:w w:val="95"/>
          <w:sz w:val="18"/>
        </w:rPr>
        <w:t>除</w:t>
      </w:r>
      <w:r>
        <w:rPr>
          <w:rFonts w:ascii="楷体" w:eastAsia="楷体"/>
          <w:w w:val="95"/>
          <w:sz w:val="18"/>
        </w:rPr>
        <w:t>，</w:t>
      </w:r>
      <w:r>
        <w:rPr>
          <w:rFonts w:ascii="楷体" w:eastAsia="楷体"/>
          <w:w w:val="95"/>
          <w:sz w:val="18"/>
        </w:rPr>
        <w:t>或</w:t>
      </w:r>
      <w:r>
        <w:rPr>
          <w:rFonts w:ascii="楷体" w:eastAsia="楷体"/>
          <w:spacing w:val="-10"/>
          <w:w w:val="95"/>
          <w:sz w:val="18"/>
        </w:rPr>
        <w:t>因</w:t>
      </w:r>
    </w:p>
    <w:p>
      <w:pPr>
        <w:spacing w:before="2"/>
        <w:ind w:left="160" w:right="0" w:firstLine="0"/>
        <w:jc w:val="left"/>
        <w:rPr>
          <w:rFonts w:ascii="楷体" w:eastAsia="楷体"/>
          <w:sz w:val="18"/>
        </w:rPr>
      </w:pPr>
      <w:r>
        <w:rPr>
          <w:rFonts w:ascii="楷体" w:eastAsia="楷体"/>
          <w:spacing w:val="-1"/>
          <w:sz w:val="18"/>
        </w:rPr>
        <w:t>大脑语言中枢受伤害而患失语症。</w:t>
      </w:r>
    </w:p>
    <w:p>
      <w:pPr>
        <w:spacing w:before="4"/>
        <w:ind w:left="160" w:right="0" w:firstLine="0"/>
        <w:jc w:val="left"/>
        <w:rPr>
          <w:rFonts w:ascii="楷体" w:eastAsia="楷体"/>
          <w:sz w:val="18"/>
        </w:rPr>
      </w:pPr>
      <w:r>
        <w:rPr>
          <w:rFonts w:ascii="楷体" w:eastAsia="楷体"/>
          <w:w w:val="95"/>
          <w:position w:val="9"/>
          <w:sz w:val="9"/>
        </w:rPr>
        <w:t>43</w:t>
      </w:r>
      <w:r>
        <w:rPr>
          <w:rFonts w:ascii="楷体" w:eastAsia="楷体" w:hint="eastAsia"/>
          <w:b/>
          <w:w w:val="95"/>
          <w:sz w:val="18"/>
        </w:rPr>
        <w:t>严</w:t>
      </w:r>
      <w:r>
        <w:rPr>
          <w:rFonts w:ascii="楷体" w:eastAsia="楷体" w:hint="eastAsia"/>
          <w:b/>
          <w:w w:val="95"/>
          <w:sz w:val="18"/>
        </w:rPr>
        <w:t>重</w:t>
      </w:r>
      <w:r>
        <w:rPr>
          <w:rFonts w:ascii="楷体" w:eastAsia="楷体" w:hint="eastAsia"/>
          <w:b/>
          <w:w w:val="95"/>
          <w:sz w:val="18"/>
        </w:rPr>
        <w:t>咀</w:t>
      </w:r>
      <w:r>
        <w:rPr>
          <w:rFonts w:ascii="楷体" w:eastAsia="楷体" w:hint="eastAsia"/>
          <w:b/>
          <w:w w:val="95"/>
          <w:sz w:val="18"/>
        </w:rPr>
        <w:t>嚼</w:t>
      </w:r>
      <w:r>
        <w:rPr>
          <w:rFonts w:ascii="楷体" w:eastAsia="楷体" w:hint="eastAsia"/>
          <w:b/>
          <w:w w:val="95"/>
          <w:sz w:val="18"/>
        </w:rPr>
        <w:t>吞</w:t>
      </w:r>
      <w:r>
        <w:rPr>
          <w:rFonts w:ascii="楷体" w:eastAsia="楷体" w:hint="eastAsia"/>
          <w:b/>
          <w:w w:val="95"/>
          <w:sz w:val="18"/>
        </w:rPr>
        <w:t>咽</w:t>
      </w:r>
      <w:r>
        <w:rPr>
          <w:rFonts w:ascii="楷体" w:eastAsia="楷体" w:hint="eastAsia"/>
          <w:b/>
          <w:w w:val="95"/>
          <w:sz w:val="18"/>
        </w:rPr>
        <w:t>功</w:t>
      </w:r>
      <w:r>
        <w:rPr>
          <w:rFonts w:ascii="楷体" w:eastAsia="楷体" w:hint="eastAsia"/>
          <w:b/>
          <w:w w:val="95"/>
          <w:sz w:val="18"/>
        </w:rPr>
        <w:t>能障碍</w:t>
      </w:r>
      <w:r>
        <w:rPr>
          <w:rFonts w:ascii="楷体" w:eastAsia="楷体"/>
          <w:w w:val="95"/>
          <w:sz w:val="18"/>
        </w:rPr>
        <w:t>：指因</w:t>
      </w:r>
      <w:r>
        <w:rPr>
          <w:rFonts w:ascii="楷体" w:eastAsia="楷体"/>
          <w:w w:val="95"/>
          <w:sz w:val="18"/>
        </w:rPr>
        <w:t>牙</w:t>
      </w:r>
      <w:r>
        <w:rPr>
          <w:rFonts w:ascii="楷体" w:eastAsia="楷体"/>
          <w:w w:val="95"/>
          <w:sz w:val="18"/>
        </w:rPr>
        <w:t>齿</w:t>
      </w:r>
      <w:r>
        <w:rPr>
          <w:rFonts w:ascii="楷体" w:eastAsia="楷体"/>
          <w:w w:val="95"/>
          <w:sz w:val="18"/>
        </w:rPr>
        <w:t>以</w:t>
      </w:r>
      <w:r>
        <w:rPr>
          <w:rFonts w:ascii="楷体" w:eastAsia="楷体"/>
          <w:w w:val="95"/>
          <w:sz w:val="18"/>
        </w:rPr>
        <w:t>外</w:t>
      </w:r>
      <w:r>
        <w:rPr>
          <w:rFonts w:ascii="楷体" w:eastAsia="楷体"/>
          <w:w w:val="95"/>
          <w:sz w:val="18"/>
        </w:rPr>
        <w:t>的</w:t>
      </w:r>
      <w:r>
        <w:rPr>
          <w:rFonts w:ascii="楷体" w:eastAsia="楷体"/>
          <w:w w:val="95"/>
          <w:sz w:val="18"/>
        </w:rPr>
        <w:t>原</w:t>
      </w:r>
      <w:r>
        <w:rPr>
          <w:rFonts w:ascii="楷体" w:eastAsia="楷体"/>
          <w:w w:val="95"/>
          <w:sz w:val="18"/>
        </w:rPr>
        <w:t>因</w:t>
      </w:r>
      <w:r>
        <w:rPr>
          <w:rFonts w:ascii="楷体" w:eastAsia="楷体"/>
          <w:w w:val="95"/>
          <w:sz w:val="18"/>
        </w:rPr>
        <w:t>导</w:t>
      </w:r>
      <w:r>
        <w:rPr>
          <w:rFonts w:ascii="楷体" w:eastAsia="楷体"/>
          <w:w w:val="95"/>
          <w:sz w:val="18"/>
        </w:rPr>
        <w:t>致</w:t>
      </w:r>
      <w:r>
        <w:rPr>
          <w:rFonts w:ascii="楷体" w:eastAsia="楷体"/>
          <w:w w:val="95"/>
          <w:sz w:val="18"/>
        </w:rPr>
        <w:t>器</w:t>
      </w:r>
      <w:r>
        <w:rPr>
          <w:rFonts w:ascii="楷体" w:eastAsia="楷体"/>
          <w:w w:val="95"/>
          <w:sz w:val="18"/>
        </w:rPr>
        <w:t>质</w:t>
      </w:r>
      <w:r>
        <w:rPr>
          <w:rFonts w:ascii="楷体" w:eastAsia="楷体"/>
          <w:w w:val="95"/>
          <w:sz w:val="18"/>
        </w:rPr>
        <w:t>障</w:t>
      </w:r>
      <w:r>
        <w:rPr>
          <w:rFonts w:ascii="楷体" w:eastAsia="楷体"/>
          <w:w w:val="95"/>
          <w:sz w:val="18"/>
        </w:rPr>
        <w:t>碍</w:t>
      </w:r>
      <w:r>
        <w:rPr>
          <w:rFonts w:ascii="楷体" w:eastAsia="楷体"/>
          <w:w w:val="95"/>
          <w:sz w:val="18"/>
        </w:rPr>
        <w:t>或</w:t>
      </w:r>
      <w:r>
        <w:rPr>
          <w:rFonts w:ascii="楷体" w:eastAsia="楷体"/>
          <w:w w:val="95"/>
          <w:sz w:val="18"/>
        </w:rPr>
        <w:t>机</w:t>
      </w:r>
      <w:r>
        <w:rPr>
          <w:rFonts w:ascii="楷体" w:eastAsia="楷体"/>
          <w:w w:val="95"/>
          <w:sz w:val="18"/>
        </w:rPr>
        <w:t>能</w:t>
      </w:r>
      <w:r>
        <w:rPr>
          <w:rFonts w:ascii="楷体" w:eastAsia="楷体"/>
          <w:w w:val="95"/>
          <w:sz w:val="18"/>
        </w:rPr>
        <w:t>障</w:t>
      </w:r>
      <w:r>
        <w:rPr>
          <w:rFonts w:ascii="楷体" w:eastAsia="楷体"/>
          <w:w w:val="95"/>
          <w:sz w:val="18"/>
        </w:rPr>
        <w:t>碍</w:t>
      </w:r>
      <w:r>
        <w:rPr>
          <w:rFonts w:ascii="楷体" w:eastAsia="楷体"/>
          <w:w w:val="95"/>
          <w:sz w:val="18"/>
        </w:rPr>
        <w:t>，</w:t>
      </w:r>
      <w:r>
        <w:rPr>
          <w:rFonts w:ascii="楷体" w:eastAsia="楷体"/>
          <w:w w:val="95"/>
          <w:sz w:val="18"/>
        </w:rPr>
        <w:t>以</w:t>
      </w:r>
      <w:r>
        <w:rPr>
          <w:rFonts w:ascii="楷体" w:eastAsia="楷体"/>
          <w:w w:val="95"/>
          <w:sz w:val="18"/>
        </w:rPr>
        <w:t>致</w:t>
      </w:r>
      <w:r>
        <w:rPr>
          <w:rFonts w:ascii="楷体" w:eastAsia="楷体"/>
          <w:w w:val="95"/>
          <w:sz w:val="18"/>
        </w:rPr>
        <w:t>不</w:t>
      </w:r>
      <w:r>
        <w:rPr>
          <w:rFonts w:ascii="楷体" w:eastAsia="楷体"/>
          <w:w w:val="95"/>
          <w:sz w:val="18"/>
        </w:rPr>
        <w:t>能</w:t>
      </w:r>
      <w:r>
        <w:rPr>
          <w:rFonts w:ascii="楷体" w:eastAsia="楷体"/>
          <w:w w:val="95"/>
          <w:sz w:val="18"/>
        </w:rPr>
        <w:t>作</w:t>
      </w:r>
      <w:r>
        <w:rPr>
          <w:rFonts w:ascii="楷体" w:eastAsia="楷体"/>
          <w:w w:val="95"/>
          <w:sz w:val="18"/>
        </w:rPr>
        <w:t>咀</w:t>
      </w:r>
      <w:r>
        <w:rPr>
          <w:rFonts w:ascii="楷体" w:eastAsia="楷体"/>
          <w:w w:val="95"/>
          <w:sz w:val="18"/>
        </w:rPr>
        <w:t>嚼</w:t>
      </w:r>
      <w:r>
        <w:rPr>
          <w:rFonts w:ascii="楷体" w:eastAsia="楷体"/>
          <w:w w:val="95"/>
          <w:sz w:val="18"/>
        </w:rPr>
        <w:t>吞</w:t>
      </w:r>
      <w:r>
        <w:rPr>
          <w:rFonts w:ascii="楷体" w:eastAsia="楷体"/>
          <w:w w:val="95"/>
          <w:sz w:val="18"/>
        </w:rPr>
        <w:t>咽</w:t>
      </w:r>
      <w:r>
        <w:rPr>
          <w:rFonts w:ascii="楷体" w:eastAsia="楷体"/>
          <w:w w:val="95"/>
          <w:sz w:val="18"/>
        </w:rPr>
        <w:t>运</w:t>
      </w:r>
      <w:r>
        <w:rPr>
          <w:rFonts w:ascii="楷体" w:eastAsia="楷体"/>
          <w:w w:val="95"/>
          <w:sz w:val="18"/>
        </w:rPr>
        <w:t>动</w:t>
      </w:r>
      <w:r>
        <w:rPr>
          <w:rFonts w:ascii="楷体" w:eastAsia="楷体"/>
          <w:w w:val="95"/>
          <w:sz w:val="18"/>
        </w:rPr>
        <w:t>，</w:t>
      </w:r>
      <w:r>
        <w:rPr>
          <w:rFonts w:ascii="楷体" w:eastAsia="楷体"/>
          <w:w w:val="95"/>
          <w:sz w:val="18"/>
        </w:rPr>
        <w:t>除</w:t>
      </w:r>
      <w:r>
        <w:rPr>
          <w:rFonts w:ascii="楷体" w:eastAsia="楷体"/>
          <w:w w:val="95"/>
          <w:sz w:val="18"/>
        </w:rPr>
        <w:t>流</w:t>
      </w:r>
      <w:r>
        <w:rPr>
          <w:rFonts w:ascii="楷体" w:eastAsia="楷体"/>
          <w:w w:val="95"/>
          <w:sz w:val="18"/>
        </w:rPr>
        <w:t>质</w:t>
      </w:r>
      <w:r>
        <w:rPr>
          <w:rFonts w:ascii="楷体" w:eastAsia="楷体"/>
          <w:w w:val="95"/>
          <w:sz w:val="18"/>
        </w:rPr>
        <w:t>食</w:t>
      </w:r>
      <w:r>
        <w:rPr>
          <w:rFonts w:ascii="楷体" w:eastAsia="楷体"/>
          <w:w w:val="95"/>
          <w:sz w:val="18"/>
        </w:rPr>
        <w:t>物</w:t>
      </w:r>
      <w:r>
        <w:rPr>
          <w:rFonts w:ascii="楷体" w:eastAsia="楷体"/>
          <w:w w:val="95"/>
          <w:sz w:val="18"/>
        </w:rPr>
        <w:t>外</w:t>
      </w:r>
      <w:r>
        <w:rPr>
          <w:rFonts w:ascii="楷体" w:eastAsia="楷体"/>
          <w:w w:val="95"/>
          <w:sz w:val="18"/>
        </w:rPr>
        <w:t>不</w:t>
      </w:r>
      <w:r>
        <w:rPr>
          <w:rFonts w:ascii="楷体" w:eastAsia="楷体"/>
          <w:w w:val="95"/>
          <w:sz w:val="18"/>
        </w:rPr>
        <w:t>能</w:t>
      </w:r>
      <w:r>
        <w:rPr>
          <w:rFonts w:ascii="楷体" w:eastAsia="楷体"/>
          <w:w w:val="95"/>
          <w:sz w:val="18"/>
        </w:rPr>
        <w:t>摄</w:t>
      </w:r>
      <w:r>
        <w:rPr>
          <w:rFonts w:ascii="楷体" w:eastAsia="楷体"/>
          <w:spacing w:val="-10"/>
          <w:w w:val="95"/>
          <w:sz w:val="18"/>
        </w:rPr>
        <w:t>取</w:t>
      </w:r>
    </w:p>
    <w:p>
      <w:pPr>
        <w:spacing w:before="3"/>
        <w:ind w:left="160" w:right="0" w:firstLine="0"/>
        <w:jc w:val="left"/>
        <w:rPr>
          <w:rFonts w:ascii="楷体" w:eastAsia="楷体"/>
          <w:sz w:val="18"/>
        </w:rPr>
      </w:pPr>
      <w:r>
        <w:rPr>
          <w:rFonts w:ascii="楷体" w:eastAsia="楷体"/>
          <w:spacing w:val="-2"/>
          <w:sz w:val="18"/>
        </w:rPr>
        <w:t>或吞咽的状态。</w:t>
      </w:r>
    </w:p>
    <w:p>
      <w:pPr>
        <w:spacing w:before="2"/>
        <w:ind w:left="160" w:right="0" w:firstLine="0"/>
        <w:jc w:val="left"/>
        <w:rPr>
          <w:rFonts w:ascii="楷体" w:eastAsia="楷体"/>
          <w:sz w:val="18"/>
        </w:rPr>
      </w:pPr>
      <w:r>
        <w:rPr>
          <w:w w:val="95"/>
          <w:position w:val="9"/>
          <w:sz w:val="9"/>
        </w:rPr>
        <w:t>44</w:t>
      </w:r>
      <w:r>
        <w:rPr>
          <w:rFonts w:ascii="楷体" w:eastAsia="楷体" w:hint="eastAsia"/>
          <w:b/>
          <w:w w:val="95"/>
          <w:sz w:val="18"/>
        </w:rPr>
        <w:t>六</w:t>
      </w:r>
      <w:r>
        <w:rPr>
          <w:rFonts w:ascii="楷体" w:eastAsia="楷体" w:hint="eastAsia"/>
          <w:b/>
          <w:w w:val="95"/>
          <w:sz w:val="18"/>
        </w:rPr>
        <w:t>项</w:t>
      </w:r>
      <w:r>
        <w:rPr>
          <w:rFonts w:ascii="楷体" w:eastAsia="楷体" w:hint="eastAsia"/>
          <w:b/>
          <w:w w:val="95"/>
          <w:sz w:val="18"/>
        </w:rPr>
        <w:t>基</w:t>
      </w:r>
      <w:r>
        <w:rPr>
          <w:rFonts w:ascii="楷体" w:eastAsia="楷体" w:hint="eastAsia"/>
          <w:b/>
          <w:w w:val="95"/>
          <w:sz w:val="18"/>
        </w:rPr>
        <w:t>本</w:t>
      </w:r>
      <w:r>
        <w:rPr>
          <w:rFonts w:ascii="楷体" w:eastAsia="楷体" w:hint="eastAsia"/>
          <w:b/>
          <w:w w:val="95"/>
          <w:sz w:val="18"/>
        </w:rPr>
        <w:t>日</w:t>
      </w:r>
      <w:r>
        <w:rPr>
          <w:rFonts w:ascii="楷体" w:eastAsia="楷体" w:hint="eastAsia"/>
          <w:b/>
          <w:w w:val="95"/>
          <w:sz w:val="18"/>
        </w:rPr>
        <w:t>常</w:t>
      </w:r>
      <w:r>
        <w:rPr>
          <w:rFonts w:ascii="楷体" w:eastAsia="楷体" w:hint="eastAsia"/>
          <w:b/>
          <w:w w:val="95"/>
          <w:sz w:val="18"/>
        </w:rPr>
        <w:t>生</w:t>
      </w:r>
      <w:r>
        <w:rPr>
          <w:rFonts w:ascii="楷体" w:eastAsia="楷体" w:hint="eastAsia"/>
          <w:b/>
          <w:w w:val="95"/>
          <w:sz w:val="18"/>
        </w:rPr>
        <w:t>活活动:</w:t>
      </w:r>
      <w:r>
        <w:rPr>
          <w:rFonts w:ascii="楷体" w:eastAsia="楷体"/>
          <w:w w:val="95"/>
          <w:sz w:val="18"/>
        </w:rPr>
        <w:t>（1）</w:t>
      </w:r>
      <w:r>
        <w:rPr>
          <w:rFonts w:ascii="楷体" w:eastAsia="楷体"/>
          <w:w w:val="95"/>
          <w:sz w:val="18"/>
        </w:rPr>
        <w:t>穿</w:t>
      </w:r>
      <w:r>
        <w:rPr>
          <w:rFonts w:ascii="楷体" w:eastAsia="楷体"/>
          <w:w w:val="95"/>
          <w:sz w:val="18"/>
        </w:rPr>
        <w:t>衣</w:t>
      </w:r>
      <w:r>
        <w:rPr>
          <w:rFonts w:ascii="楷体" w:eastAsia="楷体"/>
          <w:w w:val="95"/>
          <w:sz w:val="18"/>
        </w:rPr>
        <w:t>：</w:t>
      </w:r>
      <w:r>
        <w:rPr>
          <w:rFonts w:ascii="楷体" w:eastAsia="楷体"/>
          <w:w w:val="95"/>
          <w:sz w:val="18"/>
        </w:rPr>
        <w:t>自</w:t>
      </w:r>
      <w:r>
        <w:rPr>
          <w:rFonts w:ascii="楷体" w:eastAsia="楷体"/>
          <w:w w:val="95"/>
          <w:sz w:val="18"/>
        </w:rPr>
        <w:t>己</w:t>
      </w:r>
      <w:r>
        <w:rPr>
          <w:rFonts w:ascii="楷体" w:eastAsia="楷体"/>
          <w:w w:val="95"/>
          <w:sz w:val="18"/>
        </w:rPr>
        <w:t>能</w:t>
      </w:r>
      <w:r>
        <w:rPr>
          <w:rFonts w:ascii="楷体" w:eastAsia="楷体"/>
          <w:w w:val="95"/>
          <w:sz w:val="18"/>
        </w:rPr>
        <w:t>够</w:t>
      </w:r>
      <w:r>
        <w:rPr>
          <w:rFonts w:ascii="楷体" w:eastAsia="楷体"/>
          <w:w w:val="95"/>
          <w:sz w:val="18"/>
        </w:rPr>
        <w:t>穿</w:t>
      </w:r>
      <w:r>
        <w:rPr>
          <w:rFonts w:ascii="楷体" w:eastAsia="楷体"/>
          <w:w w:val="95"/>
          <w:sz w:val="18"/>
        </w:rPr>
        <w:t>衣</w:t>
      </w:r>
      <w:r>
        <w:rPr>
          <w:rFonts w:ascii="楷体" w:eastAsia="楷体"/>
          <w:w w:val="95"/>
          <w:sz w:val="18"/>
        </w:rPr>
        <w:t>及</w:t>
      </w:r>
      <w:r>
        <w:rPr>
          <w:rFonts w:ascii="楷体" w:eastAsia="楷体"/>
          <w:w w:val="95"/>
          <w:sz w:val="18"/>
        </w:rPr>
        <w:t>脱</w:t>
      </w:r>
      <w:r>
        <w:rPr>
          <w:rFonts w:ascii="楷体" w:eastAsia="楷体"/>
          <w:w w:val="95"/>
          <w:sz w:val="18"/>
        </w:rPr>
        <w:t>衣</w:t>
      </w:r>
      <w:r>
        <w:rPr>
          <w:rFonts w:ascii="楷体" w:eastAsia="楷体"/>
          <w:spacing w:val="-73"/>
          <w:w w:val="95"/>
          <w:sz w:val="18"/>
        </w:rPr>
        <w:t>；</w:t>
      </w:r>
      <w:r>
        <w:rPr>
          <w:rFonts w:ascii="楷体" w:eastAsia="楷体"/>
          <w:spacing w:val="26"/>
          <w:w w:val="95"/>
          <w:sz w:val="18"/>
        </w:rPr>
        <w:t>（</w:t>
      </w:r>
      <w:r>
        <w:rPr>
          <w:rFonts w:ascii="楷体" w:eastAsia="楷体"/>
          <w:spacing w:val="27"/>
          <w:w w:val="95"/>
          <w:sz w:val="18"/>
        </w:rPr>
        <w:t>2</w:t>
      </w:r>
      <w:r>
        <w:rPr>
          <w:rFonts w:ascii="楷体" w:eastAsia="楷体"/>
          <w:spacing w:val="18"/>
          <w:w w:val="95"/>
          <w:sz w:val="18"/>
        </w:rPr>
        <w:t>）</w:t>
      </w:r>
      <w:r>
        <w:rPr>
          <w:rFonts w:ascii="楷体" w:eastAsia="楷体"/>
          <w:w w:val="95"/>
          <w:sz w:val="18"/>
        </w:rPr>
        <w:t>移</w:t>
      </w:r>
      <w:r>
        <w:rPr>
          <w:rFonts w:ascii="楷体" w:eastAsia="楷体"/>
          <w:w w:val="95"/>
          <w:sz w:val="18"/>
        </w:rPr>
        <w:t>动</w:t>
      </w:r>
      <w:r>
        <w:rPr>
          <w:rFonts w:ascii="楷体" w:eastAsia="楷体"/>
          <w:w w:val="95"/>
          <w:sz w:val="18"/>
        </w:rPr>
        <w:t>：</w:t>
      </w:r>
      <w:r>
        <w:rPr>
          <w:rFonts w:ascii="楷体" w:eastAsia="楷体"/>
          <w:w w:val="95"/>
          <w:sz w:val="18"/>
        </w:rPr>
        <w:t>自</w:t>
      </w:r>
      <w:r>
        <w:rPr>
          <w:rFonts w:ascii="楷体" w:eastAsia="楷体"/>
          <w:w w:val="95"/>
          <w:sz w:val="18"/>
        </w:rPr>
        <w:t>己</w:t>
      </w:r>
      <w:r>
        <w:rPr>
          <w:rFonts w:ascii="楷体" w:eastAsia="楷体"/>
          <w:w w:val="95"/>
          <w:sz w:val="18"/>
        </w:rPr>
        <w:t>从</w:t>
      </w:r>
      <w:r>
        <w:rPr>
          <w:rFonts w:ascii="楷体" w:eastAsia="楷体"/>
          <w:w w:val="95"/>
          <w:sz w:val="18"/>
        </w:rPr>
        <w:t>一</w:t>
      </w:r>
      <w:r>
        <w:rPr>
          <w:rFonts w:ascii="楷体" w:eastAsia="楷体"/>
          <w:w w:val="95"/>
          <w:sz w:val="18"/>
        </w:rPr>
        <w:t>个</w:t>
      </w:r>
      <w:r>
        <w:rPr>
          <w:rFonts w:ascii="楷体" w:eastAsia="楷体"/>
          <w:w w:val="95"/>
          <w:sz w:val="18"/>
        </w:rPr>
        <w:t>房</w:t>
      </w:r>
      <w:r>
        <w:rPr>
          <w:rFonts w:ascii="楷体" w:eastAsia="楷体"/>
          <w:w w:val="95"/>
          <w:sz w:val="18"/>
        </w:rPr>
        <w:t>间</w:t>
      </w:r>
      <w:r>
        <w:rPr>
          <w:rFonts w:ascii="楷体" w:eastAsia="楷体"/>
          <w:w w:val="95"/>
          <w:sz w:val="18"/>
        </w:rPr>
        <w:t>到</w:t>
      </w:r>
      <w:r>
        <w:rPr>
          <w:rFonts w:ascii="楷体" w:eastAsia="楷体"/>
          <w:w w:val="95"/>
          <w:sz w:val="18"/>
        </w:rPr>
        <w:t>另</w:t>
      </w:r>
      <w:r>
        <w:rPr>
          <w:rFonts w:ascii="楷体" w:eastAsia="楷体"/>
          <w:w w:val="95"/>
          <w:sz w:val="18"/>
        </w:rPr>
        <w:t>一</w:t>
      </w:r>
      <w:r>
        <w:rPr>
          <w:rFonts w:ascii="楷体" w:eastAsia="楷体"/>
          <w:w w:val="95"/>
          <w:sz w:val="18"/>
        </w:rPr>
        <w:t>个</w:t>
      </w:r>
      <w:r>
        <w:rPr>
          <w:rFonts w:ascii="楷体" w:eastAsia="楷体"/>
          <w:w w:val="95"/>
          <w:sz w:val="18"/>
        </w:rPr>
        <w:t>房</w:t>
      </w:r>
      <w:r>
        <w:rPr>
          <w:rFonts w:ascii="楷体" w:eastAsia="楷体"/>
          <w:w w:val="95"/>
          <w:sz w:val="18"/>
        </w:rPr>
        <w:t>间</w:t>
      </w:r>
      <w:r>
        <w:rPr>
          <w:rFonts w:ascii="楷体" w:eastAsia="楷体"/>
          <w:spacing w:val="-73"/>
          <w:w w:val="95"/>
          <w:sz w:val="18"/>
        </w:rPr>
        <w:t>；</w:t>
      </w:r>
      <w:r>
        <w:rPr>
          <w:rFonts w:ascii="楷体" w:eastAsia="楷体"/>
          <w:spacing w:val="27"/>
          <w:w w:val="95"/>
          <w:sz w:val="18"/>
        </w:rPr>
        <w:t>（3</w:t>
      </w:r>
      <w:r>
        <w:rPr>
          <w:rFonts w:ascii="楷体" w:eastAsia="楷体"/>
          <w:spacing w:val="18"/>
          <w:w w:val="95"/>
          <w:sz w:val="18"/>
        </w:rPr>
        <w:t>）</w:t>
      </w:r>
      <w:r>
        <w:rPr>
          <w:rFonts w:ascii="楷体" w:eastAsia="楷体"/>
          <w:w w:val="95"/>
          <w:sz w:val="18"/>
        </w:rPr>
        <w:t>行</w:t>
      </w:r>
      <w:r>
        <w:rPr>
          <w:rFonts w:ascii="楷体" w:eastAsia="楷体"/>
          <w:w w:val="95"/>
          <w:sz w:val="18"/>
        </w:rPr>
        <w:t>动</w:t>
      </w:r>
      <w:r>
        <w:rPr>
          <w:rFonts w:ascii="楷体" w:eastAsia="楷体"/>
          <w:w w:val="95"/>
          <w:sz w:val="18"/>
        </w:rPr>
        <w:t>：</w:t>
      </w:r>
      <w:r>
        <w:rPr>
          <w:rFonts w:ascii="楷体" w:eastAsia="楷体"/>
          <w:w w:val="95"/>
          <w:sz w:val="18"/>
        </w:rPr>
        <w:t>自</w:t>
      </w:r>
      <w:r>
        <w:rPr>
          <w:rFonts w:ascii="楷体" w:eastAsia="楷体"/>
          <w:w w:val="95"/>
          <w:sz w:val="18"/>
        </w:rPr>
        <w:t>己</w:t>
      </w:r>
      <w:r>
        <w:rPr>
          <w:rFonts w:ascii="楷体" w:eastAsia="楷体"/>
          <w:spacing w:val="-5"/>
          <w:w w:val="95"/>
          <w:sz w:val="18"/>
        </w:rPr>
        <w:t>上下</w:t>
      </w:r>
    </w:p>
    <w:p>
      <w:pPr>
        <w:spacing w:line="244" w:lineRule="auto" w:before="2"/>
        <w:ind w:left="160" w:right="534" w:firstLine="0"/>
        <w:jc w:val="left"/>
        <w:rPr>
          <w:rFonts w:ascii="楷体" w:eastAsia="楷体"/>
          <w:sz w:val="18"/>
        </w:rPr>
      </w:pPr>
      <w:r>
        <w:rPr>
          <w:rFonts w:ascii="楷体" w:eastAsia="楷体"/>
          <w:spacing w:val="-6"/>
          <w:sz w:val="18"/>
        </w:rPr>
        <w:t>床或上下轮椅；（4）如厕：自己控制进行大小便；（5）进食：自己从已准备好的碗或碟中取食物放入口中；（6）洗澡：自己</w:t>
      </w:r>
      <w:r>
        <w:rPr>
          <w:rFonts w:ascii="楷体" w:eastAsia="楷体"/>
          <w:sz w:val="18"/>
        </w:rPr>
        <w:t>进行淋浴或盆浴。六项基本日常生活活动能力的鉴定不适用于 0-3 周岁幼儿。</w:t>
      </w:r>
    </w:p>
    <w:p>
      <w:pPr>
        <w:spacing w:after="0" w:line="244" w:lineRule="auto"/>
        <w:jc w:val="left"/>
        <w:rPr>
          <w:rFonts w:ascii="楷体" w:eastAsia="楷体"/>
          <w:sz w:val="18"/>
        </w:rPr>
        <w:sectPr>
          <w:pgSz w:w="11910" w:h="16840"/>
          <w:pgMar w:header="0" w:footer="659" w:top="1400" w:bottom="840" w:left="920" w:right="540"/>
        </w:sectPr>
      </w:pPr>
    </w:p>
    <w:p>
      <w:pPr>
        <w:pStyle w:val="BodyText"/>
        <w:spacing w:before="44"/>
        <w:ind w:left="3254"/>
      </w:pPr>
      <w:r>
        <w:rPr>
          <w:spacing w:val="-4"/>
        </w:rPr>
        <w:t>三项以上。</w:t>
      </w:r>
    </w:p>
    <w:p>
      <w:pPr>
        <w:pStyle w:val="BodyText"/>
        <w:spacing w:before="7"/>
        <w:rPr>
          <w:sz w:val="15"/>
        </w:rPr>
      </w:pPr>
    </w:p>
    <w:p>
      <w:pPr>
        <w:pStyle w:val="Heading2"/>
        <w:numPr>
          <w:ilvl w:val="0"/>
          <w:numId w:val="11"/>
        </w:numPr>
        <w:tabs>
          <w:tab w:pos="3063" w:val="left" w:leader="none"/>
        </w:tabs>
        <w:spacing w:line="240" w:lineRule="auto" w:before="0" w:after="0"/>
        <w:ind w:left="3063" w:right="0" w:hanging="530"/>
        <w:jc w:val="left"/>
      </w:pPr>
      <w:r>
        <w:rPr>
          <w:spacing w:val="-3"/>
        </w:rPr>
        <w:t>重大器官移植术或造血干细胞移植术:</w:t>
      </w:r>
    </w:p>
    <w:p>
      <w:pPr>
        <w:pStyle w:val="BodyText"/>
        <w:spacing w:before="7"/>
        <w:rPr>
          <w:b/>
          <w:sz w:val="15"/>
        </w:rPr>
      </w:pPr>
    </w:p>
    <w:p>
      <w:pPr>
        <w:pStyle w:val="BodyText"/>
        <w:spacing w:line="278" w:lineRule="auto"/>
        <w:ind w:left="2533" w:right="356"/>
      </w:pPr>
      <w:r>
        <w:rPr>
          <w:spacing w:val="-2"/>
        </w:rPr>
        <w:t>重大器官移植术，指因相应器官功能衰竭，已经实施了肾脏、肝脏、心脏、肺脏或</w:t>
      </w:r>
      <w:r>
        <w:rPr>
          <w:spacing w:val="-2"/>
        </w:rPr>
        <w:t>小肠的异体移植手术；</w:t>
      </w:r>
    </w:p>
    <w:p>
      <w:pPr>
        <w:pStyle w:val="BodyText"/>
        <w:spacing w:line="278" w:lineRule="auto"/>
        <w:ind w:left="2533" w:right="356"/>
      </w:pPr>
      <w:r>
        <w:rPr>
          <w:spacing w:val="-2"/>
        </w:rPr>
        <w:t>造血干细胞移植术，指因造血功能损害或造血系统恶性肿瘤，已经实施了造血干细</w:t>
      </w:r>
      <w:r>
        <w:rPr>
          <w:spacing w:val="-2"/>
        </w:rPr>
        <w:t>胞（包括骨髓造血干细胞、外周血造血干细胞和脐血造血干细胞）的移植手术。</w:t>
      </w:r>
    </w:p>
    <w:p>
      <w:pPr>
        <w:pStyle w:val="Heading2"/>
        <w:numPr>
          <w:ilvl w:val="0"/>
          <w:numId w:val="11"/>
        </w:numPr>
        <w:tabs>
          <w:tab w:pos="3063" w:val="left" w:leader="none"/>
        </w:tabs>
        <w:spacing w:line="240" w:lineRule="auto" w:before="156" w:after="0"/>
        <w:ind w:left="3063" w:right="0" w:hanging="530"/>
        <w:jc w:val="left"/>
      </w:pPr>
      <w:r>
        <w:rPr>
          <w:spacing w:val="-2"/>
        </w:rPr>
        <w:t>冠状动脉搭桥术（或称冠状动脉旁路移植术</w:t>
      </w:r>
      <w:r>
        <w:rPr>
          <w:spacing w:val="-5"/>
        </w:rPr>
        <w:t>）:</w:t>
      </w:r>
    </w:p>
    <w:p>
      <w:pPr>
        <w:pStyle w:val="BodyText"/>
        <w:spacing w:before="6"/>
        <w:rPr>
          <w:b/>
          <w:sz w:val="15"/>
        </w:rPr>
      </w:pPr>
    </w:p>
    <w:p>
      <w:pPr>
        <w:pStyle w:val="BodyText"/>
        <w:spacing w:line="278" w:lineRule="auto"/>
        <w:ind w:left="2533" w:right="357"/>
      </w:pPr>
      <w:r>
        <w:rPr>
          <w:spacing w:val="2"/>
          <w:w w:val="100"/>
        </w:rPr>
        <w:t>指为治疗严重的冠心病，已经实施了切开心包进行的冠状动脉血管旁路移植的手</w:t>
      </w:r>
      <w:r>
        <w:rPr>
          <w:w w:val="100"/>
        </w:rPr>
        <w:t>术。</w:t>
      </w:r>
    </w:p>
    <w:p>
      <w:pPr>
        <w:pStyle w:val="BodyText"/>
        <w:spacing w:line="269" w:lineRule="exact"/>
        <w:ind w:left="2533"/>
      </w:pPr>
      <w:r>
        <w:rPr>
          <w:color w:val="000000"/>
          <w:spacing w:val="-3"/>
          <w:shd w:fill="E4E4E4" w:color="auto" w:val="clear"/>
        </w:rPr>
        <w:t>所有未切开心包的冠状动脉介入治疗不在保障范围内。</w:t>
      </w:r>
    </w:p>
    <w:p>
      <w:pPr>
        <w:pStyle w:val="BodyText"/>
        <w:spacing w:before="7"/>
        <w:rPr>
          <w:sz w:val="15"/>
        </w:rPr>
      </w:pPr>
    </w:p>
    <w:p>
      <w:pPr>
        <w:pStyle w:val="Heading2"/>
        <w:numPr>
          <w:ilvl w:val="0"/>
          <w:numId w:val="11"/>
        </w:numPr>
        <w:tabs>
          <w:tab w:pos="3063" w:val="left" w:leader="none"/>
        </w:tabs>
        <w:spacing w:line="240" w:lineRule="auto" w:before="1" w:after="0"/>
        <w:ind w:left="3063" w:right="0" w:hanging="530"/>
        <w:jc w:val="left"/>
      </w:pPr>
      <w:r>
        <w:rPr>
          <w:spacing w:val="-2"/>
        </w:rPr>
        <w:t>严重慢性肾衰竭:</w:t>
      </w:r>
    </w:p>
    <w:p>
      <w:pPr>
        <w:pStyle w:val="BodyText"/>
        <w:spacing w:before="6"/>
        <w:rPr>
          <w:b/>
          <w:sz w:val="15"/>
        </w:rPr>
      </w:pPr>
    </w:p>
    <w:p>
      <w:pPr>
        <w:pStyle w:val="BodyText"/>
        <w:spacing w:line="278" w:lineRule="auto"/>
        <w:ind w:left="2533" w:right="346"/>
        <w:jc w:val="both"/>
      </w:pPr>
      <w:r>
        <w:rPr>
          <w:spacing w:val="-2"/>
        </w:rPr>
        <w:t>指双肾功能慢性不可逆性衰竭，依据肾脏病预后质量倡议（K/DOQI）制定的指南，</w:t>
      </w:r>
      <w:r>
        <w:rPr>
          <w:spacing w:val="-3"/>
        </w:rPr>
        <w:t>分期达到慢性肾脏病 </w:t>
      </w:r>
      <w:r>
        <w:rPr/>
        <w:t>5</w:t>
      </w:r>
      <w:r>
        <w:rPr>
          <w:spacing w:val="-7"/>
        </w:rPr>
        <w:t> 期，且经诊断后已经进行了至少 </w:t>
      </w:r>
      <w:r>
        <w:rPr/>
        <w:t>90</w:t>
      </w:r>
      <w:r>
        <w:rPr>
          <w:spacing w:val="-5"/>
        </w:rPr>
        <w:t> 天的规律性透析治疗。</w:t>
      </w:r>
      <w:r>
        <w:rPr>
          <w:spacing w:val="-2"/>
        </w:rPr>
        <w:t>规律性透析是指每周进行血液透析或每天进行腹膜透析。</w:t>
      </w:r>
    </w:p>
    <w:p>
      <w:pPr>
        <w:pStyle w:val="Heading2"/>
        <w:numPr>
          <w:ilvl w:val="0"/>
          <w:numId w:val="11"/>
        </w:numPr>
        <w:tabs>
          <w:tab w:pos="3063" w:val="left" w:leader="none"/>
        </w:tabs>
        <w:spacing w:line="240" w:lineRule="auto" w:before="156" w:after="0"/>
        <w:ind w:left="3063" w:right="0" w:hanging="530"/>
        <w:jc w:val="left"/>
      </w:pPr>
      <w:r>
        <w:rPr>
          <w:spacing w:val="-2"/>
        </w:rPr>
        <w:t>多个肢体缺失:</w:t>
      </w:r>
    </w:p>
    <w:p>
      <w:pPr>
        <w:pStyle w:val="BodyText"/>
        <w:spacing w:before="7"/>
        <w:rPr>
          <w:b/>
          <w:sz w:val="15"/>
        </w:rPr>
      </w:pPr>
    </w:p>
    <w:p>
      <w:pPr>
        <w:pStyle w:val="BodyText"/>
        <w:spacing w:line="278" w:lineRule="auto"/>
        <w:ind w:left="2533" w:right="357"/>
      </w:pPr>
      <w:r>
        <w:rPr>
          <w:spacing w:val="2"/>
          <w:w w:val="100"/>
        </w:rPr>
        <w:t>指因疾病或意外伤害导致两个或两个以上肢体自腕关节或踝关节近端</w:t>
      </w:r>
      <w:r>
        <w:rPr>
          <w:spacing w:val="4"/>
          <w:w w:val="100"/>
        </w:rPr>
        <w:t>（</w:t>
      </w:r>
      <w:r>
        <w:rPr>
          <w:spacing w:val="3"/>
          <w:w w:val="100"/>
        </w:rPr>
        <w:t>靠近躯干</w:t>
      </w:r>
      <w:r>
        <w:rPr>
          <w:w w:val="100"/>
        </w:rPr>
        <w:t>端）</w:t>
      </w:r>
      <w:r>
        <w:rPr>
          <w:spacing w:val="-3"/>
          <w:w w:val="100"/>
        </w:rPr>
        <w:t>以上完全性断离。</w:t>
      </w:r>
    </w:p>
    <w:p>
      <w:pPr>
        <w:pStyle w:val="Heading2"/>
        <w:numPr>
          <w:ilvl w:val="0"/>
          <w:numId w:val="11"/>
        </w:numPr>
        <w:tabs>
          <w:tab w:pos="3063" w:val="left" w:leader="none"/>
        </w:tabs>
        <w:spacing w:line="240" w:lineRule="auto" w:before="156" w:after="0"/>
        <w:ind w:left="3063" w:right="0" w:hanging="530"/>
        <w:jc w:val="left"/>
      </w:pPr>
      <w:r>
        <w:rPr>
          <w:spacing w:val="-3"/>
        </w:rPr>
        <w:t>急性重症肝炎或亚急性重症肝炎:</w:t>
      </w:r>
    </w:p>
    <w:p>
      <w:pPr>
        <w:pStyle w:val="BodyText"/>
        <w:spacing w:before="6"/>
        <w:rPr>
          <w:b/>
          <w:sz w:val="15"/>
        </w:rPr>
      </w:pPr>
    </w:p>
    <w:p>
      <w:pPr>
        <w:pStyle w:val="BodyText"/>
        <w:spacing w:line="278" w:lineRule="auto"/>
        <w:ind w:left="2533" w:right="356"/>
      </w:pPr>
      <w:r>
        <w:rPr>
          <w:spacing w:val="-2"/>
        </w:rPr>
        <w:t>指因肝炎病毒感染引起肝脏组织弥漫性坏死，导致急性肝功能衰竭，且经血清学或</w:t>
      </w:r>
      <w:r>
        <w:rPr>
          <w:spacing w:val="-2"/>
        </w:rPr>
        <w:t>病毒学检查证实，并须满足下列全部条件：</w:t>
      </w:r>
    </w:p>
    <w:p>
      <w:pPr>
        <w:pStyle w:val="ListParagraph"/>
        <w:numPr>
          <w:ilvl w:val="0"/>
          <w:numId w:val="17"/>
        </w:numPr>
        <w:tabs>
          <w:tab w:pos="3254" w:val="left" w:leader="none"/>
          <w:tab w:pos="3255" w:val="left" w:leader="none"/>
        </w:tabs>
        <w:spacing w:line="240" w:lineRule="auto" w:before="157" w:after="0"/>
        <w:ind w:left="3254" w:right="0" w:hanging="722"/>
        <w:jc w:val="left"/>
        <w:rPr>
          <w:sz w:val="21"/>
        </w:rPr>
      </w:pPr>
      <w:r>
        <w:rPr>
          <w:spacing w:val="-3"/>
          <w:sz w:val="21"/>
        </w:rPr>
        <w:t>重度黄疸或黄疸迅速加重；</w:t>
      </w:r>
    </w:p>
    <w:p>
      <w:pPr>
        <w:pStyle w:val="BodyText"/>
        <w:spacing w:before="6"/>
        <w:rPr>
          <w:sz w:val="15"/>
        </w:rPr>
      </w:pPr>
    </w:p>
    <w:p>
      <w:pPr>
        <w:pStyle w:val="ListParagraph"/>
        <w:numPr>
          <w:ilvl w:val="0"/>
          <w:numId w:val="17"/>
        </w:numPr>
        <w:tabs>
          <w:tab w:pos="3254" w:val="left" w:leader="none"/>
          <w:tab w:pos="3255" w:val="left" w:leader="none"/>
        </w:tabs>
        <w:spacing w:line="240" w:lineRule="auto" w:before="0" w:after="0"/>
        <w:ind w:left="3254" w:right="0" w:hanging="722"/>
        <w:jc w:val="left"/>
        <w:rPr>
          <w:sz w:val="21"/>
        </w:rPr>
      </w:pPr>
      <w:r>
        <w:rPr>
          <w:spacing w:val="-4"/>
          <w:sz w:val="21"/>
        </w:rPr>
        <w:t>肝性脑病；</w:t>
      </w:r>
    </w:p>
    <w:p>
      <w:pPr>
        <w:pStyle w:val="BodyText"/>
        <w:spacing w:before="7"/>
        <w:rPr>
          <w:sz w:val="15"/>
        </w:rPr>
      </w:pPr>
    </w:p>
    <w:p>
      <w:pPr>
        <w:pStyle w:val="ListParagraph"/>
        <w:numPr>
          <w:ilvl w:val="0"/>
          <w:numId w:val="17"/>
        </w:numPr>
        <w:tabs>
          <w:tab w:pos="3254" w:val="left" w:leader="none"/>
          <w:tab w:pos="3255" w:val="left" w:leader="none"/>
        </w:tabs>
        <w:spacing w:line="240" w:lineRule="auto" w:before="0" w:after="0"/>
        <w:ind w:left="3254" w:right="0" w:hanging="722"/>
        <w:jc w:val="left"/>
        <w:rPr>
          <w:sz w:val="21"/>
        </w:rPr>
      </w:pPr>
      <w:r>
        <w:rPr>
          <w:spacing w:val="-2"/>
          <w:sz w:val="21"/>
        </w:rPr>
        <w:t>B</w:t>
      </w:r>
      <w:r>
        <w:rPr>
          <w:spacing w:val="-10"/>
          <w:sz w:val="21"/>
        </w:rPr>
        <w:t> 超或其它影像学检查显示肝脏体积急速萎缩；</w:t>
      </w:r>
    </w:p>
    <w:p>
      <w:pPr>
        <w:pStyle w:val="BodyText"/>
        <w:spacing w:before="7"/>
        <w:rPr>
          <w:sz w:val="15"/>
        </w:rPr>
      </w:pPr>
    </w:p>
    <w:p>
      <w:pPr>
        <w:pStyle w:val="ListParagraph"/>
        <w:numPr>
          <w:ilvl w:val="0"/>
          <w:numId w:val="17"/>
        </w:numPr>
        <w:tabs>
          <w:tab w:pos="3254" w:val="left" w:leader="none"/>
          <w:tab w:pos="3255" w:val="left" w:leader="none"/>
        </w:tabs>
        <w:spacing w:line="240" w:lineRule="auto" w:before="0" w:after="0"/>
        <w:ind w:left="3254" w:right="0" w:hanging="722"/>
        <w:jc w:val="left"/>
        <w:rPr>
          <w:sz w:val="21"/>
        </w:rPr>
      </w:pPr>
      <w:r>
        <w:rPr>
          <w:spacing w:val="-3"/>
          <w:sz w:val="21"/>
        </w:rPr>
        <w:t>肝功能指标进行性恶化。</w:t>
      </w:r>
    </w:p>
    <w:p>
      <w:pPr>
        <w:pStyle w:val="BodyText"/>
        <w:spacing w:before="6"/>
        <w:rPr>
          <w:sz w:val="15"/>
        </w:rPr>
      </w:pPr>
    </w:p>
    <w:p>
      <w:pPr>
        <w:pStyle w:val="Heading2"/>
        <w:numPr>
          <w:ilvl w:val="0"/>
          <w:numId w:val="11"/>
        </w:numPr>
        <w:tabs>
          <w:tab w:pos="3063" w:val="left" w:leader="none"/>
        </w:tabs>
        <w:spacing w:line="240" w:lineRule="auto" w:before="1" w:after="0"/>
        <w:ind w:left="3063" w:right="0" w:hanging="530"/>
        <w:jc w:val="left"/>
      </w:pPr>
      <w:r>
        <w:rPr>
          <w:spacing w:val="-3"/>
        </w:rPr>
        <w:t>严重非恶性颅内肿瘤:</w:t>
      </w:r>
    </w:p>
    <w:p>
      <w:pPr>
        <w:pStyle w:val="BodyText"/>
        <w:spacing w:before="6"/>
        <w:rPr>
          <w:b/>
          <w:sz w:val="15"/>
        </w:rPr>
      </w:pPr>
    </w:p>
    <w:p>
      <w:pPr>
        <w:pStyle w:val="BodyText"/>
        <w:spacing w:line="278" w:lineRule="auto"/>
        <w:ind w:left="2533" w:right="250"/>
      </w:pPr>
      <w:r>
        <w:rPr>
          <w:spacing w:val="-2"/>
        </w:rPr>
        <w:t>指起源于脑、脑神经、脑被膜的非恶性肿瘤，ICD-0-3</w:t>
      </w:r>
      <w:r>
        <w:rPr>
          <w:spacing w:val="-11"/>
        </w:rPr>
        <w:t> 肿瘤形态学编码属于 </w:t>
      </w:r>
      <w:r>
        <w:rPr>
          <w:spacing w:val="-2"/>
        </w:rPr>
        <w:t>0（良性</w:t>
      </w:r>
      <w:r>
        <w:rPr>
          <w:spacing w:val="-2"/>
        </w:rPr>
        <w:t>肿瘤</w:t>
      </w:r>
      <w:r>
        <w:rPr>
          <w:spacing w:val="-108"/>
        </w:rPr>
        <w:t>）</w:t>
      </w:r>
      <w:r>
        <w:rPr>
          <w:spacing w:val="-2"/>
        </w:rPr>
        <w:t>、1（动态未定性肿瘤）范畴，并已经引起颅内压升高或神经系统功能损害，</w:t>
      </w:r>
      <w:r>
        <w:rPr>
          <w:spacing w:val="-2"/>
        </w:rPr>
        <w:t>出现视乳头水肿或视觉受损、听觉受损、面部或肢体瘫痪、癫痫等，须由头颅断层</w:t>
      </w:r>
      <w:r>
        <w:rPr>
          <w:spacing w:val="-8"/>
        </w:rPr>
        <w:t>扫描</w:t>
      </w:r>
      <w:r>
        <w:rPr>
          <w:spacing w:val="19"/>
        </w:rPr>
        <w:t>（C</w:t>
      </w:r>
      <w:r>
        <w:rPr>
          <w:spacing w:val="16"/>
        </w:rPr>
        <w:t>T</w:t>
      </w:r>
      <w:r>
        <w:rPr>
          <w:spacing w:val="-87"/>
        </w:rPr>
        <w:t>）</w:t>
      </w:r>
      <w:r>
        <w:rPr>
          <w:spacing w:val="-8"/>
        </w:rPr>
        <w:t>、核磁共振检查（MRI）或正电子发射断层扫描（PET）等影像学检查证实，</w:t>
      </w:r>
      <w:r>
        <w:rPr>
          <w:spacing w:val="-2"/>
        </w:rPr>
        <w:t>且必须满足下列至少一项条件：</w:t>
      </w:r>
    </w:p>
    <w:p>
      <w:pPr>
        <w:pStyle w:val="ListParagraph"/>
        <w:numPr>
          <w:ilvl w:val="0"/>
          <w:numId w:val="18"/>
        </w:numPr>
        <w:tabs>
          <w:tab w:pos="3254" w:val="left" w:leader="none"/>
          <w:tab w:pos="3255" w:val="left" w:leader="none"/>
        </w:tabs>
        <w:spacing w:line="240" w:lineRule="auto" w:before="156" w:after="0"/>
        <w:ind w:left="3254" w:right="0" w:hanging="722"/>
        <w:jc w:val="left"/>
        <w:rPr>
          <w:sz w:val="21"/>
        </w:rPr>
      </w:pPr>
      <w:r>
        <w:rPr>
          <w:spacing w:val="-3"/>
          <w:sz w:val="21"/>
        </w:rPr>
        <w:t>已经实施了开颅进行的颅内肿瘤完全或部分切除手术；</w:t>
      </w:r>
    </w:p>
    <w:p>
      <w:pPr>
        <w:pStyle w:val="BodyText"/>
        <w:spacing w:before="7"/>
        <w:rPr>
          <w:sz w:val="15"/>
        </w:rPr>
      </w:pPr>
    </w:p>
    <w:p>
      <w:pPr>
        <w:pStyle w:val="ListParagraph"/>
        <w:numPr>
          <w:ilvl w:val="0"/>
          <w:numId w:val="18"/>
        </w:numPr>
        <w:tabs>
          <w:tab w:pos="3254" w:val="left" w:leader="none"/>
          <w:tab w:pos="3255" w:val="left" w:leader="none"/>
        </w:tabs>
        <w:spacing w:line="240" w:lineRule="auto" w:before="0" w:after="0"/>
        <w:ind w:left="3254" w:right="0" w:hanging="722"/>
        <w:jc w:val="left"/>
        <w:rPr>
          <w:sz w:val="21"/>
        </w:rPr>
      </w:pPr>
      <w:r>
        <w:rPr>
          <w:spacing w:val="-2"/>
          <w:sz w:val="21"/>
        </w:rPr>
        <w:t>已经实施了针对颅内肿瘤的放射治疗，如γ</w:t>
      </w:r>
      <w:r>
        <w:rPr>
          <w:spacing w:val="-3"/>
          <w:sz w:val="21"/>
        </w:rPr>
        <w:t>刀、质子重离子治疗等。</w:t>
      </w:r>
    </w:p>
    <w:p>
      <w:pPr>
        <w:pStyle w:val="BodyText"/>
        <w:spacing w:before="12"/>
        <w:rPr>
          <w:sz w:val="9"/>
        </w:rPr>
      </w:pPr>
    </w:p>
    <w:p>
      <w:pPr>
        <w:pStyle w:val="BodyText"/>
        <w:spacing w:before="72"/>
        <w:ind w:left="2533"/>
      </w:pPr>
      <w:r>
        <w:rPr>
          <w:color w:val="000000"/>
          <w:spacing w:val="-3"/>
          <w:shd w:fill="E4E4E4" w:color="auto" w:val="clear"/>
        </w:rPr>
        <w:t>下列疾病不在保障范围内：</w:t>
      </w:r>
    </w:p>
    <w:p>
      <w:pPr>
        <w:pStyle w:val="BodyText"/>
        <w:spacing w:before="12"/>
        <w:rPr>
          <w:sz w:val="9"/>
        </w:rPr>
      </w:pPr>
    </w:p>
    <w:p>
      <w:pPr>
        <w:pStyle w:val="ListParagraph"/>
        <w:numPr>
          <w:ilvl w:val="0"/>
          <w:numId w:val="19"/>
        </w:numPr>
        <w:tabs>
          <w:tab w:pos="3254" w:val="left" w:leader="none"/>
          <w:tab w:pos="3255" w:val="left" w:leader="none"/>
        </w:tabs>
        <w:spacing w:line="240" w:lineRule="auto" w:before="71" w:after="0"/>
        <w:ind w:left="3254" w:right="0" w:hanging="722"/>
        <w:jc w:val="left"/>
        <w:rPr>
          <w:sz w:val="21"/>
        </w:rPr>
      </w:pPr>
      <w:r>
        <w:rPr>
          <w:color w:val="000000"/>
          <w:spacing w:val="-4"/>
          <w:sz w:val="21"/>
          <w:shd w:fill="E4E4E4" w:color="auto" w:val="clear"/>
        </w:rPr>
        <w:t>脑垂体瘤；</w:t>
      </w:r>
    </w:p>
    <w:p>
      <w:pPr>
        <w:spacing w:after="0" w:line="240" w:lineRule="auto"/>
        <w:jc w:val="left"/>
        <w:rPr>
          <w:sz w:val="21"/>
        </w:rPr>
        <w:sectPr>
          <w:pgSz w:w="11910" w:h="16840"/>
          <w:pgMar w:header="0" w:footer="659" w:top="1400" w:bottom="840" w:left="920" w:right="540"/>
        </w:sectPr>
      </w:pPr>
    </w:p>
    <w:p>
      <w:pPr>
        <w:pStyle w:val="ListParagraph"/>
        <w:numPr>
          <w:ilvl w:val="0"/>
          <w:numId w:val="19"/>
        </w:numPr>
        <w:tabs>
          <w:tab w:pos="3254" w:val="left" w:leader="none"/>
          <w:tab w:pos="3255" w:val="left" w:leader="none"/>
        </w:tabs>
        <w:spacing w:line="240" w:lineRule="auto" w:before="44" w:after="0"/>
        <w:ind w:left="3254" w:right="0" w:hanging="722"/>
        <w:jc w:val="left"/>
        <w:rPr>
          <w:sz w:val="21"/>
        </w:rPr>
      </w:pPr>
      <w:r>
        <w:rPr>
          <w:color w:val="000000"/>
          <w:spacing w:val="-4"/>
          <w:sz w:val="21"/>
          <w:shd w:fill="E4E4E4" w:color="auto" w:val="clear"/>
        </w:rPr>
        <w:t>脑囊肿；</w:t>
      </w:r>
    </w:p>
    <w:p>
      <w:pPr>
        <w:pStyle w:val="BodyText"/>
        <w:rPr>
          <w:sz w:val="10"/>
        </w:rPr>
      </w:pPr>
    </w:p>
    <w:p>
      <w:pPr>
        <w:pStyle w:val="ListParagraph"/>
        <w:numPr>
          <w:ilvl w:val="0"/>
          <w:numId w:val="19"/>
        </w:numPr>
        <w:tabs>
          <w:tab w:pos="3254" w:val="left" w:leader="none"/>
          <w:tab w:pos="3255" w:val="left" w:leader="none"/>
        </w:tabs>
        <w:spacing w:line="278" w:lineRule="auto" w:before="71" w:after="0"/>
        <w:ind w:left="3254" w:right="356" w:hanging="721"/>
        <w:jc w:val="left"/>
        <w:rPr>
          <w:sz w:val="21"/>
        </w:rPr>
      </w:pPr>
      <w:r>
        <w:rPr>
          <w:color w:val="000000"/>
          <w:spacing w:val="-4"/>
          <w:sz w:val="21"/>
          <w:shd w:fill="E4E4E4" w:color="auto" w:val="clear"/>
        </w:rPr>
        <w:t>颅内血管性疾病（如脑动脉瘤、脑动静脉畸形、海绵状血管瘤、毛细血管扩</w:t>
      </w:r>
      <w:r>
        <w:rPr>
          <w:color w:val="000000"/>
          <w:spacing w:val="-4"/>
          <w:sz w:val="21"/>
          <w:shd w:fill="E4E4E4" w:color="auto" w:val="clear"/>
        </w:rPr>
        <w:t>张症等</w:t>
      </w:r>
      <w:r>
        <w:rPr>
          <w:color w:val="000000"/>
          <w:spacing w:val="-106"/>
          <w:sz w:val="21"/>
          <w:shd w:fill="E4E4E4" w:color="auto" w:val="clear"/>
        </w:rPr>
        <w:t>）</w:t>
      </w:r>
      <w:r>
        <w:rPr>
          <w:color w:val="000000"/>
          <w:spacing w:val="-4"/>
          <w:sz w:val="21"/>
          <w:shd w:fill="E4E4E4" w:color="auto" w:val="clear"/>
        </w:rPr>
        <w:t>。</w:t>
      </w:r>
    </w:p>
    <w:p>
      <w:pPr>
        <w:pStyle w:val="Heading2"/>
        <w:numPr>
          <w:ilvl w:val="0"/>
          <w:numId w:val="11"/>
        </w:numPr>
        <w:tabs>
          <w:tab w:pos="3169" w:val="left" w:leader="none"/>
        </w:tabs>
        <w:spacing w:line="240" w:lineRule="auto" w:before="156" w:after="0"/>
        <w:ind w:left="3168" w:right="0" w:hanging="636"/>
        <w:jc w:val="left"/>
      </w:pPr>
      <w:r>
        <w:rPr>
          <w:spacing w:val="-2"/>
        </w:rPr>
        <w:t>严重慢性肝衰竭:</w:t>
      </w:r>
    </w:p>
    <w:p>
      <w:pPr>
        <w:pStyle w:val="BodyText"/>
        <w:spacing w:before="7"/>
        <w:rPr>
          <w:b/>
          <w:sz w:val="15"/>
        </w:rPr>
      </w:pPr>
    </w:p>
    <w:p>
      <w:pPr>
        <w:pStyle w:val="BodyText"/>
        <w:ind w:left="2533"/>
      </w:pPr>
      <w:r>
        <w:rPr>
          <w:spacing w:val="-3"/>
        </w:rPr>
        <w:t>指因慢性肝脏疾病导致的肝衰竭，且须满足下列全部条件：</w:t>
      </w:r>
    </w:p>
    <w:p>
      <w:pPr>
        <w:pStyle w:val="BodyText"/>
        <w:spacing w:before="6"/>
        <w:rPr>
          <w:sz w:val="15"/>
        </w:rPr>
      </w:pPr>
    </w:p>
    <w:p>
      <w:pPr>
        <w:pStyle w:val="ListParagraph"/>
        <w:numPr>
          <w:ilvl w:val="0"/>
          <w:numId w:val="20"/>
        </w:numPr>
        <w:tabs>
          <w:tab w:pos="3254" w:val="left" w:leader="none"/>
          <w:tab w:pos="3255" w:val="left" w:leader="none"/>
        </w:tabs>
        <w:spacing w:line="240" w:lineRule="auto" w:before="1" w:after="0"/>
        <w:ind w:left="3254" w:right="0" w:hanging="722"/>
        <w:jc w:val="left"/>
        <w:rPr>
          <w:sz w:val="21"/>
        </w:rPr>
      </w:pPr>
      <w:r>
        <w:rPr>
          <w:spacing w:val="-4"/>
          <w:sz w:val="21"/>
        </w:rPr>
        <w:t>持续性黄疸；</w:t>
      </w:r>
    </w:p>
    <w:p>
      <w:pPr>
        <w:pStyle w:val="BodyText"/>
        <w:spacing w:before="6"/>
        <w:rPr>
          <w:sz w:val="15"/>
        </w:rPr>
      </w:pPr>
    </w:p>
    <w:p>
      <w:pPr>
        <w:pStyle w:val="ListParagraph"/>
        <w:numPr>
          <w:ilvl w:val="0"/>
          <w:numId w:val="20"/>
        </w:numPr>
        <w:tabs>
          <w:tab w:pos="3254" w:val="left" w:leader="none"/>
          <w:tab w:pos="3255" w:val="left" w:leader="none"/>
        </w:tabs>
        <w:spacing w:line="240" w:lineRule="auto" w:before="0" w:after="0"/>
        <w:ind w:left="3254" w:right="0" w:hanging="722"/>
        <w:jc w:val="left"/>
        <w:rPr>
          <w:sz w:val="21"/>
        </w:rPr>
      </w:pPr>
      <w:r>
        <w:rPr>
          <w:spacing w:val="-4"/>
          <w:sz w:val="21"/>
        </w:rPr>
        <w:t>腹水；</w:t>
      </w:r>
    </w:p>
    <w:p>
      <w:pPr>
        <w:pStyle w:val="BodyText"/>
        <w:spacing w:before="7"/>
        <w:rPr>
          <w:sz w:val="15"/>
        </w:rPr>
      </w:pPr>
    </w:p>
    <w:p>
      <w:pPr>
        <w:pStyle w:val="ListParagraph"/>
        <w:numPr>
          <w:ilvl w:val="0"/>
          <w:numId w:val="20"/>
        </w:numPr>
        <w:tabs>
          <w:tab w:pos="3254" w:val="left" w:leader="none"/>
          <w:tab w:pos="3255" w:val="left" w:leader="none"/>
        </w:tabs>
        <w:spacing w:line="240" w:lineRule="auto" w:before="0" w:after="0"/>
        <w:ind w:left="3254" w:right="0" w:hanging="722"/>
        <w:jc w:val="left"/>
        <w:rPr>
          <w:sz w:val="21"/>
        </w:rPr>
      </w:pPr>
      <w:r>
        <w:rPr>
          <w:spacing w:val="-4"/>
          <w:sz w:val="21"/>
        </w:rPr>
        <w:t>肝性脑病；</w:t>
      </w:r>
    </w:p>
    <w:p>
      <w:pPr>
        <w:pStyle w:val="BodyText"/>
        <w:spacing w:before="7"/>
        <w:rPr>
          <w:sz w:val="15"/>
        </w:rPr>
      </w:pPr>
    </w:p>
    <w:p>
      <w:pPr>
        <w:pStyle w:val="ListParagraph"/>
        <w:numPr>
          <w:ilvl w:val="0"/>
          <w:numId w:val="20"/>
        </w:numPr>
        <w:tabs>
          <w:tab w:pos="3254" w:val="left" w:leader="none"/>
          <w:tab w:pos="3255" w:val="left" w:leader="none"/>
        </w:tabs>
        <w:spacing w:line="240" w:lineRule="auto" w:before="0" w:after="0"/>
        <w:ind w:left="3254" w:right="0" w:hanging="722"/>
        <w:jc w:val="left"/>
        <w:rPr>
          <w:sz w:val="21"/>
        </w:rPr>
      </w:pPr>
      <w:r>
        <w:rPr>
          <w:spacing w:val="-3"/>
          <w:sz w:val="21"/>
        </w:rPr>
        <w:t>充血性脾肿大伴脾功能亢进或食管胃底静脉曲张。</w:t>
      </w:r>
    </w:p>
    <w:p>
      <w:pPr>
        <w:pStyle w:val="BodyText"/>
        <w:rPr>
          <w:sz w:val="10"/>
        </w:rPr>
      </w:pPr>
    </w:p>
    <w:p>
      <w:pPr>
        <w:pStyle w:val="BodyText"/>
        <w:spacing w:before="71"/>
        <w:ind w:left="2533"/>
      </w:pPr>
      <w:r>
        <w:rPr>
          <w:color w:val="000000"/>
          <w:spacing w:val="-3"/>
          <w:shd w:fill="E4E4E4" w:color="auto" w:val="clear"/>
        </w:rPr>
        <w:t>因酗酒或药物滥用导致的肝衰竭不在保障范围内。</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3"/>
        </w:rPr>
        <w:t>严重脑炎后遗症或严重脑膜炎后遗症:</w:t>
      </w:r>
    </w:p>
    <w:p>
      <w:pPr>
        <w:pStyle w:val="BodyText"/>
        <w:spacing w:before="7"/>
        <w:rPr>
          <w:b/>
          <w:sz w:val="15"/>
        </w:rPr>
      </w:pPr>
    </w:p>
    <w:p>
      <w:pPr>
        <w:pStyle w:val="BodyText"/>
        <w:spacing w:line="278" w:lineRule="auto"/>
        <w:ind w:left="2533" w:right="356"/>
        <w:jc w:val="both"/>
      </w:pPr>
      <w:r>
        <w:rPr>
          <w:spacing w:val="-2"/>
        </w:rPr>
        <w:t>指因患脑炎或脑膜炎导致的神经系统永久性的功能障碍。神经系统永久性的功能障</w:t>
      </w:r>
      <w:r>
        <w:rPr>
          <w:spacing w:val="-2"/>
        </w:rPr>
        <w:t>碍，指经相关专科医生确诊疾病 </w:t>
      </w:r>
      <w:r>
        <w:rPr/>
        <w:t>180</w:t>
      </w:r>
      <w:r>
        <w:rPr>
          <w:spacing w:val="-5"/>
        </w:rPr>
        <w:t> 天后，仍遗留下列至少一种障碍：</w:t>
      </w:r>
    </w:p>
    <w:p>
      <w:pPr>
        <w:pStyle w:val="ListParagraph"/>
        <w:numPr>
          <w:ilvl w:val="0"/>
          <w:numId w:val="21"/>
        </w:numPr>
        <w:tabs>
          <w:tab w:pos="3254" w:val="left" w:leader="none"/>
          <w:tab w:pos="3255" w:val="left" w:leader="none"/>
        </w:tabs>
        <w:spacing w:line="240" w:lineRule="auto" w:before="156" w:after="0"/>
        <w:ind w:left="3254" w:right="0" w:hanging="722"/>
        <w:jc w:val="left"/>
        <w:rPr>
          <w:sz w:val="21"/>
        </w:rPr>
      </w:pPr>
      <w:r>
        <w:rPr>
          <w:spacing w:val="-2"/>
          <w:sz w:val="21"/>
        </w:rPr>
        <w:t>一肢（含）</w:t>
      </w:r>
      <w:r>
        <w:rPr>
          <w:spacing w:val="-10"/>
          <w:sz w:val="21"/>
        </w:rPr>
        <w:t>以上肢体肌力 </w:t>
      </w:r>
      <w:r>
        <w:rPr>
          <w:spacing w:val="-2"/>
          <w:sz w:val="21"/>
        </w:rPr>
        <w:t>2</w:t>
      </w:r>
      <w:r>
        <w:rPr>
          <w:spacing w:val="-24"/>
          <w:sz w:val="21"/>
        </w:rPr>
        <w:t> 级</w:t>
      </w:r>
      <w:r>
        <w:rPr>
          <w:spacing w:val="-2"/>
          <w:sz w:val="21"/>
        </w:rPr>
        <w:t>（含）</w:t>
      </w:r>
      <w:r>
        <w:rPr>
          <w:spacing w:val="-5"/>
          <w:sz w:val="21"/>
        </w:rPr>
        <w:t>以下；</w:t>
      </w:r>
    </w:p>
    <w:p>
      <w:pPr>
        <w:pStyle w:val="BodyText"/>
        <w:spacing w:before="6"/>
        <w:rPr>
          <w:sz w:val="15"/>
        </w:rPr>
      </w:pPr>
    </w:p>
    <w:p>
      <w:pPr>
        <w:pStyle w:val="ListParagraph"/>
        <w:numPr>
          <w:ilvl w:val="0"/>
          <w:numId w:val="21"/>
        </w:numPr>
        <w:tabs>
          <w:tab w:pos="3254" w:val="left" w:leader="none"/>
          <w:tab w:pos="3255" w:val="left" w:leader="none"/>
        </w:tabs>
        <w:spacing w:line="240" w:lineRule="auto" w:before="0" w:after="0"/>
        <w:ind w:left="3254" w:right="0" w:hanging="722"/>
        <w:jc w:val="left"/>
        <w:rPr>
          <w:sz w:val="21"/>
        </w:rPr>
      </w:pPr>
      <w:r>
        <w:rPr>
          <w:spacing w:val="-3"/>
          <w:sz w:val="21"/>
        </w:rPr>
        <w:t>语言能力完全丧失，或严重咀嚼吞咽功能障碍；</w:t>
      </w:r>
    </w:p>
    <w:p>
      <w:pPr>
        <w:pStyle w:val="BodyText"/>
        <w:spacing w:before="7"/>
        <w:rPr>
          <w:sz w:val="15"/>
        </w:rPr>
      </w:pPr>
    </w:p>
    <w:p>
      <w:pPr>
        <w:pStyle w:val="ListParagraph"/>
        <w:numPr>
          <w:ilvl w:val="0"/>
          <w:numId w:val="21"/>
        </w:numPr>
        <w:tabs>
          <w:tab w:pos="3254" w:val="left" w:leader="none"/>
          <w:tab w:pos="3255" w:val="left" w:leader="none"/>
        </w:tabs>
        <w:spacing w:line="278" w:lineRule="auto" w:before="0" w:after="0"/>
        <w:ind w:left="3254" w:right="358" w:hanging="721"/>
        <w:jc w:val="left"/>
        <w:rPr>
          <w:sz w:val="21"/>
        </w:rPr>
      </w:pPr>
      <w:r>
        <w:rPr>
          <w:spacing w:val="23"/>
          <w:sz w:val="21"/>
        </w:rPr>
        <w:t>由具有评估资格的专科医生根据临床痴呆评定量表</w:t>
      </w:r>
      <w:r>
        <w:rPr>
          <w:sz w:val="21"/>
        </w:rPr>
        <w:t>（</w:t>
      </w:r>
      <w:r>
        <w:rPr>
          <w:spacing w:val="-71"/>
          <w:sz w:val="21"/>
        </w:rPr>
        <w:t> </w:t>
      </w:r>
      <w:r>
        <w:rPr>
          <w:sz w:val="21"/>
        </w:rPr>
        <w:t>CDR</w:t>
      </w:r>
      <w:r>
        <w:rPr>
          <w:spacing w:val="-52"/>
          <w:sz w:val="21"/>
        </w:rPr>
        <w:t> ， </w:t>
      </w:r>
      <w:r>
        <w:rPr>
          <w:sz w:val="21"/>
        </w:rPr>
        <w:t>Clinical Dementia Rating）</w:t>
      </w:r>
      <w:r>
        <w:rPr>
          <w:spacing w:val="-3"/>
          <w:sz w:val="21"/>
        </w:rPr>
        <w:t>评估结果为 </w:t>
      </w:r>
      <w:r>
        <w:rPr>
          <w:sz w:val="21"/>
        </w:rPr>
        <w:t>3</w:t>
      </w:r>
      <w:r>
        <w:rPr>
          <w:spacing w:val="-6"/>
          <w:sz w:val="21"/>
        </w:rPr>
        <w:t> 分；</w:t>
      </w:r>
    </w:p>
    <w:p>
      <w:pPr>
        <w:pStyle w:val="ListParagraph"/>
        <w:numPr>
          <w:ilvl w:val="0"/>
          <w:numId w:val="21"/>
        </w:numPr>
        <w:tabs>
          <w:tab w:pos="3254" w:val="left" w:leader="none"/>
          <w:tab w:pos="3255" w:val="left" w:leader="none"/>
        </w:tabs>
        <w:spacing w:line="278" w:lineRule="auto" w:before="156" w:after="0"/>
        <w:ind w:left="3254" w:right="355" w:hanging="721"/>
        <w:jc w:val="left"/>
        <w:rPr>
          <w:sz w:val="21"/>
        </w:rPr>
      </w:pPr>
      <w:r>
        <w:rPr>
          <w:spacing w:val="-11"/>
          <w:sz w:val="21"/>
        </w:rPr>
        <w:t>自主生活能力完全丧失，无法独立完成六项基本日常生活活动中的三项或三</w:t>
      </w:r>
      <w:r>
        <w:rPr>
          <w:spacing w:val="-4"/>
          <w:sz w:val="21"/>
        </w:rPr>
        <w:t>项以上。</w:t>
      </w:r>
    </w:p>
    <w:p>
      <w:pPr>
        <w:pStyle w:val="Heading2"/>
        <w:numPr>
          <w:ilvl w:val="0"/>
          <w:numId w:val="11"/>
        </w:numPr>
        <w:tabs>
          <w:tab w:pos="3169" w:val="left" w:leader="none"/>
        </w:tabs>
        <w:spacing w:line="240" w:lineRule="auto" w:before="156" w:after="0"/>
        <w:ind w:left="3168" w:right="0" w:hanging="636"/>
        <w:jc w:val="left"/>
      </w:pPr>
      <w:r>
        <w:rPr>
          <w:spacing w:val="-2"/>
        </w:rPr>
        <w:t>深度昏迷:</w:t>
      </w:r>
    </w:p>
    <w:p>
      <w:pPr>
        <w:pStyle w:val="BodyText"/>
        <w:spacing w:before="7"/>
        <w:rPr>
          <w:b/>
          <w:sz w:val="15"/>
        </w:rPr>
      </w:pPr>
    </w:p>
    <w:p>
      <w:pPr>
        <w:pStyle w:val="BodyText"/>
        <w:spacing w:line="278" w:lineRule="auto"/>
        <w:ind w:left="2533" w:right="355"/>
        <w:jc w:val="both"/>
      </w:pPr>
      <w:r>
        <w:rPr>
          <w:spacing w:val="-2"/>
        </w:rPr>
        <w:t>指因疾病或意外伤害导致意识丧失，对外界刺激和体内需求均无反应，昏迷程度按</w:t>
      </w:r>
      <w:r>
        <w:rPr>
          <w:w w:val="95"/>
        </w:rPr>
        <w:t>照</w:t>
      </w:r>
      <w:r>
        <w:rPr>
          <w:w w:val="95"/>
        </w:rPr>
        <w:t>格</w:t>
      </w:r>
      <w:r>
        <w:rPr>
          <w:w w:val="95"/>
        </w:rPr>
        <w:t>拉斯哥昏迷分级（GCS，Glasgow</w:t>
      </w:r>
      <w:r>
        <w:rPr/>
        <w:t> </w:t>
      </w:r>
      <w:r>
        <w:rPr>
          <w:w w:val="95"/>
        </w:rPr>
        <w:t>Coma</w:t>
      </w:r>
      <w:r>
        <w:rPr/>
        <w:t> </w:t>
      </w:r>
      <w:r>
        <w:rPr>
          <w:w w:val="95"/>
        </w:rPr>
        <w:t>Scale）结</w:t>
      </w:r>
      <w:r>
        <w:rPr>
          <w:w w:val="95"/>
        </w:rPr>
        <w:t>果</w:t>
      </w:r>
      <w:r>
        <w:rPr>
          <w:w w:val="95"/>
        </w:rPr>
        <w:t>为</w:t>
      </w:r>
      <w:r>
        <w:rPr>
          <w:spacing w:val="-9"/>
          <w:w w:val="95"/>
        </w:rPr>
        <w:t> </w:t>
      </w:r>
      <w:r>
        <w:rPr>
          <w:w w:val="95"/>
        </w:rPr>
        <w:t>5</w:t>
      </w:r>
      <w:r>
        <w:rPr>
          <w:spacing w:val="-6"/>
          <w:w w:val="95"/>
        </w:rPr>
        <w:t> 分或 </w:t>
      </w:r>
      <w:r>
        <w:rPr>
          <w:w w:val="95"/>
        </w:rPr>
        <w:t>5</w:t>
      </w:r>
      <w:r>
        <w:rPr>
          <w:spacing w:val="-3"/>
          <w:w w:val="95"/>
        </w:rPr>
        <w:t> 分以下，且</w:t>
      </w:r>
      <w:r>
        <w:rPr>
          <w:w w:val="95"/>
        </w:rPr>
        <w:t>已</w:t>
      </w:r>
      <w:r>
        <w:rPr>
          <w:w w:val="95"/>
        </w:rPr>
        <w:t>经</w:t>
      </w:r>
      <w:r>
        <w:rPr>
          <w:spacing w:val="-2"/>
        </w:rPr>
        <w:t>持续使用呼吸机及其它生命维持系统 </w:t>
      </w:r>
      <w:r>
        <w:rPr/>
        <w:t>96</w:t>
      </w:r>
      <w:r>
        <w:rPr>
          <w:spacing w:val="-5"/>
        </w:rPr>
        <w:t> 小时以上。</w:t>
      </w:r>
    </w:p>
    <w:p>
      <w:pPr>
        <w:pStyle w:val="BodyText"/>
        <w:spacing w:line="269" w:lineRule="exact"/>
        <w:ind w:left="2533"/>
      </w:pPr>
      <w:r>
        <w:rPr>
          <w:color w:val="000000"/>
          <w:spacing w:val="-3"/>
          <w:shd w:fill="E4E4E4" w:color="auto" w:val="clear"/>
        </w:rPr>
        <w:t>因酗酒或药物滥用导致的深度昏迷不在保障范围内。</w:t>
      </w:r>
    </w:p>
    <w:p>
      <w:pPr>
        <w:pStyle w:val="BodyText"/>
        <w:spacing w:before="6"/>
        <w:rPr>
          <w:sz w:val="15"/>
        </w:rPr>
      </w:pPr>
    </w:p>
    <w:p>
      <w:pPr>
        <w:pStyle w:val="Heading2"/>
        <w:numPr>
          <w:ilvl w:val="0"/>
          <w:numId w:val="11"/>
        </w:numPr>
        <w:tabs>
          <w:tab w:pos="3169" w:val="left" w:leader="none"/>
        </w:tabs>
        <w:spacing w:line="240" w:lineRule="auto" w:before="0" w:after="0"/>
        <w:ind w:left="3168" w:right="0" w:hanging="636"/>
        <w:jc w:val="left"/>
      </w:pPr>
      <w:r>
        <w:rPr>
          <w:spacing w:val="-2"/>
        </w:rPr>
        <w:t>双耳失聪:</w:t>
      </w:r>
    </w:p>
    <w:p>
      <w:pPr>
        <w:pStyle w:val="BodyText"/>
        <w:spacing w:before="10"/>
        <w:rPr>
          <w:b/>
          <w:sz w:val="14"/>
        </w:rPr>
      </w:pPr>
    </w:p>
    <w:p>
      <w:pPr>
        <w:pStyle w:val="BodyText"/>
        <w:spacing w:line="278" w:lineRule="auto"/>
        <w:ind w:left="2533" w:right="355"/>
        <w:jc w:val="both"/>
      </w:pPr>
      <w:r>
        <w:rPr>
          <w:spacing w:val="-2"/>
        </w:rPr>
        <w:t>指因疾病或意外伤害导致双耳听力</w:t>
      </w:r>
      <w:r>
        <w:rPr>
          <w:b/>
          <w:spacing w:val="-2"/>
        </w:rPr>
        <w:t>永久不可逆</w:t>
      </w:r>
      <w:r>
        <w:rPr>
          <w:b/>
          <w:spacing w:val="-2"/>
          <w:position w:val="11"/>
          <w:sz w:val="11"/>
        </w:rPr>
        <w:t>45</w:t>
      </w:r>
      <w:r>
        <w:rPr>
          <w:spacing w:val="-6"/>
        </w:rPr>
        <w:t>性丧失，在 </w:t>
      </w:r>
      <w:r>
        <w:rPr>
          <w:spacing w:val="-2"/>
        </w:rPr>
        <w:t>500</w:t>
      </w:r>
      <w:r>
        <w:rPr>
          <w:spacing w:val="-8"/>
        </w:rPr>
        <w:t> 赫兹、</w:t>
      </w:r>
      <w:r>
        <w:rPr>
          <w:spacing w:val="-2"/>
        </w:rPr>
        <w:t>1000</w:t>
      </w:r>
      <w:r>
        <w:rPr>
          <w:spacing w:val="-8"/>
        </w:rPr>
        <w:t> 赫兹和</w:t>
      </w:r>
      <w:r>
        <w:rPr>
          <w:spacing w:val="-2"/>
        </w:rPr>
        <w:t> 2000</w:t>
      </w:r>
      <w:r>
        <w:rPr>
          <w:spacing w:val="-8"/>
        </w:rPr>
        <w:t> 赫兹语音频率下，平均听阈大于等于 </w:t>
      </w:r>
      <w:r>
        <w:rPr>
          <w:spacing w:val="-2"/>
        </w:rPr>
        <w:t>91</w:t>
      </w:r>
      <w:r>
        <w:rPr>
          <w:spacing w:val="-7"/>
        </w:rPr>
        <w:t> 分贝，且经纯音听力测试、声导抗检</w:t>
      </w:r>
      <w:r>
        <w:rPr>
          <w:spacing w:val="-2"/>
        </w:rPr>
        <w:t>测或听觉诱发电位检测等证实。</w:t>
      </w:r>
    </w:p>
    <w:p>
      <w:pPr>
        <w:pStyle w:val="BodyText"/>
        <w:spacing w:before="156"/>
        <w:ind w:left="2533"/>
      </w:pPr>
      <w:r>
        <w:rPr>
          <w:color w:val="000000"/>
          <w:spacing w:val="-26"/>
          <w:shd w:fill="E4E4E4" w:color="auto" w:val="clear"/>
        </w:rPr>
        <w:t>在 </w:t>
      </w:r>
      <w:r>
        <w:rPr>
          <w:color w:val="000000"/>
          <w:spacing w:val="-2"/>
          <w:shd w:fill="E4E4E4" w:color="auto" w:val="clear"/>
        </w:rPr>
        <w:t>0</w:t>
      </w:r>
      <w:r>
        <w:rPr>
          <w:color w:val="000000"/>
          <w:spacing w:val="-34"/>
          <w:shd w:fill="E4E4E4" w:color="auto" w:val="clear"/>
        </w:rPr>
        <w:t> 至 </w:t>
      </w:r>
      <w:r>
        <w:rPr>
          <w:color w:val="000000"/>
          <w:spacing w:val="-2"/>
          <w:shd w:fill="E4E4E4" w:color="auto" w:val="clear"/>
        </w:rPr>
        <w:t>3</w:t>
      </w:r>
      <w:r>
        <w:rPr>
          <w:color w:val="000000"/>
          <w:spacing w:val="-10"/>
          <w:shd w:fill="E4E4E4" w:color="auto" w:val="clear"/>
        </w:rPr>
        <w:t> 周岁期间，被保险人双耳失聪不在保障范围内。</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双目失明:</w:t>
      </w:r>
    </w:p>
    <w:p>
      <w:pPr>
        <w:pStyle w:val="BodyText"/>
        <w:spacing w:before="7"/>
        <w:rPr>
          <w:b/>
          <w:sz w:val="15"/>
        </w:rPr>
      </w:pPr>
    </w:p>
    <w:p>
      <w:pPr>
        <w:pStyle w:val="BodyText"/>
        <w:spacing w:line="278" w:lineRule="auto"/>
        <w:ind w:left="2533" w:right="356"/>
      </w:pPr>
      <w:r>
        <w:rPr>
          <w:spacing w:val="-2"/>
        </w:rPr>
        <w:t>指因疾病或意外伤害导致双眼视力永久不可逆性丧失，双眼中较好眼须满足下列至</w:t>
      </w:r>
      <w:r>
        <w:rPr>
          <w:spacing w:val="-2"/>
        </w:rPr>
        <w:t>少一项条件：</w:t>
      </w:r>
    </w:p>
    <w:p>
      <w:pPr>
        <w:pStyle w:val="BodyText"/>
        <w:spacing w:before="10"/>
        <w:rPr>
          <w:sz w:val="24"/>
        </w:rPr>
      </w:pPr>
      <w:r>
        <w:rPr/>
        <w:drawing>
          <wp:anchor distT="0" distB="0" distL="0" distR="0" allowOverlap="1" layoutInCell="1" locked="0" behindDoc="0" simplePos="0" relativeHeight="56">
            <wp:simplePos x="0" y="0"/>
            <wp:positionH relativeFrom="page">
              <wp:posOffset>685800</wp:posOffset>
            </wp:positionH>
            <wp:positionV relativeFrom="paragraph">
              <wp:posOffset>217039</wp:posOffset>
            </wp:positionV>
            <wp:extent cx="1829511" cy="6096"/>
            <wp:effectExtent l="0" t="0" r="0" b="0"/>
            <wp:wrapTopAndBottom/>
            <wp:docPr id="55" name="image6.png"/>
            <wp:cNvGraphicFramePr>
              <a:graphicFrameLocks noChangeAspect="1"/>
            </wp:cNvGraphicFramePr>
            <a:graphic>
              <a:graphicData uri="http://schemas.openxmlformats.org/drawingml/2006/picture">
                <pic:pic>
                  <pic:nvPicPr>
                    <pic:cNvPr id="56" name="image6.png"/>
                    <pic:cNvPicPr/>
                  </pic:nvPicPr>
                  <pic:blipFill>
                    <a:blip r:embed="rId11" cstate="print"/>
                    <a:stretch>
                      <a:fillRect/>
                    </a:stretch>
                  </pic:blipFill>
                  <pic:spPr>
                    <a:xfrm>
                      <a:off x="0" y="0"/>
                      <a:ext cx="1829511" cy="6096"/>
                    </a:xfrm>
                    <a:prstGeom prst="rect">
                      <a:avLst/>
                    </a:prstGeom>
                  </pic:spPr>
                </pic:pic>
              </a:graphicData>
            </a:graphic>
          </wp:anchor>
        </w:drawing>
      </w:r>
    </w:p>
    <w:p>
      <w:pPr>
        <w:spacing w:before="91"/>
        <w:ind w:left="160" w:right="0" w:firstLine="0"/>
        <w:jc w:val="left"/>
        <w:rPr>
          <w:rFonts w:ascii="楷体" w:eastAsia="楷体"/>
          <w:sz w:val="18"/>
        </w:rPr>
      </w:pPr>
      <w:r>
        <w:rPr>
          <w:b/>
          <w:w w:val="95"/>
          <w:position w:val="9"/>
          <w:sz w:val="9"/>
        </w:rPr>
        <w:t>45</w:t>
      </w:r>
      <w:r>
        <w:rPr>
          <w:rFonts w:ascii="楷体" w:eastAsia="楷体" w:hint="eastAsia"/>
          <w:b/>
          <w:w w:val="95"/>
          <w:sz w:val="18"/>
        </w:rPr>
        <w:t>永</w:t>
      </w:r>
      <w:r>
        <w:rPr>
          <w:rFonts w:ascii="楷体" w:eastAsia="楷体" w:hint="eastAsia"/>
          <w:b/>
          <w:w w:val="95"/>
          <w:sz w:val="18"/>
        </w:rPr>
        <w:t>久</w:t>
      </w:r>
      <w:r>
        <w:rPr>
          <w:rFonts w:ascii="楷体" w:eastAsia="楷体" w:hint="eastAsia"/>
          <w:b/>
          <w:w w:val="95"/>
          <w:sz w:val="18"/>
        </w:rPr>
        <w:t>不</w:t>
      </w:r>
      <w:r>
        <w:rPr>
          <w:rFonts w:ascii="楷体" w:eastAsia="楷体" w:hint="eastAsia"/>
          <w:b/>
          <w:w w:val="95"/>
          <w:sz w:val="18"/>
        </w:rPr>
        <w:t>可</w:t>
      </w:r>
      <w:r>
        <w:rPr>
          <w:rFonts w:ascii="楷体" w:eastAsia="楷体" w:hint="eastAsia"/>
          <w:b/>
          <w:w w:val="95"/>
          <w:sz w:val="18"/>
        </w:rPr>
        <w:t>逆</w:t>
      </w:r>
      <w:r>
        <w:rPr>
          <w:rFonts w:ascii="楷体" w:eastAsia="楷体"/>
          <w:w w:val="95"/>
          <w:sz w:val="18"/>
        </w:rPr>
        <w:t>：</w:t>
      </w:r>
      <w:r>
        <w:rPr>
          <w:rFonts w:ascii="楷体" w:eastAsia="楷体"/>
          <w:w w:val="95"/>
          <w:sz w:val="18"/>
        </w:rPr>
        <w:t>指</w:t>
      </w:r>
      <w:r>
        <w:rPr>
          <w:rFonts w:ascii="楷体" w:eastAsia="楷体"/>
          <w:w w:val="95"/>
          <w:sz w:val="18"/>
        </w:rPr>
        <w:t>自</w:t>
      </w:r>
      <w:r>
        <w:rPr>
          <w:rFonts w:ascii="楷体" w:eastAsia="楷体"/>
          <w:w w:val="95"/>
          <w:sz w:val="18"/>
        </w:rPr>
        <w:t>疾</w:t>
      </w:r>
      <w:r>
        <w:rPr>
          <w:rFonts w:ascii="楷体" w:eastAsia="楷体"/>
          <w:w w:val="95"/>
          <w:sz w:val="18"/>
        </w:rPr>
        <w:t>病</w:t>
      </w:r>
      <w:r>
        <w:rPr>
          <w:rFonts w:ascii="楷体" w:eastAsia="楷体"/>
          <w:w w:val="95"/>
          <w:sz w:val="18"/>
        </w:rPr>
        <w:t>确</w:t>
      </w:r>
      <w:r>
        <w:rPr>
          <w:rFonts w:ascii="楷体" w:eastAsia="楷体"/>
          <w:w w:val="95"/>
          <w:sz w:val="18"/>
        </w:rPr>
        <w:t>诊</w:t>
      </w:r>
      <w:r>
        <w:rPr>
          <w:rFonts w:ascii="楷体" w:eastAsia="楷体"/>
          <w:w w:val="95"/>
          <w:sz w:val="18"/>
        </w:rPr>
        <w:t>或</w:t>
      </w:r>
      <w:r>
        <w:rPr>
          <w:rFonts w:ascii="楷体" w:eastAsia="楷体"/>
          <w:w w:val="95"/>
          <w:sz w:val="18"/>
        </w:rPr>
        <w:t>意</w:t>
      </w:r>
      <w:r>
        <w:rPr>
          <w:rFonts w:ascii="楷体" w:eastAsia="楷体"/>
          <w:w w:val="95"/>
          <w:sz w:val="18"/>
        </w:rPr>
        <w:t>外</w:t>
      </w:r>
      <w:r>
        <w:rPr>
          <w:rFonts w:ascii="楷体" w:eastAsia="楷体"/>
          <w:w w:val="95"/>
          <w:sz w:val="18"/>
        </w:rPr>
        <w:t>伤</w:t>
      </w:r>
      <w:r>
        <w:rPr>
          <w:rFonts w:ascii="楷体" w:eastAsia="楷体"/>
          <w:w w:val="95"/>
          <w:sz w:val="18"/>
        </w:rPr>
        <w:t>害</w:t>
      </w:r>
      <w:r>
        <w:rPr>
          <w:rFonts w:ascii="楷体" w:eastAsia="楷体"/>
          <w:w w:val="95"/>
          <w:sz w:val="18"/>
        </w:rPr>
        <w:t>发</w:t>
      </w:r>
      <w:r>
        <w:rPr>
          <w:rFonts w:ascii="楷体" w:eastAsia="楷体"/>
          <w:w w:val="95"/>
          <w:sz w:val="18"/>
        </w:rPr>
        <w:t>生</w:t>
      </w:r>
      <w:r>
        <w:rPr>
          <w:rFonts w:ascii="楷体" w:eastAsia="楷体"/>
          <w:w w:val="95"/>
          <w:sz w:val="18"/>
        </w:rPr>
        <w:t>之</w:t>
      </w:r>
      <w:r>
        <w:rPr>
          <w:rFonts w:ascii="楷体" w:eastAsia="楷体"/>
          <w:w w:val="95"/>
          <w:sz w:val="18"/>
        </w:rPr>
        <w:t>日</w:t>
      </w:r>
      <w:r>
        <w:rPr>
          <w:rFonts w:ascii="楷体" w:eastAsia="楷体"/>
          <w:w w:val="95"/>
          <w:sz w:val="18"/>
        </w:rPr>
        <w:t>起</w:t>
      </w:r>
      <w:r>
        <w:rPr>
          <w:rFonts w:ascii="楷体" w:eastAsia="楷体"/>
          <w:w w:val="95"/>
          <w:sz w:val="18"/>
        </w:rPr>
        <w:t>，</w:t>
      </w:r>
      <w:r>
        <w:rPr>
          <w:rFonts w:ascii="楷体" w:eastAsia="楷体"/>
          <w:w w:val="95"/>
          <w:sz w:val="18"/>
        </w:rPr>
        <w:t>经</w:t>
      </w:r>
      <w:r>
        <w:rPr>
          <w:rFonts w:ascii="楷体" w:eastAsia="楷体"/>
          <w:w w:val="95"/>
          <w:sz w:val="18"/>
        </w:rPr>
        <w:t>过</w:t>
      </w:r>
      <w:r>
        <w:rPr>
          <w:rFonts w:ascii="楷体" w:eastAsia="楷体"/>
          <w:w w:val="95"/>
          <w:sz w:val="18"/>
        </w:rPr>
        <w:t>积</w:t>
      </w:r>
      <w:r>
        <w:rPr>
          <w:rFonts w:ascii="楷体" w:eastAsia="楷体"/>
          <w:w w:val="95"/>
          <w:sz w:val="18"/>
        </w:rPr>
        <w:t>极</w:t>
      </w:r>
      <w:r>
        <w:rPr>
          <w:rFonts w:ascii="楷体" w:eastAsia="楷体"/>
          <w:w w:val="95"/>
          <w:sz w:val="18"/>
        </w:rPr>
        <w:t>治</w:t>
      </w:r>
      <w:r>
        <w:rPr>
          <w:rFonts w:ascii="楷体" w:eastAsia="楷体"/>
          <w:w w:val="95"/>
          <w:sz w:val="18"/>
        </w:rPr>
        <w:t>疗</w:t>
      </w:r>
      <w:r>
        <w:rPr>
          <w:rFonts w:ascii="楷体" w:eastAsia="楷体"/>
          <w:spacing w:val="36"/>
          <w:sz w:val="18"/>
        </w:rPr>
        <w:t>  </w:t>
      </w:r>
      <w:r>
        <w:rPr>
          <w:rFonts w:ascii="楷体" w:eastAsia="楷体"/>
          <w:w w:val="95"/>
          <w:sz w:val="18"/>
        </w:rPr>
        <w:t>180</w:t>
      </w:r>
      <w:r>
        <w:rPr>
          <w:rFonts w:ascii="楷体" w:eastAsia="楷体"/>
          <w:spacing w:val="40"/>
          <w:sz w:val="18"/>
        </w:rPr>
        <w:t>  </w:t>
      </w:r>
      <w:r>
        <w:rPr>
          <w:rFonts w:ascii="楷体" w:eastAsia="楷体"/>
          <w:w w:val="95"/>
          <w:sz w:val="18"/>
        </w:rPr>
        <w:t>天</w:t>
      </w:r>
      <w:r>
        <w:rPr>
          <w:rFonts w:ascii="楷体" w:eastAsia="楷体"/>
          <w:w w:val="95"/>
          <w:sz w:val="18"/>
        </w:rPr>
        <w:t>后</w:t>
      </w:r>
      <w:r>
        <w:rPr>
          <w:rFonts w:ascii="楷体" w:eastAsia="楷体"/>
          <w:w w:val="95"/>
          <w:sz w:val="18"/>
        </w:rPr>
        <w:t>，</w:t>
      </w:r>
      <w:r>
        <w:rPr>
          <w:rFonts w:ascii="楷体" w:eastAsia="楷体"/>
          <w:w w:val="95"/>
          <w:sz w:val="18"/>
        </w:rPr>
        <w:t>仍</w:t>
      </w:r>
      <w:r>
        <w:rPr>
          <w:rFonts w:ascii="楷体" w:eastAsia="楷体"/>
          <w:w w:val="95"/>
          <w:sz w:val="18"/>
        </w:rPr>
        <w:t>无</w:t>
      </w:r>
      <w:r>
        <w:rPr>
          <w:rFonts w:ascii="楷体" w:eastAsia="楷体"/>
          <w:w w:val="95"/>
          <w:sz w:val="18"/>
        </w:rPr>
        <w:t>法</w:t>
      </w:r>
      <w:r>
        <w:rPr>
          <w:rFonts w:ascii="楷体" w:eastAsia="楷体"/>
          <w:w w:val="95"/>
          <w:sz w:val="18"/>
        </w:rPr>
        <w:t>通</w:t>
      </w:r>
      <w:r>
        <w:rPr>
          <w:rFonts w:ascii="楷体" w:eastAsia="楷体"/>
          <w:w w:val="95"/>
          <w:sz w:val="18"/>
        </w:rPr>
        <w:t>过</w:t>
      </w:r>
      <w:r>
        <w:rPr>
          <w:rFonts w:ascii="楷体" w:eastAsia="楷体"/>
          <w:w w:val="95"/>
          <w:sz w:val="18"/>
        </w:rPr>
        <w:t>现</w:t>
      </w:r>
      <w:r>
        <w:rPr>
          <w:rFonts w:ascii="楷体" w:eastAsia="楷体"/>
          <w:w w:val="95"/>
          <w:sz w:val="18"/>
        </w:rPr>
        <w:t>有</w:t>
      </w:r>
      <w:r>
        <w:rPr>
          <w:rFonts w:ascii="楷体" w:eastAsia="楷体"/>
          <w:w w:val="95"/>
          <w:sz w:val="18"/>
        </w:rPr>
        <w:t>医</w:t>
      </w:r>
      <w:r>
        <w:rPr>
          <w:rFonts w:ascii="楷体" w:eastAsia="楷体"/>
          <w:w w:val="95"/>
          <w:sz w:val="18"/>
        </w:rPr>
        <w:t>疗</w:t>
      </w:r>
      <w:r>
        <w:rPr>
          <w:rFonts w:ascii="楷体" w:eastAsia="楷体"/>
          <w:w w:val="95"/>
          <w:sz w:val="18"/>
        </w:rPr>
        <w:t>手</w:t>
      </w:r>
      <w:r>
        <w:rPr>
          <w:rFonts w:ascii="楷体" w:eastAsia="楷体"/>
          <w:w w:val="95"/>
          <w:sz w:val="18"/>
        </w:rPr>
        <w:t>段</w:t>
      </w:r>
      <w:r>
        <w:rPr>
          <w:rFonts w:ascii="楷体" w:eastAsia="楷体"/>
          <w:w w:val="95"/>
          <w:sz w:val="18"/>
        </w:rPr>
        <w:t>恢</w:t>
      </w:r>
      <w:r>
        <w:rPr>
          <w:rFonts w:ascii="楷体" w:eastAsia="楷体"/>
          <w:w w:val="95"/>
          <w:sz w:val="18"/>
        </w:rPr>
        <w:t>复</w:t>
      </w:r>
      <w:r>
        <w:rPr>
          <w:rFonts w:ascii="楷体" w:eastAsia="楷体"/>
          <w:spacing w:val="-10"/>
          <w:w w:val="95"/>
          <w:sz w:val="18"/>
        </w:rPr>
        <w:t>。</w:t>
      </w:r>
    </w:p>
    <w:p>
      <w:pPr>
        <w:spacing w:after="0"/>
        <w:jc w:val="left"/>
        <w:rPr>
          <w:rFonts w:ascii="楷体" w:eastAsia="楷体"/>
          <w:sz w:val="18"/>
        </w:rPr>
        <w:sectPr>
          <w:pgSz w:w="11910" w:h="16840"/>
          <w:pgMar w:header="0" w:footer="659" w:top="1400" w:bottom="840" w:left="920" w:right="540"/>
        </w:sectPr>
      </w:pPr>
    </w:p>
    <w:p>
      <w:pPr>
        <w:pStyle w:val="ListParagraph"/>
        <w:numPr>
          <w:ilvl w:val="0"/>
          <w:numId w:val="22"/>
        </w:numPr>
        <w:tabs>
          <w:tab w:pos="3254" w:val="left" w:leader="none"/>
          <w:tab w:pos="3255" w:val="left" w:leader="none"/>
        </w:tabs>
        <w:spacing w:line="240" w:lineRule="auto" w:before="44" w:after="0"/>
        <w:ind w:left="3254" w:right="0" w:hanging="722"/>
        <w:jc w:val="left"/>
        <w:rPr>
          <w:sz w:val="21"/>
        </w:rPr>
      </w:pPr>
      <w:r>
        <w:rPr>
          <w:spacing w:val="-4"/>
          <w:sz w:val="21"/>
        </w:rPr>
        <w:t>眼球缺失或摘除；</w:t>
      </w:r>
    </w:p>
    <w:p>
      <w:pPr>
        <w:pStyle w:val="BodyText"/>
        <w:spacing w:before="7"/>
        <w:rPr>
          <w:sz w:val="15"/>
        </w:rPr>
      </w:pPr>
    </w:p>
    <w:p>
      <w:pPr>
        <w:pStyle w:val="ListParagraph"/>
        <w:numPr>
          <w:ilvl w:val="0"/>
          <w:numId w:val="22"/>
        </w:numPr>
        <w:tabs>
          <w:tab w:pos="3255" w:val="left" w:leader="none"/>
        </w:tabs>
        <w:spacing w:line="278" w:lineRule="auto" w:before="0" w:after="0"/>
        <w:ind w:left="3254" w:right="356" w:hanging="721"/>
        <w:jc w:val="both"/>
        <w:rPr>
          <w:sz w:val="21"/>
        </w:rPr>
      </w:pPr>
      <w:r>
        <w:rPr>
          <w:spacing w:val="-4"/>
          <w:sz w:val="21"/>
        </w:rPr>
        <w:t>矫正视力低于 </w:t>
      </w:r>
      <w:r>
        <w:rPr>
          <w:sz w:val="21"/>
        </w:rPr>
        <w:t>0.02（采用国际标准视力表，如果使用其它视力表应进行换</w:t>
      </w:r>
      <w:r>
        <w:rPr>
          <w:spacing w:val="-10"/>
          <w:sz w:val="21"/>
        </w:rPr>
        <w:t>算</w:t>
      </w:r>
      <w:r>
        <w:rPr>
          <w:spacing w:val="-106"/>
          <w:sz w:val="21"/>
        </w:rPr>
        <w:t>）</w:t>
      </w:r>
      <w:r>
        <w:rPr>
          <w:sz w:val="21"/>
        </w:rPr>
        <w:t>；</w:t>
      </w:r>
    </w:p>
    <w:p>
      <w:pPr>
        <w:pStyle w:val="ListParagraph"/>
        <w:numPr>
          <w:ilvl w:val="0"/>
          <w:numId w:val="22"/>
        </w:numPr>
        <w:tabs>
          <w:tab w:pos="3254" w:val="left" w:leader="none"/>
          <w:tab w:pos="3255" w:val="left" w:leader="none"/>
        </w:tabs>
        <w:spacing w:line="240" w:lineRule="auto" w:before="156" w:after="0"/>
        <w:ind w:left="3254" w:right="0" w:hanging="722"/>
        <w:jc w:val="left"/>
        <w:rPr>
          <w:sz w:val="21"/>
        </w:rPr>
      </w:pPr>
      <w:r>
        <w:rPr>
          <w:spacing w:val="-9"/>
          <w:sz w:val="21"/>
        </w:rPr>
        <w:t>视野半径小于 </w:t>
      </w:r>
      <w:r>
        <w:rPr>
          <w:spacing w:val="-2"/>
          <w:sz w:val="21"/>
        </w:rPr>
        <w:t>5</w:t>
      </w:r>
      <w:r>
        <w:rPr>
          <w:spacing w:val="-21"/>
          <w:sz w:val="21"/>
        </w:rPr>
        <w:t> 度。</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4"/>
        </w:rPr>
        <w:t>瘫痪:</w:t>
      </w:r>
    </w:p>
    <w:p>
      <w:pPr>
        <w:pStyle w:val="BodyText"/>
        <w:spacing w:before="6"/>
        <w:rPr>
          <w:b/>
          <w:sz w:val="15"/>
        </w:rPr>
      </w:pPr>
    </w:p>
    <w:p>
      <w:pPr>
        <w:pStyle w:val="BodyText"/>
        <w:spacing w:line="278" w:lineRule="auto" w:before="1"/>
        <w:ind w:left="2533" w:right="355"/>
      </w:pPr>
      <w:r>
        <w:rPr>
          <w:spacing w:val="-2"/>
        </w:rPr>
        <w:t>指因疾病或意外伤害导致两肢或两肢以上肢体随意运动功能永久完全丧失。肢体随</w:t>
      </w:r>
      <w:r>
        <w:rPr>
          <w:spacing w:val="-5"/>
        </w:rPr>
        <w:t>意运动功能永久完全丧失，指疾病确诊 </w:t>
      </w:r>
      <w:r>
        <w:rPr>
          <w:spacing w:val="-2"/>
        </w:rPr>
        <w:t>180</w:t>
      </w:r>
      <w:r>
        <w:rPr>
          <w:spacing w:val="-13"/>
        </w:rPr>
        <w:t> 天后或意外伤害发生 </w:t>
      </w:r>
      <w:r>
        <w:rPr>
          <w:spacing w:val="-2"/>
        </w:rPr>
        <w:t>180</w:t>
      </w:r>
      <w:r>
        <w:rPr>
          <w:spacing w:val="-11"/>
        </w:rPr>
        <w:t> 天后，每肢三</w:t>
      </w:r>
    </w:p>
    <w:p>
      <w:pPr>
        <w:pStyle w:val="BodyText"/>
        <w:spacing w:line="269" w:lineRule="exact"/>
        <w:ind w:left="2533"/>
      </w:pPr>
      <w:r>
        <w:rPr>
          <w:spacing w:val="-4"/>
        </w:rPr>
        <w:t>大关节中的两大关节仍然完全僵硬，或肢体肌力在 </w:t>
      </w:r>
      <w:r>
        <w:rPr>
          <w:spacing w:val="-2"/>
        </w:rPr>
        <w:t>2</w:t>
      </w:r>
      <w:r>
        <w:rPr>
          <w:spacing w:val="-23"/>
        </w:rPr>
        <w:t> 级</w:t>
      </w:r>
      <w:r>
        <w:rPr>
          <w:spacing w:val="-2"/>
        </w:rPr>
        <w:t>（含）</w:t>
      </w:r>
      <w:r>
        <w:rPr>
          <w:spacing w:val="-5"/>
        </w:rPr>
        <w:t>以下。</w:t>
      </w:r>
    </w:p>
    <w:p>
      <w:pPr>
        <w:pStyle w:val="BodyText"/>
        <w:spacing w:before="6"/>
        <w:rPr>
          <w:sz w:val="15"/>
        </w:rPr>
      </w:pPr>
    </w:p>
    <w:p>
      <w:pPr>
        <w:pStyle w:val="Heading2"/>
        <w:numPr>
          <w:ilvl w:val="0"/>
          <w:numId w:val="11"/>
        </w:numPr>
        <w:tabs>
          <w:tab w:pos="3169" w:val="left" w:leader="none"/>
        </w:tabs>
        <w:spacing w:line="240" w:lineRule="auto" w:before="0" w:after="0"/>
        <w:ind w:left="3168" w:right="0" w:hanging="636"/>
        <w:jc w:val="left"/>
      </w:pPr>
      <w:r>
        <w:rPr>
          <w:spacing w:val="-2"/>
        </w:rPr>
        <w:t>心脏瓣膜手术:</w:t>
      </w:r>
    </w:p>
    <w:p>
      <w:pPr>
        <w:pStyle w:val="BodyText"/>
        <w:spacing w:before="7"/>
        <w:rPr>
          <w:b/>
          <w:sz w:val="15"/>
        </w:rPr>
      </w:pPr>
    </w:p>
    <w:p>
      <w:pPr>
        <w:pStyle w:val="BodyText"/>
        <w:spacing w:line="278" w:lineRule="auto"/>
        <w:ind w:left="2533" w:right="344"/>
      </w:pPr>
      <w:r>
        <w:rPr>
          <w:spacing w:val="-2"/>
        </w:rPr>
        <w:t>指为治疗心脏瓣膜疾病，已经实施了切开心脏进行的心脏瓣膜置换或修复的手术。</w:t>
      </w:r>
      <w:r>
        <w:rPr>
          <w:color w:val="000000"/>
          <w:spacing w:val="-2"/>
          <w:shd w:fill="E4E4E4" w:color="auto" w:val="clear"/>
        </w:rPr>
        <w:t>所有未切开心脏的心脏瓣膜介入手术不在保障范围内。</w:t>
      </w:r>
    </w:p>
    <w:p>
      <w:pPr>
        <w:pStyle w:val="Heading2"/>
        <w:numPr>
          <w:ilvl w:val="0"/>
          <w:numId w:val="11"/>
        </w:numPr>
        <w:tabs>
          <w:tab w:pos="3169" w:val="left" w:leader="none"/>
        </w:tabs>
        <w:spacing w:line="240" w:lineRule="auto" w:before="156" w:after="0"/>
        <w:ind w:left="3168" w:right="0" w:hanging="636"/>
        <w:jc w:val="left"/>
      </w:pPr>
      <w:r>
        <w:rPr>
          <w:spacing w:val="-2"/>
        </w:rPr>
        <w:t>严重阿尔茨海默病:</w:t>
      </w:r>
    </w:p>
    <w:p>
      <w:pPr>
        <w:pStyle w:val="BodyText"/>
        <w:spacing w:before="7"/>
        <w:rPr>
          <w:b/>
          <w:sz w:val="15"/>
        </w:rPr>
      </w:pPr>
    </w:p>
    <w:p>
      <w:pPr>
        <w:pStyle w:val="BodyText"/>
        <w:spacing w:line="278" w:lineRule="auto"/>
        <w:ind w:left="2533" w:right="344"/>
        <w:jc w:val="both"/>
      </w:pPr>
      <w:r>
        <w:rPr>
          <w:spacing w:val="-2"/>
        </w:rPr>
        <w:t>指因大脑进行性、不可逆性改变导致智能严重衰退或丧失，临床表现为严重的认知</w:t>
      </w:r>
      <w:r>
        <w:rPr>
          <w:spacing w:val="-2"/>
        </w:rPr>
        <w:t>功能障碍、精神行为异常和社交能力减退等，其日常生活必须持续受到他人监护。</w:t>
      </w:r>
      <w:r>
        <w:rPr>
          <w:spacing w:val="-6"/>
        </w:rPr>
        <w:t>须由头颅断层扫描</w:t>
      </w:r>
      <w:r>
        <w:rPr>
          <w:spacing w:val="18"/>
        </w:rPr>
        <w:t>（</w:t>
      </w:r>
      <w:r>
        <w:rPr>
          <w:spacing w:val="21"/>
        </w:rPr>
        <w:t>CT</w:t>
      </w:r>
      <w:r>
        <w:rPr>
          <w:spacing w:val="-87"/>
        </w:rPr>
        <w:t>）</w:t>
      </w:r>
      <w:r>
        <w:rPr>
          <w:spacing w:val="-6"/>
        </w:rPr>
        <w:t>、核磁共振检查（MRI）或正电子发射断层扫描（PET）等影</w:t>
      </w:r>
      <w:r>
        <w:rPr>
          <w:spacing w:val="-2"/>
        </w:rPr>
        <w:t>像学检查证实，并经相关专科医生确诊，且须满足下列至少一项条件：</w:t>
      </w:r>
    </w:p>
    <w:p>
      <w:pPr>
        <w:pStyle w:val="ListParagraph"/>
        <w:numPr>
          <w:ilvl w:val="0"/>
          <w:numId w:val="23"/>
        </w:numPr>
        <w:tabs>
          <w:tab w:pos="3255" w:val="left" w:leader="none"/>
        </w:tabs>
        <w:spacing w:line="278" w:lineRule="auto" w:before="156" w:after="0"/>
        <w:ind w:left="3254" w:right="358" w:hanging="721"/>
        <w:jc w:val="both"/>
        <w:rPr>
          <w:sz w:val="21"/>
        </w:rPr>
      </w:pPr>
      <w:r>
        <w:rPr>
          <w:spacing w:val="23"/>
          <w:w w:val="95"/>
          <w:sz w:val="21"/>
        </w:rPr>
        <w:t>由具有评估资格的专科医生根据临床痴呆评定量表</w:t>
      </w:r>
      <w:r>
        <w:rPr>
          <w:w w:val="95"/>
          <w:sz w:val="21"/>
        </w:rPr>
        <w:t>（ CDR ， Clinical </w:t>
      </w:r>
      <w:r>
        <w:rPr>
          <w:sz w:val="21"/>
        </w:rPr>
        <w:t>Dementia Rating）</w:t>
      </w:r>
      <w:r>
        <w:rPr>
          <w:spacing w:val="-3"/>
          <w:sz w:val="21"/>
        </w:rPr>
        <w:t>评估结果为 </w:t>
      </w:r>
      <w:r>
        <w:rPr>
          <w:sz w:val="21"/>
        </w:rPr>
        <w:t>3</w:t>
      </w:r>
      <w:r>
        <w:rPr>
          <w:spacing w:val="-6"/>
          <w:sz w:val="21"/>
        </w:rPr>
        <w:t> 分；</w:t>
      </w:r>
    </w:p>
    <w:p>
      <w:pPr>
        <w:pStyle w:val="ListParagraph"/>
        <w:numPr>
          <w:ilvl w:val="0"/>
          <w:numId w:val="23"/>
        </w:numPr>
        <w:tabs>
          <w:tab w:pos="3255" w:val="left" w:leader="none"/>
        </w:tabs>
        <w:spacing w:line="278" w:lineRule="auto" w:before="155" w:after="0"/>
        <w:ind w:left="3254" w:right="355" w:hanging="721"/>
        <w:jc w:val="both"/>
        <w:rPr>
          <w:sz w:val="21"/>
        </w:rPr>
      </w:pPr>
      <w:r>
        <w:rPr>
          <w:spacing w:val="-11"/>
          <w:sz w:val="21"/>
        </w:rPr>
        <w:t>自主生活能力完全丧失，无法独立完成六项基本日常生活活动中的三项或三</w:t>
      </w:r>
      <w:r>
        <w:rPr>
          <w:spacing w:val="-4"/>
          <w:sz w:val="21"/>
        </w:rPr>
        <w:t>项以上。</w:t>
      </w:r>
    </w:p>
    <w:p>
      <w:pPr>
        <w:pStyle w:val="BodyText"/>
        <w:spacing w:before="157"/>
        <w:ind w:left="2533"/>
      </w:pPr>
      <w:r>
        <w:rPr>
          <w:color w:val="000000"/>
          <w:spacing w:val="-3"/>
          <w:shd w:fill="E4E4E4" w:color="auto" w:val="clear"/>
        </w:rPr>
        <w:t>阿尔茨海默病之外的其它类型痴呆不在保障范围内。</w:t>
      </w:r>
    </w:p>
    <w:p>
      <w:pPr>
        <w:pStyle w:val="BodyText"/>
        <w:spacing w:before="6"/>
        <w:rPr>
          <w:sz w:val="15"/>
        </w:rPr>
      </w:pPr>
    </w:p>
    <w:p>
      <w:pPr>
        <w:pStyle w:val="Heading2"/>
        <w:numPr>
          <w:ilvl w:val="0"/>
          <w:numId w:val="11"/>
        </w:numPr>
        <w:tabs>
          <w:tab w:pos="3169" w:val="left" w:leader="none"/>
        </w:tabs>
        <w:spacing w:line="240" w:lineRule="auto" w:before="0" w:after="0"/>
        <w:ind w:left="3168" w:right="0" w:hanging="636"/>
        <w:jc w:val="left"/>
      </w:pPr>
      <w:r>
        <w:rPr>
          <w:spacing w:val="-2"/>
        </w:rPr>
        <w:t>严重脑损伤:</w:t>
      </w:r>
    </w:p>
    <w:p>
      <w:pPr>
        <w:pStyle w:val="BodyText"/>
        <w:spacing w:before="7"/>
        <w:rPr>
          <w:b/>
          <w:sz w:val="15"/>
        </w:rPr>
      </w:pPr>
    </w:p>
    <w:p>
      <w:pPr>
        <w:pStyle w:val="BodyText"/>
        <w:spacing w:line="278" w:lineRule="auto"/>
        <w:ind w:left="2533" w:right="250"/>
      </w:pPr>
      <w:r>
        <w:rPr>
          <w:spacing w:val="-10"/>
        </w:rPr>
        <w:t>指因头部遭受机械性外力，引起脑重要部位损伤，导致神经系统永久性的功能障碍。</w:t>
      </w:r>
      <w:r>
        <w:rPr>
          <w:spacing w:val="-4"/>
        </w:rPr>
        <w:t>须由头颅断层扫描</w:t>
      </w:r>
      <w:r>
        <w:rPr>
          <w:spacing w:val="20"/>
        </w:rPr>
        <w:t>（</w:t>
      </w:r>
      <w:r>
        <w:rPr>
          <w:spacing w:val="23"/>
        </w:rPr>
        <w:t>CT</w:t>
      </w:r>
      <w:r>
        <w:rPr>
          <w:spacing w:val="-85"/>
        </w:rPr>
        <w:t>）</w:t>
      </w:r>
      <w:r>
        <w:rPr>
          <w:spacing w:val="-4"/>
        </w:rPr>
        <w:t>、核磁共振检查（MRI）或正电子发射断层扫描（PET）等影</w:t>
      </w:r>
      <w:r>
        <w:rPr>
          <w:spacing w:val="-1"/>
        </w:rPr>
        <w:t>像学检查证实。神经系统永久性的功能障碍，指脑损伤 </w:t>
      </w:r>
      <w:r>
        <w:rPr/>
        <w:t>180</w:t>
      </w:r>
      <w:r>
        <w:rPr>
          <w:spacing w:val="-5"/>
        </w:rPr>
        <w:t> 天后，仍遗留下列至少</w:t>
      </w:r>
      <w:r>
        <w:rPr>
          <w:spacing w:val="-2"/>
        </w:rPr>
        <w:t>一种障碍：</w:t>
      </w:r>
    </w:p>
    <w:p>
      <w:pPr>
        <w:pStyle w:val="ListParagraph"/>
        <w:numPr>
          <w:ilvl w:val="0"/>
          <w:numId w:val="24"/>
        </w:numPr>
        <w:tabs>
          <w:tab w:pos="3254" w:val="left" w:leader="none"/>
          <w:tab w:pos="3255" w:val="left" w:leader="none"/>
        </w:tabs>
        <w:spacing w:line="240" w:lineRule="auto" w:before="156" w:after="0"/>
        <w:ind w:left="3254" w:right="0" w:hanging="722"/>
        <w:jc w:val="left"/>
        <w:rPr>
          <w:sz w:val="21"/>
        </w:rPr>
      </w:pPr>
      <w:r>
        <w:rPr>
          <w:spacing w:val="-2"/>
          <w:sz w:val="21"/>
        </w:rPr>
        <w:t>一肢（含）</w:t>
      </w:r>
      <w:r>
        <w:rPr>
          <w:spacing w:val="-10"/>
          <w:sz w:val="21"/>
        </w:rPr>
        <w:t>以上肢体肌力 </w:t>
      </w:r>
      <w:r>
        <w:rPr>
          <w:spacing w:val="-2"/>
          <w:sz w:val="21"/>
        </w:rPr>
        <w:t>2</w:t>
      </w:r>
      <w:r>
        <w:rPr>
          <w:spacing w:val="-24"/>
          <w:sz w:val="21"/>
        </w:rPr>
        <w:t> 级</w:t>
      </w:r>
      <w:r>
        <w:rPr>
          <w:spacing w:val="-2"/>
          <w:sz w:val="21"/>
        </w:rPr>
        <w:t>（含）</w:t>
      </w:r>
      <w:r>
        <w:rPr>
          <w:spacing w:val="-5"/>
          <w:sz w:val="21"/>
        </w:rPr>
        <w:t>以下；</w:t>
      </w:r>
    </w:p>
    <w:p>
      <w:pPr>
        <w:pStyle w:val="BodyText"/>
        <w:spacing w:before="6"/>
        <w:rPr>
          <w:sz w:val="15"/>
        </w:rPr>
      </w:pPr>
    </w:p>
    <w:p>
      <w:pPr>
        <w:pStyle w:val="ListParagraph"/>
        <w:numPr>
          <w:ilvl w:val="0"/>
          <w:numId w:val="24"/>
        </w:numPr>
        <w:tabs>
          <w:tab w:pos="3254" w:val="left" w:leader="none"/>
          <w:tab w:pos="3255" w:val="left" w:leader="none"/>
        </w:tabs>
        <w:spacing w:line="240" w:lineRule="auto" w:before="0" w:after="0"/>
        <w:ind w:left="3254" w:right="0" w:hanging="722"/>
        <w:jc w:val="left"/>
        <w:rPr>
          <w:sz w:val="21"/>
        </w:rPr>
      </w:pPr>
      <w:r>
        <w:rPr>
          <w:spacing w:val="-3"/>
          <w:sz w:val="21"/>
        </w:rPr>
        <w:t>语言能力完全丧失，或严重咀嚼吞咽功能障碍；</w:t>
      </w:r>
    </w:p>
    <w:p>
      <w:pPr>
        <w:pStyle w:val="BodyText"/>
        <w:spacing w:before="7"/>
        <w:rPr>
          <w:sz w:val="15"/>
        </w:rPr>
      </w:pPr>
    </w:p>
    <w:p>
      <w:pPr>
        <w:pStyle w:val="ListParagraph"/>
        <w:numPr>
          <w:ilvl w:val="0"/>
          <w:numId w:val="24"/>
        </w:numPr>
        <w:tabs>
          <w:tab w:pos="3254" w:val="left" w:leader="none"/>
          <w:tab w:pos="3255" w:val="left" w:leader="none"/>
        </w:tabs>
        <w:spacing w:line="278" w:lineRule="auto" w:before="0" w:after="0"/>
        <w:ind w:left="3254" w:right="355" w:hanging="721"/>
        <w:jc w:val="left"/>
        <w:rPr>
          <w:sz w:val="21"/>
        </w:rPr>
      </w:pPr>
      <w:r>
        <w:rPr>
          <w:spacing w:val="-11"/>
          <w:sz w:val="21"/>
        </w:rPr>
        <w:t>自主生活能力完全丧失，无法独立完成六项基本日常生活活动中的三项或三</w:t>
      </w:r>
      <w:r>
        <w:rPr>
          <w:spacing w:val="-4"/>
          <w:sz w:val="21"/>
        </w:rPr>
        <w:t>项以上。</w:t>
      </w:r>
    </w:p>
    <w:p>
      <w:pPr>
        <w:pStyle w:val="Heading2"/>
        <w:numPr>
          <w:ilvl w:val="0"/>
          <w:numId w:val="11"/>
        </w:numPr>
        <w:tabs>
          <w:tab w:pos="3169" w:val="left" w:leader="none"/>
        </w:tabs>
        <w:spacing w:line="240" w:lineRule="auto" w:before="157" w:after="0"/>
        <w:ind w:left="3168" w:right="0" w:hanging="636"/>
        <w:jc w:val="left"/>
      </w:pPr>
      <w:r>
        <w:rPr>
          <w:spacing w:val="-3"/>
        </w:rPr>
        <w:t>严重原发性帕金森病:</w:t>
      </w:r>
    </w:p>
    <w:p>
      <w:pPr>
        <w:pStyle w:val="BodyText"/>
        <w:spacing w:before="6"/>
        <w:rPr>
          <w:b/>
          <w:sz w:val="15"/>
        </w:rPr>
      </w:pPr>
    </w:p>
    <w:p>
      <w:pPr>
        <w:pStyle w:val="BodyText"/>
        <w:spacing w:line="278" w:lineRule="auto"/>
        <w:ind w:left="2533" w:right="253"/>
      </w:pPr>
      <w:r>
        <w:rPr>
          <w:spacing w:val="-9"/>
        </w:rPr>
        <w:t>是一种中枢神经系统的退行性疾病，临床表现为运动迟缓、静止性震颤或肌强直等。</w:t>
      </w:r>
      <w:r>
        <w:rPr>
          <w:spacing w:val="-2"/>
        </w:rPr>
        <w:t>经相关专科医生确诊，且须满足自主生活能力完全丧失，无法独立完成六项基本日</w:t>
      </w:r>
      <w:r>
        <w:rPr>
          <w:spacing w:val="-2"/>
        </w:rPr>
        <w:t>常生活活动中的三项或三项以上。</w:t>
      </w:r>
    </w:p>
    <w:p>
      <w:pPr>
        <w:pStyle w:val="BodyText"/>
        <w:spacing w:line="269" w:lineRule="exact"/>
        <w:ind w:left="2533"/>
      </w:pPr>
      <w:r>
        <w:rPr>
          <w:color w:val="000000"/>
          <w:spacing w:val="-3"/>
          <w:shd w:fill="E4E4E4" w:color="auto" w:val="clear"/>
        </w:rPr>
        <w:t>继发性帕金森综合征、帕金森叠加综合征不在保障范围内。</w:t>
      </w:r>
    </w:p>
    <w:p>
      <w:pPr>
        <w:spacing w:after="0" w:line="269" w:lineRule="exact"/>
        <w:sectPr>
          <w:pgSz w:w="11910" w:h="16840"/>
          <w:pgMar w:header="0" w:footer="659" w:top="1400" w:bottom="840" w:left="920" w:right="540"/>
        </w:sectPr>
      </w:pPr>
    </w:p>
    <w:p>
      <w:pPr>
        <w:pStyle w:val="Heading2"/>
        <w:numPr>
          <w:ilvl w:val="0"/>
          <w:numId w:val="11"/>
        </w:numPr>
        <w:tabs>
          <w:tab w:pos="3169" w:val="left" w:leader="none"/>
        </w:tabs>
        <w:spacing w:line="240" w:lineRule="auto" w:before="44" w:after="0"/>
        <w:ind w:left="3168" w:right="0" w:hanging="636"/>
        <w:jc w:val="left"/>
      </w:pPr>
      <w:r>
        <w:rPr>
          <w:spacing w:val="-2"/>
        </w:rPr>
        <w:t>严重Ⅲ度烧伤:</w:t>
      </w:r>
    </w:p>
    <w:p>
      <w:pPr>
        <w:pStyle w:val="BodyText"/>
        <w:spacing w:before="7"/>
        <w:rPr>
          <w:b/>
          <w:sz w:val="15"/>
        </w:rPr>
      </w:pPr>
    </w:p>
    <w:p>
      <w:pPr>
        <w:pStyle w:val="BodyText"/>
        <w:spacing w:line="278" w:lineRule="auto"/>
        <w:ind w:left="2533" w:right="355"/>
      </w:pPr>
      <w:r>
        <w:rPr>
          <w:spacing w:val="-9"/>
        </w:rPr>
        <w:t>指烧伤程度为Ⅲ度，且Ⅲ度烧伤的面积达到全身体表面积的 </w:t>
      </w:r>
      <w:r>
        <w:rPr/>
        <w:t>20%</w:t>
      </w:r>
      <w:r>
        <w:rPr>
          <w:spacing w:val="-27"/>
        </w:rPr>
        <w:t>或 </w:t>
      </w:r>
      <w:r>
        <w:rPr/>
        <w:t>20</w:t>
      </w:r>
      <w:r>
        <w:rPr>
          <w:spacing w:val="-9"/>
        </w:rPr>
        <w:t>%以上。体表面</w:t>
      </w:r>
      <w:r>
        <w:rPr>
          <w:spacing w:val="-2"/>
        </w:rPr>
        <w:t>积根据《中国新九分法》计算。</w:t>
      </w:r>
    </w:p>
    <w:p>
      <w:pPr>
        <w:pStyle w:val="Heading2"/>
        <w:numPr>
          <w:ilvl w:val="0"/>
          <w:numId w:val="11"/>
        </w:numPr>
        <w:tabs>
          <w:tab w:pos="3169" w:val="left" w:leader="none"/>
        </w:tabs>
        <w:spacing w:line="240" w:lineRule="auto" w:before="156" w:after="0"/>
        <w:ind w:left="3168" w:right="0" w:hanging="636"/>
        <w:jc w:val="left"/>
      </w:pPr>
      <w:r>
        <w:rPr>
          <w:spacing w:val="-3"/>
        </w:rPr>
        <w:t>严重特发性肺动脉高压:</w:t>
      </w:r>
    </w:p>
    <w:p>
      <w:pPr>
        <w:pStyle w:val="BodyText"/>
        <w:spacing w:before="7"/>
        <w:rPr>
          <w:b/>
          <w:sz w:val="15"/>
        </w:rPr>
      </w:pPr>
    </w:p>
    <w:p>
      <w:pPr>
        <w:spacing w:line="273" w:lineRule="auto" w:before="0"/>
        <w:ind w:left="2533" w:right="355" w:firstLine="0"/>
        <w:jc w:val="both"/>
        <w:rPr>
          <w:sz w:val="21"/>
        </w:rPr>
      </w:pPr>
      <w:r>
        <w:rPr>
          <w:spacing w:val="-2"/>
          <w:sz w:val="21"/>
        </w:rPr>
        <w:t>指不明原因的肺动脉压力持续性增高，进行性发展而导致的慢性疾病，已经造成永</w:t>
      </w:r>
      <w:r>
        <w:rPr>
          <w:sz w:val="21"/>
        </w:rPr>
        <w:t>久不可逆性的体力活动能力受限，达到</w:t>
      </w:r>
      <w:r>
        <w:rPr>
          <w:b/>
          <w:sz w:val="21"/>
        </w:rPr>
        <w:t>美国纽约心脏病学会（New York Heart </w:t>
      </w:r>
      <w:r>
        <w:rPr>
          <w:b/>
          <w:w w:val="95"/>
          <w:sz w:val="21"/>
        </w:rPr>
        <w:t>Association,NYHA）</w:t>
      </w:r>
      <w:r>
        <w:rPr>
          <w:b/>
          <w:w w:val="95"/>
          <w:sz w:val="21"/>
        </w:rPr>
        <w:t>心</w:t>
      </w:r>
      <w:r>
        <w:rPr>
          <w:b/>
          <w:w w:val="95"/>
          <w:sz w:val="21"/>
        </w:rPr>
        <w:t>功</w:t>
      </w:r>
      <w:r>
        <w:rPr>
          <w:b/>
          <w:w w:val="95"/>
          <w:sz w:val="21"/>
        </w:rPr>
        <w:t>能</w:t>
      </w:r>
      <w:r>
        <w:rPr>
          <w:b/>
          <w:w w:val="95"/>
          <w:sz w:val="21"/>
        </w:rPr>
        <w:t>状</w:t>
      </w:r>
      <w:r>
        <w:rPr>
          <w:b/>
          <w:w w:val="95"/>
          <w:sz w:val="21"/>
        </w:rPr>
        <w:t>态</w:t>
      </w:r>
      <w:r>
        <w:rPr>
          <w:b/>
          <w:w w:val="95"/>
          <w:sz w:val="21"/>
        </w:rPr>
        <w:t>分</w:t>
      </w:r>
      <w:r>
        <w:rPr>
          <w:b/>
          <w:w w:val="95"/>
          <w:sz w:val="21"/>
        </w:rPr>
        <w:t>级</w:t>
      </w:r>
      <w:r>
        <w:rPr>
          <w:b/>
          <w:w w:val="95"/>
          <w:position w:val="11"/>
          <w:sz w:val="11"/>
        </w:rPr>
        <w:t>46</w:t>
      </w:r>
      <w:r>
        <w:rPr>
          <w:w w:val="95"/>
          <w:sz w:val="21"/>
        </w:rPr>
        <w:t>Ⅳ</w:t>
      </w:r>
      <w:r>
        <w:rPr>
          <w:w w:val="95"/>
          <w:sz w:val="21"/>
        </w:rPr>
        <w:t>级</w:t>
      </w:r>
      <w:r>
        <w:rPr>
          <w:w w:val="95"/>
          <w:sz w:val="21"/>
        </w:rPr>
        <w:t>，且</w:t>
      </w:r>
      <w:r>
        <w:rPr>
          <w:w w:val="95"/>
          <w:sz w:val="21"/>
        </w:rPr>
        <w:t>静</w:t>
      </w:r>
      <w:r>
        <w:rPr>
          <w:w w:val="95"/>
          <w:sz w:val="21"/>
        </w:rPr>
        <w:t>息</w:t>
      </w:r>
      <w:r>
        <w:rPr>
          <w:w w:val="95"/>
          <w:sz w:val="21"/>
        </w:rPr>
        <w:t>状</w:t>
      </w:r>
      <w:r>
        <w:rPr>
          <w:w w:val="95"/>
          <w:sz w:val="21"/>
        </w:rPr>
        <w:t>态</w:t>
      </w:r>
      <w:r>
        <w:rPr>
          <w:w w:val="95"/>
          <w:sz w:val="21"/>
        </w:rPr>
        <w:t>下肺动脉平均压在</w:t>
      </w:r>
      <w:r>
        <w:rPr>
          <w:spacing w:val="29"/>
          <w:w w:val="150"/>
          <w:sz w:val="21"/>
        </w:rPr>
        <w:t>  </w:t>
      </w:r>
      <w:r>
        <w:rPr>
          <w:spacing w:val="-2"/>
          <w:w w:val="95"/>
          <w:sz w:val="21"/>
        </w:rPr>
        <w:t>36mmHg</w:t>
      </w:r>
    </w:p>
    <w:p>
      <w:pPr>
        <w:pStyle w:val="BodyText"/>
        <w:spacing w:before="6"/>
        <w:ind w:left="2533"/>
      </w:pPr>
      <w:r>
        <w:rPr>
          <w:spacing w:val="-2"/>
        </w:rPr>
        <w:t>（含）</w:t>
      </w:r>
      <w:r>
        <w:rPr>
          <w:spacing w:val="-5"/>
        </w:rPr>
        <w:t>以上。</w:t>
      </w:r>
    </w:p>
    <w:p>
      <w:pPr>
        <w:pStyle w:val="BodyText"/>
        <w:spacing w:before="6"/>
        <w:rPr>
          <w:sz w:val="15"/>
        </w:rPr>
      </w:pPr>
    </w:p>
    <w:p>
      <w:pPr>
        <w:pStyle w:val="Heading2"/>
        <w:numPr>
          <w:ilvl w:val="0"/>
          <w:numId w:val="11"/>
        </w:numPr>
        <w:tabs>
          <w:tab w:pos="3169" w:val="left" w:leader="none"/>
        </w:tabs>
        <w:spacing w:line="240" w:lineRule="auto" w:before="0" w:after="0"/>
        <w:ind w:left="3168" w:right="0" w:hanging="636"/>
        <w:jc w:val="left"/>
      </w:pPr>
      <w:r>
        <w:rPr>
          <w:spacing w:val="-2"/>
        </w:rPr>
        <w:t>严重运动神经元病:</w:t>
      </w:r>
    </w:p>
    <w:p>
      <w:pPr>
        <w:pStyle w:val="BodyText"/>
        <w:spacing w:before="7"/>
        <w:rPr>
          <w:b/>
          <w:sz w:val="15"/>
        </w:rPr>
      </w:pPr>
    </w:p>
    <w:p>
      <w:pPr>
        <w:pStyle w:val="BodyText"/>
        <w:spacing w:line="278" w:lineRule="auto"/>
        <w:ind w:left="2533" w:right="344"/>
        <w:jc w:val="both"/>
      </w:pPr>
      <w:r>
        <w:rPr>
          <w:spacing w:val="-2"/>
        </w:rPr>
        <w:t>是一组中枢神经系统运动神经元的进行性变性疾病，包括进行性脊肌萎缩症、进行</w:t>
      </w:r>
      <w:r>
        <w:rPr>
          <w:spacing w:val="-2"/>
        </w:rPr>
        <w:t>性延髓麻痹症、原发性侧索硬化症、肌萎缩性侧索硬化症。经相关专科医生确诊，</w:t>
      </w:r>
      <w:r>
        <w:rPr>
          <w:spacing w:val="-2"/>
        </w:rPr>
        <w:t>且须满足下列至少一项条件：</w:t>
      </w:r>
    </w:p>
    <w:p>
      <w:pPr>
        <w:pStyle w:val="ListParagraph"/>
        <w:numPr>
          <w:ilvl w:val="0"/>
          <w:numId w:val="25"/>
        </w:numPr>
        <w:tabs>
          <w:tab w:pos="3254" w:val="left" w:leader="none"/>
          <w:tab w:pos="3255" w:val="left" w:leader="none"/>
        </w:tabs>
        <w:spacing w:line="240" w:lineRule="auto" w:before="156" w:after="0"/>
        <w:ind w:left="3254" w:right="0" w:hanging="722"/>
        <w:jc w:val="left"/>
        <w:rPr>
          <w:sz w:val="21"/>
        </w:rPr>
      </w:pPr>
      <w:r>
        <w:rPr>
          <w:spacing w:val="-3"/>
          <w:sz w:val="21"/>
        </w:rPr>
        <w:t>严重咀嚼吞咽功能障碍；</w:t>
      </w:r>
    </w:p>
    <w:p>
      <w:pPr>
        <w:pStyle w:val="BodyText"/>
        <w:spacing w:before="7"/>
        <w:rPr>
          <w:sz w:val="15"/>
        </w:rPr>
      </w:pPr>
    </w:p>
    <w:p>
      <w:pPr>
        <w:pStyle w:val="ListParagraph"/>
        <w:numPr>
          <w:ilvl w:val="0"/>
          <w:numId w:val="25"/>
        </w:numPr>
        <w:tabs>
          <w:tab w:pos="3254" w:val="left" w:leader="none"/>
          <w:tab w:pos="3255" w:val="left" w:leader="none"/>
        </w:tabs>
        <w:spacing w:line="240" w:lineRule="auto" w:before="0" w:after="0"/>
        <w:ind w:left="3254" w:right="0" w:hanging="722"/>
        <w:jc w:val="left"/>
        <w:rPr>
          <w:sz w:val="21"/>
        </w:rPr>
      </w:pPr>
      <w:r>
        <w:rPr>
          <w:spacing w:val="-4"/>
          <w:sz w:val="21"/>
        </w:rPr>
        <w:t>呼吸肌麻痹导致严重呼吸困难，且已经持续使用呼吸机 </w:t>
      </w:r>
      <w:r>
        <w:rPr>
          <w:spacing w:val="-2"/>
          <w:sz w:val="21"/>
        </w:rPr>
        <w:t>7</w:t>
      </w:r>
      <w:r>
        <w:rPr>
          <w:spacing w:val="-23"/>
          <w:sz w:val="21"/>
        </w:rPr>
        <w:t> 天</w:t>
      </w:r>
      <w:r>
        <w:rPr>
          <w:spacing w:val="-2"/>
          <w:sz w:val="21"/>
        </w:rPr>
        <w:t>（含）</w:t>
      </w:r>
      <w:r>
        <w:rPr>
          <w:spacing w:val="-5"/>
          <w:sz w:val="21"/>
        </w:rPr>
        <w:t>以上；</w:t>
      </w:r>
    </w:p>
    <w:p>
      <w:pPr>
        <w:pStyle w:val="BodyText"/>
        <w:spacing w:before="7"/>
        <w:rPr>
          <w:sz w:val="15"/>
        </w:rPr>
      </w:pPr>
    </w:p>
    <w:p>
      <w:pPr>
        <w:pStyle w:val="ListParagraph"/>
        <w:numPr>
          <w:ilvl w:val="0"/>
          <w:numId w:val="25"/>
        </w:numPr>
        <w:tabs>
          <w:tab w:pos="3254" w:val="left" w:leader="none"/>
          <w:tab w:pos="3255" w:val="left" w:leader="none"/>
        </w:tabs>
        <w:spacing w:line="278" w:lineRule="auto" w:before="0" w:after="0"/>
        <w:ind w:left="3254" w:right="355" w:hanging="721"/>
        <w:jc w:val="left"/>
        <w:rPr>
          <w:sz w:val="21"/>
        </w:rPr>
      </w:pPr>
      <w:r>
        <w:rPr>
          <w:spacing w:val="-11"/>
          <w:sz w:val="21"/>
        </w:rPr>
        <w:t>自主生活能力完全丧失，无法独立完成六项基本日常生活活动中的三项或三</w:t>
      </w:r>
      <w:r>
        <w:rPr>
          <w:spacing w:val="-4"/>
          <w:sz w:val="21"/>
        </w:rPr>
        <w:t>项以上。</w:t>
      </w:r>
    </w:p>
    <w:p>
      <w:pPr>
        <w:pStyle w:val="Heading2"/>
        <w:numPr>
          <w:ilvl w:val="0"/>
          <w:numId w:val="11"/>
        </w:numPr>
        <w:tabs>
          <w:tab w:pos="3169" w:val="left" w:leader="none"/>
        </w:tabs>
        <w:spacing w:line="240" w:lineRule="auto" w:before="156" w:after="0"/>
        <w:ind w:left="3168" w:right="0" w:hanging="636"/>
        <w:jc w:val="left"/>
      </w:pPr>
      <w:r>
        <w:rPr>
          <w:spacing w:val="-2"/>
        </w:rPr>
        <w:t>语言能力丧失:</w:t>
      </w:r>
    </w:p>
    <w:p>
      <w:pPr>
        <w:pStyle w:val="BodyText"/>
        <w:spacing w:before="6"/>
        <w:rPr>
          <w:b/>
          <w:sz w:val="15"/>
        </w:rPr>
      </w:pPr>
    </w:p>
    <w:p>
      <w:pPr>
        <w:pStyle w:val="BodyText"/>
        <w:spacing w:line="278" w:lineRule="auto"/>
        <w:ind w:left="2533" w:right="356"/>
      </w:pPr>
      <w:r>
        <w:rPr>
          <w:spacing w:val="-2"/>
        </w:rPr>
        <w:t>指因疾病或意外伤害导致语言能力完全丧失，经过积极治疗至少十二个月（声带完</w:t>
      </w:r>
      <w:r>
        <w:rPr>
          <w:spacing w:val="-2"/>
        </w:rPr>
        <w:t>全切除不受此时间限制</w:t>
      </w:r>
      <w:r>
        <w:rPr>
          <w:spacing w:val="-108"/>
        </w:rPr>
        <w:t>）</w:t>
      </w:r>
      <w:r>
        <w:rPr>
          <w:spacing w:val="-3"/>
        </w:rPr>
        <w:t>，仍无法通过现有医疗手段恢复。</w:t>
      </w:r>
    </w:p>
    <w:p>
      <w:pPr>
        <w:pStyle w:val="BodyText"/>
        <w:spacing w:line="269" w:lineRule="exact"/>
        <w:ind w:left="2533"/>
      </w:pPr>
      <w:r>
        <w:rPr>
          <w:color w:val="000000"/>
          <w:spacing w:val="-3"/>
          <w:shd w:fill="E4E4E4" w:color="auto" w:val="clear"/>
        </w:rPr>
        <w:t>精神心理因素所致的语言能力丧失不在保障范围内。</w:t>
      </w:r>
    </w:p>
    <w:p>
      <w:pPr>
        <w:pStyle w:val="BodyText"/>
        <w:spacing w:before="7"/>
        <w:rPr>
          <w:sz w:val="15"/>
        </w:rPr>
      </w:pPr>
    </w:p>
    <w:p>
      <w:pPr>
        <w:pStyle w:val="Heading2"/>
        <w:numPr>
          <w:ilvl w:val="0"/>
          <w:numId w:val="11"/>
        </w:numPr>
        <w:tabs>
          <w:tab w:pos="3169" w:val="left" w:leader="none"/>
        </w:tabs>
        <w:spacing w:line="240" w:lineRule="auto" w:before="1" w:after="0"/>
        <w:ind w:left="3168" w:right="0" w:hanging="636"/>
        <w:jc w:val="left"/>
      </w:pPr>
      <w:r>
        <w:rPr>
          <w:spacing w:val="-3"/>
        </w:rPr>
        <w:t>重型再生障碍性贫血:</w:t>
      </w:r>
    </w:p>
    <w:p>
      <w:pPr>
        <w:pStyle w:val="BodyText"/>
        <w:spacing w:before="6"/>
        <w:rPr>
          <w:b/>
          <w:sz w:val="15"/>
        </w:rPr>
      </w:pPr>
    </w:p>
    <w:p>
      <w:pPr>
        <w:pStyle w:val="BodyText"/>
        <w:spacing w:line="278" w:lineRule="auto"/>
        <w:ind w:left="2533" w:right="356"/>
      </w:pPr>
      <w:r>
        <w:rPr>
          <w:spacing w:val="-2"/>
        </w:rPr>
        <w:t>指因骨髓造血功能慢性持续性衰竭导致的贫血、中性粒细胞减少及血小板减少。须</w:t>
      </w:r>
      <w:r>
        <w:rPr>
          <w:spacing w:val="-2"/>
        </w:rPr>
        <w:t>满足下列全部条件：</w:t>
      </w:r>
    </w:p>
    <w:p>
      <w:pPr>
        <w:pStyle w:val="ListParagraph"/>
        <w:numPr>
          <w:ilvl w:val="0"/>
          <w:numId w:val="26"/>
        </w:numPr>
        <w:tabs>
          <w:tab w:pos="3254" w:val="left" w:leader="none"/>
          <w:tab w:pos="3255" w:val="left" w:leader="none"/>
        </w:tabs>
        <w:spacing w:line="278" w:lineRule="auto" w:before="156" w:after="0"/>
        <w:ind w:left="3254" w:right="308" w:hanging="721"/>
        <w:jc w:val="left"/>
        <w:rPr>
          <w:sz w:val="21"/>
        </w:rPr>
      </w:pPr>
      <w:r>
        <w:rPr>
          <w:spacing w:val="-2"/>
          <w:sz w:val="21"/>
        </w:rPr>
        <w:t>骨髓穿刺检查或骨髓活检结果支持诊断：骨髓细胞增生程度＜正常的 </w:t>
      </w:r>
      <w:r>
        <w:rPr>
          <w:sz w:val="21"/>
        </w:rPr>
        <w:t>25%；</w:t>
      </w:r>
      <w:r>
        <w:rPr>
          <w:spacing w:val="-8"/>
          <w:sz w:val="21"/>
        </w:rPr>
        <w:t>如≥正常的 </w:t>
      </w:r>
      <w:r>
        <w:rPr>
          <w:sz w:val="21"/>
        </w:rPr>
        <w:t>25%但＜50%，则残存的造血细胞应＜30%；</w:t>
      </w:r>
    </w:p>
    <w:p>
      <w:pPr>
        <w:pStyle w:val="ListParagraph"/>
        <w:numPr>
          <w:ilvl w:val="0"/>
          <w:numId w:val="26"/>
        </w:numPr>
        <w:tabs>
          <w:tab w:pos="3254" w:val="left" w:leader="none"/>
          <w:tab w:pos="3255" w:val="left" w:leader="none"/>
        </w:tabs>
        <w:spacing w:line="240" w:lineRule="auto" w:before="156" w:after="0"/>
        <w:ind w:left="3254" w:right="0" w:hanging="722"/>
        <w:jc w:val="left"/>
        <w:rPr>
          <w:sz w:val="21"/>
        </w:rPr>
      </w:pPr>
      <w:r>
        <w:rPr>
          <w:spacing w:val="-3"/>
          <w:sz w:val="21"/>
        </w:rPr>
        <w:t>外周血象须具备以下三项条件中的两项：</w:t>
      </w:r>
    </w:p>
    <w:p>
      <w:pPr>
        <w:pStyle w:val="BodyText"/>
        <w:spacing w:before="9"/>
        <w:rPr>
          <w:sz w:val="14"/>
        </w:rPr>
      </w:pPr>
    </w:p>
    <w:p>
      <w:pPr>
        <w:pStyle w:val="ListParagraph"/>
        <w:numPr>
          <w:ilvl w:val="1"/>
          <w:numId w:val="26"/>
        </w:numPr>
        <w:tabs>
          <w:tab w:pos="3950" w:val="left" w:leader="none"/>
          <w:tab w:pos="3951" w:val="left" w:leader="none"/>
        </w:tabs>
        <w:spacing w:line="240" w:lineRule="auto" w:before="0" w:after="0"/>
        <w:ind w:left="3950" w:right="0" w:hanging="682"/>
        <w:jc w:val="left"/>
        <w:rPr>
          <w:sz w:val="21"/>
        </w:rPr>
      </w:pPr>
      <w:r>
        <w:rPr>
          <w:spacing w:val="-2"/>
          <w:sz w:val="21"/>
        </w:rPr>
        <w:t>中性粒细胞绝对值＜0.5×10</w:t>
      </w:r>
      <w:r>
        <w:rPr>
          <w:spacing w:val="-2"/>
          <w:position w:val="11"/>
          <w:sz w:val="11"/>
        </w:rPr>
        <w:t>9</w:t>
      </w:r>
      <w:r>
        <w:rPr>
          <w:spacing w:val="-2"/>
          <w:sz w:val="21"/>
        </w:rPr>
        <w:t>/L；</w:t>
      </w:r>
    </w:p>
    <w:p>
      <w:pPr>
        <w:pStyle w:val="ListParagraph"/>
        <w:numPr>
          <w:ilvl w:val="1"/>
          <w:numId w:val="26"/>
        </w:numPr>
        <w:tabs>
          <w:tab w:pos="3950" w:val="left" w:leader="none"/>
          <w:tab w:pos="3951" w:val="left" w:leader="none"/>
        </w:tabs>
        <w:spacing w:line="240" w:lineRule="auto" w:before="189" w:after="0"/>
        <w:ind w:left="3950" w:right="0" w:hanging="682"/>
        <w:jc w:val="left"/>
        <w:rPr>
          <w:sz w:val="21"/>
        </w:rPr>
      </w:pPr>
      <w:r>
        <w:rPr>
          <w:spacing w:val="-2"/>
          <w:sz w:val="21"/>
        </w:rPr>
        <w:t>网织红细胞计数＜20×10</w:t>
      </w:r>
      <w:r>
        <w:rPr>
          <w:spacing w:val="-2"/>
          <w:position w:val="11"/>
          <w:sz w:val="11"/>
        </w:rPr>
        <w:t>9</w:t>
      </w:r>
      <w:r>
        <w:rPr>
          <w:spacing w:val="-2"/>
          <w:sz w:val="21"/>
        </w:rPr>
        <w:t>/L；</w:t>
      </w:r>
    </w:p>
    <w:p>
      <w:pPr>
        <w:pStyle w:val="ListParagraph"/>
        <w:numPr>
          <w:ilvl w:val="1"/>
          <w:numId w:val="26"/>
        </w:numPr>
        <w:tabs>
          <w:tab w:pos="3950" w:val="left" w:leader="none"/>
          <w:tab w:pos="3951" w:val="left" w:leader="none"/>
        </w:tabs>
        <w:spacing w:line="240" w:lineRule="auto" w:before="189" w:after="0"/>
        <w:ind w:left="3950" w:right="0" w:hanging="682"/>
        <w:jc w:val="left"/>
        <w:rPr>
          <w:sz w:val="21"/>
        </w:rPr>
      </w:pPr>
      <w:r>
        <w:rPr>
          <w:spacing w:val="-2"/>
          <w:sz w:val="21"/>
        </w:rPr>
        <w:t>血小板绝对值＜20×10</w:t>
      </w:r>
      <w:r>
        <w:rPr>
          <w:spacing w:val="-2"/>
          <w:position w:val="11"/>
          <w:sz w:val="11"/>
        </w:rPr>
        <w:t>9</w:t>
      </w:r>
      <w:r>
        <w:rPr>
          <w:spacing w:val="-2"/>
          <w:sz w:val="21"/>
        </w:rPr>
        <w:t>/L</w:t>
      </w:r>
      <w:r>
        <w:rPr>
          <w:spacing w:val="-10"/>
          <w:sz w:val="21"/>
        </w:rPr>
        <w:t>。</w:t>
      </w:r>
    </w:p>
    <w:p>
      <w:pPr>
        <w:pStyle w:val="BodyText"/>
        <w:rPr>
          <w:sz w:val="20"/>
        </w:rPr>
      </w:pPr>
    </w:p>
    <w:p>
      <w:pPr>
        <w:pStyle w:val="BodyText"/>
        <w:rPr>
          <w:sz w:val="20"/>
        </w:rPr>
      </w:pPr>
    </w:p>
    <w:p>
      <w:pPr>
        <w:pStyle w:val="BodyText"/>
        <w:spacing w:before="10"/>
        <w:rPr>
          <w:sz w:val="18"/>
        </w:rPr>
      </w:pPr>
      <w:r>
        <w:rPr/>
        <w:drawing>
          <wp:anchor distT="0" distB="0" distL="0" distR="0" allowOverlap="1" layoutInCell="1" locked="0" behindDoc="0" simplePos="0" relativeHeight="57">
            <wp:simplePos x="0" y="0"/>
            <wp:positionH relativeFrom="page">
              <wp:posOffset>685800</wp:posOffset>
            </wp:positionH>
            <wp:positionV relativeFrom="paragraph">
              <wp:posOffset>168144</wp:posOffset>
            </wp:positionV>
            <wp:extent cx="1829511" cy="6095"/>
            <wp:effectExtent l="0" t="0" r="0" b="0"/>
            <wp:wrapTopAndBottom/>
            <wp:docPr id="57" name="image6.png"/>
            <wp:cNvGraphicFramePr>
              <a:graphicFrameLocks noChangeAspect="1"/>
            </wp:cNvGraphicFramePr>
            <a:graphic>
              <a:graphicData uri="http://schemas.openxmlformats.org/drawingml/2006/picture">
                <pic:pic>
                  <pic:nvPicPr>
                    <pic:cNvPr id="58"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line="244" w:lineRule="auto" w:before="91"/>
        <w:ind w:left="160" w:right="0" w:firstLine="0"/>
        <w:jc w:val="left"/>
        <w:rPr>
          <w:rFonts w:ascii="楷体" w:eastAsia="楷体"/>
          <w:sz w:val="18"/>
        </w:rPr>
      </w:pPr>
      <w:r>
        <w:rPr>
          <w:rFonts w:ascii="楷体" w:eastAsia="楷体"/>
          <w:position w:val="9"/>
          <w:sz w:val="9"/>
        </w:rPr>
        <w:t>46</w:t>
      </w:r>
      <w:r>
        <w:rPr>
          <w:rFonts w:ascii="楷体" w:eastAsia="楷体" w:hint="eastAsia"/>
          <w:b/>
          <w:sz w:val="18"/>
        </w:rPr>
        <w:t>美</w:t>
      </w:r>
      <w:r>
        <w:rPr>
          <w:rFonts w:ascii="楷体" w:eastAsia="楷体" w:hint="eastAsia"/>
          <w:b/>
          <w:sz w:val="18"/>
        </w:rPr>
        <w:t>国</w:t>
      </w:r>
      <w:r>
        <w:rPr>
          <w:rFonts w:ascii="楷体" w:eastAsia="楷体" w:hint="eastAsia"/>
          <w:b/>
          <w:sz w:val="18"/>
        </w:rPr>
        <w:t>纽</w:t>
      </w:r>
      <w:r>
        <w:rPr>
          <w:rFonts w:ascii="楷体" w:eastAsia="楷体" w:hint="eastAsia"/>
          <w:b/>
          <w:sz w:val="18"/>
        </w:rPr>
        <w:t>约</w:t>
      </w:r>
      <w:r>
        <w:rPr>
          <w:rFonts w:ascii="楷体" w:eastAsia="楷体" w:hint="eastAsia"/>
          <w:b/>
          <w:sz w:val="18"/>
        </w:rPr>
        <w:t>心</w:t>
      </w:r>
      <w:r>
        <w:rPr>
          <w:rFonts w:ascii="楷体" w:eastAsia="楷体" w:hint="eastAsia"/>
          <w:b/>
          <w:sz w:val="18"/>
        </w:rPr>
        <w:t>脏</w:t>
      </w:r>
      <w:r>
        <w:rPr>
          <w:rFonts w:ascii="楷体" w:eastAsia="楷体" w:hint="eastAsia"/>
          <w:b/>
          <w:sz w:val="18"/>
        </w:rPr>
        <w:t>病</w:t>
      </w:r>
      <w:r>
        <w:rPr>
          <w:rFonts w:ascii="楷体" w:eastAsia="楷体" w:hint="eastAsia"/>
          <w:b/>
          <w:sz w:val="18"/>
        </w:rPr>
        <w:t>学</w:t>
      </w:r>
      <w:r>
        <w:rPr>
          <w:rFonts w:ascii="楷体" w:eastAsia="楷体" w:hint="eastAsia"/>
          <w:b/>
          <w:sz w:val="18"/>
        </w:rPr>
        <w:t>会</w:t>
      </w:r>
      <w:r>
        <w:rPr>
          <w:rFonts w:ascii="楷体" w:eastAsia="楷体" w:hint="eastAsia"/>
          <w:b/>
          <w:sz w:val="18"/>
        </w:rPr>
        <w:t>（New</w:t>
      </w:r>
      <w:r>
        <w:rPr>
          <w:rFonts w:ascii="楷体" w:eastAsia="楷体" w:hint="eastAsia"/>
          <w:b/>
          <w:spacing w:val="40"/>
          <w:sz w:val="18"/>
        </w:rPr>
        <w:t> </w:t>
      </w:r>
      <w:r>
        <w:rPr>
          <w:rFonts w:ascii="楷体" w:eastAsia="楷体" w:hint="eastAsia"/>
          <w:b/>
          <w:sz w:val="18"/>
        </w:rPr>
        <w:t>York</w:t>
      </w:r>
      <w:r>
        <w:rPr>
          <w:rFonts w:ascii="楷体" w:eastAsia="楷体" w:hint="eastAsia"/>
          <w:b/>
          <w:spacing w:val="40"/>
          <w:sz w:val="18"/>
        </w:rPr>
        <w:t> </w:t>
      </w:r>
      <w:r>
        <w:rPr>
          <w:rFonts w:ascii="楷体" w:eastAsia="楷体" w:hint="eastAsia"/>
          <w:b/>
          <w:sz w:val="18"/>
        </w:rPr>
        <w:t>Heart</w:t>
      </w:r>
      <w:r>
        <w:rPr>
          <w:rFonts w:ascii="楷体" w:eastAsia="楷体" w:hint="eastAsia"/>
          <w:b/>
          <w:spacing w:val="40"/>
          <w:sz w:val="18"/>
        </w:rPr>
        <w:t> </w:t>
      </w:r>
      <w:r>
        <w:rPr>
          <w:rFonts w:ascii="楷体" w:eastAsia="楷体" w:hint="eastAsia"/>
          <w:b/>
          <w:sz w:val="18"/>
        </w:rPr>
        <w:t>Association,NYHA）</w:t>
      </w:r>
      <w:r>
        <w:rPr>
          <w:rFonts w:ascii="楷体" w:eastAsia="楷体" w:hint="eastAsia"/>
          <w:b/>
          <w:sz w:val="18"/>
        </w:rPr>
        <w:t>心</w:t>
      </w:r>
      <w:r>
        <w:rPr>
          <w:rFonts w:ascii="楷体" w:eastAsia="楷体" w:hint="eastAsia"/>
          <w:b/>
          <w:sz w:val="18"/>
        </w:rPr>
        <w:t>功</w:t>
      </w:r>
      <w:r>
        <w:rPr>
          <w:rFonts w:ascii="楷体" w:eastAsia="楷体" w:hint="eastAsia"/>
          <w:b/>
          <w:sz w:val="18"/>
        </w:rPr>
        <w:t>能</w:t>
      </w:r>
      <w:r>
        <w:rPr>
          <w:rFonts w:ascii="楷体" w:eastAsia="楷体" w:hint="eastAsia"/>
          <w:b/>
          <w:sz w:val="18"/>
        </w:rPr>
        <w:t>状</w:t>
      </w:r>
      <w:r>
        <w:rPr>
          <w:rFonts w:ascii="楷体" w:eastAsia="楷体" w:hint="eastAsia"/>
          <w:b/>
          <w:sz w:val="18"/>
        </w:rPr>
        <w:t>态</w:t>
      </w:r>
      <w:r>
        <w:rPr>
          <w:rFonts w:ascii="楷体" w:eastAsia="楷体" w:hint="eastAsia"/>
          <w:b/>
          <w:sz w:val="18"/>
        </w:rPr>
        <w:t>分</w:t>
      </w:r>
      <w:r>
        <w:rPr>
          <w:rFonts w:ascii="楷体" w:eastAsia="楷体" w:hint="eastAsia"/>
          <w:b/>
          <w:sz w:val="18"/>
        </w:rPr>
        <w:t>级</w:t>
      </w:r>
      <w:r>
        <w:rPr>
          <w:sz w:val="18"/>
        </w:rPr>
        <w:t>：</w:t>
      </w:r>
      <w:r>
        <w:rPr>
          <w:rFonts w:ascii="楷体" w:eastAsia="楷体"/>
          <w:sz w:val="18"/>
        </w:rPr>
        <w:t>美国纽约心脏病学会（New</w:t>
      </w:r>
      <w:r>
        <w:rPr>
          <w:rFonts w:ascii="楷体" w:eastAsia="楷体"/>
          <w:spacing w:val="40"/>
          <w:sz w:val="18"/>
        </w:rPr>
        <w:t> </w:t>
      </w:r>
      <w:r>
        <w:rPr>
          <w:rFonts w:ascii="楷体" w:eastAsia="楷体"/>
          <w:sz w:val="18"/>
        </w:rPr>
        <w:t>York</w:t>
      </w:r>
      <w:r>
        <w:rPr>
          <w:rFonts w:ascii="楷体" w:eastAsia="楷体"/>
          <w:spacing w:val="40"/>
          <w:sz w:val="18"/>
        </w:rPr>
        <w:t> </w:t>
      </w:r>
      <w:r>
        <w:rPr>
          <w:rFonts w:ascii="楷体" w:eastAsia="楷体"/>
          <w:sz w:val="18"/>
        </w:rPr>
        <w:t>Heart </w:t>
      </w:r>
      <w:r>
        <w:rPr>
          <w:rFonts w:ascii="楷体" w:eastAsia="楷体"/>
          <w:spacing w:val="-2"/>
          <w:sz w:val="18"/>
        </w:rPr>
        <w:t>Association,NYHA）将心功能状态分为四级：</w:t>
      </w:r>
    </w:p>
    <w:p>
      <w:pPr>
        <w:pStyle w:val="ListParagraph"/>
        <w:numPr>
          <w:ilvl w:val="0"/>
          <w:numId w:val="27"/>
        </w:numPr>
        <w:tabs>
          <w:tab w:pos="297" w:val="left" w:leader="none"/>
        </w:tabs>
        <w:spacing w:line="228" w:lineRule="exact" w:before="0" w:after="0"/>
        <w:ind w:left="296" w:right="0" w:hanging="137"/>
        <w:jc w:val="left"/>
        <w:rPr>
          <w:rFonts w:ascii="楷体" w:eastAsia="楷体"/>
          <w:sz w:val="18"/>
        </w:rPr>
      </w:pPr>
      <w:r>
        <w:rPr>
          <w:rFonts w:ascii="楷体" w:eastAsia="楷体"/>
          <w:spacing w:val="-3"/>
          <w:sz w:val="18"/>
        </w:rPr>
        <w:t>级：心脏病病人日常活动量不受限制，一般活动不引起乏力、呼吸困难等心衰症状。</w:t>
      </w:r>
    </w:p>
    <w:p>
      <w:pPr>
        <w:pStyle w:val="ListParagraph"/>
        <w:numPr>
          <w:ilvl w:val="0"/>
          <w:numId w:val="27"/>
        </w:numPr>
        <w:tabs>
          <w:tab w:pos="389" w:val="left" w:leader="none"/>
        </w:tabs>
        <w:spacing w:line="242" w:lineRule="auto" w:before="2" w:after="0"/>
        <w:ind w:left="160" w:right="3037" w:firstLine="0"/>
        <w:jc w:val="left"/>
        <w:rPr>
          <w:rFonts w:ascii="楷体" w:hAnsi="楷体" w:eastAsia="楷体"/>
          <w:sz w:val="18"/>
        </w:rPr>
      </w:pPr>
      <w:r>
        <w:rPr>
          <w:rFonts w:ascii="楷体" w:hAnsi="楷体" w:eastAsia="楷体"/>
          <w:spacing w:val="-2"/>
          <w:sz w:val="18"/>
        </w:rPr>
        <w:t>级：心脏病病人体力活动轻度受限制，休息时无自觉症状，一般活动下可出现心衰症状。</w:t>
      </w:r>
      <w:r>
        <w:rPr>
          <w:rFonts w:ascii="楷体" w:hAnsi="楷体" w:eastAsia="楷体"/>
          <w:spacing w:val="-2"/>
          <w:sz w:val="18"/>
        </w:rPr>
        <w:t> Ⅲ级：心脏病病人体力活动明显受限，低于平时一般活动即引起心衰症状。</w:t>
      </w:r>
    </w:p>
    <w:p>
      <w:pPr>
        <w:spacing w:before="2"/>
        <w:ind w:left="160" w:right="0" w:firstLine="0"/>
        <w:jc w:val="left"/>
        <w:rPr>
          <w:rFonts w:ascii="楷体" w:eastAsia="楷体"/>
          <w:sz w:val="18"/>
        </w:rPr>
      </w:pPr>
      <w:r>
        <w:rPr>
          <w:rFonts w:ascii="楷体" w:eastAsia="楷体"/>
          <w:spacing w:val="-2"/>
          <w:sz w:val="18"/>
        </w:rPr>
        <w:t>IV</w:t>
      </w:r>
      <w:r>
        <w:rPr>
          <w:rFonts w:ascii="楷体" w:eastAsia="楷体"/>
          <w:spacing w:val="-3"/>
          <w:sz w:val="18"/>
        </w:rPr>
        <w:t> 级：心脏病病人不能从事任何体力活动，休息状态下也存在心衰症状，活动后加重。</w:t>
      </w:r>
    </w:p>
    <w:p>
      <w:pPr>
        <w:spacing w:after="0"/>
        <w:jc w:val="left"/>
        <w:rPr>
          <w:rFonts w:ascii="楷体" w:eastAsia="楷体"/>
          <w:sz w:val="18"/>
        </w:rPr>
        <w:sectPr>
          <w:pgSz w:w="11910" w:h="16840"/>
          <w:pgMar w:header="0" w:footer="659" w:top="1400" w:bottom="840" w:left="920" w:right="540"/>
        </w:sectPr>
      </w:pPr>
    </w:p>
    <w:p>
      <w:pPr>
        <w:pStyle w:val="Heading2"/>
        <w:numPr>
          <w:ilvl w:val="0"/>
          <w:numId w:val="11"/>
        </w:numPr>
        <w:tabs>
          <w:tab w:pos="3169" w:val="left" w:leader="none"/>
        </w:tabs>
        <w:spacing w:line="240" w:lineRule="auto" w:before="44" w:after="0"/>
        <w:ind w:left="3168" w:right="0" w:hanging="636"/>
        <w:jc w:val="left"/>
      </w:pPr>
      <w:r>
        <w:rPr>
          <w:spacing w:val="-2"/>
        </w:rPr>
        <w:t>主动脉手术:</w:t>
      </w:r>
    </w:p>
    <w:p>
      <w:pPr>
        <w:pStyle w:val="BodyText"/>
        <w:spacing w:before="7"/>
        <w:rPr>
          <w:b/>
          <w:sz w:val="15"/>
        </w:rPr>
      </w:pPr>
    </w:p>
    <w:p>
      <w:pPr>
        <w:pStyle w:val="BodyText"/>
        <w:spacing w:line="278" w:lineRule="auto"/>
        <w:ind w:left="2533" w:right="253"/>
      </w:pPr>
      <w:r>
        <w:rPr>
          <w:spacing w:val="-2"/>
        </w:rPr>
        <w:t>指为治疗主动脉疾病或主动脉创伤，已经实施了开胸（含胸腔镜下）或开腹（含腹</w:t>
      </w:r>
      <w:r>
        <w:rPr>
          <w:spacing w:val="-2"/>
        </w:rPr>
        <w:t>腔镜下）进行的切除、置换、修补病损主动脉血管、主动脉创伤后修复的手术。主</w:t>
      </w:r>
      <w:r>
        <w:rPr>
          <w:spacing w:val="-15"/>
        </w:rPr>
        <w:t>动脉指升主动脉、主动脉弓和降主动脉</w:t>
      </w:r>
      <w:r>
        <w:rPr>
          <w:spacing w:val="-2"/>
        </w:rPr>
        <w:t>（含胸主动脉和腹主动脉</w:t>
      </w:r>
      <w:r>
        <w:rPr>
          <w:spacing w:val="-92"/>
        </w:rPr>
        <w:t>）</w:t>
      </w:r>
      <w:r>
        <w:rPr>
          <w:spacing w:val="-14"/>
        </w:rPr>
        <w:t>，不包括升主动脉、</w:t>
      </w:r>
      <w:r>
        <w:rPr>
          <w:spacing w:val="-2"/>
        </w:rPr>
        <w:t>主动脉弓和降主动脉的分支血管。</w:t>
      </w:r>
    </w:p>
    <w:p>
      <w:pPr>
        <w:pStyle w:val="BodyText"/>
        <w:spacing w:line="269" w:lineRule="exact"/>
        <w:ind w:left="2533"/>
      </w:pPr>
      <w:r>
        <w:rPr>
          <w:color w:val="000000"/>
          <w:spacing w:val="-3"/>
          <w:shd w:fill="E4E4E4" w:color="auto" w:val="clear"/>
        </w:rPr>
        <w:t>所有未实施开胸或开腹的动脉内介入治疗不在保障范围内。</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严重慢性呼吸衰竭:</w:t>
      </w:r>
    </w:p>
    <w:p>
      <w:pPr>
        <w:pStyle w:val="BodyText"/>
        <w:spacing w:before="7"/>
        <w:rPr>
          <w:b/>
          <w:sz w:val="15"/>
        </w:rPr>
      </w:pPr>
    </w:p>
    <w:p>
      <w:pPr>
        <w:pStyle w:val="BodyText"/>
        <w:spacing w:line="278" w:lineRule="auto"/>
        <w:ind w:left="2533" w:right="355"/>
      </w:pPr>
      <w:r>
        <w:rPr>
          <w:spacing w:val="-4"/>
        </w:rPr>
        <w:t>指因慢性呼吸系统疾病导致永久不可逆性的呼吸衰竭，经过积极治疗 </w:t>
      </w:r>
      <w:r>
        <w:rPr>
          <w:spacing w:val="-2"/>
        </w:rPr>
        <w:t>180</w:t>
      </w:r>
      <w:r>
        <w:rPr>
          <w:spacing w:val="-10"/>
        </w:rPr>
        <w:t> 天后满足</w:t>
      </w:r>
      <w:r>
        <w:rPr>
          <w:spacing w:val="-2"/>
        </w:rPr>
        <w:t>以下所有条件：</w:t>
      </w:r>
    </w:p>
    <w:p>
      <w:pPr>
        <w:pStyle w:val="ListParagraph"/>
        <w:numPr>
          <w:ilvl w:val="0"/>
          <w:numId w:val="28"/>
        </w:numPr>
        <w:tabs>
          <w:tab w:pos="3254" w:val="left" w:leader="none"/>
          <w:tab w:pos="3255" w:val="left" w:leader="none"/>
        </w:tabs>
        <w:spacing w:line="240" w:lineRule="auto" w:before="156" w:after="0"/>
        <w:ind w:left="3254" w:right="0" w:hanging="722"/>
        <w:jc w:val="left"/>
        <w:rPr>
          <w:sz w:val="21"/>
        </w:rPr>
      </w:pPr>
      <w:r>
        <w:rPr>
          <w:spacing w:val="-3"/>
          <w:sz w:val="21"/>
        </w:rPr>
        <w:t>静息时出现呼吸困难；</w:t>
      </w:r>
    </w:p>
    <w:p>
      <w:pPr>
        <w:pStyle w:val="BodyText"/>
        <w:spacing w:before="7"/>
        <w:rPr>
          <w:sz w:val="15"/>
        </w:rPr>
      </w:pPr>
    </w:p>
    <w:p>
      <w:pPr>
        <w:pStyle w:val="ListParagraph"/>
        <w:numPr>
          <w:ilvl w:val="0"/>
          <w:numId w:val="28"/>
        </w:numPr>
        <w:tabs>
          <w:tab w:pos="3254" w:val="left" w:leader="none"/>
          <w:tab w:pos="3255" w:val="left" w:leader="none"/>
        </w:tabs>
        <w:spacing w:line="240" w:lineRule="auto" w:before="0" w:after="0"/>
        <w:ind w:left="3254" w:right="0" w:hanging="722"/>
        <w:jc w:val="left"/>
        <w:rPr>
          <w:sz w:val="21"/>
        </w:rPr>
      </w:pPr>
      <w:r>
        <w:rPr>
          <w:spacing w:val="-2"/>
          <w:sz w:val="21"/>
        </w:rPr>
        <w:t>肺功能第一秒用力呼气容积（FEV1）占预计值的百分比＜30%；</w:t>
      </w:r>
    </w:p>
    <w:p>
      <w:pPr>
        <w:pStyle w:val="BodyText"/>
        <w:spacing w:before="6"/>
        <w:rPr>
          <w:sz w:val="15"/>
        </w:rPr>
      </w:pPr>
    </w:p>
    <w:p>
      <w:pPr>
        <w:pStyle w:val="ListParagraph"/>
        <w:numPr>
          <w:ilvl w:val="0"/>
          <w:numId w:val="28"/>
        </w:numPr>
        <w:tabs>
          <w:tab w:pos="3254" w:val="left" w:leader="none"/>
          <w:tab w:pos="3255" w:val="left" w:leader="none"/>
        </w:tabs>
        <w:spacing w:line="240" w:lineRule="auto" w:before="1" w:after="0"/>
        <w:ind w:left="3254" w:right="0" w:hanging="722"/>
        <w:jc w:val="left"/>
        <w:rPr>
          <w:sz w:val="21"/>
        </w:rPr>
      </w:pPr>
      <w:r>
        <w:rPr>
          <w:spacing w:val="-2"/>
          <w:sz w:val="21"/>
        </w:rPr>
        <w:t>在静息状态、呼吸空气条件下，动脉血氧分压（PaO2）＜50mmHg</w:t>
      </w:r>
      <w:r>
        <w:rPr>
          <w:spacing w:val="-10"/>
          <w:sz w:val="21"/>
        </w:rPr>
        <w:t>。</w:t>
      </w:r>
    </w:p>
    <w:p>
      <w:pPr>
        <w:pStyle w:val="BodyText"/>
        <w:spacing w:before="6"/>
        <w:rPr>
          <w:sz w:val="15"/>
        </w:rPr>
      </w:pPr>
    </w:p>
    <w:p>
      <w:pPr>
        <w:pStyle w:val="Heading2"/>
        <w:numPr>
          <w:ilvl w:val="0"/>
          <w:numId w:val="11"/>
        </w:numPr>
        <w:tabs>
          <w:tab w:pos="3169" w:val="left" w:leader="none"/>
        </w:tabs>
        <w:spacing w:line="240" w:lineRule="auto" w:before="0" w:after="0"/>
        <w:ind w:left="3168" w:right="0" w:hanging="636"/>
        <w:jc w:val="left"/>
      </w:pPr>
      <w:r>
        <w:rPr>
          <w:spacing w:val="-2"/>
        </w:rPr>
        <w:t>严重克罗恩病:</w:t>
      </w:r>
    </w:p>
    <w:p>
      <w:pPr>
        <w:pStyle w:val="BodyText"/>
        <w:spacing w:before="7"/>
        <w:rPr>
          <w:b/>
          <w:sz w:val="15"/>
        </w:rPr>
      </w:pPr>
    </w:p>
    <w:p>
      <w:pPr>
        <w:pStyle w:val="BodyText"/>
        <w:spacing w:line="278" w:lineRule="auto"/>
        <w:ind w:left="2533" w:right="356"/>
      </w:pPr>
      <w:r>
        <w:rPr/>
        <w:t>指一种慢性肉芽肿性肠炎，具有特征性的克罗恩病（Crohn</w:t>
      </w:r>
      <w:r>
        <w:rPr>
          <w:spacing w:val="-14"/>
        </w:rPr>
        <w:t> 病</w:t>
      </w:r>
      <w:r>
        <w:rPr/>
        <w:t>）病理组织学变化，</w:t>
      </w:r>
      <w:r>
        <w:rPr>
          <w:spacing w:val="-2"/>
        </w:rPr>
        <w:t>须根据组织病理学特点诊断，且已经造成瘘管形成并伴有肠梗阻或肠穿孔。</w:t>
      </w:r>
    </w:p>
    <w:p>
      <w:pPr>
        <w:pStyle w:val="Heading2"/>
        <w:numPr>
          <w:ilvl w:val="0"/>
          <w:numId w:val="11"/>
        </w:numPr>
        <w:tabs>
          <w:tab w:pos="3169" w:val="left" w:leader="none"/>
        </w:tabs>
        <w:spacing w:line="240" w:lineRule="auto" w:before="156" w:after="0"/>
        <w:ind w:left="3168" w:right="0" w:hanging="636"/>
        <w:jc w:val="left"/>
      </w:pPr>
      <w:r>
        <w:rPr>
          <w:spacing w:val="-2"/>
        </w:rPr>
        <w:t>严重溃疡性结肠炎:</w:t>
      </w:r>
    </w:p>
    <w:p>
      <w:pPr>
        <w:pStyle w:val="BodyText"/>
        <w:spacing w:before="6"/>
        <w:rPr>
          <w:b/>
          <w:sz w:val="15"/>
        </w:rPr>
      </w:pPr>
    </w:p>
    <w:p>
      <w:pPr>
        <w:pStyle w:val="BodyText"/>
        <w:spacing w:line="278" w:lineRule="auto" w:before="1"/>
        <w:ind w:left="2533" w:right="356"/>
        <w:jc w:val="both"/>
      </w:pPr>
      <w:r>
        <w:rPr>
          <w:spacing w:val="-2"/>
        </w:rPr>
        <w:t>指伴有致命性电解质紊乱的急性暴发性溃疡性结肠炎，病变已经累及全结肠，表现</w:t>
      </w:r>
      <w:r>
        <w:rPr>
          <w:spacing w:val="-2"/>
        </w:rPr>
        <w:t>为严重的血便和系统性症状体征，须根据组织病理学特点诊断，且已经实施了结肠</w:t>
      </w:r>
      <w:r>
        <w:rPr>
          <w:spacing w:val="-2"/>
        </w:rPr>
        <w:t>切除或回肠造瘘术。</w:t>
      </w:r>
    </w:p>
    <w:p>
      <w:pPr>
        <w:pStyle w:val="Heading2"/>
        <w:numPr>
          <w:ilvl w:val="0"/>
          <w:numId w:val="11"/>
        </w:numPr>
        <w:tabs>
          <w:tab w:pos="3169" w:val="left" w:leader="none"/>
        </w:tabs>
        <w:spacing w:line="240" w:lineRule="auto" w:before="156" w:after="0"/>
        <w:ind w:left="3168" w:right="0" w:hanging="636"/>
        <w:jc w:val="left"/>
      </w:pPr>
      <w:r>
        <w:rPr>
          <w:w w:val="95"/>
        </w:rPr>
        <w:t>经</w:t>
      </w:r>
      <w:r>
        <w:rPr>
          <w:w w:val="95"/>
        </w:rPr>
        <w:t>输</w:t>
      </w:r>
      <w:r>
        <w:rPr>
          <w:w w:val="95"/>
        </w:rPr>
        <w:t>血</w:t>
      </w:r>
      <w:r>
        <w:rPr>
          <w:w w:val="95"/>
        </w:rPr>
        <w:t>导</w:t>
      </w:r>
      <w:r>
        <w:rPr>
          <w:w w:val="95"/>
        </w:rPr>
        <w:t>致</w:t>
      </w:r>
      <w:r>
        <w:rPr>
          <w:w w:val="95"/>
        </w:rPr>
        <w:t>的</w:t>
      </w:r>
      <w:r>
        <w:rPr>
          <w:w w:val="95"/>
        </w:rPr>
        <w:t>人</w:t>
      </w:r>
      <w:r>
        <w:rPr>
          <w:w w:val="95"/>
        </w:rPr>
        <w:t>类</w:t>
      </w:r>
      <w:r>
        <w:rPr>
          <w:w w:val="95"/>
        </w:rPr>
        <w:t>免</w:t>
      </w:r>
      <w:r>
        <w:rPr>
          <w:w w:val="95"/>
        </w:rPr>
        <w:t>疫</w:t>
      </w:r>
      <w:r>
        <w:rPr>
          <w:w w:val="95"/>
        </w:rPr>
        <w:t>缺</w:t>
      </w:r>
      <w:r>
        <w:rPr>
          <w:w w:val="95"/>
        </w:rPr>
        <w:t>陷</w:t>
      </w:r>
      <w:r>
        <w:rPr>
          <w:w w:val="95"/>
        </w:rPr>
        <w:t>病</w:t>
      </w:r>
      <w:r>
        <w:rPr>
          <w:w w:val="95"/>
        </w:rPr>
        <w:t>毒</w:t>
      </w:r>
      <w:r>
        <w:rPr>
          <w:w w:val="95"/>
        </w:rPr>
        <w:t>（HIV）</w:t>
      </w:r>
      <w:r>
        <w:rPr>
          <w:w w:val="95"/>
        </w:rPr>
        <w:t>感</w:t>
      </w:r>
      <w:r>
        <w:rPr>
          <w:spacing w:val="-5"/>
          <w:w w:val="95"/>
        </w:rPr>
        <w:t>染:</w:t>
      </w:r>
    </w:p>
    <w:p>
      <w:pPr>
        <w:pStyle w:val="BodyText"/>
        <w:spacing w:before="6"/>
        <w:rPr>
          <w:b/>
          <w:sz w:val="15"/>
        </w:rPr>
      </w:pPr>
    </w:p>
    <w:p>
      <w:pPr>
        <w:pStyle w:val="BodyText"/>
        <w:ind w:left="2533"/>
      </w:pPr>
      <w:r>
        <w:rPr>
          <w:spacing w:val="-6"/>
        </w:rPr>
        <w:t>被保险人感染人类免疫缺陷病毒</w:t>
      </w:r>
      <w:r>
        <w:rPr>
          <w:spacing w:val="12"/>
        </w:rPr>
        <w:t>（H</w:t>
      </w:r>
      <w:r>
        <w:rPr>
          <w:spacing w:val="9"/>
        </w:rPr>
        <w:t>I</w:t>
      </w:r>
      <w:r>
        <w:rPr>
          <w:spacing w:val="11"/>
        </w:rPr>
        <w:t>V</w:t>
      </w:r>
      <w:r>
        <w:rPr>
          <w:spacing w:val="-94"/>
        </w:rPr>
        <w:t>）</w:t>
      </w:r>
      <w:r>
        <w:rPr>
          <w:spacing w:val="-7"/>
        </w:rPr>
        <w:t>，且须满足下列全部条件：</w:t>
      </w:r>
    </w:p>
    <w:p>
      <w:pPr>
        <w:pStyle w:val="BodyText"/>
        <w:spacing w:before="7"/>
        <w:rPr>
          <w:sz w:val="15"/>
        </w:rPr>
      </w:pPr>
    </w:p>
    <w:p>
      <w:pPr>
        <w:pStyle w:val="ListParagraph"/>
        <w:numPr>
          <w:ilvl w:val="0"/>
          <w:numId w:val="29"/>
        </w:numPr>
        <w:tabs>
          <w:tab w:pos="3254" w:val="left" w:leader="none"/>
          <w:tab w:pos="3255" w:val="left" w:leader="none"/>
        </w:tabs>
        <w:spacing w:line="240" w:lineRule="auto" w:before="0" w:after="0"/>
        <w:ind w:left="3254" w:right="0" w:hanging="722"/>
        <w:jc w:val="left"/>
        <w:rPr>
          <w:sz w:val="21"/>
        </w:rPr>
      </w:pPr>
      <w:r>
        <w:rPr>
          <w:spacing w:val="-4"/>
          <w:sz w:val="21"/>
        </w:rPr>
        <w:t>在保障起始日或复效日之后，被保险人因输血而感染 HIV；</w:t>
      </w:r>
    </w:p>
    <w:p>
      <w:pPr>
        <w:pStyle w:val="BodyText"/>
        <w:spacing w:before="7"/>
        <w:rPr>
          <w:sz w:val="15"/>
        </w:rPr>
      </w:pPr>
    </w:p>
    <w:p>
      <w:pPr>
        <w:pStyle w:val="ListParagraph"/>
        <w:numPr>
          <w:ilvl w:val="0"/>
          <w:numId w:val="29"/>
        </w:numPr>
        <w:tabs>
          <w:tab w:pos="3254" w:val="left" w:leader="none"/>
          <w:tab w:pos="3255" w:val="left" w:leader="none"/>
        </w:tabs>
        <w:spacing w:line="278" w:lineRule="auto" w:before="0" w:after="0"/>
        <w:ind w:left="3254" w:right="255" w:hanging="721"/>
        <w:jc w:val="left"/>
        <w:rPr>
          <w:sz w:val="21"/>
        </w:rPr>
      </w:pPr>
      <w:r>
        <w:rPr>
          <w:spacing w:val="-2"/>
          <w:sz w:val="21"/>
        </w:rPr>
        <w:t>提供输血治疗的输血中心或医院出具该项输血感染属医疗责任事故的报告，</w:t>
      </w:r>
      <w:r>
        <w:rPr>
          <w:spacing w:val="-2"/>
          <w:sz w:val="21"/>
        </w:rPr>
        <w:t>或者法院终审裁定为医疗责任；</w:t>
      </w:r>
    </w:p>
    <w:p>
      <w:pPr>
        <w:pStyle w:val="ListParagraph"/>
        <w:numPr>
          <w:ilvl w:val="0"/>
          <w:numId w:val="29"/>
        </w:numPr>
        <w:tabs>
          <w:tab w:pos="3254" w:val="left" w:leader="none"/>
          <w:tab w:pos="3255" w:val="left" w:leader="none"/>
        </w:tabs>
        <w:spacing w:line="240" w:lineRule="auto" w:before="156" w:after="0"/>
        <w:ind w:left="3254" w:right="0" w:hanging="722"/>
        <w:jc w:val="left"/>
        <w:rPr>
          <w:sz w:val="21"/>
        </w:rPr>
      </w:pPr>
      <w:r>
        <w:rPr>
          <w:spacing w:val="-3"/>
          <w:sz w:val="21"/>
        </w:rPr>
        <w:t>受感染的被保险人不是血友病患者。</w:t>
      </w:r>
    </w:p>
    <w:p>
      <w:pPr>
        <w:pStyle w:val="BodyText"/>
        <w:spacing w:before="12"/>
        <w:rPr>
          <w:sz w:val="9"/>
        </w:rPr>
      </w:pPr>
    </w:p>
    <w:p>
      <w:pPr>
        <w:pStyle w:val="BodyText"/>
        <w:spacing w:line="278" w:lineRule="auto" w:before="71"/>
        <w:ind w:left="2533" w:right="250"/>
      </w:pPr>
      <w:r>
        <w:rPr>
          <w:color w:val="000000"/>
          <w:spacing w:val="-9"/>
          <w:shd w:fill="E4E4E4" w:color="auto" w:val="clear"/>
        </w:rPr>
        <w:t>任何因其他传播方式</w:t>
      </w:r>
      <w:r>
        <w:rPr>
          <w:color w:val="000000"/>
          <w:spacing w:val="-2"/>
          <w:shd w:fill="E4E4E4" w:color="auto" w:val="clear"/>
        </w:rPr>
        <w:t>（</w:t>
      </w:r>
      <w:r>
        <w:rPr>
          <w:color w:val="000000"/>
          <w:spacing w:val="-10"/>
          <w:shd w:fill="E4E4E4" w:color="auto" w:val="clear"/>
        </w:rPr>
        <w:t>包括：性传播或静脉注射毒品</w:t>
      </w:r>
      <w:r>
        <w:rPr>
          <w:color w:val="000000"/>
          <w:spacing w:val="-58"/>
          <w:shd w:fill="E4E4E4" w:color="auto" w:val="clear"/>
        </w:rPr>
        <w:t>）</w:t>
      </w:r>
      <w:r>
        <w:rPr>
          <w:color w:val="000000"/>
          <w:spacing w:val="-8"/>
          <w:shd w:fill="E4E4E4" w:color="auto" w:val="clear"/>
        </w:rPr>
        <w:t>导致人类免疫缺陷病毒</w:t>
      </w:r>
      <w:r>
        <w:rPr>
          <w:color w:val="000000"/>
          <w:spacing w:val="-2"/>
          <w:shd w:fill="E4E4E4" w:color="auto" w:val="clear"/>
        </w:rPr>
        <w:t>（HIV）</w:t>
      </w:r>
      <w:r>
        <w:rPr>
          <w:color w:val="000000"/>
          <w:spacing w:val="80"/>
          <w:w w:val="150"/>
          <w:shd w:fill="E4E4E4" w:color="auto" w:val="clear"/>
        </w:rPr>
        <w:t>                                         </w:t>
      </w:r>
      <w:r>
        <w:rPr>
          <w:color w:val="000000"/>
          <w:spacing w:val="-2"/>
          <w:shd w:fill="E4E4E4" w:color="auto" w:val="clear"/>
        </w:rPr>
        <w:t>感染不在保障范围内。</w:t>
      </w:r>
      <w:r>
        <w:rPr>
          <w:color w:val="000000"/>
          <w:spacing w:val="-2"/>
        </w:rPr>
        <w:t>本公司具有获得和使用被保险人的所有血液样本的权利以及</w:t>
      </w:r>
      <w:r>
        <w:rPr>
          <w:color w:val="000000"/>
          <w:spacing w:val="-2"/>
        </w:rPr>
        <w:t>能够对这些样本进行独立检验的权利。</w:t>
      </w:r>
    </w:p>
    <w:p>
      <w:pPr>
        <w:pStyle w:val="Heading2"/>
        <w:numPr>
          <w:ilvl w:val="0"/>
          <w:numId w:val="11"/>
        </w:numPr>
        <w:tabs>
          <w:tab w:pos="3169" w:val="left" w:leader="none"/>
        </w:tabs>
        <w:spacing w:line="240" w:lineRule="auto" w:before="156" w:after="0"/>
        <w:ind w:left="3168" w:right="0" w:hanging="636"/>
        <w:jc w:val="left"/>
      </w:pPr>
      <w:r>
        <w:rPr>
          <w:spacing w:val="-3"/>
        </w:rPr>
        <w:t>严重原发性硬化性胆管炎:</w:t>
      </w:r>
    </w:p>
    <w:p>
      <w:pPr>
        <w:pStyle w:val="BodyText"/>
        <w:spacing w:before="7"/>
        <w:rPr>
          <w:b/>
          <w:sz w:val="15"/>
        </w:rPr>
      </w:pPr>
    </w:p>
    <w:p>
      <w:pPr>
        <w:pStyle w:val="BodyText"/>
        <w:spacing w:line="278" w:lineRule="auto"/>
        <w:ind w:left="2533" w:right="344"/>
      </w:pPr>
      <w:r>
        <w:rPr>
          <w:spacing w:val="-2"/>
        </w:rPr>
        <w:t>指一种胆汁淤积综合症，其特征是肝内、肝外胆道因非细菌性炎症、慢性纤维化逐</w:t>
      </w:r>
      <w:r>
        <w:rPr>
          <w:spacing w:val="-3"/>
        </w:rPr>
        <w:t>渐狭窄，并最终导致完全阻塞而发展为胆汁淤积性肝硬化。须满足下列全部条件：</w:t>
      </w:r>
    </w:p>
    <w:p>
      <w:pPr>
        <w:pStyle w:val="ListParagraph"/>
        <w:numPr>
          <w:ilvl w:val="0"/>
          <w:numId w:val="30"/>
        </w:numPr>
        <w:tabs>
          <w:tab w:pos="3254" w:val="left" w:leader="none"/>
          <w:tab w:pos="3255" w:val="left" w:leader="none"/>
        </w:tabs>
        <w:spacing w:line="240" w:lineRule="auto" w:before="156" w:after="0"/>
        <w:ind w:left="3254" w:right="0" w:hanging="722"/>
        <w:jc w:val="left"/>
        <w:rPr>
          <w:sz w:val="21"/>
        </w:rPr>
      </w:pPr>
      <w:r>
        <w:rPr>
          <w:spacing w:val="-4"/>
          <w:sz w:val="21"/>
        </w:rPr>
        <w:t>持续性黄疸病史；</w:t>
      </w:r>
    </w:p>
    <w:p>
      <w:pPr>
        <w:pStyle w:val="BodyText"/>
        <w:spacing w:before="7"/>
        <w:rPr>
          <w:sz w:val="15"/>
        </w:rPr>
      </w:pPr>
    </w:p>
    <w:p>
      <w:pPr>
        <w:pStyle w:val="ListParagraph"/>
        <w:numPr>
          <w:ilvl w:val="0"/>
          <w:numId w:val="30"/>
        </w:numPr>
        <w:tabs>
          <w:tab w:pos="3254" w:val="left" w:leader="none"/>
          <w:tab w:pos="3255" w:val="left" w:leader="none"/>
        </w:tabs>
        <w:spacing w:line="240" w:lineRule="auto" w:before="0" w:after="0"/>
        <w:ind w:left="3254" w:right="0" w:hanging="722"/>
        <w:jc w:val="left"/>
        <w:rPr>
          <w:sz w:val="21"/>
        </w:rPr>
      </w:pPr>
      <w:r>
        <w:rPr>
          <w:spacing w:val="-5"/>
          <w:sz w:val="21"/>
        </w:rPr>
        <w:t>总胆红素和直接胆红素同时升高，血清 </w:t>
      </w:r>
      <w:r>
        <w:rPr>
          <w:spacing w:val="-2"/>
          <w:sz w:val="21"/>
        </w:rPr>
        <w:t>ALP＞200U/L；</w:t>
      </w:r>
    </w:p>
    <w:p>
      <w:pPr>
        <w:spacing w:after="0" w:line="240" w:lineRule="auto"/>
        <w:jc w:val="left"/>
        <w:rPr>
          <w:sz w:val="21"/>
        </w:rPr>
        <w:sectPr>
          <w:footerReference w:type="default" r:id="rId23"/>
          <w:pgSz w:w="11910" w:h="16840"/>
          <w:pgMar w:footer="659" w:header="0" w:top="1400" w:bottom="840" w:left="920" w:right="540"/>
        </w:sectPr>
      </w:pPr>
    </w:p>
    <w:p>
      <w:pPr>
        <w:pStyle w:val="ListParagraph"/>
        <w:numPr>
          <w:ilvl w:val="0"/>
          <w:numId w:val="30"/>
        </w:numPr>
        <w:tabs>
          <w:tab w:pos="3254" w:val="left" w:leader="none"/>
          <w:tab w:pos="3255" w:val="left" w:leader="none"/>
        </w:tabs>
        <w:spacing w:line="240" w:lineRule="auto" w:before="44" w:after="0"/>
        <w:ind w:left="3254" w:right="0" w:hanging="722"/>
        <w:jc w:val="left"/>
        <w:rPr>
          <w:sz w:val="21"/>
        </w:rPr>
      </w:pPr>
      <w:r>
        <w:rPr>
          <w:spacing w:val="-2"/>
          <w:sz w:val="21"/>
        </w:rPr>
        <w:t>经内镜逆行胰胆管造影（ERCP）</w:t>
      </w:r>
      <w:r>
        <w:rPr>
          <w:spacing w:val="-4"/>
          <w:sz w:val="21"/>
        </w:rPr>
        <w:t>影像学检查确诊；</w:t>
      </w:r>
    </w:p>
    <w:p>
      <w:pPr>
        <w:pStyle w:val="BodyText"/>
        <w:spacing w:before="7"/>
        <w:rPr>
          <w:sz w:val="15"/>
        </w:rPr>
      </w:pPr>
    </w:p>
    <w:p>
      <w:pPr>
        <w:pStyle w:val="ListParagraph"/>
        <w:numPr>
          <w:ilvl w:val="0"/>
          <w:numId w:val="30"/>
        </w:numPr>
        <w:tabs>
          <w:tab w:pos="3254" w:val="left" w:leader="none"/>
          <w:tab w:pos="3255" w:val="left" w:leader="none"/>
        </w:tabs>
        <w:spacing w:line="240" w:lineRule="auto" w:before="0" w:after="0"/>
        <w:ind w:left="3254" w:right="0" w:hanging="722"/>
        <w:jc w:val="left"/>
        <w:rPr>
          <w:sz w:val="21"/>
        </w:rPr>
      </w:pPr>
      <w:r>
        <w:rPr>
          <w:spacing w:val="-3"/>
          <w:sz w:val="21"/>
        </w:rPr>
        <w:t>出现胆汁淤积性肝硬化或门脉高压。</w:t>
      </w:r>
    </w:p>
    <w:p>
      <w:pPr>
        <w:pStyle w:val="BodyText"/>
        <w:spacing w:before="12"/>
        <w:rPr>
          <w:sz w:val="9"/>
        </w:rPr>
      </w:pPr>
    </w:p>
    <w:p>
      <w:pPr>
        <w:pStyle w:val="BodyText"/>
        <w:spacing w:before="72"/>
        <w:ind w:left="2533"/>
      </w:pPr>
      <w:r>
        <w:rPr>
          <w:color w:val="000000"/>
          <w:spacing w:val="-3"/>
          <w:shd w:fill="E4E4E4" w:color="auto" w:val="clear"/>
        </w:rPr>
        <w:t>因肿瘤或胆管损伤等继发性的硬化性胆管炎不在保障范围内。</w:t>
      </w:r>
    </w:p>
    <w:p>
      <w:pPr>
        <w:pStyle w:val="BodyText"/>
        <w:spacing w:before="6"/>
        <w:rPr>
          <w:sz w:val="15"/>
        </w:rPr>
      </w:pPr>
    </w:p>
    <w:p>
      <w:pPr>
        <w:pStyle w:val="Heading2"/>
        <w:numPr>
          <w:ilvl w:val="0"/>
          <w:numId w:val="11"/>
        </w:numPr>
        <w:tabs>
          <w:tab w:pos="3169" w:val="left" w:leader="none"/>
        </w:tabs>
        <w:spacing w:line="240" w:lineRule="auto" w:before="1" w:after="0"/>
        <w:ind w:left="3168" w:right="0" w:hanging="636"/>
        <w:jc w:val="left"/>
      </w:pPr>
      <w:r>
        <w:rPr>
          <w:w w:val="95"/>
        </w:rPr>
        <w:t>特</w:t>
      </w:r>
      <w:r>
        <w:rPr>
          <w:w w:val="95"/>
        </w:rPr>
        <w:t>定</w:t>
      </w:r>
      <w:r>
        <w:rPr>
          <w:w w:val="95"/>
        </w:rPr>
        <w:t>职</w:t>
      </w:r>
      <w:r>
        <w:rPr>
          <w:w w:val="95"/>
        </w:rPr>
        <w:t>业</w:t>
      </w:r>
      <w:r>
        <w:rPr>
          <w:w w:val="95"/>
        </w:rPr>
        <w:t>导</w:t>
      </w:r>
      <w:r>
        <w:rPr>
          <w:w w:val="95"/>
        </w:rPr>
        <w:t>致</w:t>
      </w:r>
      <w:r>
        <w:rPr>
          <w:w w:val="95"/>
        </w:rPr>
        <w:t>的</w:t>
      </w:r>
      <w:r>
        <w:rPr>
          <w:w w:val="95"/>
        </w:rPr>
        <w:t>人</w:t>
      </w:r>
      <w:r>
        <w:rPr>
          <w:w w:val="95"/>
        </w:rPr>
        <w:t>类</w:t>
      </w:r>
      <w:r>
        <w:rPr>
          <w:w w:val="95"/>
        </w:rPr>
        <w:t>免</w:t>
      </w:r>
      <w:r>
        <w:rPr>
          <w:w w:val="95"/>
        </w:rPr>
        <w:t>疫</w:t>
      </w:r>
      <w:r>
        <w:rPr>
          <w:w w:val="95"/>
        </w:rPr>
        <w:t>缺</w:t>
      </w:r>
      <w:r>
        <w:rPr>
          <w:w w:val="95"/>
        </w:rPr>
        <w:t>陷</w:t>
      </w:r>
      <w:r>
        <w:rPr>
          <w:w w:val="95"/>
        </w:rPr>
        <w:t>病</w:t>
      </w:r>
      <w:r>
        <w:rPr>
          <w:w w:val="95"/>
        </w:rPr>
        <w:t>毒</w:t>
      </w:r>
      <w:r>
        <w:rPr>
          <w:w w:val="95"/>
        </w:rPr>
        <w:t>（HIV）</w:t>
      </w:r>
      <w:r>
        <w:rPr>
          <w:spacing w:val="-4"/>
          <w:w w:val="95"/>
        </w:rPr>
        <w:t>感染:</w:t>
      </w:r>
    </w:p>
    <w:p>
      <w:pPr>
        <w:pStyle w:val="BodyText"/>
        <w:spacing w:before="6"/>
        <w:rPr>
          <w:b/>
          <w:sz w:val="15"/>
        </w:rPr>
      </w:pPr>
    </w:p>
    <w:p>
      <w:pPr>
        <w:pStyle w:val="BodyText"/>
        <w:spacing w:line="278" w:lineRule="auto"/>
        <w:ind w:left="2533" w:right="356"/>
      </w:pPr>
      <w:r>
        <w:rPr>
          <w:spacing w:val="-2"/>
        </w:rPr>
        <w:t>被保险人在其常规职业工作过程中遭遇外伤，或者职业需要处理血液或者其他体液</w:t>
      </w:r>
      <w:r>
        <w:rPr>
          <w:spacing w:val="-2"/>
        </w:rPr>
        <w:t>时感染上人类免疫缺陷病毒</w:t>
      </w:r>
      <w:r>
        <w:rPr>
          <w:spacing w:val="16"/>
        </w:rPr>
        <w:t>（H</w:t>
      </w:r>
      <w:r>
        <w:rPr>
          <w:spacing w:val="13"/>
        </w:rPr>
        <w:t>I</w:t>
      </w:r>
      <w:r>
        <w:rPr>
          <w:spacing w:val="15"/>
        </w:rPr>
        <w:t>V</w:t>
      </w:r>
      <w:r>
        <w:rPr>
          <w:spacing w:val="-90"/>
        </w:rPr>
        <w:t>）</w:t>
      </w:r>
      <w:r>
        <w:rPr>
          <w:spacing w:val="-2"/>
        </w:rPr>
        <w:t>，且须满足下列全部条件：</w:t>
      </w:r>
    </w:p>
    <w:p>
      <w:pPr>
        <w:pStyle w:val="ListParagraph"/>
        <w:numPr>
          <w:ilvl w:val="0"/>
          <w:numId w:val="31"/>
        </w:numPr>
        <w:tabs>
          <w:tab w:pos="3254" w:val="left" w:leader="none"/>
          <w:tab w:pos="3255" w:val="left" w:leader="none"/>
        </w:tabs>
        <w:spacing w:line="278" w:lineRule="auto" w:before="156" w:after="0"/>
        <w:ind w:left="3254" w:right="356" w:hanging="721"/>
        <w:jc w:val="left"/>
        <w:rPr>
          <w:sz w:val="21"/>
        </w:rPr>
      </w:pPr>
      <w:r>
        <w:rPr>
          <w:spacing w:val="-7"/>
          <w:sz w:val="21"/>
        </w:rPr>
        <w:t>感染必须是在被保险人正在从事其职业工作中发生，该职业必须属于以下列</w:t>
      </w:r>
      <w:r>
        <w:rPr>
          <w:spacing w:val="-2"/>
          <w:sz w:val="21"/>
        </w:rPr>
        <w:t>表内的职业；</w:t>
      </w:r>
    </w:p>
    <w:p>
      <w:pPr>
        <w:pStyle w:val="ListParagraph"/>
        <w:numPr>
          <w:ilvl w:val="0"/>
          <w:numId w:val="31"/>
        </w:numPr>
        <w:tabs>
          <w:tab w:pos="3254" w:val="left" w:leader="none"/>
          <w:tab w:pos="3255" w:val="left" w:leader="none"/>
        </w:tabs>
        <w:spacing w:line="240" w:lineRule="auto" w:before="156" w:after="0"/>
        <w:ind w:left="3254" w:right="0" w:hanging="722"/>
        <w:jc w:val="left"/>
        <w:rPr>
          <w:sz w:val="21"/>
        </w:rPr>
      </w:pPr>
      <w:r>
        <w:rPr>
          <w:spacing w:val="-3"/>
          <w:sz w:val="21"/>
        </w:rPr>
        <w:t>血清转化必须出现在事故发生后的六个月以内；</w:t>
      </w:r>
    </w:p>
    <w:p>
      <w:pPr>
        <w:pStyle w:val="BodyText"/>
        <w:spacing w:before="7"/>
        <w:rPr>
          <w:sz w:val="15"/>
        </w:rPr>
      </w:pPr>
    </w:p>
    <w:p>
      <w:pPr>
        <w:pStyle w:val="ListParagraph"/>
        <w:numPr>
          <w:ilvl w:val="0"/>
          <w:numId w:val="31"/>
        </w:numPr>
        <w:tabs>
          <w:tab w:pos="3254" w:val="left" w:leader="none"/>
          <w:tab w:pos="3255" w:val="left" w:leader="none"/>
        </w:tabs>
        <w:spacing w:line="278" w:lineRule="auto" w:before="0" w:after="0"/>
        <w:ind w:left="3254" w:right="356" w:hanging="721"/>
        <w:jc w:val="left"/>
        <w:rPr>
          <w:sz w:val="21"/>
        </w:rPr>
      </w:pPr>
      <w:r>
        <w:rPr>
          <w:spacing w:val="-1"/>
          <w:sz w:val="21"/>
        </w:rPr>
        <w:t>必须提供被保险人在所报事故发生后的 </w:t>
      </w:r>
      <w:r>
        <w:rPr>
          <w:sz w:val="21"/>
        </w:rPr>
        <w:t>5</w:t>
      </w:r>
      <w:r>
        <w:rPr>
          <w:spacing w:val="-4"/>
          <w:sz w:val="21"/>
        </w:rPr>
        <w:t> 天以内进行的检查报告，该报告</w:t>
      </w:r>
      <w:r>
        <w:rPr>
          <w:spacing w:val="-2"/>
          <w:sz w:val="21"/>
        </w:rPr>
        <w:t>必须显示被保险人血液 </w:t>
      </w:r>
      <w:r>
        <w:rPr>
          <w:sz w:val="21"/>
        </w:rPr>
        <w:t>HIV</w:t>
      </w:r>
      <w:r>
        <w:rPr>
          <w:spacing w:val="-6"/>
          <w:sz w:val="21"/>
        </w:rPr>
        <w:t> 病毒阴性和/或 </w:t>
      </w:r>
      <w:r>
        <w:rPr>
          <w:sz w:val="21"/>
        </w:rPr>
        <w:t>HIV</w:t>
      </w:r>
      <w:r>
        <w:rPr>
          <w:spacing w:val="-4"/>
          <w:sz w:val="21"/>
        </w:rPr>
        <w:t> 抗体阴性；</w:t>
      </w:r>
    </w:p>
    <w:p>
      <w:pPr>
        <w:pStyle w:val="ListParagraph"/>
        <w:numPr>
          <w:ilvl w:val="0"/>
          <w:numId w:val="31"/>
        </w:numPr>
        <w:tabs>
          <w:tab w:pos="3254" w:val="left" w:leader="none"/>
          <w:tab w:pos="3255" w:val="left" w:leader="none"/>
        </w:tabs>
        <w:spacing w:line="240" w:lineRule="auto" w:before="156" w:after="0"/>
        <w:ind w:left="3254" w:right="0" w:hanging="722"/>
        <w:jc w:val="left"/>
        <w:rPr>
          <w:sz w:val="21"/>
        </w:rPr>
      </w:pPr>
      <w:r>
        <w:rPr>
          <w:spacing w:val="-1"/>
          <w:sz w:val="21"/>
        </w:rPr>
        <w:t>必须在事故发生后的十二个月内证实被保险人体内存在 </w:t>
      </w:r>
      <w:r>
        <w:rPr>
          <w:sz w:val="21"/>
        </w:rPr>
        <w:t>HIV</w:t>
      </w:r>
      <w:r>
        <w:rPr>
          <w:spacing w:val="-6"/>
          <w:sz w:val="21"/>
        </w:rPr>
        <w:t> 病毒或者 </w:t>
      </w:r>
      <w:r>
        <w:rPr>
          <w:spacing w:val="-5"/>
          <w:sz w:val="21"/>
        </w:rPr>
        <w:t>HIV</w:t>
      </w:r>
    </w:p>
    <w:p>
      <w:pPr>
        <w:pStyle w:val="BodyText"/>
        <w:spacing w:before="43"/>
        <w:ind w:left="3254"/>
      </w:pPr>
      <w:r>
        <w:rPr>
          <w:spacing w:val="-4"/>
        </w:rPr>
        <w:t>抗体。</w:t>
      </w:r>
    </w:p>
    <w:p>
      <w:pPr>
        <w:pStyle w:val="BodyText"/>
        <w:spacing w:before="7"/>
        <w:rPr>
          <w:sz w:val="15"/>
        </w:rPr>
      </w:pPr>
    </w:p>
    <w:p>
      <w:pPr>
        <w:pStyle w:val="BodyText"/>
        <w:ind w:left="2533"/>
      </w:pPr>
      <w:r>
        <w:rPr>
          <w:spacing w:val="-3"/>
        </w:rPr>
        <w:t>职业限制如下所示：</w:t>
      </w:r>
    </w:p>
    <w:p>
      <w:pPr>
        <w:pStyle w:val="BodyText"/>
        <w:spacing w:before="9"/>
        <w:rPr>
          <w:sz w:val="13"/>
        </w:rPr>
      </w:pPr>
    </w:p>
    <w:tbl>
      <w:tblPr>
        <w:tblW w:w="0" w:type="auto"/>
        <w:jc w:val="left"/>
        <w:tblInd w:w="25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00"/>
        <w:gridCol w:w="1844"/>
      </w:tblGrid>
      <w:tr>
        <w:trPr>
          <w:trHeight w:val="311" w:hRule="atLeast"/>
        </w:trPr>
        <w:tc>
          <w:tcPr>
            <w:tcW w:w="2300" w:type="dxa"/>
          </w:tcPr>
          <w:p>
            <w:pPr>
              <w:pStyle w:val="TableParagraph"/>
              <w:ind w:left="107"/>
              <w:jc w:val="left"/>
              <w:rPr>
                <w:sz w:val="21"/>
              </w:rPr>
            </w:pPr>
            <w:r>
              <w:rPr>
                <w:spacing w:val="-4"/>
                <w:sz w:val="21"/>
              </w:rPr>
              <w:t>医生和牙科医生</w:t>
            </w:r>
          </w:p>
        </w:tc>
        <w:tc>
          <w:tcPr>
            <w:tcW w:w="1844" w:type="dxa"/>
          </w:tcPr>
          <w:p>
            <w:pPr>
              <w:pStyle w:val="TableParagraph"/>
              <w:ind w:left="107"/>
              <w:jc w:val="left"/>
              <w:rPr>
                <w:sz w:val="21"/>
              </w:rPr>
            </w:pPr>
            <w:r>
              <w:rPr>
                <w:spacing w:val="-5"/>
                <w:sz w:val="21"/>
              </w:rPr>
              <w:t>护士</w:t>
            </w:r>
          </w:p>
        </w:tc>
      </w:tr>
      <w:tr>
        <w:trPr>
          <w:trHeight w:val="311" w:hRule="atLeast"/>
        </w:trPr>
        <w:tc>
          <w:tcPr>
            <w:tcW w:w="2300" w:type="dxa"/>
          </w:tcPr>
          <w:p>
            <w:pPr>
              <w:pStyle w:val="TableParagraph"/>
              <w:ind w:left="107"/>
              <w:jc w:val="left"/>
              <w:rPr>
                <w:sz w:val="21"/>
              </w:rPr>
            </w:pPr>
            <w:r>
              <w:rPr>
                <w:spacing w:val="-3"/>
                <w:sz w:val="21"/>
              </w:rPr>
              <w:t>医院化验室工作人员</w:t>
            </w:r>
          </w:p>
        </w:tc>
        <w:tc>
          <w:tcPr>
            <w:tcW w:w="1844" w:type="dxa"/>
          </w:tcPr>
          <w:p>
            <w:pPr>
              <w:pStyle w:val="TableParagraph"/>
              <w:ind w:left="107"/>
              <w:jc w:val="left"/>
              <w:rPr>
                <w:sz w:val="21"/>
              </w:rPr>
            </w:pPr>
            <w:r>
              <w:rPr>
                <w:spacing w:val="-4"/>
                <w:sz w:val="21"/>
              </w:rPr>
              <w:t>医院护士</w:t>
            </w:r>
          </w:p>
        </w:tc>
      </w:tr>
      <w:tr>
        <w:trPr>
          <w:trHeight w:val="311" w:hRule="atLeast"/>
        </w:trPr>
        <w:tc>
          <w:tcPr>
            <w:tcW w:w="2300" w:type="dxa"/>
          </w:tcPr>
          <w:p>
            <w:pPr>
              <w:pStyle w:val="TableParagraph"/>
              <w:ind w:left="107"/>
              <w:jc w:val="left"/>
              <w:rPr>
                <w:sz w:val="21"/>
              </w:rPr>
            </w:pPr>
            <w:r>
              <w:rPr>
                <w:spacing w:val="-3"/>
                <w:sz w:val="21"/>
              </w:rPr>
              <w:t>医生助理和牙医助理</w:t>
            </w:r>
          </w:p>
        </w:tc>
        <w:tc>
          <w:tcPr>
            <w:tcW w:w="1844" w:type="dxa"/>
          </w:tcPr>
          <w:p>
            <w:pPr>
              <w:pStyle w:val="TableParagraph"/>
              <w:ind w:left="107"/>
              <w:jc w:val="left"/>
              <w:rPr>
                <w:sz w:val="21"/>
              </w:rPr>
            </w:pPr>
            <w:r>
              <w:rPr>
                <w:spacing w:val="-4"/>
                <w:sz w:val="21"/>
              </w:rPr>
              <w:t>救护车工作人员</w:t>
            </w:r>
          </w:p>
        </w:tc>
      </w:tr>
      <w:tr>
        <w:trPr>
          <w:trHeight w:val="313" w:hRule="atLeast"/>
        </w:trPr>
        <w:tc>
          <w:tcPr>
            <w:tcW w:w="2300" w:type="dxa"/>
          </w:tcPr>
          <w:p>
            <w:pPr>
              <w:pStyle w:val="TableParagraph"/>
              <w:spacing w:before="25"/>
              <w:ind w:left="107"/>
              <w:jc w:val="left"/>
              <w:rPr>
                <w:sz w:val="21"/>
              </w:rPr>
            </w:pPr>
            <w:r>
              <w:rPr>
                <w:spacing w:val="-4"/>
                <w:sz w:val="21"/>
              </w:rPr>
              <w:t>助产士</w:t>
            </w:r>
          </w:p>
        </w:tc>
        <w:tc>
          <w:tcPr>
            <w:tcW w:w="1844" w:type="dxa"/>
          </w:tcPr>
          <w:p>
            <w:pPr>
              <w:pStyle w:val="TableParagraph"/>
              <w:spacing w:before="25"/>
              <w:ind w:left="107"/>
              <w:jc w:val="left"/>
              <w:rPr>
                <w:sz w:val="21"/>
              </w:rPr>
            </w:pPr>
            <w:r>
              <w:rPr>
                <w:spacing w:val="-4"/>
                <w:sz w:val="21"/>
              </w:rPr>
              <w:t>消防队员</w:t>
            </w:r>
          </w:p>
        </w:tc>
      </w:tr>
      <w:tr>
        <w:trPr>
          <w:trHeight w:val="311" w:hRule="atLeast"/>
        </w:trPr>
        <w:tc>
          <w:tcPr>
            <w:tcW w:w="2300" w:type="dxa"/>
          </w:tcPr>
          <w:p>
            <w:pPr>
              <w:pStyle w:val="TableParagraph"/>
              <w:ind w:left="107"/>
              <w:jc w:val="left"/>
              <w:rPr>
                <w:sz w:val="21"/>
              </w:rPr>
            </w:pPr>
            <w:r>
              <w:rPr>
                <w:spacing w:val="-5"/>
                <w:sz w:val="21"/>
              </w:rPr>
              <w:t>警察</w:t>
            </w:r>
          </w:p>
        </w:tc>
        <w:tc>
          <w:tcPr>
            <w:tcW w:w="1844" w:type="dxa"/>
          </w:tcPr>
          <w:p>
            <w:pPr>
              <w:pStyle w:val="TableParagraph"/>
              <w:ind w:left="107"/>
              <w:jc w:val="left"/>
              <w:rPr>
                <w:sz w:val="21"/>
              </w:rPr>
            </w:pPr>
            <w:r>
              <w:rPr>
                <w:spacing w:val="-5"/>
                <w:sz w:val="21"/>
              </w:rPr>
              <w:t>狱警</w:t>
            </w:r>
          </w:p>
        </w:tc>
      </w:tr>
    </w:tbl>
    <w:p>
      <w:pPr>
        <w:pStyle w:val="BodyText"/>
        <w:spacing w:before="2"/>
        <w:rPr>
          <w:sz w:val="14"/>
        </w:rPr>
      </w:pPr>
    </w:p>
    <w:p>
      <w:pPr>
        <w:pStyle w:val="Heading2"/>
        <w:numPr>
          <w:ilvl w:val="0"/>
          <w:numId w:val="11"/>
        </w:numPr>
        <w:tabs>
          <w:tab w:pos="3169" w:val="left" w:leader="none"/>
        </w:tabs>
        <w:spacing w:line="240" w:lineRule="auto" w:before="1" w:after="0"/>
        <w:ind w:left="3168" w:right="0" w:hanging="636"/>
        <w:jc w:val="left"/>
      </w:pPr>
      <w:r>
        <w:rPr>
          <w:w w:val="95"/>
        </w:rPr>
        <w:t>严</w:t>
      </w:r>
      <w:r>
        <w:rPr>
          <w:w w:val="95"/>
        </w:rPr>
        <w:t>重</w:t>
      </w:r>
      <w:r>
        <w:rPr>
          <w:spacing w:val="-14"/>
          <w:w w:val="95"/>
        </w:rPr>
        <w:t> </w:t>
      </w:r>
      <w:r>
        <w:rPr>
          <w:w w:val="95"/>
        </w:rPr>
        <w:t>I</w:t>
      </w:r>
      <w:r>
        <w:rPr>
          <w:spacing w:val="-15"/>
          <w:w w:val="95"/>
        </w:rPr>
        <w:t> </w:t>
      </w:r>
      <w:r>
        <w:rPr>
          <w:w w:val="95"/>
        </w:rPr>
        <w:t>型</w:t>
      </w:r>
      <w:r>
        <w:rPr>
          <w:w w:val="95"/>
        </w:rPr>
        <w:t>糖</w:t>
      </w:r>
      <w:r>
        <w:rPr>
          <w:w w:val="95"/>
        </w:rPr>
        <w:t>尿</w:t>
      </w:r>
      <w:r>
        <w:rPr>
          <w:w w:val="95"/>
        </w:rPr>
        <w:t>病</w:t>
      </w:r>
      <w:r>
        <w:rPr>
          <w:spacing w:val="-10"/>
          <w:w w:val="95"/>
        </w:rPr>
        <w:t>:</w:t>
      </w:r>
    </w:p>
    <w:p>
      <w:pPr>
        <w:pStyle w:val="BodyText"/>
        <w:spacing w:before="6"/>
        <w:rPr>
          <w:b/>
          <w:sz w:val="15"/>
        </w:rPr>
      </w:pPr>
    </w:p>
    <w:p>
      <w:pPr>
        <w:pStyle w:val="BodyText"/>
        <w:spacing w:line="278" w:lineRule="auto"/>
        <w:ind w:left="2533" w:right="252"/>
      </w:pPr>
      <w:r>
        <w:rPr>
          <w:spacing w:val="-7"/>
        </w:rPr>
        <w:t>严重 </w:t>
      </w:r>
      <w:r>
        <w:rPr/>
        <w:t>I</w:t>
      </w:r>
      <w:r>
        <w:rPr>
          <w:spacing w:val="-5"/>
        </w:rPr>
        <w:t> 型糖尿病为由于胰岛素分泌绝对不足引起的慢性血糖升高，且已经持续性地</w:t>
      </w:r>
      <w:r>
        <w:rPr>
          <w:spacing w:val="-5"/>
        </w:rPr>
        <w:t>依赖外源性胰岛素维持 </w:t>
      </w:r>
      <w:r>
        <w:rPr/>
        <w:t>180</w:t>
      </w:r>
      <w:r>
        <w:rPr>
          <w:spacing w:val="-18"/>
        </w:rPr>
        <w:t> 日以上。须经血胰岛素测定、血 </w:t>
      </w:r>
      <w:r>
        <w:rPr/>
        <w:t>C</w:t>
      </w:r>
      <w:r>
        <w:rPr>
          <w:spacing w:val="-16"/>
        </w:rPr>
        <w:t> 肽测定或尿 </w:t>
      </w:r>
      <w:r>
        <w:rPr/>
        <w:t>C</w:t>
      </w:r>
      <w:r>
        <w:rPr>
          <w:spacing w:val="-12"/>
        </w:rPr>
        <w:t> 肽测定，</w:t>
      </w:r>
      <w:r>
        <w:rPr>
          <w:spacing w:val="-2"/>
        </w:rPr>
        <w:t>结果异常，并由内分泌科专科医生明确诊断。并须在本合同有效期内，满足下述二</w:t>
      </w:r>
      <w:r>
        <w:rPr>
          <w:spacing w:val="-2"/>
        </w:rPr>
        <w:t>个及以上条件：</w:t>
      </w:r>
    </w:p>
    <w:p>
      <w:pPr>
        <w:pStyle w:val="ListParagraph"/>
        <w:numPr>
          <w:ilvl w:val="0"/>
          <w:numId w:val="32"/>
        </w:numPr>
        <w:tabs>
          <w:tab w:pos="3254" w:val="left" w:leader="none"/>
          <w:tab w:pos="3255" w:val="left" w:leader="none"/>
        </w:tabs>
        <w:spacing w:line="240" w:lineRule="auto" w:before="156" w:after="0"/>
        <w:ind w:left="3254" w:right="0" w:hanging="722"/>
        <w:jc w:val="left"/>
        <w:rPr>
          <w:sz w:val="21"/>
        </w:rPr>
      </w:pPr>
      <w:r>
        <w:rPr>
          <w:spacing w:val="-3"/>
          <w:sz w:val="21"/>
        </w:rPr>
        <w:t>已出现增生性视网膜病变；</w:t>
      </w:r>
    </w:p>
    <w:p>
      <w:pPr>
        <w:pStyle w:val="BodyText"/>
        <w:spacing w:before="6"/>
        <w:rPr>
          <w:sz w:val="15"/>
        </w:rPr>
      </w:pPr>
    </w:p>
    <w:p>
      <w:pPr>
        <w:pStyle w:val="ListParagraph"/>
        <w:numPr>
          <w:ilvl w:val="0"/>
          <w:numId w:val="32"/>
        </w:numPr>
        <w:tabs>
          <w:tab w:pos="3254" w:val="left" w:leader="none"/>
          <w:tab w:pos="3255" w:val="left" w:leader="none"/>
        </w:tabs>
        <w:spacing w:line="240" w:lineRule="auto" w:before="1" w:after="0"/>
        <w:ind w:left="3254" w:right="0" w:hanging="722"/>
        <w:jc w:val="left"/>
        <w:rPr>
          <w:sz w:val="21"/>
        </w:rPr>
      </w:pPr>
      <w:r>
        <w:rPr>
          <w:spacing w:val="-3"/>
          <w:sz w:val="21"/>
        </w:rPr>
        <w:t>须植入心脏起搏器治疗心脏病；</w:t>
      </w:r>
    </w:p>
    <w:p>
      <w:pPr>
        <w:pStyle w:val="BodyText"/>
        <w:spacing w:before="6"/>
        <w:rPr>
          <w:sz w:val="15"/>
        </w:rPr>
      </w:pPr>
    </w:p>
    <w:p>
      <w:pPr>
        <w:pStyle w:val="ListParagraph"/>
        <w:numPr>
          <w:ilvl w:val="0"/>
          <w:numId w:val="32"/>
        </w:numPr>
        <w:tabs>
          <w:tab w:pos="3254" w:val="left" w:leader="none"/>
          <w:tab w:pos="3255" w:val="left" w:leader="none"/>
        </w:tabs>
        <w:spacing w:line="278" w:lineRule="auto" w:before="0" w:after="0"/>
        <w:ind w:left="3254" w:right="354" w:hanging="721"/>
        <w:jc w:val="left"/>
        <w:rPr>
          <w:sz w:val="21"/>
        </w:rPr>
      </w:pPr>
      <w:r>
        <w:rPr>
          <w:spacing w:val="-2"/>
          <w:sz w:val="21"/>
        </w:rPr>
        <w:t>在本公司认可医院内已经进行了医疗必需的由足踝或以上位置的单足截除</w:t>
      </w:r>
      <w:r>
        <w:rPr>
          <w:spacing w:val="-4"/>
          <w:sz w:val="21"/>
        </w:rPr>
        <w:t>手术。</w:t>
      </w:r>
    </w:p>
    <w:p>
      <w:pPr>
        <w:pStyle w:val="Heading2"/>
        <w:numPr>
          <w:ilvl w:val="0"/>
          <w:numId w:val="11"/>
        </w:numPr>
        <w:tabs>
          <w:tab w:pos="3169" w:val="left" w:leader="none"/>
        </w:tabs>
        <w:spacing w:line="240" w:lineRule="auto" w:before="156" w:after="0"/>
        <w:ind w:left="3168" w:right="0" w:hanging="636"/>
        <w:jc w:val="left"/>
      </w:pPr>
      <w:r>
        <w:rPr>
          <w:spacing w:val="-3"/>
        </w:rPr>
        <w:t>急性坏死性胰腺炎开腹手术:</w:t>
      </w:r>
    </w:p>
    <w:p>
      <w:pPr>
        <w:pStyle w:val="BodyText"/>
        <w:spacing w:before="7"/>
        <w:rPr>
          <w:b/>
          <w:sz w:val="15"/>
        </w:rPr>
      </w:pPr>
    </w:p>
    <w:p>
      <w:pPr>
        <w:pStyle w:val="BodyText"/>
        <w:spacing w:line="278" w:lineRule="auto"/>
        <w:ind w:left="2533" w:right="357"/>
      </w:pPr>
      <w:r>
        <w:rPr>
          <w:spacing w:val="2"/>
          <w:w w:val="100"/>
        </w:rPr>
        <w:t>指由专科医生确诊为急性坏死性胰腺炎，并已经接受了开腹手术进行坏死组织清</w:t>
      </w:r>
      <w:r>
        <w:rPr>
          <w:spacing w:val="-3"/>
          <w:w w:val="100"/>
        </w:rPr>
        <w:t>除、病灶切除或胰腺部分切除的治疗。</w:t>
      </w:r>
    </w:p>
    <w:p>
      <w:pPr>
        <w:pStyle w:val="BodyText"/>
        <w:spacing w:line="269" w:lineRule="exact"/>
        <w:ind w:left="2533"/>
      </w:pPr>
      <w:r>
        <w:rPr>
          <w:color w:val="000000"/>
          <w:spacing w:val="-3"/>
          <w:shd w:fill="E4E4E4" w:color="auto" w:val="clear"/>
        </w:rPr>
        <w:t>因酗酒或饮酒过量所致的急性坏死性胰腺炎以及腹腔镜手术不在保障范围内。</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失去一肢及一眼:</w:t>
      </w:r>
    </w:p>
    <w:p>
      <w:pPr>
        <w:pStyle w:val="BodyText"/>
        <w:spacing w:before="7"/>
        <w:rPr>
          <w:b/>
          <w:sz w:val="15"/>
        </w:rPr>
      </w:pPr>
    </w:p>
    <w:p>
      <w:pPr>
        <w:pStyle w:val="BodyText"/>
        <w:ind w:left="2533"/>
      </w:pPr>
      <w:r>
        <w:rPr>
          <w:spacing w:val="-3"/>
        </w:rPr>
        <w:t>因疾病或意外导致不可复原及永久性完全丧失：</w:t>
      </w:r>
    </w:p>
    <w:p>
      <w:pPr>
        <w:spacing w:after="0"/>
        <w:sectPr>
          <w:footerReference w:type="default" r:id="rId24"/>
          <w:pgSz w:w="11910" w:h="16840"/>
          <w:pgMar w:footer="659" w:header="0" w:top="1400" w:bottom="840" w:left="920" w:right="540"/>
          <w:pgNumType w:start="1"/>
        </w:sectPr>
      </w:pPr>
    </w:p>
    <w:p>
      <w:pPr>
        <w:pStyle w:val="ListParagraph"/>
        <w:numPr>
          <w:ilvl w:val="0"/>
          <w:numId w:val="33"/>
        </w:numPr>
        <w:tabs>
          <w:tab w:pos="3254" w:val="left" w:leader="none"/>
          <w:tab w:pos="3255" w:val="left" w:leader="none"/>
        </w:tabs>
        <w:spacing w:line="240" w:lineRule="auto" w:before="44" w:after="0"/>
        <w:ind w:left="3254" w:right="0" w:hanging="722"/>
        <w:jc w:val="left"/>
        <w:rPr>
          <w:sz w:val="21"/>
        </w:rPr>
      </w:pPr>
      <w:r>
        <w:rPr>
          <w:spacing w:val="-3"/>
          <w:sz w:val="21"/>
        </w:rPr>
        <w:t>任何一肢于腕骨或踝骨部位或以上切断；及</w:t>
      </w:r>
    </w:p>
    <w:p>
      <w:pPr>
        <w:pStyle w:val="BodyText"/>
        <w:spacing w:before="7"/>
        <w:rPr>
          <w:sz w:val="15"/>
        </w:rPr>
      </w:pPr>
    </w:p>
    <w:p>
      <w:pPr>
        <w:pStyle w:val="ListParagraph"/>
        <w:numPr>
          <w:ilvl w:val="0"/>
          <w:numId w:val="33"/>
        </w:numPr>
        <w:tabs>
          <w:tab w:pos="3254" w:val="left" w:leader="none"/>
          <w:tab w:pos="3255" w:val="left" w:leader="none"/>
        </w:tabs>
        <w:spacing w:line="240" w:lineRule="auto" w:before="0" w:after="0"/>
        <w:ind w:left="3254" w:right="0" w:hanging="722"/>
        <w:jc w:val="left"/>
        <w:rPr>
          <w:sz w:val="21"/>
        </w:rPr>
      </w:pPr>
      <w:r>
        <w:rPr>
          <w:spacing w:val="-4"/>
          <w:sz w:val="21"/>
        </w:rPr>
        <w:t>一眼视力。</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系统性硬皮病:</w:t>
      </w:r>
    </w:p>
    <w:p>
      <w:pPr>
        <w:pStyle w:val="BodyText"/>
        <w:spacing w:before="7"/>
        <w:rPr>
          <w:b/>
          <w:sz w:val="15"/>
        </w:rPr>
      </w:pPr>
    </w:p>
    <w:p>
      <w:pPr>
        <w:pStyle w:val="BodyText"/>
        <w:spacing w:line="278" w:lineRule="auto"/>
        <w:ind w:left="2533" w:right="356"/>
        <w:jc w:val="both"/>
      </w:pPr>
      <w:r>
        <w:rPr>
          <w:spacing w:val="-2"/>
        </w:rPr>
        <w:t>指一种全身性的胶原血管性疾病，可以导致皮肤、血管及内脏器官进行性弥漫性纤</w:t>
      </w:r>
      <w:r>
        <w:rPr>
          <w:spacing w:val="-2"/>
        </w:rPr>
        <w:t>维化。诊断必须经活检及血清学检查证实，疾病必须是全身性，且须满足下列至少</w:t>
      </w:r>
      <w:r>
        <w:rPr>
          <w:spacing w:val="-2"/>
        </w:rPr>
        <w:t>一项条件：</w:t>
      </w:r>
    </w:p>
    <w:p>
      <w:pPr>
        <w:pStyle w:val="ListParagraph"/>
        <w:numPr>
          <w:ilvl w:val="0"/>
          <w:numId w:val="34"/>
        </w:numPr>
        <w:tabs>
          <w:tab w:pos="3255" w:val="left" w:leader="none"/>
        </w:tabs>
        <w:spacing w:line="240" w:lineRule="auto" w:before="155" w:after="0"/>
        <w:ind w:left="3254" w:right="0" w:hanging="722"/>
        <w:jc w:val="both"/>
        <w:rPr>
          <w:sz w:val="21"/>
        </w:rPr>
      </w:pPr>
      <w:r>
        <w:rPr>
          <w:spacing w:val="-3"/>
          <w:sz w:val="21"/>
        </w:rPr>
        <w:t>肺脏：肺部病变进而发展为肺间质纤维化和肺动脉高压；</w:t>
      </w:r>
    </w:p>
    <w:p>
      <w:pPr>
        <w:pStyle w:val="BodyText"/>
        <w:spacing w:before="7"/>
        <w:rPr>
          <w:sz w:val="15"/>
        </w:rPr>
      </w:pPr>
    </w:p>
    <w:p>
      <w:pPr>
        <w:pStyle w:val="ListParagraph"/>
        <w:numPr>
          <w:ilvl w:val="0"/>
          <w:numId w:val="34"/>
        </w:numPr>
        <w:tabs>
          <w:tab w:pos="3255" w:val="left" w:leader="none"/>
        </w:tabs>
        <w:spacing w:line="240" w:lineRule="auto" w:before="0" w:after="0"/>
        <w:ind w:left="3254" w:right="0" w:hanging="722"/>
        <w:jc w:val="both"/>
        <w:rPr>
          <w:sz w:val="21"/>
        </w:rPr>
      </w:pPr>
      <w:r>
        <w:rPr>
          <w:spacing w:val="-3"/>
          <w:sz w:val="21"/>
        </w:rPr>
        <w:t>心脏：心功能受损达到美国纽约心脏病学会心功能状态分级Ⅳ级；</w:t>
      </w:r>
    </w:p>
    <w:p>
      <w:pPr>
        <w:pStyle w:val="BodyText"/>
        <w:spacing w:before="7"/>
        <w:rPr>
          <w:sz w:val="15"/>
        </w:rPr>
      </w:pPr>
    </w:p>
    <w:p>
      <w:pPr>
        <w:pStyle w:val="ListParagraph"/>
        <w:numPr>
          <w:ilvl w:val="0"/>
          <w:numId w:val="34"/>
        </w:numPr>
        <w:tabs>
          <w:tab w:pos="3255" w:val="left" w:leader="none"/>
        </w:tabs>
        <w:spacing w:line="240" w:lineRule="auto" w:before="0" w:after="0"/>
        <w:ind w:left="3254" w:right="0" w:hanging="722"/>
        <w:jc w:val="both"/>
        <w:rPr>
          <w:sz w:val="21"/>
        </w:rPr>
      </w:pPr>
      <w:r>
        <w:rPr>
          <w:spacing w:val="-3"/>
          <w:sz w:val="21"/>
        </w:rPr>
        <w:t>肾脏：肾脏受损导致双肾功能慢性不可逆衰竭，达到尿毒症期。</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肺泡蛋白质沉积症:</w:t>
      </w:r>
    </w:p>
    <w:p>
      <w:pPr>
        <w:pStyle w:val="BodyText"/>
        <w:spacing w:before="7"/>
        <w:rPr>
          <w:b/>
          <w:sz w:val="15"/>
        </w:rPr>
      </w:pPr>
    </w:p>
    <w:p>
      <w:pPr>
        <w:pStyle w:val="BodyText"/>
        <w:spacing w:line="278" w:lineRule="auto"/>
        <w:ind w:left="2533" w:right="250"/>
      </w:pPr>
      <w:r>
        <w:rPr>
          <w:spacing w:val="1"/>
        </w:rPr>
        <w:t>指肺泡和细支气管腔内充满不可溶性富磷脂蛋白的疾病，胸部</w:t>
      </w:r>
      <w:r>
        <w:rPr/>
        <w:t>X</w:t>
      </w:r>
      <w:r>
        <w:rPr>
          <w:spacing w:val="-7"/>
        </w:rPr>
        <w:t> 线呈双肺弥漫性肺</w:t>
      </w:r>
      <w:r>
        <w:rPr>
          <w:spacing w:val="-2"/>
        </w:rPr>
        <w:t>部磨玻璃影，病理学检查肺泡内充满有过碘酸雪夫（PAS）染色阳性的蛋白样物质，</w:t>
      </w:r>
      <w:r>
        <w:rPr>
          <w:spacing w:val="-2"/>
        </w:rPr>
        <w:t>并且接受了肺灌洗治疗。</w:t>
      </w:r>
    </w:p>
    <w:p>
      <w:pPr>
        <w:pStyle w:val="Heading2"/>
        <w:numPr>
          <w:ilvl w:val="0"/>
          <w:numId w:val="11"/>
        </w:numPr>
        <w:tabs>
          <w:tab w:pos="3169" w:val="left" w:leader="none"/>
        </w:tabs>
        <w:spacing w:line="240" w:lineRule="auto" w:before="156" w:after="0"/>
        <w:ind w:left="3168" w:right="0" w:hanging="636"/>
        <w:jc w:val="left"/>
      </w:pPr>
      <w:r>
        <w:rPr>
          <w:spacing w:val="-2"/>
        </w:rPr>
        <w:t>严重哮喘:</w:t>
      </w:r>
    </w:p>
    <w:p>
      <w:pPr>
        <w:pStyle w:val="BodyText"/>
        <w:spacing w:before="6"/>
        <w:rPr>
          <w:b/>
          <w:sz w:val="15"/>
        </w:rPr>
      </w:pPr>
    </w:p>
    <w:p>
      <w:pPr>
        <w:pStyle w:val="BodyText"/>
        <w:spacing w:line="278" w:lineRule="auto"/>
        <w:ind w:left="2533" w:right="356"/>
      </w:pPr>
      <w:r>
        <w:rPr>
          <w:spacing w:val="-2"/>
        </w:rPr>
        <w:t>指一种反复发作的严重支气管阻塞性疾病，经本公司认可的专科医生确诊，且必须</w:t>
      </w:r>
      <w:r>
        <w:rPr>
          <w:spacing w:val="-2"/>
        </w:rPr>
        <w:t>同时符合下列标准：</w:t>
      </w:r>
    </w:p>
    <w:p>
      <w:pPr>
        <w:pStyle w:val="ListParagraph"/>
        <w:numPr>
          <w:ilvl w:val="0"/>
          <w:numId w:val="35"/>
        </w:numPr>
        <w:tabs>
          <w:tab w:pos="3254" w:val="left" w:leader="none"/>
          <w:tab w:pos="3255" w:val="left" w:leader="none"/>
        </w:tabs>
        <w:spacing w:line="240" w:lineRule="auto" w:before="156" w:after="0"/>
        <w:ind w:left="3254" w:right="0" w:hanging="722"/>
        <w:jc w:val="left"/>
        <w:rPr>
          <w:sz w:val="21"/>
        </w:rPr>
      </w:pPr>
      <w:r>
        <w:rPr>
          <w:spacing w:val="-3"/>
          <w:sz w:val="21"/>
        </w:rPr>
        <w:t>过去两年中曾因哮喘持续状态住院治疗，并提供完整住院记录；</w:t>
      </w:r>
    </w:p>
    <w:p>
      <w:pPr>
        <w:pStyle w:val="BodyText"/>
        <w:spacing w:before="7"/>
        <w:rPr>
          <w:sz w:val="15"/>
        </w:rPr>
      </w:pPr>
    </w:p>
    <w:p>
      <w:pPr>
        <w:pStyle w:val="ListParagraph"/>
        <w:numPr>
          <w:ilvl w:val="0"/>
          <w:numId w:val="35"/>
        </w:numPr>
        <w:tabs>
          <w:tab w:pos="3255" w:val="left" w:leader="none"/>
        </w:tabs>
        <w:spacing w:line="240" w:lineRule="auto" w:before="0" w:after="0"/>
        <w:ind w:left="3254" w:right="0" w:hanging="722"/>
        <w:jc w:val="both"/>
        <w:rPr>
          <w:sz w:val="21"/>
        </w:rPr>
      </w:pPr>
      <w:r>
        <w:rPr>
          <w:spacing w:val="-3"/>
          <w:sz w:val="21"/>
        </w:rPr>
        <w:t>因慢性过度换气导致胸廓畸形；</w:t>
      </w:r>
    </w:p>
    <w:p>
      <w:pPr>
        <w:pStyle w:val="BodyText"/>
        <w:spacing w:before="7"/>
        <w:rPr>
          <w:sz w:val="15"/>
        </w:rPr>
      </w:pPr>
    </w:p>
    <w:p>
      <w:pPr>
        <w:pStyle w:val="ListParagraph"/>
        <w:numPr>
          <w:ilvl w:val="0"/>
          <w:numId w:val="35"/>
        </w:numPr>
        <w:tabs>
          <w:tab w:pos="3255" w:val="left" w:leader="none"/>
        </w:tabs>
        <w:spacing w:line="240" w:lineRule="auto" w:before="0" w:after="0"/>
        <w:ind w:left="3254" w:right="0" w:hanging="722"/>
        <w:jc w:val="both"/>
        <w:rPr>
          <w:sz w:val="21"/>
        </w:rPr>
      </w:pPr>
      <w:r>
        <w:rPr>
          <w:spacing w:val="-3"/>
          <w:sz w:val="21"/>
        </w:rPr>
        <w:t>在家中需要医生处方的氧气治疗法；</w:t>
      </w:r>
    </w:p>
    <w:p>
      <w:pPr>
        <w:pStyle w:val="BodyText"/>
        <w:spacing w:before="7"/>
        <w:rPr>
          <w:sz w:val="15"/>
        </w:rPr>
      </w:pPr>
    </w:p>
    <w:p>
      <w:pPr>
        <w:pStyle w:val="ListParagraph"/>
        <w:numPr>
          <w:ilvl w:val="0"/>
          <w:numId w:val="35"/>
        </w:numPr>
        <w:tabs>
          <w:tab w:pos="3255" w:val="left" w:leader="none"/>
        </w:tabs>
        <w:spacing w:line="240" w:lineRule="auto" w:before="0" w:after="0"/>
        <w:ind w:left="3254" w:right="0" w:hanging="722"/>
        <w:jc w:val="both"/>
        <w:rPr>
          <w:sz w:val="21"/>
        </w:rPr>
      </w:pPr>
      <w:r>
        <w:rPr>
          <w:spacing w:val="-3"/>
          <w:sz w:val="21"/>
        </w:rPr>
        <w:t>持续日常服用口服类固醇激素治疗持续至少六个月。</w:t>
      </w:r>
    </w:p>
    <w:p>
      <w:pPr>
        <w:pStyle w:val="BodyText"/>
        <w:spacing w:before="6"/>
        <w:rPr>
          <w:sz w:val="15"/>
        </w:rPr>
      </w:pPr>
    </w:p>
    <w:p>
      <w:pPr>
        <w:pStyle w:val="Heading2"/>
        <w:numPr>
          <w:ilvl w:val="0"/>
          <w:numId w:val="11"/>
        </w:numPr>
        <w:tabs>
          <w:tab w:pos="3169" w:val="left" w:leader="none"/>
        </w:tabs>
        <w:spacing w:line="240" w:lineRule="auto" w:before="1" w:after="0"/>
        <w:ind w:left="3168" w:right="0" w:hanging="636"/>
        <w:jc w:val="left"/>
      </w:pPr>
      <w:r>
        <w:rPr>
          <w:spacing w:val="-2"/>
        </w:rPr>
        <w:t>胆道重建手术:</w:t>
      </w:r>
    </w:p>
    <w:p>
      <w:pPr>
        <w:pStyle w:val="BodyText"/>
        <w:spacing w:before="6"/>
        <w:rPr>
          <w:b/>
          <w:sz w:val="15"/>
        </w:rPr>
      </w:pPr>
    </w:p>
    <w:p>
      <w:pPr>
        <w:pStyle w:val="BodyText"/>
        <w:spacing w:line="276" w:lineRule="auto"/>
        <w:ind w:left="2533" w:right="356"/>
      </w:pPr>
      <w:r>
        <w:rPr>
          <w:spacing w:val="-2"/>
        </w:rPr>
        <w:t>指因疾病或胆道创伤导致接受涉及胆总管小肠吻合术的胆道重建手术。手术必须在</w:t>
      </w:r>
      <w:r>
        <w:rPr>
          <w:spacing w:val="-2"/>
        </w:rPr>
        <w:t>专科医生认为是医疗所需的情况下进</w:t>
      </w:r>
      <w:r>
        <w:rPr>
          <w:rFonts w:ascii="Arial" w:eastAsia="Arial"/>
          <w:spacing w:val="-2"/>
          <w:w w:val="115"/>
        </w:rPr>
        <w:t>行</w:t>
      </w:r>
      <w:r>
        <w:rPr>
          <w:spacing w:val="-2"/>
        </w:rPr>
        <w:t>。</w:t>
      </w:r>
    </w:p>
    <w:p>
      <w:pPr>
        <w:pStyle w:val="BodyText"/>
        <w:spacing w:before="3"/>
        <w:ind w:left="2533"/>
      </w:pPr>
      <w:r>
        <w:rPr>
          <w:color w:val="000000"/>
          <w:shd w:fill="E4E4E4" w:color="auto" w:val="clear"/>
        </w:rPr>
        <w:t>胆道闭锁并</w:t>
      </w:r>
      <w:r>
        <w:rPr>
          <w:rFonts w:ascii="Arial" w:eastAsia="Arial"/>
          <w:color w:val="000000"/>
          <w:w w:val="115"/>
          <w:shd w:fill="E4E4E4" w:color="auto" w:val="clear"/>
        </w:rPr>
        <w:t>不</w:t>
      </w:r>
      <w:r>
        <w:rPr>
          <w:color w:val="000000"/>
          <w:spacing w:val="-2"/>
          <w:shd w:fill="E4E4E4" w:color="auto" w:val="clear"/>
        </w:rPr>
        <w:t>在保障范围内。</w:t>
      </w:r>
    </w:p>
    <w:p>
      <w:pPr>
        <w:pStyle w:val="BodyText"/>
        <w:spacing w:before="9"/>
        <w:rPr>
          <w:sz w:val="15"/>
        </w:rPr>
      </w:pPr>
    </w:p>
    <w:p>
      <w:pPr>
        <w:pStyle w:val="Heading2"/>
        <w:numPr>
          <w:ilvl w:val="0"/>
          <w:numId w:val="11"/>
        </w:numPr>
        <w:tabs>
          <w:tab w:pos="3169" w:val="left" w:leader="none"/>
        </w:tabs>
        <w:spacing w:line="240" w:lineRule="auto" w:before="0" w:after="0"/>
        <w:ind w:left="3168" w:right="0" w:hanging="636"/>
        <w:jc w:val="left"/>
      </w:pPr>
      <w:r>
        <w:rPr>
          <w:spacing w:val="-2"/>
        </w:rPr>
        <w:t>严重心肌病:</w:t>
      </w:r>
    </w:p>
    <w:p>
      <w:pPr>
        <w:pStyle w:val="BodyText"/>
        <w:spacing w:before="7"/>
        <w:rPr>
          <w:b/>
          <w:sz w:val="15"/>
        </w:rPr>
      </w:pPr>
    </w:p>
    <w:p>
      <w:pPr>
        <w:pStyle w:val="BodyText"/>
        <w:spacing w:line="278" w:lineRule="auto"/>
        <w:ind w:left="2533" w:right="356"/>
        <w:jc w:val="both"/>
      </w:pPr>
      <w:r>
        <w:rPr>
          <w:spacing w:val="-2"/>
        </w:rPr>
        <w:t>指被保险人因心肌病导致慢性心功能损害造成永久不可逆性的心功能衰竭。心功能</w:t>
      </w:r>
      <w:r>
        <w:rPr>
          <w:spacing w:val="-2"/>
        </w:rPr>
        <w:t>衰竭程度达到美国纽约心脏病学会心功能状态分级Ⅳ级。被保险人永久不可逆性的</w:t>
      </w:r>
      <w:r>
        <w:rPr>
          <w:spacing w:val="-2"/>
        </w:rPr>
        <w:t>体力活动能力受限，不能从事任何体力活动。</w:t>
      </w:r>
    </w:p>
    <w:p>
      <w:pPr>
        <w:pStyle w:val="Heading2"/>
        <w:numPr>
          <w:ilvl w:val="0"/>
          <w:numId w:val="11"/>
        </w:numPr>
        <w:tabs>
          <w:tab w:pos="3169" w:val="left" w:leader="none"/>
        </w:tabs>
        <w:spacing w:line="240" w:lineRule="auto" w:before="156" w:after="0"/>
        <w:ind w:left="3168" w:right="0" w:hanging="636"/>
        <w:jc w:val="left"/>
      </w:pPr>
      <w:r>
        <w:rPr>
          <w:spacing w:val="-2"/>
        </w:rPr>
        <w:t>严重心肌炎:</w:t>
      </w:r>
    </w:p>
    <w:p>
      <w:pPr>
        <w:pStyle w:val="BodyText"/>
        <w:spacing w:before="7"/>
        <w:rPr>
          <w:b/>
          <w:sz w:val="15"/>
        </w:rPr>
      </w:pPr>
    </w:p>
    <w:p>
      <w:pPr>
        <w:pStyle w:val="BodyText"/>
        <w:spacing w:line="278" w:lineRule="auto"/>
        <w:ind w:left="2533" w:right="357"/>
      </w:pPr>
      <w:r>
        <w:rPr>
          <w:spacing w:val="2"/>
          <w:w w:val="100"/>
        </w:rPr>
        <w:t>指被保险人因严重心肌炎性病变导致心功能损害造成持续的永久不可逆性的心功</w:t>
      </w:r>
      <w:r>
        <w:rPr>
          <w:spacing w:val="-3"/>
          <w:w w:val="100"/>
        </w:rPr>
        <w:t>能衰竭。必须满足下列全部条件：</w:t>
      </w:r>
    </w:p>
    <w:p>
      <w:pPr>
        <w:pStyle w:val="ListParagraph"/>
        <w:numPr>
          <w:ilvl w:val="0"/>
          <w:numId w:val="36"/>
        </w:numPr>
        <w:tabs>
          <w:tab w:pos="3254" w:val="left" w:leader="none"/>
          <w:tab w:pos="3255" w:val="left" w:leader="none"/>
        </w:tabs>
        <w:spacing w:line="278" w:lineRule="auto" w:before="156" w:after="0"/>
        <w:ind w:left="3254" w:right="355" w:hanging="721"/>
        <w:jc w:val="left"/>
        <w:rPr>
          <w:sz w:val="21"/>
        </w:rPr>
      </w:pPr>
      <w:r>
        <w:rPr>
          <w:spacing w:val="-6"/>
          <w:sz w:val="21"/>
        </w:rPr>
        <w:t>心功能衰竭程度达到美国纽约心脏病学会心功能状态分级Ⅳ级，或左室射血</w:t>
      </w:r>
      <w:r>
        <w:rPr>
          <w:spacing w:val="-9"/>
          <w:sz w:val="21"/>
        </w:rPr>
        <w:t>分数低于 </w:t>
      </w:r>
      <w:r>
        <w:rPr>
          <w:sz w:val="21"/>
        </w:rPr>
        <w:t>30%；</w:t>
      </w:r>
    </w:p>
    <w:p>
      <w:pPr>
        <w:spacing w:after="0" w:line="278" w:lineRule="auto"/>
        <w:jc w:val="left"/>
        <w:rPr>
          <w:sz w:val="21"/>
        </w:rPr>
        <w:sectPr>
          <w:pgSz w:w="11910" w:h="16840"/>
          <w:pgMar w:header="0" w:footer="659" w:top="1400" w:bottom="840" w:left="920" w:right="540"/>
        </w:sectPr>
      </w:pPr>
    </w:p>
    <w:p>
      <w:pPr>
        <w:pStyle w:val="ListParagraph"/>
        <w:numPr>
          <w:ilvl w:val="0"/>
          <w:numId w:val="36"/>
        </w:numPr>
        <w:tabs>
          <w:tab w:pos="3255" w:val="left" w:leader="none"/>
        </w:tabs>
        <w:spacing w:line="240" w:lineRule="auto" w:before="44" w:after="0"/>
        <w:ind w:left="3254" w:right="0" w:hanging="722"/>
        <w:jc w:val="both"/>
        <w:rPr>
          <w:sz w:val="21"/>
        </w:rPr>
      </w:pPr>
      <w:r>
        <w:rPr>
          <w:spacing w:val="-10"/>
          <w:sz w:val="21"/>
        </w:rPr>
        <w:t>持续不间断 </w:t>
      </w:r>
      <w:r>
        <w:rPr>
          <w:spacing w:val="-2"/>
          <w:sz w:val="21"/>
        </w:rPr>
        <w:t>180</w:t>
      </w:r>
      <w:r>
        <w:rPr>
          <w:spacing w:val="-14"/>
          <w:sz w:val="21"/>
        </w:rPr>
        <w:t> 天以上；</w:t>
      </w:r>
    </w:p>
    <w:p>
      <w:pPr>
        <w:pStyle w:val="BodyText"/>
        <w:spacing w:before="7"/>
        <w:rPr>
          <w:sz w:val="15"/>
        </w:rPr>
      </w:pPr>
    </w:p>
    <w:p>
      <w:pPr>
        <w:pStyle w:val="ListParagraph"/>
        <w:numPr>
          <w:ilvl w:val="0"/>
          <w:numId w:val="36"/>
        </w:numPr>
        <w:tabs>
          <w:tab w:pos="3255" w:val="left" w:leader="none"/>
        </w:tabs>
        <w:spacing w:line="240" w:lineRule="auto" w:before="0" w:after="0"/>
        <w:ind w:left="3254" w:right="0" w:hanging="722"/>
        <w:jc w:val="both"/>
        <w:rPr>
          <w:sz w:val="21"/>
        </w:rPr>
      </w:pPr>
      <w:r>
        <w:rPr>
          <w:spacing w:val="-3"/>
          <w:sz w:val="21"/>
        </w:rPr>
        <w:t>被保险人永久不可逆性的体力活动能力受限，不能从事任何体力活动。</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感染性心内膜炎:</w:t>
      </w:r>
    </w:p>
    <w:p>
      <w:pPr>
        <w:pStyle w:val="BodyText"/>
        <w:spacing w:before="7"/>
        <w:rPr>
          <w:b/>
          <w:sz w:val="15"/>
        </w:rPr>
      </w:pPr>
    </w:p>
    <w:p>
      <w:pPr>
        <w:pStyle w:val="BodyText"/>
        <w:spacing w:line="278" w:lineRule="auto"/>
        <w:ind w:left="2533" w:right="356"/>
        <w:jc w:val="both"/>
      </w:pPr>
      <w:r>
        <w:rPr>
          <w:spacing w:val="-2"/>
        </w:rPr>
        <w:t>指因细菌、真菌和其他微生物（如病毒、立克次体、衣原体、螺旋体等）直接感染</w:t>
      </w:r>
      <w:r>
        <w:rPr>
          <w:spacing w:val="-3"/>
        </w:rPr>
        <w:t>而产生心瓣膜或心室壁内膜的炎症，须经心脏专科医生确诊，并符合以下至少 </w:t>
      </w:r>
      <w:r>
        <w:rPr>
          <w:spacing w:val="-2"/>
        </w:rPr>
        <w:t>3</w:t>
      </w:r>
      <w:r>
        <w:rPr>
          <w:spacing w:val="-13"/>
        </w:rPr>
        <w:t> 项</w:t>
      </w:r>
      <w:r>
        <w:rPr>
          <w:spacing w:val="-4"/>
        </w:rPr>
        <w:t>条件：</w:t>
      </w:r>
    </w:p>
    <w:p>
      <w:pPr>
        <w:pStyle w:val="ListParagraph"/>
        <w:numPr>
          <w:ilvl w:val="0"/>
          <w:numId w:val="37"/>
        </w:numPr>
        <w:tabs>
          <w:tab w:pos="3255" w:val="left" w:leader="none"/>
        </w:tabs>
        <w:spacing w:line="240" w:lineRule="auto" w:before="155" w:after="0"/>
        <w:ind w:left="3254" w:right="0" w:hanging="722"/>
        <w:jc w:val="both"/>
        <w:rPr>
          <w:sz w:val="21"/>
        </w:rPr>
      </w:pPr>
      <w:r>
        <w:rPr>
          <w:spacing w:val="-3"/>
          <w:sz w:val="21"/>
        </w:rPr>
        <w:t>急性或亚急性感染性心内膜炎临床表现；</w:t>
      </w:r>
    </w:p>
    <w:p>
      <w:pPr>
        <w:pStyle w:val="BodyText"/>
        <w:spacing w:before="7"/>
        <w:rPr>
          <w:sz w:val="15"/>
        </w:rPr>
      </w:pPr>
    </w:p>
    <w:p>
      <w:pPr>
        <w:pStyle w:val="ListParagraph"/>
        <w:numPr>
          <w:ilvl w:val="0"/>
          <w:numId w:val="37"/>
        </w:numPr>
        <w:tabs>
          <w:tab w:pos="3255" w:val="left" w:leader="none"/>
        </w:tabs>
        <w:spacing w:line="240" w:lineRule="auto" w:before="0" w:after="0"/>
        <w:ind w:left="3254" w:right="0" w:hanging="722"/>
        <w:jc w:val="both"/>
        <w:rPr>
          <w:sz w:val="21"/>
        </w:rPr>
      </w:pPr>
      <w:r>
        <w:rPr>
          <w:spacing w:val="-3"/>
          <w:sz w:val="21"/>
        </w:rPr>
        <w:t>血培养病原体阳性；</w:t>
      </w:r>
    </w:p>
    <w:p>
      <w:pPr>
        <w:pStyle w:val="BodyText"/>
        <w:spacing w:before="7"/>
        <w:rPr>
          <w:sz w:val="15"/>
        </w:rPr>
      </w:pPr>
    </w:p>
    <w:p>
      <w:pPr>
        <w:pStyle w:val="ListParagraph"/>
        <w:numPr>
          <w:ilvl w:val="0"/>
          <w:numId w:val="37"/>
        </w:numPr>
        <w:tabs>
          <w:tab w:pos="3255" w:val="left" w:leader="none"/>
        </w:tabs>
        <w:spacing w:line="240" w:lineRule="auto" w:before="0" w:after="0"/>
        <w:ind w:left="3254" w:right="0" w:hanging="722"/>
        <w:jc w:val="both"/>
        <w:rPr>
          <w:sz w:val="21"/>
        </w:rPr>
      </w:pPr>
      <w:r>
        <w:rPr>
          <w:spacing w:val="-3"/>
          <w:sz w:val="21"/>
        </w:rPr>
        <w:t>心功能衰竭并实际接受了心脏瓣膜置换手术；</w:t>
      </w:r>
    </w:p>
    <w:p>
      <w:pPr>
        <w:pStyle w:val="BodyText"/>
        <w:spacing w:before="7"/>
        <w:rPr>
          <w:sz w:val="15"/>
        </w:rPr>
      </w:pPr>
    </w:p>
    <w:p>
      <w:pPr>
        <w:pStyle w:val="ListParagraph"/>
        <w:numPr>
          <w:ilvl w:val="0"/>
          <w:numId w:val="37"/>
        </w:numPr>
        <w:tabs>
          <w:tab w:pos="3255" w:val="left" w:leader="none"/>
        </w:tabs>
        <w:spacing w:line="240" w:lineRule="auto" w:before="0" w:after="0"/>
        <w:ind w:left="3254" w:right="0" w:hanging="722"/>
        <w:jc w:val="both"/>
        <w:rPr>
          <w:sz w:val="21"/>
        </w:rPr>
      </w:pPr>
      <w:r>
        <w:rPr>
          <w:spacing w:val="-3"/>
          <w:sz w:val="21"/>
        </w:rPr>
        <w:t>并发动脉栓塞导致脑梗塞、肾梗塞或心肌梗塞。</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严重川崎病:</w:t>
      </w:r>
    </w:p>
    <w:p>
      <w:pPr>
        <w:pStyle w:val="BodyText"/>
        <w:spacing w:before="7"/>
        <w:rPr>
          <w:b/>
          <w:sz w:val="15"/>
        </w:rPr>
      </w:pPr>
    </w:p>
    <w:p>
      <w:pPr>
        <w:pStyle w:val="BodyText"/>
        <w:spacing w:line="278" w:lineRule="auto"/>
        <w:ind w:left="2533" w:right="356"/>
        <w:jc w:val="both"/>
      </w:pPr>
      <w:r>
        <w:rPr>
          <w:spacing w:val="-2"/>
        </w:rPr>
        <w:t>指一种原因未明的血管炎综合征，临床表现为急性发热，皮肤粘膜病损和淋巴结肿</w:t>
      </w:r>
      <w:r>
        <w:rPr>
          <w:spacing w:val="-2"/>
        </w:rPr>
        <w:t>大。本病必须经专科医生明确诊断，且必须由血管造影或超声心动图检查证实，满</w:t>
      </w:r>
      <w:r>
        <w:rPr>
          <w:spacing w:val="-2"/>
        </w:rPr>
        <w:t>足下列至少一项条件：</w:t>
      </w:r>
    </w:p>
    <w:p>
      <w:pPr>
        <w:pStyle w:val="ListParagraph"/>
        <w:numPr>
          <w:ilvl w:val="0"/>
          <w:numId w:val="38"/>
        </w:numPr>
        <w:tabs>
          <w:tab w:pos="3255" w:val="left" w:leader="none"/>
        </w:tabs>
        <w:spacing w:line="240" w:lineRule="auto" w:before="155" w:after="0"/>
        <w:ind w:left="3254" w:right="0" w:hanging="722"/>
        <w:jc w:val="both"/>
        <w:rPr>
          <w:sz w:val="21"/>
        </w:rPr>
      </w:pPr>
      <w:r>
        <w:rPr>
          <w:spacing w:val="-3"/>
          <w:sz w:val="21"/>
        </w:rPr>
        <w:t>伴有冠状动脉瘤，且冠状动脉瘤于最初急性发病后持续至少一百八十天；</w:t>
      </w:r>
    </w:p>
    <w:p>
      <w:pPr>
        <w:pStyle w:val="BodyText"/>
        <w:spacing w:before="7"/>
        <w:rPr>
          <w:sz w:val="15"/>
        </w:rPr>
      </w:pPr>
    </w:p>
    <w:p>
      <w:pPr>
        <w:pStyle w:val="ListParagraph"/>
        <w:numPr>
          <w:ilvl w:val="0"/>
          <w:numId w:val="38"/>
        </w:numPr>
        <w:tabs>
          <w:tab w:pos="3255" w:val="left" w:leader="none"/>
        </w:tabs>
        <w:spacing w:line="240" w:lineRule="auto" w:before="0" w:after="0"/>
        <w:ind w:left="3254" w:right="0" w:hanging="722"/>
        <w:jc w:val="both"/>
        <w:rPr>
          <w:sz w:val="21"/>
        </w:rPr>
      </w:pPr>
      <w:r>
        <w:rPr>
          <w:spacing w:val="-3"/>
          <w:sz w:val="21"/>
        </w:rPr>
        <w:t>伴有冠状动脉瘤，且实际接受了对冠状动脉瘤进行的手术治疗。</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主动脉夹层瘤:</w:t>
      </w:r>
    </w:p>
    <w:p>
      <w:pPr>
        <w:pStyle w:val="BodyText"/>
        <w:spacing w:before="6"/>
        <w:rPr>
          <w:b/>
          <w:sz w:val="15"/>
        </w:rPr>
      </w:pPr>
    </w:p>
    <w:p>
      <w:pPr>
        <w:pStyle w:val="BodyText"/>
        <w:spacing w:line="278" w:lineRule="auto" w:before="1"/>
        <w:ind w:left="2533" w:right="356"/>
        <w:jc w:val="both"/>
      </w:pPr>
      <w:r>
        <w:rPr>
          <w:spacing w:val="-2"/>
        </w:rPr>
        <w:t>指主动脉的内膜破裂导致血液流入主动脉壁中形成夹层动脉瘤。在本定义中，主动</w:t>
      </w:r>
      <w:r>
        <w:rPr>
          <w:spacing w:val="-2"/>
        </w:rPr>
        <w:t>脉指胸主动脉及腹主动脉而非其旁支。诊断必须由专科医生及检验结果证实，检验</w:t>
      </w:r>
      <w:r>
        <w:rPr>
          <w:spacing w:val="-2"/>
        </w:rPr>
        <w:t>包括电脑扫描，磁共振扫描及磁共振血管造影或心导管检查的证明，并有必要进行</w:t>
      </w:r>
      <w:r>
        <w:rPr>
          <w:spacing w:val="-2"/>
        </w:rPr>
        <w:t>紧急修补手术。</w:t>
      </w:r>
    </w:p>
    <w:p>
      <w:pPr>
        <w:pStyle w:val="Heading2"/>
        <w:numPr>
          <w:ilvl w:val="0"/>
          <w:numId w:val="11"/>
        </w:numPr>
        <w:tabs>
          <w:tab w:pos="3169" w:val="left" w:leader="none"/>
        </w:tabs>
        <w:spacing w:line="240" w:lineRule="auto" w:before="156" w:after="0"/>
        <w:ind w:left="3168" w:right="0" w:hanging="636"/>
        <w:jc w:val="left"/>
      </w:pPr>
      <w:r>
        <w:rPr>
          <w:spacing w:val="-2"/>
        </w:rPr>
        <w:t>弥漫性血管内凝血:</w:t>
      </w:r>
    </w:p>
    <w:p>
      <w:pPr>
        <w:pStyle w:val="BodyText"/>
        <w:spacing w:before="6"/>
        <w:rPr>
          <w:b/>
          <w:sz w:val="15"/>
        </w:rPr>
      </w:pPr>
    </w:p>
    <w:p>
      <w:pPr>
        <w:pStyle w:val="BodyText"/>
        <w:spacing w:line="278" w:lineRule="auto"/>
        <w:ind w:left="2533" w:right="356"/>
        <w:jc w:val="both"/>
      </w:pPr>
      <w:r>
        <w:rPr>
          <w:spacing w:val="-2"/>
        </w:rPr>
        <w:t>指血液凝固系统和纤溶系统的过度活动导致微血管血栓形成、血小板及凝血因子耗</w:t>
      </w:r>
      <w:r>
        <w:rPr>
          <w:spacing w:val="-2"/>
        </w:rPr>
        <w:t>竭和严重出血，此症必须由本公司认可的专科医生确诊，并且已经达到临床分期的</w:t>
      </w:r>
      <w:r>
        <w:rPr>
          <w:spacing w:val="-4"/>
        </w:rPr>
        <w:t>中期（消耗性低凝期）或后期（继发性纤溶亢进期</w:t>
      </w:r>
      <w:r>
        <w:rPr>
          <w:spacing w:val="-69"/>
        </w:rPr>
        <w:t>）</w:t>
      </w:r>
      <w:r>
        <w:rPr>
          <w:spacing w:val="-13"/>
        </w:rPr>
        <w:t>，需要输注血浆和浓缩血小板进</w:t>
      </w:r>
      <w:r>
        <w:rPr>
          <w:spacing w:val="-4"/>
        </w:rPr>
        <w:t>行治疗。</w:t>
      </w:r>
    </w:p>
    <w:p>
      <w:pPr>
        <w:pStyle w:val="Heading2"/>
        <w:numPr>
          <w:ilvl w:val="0"/>
          <w:numId w:val="11"/>
        </w:numPr>
        <w:tabs>
          <w:tab w:pos="3169" w:val="left" w:leader="none"/>
        </w:tabs>
        <w:spacing w:line="240" w:lineRule="auto" w:before="156" w:after="0"/>
        <w:ind w:left="3168" w:right="0" w:hanging="636"/>
        <w:jc w:val="left"/>
      </w:pPr>
      <w:r>
        <w:rPr>
          <w:spacing w:val="-3"/>
        </w:rPr>
        <w:t>严重继发性肺动脉高压:</w:t>
      </w:r>
    </w:p>
    <w:p>
      <w:pPr>
        <w:pStyle w:val="BodyText"/>
        <w:spacing w:before="6"/>
        <w:rPr>
          <w:b/>
          <w:sz w:val="15"/>
        </w:rPr>
      </w:pPr>
    </w:p>
    <w:p>
      <w:pPr>
        <w:pStyle w:val="BodyText"/>
        <w:spacing w:line="278" w:lineRule="auto" w:before="1"/>
        <w:ind w:left="2533" w:right="356"/>
        <w:jc w:val="both"/>
      </w:pPr>
      <w:r>
        <w:rPr>
          <w:spacing w:val="-2"/>
        </w:rPr>
        <w:t>继发性肺动脉压力持续增高，导致右心室肥厚，已经造成永久不可逆性的体力活动</w:t>
      </w:r>
      <w:r>
        <w:rPr>
          <w:spacing w:val="-2"/>
        </w:rPr>
        <w:t>能力受限，达到美国纽约心脏病学会心功能状态分级Ⅳ级。诊断需要由心脏科专家</w:t>
      </w:r>
      <w:r>
        <w:rPr>
          <w:spacing w:val="-2"/>
        </w:rPr>
        <w:t>确诊，并且心导管检查报告显示静息状态下肺动脉平均压超过 </w:t>
      </w:r>
      <w:r>
        <w:rPr/>
        <w:t>36mmHg。</w:t>
      </w:r>
    </w:p>
    <w:p>
      <w:pPr>
        <w:pStyle w:val="Heading2"/>
        <w:numPr>
          <w:ilvl w:val="0"/>
          <w:numId w:val="11"/>
        </w:numPr>
        <w:tabs>
          <w:tab w:pos="3169" w:val="left" w:leader="none"/>
        </w:tabs>
        <w:spacing w:line="240" w:lineRule="auto" w:before="156" w:after="0"/>
        <w:ind w:left="3168" w:right="0" w:hanging="636"/>
        <w:jc w:val="left"/>
      </w:pPr>
      <w:r>
        <w:rPr>
          <w:spacing w:val="-3"/>
        </w:rPr>
        <w:t>需手术切除的嗜铬细胞瘤:</w:t>
      </w:r>
    </w:p>
    <w:p>
      <w:pPr>
        <w:pStyle w:val="BodyText"/>
        <w:spacing w:before="6"/>
        <w:rPr>
          <w:b/>
          <w:sz w:val="15"/>
        </w:rPr>
      </w:pPr>
    </w:p>
    <w:p>
      <w:pPr>
        <w:pStyle w:val="BodyText"/>
        <w:spacing w:line="278" w:lineRule="auto" w:before="1"/>
        <w:ind w:left="2533" w:right="356"/>
      </w:pPr>
      <w:r>
        <w:rPr>
          <w:spacing w:val="-2"/>
        </w:rPr>
        <w:t>指肾上腺或嗜铬外组织出现神经内分泌肿瘤，并分泌过多的儿茶酚胺类，需要确实</w:t>
      </w:r>
      <w:r>
        <w:rPr>
          <w:spacing w:val="-2"/>
        </w:rPr>
        <w:t>进行手术以切除肿瘤。嗜铬细胞瘤的诊断必须由内分泌专科医生确定。</w:t>
      </w:r>
    </w:p>
    <w:p>
      <w:pPr>
        <w:pStyle w:val="Heading2"/>
        <w:numPr>
          <w:ilvl w:val="0"/>
          <w:numId w:val="11"/>
        </w:numPr>
        <w:tabs>
          <w:tab w:pos="3169" w:val="left" w:leader="none"/>
        </w:tabs>
        <w:spacing w:line="240" w:lineRule="auto" w:before="155" w:after="0"/>
        <w:ind w:left="3168" w:right="0" w:hanging="636"/>
        <w:jc w:val="left"/>
      </w:pPr>
      <w:r>
        <w:rPr>
          <w:spacing w:val="-2"/>
        </w:rPr>
        <w:t>严重多发性硬化:</w:t>
      </w:r>
    </w:p>
    <w:p>
      <w:pPr>
        <w:spacing w:after="0" w:line="240" w:lineRule="auto"/>
        <w:jc w:val="left"/>
        <w:sectPr>
          <w:pgSz w:w="11910" w:h="16840"/>
          <w:pgMar w:header="0" w:footer="659" w:top="1400" w:bottom="840" w:left="920" w:right="540"/>
        </w:sectPr>
      </w:pPr>
    </w:p>
    <w:p>
      <w:pPr>
        <w:pStyle w:val="BodyText"/>
        <w:spacing w:line="278" w:lineRule="auto" w:before="44"/>
        <w:ind w:left="2533" w:right="356"/>
        <w:jc w:val="both"/>
      </w:pPr>
      <w:r>
        <w:rPr>
          <w:spacing w:val="-2"/>
        </w:rPr>
        <w:t>多发性硬化为中枢神经系统白质多灶性脱髓鞘病变，病变有时累及灰质。多发性硬</w:t>
      </w:r>
      <w:r>
        <w:rPr>
          <w:spacing w:val="-2"/>
        </w:rPr>
        <w:t>化必须明确诊断，并且已经造成永久不可逆的神经系统功能损害。永久不可逆的神</w:t>
      </w:r>
      <w:r>
        <w:rPr>
          <w:spacing w:val="-2"/>
        </w:rPr>
        <w:t>经系统损害指被保险人持续 </w:t>
      </w:r>
      <w:r>
        <w:rPr/>
        <w:t>180</w:t>
      </w:r>
      <w:r>
        <w:rPr>
          <w:spacing w:val="-5"/>
        </w:rPr>
        <w:t> 天无法独立完成下列基本日常生活活动之一：</w:t>
      </w:r>
    </w:p>
    <w:p>
      <w:pPr>
        <w:pStyle w:val="ListParagraph"/>
        <w:numPr>
          <w:ilvl w:val="0"/>
          <w:numId w:val="39"/>
        </w:numPr>
        <w:tabs>
          <w:tab w:pos="3254" w:val="left" w:leader="none"/>
          <w:tab w:pos="3255" w:val="left" w:leader="none"/>
        </w:tabs>
        <w:spacing w:line="240" w:lineRule="auto" w:before="156" w:after="0"/>
        <w:ind w:left="3254" w:right="0" w:hanging="722"/>
        <w:jc w:val="left"/>
        <w:rPr>
          <w:sz w:val="21"/>
        </w:rPr>
      </w:pPr>
      <w:r>
        <w:rPr>
          <w:spacing w:val="-3"/>
          <w:sz w:val="21"/>
        </w:rPr>
        <w:t>移动：自己从一个房间到另一个房间；</w:t>
      </w:r>
    </w:p>
    <w:p>
      <w:pPr>
        <w:pStyle w:val="BodyText"/>
        <w:spacing w:before="7"/>
        <w:rPr>
          <w:sz w:val="15"/>
        </w:rPr>
      </w:pPr>
    </w:p>
    <w:p>
      <w:pPr>
        <w:pStyle w:val="ListParagraph"/>
        <w:numPr>
          <w:ilvl w:val="0"/>
          <w:numId w:val="39"/>
        </w:numPr>
        <w:tabs>
          <w:tab w:pos="3254" w:val="left" w:leader="none"/>
          <w:tab w:pos="3255" w:val="left" w:leader="none"/>
        </w:tabs>
        <w:spacing w:line="240" w:lineRule="auto" w:before="0" w:after="0"/>
        <w:ind w:left="3254" w:right="0" w:hanging="722"/>
        <w:jc w:val="left"/>
        <w:rPr>
          <w:sz w:val="21"/>
        </w:rPr>
      </w:pPr>
      <w:r>
        <w:rPr>
          <w:spacing w:val="-3"/>
          <w:sz w:val="21"/>
        </w:rPr>
        <w:t>进食：自己从已准备好的碗或碟中取食物放入口中。</w:t>
      </w:r>
    </w:p>
    <w:p>
      <w:pPr>
        <w:pStyle w:val="BodyText"/>
        <w:spacing w:before="6"/>
        <w:rPr>
          <w:sz w:val="15"/>
        </w:rPr>
      </w:pPr>
    </w:p>
    <w:p>
      <w:pPr>
        <w:pStyle w:val="Heading2"/>
        <w:numPr>
          <w:ilvl w:val="0"/>
          <w:numId w:val="11"/>
        </w:numPr>
        <w:tabs>
          <w:tab w:pos="3169" w:val="left" w:leader="none"/>
        </w:tabs>
        <w:spacing w:line="240" w:lineRule="auto" w:before="1" w:after="0"/>
        <w:ind w:left="3168" w:right="0" w:hanging="636"/>
        <w:jc w:val="left"/>
      </w:pPr>
      <w:r>
        <w:rPr>
          <w:spacing w:val="-2"/>
        </w:rPr>
        <w:t>重症肌无力:</w:t>
      </w:r>
    </w:p>
    <w:p>
      <w:pPr>
        <w:pStyle w:val="BodyText"/>
        <w:spacing w:before="6"/>
        <w:rPr>
          <w:b/>
          <w:sz w:val="15"/>
        </w:rPr>
      </w:pPr>
    </w:p>
    <w:p>
      <w:pPr>
        <w:pStyle w:val="BodyText"/>
        <w:spacing w:line="278" w:lineRule="auto"/>
        <w:ind w:left="2533" w:right="356"/>
        <w:jc w:val="both"/>
      </w:pPr>
      <w:r>
        <w:rPr>
          <w:spacing w:val="-2"/>
        </w:rPr>
        <w:t>指一种神经肌肉接头传递障碍所致的疾病，表现为局部或全身骨骼肌（特别是眼外</w:t>
      </w:r>
      <w:r>
        <w:rPr>
          <w:spacing w:val="-2"/>
        </w:rPr>
        <w:t>肌）极易疲劳。疾病可以累及呼吸肌、上肢或下肢的近端肌群或全身肌肉，必须满</w:t>
      </w:r>
      <w:r>
        <w:rPr>
          <w:spacing w:val="-2"/>
        </w:rPr>
        <w:t>足下列全部条件：</w:t>
      </w:r>
    </w:p>
    <w:p>
      <w:pPr>
        <w:pStyle w:val="ListParagraph"/>
        <w:numPr>
          <w:ilvl w:val="0"/>
          <w:numId w:val="40"/>
        </w:numPr>
        <w:tabs>
          <w:tab w:pos="3255" w:val="left" w:leader="none"/>
        </w:tabs>
        <w:spacing w:line="240" w:lineRule="auto" w:before="156" w:after="0"/>
        <w:ind w:left="3254" w:right="0" w:hanging="722"/>
        <w:jc w:val="both"/>
        <w:rPr>
          <w:sz w:val="21"/>
        </w:rPr>
      </w:pPr>
      <w:r>
        <w:rPr>
          <w:spacing w:val="-3"/>
          <w:sz w:val="21"/>
        </w:rPr>
        <w:t>经药物治疗和胸腺切除治疗一年以上仍无法控制病情；</w:t>
      </w:r>
    </w:p>
    <w:p>
      <w:pPr>
        <w:pStyle w:val="BodyText"/>
        <w:spacing w:before="7"/>
        <w:rPr>
          <w:sz w:val="15"/>
        </w:rPr>
      </w:pPr>
    </w:p>
    <w:p>
      <w:pPr>
        <w:pStyle w:val="ListParagraph"/>
        <w:numPr>
          <w:ilvl w:val="0"/>
          <w:numId w:val="40"/>
        </w:numPr>
        <w:tabs>
          <w:tab w:pos="3254" w:val="left" w:leader="none"/>
          <w:tab w:pos="3255" w:val="left" w:leader="none"/>
        </w:tabs>
        <w:spacing w:line="278" w:lineRule="auto" w:before="0" w:after="0"/>
        <w:ind w:left="3254" w:right="355" w:hanging="721"/>
        <w:jc w:val="left"/>
        <w:rPr>
          <w:sz w:val="21"/>
        </w:rPr>
      </w:pPr>
      <w:r>
        <w:rPr>
          <w:spacing w:val="-11"/>
          <w:sz w:val="21"/>
        </w:rPr>
        <w:t>自主生活能力完全丧失，无法独立完成六项基本日常生活活动中的三项或三</w:t>
      </w:r>
      <w:r>
        <w:rPr>
          <w:spacing w:val="-4"/>
          <w:sz w:val="21"/>
        </w:rPr>
        <w:t>项以上。</w:t>
      </w:r>
    </w:p>
    <w:p>
      <w:pPr>
        <w:pStyle w:val="Heading2"/>
        <w:numPr>
          <w:ilvl w:val="0"/>
          <w:numId w:val="11"/>
        </w:numPr>
        <w:tabs>
          <w:tab w:pos="3169" w:val="left" w:leader="none"/>
        </w:tabs>
        <w:spacing w:line="240" w:lineRule="auto" w:before="156" w:after="0"/>
        <w:ind w:left="3168" w:right="0" w:hanging="636"/>
        <w:jc w:val="left"/>
      </w:pPr>
      <w:r>
        <w:rPr>
          <w:spacing w:val="-2"/>
        </w:rPr>
        <w:t>严重肌营养不良症:</w:t>
      </w:r>
    </w:p>
    <w:p>
      <w:pPr>
        <w:pStyle w:val="BodyText"/>
        <w:spacing w:before="7"/>
        <w:rPr>
          <w:b/>
          <w:sz w:val="15"/>
        </w:rPr>
      </w:pPr>
    </w:p>
    <w:p>
      <w:pPr>
        <w:pStyle w:val="BodyText"/>
        <w:spacing w:line="278" w:lineRule="auto"/>
        <w:ind w:left="2533" w:right="356"/>
      </w:pPr>
      <w:r>
        <w:rPr>
          <w:spacing w:val="-2"/>
        </w:rPr>
        <w:t>指一组遗传性肌肉变性病变，临床特征为与神经系统无关的骨骼肌肉对称地进行性</w:t>
      </w:r>
      <w:r>
        <w:rPr>
          <w:spacing w:val="-2"/>
        </w:rPr>
        <w:t>无力和萎缩。其诊断需满足下列全部条件：</w:t>
      </w:r>
    </w:p>
    <w:p>
      <w:pPr>
        <w:pStyle w:val="ListParagraph"/>
        <w:numPr>
          <w:ilvl w:val="0"/>
          <w:numId w:val="41"/>
        </w:numPr>
        <w:tabs>
          <w:tab w:pos="3254" w:val="left" w:leader="none"/>
          <w:tab w:pos="3255" w:val="left" w:leader="none"/>
        </w:tabs>
        <w:spacing w:line="240" w:lineRule="auto" w:before="156" w:after="0"/>
        <w:ind w:left="3254" w:right="0" w:hanging="722"/>
        <w:jc w:val="left"/>
        <w:rPr>
          <w:sz w:val="21"/>
        </w:rPr>
      </w:pPr>
      <w:r>
        <w:rPr>
          <w:spacing w:val="-3"/>
          <w:sz w:val="21"/>
        </w:rPr>
        <w:t>肌电图显示典型肌营养不良症的阳性改变；</w:t>
      </w:r>
    </w:p>
    <w:p>
      <w:pPr>
        <w:pStyle w:val="BodyText"/>
        <w:spacing w:before="6"/>
        <w:rPr>
          <w:sz w:val="15"/>
        </w:rPr>
      </w:pPr>
    </w:p>
    <w:p>
      <w:pPr>
        <w:pStyle w:val="ListParagraph"/>
        <w:numPr>
          <w:ilvl w:val="0"/>
          <w:numId w:val="41"/>
        </w:numPr>
        <w:tabs>
          <w:tab w:pos="3254" w:val="left" w:leader="none"/>
          <w:tab w:pos="3255" w:val="left" w:leader="none"/>
        </w:tabs>
        <w:spacing w:line="278" w:lineRule="auto" w:before="0" w:after="0"/>
        <w:ind w:left="3254" w:right="354" w:hanging="721"/>
        <w:jc w:val="left"/>
        <w:rPr>
          <w:sz w:val="21"/>
        </w:rPr>
      </w:pPr>
      <w:r>
        <w:rPr>
          <w:spacing w:val="-2"/>
          <w:sz w:val="21"/>
        </w:rPr>
        <w:t>肌肉活检的病理学诊断符合肌营养不良症的肌肉细胞变性、坏死等阳性改</w:t>
      </w:r>
      <w:r>
        <w:rPr>
          <w:spacing w:val="-6"/>
          <w:sz w:val="21"/>
        </w:rPr>
        <w:t>变；</w:t>
      </w:r>
    </w:p>
    <w:p>
      <w:pPr>
        <w:pStyle w:val="ListParagraph"/>
        <w:numPr>
          <w:ilvl w:val="0"/>
          <w:numId w:val="41"/>
        </w:numPr>
        <w:tabs>
          <w:tab w:pos="3254" w:val="left" w:leader="none"/>
          <w:tab w:pos="3255" w:val="left" w:leader="none"/>
        </w:tabs>
        <w:spacing w:line="278" w:lineRule="auto" w:before="156" w:after="0"/>
        <w:ind w:left="3254" w:right="354" w:hanging="721"/>
        <w:jc w:val="left"/>
        <w:rPr>
          <w:sz w:val="21"/>
        </w:rPr>
      </w:pPr>
      <w:r>
        <w:rPr>
          <w:spacing w:val="-2"/>
          <w:sz w:val="21"/>
        </w:rPr>
        <w:t>已导致被保险人持续超过三个月无法独立完成六项基本日常生活活动中的</w:t>
      </w:r>
      <w:r>
        <w:rPr>
          <w:spacing w:val="-2"/>
          <w:sz w:val="21"/>
        </w:rPr>
        <w:t>三项或三项以上。</w:t>
      </w:r>
    </w:p>
    <w:p>
      <w:pPr>
        <w:pStyle w:val="BodyText"/>
        <w:spacing w:line="278" w:lineRule="auto" w:before="156"/>
        <w:ind w:left="2533" w:right="356"/>
      </w:pPr>
      <w:r>
        <w:rPr>
          <w:spacing w:val="-2"/>
        </w:rPr>
        <w:t>本公司承担本项疾病责任不受本合同责任免除中“遗传性疾病、先天性畸形、变形</w:t>
      </w:r>
      <w:r>
        <w:rPr>
          <w:spacing w:val="-2"/>
        </w:rPr>
        <w:t>或染色体异常”的限制。</w:t>
      </w:r>
    </w:p>
    <w:p>
      <w:pPr>
        <w:pStyle w:val="Heading2"/>
        <w:numPr>
          <w:ilvl w:val="0"/>
          <w:numId w:val="11"/>
        </w:numPr>
        <w:tabs>
          <w:tab w:pos="3169" w:val="left" w:leader="none"/>
        </w:tabs>
        <w:spacing w:line="240" w:lineRule="auto" w:before="156" w:after="0"/>
        <w:ind w:left="3168" w:right="0" w:hanging="636"/>
        <w:jc w:val="left"/>
      </w:pPr>
      <w:r>
        <w:rPr>
          <w:spacing w:val="-2"/>
        </w:rPr>
        <w:t>植物人状态:</w:t>
      </w:r>
    </w:p>
    <w:p>
      <w:pPr>
        <w:pStyle w:val="BodyText"/>
        <w:spacing w:before="7"/>
        <w:rPr>
          <w:b/>
          <w:sz w:val="15"/>
        </w:rPr>
      </w:pPr>
    </w:p>
    <w:p>
      <w:pPr>
        <w:pStyle w:val="BodyText"/>
        <w:spacing w:line="278" w:lineRule="auto"/>
        <w:ind w:left="2533" w:right="252"/>
      </w:pPr>
      <w:r>
        <w:rPr>
          <w:spacing w:val="-2"/>
        </w:rPr>
        <w:t>指脑皮质广泛性坏死而导致对自身及周边的认知能力完全丧失，但脑干功能仍然存</w:t>
      </w:r>
      <w:r>
        <w:rPr>
          <w:spacing w:val="-19"/>
        </w:rPr>
        <w:t>在，必须经神经科专科医生明确诊断，并有头颅断层扫描</w:t>
      </w:r>
      <w:r>
        <w:rPr>
          <w:spacing w:val="29"/>
        </w:rPr>
        <w:t>（</w:t>
      </w:r>
      <w:r>
        <w:rPr>
          <w:spacing w:val="26"/>
        </w:rPr>
        <w:t>C</w:t>
      </w:r>
      <w:r>
        <w:rPr>
          <w:spacing w:val="29"/>
        </w:rPr>
        <w:t>T</w:t>
      </w:r>
      <w:r>
        <w:rPr>
          <w:spacing w:val="-79"/>
        </w:rPr>
        <w:t>）</w:t>
      </w:r>
      <w:r>
        <w:rPr>
          <w:spacing w:val="-20"/>
        </w:rPr>
        <w:t>，核磁共振检查</w:t>
      </w:r>
      <w:r>
        <w:rPr>
          <w:spacing w:val="-6"/>
        </w:rPr>
        <w:t>（MRI）</w:t>
      </w:r>
      <w:r>
        <w:rPr/>
        <w:t>或正电子发射断层扫描（PET）</w:t>
      </w:r>
      <w:r>
        <w:rPr>
          <w:spacing w:val="-1"/>
        </w:rPr>
        <w:t>等影像学检查证实，且植物人状态须已持续 </w:t>
      </w:r>
      <w:r>
        <w:rPr/>
        <w:t>30</w:t>
      </w:r>
      <w:r>
        <w:rPr>
          <w:spacing w:val="-9"/>
        </w:rPr>
        <w:t> 天以</w:t>
      </w:r>
      <w:r>
        <w:rPr>
          <w:spacing w:val="-6"/>
        </w:rPr>
        <w:t>上。</w:t>
      </w:r>
    </w:p>
    <w:p>
      <w:pPr>
        <w:pStyle w:val="BodyText"/>
        <w:spacing w:line="269" w:lineRule="exact"/>
        <w:ind w:left="2533"/>
      </w:pPr>
      <w:r>
        <w:rPr>
          <w:color w:val="000000"/>
          <w:spacing w:val="-3"/>
          <w:shd w:fill="E4E4E4" w:color="auto" w:val="clear"/>
        </w:rPr>
        <w:t>由于酗酒或滥用药物所致的植物人状态不在保障范围内。</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3"/>
        </w:rPr>
        <w:t>非阿尔茨海默病所致严重痴呆:</w:t>
      </w:r>
    </w:p>
    <w:p>
      <w:pPr>
        <w:pStyle w:val="BodyText"/>
        <w:spacing w:before="7"/>
        <w:rPr>
          <w:b/>
          <w:sz w:val="15"/>
        </w:rPr>
      </w:pPr>
    </w:p>
    <w:p>
      <w:pPr>
        <w:pStyle w:val="BodyText"/>
        <w:spacing w:line="278" w:lineRule="auto"/>
        <w:ind w:left="2533" w:right="344"/>
        <w:jc w:val="both"/>
      </w:pPr>
      <w:r>
        <w:rPr>
          <w:spacing w:val="2"/>
          <w:w w:val="100"/>
        </w:rPr>
        <w:t>指因阿尔茨海默病以外的脑的器质性疾病造成脑功能衰竭导致永久不可逆性的严</w:t>
      </w:r>
      <w:r>
        <w:rPr>
          <w:spacing w:val="-5"/>
          <w:w w:val="100"/>
        </w:rPr>
        <w:t>重痴呆，临床表现为明显的认知能力障碍、行为异常和社交能力减退。被保险人自</w:t>
      </w:r>
      <w:r>
        <w:rPr>
          <w:spacing w:val="-4"/>
          <w:w w:val="100"/>
        </w:rPr>
        <w:t>主生活能力完全丧失，无法独立完成六项基本日常生活活动中的三项或三项以上，</w:t>
      </w:r>
      <w:r>
        <w:rPr>
          <w:spacing w:val="-5"/>
          <w:w w:val="100"/>
        </w:rPr>
        <w:t>日常生活必须持续受到他人监护。导致痴呆的疾病必须明确诊断，并且由完整的临</w:t>
      </w:r>
      <w:r>
        <w:rPr>
          <w:spacing w:val="-4"/>
          <w:w w:val="100"/>
        </w:rPr>
        <w:t>床、实验室和影像学检查结果证实。</w:t>
      </w:r>
    </w:p>
    <w:p>
      <w:pPr>
        <w:pStyle w:val="BodyText"/>
        <w:spacing w:line="268" w:lineRule="exact"/>
        <w:ind w:left="2533"/>
      </w:pPr>
      <w:r>
        <w:rPr>
          <w:color w:val="000000"/>
          <w:spacing w:val="-3"/>
          <w:shd w:fill="E4E4E4" w:color="auto" w:val="clear"/>
        </w:rPr>
        <w:t>神经官能症和精神疾病不在保障范围内。</w:t>
      </w:r>
    </w:p>
    <w:p>
      <w:pPr>
        <w:spacing w:after="0" w:line="268" w:lineRule="exact"/>
        <w:sectPr>
          <w:pgSz w:w="11910" w:h="16840"/>
          <w:pgMar w:header="0" w:footer="659" w:top="1400" w:bottom="840" w:left="920" w:right="540"/>
        </w:sectPr>
      </w:pPr>
    </w:p>
    <w:p>
      <w:pPr>
        <w:pStyle w:val="Heading2"/>
        <w:numPr>
          <w:ilvl w:val="0"/>
          <w:numId w:val="11"/>
        </w:numPr>
        <w:tabs>
          <w:tab w:pos="3169" w:val="left" w:leader="none"/>
        </w:tabs>
        <w:spacing w:line="240" w:lineRule="auto" w:before="44" w:after="0"/>
        <w:ind w:left="3168" w:right="0" w:hanging="636"/>
        <w:jc w:val="left"/>
      </w:pPr>
      <w:r>
        <w:rPr>
          <w:w w:val="95"/>
        </w:rPr>
        <w:t>肝</w:t>
      </w:r>
      <w:r>
        <w:rPr>
          <w:w w:val="95"/>
        </w:rPr>
        <w:t>豆</w:t>
      </w:r>
      <w:r>
        <w:rPr>
          <w:w w:val="95"/>
        </w:rPr>
        <w:t>状</w:t>
      </w:r>
      <w:r>
        <w:rPr>
          <w:w w:val="95"/>
        </w:rPr>
        <w:t>核</w:t>
      </w:r>
      <w:r>
        <w:rPr>
          <w:w w:val="95"/>
        </w:rPr>
        <w:t>变</w:t>
      </w:r>
      <w:r>
        <w:rPr>
          <w:w w:val="95"/>
        </w:rPr>
        <w:t>性</w:t>
      </w:r>
      <w:r>
        <w:rPr>
          <w:w w:val="95"/>
        </w:rPr>
        <w:t>（Wilson</w:t>
      </w:r>
      <w:r>
        <w:rPr>
          <w:spacing w:val="52"/>
        </w:rPr>
        <w:t> </w:t>
      </w:r>
      <w:r>
        <w:rPr>
          <w:w w:val="95"/>
        </w:rPr>
        <w:t>病</w:t>
      </w:r>
      <w:r>
        <w:rPr>
          <w:spacing w:val="-5"/>
          <w:w w:val="95"/>
        </w:rPr>
        <w:t>）:</w:t>
      </w:r>
    </w:p>
    <w:p>
      <w:pPr>
        <w:pStyle w:val="BodyText"/>
        <w:spacing w:before="7"/>
        <w:rPr>
          <w:b/>
          <w:sz w:val="15"/>
        </w:rPr>
      </w:pPr>
    </w:p>
    <w:p>
      <w:pPr>
        <w:pStyle w:val="BodyText"/>
        <w:spacing w:line="278" w:lineRule="auto"/>
        <w:ind w:left="2533" w:right="356"/>
      </w:pPr>
      <w:r>
        <w:rPr>
          <w:spacing w:val="-2"/>
        </w:rPr>
        <w:t>指一种常染色体隐性遗传的铜代谢缺陷病，以不同程度的肝细胞损害、脑退行性病</w:t>
      </w:r>
      <w:r>
        <w:rPr>
          <w:spacing w:val="-2"/>
        </w:rPr>
        <w:t>变和角膜边缘有铜盐沉着环为其临床特征，并须满足下列全部条件：</w:t>
      </w:r>
    </w:p>
    <w:p>
      <w:pPr>
        <w:pStyle w:val="ListParagraph"/>
        <w:numPr>
          <w:ilvl w:val="0"/>
          <w:numId w:val="42"/>
        </w:numPr>
        <w:tabs>
          <w:tab w:pos="3254" w:val="left" w:leader="none"/>
          <w:tab w:pos="3255" w:val="left" w:leader="none"/>
        </w:tabs>
        <w:spacing w:line="240" w:lineRule="auto" w:before="156" w:after="0"/>
        <w:ind w:left="3254" w:right="0" w:hanging="722"/>
        <w:jc w:val="left"/>
        <w:rPr>
          <w:sz w:val="21"/>
        </w:rPr>
      </w:pPr>
      <w:r>
        <w:rPr>
          <w:spacing w:val="-4"/>
          <w:sz w:val="21"/>
        </w:rPr>
        <w:t>典型症状；</w:t>
      </w:r>
    </w:p>
    <w:p>
      <w:pPr>
        <w:pStyle w:val="BodyText"/>
        <w:spacing w:before="7"/>
        <w:rPr>
          <w:sz w:val="15"/>
        </w:rPr>
      </w:pPr>
    </w:p>
    <w:p>
      <w:pPr>
        <w:pStyle w:val="ListParagraph"/>
        <w:numPr>
          <w:ilvl w:val="0"/>
          <w:numId w:val="42"/>
        </w:numPr>
        <w:tabs>
          <w:tab w:pos="3254" w:val="left" w:leader="none"/>
          <w:tab w:pos="3255" w:val="left" w:leader="none"/>
        </w:tabs>
        <w:spacing w:line="240" w:lineRule="auto" w:before="0" w:after="0"/>
        <w:ind w:left="3254" w:right="0" w:hanging="722"/>
        <w:jc w:val="left"/>
        <w:rPr>
          <w:sz w:val="21"/>
        </w:rPr>
      </w:pPr>
      <w:r>
        <w:rPr>
          <w:spacing w:val="-2"/>
          <w:sz w:val="21"/>
        </w:rPr>
        <w:t>角膜色素环（K-F</w:t>
      </w:r>
      <w:r>
        <w:rPr>
          <w:spacing w:val="-25"/>
          <w:sz w:val="21"/>
        </w:rPr>
        <w:t> 环</w:t>
      </w:r>
      <w:r>
        <w:rPr>
          <w:spacing w:val="-111"/>
          <w:sz w:val="21"/>
        </w:rPr>
        <w:t>）</w:t>
      </w:r>
      <w:r>
        <w:rPr>
          <w:spacing w:val="-5"/>
          <w:sz w:val="21"/>
        </w:rPr>
        <w:t>；</w:t>
      </w:r>
    </w:p>
    <w:p>
      <w:pPr>
        <w:pStyle w:val="BodyText"/>
        <w:spacing w:before="6"/>
        <w:rPr>
          <w:sz w:val="15"/>
        </w:rPr>
      </w:pPr>
    </w:p>
    <w:p>
      <w:pPr>
        <w:pStyle w:val="ListParagraph"/>
        <w:numPr>
          <w:ilvl w:val="0"/>
          <w:numId w:val="42"/>
        </w:numPr>
        <w:tabs>
          <w:tab w:pos="3254" w:val="left" w:leader="none"/>
          <w:tab w:pos="3255" w:val="left" w:leader="none"/>
        </w:tabs>
        <w:spacing w:line="240" w:lineRule="auto" w:before="1" w:after="0"/>
        <w:ind w:left="3254" w:right="0" w:hanging="722"/>
        <w:jc w:val="left"/>
        <w:rPr>
          <w:sz w:val="21"/>
        </w:rPr>
      </w:pPr>
      <w:r>
        <w:rPr>
          <w:spacing w:val="-3"/>
          <w:sz w:val="21"/>
        </w:rPr>
        <w:t>血清铜和血清铜蛋白降低，尿铜增加；</w:t>
      </w:r>
    </w:p>
    <w:p>
      <w:pPr>
        <w:pStyle w:val="BodyText"/>
        <w:spacing w:before="6"/>
        <w:rPr>
          <w:sz w:val="15"/>
        </w:rPr>
      </w:pPr>
    </w:p>
    <w:p>
      <w:pPr>
        <w:pStyle w:val="ListParagraph"/>
        <w:numPr>
          <w:ilvl w:val="0"/>
          <w:numId w:val="42"/>
        </w:numPr>
        <w:tabs>
          <w:tab w:pos="3254" w:val="left" w:leader="none"/>
          <w:tab w:pos="3255" w:val="left" w:leader="none"/>
        </w:tabs>
        <w:spacing w:line="240" w:lineRule="auto" w:before="0" w:after="0"/>
        <w:ind w:left="3254" w:right="0" w:hanging="722"/>
        <w:jc w:val="left"/>
        <w:rPr>
          <w:sz w:val="21"/>
        </w:rPr>
      </w:pPr>
      <w:r>
        <w:rPr>
          <w:spacing w:val="-3"/>
          <w:sz w:val="21"/>
        </w:rPr>
        <w:t>经皮做肝脏活检来定量分析肝脏铜的含量。</w:t>
      </w:r>
    </w:p>
    <w:p>
      <w:pPr>
        <w:pStyle w:val="BodyText"/>
        <w:spacing w:before="7"/>
        <w:rPr>
          <w:sz w:val="15"/>
        </w:rPr>
      </w:pPr>
    </w:p>
    <w:p>
      <w:pPr>
        <w:pStyle w:val="BodyText"/>
        <w:spacing w:line="278" w:lineRule="auto"/>
        <w:ind w:left="2533" w:right="250"/>
      </w:pPr>
      <w:r>
        <w:rPr>
          <w:spacing w:val="-4"/>
        </w:rPr>
        <w:t>本项疾病责任不受合同责任免除中“遗传性疾病，先天性畸形、变形或染色体异常”</w:t>
      </w:r>
      <w:r>
        <w:rPr>
          <w:spacing w:val="-4"/>
        </w:rPr>
        <w:t>的限制。</w:t>
      </w:r>
    </w:p>
    <w:p>
      <w:pPr>
        <w:pStyle w:val="Heading2"/>
        <w:numPr>
          <w:ilvl w:val="0"/>
          <w:numId w:val="11"/>
        </w:numPr>
        <w:tabs>
          <w:tab w:pos="3169" w:val="left" w:leader="none"/>
        </w:tabs>
        <w:spacing w:line="240" w:lineRule="auto" w:before="156" w:after="0"/>
        <w:ind w:left="3168" w:right="0" w:hanging="636"/>
        <w:jc w:val="left"/>
      </w:pPr>
      <w:r>
        <w:rPr>
          <w:spacing w:val="-2"/>
        </w:rPr>
        <w:t>严重瑞氏综合症:</w:t>
      </w:r>
    </w:p>
    <w:p>
      <w:pPr>
        <w:pStyle w:val="BodyText"/>
        <w:spacing w:before="7"/>
        <w:rPr>
          <w:b/>
          <w:sz w:val="15"/>
        </w:rPr>
      </w:pPr>
    </w:p>
    <w:p>
      <w:pPr>
        <w:pStyle w:val="BodyText"/>
        <w:spacing w:line="278" w:lineRule="auto"/>
        <w:ind w:left="2533" w:right="355"/>
        <w:jc w:val="both"/>
      </w:pPr>
      <w:r>
        <w:rPr>
          <w:spacing w:val="-2"/>
        </w:rPr>
        <w:t>瑞氏综合症是线粒体功能障碍性疾病。导致脂肪代谢障碍，引起短链脂肪酸、血氨</w:t>
      </w:r>
      <w:r>
        <w:rPr>
          <w:spacing w:val="-2"/>
        </w:rPr>
        <w:t>升高，造成脑水肿。主要临床表现为急性发热、反复呕吐、惊厥及意识障碍等。肝</w:t>
      </w:r>
      <w:r>
        <w:rPr>
          <w:spacing w:val="-2"/>
        </w:rPr>
        <w:t>脏活检是确诊的重要手段。瑞氏综合症需由本公司指定或认可的医疗机构的专科医</w:t>
      </w:r>
      <w:r>
        <w:rPr>
          <w:spacing w:val="-2"/>
        </w:rPr>
        <w:t>生确诊，并符合下列全部条件：</w:t>
      </w:r>
    </w:p>
    <w:p>
      <w:pPr>
        <w:pStyle w:val="ListParagraph"/>
        <w:numPr>
          <w:ilvl w:val="0"/>
          <w:numId w:val="43"/>
        </w:numPr>
        <w:tabs>
          <w:tab w:pos="3255" w:val="left" w:leader="none"/>
        </w:tabs>
        <w:spacing w:line="240" w:lineRule="auto" w:before="156" w:after="0"/>
        <w:ind w:left="3254" w:right="0" w:hanging="722"/>
        <w:jc w:val="both"/>
        <w:rPr>
          <w:sz w:val="21"/>
        </w:rPr>
      </w:pPr>
      <w:r>
        <w:rPr>
          <w:spacing w:val="-3"/>
          <w:sz w:val="21"/>
        </w:rPr>
        <w:t>有脑水肿和颅内压升高的脑脊液检查和影像学检查证据；</w:t>
      </w:r>
    </w:p>
    <w:p>
      <w:pPr>
        <w:pStyle w:val="BodyText"/>
        <w:spacing w:before="6"/>
        <w:rPr>
          <w:sz w:val="15"/>
        </w:rPr>
      </w:pPr>
    </w:p>
    <w:p>
      <w:pPr>
        <w:pStyle w:val="ListParagraph"/>
        <w:numPr>
          <w:ilvl w:val="0"/>
          <w:numId w:val="43"/>
        </w:numPr>
        <w:tabs>
          <w:tab w:pos="3255" w:val="left" w:leader="none"/>
        </w:tabs>
        <w:spacing w:line="240" w:lineRule="auto" w:before="0" w:after="0"/>
        <w:ind w:left="3254" w:right="0" w:hanging="722"/>
        <w:jc w:val="both"/>
        <w:rPr>
          <w:sz w:val="21"/>
        </w:rPr>
      </w:pPr>
      <w:r>
        <w:rPr>
          <w:spacing w:val="-8"/>
          <w:sz w:val="21"/>
        </w:rPr>
        <w:t>血氨超过正常值的 </w:t>
      </w:r>
      <w:r>
        <w:rPr>
          <w:spacing w:val="-2"/>
          <w:sz w:val="21"/>
        </w:rPr>
        <w:t>3</w:t>
      </w:r>
      <w:r>
        <w:rPr>
          <w:spacing w:val="-21"/>
          <w:sz w:val="21"/>
        </w:rPr>
        <w:t> 倍；</w:t>
      </w:r>
    </w:p>
    <w:p>
      <w:pPr>
        <w:pStyle w:val="BodyText"/>
        <w:spacing w:before="7"/>
        <w:rPr>
          <w:sz w:val="15"/>
        </w:rPr>
      </w:pPr>
    </w:p>
    <w:p>
      <w:pPr>
        <w:pStyle w:val="ListParagraph"/>
        <w:numPr>
          <w:ilvl w:val="0"/>
          <w:numId w:val="43"/>
        </w:numPr>
        <w:tabs>
          <w:tab w:pos="3255" w:val="left" w:leader="none"/>
        </w:tabs>
        <w:spacing w:line="240" w:lineRule="auto" w:before="0" w:after="0"/>
        <w:ind w:left="3254" w:right="0" w:hanging="722"/>
        <w:jc w:val="both"/>
        <w:rPr>
          <w:sz w:val="21"/>
        </w:rPr>
      </w:pPr>
      <w:r>
        <w:rPr>
          <w:spacing w:val="-3"/>
          <w:sz w:val="21"/>
        </w:rPr>
        <w:t>临床出现昏迷，病程至少达到疾病分期第Ⅲ期。</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脊髓小脑变性症:</w:t>
      </w:r>
    </w:p>
    <w:p>
      <w:pPr>
        <w:pStyle w:val="BodyText"/>
        <w:spacing w:before="7"/>
        <w:rPr>
          <w:b/>
          <w:sz w:val="15"/>
        </w:rPr>
      </w:pPr>
    </w:p>
    <w:p>
      <w:pPr>
        <w:pStyle w:val="BodyText"/>
        <w:spacing w:line="278" w:lineRule="auto"/>
        <w:ind w:left="2533" w:right="356"/>
      </w:pPr>
      <w:r>
        <w:rPr>
          <w:spacing w:val="-2"/>
        </w:rPr>
        <w:t>脊髓小脑变性症为一组以小脑萎缩和共济失调为主要临床特点的疾病。必须满足下</w:t>
      </w:r>
      <w:r>
        <w:rPr>
          <w:spacing w:val="-2"/>
        </w:rPr>
        <w:t>列全部条件：</w:t>
      </w:r>
    </w:p>
    <w:p>
      <w:pPr>
        <w:pStyle w:val="ListParagraph"/>
        <w:numPr>
          <w:ilvl w:val="0"/>
          <w:numId w:val="44"/>
        </w:numPr>
        <w:tabs>
          <w:tab w:pos="3254" w:val="left" w:leader="none"/>
          <w:tab w:pos="3255" w:val="left" w:leader="none"/>
        </w:tabs>
        <w:spacing w:line="240" w:lineRule="auto" w:before="156" w:after="0"/>
        <w:ind w:left="3254" w:right="0" w:hanging="722"/>
        <w:jc w:val="left"/>
        <w:rPr>
          <w:sz w:val="21"/>
        </w:rPr>
      </w:pPr>
      <w:r>
        <w:rPr>
          <w:spacing w:val="-3"/>
          <w:sz w:val="21"/>
        </w:rPr>
        <w:t>脊髓小脑变性症必须由医院诊断，并有以下证据支持：</w:t>
      </w:r>
    </w:p>
    <w:p>
      <w:pPr>
        <w:pStyle w:val="BodyText"/>
        <w:spacing w:before="6"/>
        <w:rPr>
          <w:sz w:val="15"/>
        </w:rPr>
      </w:pPr>
    </w:p>
    <w:p>
      <w:pPr>
        <w:pStyle w:val="ListParagraph"/>
        <w:numPr>
          <w:ilvl w:val="1"/>
          <w:numId w:val="44"/>
        </w:numPr>
        <w:tabs>
          <w:tab w:pos="3675" w:val="left" w:leader="none"/>
        </w:tabs>
        <w:spacing w:line="240" w:lineRule="auto" w:before="1" w:after="0"/>
        <w:ind w:left="3674" w:right="0" w:hanging="421"/>
        <w:jc w:val="left"/>
        <w:rPr>
          <w:sz w:val="21"/>
        </w:rPr>
      </w:pPr>
      <w:r>
        <w:rPr>
          <w:spacing w:val="-3"/>
          <w:sz w:val="21"/>
        </w:rPr>
        <w:t>影像学检查证实存在小脑萎缩；</w:t>
      </w:r>
    </w:p>
    <w:p>
      <w:pPr>
        <w:pStyle w:val="BodyText"/>
        <w:spacing w:before="6"/>
        <w:rPr>
          <w:sz w:val="15"/>
        </w:rPr>
      </w:pPr>
    </w:p>
    <w:p>
      <w:pPr>
        <w:pStyle w:val="ListParagraph"/>
        <w:numPr>
          <w:ilvl w:val="1"/>
          <w:numId w:val="44"/>
        </w:numPr>
        <w:tabs>
          <w:tab w:pos="3675" w:val="left" w:leader="none"/>
        </w:tabs>
        <w:spacing w:line="240" w:lineRule="auto" w:before="0" w:after="0"/>
        <w:ind w:left="3674" w:right="0" w:hanging="421"/>
        <w:jc w:val="left"/>
        <w:rPr>
          <w:sz w:val="21"/>
        </w:rPr>
      </w:pPr>
      <w:r>
        <w:rPr>
          <w:spacing w:val="-3"/>
          <w:sz w:val="21"/>
        </w:rPr>
        <w:t>临床表现存在共济失调、语言障碍和肌张力异常。</w:t>
      </w:r>
    </w:p>
    <w:p>
      <w:pPr>
        <w:pStyle w:val="BodyText"/>
        <w:spacing w:before="7"/>
        <w:rPr>
          <w:sz w:val="15"/>
        </w:rPr>
      </w:pPr>
    </w:p>
    <w:p>
      <w:pPr>
        <w:pStyle w:val="ListParagraph"/>
        <w:numPr>
          <w:ilvl w:val="0"/>
          <w:numId w:val="44"/>
        </w:numPr>
        <w:tabs>
          <w:tab w:pos="3254" w:val="left" w:leader="none"/>
          <w:tab w:pos="3255" w:val="left" w:leader="none"/>
        </w:tabs>
        <w:spacing w:line="278" w:lineRule="auto" w:before="0" w:after="0"/>
        <w:ind w:left="3254" w:right="356" w:hanging="721"/>
        <w:jc w:val="left"/>
        <w:rPr>
          <w:sz w:val="21"/>
        </w:rPr>
      </w:pPr>
      <w:r>
        <w:rPr>
          <w:spacing w:val="-8"/>
          <w:sz w:val="21"/>
        </w:rPr>
        <w:t>被保险人运动功能严重障碍，自主生活能力完全丧失，无法独立完成六项基</w:t>
      </w:r>
      <w:r>
        <w:rPr>
          <w:spacing w:val="-2"/>
          <w:sz w:val="21"/>
        </w:rPr>
        <w:t>本日常生活活动中的三项或三项以上。</w:t>
      </w:r>
    </w:p>
    <w:p>
      <w:pPr>
        <w:pStyle w:val="Heading2"/>
        <w:numPr>
          <w:ilvl w:val="0"/>
          <w:numId w:val="11"/>
        </w:numPr>
        <w:tabs>
          <w:tab w:pos="3169" w:val="left" w:leader="none"/>
        </w:tabs>
        <w:spacing w:line="240" w:lineRule="auto" w:before="156" w:after="0"/>
        <w:ind w:left="3168" w:right="0" w:hanging="636"/>
        <w:jc w:val="left"/>
      </w:pPr>
      <w:r>
        <w:rPr>
          <w:spacing w:val="-3"/>
        </w:rPr>
        <w:t>脊柱裂:</w:t>
      </w:r>
    </w:p>
    <w:p>
      <w:pPr>
        <w:pStyle w:val="BodyText"/>
        <w:spacing w:before="6"/>
        <w:rPr>
          <w:b/>
          <w:sz w:val="15"/>
        </w:rPr>
      </w:pPr>
    </w:p>
    <w:p>
      <w:pPr>
        <w:pStyle w:val="BodyText"/>
        <w:spacing w:line="278" w:lineRule="auto" w:before="1"/>
        <w:ind w:left="2533" w:right="356"/>
      </w:pPr>
      <w:r>
        <w:rPr>
          <w:spacing w:val="-2"/>
        </w:rPr>
        <w:t>指脊椎或颅骨不完全闭合，导致脊髓脊膜突出，脑（脊）膜突出或脑膨出，并至少</w:t>
      </w:r>
      <w:r>
        <w:rPr>
          <w:spacing w:val="-2"/>
        </w:rPr>
        <w:t>合并下列异常中的一项：</w:t>
      </w:r>
    </w:p>
    <w:p>
      <w:pPr>
        <w:pStyle w:val="ListParagraph"/>
        <w:numPr>
          <w:ilvl w:val="0"/>
          <w:numId w:val="45"/>
        </w:numPr>
        <w:tabs>
          <w:tab w:pos="3255" w:val="left" w:leader="none"/>
        </w:tabs>
        <w:spacing w:line="240" w:lineRule="auto" w:before="156" w:after="0"/>
        <w:ind w:left="3254" w:right="0" w:hanging="722"/>
        <w:jc w:val="both"/>
        <w:rPr>
          <w:sz w:val="21"/>
        </w:rPr>
      </w:pPr>
      <w:r>
        <w:rPr>
          <w:spacing w:val="-4"/>
          <w:sz w:val="21"/>
        </w:rPr>
        <w:t>大小便失禁；</w:t>
      </w:r>
    </w:p>
    <w:p>
      <w:pPr>
        <w:pStyle w:val="BodyText"/>
        <w:spacing w:before="7"/>
        <w:rPr>
          <w:sz w:val="15"/>
        </w:rPr>
      </w:pPr>
    </w:p>
    <w:p>
      <w:pPr>
        <w:pStyle w:val="ListParagraph"/>
        <w:numPr>
          <w:ilvl w:val="0"/>
          <w:numId w:val="45"/>
        </w:numPr>
        <w:tabs>
          <w:tab w:pos="3255" w:val="left" w:leader="none"/>
        </w:tabs>
        <w:spacing w:line="240" w:lineRule="auto" w:before="0" w:after="0"/>
        <w:ind w:left="3254" w:right="0" w:hanging="722"/>
        <w:jc w:val="both"/>
        <w:rPr>
          <w:sz w:val="21"/>
        </w:rPr>
      </w:pPr>
      <w:r>
        <w:rPr>
          <w:spacing w:val="-3"/>
          <w:sz w:val="21"/>
        </w:rPr>
        <w:t>部分或完全性下肢瘫痪或畸形等神经学上的异常。</w:t>
      </w:r>
    </w:p>
    <w:p>
      <w:pPr>
        <w:pStyle w:val="BodyText"/>
        <w:spacing w:before="6"/>
        <w:rPr>
          <w:sz w:val="15"/>
        </w:rPr>
      </w:pPr>
    </w:p>
    <w:p>
      <w:pPr>
        <w:pStyle w:val="BodyText"/>
        <w:spacing w:line="278" w:lineRule="auto" w:before="1"/>
        <w:ind w:left="2533" w:right="250"/>
      </w:pPr>
      <w:r>
        <w:rPr>
          <w:spacing w:val="-9"/>
        </w:rPr>
        <w:t>但不包括由 </w:t>
      </w:r>
      <w:r>
        <w:rPr/>
        <w:t>X</w:t>
      </w:r>
      <w:r>
        <w:rPr>
          <w:spacing w:val="-11"/>
        </w:rPr>
        <w:t> 线摄片发现的没有合并脊椎脊膜突出或脑</w:t>
      </w:r>
      <w:r>
        <w:rPr/>
        <w:t>（脊</w:t>
      </w:r>
      <w:r>
        <w:rPr>
          <w:spacing w:val="-58"/>
        </w:rPr>
        <w:t>）</w:t>
      </w:r>
      <w:r>
        <w:rPr/>
        <w:t>膜突出的隐形脊椎裂。</w:t>
      </w:r>
      <w:r>
        <w:rPr>
          <w:spacing w:val="-2"/>
        </w:rPr>
        <w:t>本公司承担本项疾病责任不受本合同责任免除中“遗传性疾病，先天性畸形、变形</w:t>
      </w:r>
      <w:r>
        <w:rPr>
          <w:spacing w:val="-2"/>
        </w:rPr>
        <w:t>或染色体异常”的限制。</w:t>
      </w:r>
    </w:p>
    <w:p>
      <w:pPr>
        <w:spacing w:after="0" w:line="278" w:lineRule="auto"/>
        <w:sectPr>
          <w:pgSz w:w="11910" w:h="16840"/>
          <w:pgMar w:header="0" w:footer="659" w:top="1400" w:bottom="840" w:left="920" w:right="540"/>
        </w:sectPr>
      </w:pPr>
    </w:p>
    <w:p>
      <w:pPr>
        <w:pStyle w:val="Heading2"/>
        <w:numPr>
          <w:ilvl w:val="0"/>
          <w:numId w:val="11"/>
        </w:numPr>
        <w:tabs>
          <w:tab w:pos="3169" w:val="left" w:leader="none"/>
        </w:tabs>
        <w:spacing w:line="240" w:lineRule="auto" w:before="44" w:after="0"/>
        <w:ind w:left="3168" w:right="0" w:hanging="636"/>
        <w:jc w:val="left"/>
      </w:pPr>
      <w:r>
        <w:rPr>
          <w:spacing w:val="-3"/>
        </w:rPr>
        <w:t>疯牛病:</w:t>
      </w:r>
    </w:p>
    <w:p>
      <w:pPr>
        <w:pStyle w:val="BodyText"/>
        <w:spacing w:before="7"/>
        <w:rPr>
          <w:b/>
          <w:sz w:val="15"/>
        </w:rPr>
      </w:pPr>
    </w:p>
    <w:p>
      <w:pPr>
        <w:pStyle w:val="BodyText"/>
        <w:spacing w:line="278" w:lineRule="auto"/>
        <w:ind w:left="2533" w:right="356"/>
        <w:jc w:val="both"/>
      </w:pPr>
      <w:r>
        <w:rPr>
          <w:spacing w:val="-5"/>
          <w:w w:val="100"/>
        </w:rPr>
        <w:t>指一种传染性海绵状脑病，临床表现为快速进行性痴呆、肌阵挛和特征性脑电图变</w:t>
      </w:r>
      <w:r>
        <w:rPr>
          <w:spacing w:val="-4"/>
          <w:w w:val="100"/>
        </w:rPr>
        <w:t>化。本病须经三级医疗机构的专科医生根据</w:t>
      </w:r>
      <w:r>
        <w:rPr>
          <w:spacing w:val="-52"/>
        </w:rPr>
        <w:t> </w:t>
      </w:r>
      <w:r>
        <w:rPr>
          <w:spacing w:val="-3"/>
          <w:w w:val="100"/>
        </w:rPr>
        <w:t>W</w:t>
      </w:r>
      <w:r>
        <w:rPr>
          <w:w w:val="100"/>
        </w:rPr>
        <w:t>HO</w:t>
      </w:r>
      <w:r>
        <w:rPr>
          <w:spacing w:val="-53"/>
        </w:rPr>
        <w:t> </w:t>
      </w:r>
      <w:r>
        <w:rPr>
          <w:spacing w:val="-4"/>
          <w:w w:val="100"/>
        </w:rPr>
        <w:t>诊断标准明确诊断，并且被保险人</w:t>
      </w:r>
      <w:r>
        <w:rPr>
          <w:spacing w:val="2"/>
          <w:w w:val="100"/>
        </w:rPr>
        <w:t>自主生活能力完全丧失，无法独立完成六项基本日常生活活动中的三项或三项以</w:t>
      </w:r>
      <w:r>
        <w:rPr>
          <w:w w:val="100"/>
        </w:rPr>
        <w:t>上。</w:t>
      </w:r>
    </w:p>
    <w:p>
      <w:pPr>
        <w:pStyle w:val="BodyText"/>
        <w:spacing w:before="156"/>
        <w:ind w:left="2533"/>
      </w:pPr>
      <w:r>
        <w:rPr>
          <w:color w:val="000000"/>
          <w:spacing w:val="-3"/>
          <w:shd w:fill="E4E4E4" w:color="auto" w:val="clear"/>
        </w:rPr>
        <w:t>疑似病例不在本保障范围。</w:t>
      </w:r>
    </w:p>
    <w:p>
      <w:pPr>
        <w:pStyle w:val="BodyText"/>
        <w:spacing w:before="6"/>
        <w:rPr>
          <w:sz w:val="15"/>
        </w:rPr>
      </w:pPr>
    </w:p>
    <w:p>
      <w:pPr>
        <w:pStyle w:val="Heading2"/>
        <w:numPr>
          <w:ilvl w:val="0"/>
          <w:numId w:val="11"/>
        </w:numPr>
        <w:tabs>
          <w:tab w:pos="3169" w:val="left" w:leader="none"/>
        </w:tabs>
        <w:spacing w:line="240" w:lineRule="auto" w:before="1" w:after="0"/>
        <w:ind w:left="3168" w:right="0" w:hanging="636"/>
        <w:jc w:val="left"/>
      </w:pPr>
      <w:r>
        <w:rPr>
          <w:spacing w:val="-3"/>
        </w:rPr>
        <w:t>严重骨髓增生异常综合征:</w:t>
      </w:r>
    </w:p>
    <w:p>
      <w:pPr>
        <w:pStyle w:val="BodyText"/>
        <w:spacing w:before="6"/>
        <w:rPr>
          <w:b/>
          <w:sz w:val="15"/>
        </w:rPr>
      </w:pPr>
    </w:p>
    <w:p>
      <w:pPr>
        <w:pStyle w:val="BodyText"/>
        <w:spacing w:line="278" w:lineRule="auto"/>
        <w:ind w:left="2533" w:right="356"/>
      </w:pPr>
      <w:r>
        <w:rPr>
          <w:spacing w:val="-2"/>
        </w:rPr>
        <w:t>指起源于造血干细胞的一组异质性髓系克隆性疾病，特点是髓系细胞发育异常，表</w:t>
      </w:r>
      <w:r>
        <w:rPr>
          <w:spacing w:val="-2"/>
        </w:rPr>
        <w:t>现为无效造血、难治性血细胞减少，本合同需满足下列所有条件：</w:t>
      </w:r>
    </w:p>
    <w:p>
      <w:pPr>
        <w:pStyle w:val="ListParagraph"/>
        <w:numPr>
          <w:ilvl w:val="0"/>
          <w:numId w:val="46"/>
        </w:numPr>
        <w:tabs>
          <w:tab w:pos="3254" w:val="left" w:leader="none"/>
          <w:tab w:pos="3255" w:val="left" w:leader="none"/>
        </w:tabs>
        <w:spacing w:line="278" w:lineRule="auto" w:before="156" w:after="0"/>
        <w:ind w:left="3254" w:right="354" w:hanging="721"/>
        <w:jc w:val="left"/>
        <w:rPr>
          <w:sz w:val="21"/>
        </w:rPr>
      </w:pPr>
      <w:r>
        <w:rPr>
          <w:spacing w:val="-2"/>
          <w:sz w:val="21"/>
        </w:rPr>
        <w:t>由设有专门血液病专科的公立三级甲等医疗机构血液病专科的主治级别以</w:t>
      </w:r>
      <w:r>
        <w:rPr>
          <w:spacing w:val="-2"/>
          <w:sz w:val="21"/>
        </w:rPr>
        <w:t>上的医师确诊；</w:t>
      </w:r>
    </w:p>
    <w:p>
      <w:pPr>
        <w:pStyle w:val="ListParagraph"/>
        <w:numPr>
          <w:ilvl w:val="0"/>
          <w:numId w:val="46"/>
        </w:numPr>
        <w:tabs>
          <w:tab w:pos="3255" w:val="left" w:leader="none"/>
        </w:tabs>
        <w:spacing w:line="240" w:lineRule="auto" w:before="156" w:after="0"/>
        <w:ind w:left="3254" w:right="0" w:hanging="722"/>
        <w:jc w:val="both"/>
        <w:rPr>
          <w:sz w:val="21"/>
        </w:rPr>
      </w:pPr>
      <w:r>
        <w:rPr>
          <w:spacing w:val="-2"/>
          <w:sz w:val="21"/>
        </w:rPr>
        <w:t>骨髓涂片检查同时符合发育异常细胞比例＞10%、原始细胞比例＞15%；</w:t>
      </w:r>
    </w:p>
    <w:p>
      <w:pPr>
        <w:pStyle w:val="BodyText"/>
        <w:spacing w:before="7"/>
        <w:rPr>
          <w:sz w:val="15"/>
        </w:rPr>
      </w:pPr>
    </w:p>
    <w:p>
      <w:pPr>
        <w:pStyle w:val="ListParagraph"/>
        <w:numPr>
          <w:ilvl w:val="0"/>
          <w:numId w:val="46"/>
        </w:numPr>
        <w:tabs>
          <w:tab w:pos="3255" w:val="left" w:leader="none"/>
        </w:tabs>
        <w:spacing w:line="240" w:lineRule="auto" w:before="0" w:after="0"/>
        <w:ind w:left="3254" w:right="0" w:hanging="722"/>
        <w:jc w:val="both"/>
        <w:rPr>
          <w:sz w:val="21"/>
        </w:rPr>
      </w:pPr>
      <w:r>
        <w:rPr>
          <w:spacing w:val="-3"/>
          <w:sz w:val="21"/>
        </w:rPr>
        <w:t>已接受至少累计三十日的化疗或已接受骨髓移植治疗。</w:t>
      </w:r>
    </w:p>
    <w:p>
      <w:pPr>
        <w:pStyle w:val="BodyText"/>
        <w:spacing w:before="7"/>
        <w:rPr>
          <w:sz w:val="15"/>
        </w:rPr>
      </w:pPr>
    </w:p>
    <w:p>
      <w:pPr>
        <w:pStyle w:val="BodyText"/>
        <w:spacing w:line="278" w:lineRule="auto"/>
        <w:ind w:left="2533" w:right="1813"/>
      </w:pPr>
      <w:r>
        <w:rPr>
          <w:spacing w:val="-2"/>
        </w:rPr>
        <w:t>化疗日数的计算以被保险人实际服用、注射化疗药物的天数为准。</w:t>
      </w:r>
      <w:r>
        <w:rPr>
          <w:color w:val="000000"/>
          <w:spacing w:val="-2"/>
          <w:shd w:fill="E4E4E4" w:color="auto" w:val="clear"/>
        </w:rPr>
        <w:t>疑似病例不在保障范围内。</w:t>
      </w:r>
    </w:p>
    <w:p>
      <w:pPr>
        <w:pStyle w:val="Heading2"/>
        <w:numPr>
          <w:ilvl w:val="0"/>
          <w:numId w:val="11"/>
        </w:numPr>
        <w:tabs>
          <w:tab w:pos="3169" w:val="left" w:leader="none"/>
        </w:tabs>
        <w:spacing w:line="240" w:lineRule="auto" w:before="156" w:after="0"/>
        <w:ind w:left="3168" w:right="0" w:hanging="636"/>
        <w:jc w:val="left"/>
      </w:pPr>
      <w:r>
        <w:rPr>
          <w:spacing w:val="-3"/>
        </w:rPr>
        <w:t>严重的类风湿性关节炎:</w:t>
      </w:r>
    </w:p>
    <w:p>
      <w:pPr>
        <w:pStyle w:val="BodyText"/>
        <w:spacing w:before="6"/>
        <w:rPr>
          <w:b/>
          <w:sz w:val="15"/>
        </w:rPr>
      </w:pPr>
    </w:p>
    <w:p>
      <w:pPr>
        <w:pStyle w:val="BodyText"/>
        <w:spacing w:line="278" w:lineRule="auto"/>
        <w:ind w:left="2533" w:right="356"/>
        <w:jc w:val="both"/>
      </w:pPr>
      <w:r>
        <w:rPr>
          <w:spacing w:val="-2"/>
        </w:rPr>
        <w:t>类风湿性关节炎为广泛分布的慢性进行性多关节病变，表现为关节严重变形，侵犯</w:t>
      </w:r>
      <w:r>
        <w:rPr>
          <w:spacing w:val="-2"/>
        </w:rPr>
        <w:t>至少三个主要关节或关节组（如：双手（多手指）关节、双足（多足趾）关节、双</w:t>
      </w:r>
      <w:r>
        <w:rPr>
          <w:spacing w:val="-10"/>
        </w:rPr>
        <w:t>腕关节、双膝关节和双髋关节</w:t>
      </w:r>
      <w:r>
        <w:rPr>
          <w:spacing w:val="-108"/>
        </w:rPr>
        <w:t>）</w:t>
      </w:r>
      <w:r>
        <w:rPr>
          <w:spacing w:val="-10"/>
        </w:rPr>
        <w:t>。类风湿性关节炎必须明确诊断并且已经达到类风湿</w:t>
      </w:r>
      <w:r>
        <w:rPr>
          <w:spacing w:val="-2"/>
        </w:rPr>
        <w:t>性关节炎功能分级Ⅲ级以上的功能障碍（关节活动严重限制，不能完成大部分的日</w:t>
      </w:r>
      <w:r>
        <w:rPr>
          <w:spacing w:val="-2"/>
        </w:rPr>
        <w:t>常工作和活动）并且满足下列全部条件：</w:t>
      </w:r>
    </w:p>
    <w:p>
      <w:pPr>
        <w:pStyle w:val="ListParagraph"/>
        <w:numPr>
          <w:ilvl w:val="0"/>
          <w:numId w:val="47"/>
        </w:numPr>
        <w:tabs>
          <w:tab w:pos="3255" w:val="left" w:leader="none"/>
        </w:tabs>
        <w:spacing w:line="240" w:lineRule="auto" w:before="156" w:after="0"/>
        <w:ind w:left="3254" w:right="0" w:hanging="722"/>
        <w:jc w:val="both"/>
        <w:rPr>
          <w:sz w:val="21"/>
        </w:rPr>
      </w:pPr>
      <w:r>
        <w:rPr>
          <w:spacing w:val="-4"/>
          <w:sz w:val="21"/>
        </w:rPr>
        <w:t>晨僵；</w:t>
      </w:r>
    </w:p>
    <w:p>
      <w:pPr>
        <w:pStyle w:val="BodyText"/>
        <w:spacing w:before="7"/>
        <w:rPr>
          <w:sz w:val="15"/>
        </w:rPr>
      </w:pPr>
    </w:p>
    <w:p>
      <w:pPr>
        <w:pStyle w:val="ListParagraph"/>
        <w:numPr>
          <w:ilvl w:val="0"/>
          <w:numId w:val="47"/>
        </w:numPr>
        <w:tabs>
          <w:tab w:pos="3255" w:val="left" w:leader="none"/>
        </w:tabs>
        <w:spacing w:line="240" w:lineRule="auto" w:before="0" w:after="0"/>
        <w:ind w:left="3254" w:right="0" w:hanging="722"/>
        <w:jc w:val="both"/>
        <w:rPr>
          <w:sz w:val="21"/>
        </w:rPr>
      </w:pPr>
      <w:r>
        <w:rPr>
          <w:spacing w:val="-4"/>
          <w:sz w:val="21"/>
        </w:rPr>
        <w:t>对称性关节炎；</w:t>
      </w:r>
    </w:p>
    <w:p>
      <w:pPr>
        <w:pStyle w:val="BodyText"/>
        <w:spacing w:before="7"/>
        <w:rPr>
          <w:sz w:val="15"/>
        </w:rPr>
      </w:pPr>
    </w:p>
    <w:p>
      <w:pPr>
        <w:pStyle w:val="ListParagraph"/>
        <w:numPr>
          <w:ilvl w:val="0"/>
          <w:numId w:val="47"/>
        </w:numPr>
        <w:tabs>
          <w:tab w:pos="3255" w:val="left" w:leader="none"/>
        </w:tabs>
        <w:spacing w:line="240" w:lineRule="auto" w:before="0" w:after="0"/>
        <w:ind w:left="3254" w:right="0" w:hanging="722"/>
        <w:jc w:val="both"/>
        <w:rPr>
          <w:sz w:val="21"/>
        </w:rPr>
      </w:pPr>
      <w:r>
        <w:rPr>
          <w:spacing w:val="-3"/>
          <w:sz w:val="21"/>
        </w:rPr>
        <w:t>类风湿性皮下结节；</w:t>
      </w:r>
    </w:p>
    <w:p>
      <w:pPr>
        <w:pStyle w:val="BodyText"/>
        <w:spacing w:before="6"/>
        <w:rPr>
          <w:sz w:val="15"/>
        </w:rPr>
      </w:pPr>
    </w:p>
    <w:p>
      <w:pPr>
        <w:pStyle w:val="ListParagraph"/>
        <w:numPr>
          <w:ilvl w:val="0"/>
          <w:numId w:val="47"/>
        </w:numPr>
        <w:tabs>
          <w:tab w:pos="3255" w:val="left" w:leader="none"/>
        </w:tabs>
        <w:spacing w:line="240" w:lineRule="auto" w:before="1" w:after="0"/>
        <w:ind w:left="3254" w:right="0" w:hanging="722"/>
        <w:jc w:val="both"/>
        <w:rPr>
          <w:sz w:val="21"/>
        </w:rPr>
      </w:pPr>
      <w:r>
        <w:rPr>
          <w:spacing w:val="-3"/>
          <w:sz w:val="21"/>
        </w:rPr>
        <w:t>类风湿因子滴度升高；</w:t>
      </w:r>
    </w:p>
    <w:p>
      <w:pPr>
        <w:pStyle w:val="BodyText"/>
        <w:spacing w:before="6"/>
        <w:rPr>
          <w:sz w:val="15"/>
        </w:rPr>
      </w:pPr>
    </w:p>
    <w:p>
      <w:pPr>
        <w:pStyle w:val="ListParagraph"/>
        <w:numPr>
          <w:ilvl w:val="0"/>
          <w:numId w:val="47"/>
        </w:numPr>
        <w:tabs>
          <w:tab w:pos="3255" w:val="left" w:leader="none"/>
        </w:tabs>
        <w:spacing w:line="240" w:lineRule="auto" w:before="0" w:after="0"/>
        <w:ind w:left="3254" w:right="0" w:hanging="722"/>
        <w:jc w:val="both"/>
        <w:rPr>
          <w:sz w:val="21"/>
        </w:rPr>
      </w:pPr>
      <w:r>
        <w:rPr>
          <w:spacing w:val="-2"/>
          <w:sz w:val="21"/>
        </w:rPr>
        <w:t>X</w:t>
      </w:r>
      <w:r>
        <w:rPr>
          <w:spacing w:val="-9"/>
          <w:sz w:val="21"/>
        </w:rPr>
        <w:t> 线显示严重的关节</w:t>
      </w:r>
      <w:r>
        <w:rPr>
          <w:spacing w:val="-2"/>
          <w:sz w:val="21"/>
        </w:rPr>
        <w:t>（软骨和骨）</w:t>
      </w:r>
      <w:r>
        <w:rPr>
          <w:spacing w:val="-3"/>
          <w:sz w:val="21"/>
        </w:rPr>
        <w:t>破坏和关节畸形。</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严重面部烧伤:</w:t>
      </w:r>
    </w:p>
    <w:p>
      <w:pPr>
        <w:pStyle w:val="BodyText"/>
        <w:spacing w:before="7"/>
        <w:rPr>
          <w:b/>
          <w:sz w:val="15"/>
        </w:rPr>
      </w:pPr>
    </w:p>
    <w:p>
      <w:pPr>
        <w:pStyle w:val="BodyText"/>
        <w:spacing w:line="278" w:lineRule="auto"/>
        <w:ind w:left="2533" w:right="358"/>
        <w:jc w:val="both"/>
      </w:pPr>
      <w:r>
        <w:rPr>
          <w:spacing w:val="-9"/>
        </w:rPr>
        <w:t>指面部烧伤程度为Ⅲ度，且Ⅲ度烧伤的面积达到面部表面积的 </w:t>
      </w:r>
      <w:r>
        <w:rPr>
          <w:spacing w:val="-2"/>
        </w:rPr>
        <w:t>80</w:t>
      </w:r>
      <w:r>
        <w:rPr>
          <w:spacing w:val="-8"/>
        </w:rPr>
        <w:t>%或者 </w:t>
      </w:r>
      <w:r>
        <w:rPr>
          <w:spacing w:val="-2"/>
        </w:rPr>
        <w:t>80</w:t>
      </w:r>
      <w:r>
        <w:rPr>
          <w:spacing w:val="-14"/>
        </w:rPr>
        <w:t>%以上，体</w:t>
      </w:r>
      <w:r>
        <w:rPr>
          <w:spacing w:val="-2"/>
        </w:rPr>
        <w:t>表面积根据《中国新九分法》计算。</w:t>
      </w:r>
    </w:p>
    <w:p>
      <w:pPr>
        <w:pStyle w:val="Heading2"/>
        <w:numPr>
          <w:ilvl w:val="0"/>
          <w:numId w:val="11"/>
        </w:numPr>
        <w:tabs>
          <w:tab w:pos="3169" w:val="left" w:leader="none"/>
        </w:tabs>
        <w:spacing w:line="240" w:lineRule="auto" w:before="156" w:after="0"/>
        <w:ind w:left="3168" w:right="0" w:hanging="636"/>
        <w:jc w:val="left"/>
      </w:pPr>
      <w:r>
        <w:rPr>
          <w:spacing w:val="-2"/>
        </w:rPr>
        <w:t>Ⅲ型成骨不全症:</w:t>
      </w:r>
    </w:p>
    <w:p>
      <w:pPr>
        <w:pStyle w:val="BodyText"/>
        <w:spacing w:before="7"/>
        <w:rPr>
          <w:b/>
          <w:sz w:val="15"/>
        </w:rPr>
      </w:pPr>
    </w:p>
    <w:p>
      <w:pPr>
        <w:pStyle w:val="BodyText"/>
        <w:spacing w:line="278" w:lineRule="auto"/>
        <w:ind w:left="2533" w:right="255"/>
      </w:pPr>
      <w:r>
        <w:rPr>
          <w:spacing w:val="-4"/>
        </w:rPr>
        <w:t>指一种胶原病，特征为骨易碎，骨质疏松和易骨折。主要临床特点包括：发展迟缓、</w:t>
      </w:r>
      <w:r>
        <w:rPr>
          <w:spacing w:val="-2"/>
        </w:rPr>
        <w:t>多发性骨折、进行性脊柱后侧凸及听力损害。该病种的检查必须依据身体检查，家</w:t>
      </w:r>
      <w:r>
        <w:rPr/>
        <w:t>族史，X 线检查和皮肤活检报告资料确诊。成骨不全症第Ⅲ型须同时符合下列所有</w:t>
      </w:r>
      <w:r>
        <w:rPr>
          <w:spacing w:val="-4"/>
        </w:rPr>
        <w:t>条件：</w:t>
      </w:r>
    </w:p>
    <w:p>
      <w:pPr>
        <w:spacing w:after="0" w:line="278" w:lineRule="auto"/>
        <w:sectPr>
          <w:pgSz w:w="11910" w:h="16840"/>
          <w:pgMar w:header="0" w:footer="659" w:top="1400" w:bottom="840" w:left="920" w:right="540"/>
        </w:sectPr>
      </w:pPr>
    </w:p>
    <w:p>
      <w:pPr>
        <w:pStyle w:val="ListParagraph"/>
        <w:numPr>
          <w:ilvl w:val="0"/>
          <w:numId w:val="48"/>
        </w:numPr>
        <w:tabs>
          <w:tab w:pos="3254" w:val="left" w:leader="none"/>
          <w:tab w:pos="3255" w:val="left" w:leader="none"/>
        </w:tabs>
        <w:spacing w:line="240" w:lineRule="auto" w:before="44" w:after="0"/>
        <w:ind w:left="3254" w:right="0" w:hanging="722"/>
        <w:jc w:val="left"/>
        <w:rPr>
          <w:sz w:val="21"/>
        </w:rPr>
      </w:pPr>
      <w:r>
        <w:rPr>
          <w:spacing w:val="-3"/>
          <w:sz w:val="21"/>
        </w:rPr>
        <w:t>就成骨不全症第三型之诊断进行的皮肤切片的病理检查结果为阳性；</w:t>
      </w:r>
    </w:p>
    <w:p>
      <w:pPr>
        <w:pStyle w:val="BodyText"/>
        <w:spacing w:before="7"/>
        <w:rPr>
          <w:sz w:val="15"/>
        </w:rPr>
      </w:pPr>
    </w:p>
    <w:p>
      <w:pPr>
        <w:pStyle w:val="ListParagraph"/>
        <w:numPr>
          <w:ilvl w:val="0"/>
          <w:numId w:val="48"/>
        </w:numPr>
        <w:tabs>
          <w:tab w:pos="3254" w:val="left" w:leader="none"/>
          <w:tab w:pos="3255" w:val="left" w:leader="none"/>
        </w:tabs>
        <w:spacing w:line="240" w:lineRule="auto" w:before="0" w:after="0"/>
        <w:ind w:left="3254" w:right="0" w:hanging="722"/>
        <w:jc w:val="left"/>
        <w:rPr>
          <w:sz w:val="21"/>
        </w:rPr>
      </w:pPr>
      <w:r>
        <w:rPr>
          <w:spacing w:val="-2"/>
          <w:sz w:val="21"/>
        </w:rPr>
        <w:t>X</w:t>
      </w:r>
      <w:r>
        <w:rPr>
          <w:spacing w:val="-9"/>
          <w:sz w:val="21"/>
        </w:rPr>
        <w:t> 光片结果显示多处骨折及逐步脊柱后侧凸畸形；</w:t>
      </w:r>
    </w:p>
    <w:p>
      <w:pPr>
        <w:pStyle w:val="BodyText"/>
        <w:spacing w:before="7"/>
        <w:rPr>
          <w:sz w:val="15"/>
        </w:rPr>
      </w:pPr>
    </w:p>
    <w:p>
      <w:pPr>
        <w:pStyle w:val="ListParagraph"/>
        <w:numPr>
          <w:ilvl w:val="0"/>
          <w:numId w:val="48"/>
        </w:numPr>
        <w:tabs>
          <w:tab w:pos="3254" w:val="left" w:leader="none"/>
          <w:tab w:pos="3255" w:val="left" w:leader="none"/>
        </w:tabs>
        <w:spacing w:line="240" w:lineRule="auto" w:before="0" w:after="0"/>
        <w:ind w:left="3254" w:right="0" w:hanging="722"/>
        <w:jc w:val="left"/>
        <w:rPr>
          <w:sz w:val="21"/>
        </w:rPr>
      </w:pPr>
      <w:r>
        <w:rPr>
          <w:spacing w:val="-3"/>
          <w:sz w:val="21"/>
        </w:rPr>
        <w:t>有证明是因此疾病引致发育迟缓及听力损伤；</w:t>
      </w:r>
    </w:p>
    <w:p>
      <w:pPr>
        <w:pStyle w:val="BodyText"/>
        <w:spacing w:before="7"/>
        <w:rPr>
          <w:sz w:val="15"/>
        </w:rPr>
      </w:pPr>
    </w:p>
    <w:p>
      <w:pPr>
        <w:pStyle w:val="ListParagraph"/>
        <w:numPr>
          <w:ilvl w:val="0"/>
          <w:numId w:val="48"/>
        </w:numPr>
        <w:tabs>
          <w:tab w:pos="3254" w:val="left" w:leader="none"/>
          <w:tab w:pos="3255" w:val="left" w:leader="none"/>
        </w:tabs>
        <w:spacing w:line="240" w:lineRule="auto" w:before="0" w:after="0"/>
        <w:ind w:left="3254" w:right="0" w:hanging="722"/>
        <w:jc w:val="left"/>
        <w:rPr>
          <w:sz w:val="21"/>
        </w:rPr>
      </w:pPr>
      <w:r>
        <w:rPr>
          <w:spacing w:val="-3"/>
          <w:sz w:val="21"/>
        </w:rPr>
        <w:t>由本公司认可医院的儿科专科医生明确诊断。</w:t>
      </w:r>
    </w:p>
    <w:p>
      <w:pPr>
        <w:pStyle w:val="BodyText"/>
        <w:spacing w:before="12"/>
        <w:rPr>
          <w:sz w:val="9"/>
        </w:rPr>
      </w:pPr>
    </w:p>
    <w:p>
      <w:pPr>
        <w:pStyle w:val="BodyText"/>
        <w:spacing w:before="71"/>
        <w:ind w:left="2533"/>
      </w:pPr>
      <w:r>
        <w:rPr>
          <w:color w:val="000000"/>
          <w:spacing w:val="-6"/>
          <w:shd w:fill="E4E4E4" w:color="auto" w:val="clear"/>
        </w:rPr>
        <w:t>本公司仅对被保险人年满 </w:t>
      </w:r>
      <w:r>
        <w:rPr>
          <w:color w:val="000000"/>
          <w:spacing w:val="-2"/>
          <w:shd w:fill="E4E4E4" w:color="auto" w:val="clear"/>
        </w:rPr>
        <w:t>18</w:t>
      </w:r>
      <w:r>
        <w:rPr>
          <w:color w:val="000000"/>
          <w:spacing w:val="-10"/>
          <w:shd w:fill="E4E4E4" w:color="auto" w:val="clear"/>
        </w:rPr>
        <w:t> 周岁前确诊本项疾病承担保险责任。</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3"/>
        </w:rPr>
        <w:t>严重幼年性类风湿性关节炎:</w:t>
      </w:r>
    </w:p>
    <w:p>
      <w:pPr>
        <w:pStyle w:val="BodyText"/>
        <w:spacing w:before="7"/>
        <w:rPr>
          <w:b/>
          <w:sz w:val="15"/>
        </w:rPr>
      </w:pPr>
    </w:p>
    <w:p>
      <w:pPr>
        <w:pStyle w:val="BodyText"/>
        <w:spacing w:line="278" w:lineRule="auto"/>
        <w:ind w:left="2533" w:right="355"/>
        <w:jc w:val="both"/>
      </w:pPr>
      <w:r>
        <w:rPr>
          <w:spacing w:val="-2"/>
        </w:rPr>
        <w:t>指一种少儿的结缔组织病，以慢性关节炎为其主要特点，并伴有全身多个系统的受</w:t>
      </w:r>
      <w:r>
        <w:rPr>
          <w:spacing w:val="-2"/>
        </w:rPr>
        <w:t>累，包括关节、肌肉、肝、脾、淋巴结等。本病须经专科医生明确诊断，同时须已</w:t>
      </w:r>
      <w:r>
        <w:rPr>
          <w:spacing w:val="-2"/>
        </w:rPr>
        <w:t>经实施膝关节或髋关节置换手术。</w:t>
      </w:r>
    </w:p>
    <w:p>
      <w:pPr>
        <w:pStyle w:val="Heading2"/>
        <w:numPr>
          <w:ilvl w:val="0"/>
          <w:numId w:val="11"/>
        </w:numPr>
        <w:tabs>
          <w:tab w:pos="3169" w:val="left" w:leader="none"/>
        </w:tabs>
        <w:spacing w:line="240" w:lineRule="auto" w:before="156" w:after="0"/>
        <w:ind w:left="3168" w:right="0" w:hanging="636"/>
        <w:jc w:val="left"/>
      </w:pPr>
      <w:r>
        <w:rPr>
          <w:spacing w:val="-3"/>
        </w:rPr>
        <w:t>重症急性坏死性筋膜炎:</w:t>
      </w:r>
    </w:p>
    <w:p>
      <w:pPr>
        <w:pStyle w:val="BodyText"/>
        <w:spacing w:before="7"/>
        <w:rPr>
          <w:b/>
          <w:sz w:val="15"/>
        </w:rPr>
      </w:pPr>
    </w:p>
    <w:p>
      <w:pPr>
        <w:pStyle w:val="BodyText"/>
        <w:spacing w:line="278" w:lineRule="auto"/>
        <w:ind w:left="2533" w:right="344"/>
      </w:pPr>
      <w:r>
        <w:rPr>
          <w:spacing w:val="-2"/>
        </w:rPr>
        <w:t>指一种由细菌侵入皮下组织和筋膜引起的急性坏死性软组织感染，可伴有毒血症、</w:t>
      </w:r>
      <w:r>
        <w:rPr>
          <w:spacing w:val="-3"/>
        </w:rPr>
        <w:t>败血症、中毒性休克、弥漫性血管内凝血及多器官衰竭。必须满足以下所有条件：</w:t>
      </w:r>
    </w:p>
    <w:p>
      <w:pPr>
        <w:pStyle w:val="ListParagraph"/>
        <w:numPr>
          <w:ilvl w:val="0"/>
          <w:numId w:val="49"/>
        </w:numPr>
        <w:tabs>
          <w:tab w:pos="3254" w:val="left" w:leader="none"/>
          <w:tab w:pos="3255" w:val="left" w:leader="none"/>
        </w:tabs>
        <w:spacing w:line="240" w:lineRule="auto" w:before="156" w:after="0"/>
        <w:ind w:left="3254" w:right="0" w:hanging="722"/>
        <w:jc w:val="left"/>
        <w:rPr>
          <w:sz w:val="21"/>
        </w:rPr>
      </w:pPr>
      <w:r>
        <w:rPr>
          <w:spacing w:val="-3"/>
          <w:sz w:val="21"/>
        </w:rPr>
        <w:t>细菌培养和临床表现符合坏死性筋膜炎诊断标准；</w:t>
      </w:r>
    </w:p>
    <w:p>
      <w:pPr>
        <w:pStyle w:val="BodyText"/>
        <w:spacing w:before="6"/>
        <w:rPr>
          <w:sz w:val="15"/>
        </w:rPr>
      </w:pPr>
    </w:p>
    <w:p>
      <w:pPr>
        <w:pStyle w:val="ListParagraph"/>
        <w:numPr>
          <w:ilvl w:val="0"/>
          <w:numId w:val="49"/>
        </w:numPr>
        <w:tabs>
          <w:tab w:pos="3254" w:val="left" w:leader="none"/>
          <w:tab w:pos="3255" w:val="left" w:leader="none"/>
        </w:tabs>
        <w:spacing w:line="240" w:lineRule="auto" w:before="0" w:after="0"/>
        <w:ind w:left="3254" w:right="0" w:hanging="722"/>
        <w:jc w:val="left"/>
        <w:rPr>
          <w:sz w:val="21"/>
        </w:rPr>
      </w:pPr>
      <w:r>
        <w:rPr>
          <w:spacing w:val="-3"/>
          <w:sz w:val="21"/>
        </w:rPr>
        <w:t>病情迅速恶化，有脓毒血症表现；</w:t>
      </w:r>
    </w:p>
    <w:p>
      <w:pPr>
        <w:pStyle w:val="BodyText"/>
        <w:spacing w:before="7"/>
        <w:rPr>
          <w:sz w:val="15"/>
        </w:rPr>
      </w:pPr>
    </w:p>
    <w:p>
      <w:pPr>
        <w:pStyle w:val="ListParagraph"/>
        <w:numPr>
          <w:ilvl w:val="0"/>
          <w:numId w:val="49"/>
        </w:numPr>
        <w:tabs>
          <w:tab w:pos="3254" w:val="left" w:leader="none"/>
          <w:tab w:pos="3255" w:val="left" w:leader="none"/>
        </w:tabs>
        <w:spacing w:line="240" w:lineRule="auto" w:before="0" w:after="0"/>
        <w:ind w:left="3254" w:right="0" w:hanging="722"/>
        <w:jc w:val="left"/>
        <w:rPr>
          <w:sz w:val="21"/>
        </w:rPr>
      </w:pPr>
      <w:r>
        <w:rPr>
          <w:spacing w:val="-2"/>
          <w:sz w:val="21"/>
        </w:rPr>
        <w:t>受感染肢体被截肢（自腕关节或踝关节近端</w:t>
      </w:r>
      <w:r>
        <w:rPr>
          <w:spacing w:val="-108"/>
          <w:sz w:val="21"/>
        </w:rPr>
        <w:t>）</w:t>
      </w:r>
      <w:r>
        <w:rPr>
          <w:spacing w:val="-10"/>
          <w:sz w:val="21"/>
        </w:rPr>
        <w:t>。</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3"/>
        </w:rPr>
        <w:t>肾上腺脑白质营养不良:</w:t>
      </w:r>
    </w:p>
    <w:p>
      <w:pPr>
        <w:pStyle w:val="BodyText"/>
        <w:spacing w:before="6"/>
        <w:rPr>
          <w:b/>
          <w:sz w:val="15"/>
        </w:rPr>
      </w:pPr>
    </w:p>
    <w:p>
      <w:pPr>
        <w:pStyle w:val="BodyText"/>
        <w:spacing w:line="278" w:lineRule="auto" w:before="1"/>
        <w:ind w:left="2533" w:right="356"/>
        <w:jc w:val="both"/>
      </w:pPr>
      <w:r>
        <w:rPr>
          <w:spacing w:val="-2"/>
        </w:rPr>
        <w:t>指一种最常见的过氧化物酶体病，主要累及肾上腺和脑白质，主要表现为进行性的</w:t>
      </w:r>
      <w:r>
        <w:rPr>
          <w:spacing w:val="-2"/>
        </w:rPr>
        <w:t>精神运动障碍，视力及听力下降或肾上腺皮质功能低下等。须由专科医生诊断，且</w:t>
      </w:r>
      <w:r>
        <w:rPr>
          <w:spacing w:val="-2"/>
        </w:rPr>
        <w:t>已经造成自主生活能力完全丧失，无法独立完成六项基本日常生活活动中的三项或</w:t>
      </w:r>
      <w:r>
        <w:rPr>
          <w:spacing w:val="-2"/>
        </w:rPr>
        <w:t>三项以上，持续至少 </w:t>
      </w:r>
      <w:r>
        <w:rPr/>
        <w:t>180</w:t>
      </w:r>
      <w:r>
        <w:rPr>
          <w:spacing w:val="-9"/>
        </w:rPr>
        <w:t> 天。</w:t>
      </w:r>
    </w:p>
    <w:p>
      <w:pPr>
        <w:pStyle w:val="Heading2"/>
        <w:numPr>
          <w:ilvl w:val="0"/>
          <w:numId w:val="11"/>
        </w:numPr>
        <w:tabs>
          <w:tab w:pos="3169" w:val="left" w:leader="none"/>
        </w:tabs>
        <w:spacing w:line="240" w:lineRule="auto" w:before="156" w:after="0"/>
        <w:ind w:left="3168" w:right="0" w:hanging="636"/>
        <w:jc w:val="left"/>
      </w:pPr>
      <w:r>
        <w:rPr>
          <w:spacing w:val="-2"/>
        </w:rPr>
        <w:t>室壁瘤切除术:</w:t>
      </w:r>
    </w:p>
    <w:p>
      <w:pPr>
        <w:pStyle w:val="BodyText"/>
        <w:spacing w:before="6"/>
        <w:rPr>
          <w:b/>
          <w:sz w:val="15"/>
        </w:rPr>
      </w:pPr>
    </w:p>
    <w:p>
      <w:pPr>
        <w:pStyle w:val="BodyText"/>
        <w:spacing w:line="278" w:lineRule="auto"/>
        <w:ind w:left="2533" w:right="344"/>
      </w:pPr>
      <w:r>
        <w:rPr>
          <w:spacing w:val="-2"/>
        </w:rPr>
        <w:t>指被明确诊断为左室室壁瘤，并实际接受了开胸开心进行的室壁瘤切除手术治疗。</w:t>
      </w:r>
      <w:r>
        <w:rPr>
          <w:color w:val="000000"/>
          <w:spacing w:val="-2"/>
          <w:shd w:fill="E4E4E4" w:color="auto" w:val="clear"/>
        </w:rPr>
        <w:t>经导管心室内成型手术治疗不在保障范围内。</w:t>
      </w:r>
    </w:p>
    <w:p>
      <w:pPr>
        <w:pStyle w:val="Heading2"/>
        <w:numPr>
          <w:ilvl w:val="0"/>
          <w:numId w:val="11"/>
        </w:numPr>
        <w:tabs>
          <w:tab w:pos="3169" w:val="left" w:leader="none"/>
        </w:tabs>
        <w:spacing w:line="240" w:lineRule="auto" w:before="156" w:after="0"/>
        <w:ind w:left="3168" w:right="0" w:hanging="636"/>
        <w:jc w:val="left"/>
      </w:pPr>
      <w:r>
        <w:rPr>
          <w:spacing w:val="-2"/>
        </w:rPr>
        <w:t>延髓空洞症:</w:t>
      </w:r>
    </w:p>
    <w:p>
      <w:pPr>
        <w:pStyle w:val="BodyText"/>
        <w:spacing w:before="7"/>
        <w:rPr>
          <w:b/>
          <w:sz w:val="15"/>
        </w:rPr>
      </w:pPr>
    </w:p>
    <w:p>
      <w:pPr>
        <w:pStyle w:val="BodyText"/>
        <w:spacing w:line="278" w:lineRule="auto"/>
        <w:ind w:left="2533" w:right="356"/>
        <w:jc w:val="both"/>
      </w:pPr>
      <w:r>
        <w:rPr>
          <w:spacing w:val="-2"/>
        </w:rPr>
        <w:t>脊髓空洞症指一种慢性、进行性的脊髓变性性疾病，其特征为脊髓内空洞形成，临</w:t>
      </w:r>
      <w:r>
        <w:rPr>
          <w:spacing w:val="-2"/>
        </w:rPr>
        <w:t>床表现为感觉异常、肌萎缩及神经营养障碍。累及延髓的脊髓空洞症称为延髓空洞</w:t>
      </w:r>
      <w:r>
        <w:rPr>
          <w:spacing w:val="-2"/>
        </w:rPr>
        <w:t>症，表现为延髓麻痹。延髓空洞症须经本公司认可的医院的专科医生明确诊断，并</w:t>
      </w:r>
      <w:r>
        <w:rPr>
          <w:spacing w:val="-4"/>
        </w:rPr>
        <w:t>须导致神经系统功能的永久性损害且存在持续至少 </w:t>
      </w:r>
      <w:r>
        <w:rPr>
          <w:spacing w:val="-2"/>
        </w:rPr>
        <w:t>180</w:t>
      </w:r>
      <w:r>
        <w:rPr>
          <w:spacing w:val="-7"/>
        </w:rPr>
        <w:t> 日的神经系统功能缺失。须</w:t>
      </w:r>
      <w:r>
        <w:rPr>
          <w:spacing w:val="-2"/>
        </w:rPr>
        <w:t>满足下列至少一项条件：</w:t>
      </w:r>
    </w:p>
    <w:p>
      <w:pPr>
        <w:pStyle w:val="ListParagraph"/>
        <w:numPr>
          <w:ilvl w:val="0"/>
          <w:numId w:val="50"/>
        </w:numPr>
        <w:tabs>
          <w:tab w:pos="3254" w:val="left" w:leader="none"/>
          <w:tab w:pos="3255" w:val="left" w:leader="none"/>
        </w:tabs>
        <w:spacing w:line="240" w:lineRule="auto" w:before="156" w:after="0"/>
        <w:ind w:left="3254" w:right="0" w:hanging="722"/>
        <w:jc w:val="left"/>
        <w:rPr>
          <w:sz w:val="21"/>
        </w:rPr>
      </w:pPr>
      <w:r>
        <w:rPr>
          <w:spacing w:val="-3"/>
          <w:sz w:val="21"/>
        </w:rPr>
        <w:t>延髓麻痹呈显著舌肌萎缩、构音困难和吞咽困难；</w:t>
      </w:r>
    </w:p>
    <w:p>
      <w:pPr>
        <w:pStyle w:val="BodyText"/>
        <w:spacing w:before="6"/>
        <w:rPr>
          <w:sz w:val="15"/>
        </w:rPr>
      </w:pPr>
    </w:p>
    <w:p>
      <w:pPr>
        <w:pStyle w:val="ListParagraph"/>
        <w:numPr>
          <w:ilvl w:val="0"/>
          <w:numId w:val="50"/>
        </w:numPr>
        <w:tabs>
          <w:tab w:pos="3254" w:val="left" w:leader="none"/>
          <w:tab w:pos="3255" w:val="left" w:leader="none"/>
        </w:tabs>
        <w:spacing w:line="240" w:lineRule="auto" w:before="1" w:after="0"/>
        <w:ind w:left="3254" w:right="0" w:hanging="722"/>
        <w:jc w:val="left"/>
        <w:rPr>
          <w:sz w:val="21"/>
        </w:rPr>
      </w:pPr>
      <w:r>
        <w:rPr>
          <w:spacing w:val="-16"/>
          <w:sz w:val="21"/>
        </w:rPr>
        <w:t>双手萎缩呈“爪形手”，肌力 </w:t>
      </w:r>
      <w:r>
        <w:rPr>
          <w:spacing w:val="-2"/>
          <w:sz w:val="21"/>
        </w:rPr>
        <w:t>2</w:t>
      </w:r>
      <w:r>
        <w:rPr>
          <w:spacing w:val="-12"/>
          <w:sz w:val="21"/>
        </w:rPr>
        <w:t> 级或以下。</w:t>
      </w:r>
    </w:p>
    <w:p>
      <w:pPr>
        <w:pStyle w:val="BodyText"/>
        <w:spacing w:before="6"/>
        <w:rPr>
          <w:sz w:val="15"/>
        </w:rPr>
      </w:pPr>
    </w:p>
    <w:p>
      <w:pPr>
        <w:pStyle w:val="Heading2"/>
        <w:numPr>
          <w:ilvl w:val="0"/>
          <w:numId w:val="11"/>
        </w:numPr>
        <w:tabs>
          <w:tab w:pos="3169" w:val="left" w:leader="none"/>
        </w:tabs>
        <w:spacing w:line="240" w:lineRule="auto" w:before="0" w:after="0"/>
        <w:ind w:left="3168" w:right="0" w:hanging="636"/>
        <w:jc w:val="left"/>
      </w:pPr>
      <w:r>
        <w:rPr>
          <w:spacing w:val="-2"/>
        </w:rPr>
        <w:t>严重巨细胞动脉炎:</w:t>
      </w:r>
    </w:p>
    <w:p>
      <w:pPr>
        <w:pStyle w:val="BodyText"/>
        <w:spacing w:before="7"/>
        <w:rPr>
          <w:b/>
          <w:sz w:val="15"/>
        </w:rPr>
      </w:pPr>
    </w:p>
    <w:p>
      <w:pPr>
        <w:pStyle w:val="BodyText"/>
        <w:spacing w:line="278" w:lineRule="auto"/>
        <w:ind w:left="2533" w:right="250"/>
      </w:pPr>
      <w:r>
        <w:rPr>
          <w:spacing w:val="-4"/>
        </w:rPr>
        <w:t>巨细胞动脉炎又称颅动脉炎、颞动脉炎、肉芽肿性动脉炎，须由专科医生明确诊断，</w:t>
      </w:r>
      <w:r>
        <w:rPr>
          <w:spacing w:val="-2"/>
        </w:rPr>
        <w:t>并造成永久不可逆性的单个肢体功能障碍或单眼失明。单眼失明指单眼视力永久不</w:t>
      </w:r>
    </w:p>
    <w:p>
      <w:pPr>
        <w:spacing w:after="0" w:line="278" w:lineRule="auto"/>
        <w:sectPr>
          <w:pgSz w:w="11910" w:h="16840"/>
          <w:pgMar w:header="0" w:footer="659" w:top="1400" w:bottom="840" w:left="920" w:right="540"/>
        </w:sectPr>
      </w:pPr>
    </w:p>
    <w:p>
      <w:pPr>
        <w:pStyle w:val="BodyText"/>
        <w:spacing w:before="44"/>
        <w:ind w:left="2533"/>
      </w:pPr>
      <w:r>
        <w:rPr>
          <w:spacing w:val="-3"/>
        </w:rPr>
        <w:t>可逆性丧失，患眼须满足下列至少一项条件：</w:t>
      </w:r>
    </w:p>
    <w:p>
      <w:pPr>
        <w:pStyle w:val="BodyText"/>
        <w:spacing w:before="7"/>
        <w:rPr>
          <w:sz w:val="15"/>
        </w:rPr>
      </w:pPr>
    </w:p>
    <w:p>
      <w:pPr>
        <w:pStyle w:val="ListParagraph"/>
        <w:numPr>
          <w:ilvl w:val="0"/>
          <w:numId w:val="51"/>
        </w:numPr>
        <w:tabs>
          <w:tab w:pos="3254" w:val="left" w:leader="none"/>
          <w:tab w:pos="3255" w:val="left" w:leader="none"/>
        </w:tabs>
        <w:spacing w:line="240" w:lineRule="auto" w:before="0" w:after="0"/>
        <w:ind w:left="3254" w:right="0" w:hanging="722"/>
        <w:jc w:val="left"/>
        <w:rPr>
          <w:sz w:val="21"/>
        </w:rPr>
      </w:pPr>
      <w:r>
        <w:rPr>
          <w:spacing w:val="-3"/>
          <w:sz w:val="21"/>
        </w:rPr>
        <w:t>眼球缺失或者摘除；</w:t>
      </w:r>
    </w:p>
    <w:p>
      <w:pPr>
        <w:pStyle w:val="BodyText"/>
        <w:spacing w:before="7"/>
        <w:rPr>
          <w:sz w:val="15"/>
        </w:rPr>
      </w:pPr>
    </w:p>
    <w:p>
      <w:pPr>
        <w:pStyle w:val="ListParagraph"/>
        <w:numPr>
          <w:ilvl w:val="0"/>
          <w:numId w:val="51"/>
        </w:numPr>
        <w:tabs>
          <w:tab w:pos="3254" w:val="left" w:leader="none"/>
          <w:tab w:pos="3255" w:val="left" w:leader="none"/>
        </w:tabs>
        <w:spacing w:line="278" w:lineRule="auto" w:before="0" w:after="0"/>
        <w:ind w:left="3254" w:right="356" w:hanging="721"/>
        <w:jc w:val="left"/>
        <w:rPr>
          <w:sz w:val="21"/>
        </w:rPr>
      </w:pPr>
      <w:r>
        <w:rPr>
          <w:spacing w:val="-4"/>
          <w:sz w:val="21"/>
        </w:rPr>
        <w:t>矫正视力低于 </w:t>
      </w:r>
      <w:r>
        <w:rPr>
          <w:sz w:val="21"/>
        </w:rPr>
        <w:t>0.02（采用国际标准视力表，如果使用其它视力表应进行换</w:t>
      </w:r>
      <w:r>
        <w:rPr>
          <w:spacing w:val="-10"/>
          <w:sz w:val="21"/>
        </w:rPr>
        <w:t>算</w:t>
      </w:r>
      <w:r>
        <w:rPr>
          <w:spacing w:val="-106"/>
          <w:sz w:val="21"/>
        </w:rPr>
        <w:t>）</w:t>
      </w:r>
      <w:r>
        <w:rPr>
          <w:sz w:val="21"/>
        </w:rPr>
        <w:t>；</w:t>
      </w:r>
    </w:p>
    <w:p>
      <w:pPr>
        <w:pStyle w:val="ListParagraph"/>
        <w:numPr>
          <w:ilvl w:val="0"/>
          <w:numId w:val="51"/>
        </w:numPr>
        <w:tabs>
          <w:tab w:pos="3254" w:val="left" w:leader="none"/>
          <w:tab w:pos="3255" w:val="left" w:leader="none"/>
        </w:tabs>
        <w:spacing w:line="240" w:lineRule="auto" w:before="156" w:after="0"/>
        <w:ind w:left="3254" w:right="0" w:hanging="722"/>
        <w:jc w:val="left"/>
        <w:rPr>
          <w:sz w:val="21"/>
        </w:rPr>
      </w:pPr>
      <w:r>
        <w:rPr>
          <w:spacing w:val="-9"/>
          <w:sz w:val="21"/>
        </w:rPr>
        <w:t>视野半径小于 </w:t>
      </w:r>
      <w:r>
        <w:rPr>
          <w:spacing w:val="-2"/>
          <w:sz w:val="21"/>
        </w:rPr>
        <w:t>5</w:t>
      </w:r>
      <w:r>
        <w:rPr>
          <w:spacing w:val="-21"/>
          <w:sz w:val="21"/>
        </w:rPr>
        <w:t> 度。</w:t>
      </w:r>
    </w:p>
    <w:p>
      <w:pPr>
        <w:pStyle w:val="BodyText"/>
        <w:spacing w:before="6"/>
        <w:rPr>
          <w:sz w:val="15"/>
        </w:rPr>
      </w:pPr>
    </w:p>
    <w:p>
      <w:pPr>
        <w:pStyle w:val="Heading2"/>
        <w:numPr>
          <w:ilvl w:val="0"/>
          <w:numId w:val="11"/>
        </w:numPr>
        <w:tabs>
          <w:tab w:pos="3169" w:val="left" w:leader="none"/>
        </w:tabs>
        <w:spacing w:line="240" w:lineRule="auto" w:before="1" w:after="0"/>
        <w:ind w:left="3168" w:right="0" w:hanging="636"/>
        <w:jc w:val="left"/>
      </w:pPr>
      <w:r>
        <w:rPr>
          <w:spacing w:val="-2"/>
        </w:rPr>
        <w:t>心脏粘液瘤切除术:</w:t>
      </w:r>
    </w:p>
    <w:p>
      <w:pPr>
        <w:pStyle w:val="BodyText"/>
        <w:spacing w:before="6"/>
        <w:rPr>
          <w:b/>
          <w:sz w:val="15"/>
        </w:rPr>
      </w:pPr>
    </w:p>
    <w:p>
      <w:pPr>
        <w:pStyle w:val="BodyText"/>
        <w:spacing w:line="278" w:lineRule="auto"/>
        <w:ind w:left="2533" w:right="1604"/>
      </w:pPr>
      <w:r>
        <w:rPr>
          <w:spacing w:val="-2"/>
        </w:rPr>
        <w:t>指为了治疗心脏粘液瘤，实际实施了开胸开心心脏粘液瘤切除手术。</w:t>
      </w:r>
      <w:r>
        <w:rPr>
          <w:color w:val="000000"/>
          <w:spacing w:val="-2"/>
          <w:shd w:fill="E4E4E4" w:color="auto" w:val="clear"/>
        </w:rPr>
        <w:t>经导管介入手术治疗不在保障范围内。</w:t>
      </w:r>
    </w:p>
    <w:p>
      <w:pPr>
        <w:pStyle w:val="Heading2"/>
        <w:numPr>
          <w:ilvl w:val="0"/>
          <w:numId w:val="11"/>
        </w:numPr>
        <w:tabs>
          <w:tab w:pos="3169" w:val="left" w:leader="none"/>
        </w:tabs>
        <w:spacing w:line="240" w:lineRule="auto" w:before="156" w:after="0"/>
        <w:ind w:left="3168" w:right="0" w:hanging="636"/>
        <w:jc w:val="left"/>
      </w:pPr>
      <w:r>
        <w:rPr>
          <w:spacing w:val="-2"/>
        </w:rPr>
        <w:t>神经白塞病:</w:t>
      </w:r>
    </w:p>
    <w:p>
      <w:pPr>
        <w:pStyle w:val="BodyText"/>
        <w:spacing w:before="7"/>
        <w:rPr>
          <w:b/>
          <w:sz w:val="15"/>
        </w:rPr>
      </w:pPr>
    </w:p>
    <w:p>
      <w:pPr>
        <w:pStyle w:val="BodyText"/>
        <w:spacing w:line="278" w:lineRule="auto"/>
        <w:ind w:left="2533" w:right="356"/>
        <w:jc w:val="both"/>
      </w:pPr>
      <w:r>
        <w:rPr>
          <w:spacing w:val="-2"/>
        </w:rPr>
        <w:t>白塞病是一种慢性全身性血管炎症性疾病，主要表现为复发性口腔溃疡、生殖器溃</w:t>
      </w:r>
      <w:r>
        <w:rPr>
          <w:spacing w:val="-2"/>
        </w:rPr>
        <w:t>疡、眼炎及皮肤损害，并可累及大血管、神经系统、消化道、肺、肾等等。累及神</w:t>
      </w:r>
      <w:r>
        <w:rPr>
          <w:spacing w:val="-2"/>
        </w:rPr>
        <w:t>经系统损害的白塞病称为神经白塞病。神经白塞病必须明确诊断，并且已经造成永</w:t>
      </w:r>
      <w:r>
        <w:rPr>
          <w:spacing w:val="-3"/>
        </w:rPr>
        <w:t>久不可逆的神经系统功能损害。永久不可逆的神经系统损害指被保险人持续 </w:t>
      </w:r>
      <w:r>
        <w:rPr>
          <w:spacing w:val="-2"/>
        </w:rPr>
        <w:t>180</w:t>
      </w:r>
      <w:r>
        <w:rPr>
          <w:spacing w:val="-13"/>
        </w:rPr>
        <w:t> 天</w:t>
      </w:r>
      <w:r>
        <w:rPr>
          <w:spacing w:val="-2"/>
        </w:rPr>
        <w:t>无法独立完成下列基本日常生活活动之一：</w:t>
      </w:r>
    </w:p>
    <w:p>
      <w:pPr>
        <w:pStyle w:val="ListParagraph"/>
        <w:numPr>
          <w:ilvl w:val="0"/>
          <w:numId w:val="52"/>
        </w:numPr>
        <w:tabs>
          <w:tab w:pos="3255" w:val="left" w:leader="none"/>
        </w:tabs>
        <w:spacing w:line="240" w:lineRule="auto" w:before="156" w:after="0"/>
        <w:ind w:left="3254" w:right="0" w:hanging="722"/>
        <w:jc w:val="both"/>
        <w:rPr>
          <w:sz w:val="21"/>
        </w:rPr>
      </w:pPr>
      <w:r>
        <w:rPr>
          <w:spacing w:val="-3"/>
          <w:sz w:val="21"/>
        </w:rPr>
        <w:t>移动：自己从一个房间到另一个房间；</w:t>
      </w:r>
    </w:p>
    <w:p>
      <w:pPr>
        <w:pStyle w:val="BodyText"/>
        <w:spacing w:before="6"/>
        <w:rPr>
          <w:sz w:val="15"/>
        </w:rPr>
      </w:pPr>
    </w:p>
    <w:p>
      <w:pPr>
        <w:pStyle w:val="ListParagraph"/>
        <w:numPr>
          <w:ilvl w:val="0"/>
          <w:numId w:val="52"/>
        </w:numPr>
        <w:tabs>
          <w:tab w:pos="3255" w:val="left" w:leader="none"/>
        </w:tabs>
        <w:spacing w:line="240" w:lineRule="auto" w:before="1" w:after="0"/>
        <w:ind w:left="3254" w:right="0" w:hanging="722"/>
        <w:jc w:val="both"/>
        <w:rPr>
          <w:sz w:val="21"/>
        </w:rPr>
      </w:pPr>
      <w:r>
        <w:rPr>
          <w:spacing w:val="-3"/>
          <w:sz w:val="21"/>
        </w:rPr>
        <w:t>进食：自己从已准备好的碗或碟中取食物放入口中。</w:t>
      </w:r>
    </w:p>
    <w:p>
      <w:pPr>
        <w:pStyle w:val="BodyText"/>
        <w:spacing w:before="6"/>
        <w:rPr>
          <w:sz w:val="15"/>
        </w:rPr>
      </w:pPr>
    </w:p>
    <w:p>
      <w:pPr>
        <w:pStyle w:val="Heading2"/>
        <w:numPr>
          <w:ilvl w:val="0"/>
          <w:numId w:val="11"/>
        </w:numPr>
        <w:tabs>
          <w:tab w:pos="3169" w:val="left" w:leader="none"/>
        </w:tabs>
        <w:spacing w:line="240" w:lineRule="auto" w:before="0" w:after="0"/>
        <w:ind w:left="3168" w:right="0" w:hanging="636"/>
        <w:jc w:val="left"/>
      </w:pPr>
      <w:r>
        <w:rPr>
          <w:spacing w:val="-2"/>
        </w:rPr>
        <w:t>侵蚀性葡萄胎:</w:t>
      </w:r>
    </w:p>
    <w:p>
      <w:pPr>
        <w:pStyle w:val="BodyText"/>
        <w:spacing w:before="7"/>
        <w:rPr>
          <w:b/>
          <w:sz w:val="15"/>
        </w:rPr>
      </w:pPr>
    </w:p>
    <w:p>
      <w:pPr>
        <w:pStyle w:val="BodyText"/>
        <w:spacing w:line="278" w:lineRule="auto"/>
        <w:ind w:left="2533" w:right="357"/>
      </w:pPr>
      <w:r>
        <w:rPr>
          <w:spacing w:val="2"/>
          <w:w w:val="100"/>
        </w:rPr>
        <w:t>指异常增生的绒毛组织浸润性生长侵入子宫肌层或转移至其他器官或组织的葡萄</w:t>
      </w:r>
      <w:r>
        <w:rPr>
          <w:spacing w:val="-3"/>
          <w:w w:val="100"/>
        </w:rPr>
        <w:t>胎，并已经进行化疗或手术治疗。</w:t>
      </w:r>
    </w:p>
    <w:p>
      <w:pPr>
        <w:pStyle w:val="Heading2"/>
        <w:numPr>
          <w:ilvl w:val="0"/>
          <w:numId w:val="11"/>
        </w:numPr>
        <w:tabs>
          <w:tab w:pos="3169" w:val="left" w:leader="none"/>
        </w:tabs>
        <w:spacing w:line="240" w:lineRule="auto" w:before="156" w:after="0"/>
        <w:ind w:left="3168" w:right="0" w:hanging="636"/>
        <w:jc w:val="left"/>
      </w:pPr>
      <w:r>
        <w:rPr>
          <w:w w:val="95"/>
        </w:rPr>
        <w:t>器</w:t>
      </w:r>
      <w:r>
        <w:rPr>
          <w:w w:val="95"/>
        </w:rPr>
        <w:t>官</w:t>
      </w:r>
      <w:r>
        <w:rPr>
          <w:w w:val="95"/>
        </w:rPr>
        <w:t>移</w:t>
      </w:r>
      <w:r>
        <w:rPr>
          <w:w w:val="95"/>
        </w:rPr>
        <w:t>植</w:t>
      </w:r>
      <w:r>
        <w:rPr>
          <w:w w:val="95"/>
        </w:rPr>
        <w:t>导</w:t>
      </w:r>
      <w:r>
        <w:rPr>
          <w:w w:val="95"/>
        </w:rPr>
        <w:t>致</w:t>
      </w:r>
      <w:r>
        <w:rPr>
          <w:w w:val="95"/>
        </w:rPr>
        <w:t>的</w:t>
      </w:r>
      <w:r>
        <w:rPr>
          <w:w w:val="95"/>
        </w:rPr>
        <w:t>人</w:t>
      </w:r>
      <w:r>
        <w:rPr>
          <w:w w:val="95"/>
        </w:rPr>
        <w:t>类</w:t>
      </w:r>
      <w:r>
        <w:rPr>
          <w:w w:val="95"/>
        </w:rPr>
        <w:t>免</w:t>
      </w:r>
      <w:r>
        <w:rPr>
          <w:w w:val="95"/>
        </w:rPr>
        <w:t>疫</w:t>
      </w:r>
      <w:r>
        <w:rPr>
          <w:w w:val="95"/>
        </w:rPr>
        <w:t>缺</w:t>
      </w:r>
      <w:r>
        <w:rPr>
          <w:w w:val="95"/>
        </w:rPr>
        <w:t>陷</w:t>
      </w:r>
      <w:r>
        <w:rPr>
          <w:w w:val="95"/>
        </w:rPr>
        <w:t>病</w:t>
      </w:r>
      <w:r>
        <w:rPr>
          <w:w w:val="95"/>
        </w:rPr>
        <w:t>毒</w:t>
      </w:r>
      <w:r>
        <w:rPr>
          <w:w w:val="95"/>
        </w:rPr>
        <w:t>（HIV）</w:t>
      </w:r>
      <w:r>
        <w:rPr>
          <w:spacing w:val="-4"/>
          <w:w w:val="95"/>
        </w:rPr>
        <w:t>感染:</w:t>
      </w:r>
    </w:p>
    <w:p>
      <w:pPr>
        <w:pStyle w:val="BodyText"/>
        <w:spacing w:before="7"/>
        <w:rPr>
          <w:b/>
          <w:sz w:val="15"/>
        </w:rPr>
      </w:pPr>
    </w:p>
    <w:p>
      <w:pPr>
        <w:pStyle w:val="BodyText"/>
        <w:ind w:left="2533"/>
      </w:pPr>
      <w:r>
        <w:rPr>
          <w:spacing w:val="-6"/>
        </w:rPr>
        <w:t>指因进行器官移植而感染上人类免疫缺陷病毒</w:t>
      </w:r>
      <w:r>
        <w:rPr>
          <w:spacing w:val="12"/>
        </w:rPr>
        <w:t>（H</w:t>
      </w:r>
      <w:r>
        <w:rPr>
          <w:spacing w:val="9"/>
        </w:rPr>
        <w:t>IV</w:t>
      </w:r>
      <w:r>
        <w:rPr>
          <w:spacing w:val="-94"/>
        </w:rPr>
        <w:t>）</w:t>
      </w:r>
      <w:r>
        <w:rPr>
          <w:spacing w:val="-7"/>
        </w:rPr>
        <w:t>，且须满足下列全部条件：</w:t>
      </w:r>
    </w:p>
    <w:p>
      <w:pPr>
        <w:pStyle w:val="BodyText"/>
        <w:spacing w:before="7"/>
        <w:rPr>
          <w:sz w:val="15"/>
        </w:rPr>
      </w:pPr>
    </w:p>
    <w:p>
      <w:pPr>
        <w:pStyle w:val="ListParagraph"/>
        <w:numPr>
          <w:ilvl w:val="0"/>
          <w:numId w:val="53"/>
        </w:numPr>
        <w:tabs>
          <w:tab w:pos="3254" w:val="left" w:leader="none"/>
          <w:tab w:pos="3255" w:val="left" w:leader="none"/>
        </w:tabs>
        <w:spacing w:line="278" w:lineRule="auto" w:before="0" w:after="0"/>
        <w:ind w:left="3254" w:right="356" w:hanging="721"/>
        <w:jc w:val="left"/>
        <w:rPr>
          <w:sz w:val="21"/>
        </w:rPr>
      </w:pPr>
      <w:r>
        <w:rPr>
          <w:spacing w:val="-8"/>
          <w:sz w:val="21"/>
        </w:rPr>
        <w:t>被保险人因治疗必需而实施器官移植，并且因器官移植而感染人类免疫缺陷</w:t>
      </w:r>
      <w:r>
        <w:rPr>
          <w:spacing w:val="-4"/>
          <w:sz w:val="21"/>
        </w:rPr>
        <w:t>病毒</w:t>
      </w:r>
      <w:r>
        <w:rPr>
          <w:spacing w:val="29"/>
          <w:sz w:val="21"/>
        </w:rPr>
        <w:t>（</w:t>
      </w:r>
      <w:r>
        <w:rPr>
          <w:spacing w:val="32"/>
          <w:sz w:val="21"/>
        </w:rPr>
        <w:t>HIV</w:t>
      </w:r>
      <w:r>
        <w:rPr>
          <w:spacing w:val="-76"/>
          <w:sz w:val="21"/>
        </w:rPr>
        <w:t>）；</w:t>
      </w:r>
    </w:p>
    <w:p>
      <w:pPr>
        <w:pStyle w:val="ListParagraph"/>
        <w:numPr>
          <w:ilvl w:val="0"/>
          <w:numId w:val="53"/>
        </w:numPr>
        <w:tabs>
          <w:tab w:pos="3254" w:val="left" w:leader="none"/>
          <w:tab w:pos="3255" w:val="left" w:leader="none"/>
        </w:tabs>
        <w:spacing w:line="278" w:lineRule="auto" w:before="156" w:after="0"/>
        <w:ind w:left="3254" w:right="355" w:hanging="721"/>
        <w:jc w:val="left"/>
        <w:rPr>
          <w:sz w:val="21"/>
        </w:rPr>
      </w:pPr>
      <w:r>
        <w:rPr>
          <w:spacing w:val="-6"/>
          <w:sz w:val="21"/>
        </w:rPr>
        <w:t>提供器官移植治疗的器官移植中心或医院出具该项器官移植感染，属于医疗</w:t>
      </w:r>
      <w:r>
        <w:rPr>
          <w:spacing w:val="-2"/>
          <w:sz w:val="21"/>
        </w:rPr>
        <w:t>责任事故的报告，或者法院终审裁定为医疗责任并且不准上诉；</w:t>
      </w:r>
    </w:p>
    <w:p>
      <w:pPr>
        <w:pStyle w:val="ListParagraph"/>
        <w:numPr>
          <w:ilvl w:val="0"/>
          <w:numId w:val="53"/>
        </w:numPr>
        <w:tabs>
          <w:tab w:pos="3254" w:val="left" w:leader="none"/>
          <w:tab w:pos="3255" w:val="left" w:leader="none"/>
        </w:tabs>
        <w:spacing w:line="240" w:lineRule="auto" w:before="155" w:after="0"/>
        <w:ind w:left="3254" w:right="0" w:hanging="722"/>
        <w:jc w:val="left"/>
        <w:rPr>
          <w:sz w:val="21"/>
        </w:rPr>
      </w:pPr>
      <w:r>
        <w:rPr>
          <w:spacing w:val="-3"/>
          <w:sz w:val="21"/>
        </w:rPr>
        <w:t>提供器官移植治疗的器官移植中心或医院必须拥有合法经营执照。</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3"/>
        </w:rPr>
        <w:t>严重自身免疫性肝炎:</w:t>
      </w:r>
    </w:p>
    <w:p>
      <w:pPr>
        <w:pStyle w:val="BodyText"/>
        <w:spacing w:before="7"/>
        <w:rPr>
          <w:b/>
          <w:sz w:val="15"/>
        </w:rPr>
      </w:pPr>
    </w:p>
    <w:p>
      <w:pPr>
        <w:pStyle w:val="BodyText"/>
        <w:spacing w:line="278" w:lineRule="auto"/>
        <w:ind w:left="2533" w:right="356"/>
        <w:jc w:val="both"/>
      </w:pPr>
      <w:r>
        <w:rPr>
          <w:spacing w:val="-2"/>
        </w:rPr>
        <w:t>指一种原因不明的慢性肝脏的坏死性炎性疾病，机体免疫机制被破坏，产生针对肝</w:t>
      </w:r>
      <w:r>
        <w:rPr>
          <w:spacing w:val="-2"/>
        </w:rPr>
        <w:t>脏自身抗原导致自身免疫反应，从而破坏干细胞造成肝脏炎症坏死，进而发展为肝</w:t>
      </w:r>
      <w:r>
        <w:rPr>
          <w:spacing w:val="-2"/>
        </w:rPr>
        <w:t>硬化。须满足下列全部条件：</w:t>
      </w:r>
    </w:p>
    <w:p>
      <w:pPr>
        <w:pStyle w:val="ListParagraph"/>
        <w:numPr>
          <w:ilvl w:val="0"/>
          <w:numId w:val="54"/>
        </w:numPr>
        <w:tabs>
          <w:tab w:pos="3255" w:val="left" w:leader="none"/>
        </w:tabs>
        <w:spacing w:line="240" w:lineRule="auto" w:before="156" w:after="0"/>
        <w:ind w:left="3254" w:right="0" w:hanging="722"/>
        <w:jc w:val="both"/>
        <w:rPr>
          <w:sz w:val="21"/>
        </w:rPr>
      </w:pPr>
      <w:r>
        <w:rPr>
          <w:spacing w:val="-2"/>
          <w:sz w:val="21"/>
        </w:rPr>
        <w:t>高γ</w:t>
      </w:r>
      <w:r>
        <w:rPr>
          <w:spacing w:val="-4"/>
          <w:sz w:val="21"/>
        </w:rPr>
        <w:t>球蛋白血症；</w:t>
      </w:r>
    </w:p>
    <w:p>
      <w:pPr>
        <w:pStyle w:val="BodyText"/>
        <w:spacing w:before="7"/>
        <w:rPr>
          <w:sz w:val="15"/>
        </w:rPr>
      </w:pPr>
    </w:p>
    <w:p>
      <w:pPr>
        <w:pStyle w:val="ListParagraph"/>
        <w:numPr>
          <w:ilvl w:val="0"/>
          <w:numId w:val="54"/>
        </w:numPr>
        <w:tabs>
          <w:tab w:pos="3254" w:val="left" w:leader="none"/>
          <w:tab w:pos="3255" w:val="left" w:leader="none"/>
        </w:tabs>
        <w:spacing w:line="278" w:lineRule="auto" w:before="0" w:after="0"/>
        <w:ind w:left="3254" w:right="355" w:hanging="721"/>
        <w:jc w:val="left"/>
        <w:rPr>
          <w:sz w:val="21"/>
        </w:rPr>
      </w:pPr>
      <w:r>
        <w:rPr>
          <w:spacing w:val="-5"/>
          <w:sz w:val="21"/>
        </w:rPr>
        <w:t>血液中存在高水平的自身免疫抗体，如 </w:t>
      </w:r>
      <w:r>
        <w:rPr>
          <w:spacing w:val="-2"/>
          <w:sz w:val="21"/>
        </w:rPr>
        <w:t>ANA（抗核抗体</w:t>
      </w:r>
      <w:r>
        <w:rPr>
          <w:spacing w:val="-106"/>
          <w:sz w:val="21"/>
        </w:rPr>
        <w:t>）</w:t>
      </w:r>
      <w:r>
        <w:rPr>
          <w:spacing w:val="-2"/>
          <w:sz w:val="21"/>
        </w:rPr>
        <w:t>、SMA（抗平滑肌抗</w:t>
      </w:r>
      <w:r>
        <w:rPr>
          <w:sz w:val="21"/>
        </w:rPr>
        <w:t>体</w:t>
      </w:r>
      <w:r>
        <w:rPr>
          <w:spacing w:val="-106"/>
          <w:sz w:val="21"/>
        </w:rPr>
        <w:t>）</w:t>
      </w:r>
      <w:r>
        <w:rPr>
          <w:spacing w:val="-5"/>
          <w:sz w:val="21"/>
        </w:rPr>
        <w:t>、抗 </w:t>
      </w:r>
      <w:r>
        <w:rPr>
          <w:sz w:val="21"/>
        </w:rPr>
        <w:t>LKM1</w:t>
      </w:r>
      <w:r>
        <w:rPr>
          <w:spacing w:val="-4"/>
          <w:sz w:val="21"/>
        </w:rPr>
        <w:t> 抗体或抗-</w:t>
      </w:r>
      <w:r>
        <w:rPr>
          <w:sz w:val="21"/>
        </w:rPr>
        <w:t>SLA/LP</w:t>
      </w:r>
      <w:r>
        <w:rPr>
          <w:spacing w:val="-6"/>
          <w:sz w:val="21"/>
        </w:rPr>
        <w:t> 抗体；</w:t>
      </w:r>
    </w:p>
    <w:p>
      <w:pPr>
        <w:spacing w:after="0" w:line="278" w:lineRule="auto"/>
        <w:jc w:val="left"/>
        <w:rPr>
          <w:sz w:val="21"/>
        </w:rPr>
        <w:sectPr>
          <w:pgSz w:w="11910" w:h="16840"/>
          <w:pgMar w:header="0" w:footer="659" w:top="1400" w:bottom="840" w:left="920" w:right="540"/>
        </w:sectPr>
      </w:pPr>
    </w:p>
    <w:p>
      <w:pPr>
        <w:pStyle w:val="ListParagraph"/>
        <w:numPr>
          <w:ilvl w:val="0"/>
          <w:numId w:val="54"/>
        </w:numPr>
        <w:tabs>
          <w:tab w:pos="3254" w:val="left" w:leader="none"/>
          <w:tab w:pos="3255" w:val="left" w:leader="none"/>
        </w:tabs>
        <w:spacing w:line="240" w:lineRule="auto" w:before="44" w:after="0"/>
        <w:ind w:left="3254" w:right="0" w:hanging="722"/>
        <w:jc w:val="left"/>
        <w:rPr>
          <w:sz w:val="21"/>
        </w:rPr>
      </w:pPr>
      <w:r>
        <w:rPr>
          <w:spacing w:val="-3"/>
          <w:sz w:val="21"/>
        </w:rPr>
        <w:t>肝脏活检证实免疫性肝炎；</w:t>
      </w:r>
    </w:p>
    <w:p>
      <w:pPr>
        <w:pStyle w:val="BodyText"/>
        <w:spacing w:before="7"/>
        <w:rPr>
          <w:sz w:val="15"/>
        </w:rPr>
      </w:pPr>
    </w:p>
    <w:p>
      <w:pPr>
        <w:pStyle w:val="ListParagraph"/>
        <w:numPr>
          <w:ilvl w:val="0"/>
          <w:numId w:val="54"/>
        </w:numPr>
        <w:tabs>
          <w:tab w:pos="3254" w:val="left" w:leader="none"/>
          <w:tab w:pos="3255" w:val="left" w:leader="none"/>
        </w:tabs>
        <w:spacing w:line="240" w:lineRule="auto" w:before="0" w:after="0"/>
        <w:ind w:left="3254" w:right="0" w:hanging="722"/>
        <w:jc w:val="left"/>
        <w:rPr>
          <w:sz w:val="21"/>
        </w:rPr>
      </w:pPr>
      <w:r>
        <w:rPr>
          <w:spacing w:val="-3"/>
          <w:sz w:val="21"/>
        </w:rPr>
        <w:t>临床已经出现腹水、食道静脉曲张和脾肿大等肝硬化表现。</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系统性红斑狼疮 -</w:t>
      </w:r>
      <w:r>
        <w:rPr/>
        <w:t>（并发）Ⅲ</w:t>
      </w:r>
      <w:r>
        <w:rPr>
          <w:spacing w:val="-1"/>
        </w:rPr>
        <w:t>型或以上狼疮性肾炎:</w:t>
      </w:r>
    </w:p>
    <w:p>
      <w:pPr>
        <w:pStyle w:val="BodyText"/>
        <w:spacing w:before="7"/>
        <w:rPr>
          <w:b/>
          <w:sz w:val="15"/>
        </w:rPr>
      </w:pPr>
    </w:p>
    <w:p>
      <w:pPr>
        <w:pStyle w:val="BodyText"/>
        <w:spacing w:line="278" w:lineRule="auto"/>
        <w:ind w:left="2533" w:right="356"/>
        <w:jc w:val="both"/>
      </w:pPr>
      <w:r>
        <w:rPr>
          <w:spacing w:val="-2"/>
        </w:rPr>
        <w:t>是由多种因素引起，累及多系统的自身免疫性疾病。多侵犯育龄女性。其特点是生</w:t>
      </w:r>
      <w:r>
        <w:rPr>
          <w:spacing w:val="-2"/>
        </w:rPr>
        <w:t>成自身抗体对抗多种自身抗原。本合同所指的系统性红斑狼疮仅限于累及肾脏（经</w:t>
      </w:r>
      <w:r>
        <w:rPr>
          <w:spacing w:val="-4"/>
        </w:rPr>
        <w:t>肾脏病理检查或临床确诊，并符合下列世界卫生组织（WHO）诊断标准定义Ⅲ型至Ⅴ</w:t>
      </w:r>
      <w:r>
        <w:rPr>
          <w:spacing w:val="-2"/>
        </w:rPr>
        <w:t>型狼疮性肾炎）的系统性红斑狼疮。其他类型的红斑性狼疮，如盘状狼疮，仅累及</w:t>
      </w:r>
      <w:r>
        <w:rPr>
          <w:spacing w:val="-2"/>
        </w:rPr>
        <w:t>血液及关节等其他系统的系统性红斑狼疮不在保障范围。</w:t>
      </w:r>
    </w:p>
    <w:p>
      <w:pPr>
        <w:pStyle w:val="BodyText"/>
        <w:spacing w:line="278" w:lineRule="auto"/>
        <w:ind w:left="2533" w:right="3916"/>
      </w:pPr>
      <w:r>
        <w:rPr>
          <w:spacing w:val="-2"/>
        </w:rPr>
        <w:t>本病必须由免疫和风湿科专家医师确诊。</w:t>
      </w:r>
      <w:r>
        <w:rPr>
          <w:spacing w:val="-2"/>
        </w:rPr>
        <w:t> </w:t>
      </w:r>
      <w:r>
        <w:rPr>
          <w:spacing w:val="-2"/>
        </w:rPr>
        <w:t>世界卫生组织（WHO）狼疮性肾炎分型：</w:t>
      </w:r>
      <w:r>
        <w:rPr>
          <w:spacing w:val="80"/>
          <w:w w:val="150"/>
        </w:rPr>
        <w:t> </w:t>
      </w:r>
      <w:r>
        <w:rPr>
          <w:spacing w:val="-2"/>
        </w:rPr>
        <w:t>Ⅰ型（微小病变型）镜下阴性，尿液正常；</w:t>
      </w:r>
    </w:p>
    <w:p>
      <w:pPr>
        <w:pStyle w:val="BodyText"/>
        <w:spacing w:line="278" w:lineRule="auto"/>
        <w:ind w:left="2533" w:right="2945"/>
      </w:pPr>
      <w:r>
        <w:rPr>
          <w:spacing w:val="-2"/>
        </w:rPr>
        <w:t>Ⅱ型（系膜病变型）中度蛋白尿，偶有尿沉渣改变； Ⅲ型（局灶及节段增生型）蛋白尿，尿沉渣改变；</w:t>
      </w:r>
    </w:p>
    <w:p>
      <w:pPr>
        <w:pStyle w:val="BodyText"/>
        <w:spacing w:line="278" w:lineRule="auto"/>
        <w:ind w:left="2533" w:right="1921"/>
      </w:pPr>
      <w:r>
        <w:rPr>
          <w:spacing w:val="-2"/>
        </w:rPr>
        <w:t>Ⅳ型（弥漫增生型）急性肾炎伴有尿沉渣改变及/或肾病综合征； Ⅴ型（膜型）肾病综合征或重度蛋白尿。</w:t>
      </w:r>
    </w:p>
    <w:p>
      <w:pPr>
        <w:pStyle w:val="Heading2"/>
        <w:numPr>
          <w:ilvl w:val="0"/>
          <w:numId w:val="11"/>
        </w:numPr>
        <w:tabs>
          <w:tab w:pos="3169" w:val="left" w:leader="none"/>
        </w:tabs>
        <w:spacing w:line="240" w:lineRule="auto" w:before="155" w:after="0"/>
        <w:ind w:left="3168" w:right="0" w:hanging="636"/>
        <w:jc w:val="left"/>
      </w:pPr>
      <w:r>
        <w:rPr>
          <w:spacing w:val="-2"/>
        </w:rPr>
        <w:t>肾髓质囊性病:</w:t>
      </w:r>
    </w:p>
    <w:p>
      <w:pPr>
        <w:pStyle w:val="BodyText"/>
        <w:spacing w:before="7"/>
        <w:rPr>
          <w:b/>
          <w:sz w:val="15"/>
        </w:rPr>
      </w:pPr>
    </w:p>
    <w:p>
      <w:pPr>
        <w:pStyle w:val="BodyText"/>
        <w:spacing w:line="278" w:lineRule="auto"/>
        <w:ind w:left="2533" w:right="356"/>
      </w:pPr>
      <w:r>
        <w:rPr>
          <w:spacing w:val="-2"/>
        </w:rPr>
        <w:t>一种遗传性肾脏疾病，特点为肾髓质多发大小不等的囊肿并且伴有小管和间质性肾</w:t>
      </w:r>
      <w:r>
        <w:rPr>
          <w:spacing w:val="-2"/>
        </w:rPr>
        <w:t>炎。肾髓质囊性病的诊断必须同时符合下列要求：</w:t>
      </w:r>
    </w:p>
    <w:p>
      <w:pPr>
        <w:pStyle w:val="ListParagraph"/>
        <w:numPr>
          <w:ilvl w:val="0"/>
          <w:numId w:val="55"/>
        </w:numPr>
        <w:tabs>
          <w:tab w:pos="3254" w:val="left" w:leader="none"/>
          <w:tab w:pos="3255" w:val="left" w:leader="none"/>
        </w:tabs>
        <w:spacing w:line="240" w:lineRule="auto" w:before="156" w:after="0"/>
        <w:ind w:left="3254" w:right="0" w:hanging="722"/>
        <w:jc w:val="left"/>
        <w:rPr>
          <w:sz w:val="21"/>
        </w:rPr>
      </w:pPr>
      <w:r>
        <w:rPr>
          <w:spacing w:val="-3"/>
          <w:sz w:val="21"/>
        </w:rPr>
        <w:t>肾髓质有囊肿、肾小管萎缩及间质纤维化等病理改变；</w:t>
      </w:r>
    </w:p>
    <w:p>
      <w:pPr>
        <w:pStyle w:val="BodyText"/>
        <w:spacing w:before="6"/>
        <w:rPr>
          <w:sz w:val="15"/>
        </w:rPr>
      </w:pPr>
    </w:p>
    <w:p>
      <w:pPr>
        <w:pStyle w:val="ListParagraph"/>
        <w:numPr>
          <w:ilvl w:val="0"/>
          <w:numId w:val="55"/>
        </w:numPr>
        <w:tabs>
          <w:tab w:pos="3254" w:val="left" w:leader="none"/>
          <w:tab w:pos="3255" w:val="left" w:leader="none"/>
        </w:tabs>
        <w:spacing w:line="240" w:lineRule="auto" w:before="0" w:after="0"/>
        <w:ind w:left="3254" w:right="0" w:hanging="722"/>
        <w:jc w:val="left"/>
        <w:rPr>
          <w:sz w:val="21"/>
        </w:rPr>
      </w:pPr>
      <w:r>
        <w:rPr>
          <w:spacing w:val="-3"/>
          <w:sz w:val="21"/>
        </w:rPr>
        <w:t>贫血、多尿及肾功能衰竭等临床表现；</w:t>
      </w:r>
    </w:p>
    <w:p>
      <w:pPr>
        <w:pStyle w:val="BodyText"/>
        <w:spacing w:before="7"/>
        <w:rPr>
          <w:sz w:val="15"/>
        </w:rPr>
      </w:pPr>
    </w:p>
    <w:p>
      <w:pPr>
        <w:pStyle w:val="ListParagraph"/>
        <w:numPr>
          <w:ilvl w:val="0"/>
          <w:numId w:val="55"/>
        </w:numPr>
        <w:tabs>
          <w:tab w:pos="3254" w:val="left" w:leader="none"/>
          <w:tab w:pos="3255" w:val="left" w:leader="none"/>
        </w:tabs>
        <w:spacing w:line="240" w:lineRule="auto" w:before="0" w:after="0"/>
        <w:ind w:left="3254" w:right="0" w:hanging="722"/>
        <w:jc w:val="left"/>
        <w:rPr>
          <w:sz w:val="21"/>
        </w:rPr>
      </w:pPr>
      <w:r>
        <w:rPr>
          <w:spacing w:val="-3"/>
          <w:sz w:val="21"/>
        </w:rPr>
        <w:t>诊断需由肾组织活检确定。</w:t>
      </w:r>
    </w:p>
    <w:p>
      <w:pPr>
        <w:pStyle w:val="BodyText"/>
        <w:spacing w:before="7"/>
        <w:rPr>
          <w:sz w:val="15"/>
        </w:rPr>
      </w:pPr>
    </w:p>
    <w:p>
      <w:pPr>
        <w:pStyle w:val="BodyText"/>
        <w:spacing w:line="278" w:lineRule="auto"/>
        <w:ind w:left="2533" w:right="356"/>
      </w:pPr>
      <w:r>
        <w:rPr>
          <w:spacing w:val="-2"/>
        </w:rPr>
        <w:t>本公司承担本项疾病责任不受本合同责任免除中“遗传性疾病、先天性畸形、变形</w:t>
      </w:r>
      <w:r>
        <w:rPr>
          <w:spacing w:val="-2"/>
        </w:rPr>
        <w:t>或染色体异常”的限制。</w:t>
      </w:r>
    </w:p>
    <w:p>
      <w:pPr>
        <w:pStyle w:val="Heading2"/>
        <w:numPr>
          <w:ilvl w:val="0"/>
          <w:numId w:val="11"/>
        </w:numPr>
        <w:tabs>
          <w:tab w:pos="3169" w:val="left" w:leader="none"/>
        </w:tabs>
        <w:spacing w:line="240" w:lineRule="auto" w:before="156" w:after="0"/>
        <w:ind w:left="3168" w:right="0" w:hanging="636"/>
        <w:jc w:val="left"/>
      </w:pPr>
      <w:r>
        <w:rPr>
          <w:spacing w:val="-2"/>
        </w:rPr>
        <w:t>原发性骨髓纤维化:</w:t>
      </w:r>
    </w:p>
    <w:p>
      <w:pPr>
        <w:pStyle w:val="BodyText"/>
        <w:spacing w:before="7"/>
        <w:rPr>
          <w:b/>
          <w:sz w:val="15"/>
        </w:rPr>
      </w:pPr>
    </w:p>
    <w:p>
      <w:pPr>
        <w:pStyle w:val="BodyText"/>
        <w:spacing w:line="278" w:lineRule="auto"/>
        <w:ind w:left="2533" w:right="355"/>
        <w:jc w:val="both"/>
      </w:pPr>
      <w:r>
        <w:rPr>
          <w:spacing w:val="-2"/>
        </w:rPr>
        <w:t>原发性骨髓纤维化为原因不明的骨髓中成纤维细胞增殖，伴有髓外造血，表现为进</w:t>
      </w:r>
      <w:r>
        <w:rPr>
          <w:spacing w:val="-2"/>
        </w:rPr>
        <w:t>行性贫血、脾肿大等症状。本病必须根据骨髓的活组织检查和周围血象检查由血液</w:t>
      </w:r>
      <w:r>
        <w:rPr>
          <w:spacing w:val="-1"/>
        </w:rPr>
        <w:t>科专科医生明确诊断，并至少符合下列条件中的三项，且符合条件的状态持续 </w:t>
      </w:r>
      <w:r>
        <w:rPr/>
        <w:t>180</w:t>
      </w:r>
      <w:r>
        <w:rPr>
          <w:spacing w:val="-2"/>
        </w:rPr>
        <w:t>天及以上，并已经实际接受了针对此症的治疗：</w:t>
      </w:r>
    </w:p>
    <w:p>
      <w:pPr>
        <w:pStyle w:val="BodyText"/>
        <w:spacing w:before="155"/>
        <w:ind w:left="2533"/>
        <w:jc w:val="both"/>
      </w:pPr>
      <w:r>
        <w:rPr/>
        <w:t>1)</w:t>
      </w:r>
      <w:r>
        <w:rPr>
          <w:spacing w:val="400"/>
        </w:rPr>
        <w:t> </w:t>
      </w:r>
      <w:r>
        <w:rPr>
          <w:spacing w:val="-1"/>
        </w:rPr>
        <w:t>血红蛋白＜</w:t>
      </w:r>
      <w:r>
        <w:rPr>
          <w:spacing w:val="-2"/>
        </w:rPr>
        <w:t>100g/L；</w:t>
      </w:r>
    </w:p>
    <w:p>
      <w:pPr>
        <w:pStyle w:val="BodyText"/>
        <w:spacing w:before="10"/>
        <w:rPr>
          <w:sz w:val="14"/>
        </w:rPr>
      </w:pPr>
    </w:p>
    <w:p>
      <w:pPr>
        <w:pStyle w:val="BodyText"/>
        <w:ind w:left="2533"/>
        <w:jc w:val="both"/>
      </w:pPr>
      <w:r>
        <w:rPr/>
        <w:t>2)</w:t>
      </w:r>
      <w:r>
        <w:rPr>
          <w:spacing w:val="398"/>
        </w:rPr>
        <w:t> </w:t>
      </w:r>
      <w:r>
        <w:rPr/>
        <w:t>白细胞计数</w:t>
      </w:r>
      <w:r>
        <w:rPr>
          <w:spacing w:val="-2"/>
        </w:rPr>
        <w:t>＞25×10</w:t>
      </w:r>
      <w:r>
        <w:rPr>
          <w:spacing w:val="-2"/>
          <w:position w:val="11"/>
          <w:sz w:val="11"/>
        </w:rPr>
        <w:t>9</w:t>
      </w:r>
      <w:r>
        <w:rPr>
          <w:spacing w:val="-2"/>
        </w:rPr>
        <w:t>/L；</w:t>
      </w:r>
    </w:p>
    <w:p>
      <w:pPr>
        <w:pStyle w:val="BodyText"/>
        <w:spacing w:before="7"/>
        <w:rPr>
          <w:sz w:val="15"/>
        </w:rPr>
      </w:pPr>
    </w:p>
    <w:p>
      <w:pPr>
        <w:pStyle w:val="BodyText"/>
        <w:ind w:left="2533"/>
        <w:jc w:val="both"/>
      </w:pPr>
      <w:r>
        <w:rPr/>
        <w:t>3)</w:t>
      </w:r>
      <w:r>
        <w:rPr>
          <w:spacing w:val="395"/>
        </w:rPr>
        <w:t> </w:t>
      </w:r>
      <w:r>
        <w:rPr>
          <w:spacing w:val="-1"/>
        </w:rPr>
        <w:t>外周血原始细胞≥</w:t>
      </w:r>
      <w:r>
        <w:rPr>
          <w:spacing w:val="-4"/>
        </w:rPr>
        <w:t>1%；</w:t>
      </w:r>
    </w:p>
    <w:p>
      <w:pPr>
        <w:pStyle w:val="BodyText"/>
        <w:spacing w:before="10"/>
        <w:rPr>
          <w:sz w:val="14"/>
        </w:rPr>
      </w:pPr>
    </w:p>
    <w:p>
      <w:pPr>
        <w:pStyle w:val="BodyText"/>
        <w:ind w:left="2533"/>
        <w:jc w:val="both"/>
      </w:pPr>
      <w:r>
        <w:rPr/>
        <w:t>4)</w:t>
      </w:r>
      <w:r>
        <w:rPr>
          <w:spacing w:val="386"/>
        </w:rPr>
        <w:t> </w:t>
      </w:r>
      <w:r>
        <w:rPr/>
        <w:t>血小板计数＜100×10</w:t>
      </w:r>
      <w:r>
        <w:rPr>
          <w:position w:val="11"/>
          <w:sz w:val="11"/>
        </w:rPr>
        <w:t>9</w:t>
      </w:r>
      <w:r>
        <w:rPr/>
        <w:t>/L</w:t>
      </w:r>
      <w:r>
        <w:rPr>
          <w:spacing w:val="-10"/>
        </w:rPr>
        <w:t>。</w:t>
      </w:r>
    </w:p>
    <w:p>
      <w:pPr>
        <w:pStyle w:val="BodyText"/>
        <w:spacing w:before="12"/>
        <w:rPr>
          <w:sz w:val="9"/>
        </w:rPr>
      </w:pPr>
    </w:p>
    <w:p>
      <w:pPr>
        <w:pStyle w:val="BodyText"/>
        <w:spacing w:before="71"/>
        <w:ind w:left="2533"/>
      </w:pPr>
      <w:r>
        <w:rPr>
          <w:color w:val="000000"/>
          <w:spacing w:val="-3"/>
          <w:shd w:fill="E4E4E4" w:color="auto" w:val="clear"/>
        </w:rPr>
        <w:t>任何其它病因导致的继发性骨髓纤维化不在保障范围内。</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3"/>
        </w:rPr>
        <w:t>严重甲型及乙型血友病:</w:t>
      </w:r>
    </w:p>
    <w:p>
      <w:pPr>
        <w:pStyle w:val="BodyText"/>
        <w:spacing w:before="7"/>
        <w:rPr>
          <w:b/>
          <w:sz w:val="15"/>
        </w:rPr>
      </w:pPr>
    </w:p>
    <w:p>
      <w:pPr>
        <w:pStyle w:val="BodyText"/>
        <w:ind w:left="2533"/>
      </w:pPr>
      <w:r>
        <w:rPr>
          <w:spacing w:val="-2"/>
        </w:rPr>
        <w:t>被保险人必须是患上严重甲型血友病（缺乏Ⅷ凝血因子）或严重乙型血友病（</w:t>
      </w:r>
      <w:r>
        <w:rPr>
          <w:spacing w:val="-6"/>
        </w:rPr>
        <w:t>缺乏</w:t>
      </w:r>
    </w:p>
    <w:p>
      <w:pPr>
        <w:spacing w:after="0"/>
        <w:sectPr>
          <w:pgSz w:w="11910" w:h="16840"/>
          <w:pgMar w:header="0" w:footer="659" w:top="1400" w:bottom="840" w:left="920" w:right="540"/>
        </w:sectPr>
      </w:pPr>
    </w:p>
    <w:p>
      <w:pPr>
        <w:pStyle w:val="BodyText"/>
        <w:spacing w:line="278" w:lineRule="auto" w:before="44"/>
        <w:ind w:left="2533" w:right="358"/>
      </w:pPr>
      <w:r>
        <w:rPr>
          <w:spacing w:val="-2"/>
        </w:rPr>
        <w:t>IX</w:t>
      </w:r>
      <w:r>
        <w:rPr>
          <w:spacing w:val="-12"/>
        </w:rPr>
        <w:t> 凝血因子</w:t>
      </w:r>
      <w:r>
        <w:rPr>
          <w:spacing w:val="-70"/>
        </w:rPr>
        <w:t>）</w:t>
      </w:r>
      <w:r>
        <w:rPr>
          <w:spacing w:val="-14"/>
        </w:rPr>
        <w:t>，而凝血因子Ⅷ或凝血因子 </w:t>
      </w:r>
      <w:r>
        <w:rPr>
          <w:spacing w:val="-2"/>
        </w:rPr>
        <w:t>IX</w:t>
      </w:r>
      <w:r>
        <w:rPr>
          <w:spacing w:val="-9"/>
        </w:rPr>
        <w:t> 的活性水平少于百分之一。诊断必须由</w:t>
      </w:r>
      <w:r>
        <w:rPr>
          <w:spacing w:val="-2"/>
        </w:rPr>
        <w:t>本公司指定或认可的医疗机构的血液病专科医生确认。</w:t>
      </w:r>
    </w:p>
    <w:p>
      <w:pPr>
        <w:pStyle w:val="BodyText"/>
        <w:spacing w:line="278" w:lineRule="auto"/>
        <w:ind w:left="2533" w:right="356"/>
      </w:pPr>
      <w:r>
        <w:rPr>
          <w:spacing w:val="-2"/>
        </w:rPr>
        <w:t>本公司承担本项疾病责任不受本合同责任免除中“遗传性疾病、先天性畸形、变形</w:t>
      </w:r>
      <w:r>
        <w:rPr>
          <w:spacing w:val="-2"/>
        </w:rPr>
        <w:t>或染色体异常”的限制。</w:t>
      </w:r>
    </w:p>
    <w:p>
      <w:pPr>
        <w:pStyle w:val="Heading2"/>
        <w:numPr>
          <w:ilvl w:val="0"/>
          <w:numId w:val="11"/>
        </w:numPr>
        <w:tabs>
          <w:tab w:pos="3169" w:val="left" w:leader="none"/>
        </w:tabs>
        <w:spacing w:line="240" w:lineRule="auto" w:before="156" w:after="0"/>
        <w:ind w:left="3168" w:right="0" w:hanging="636"/>
        <w:jc w:val="left"/>
      </w:pPr>
      <w:r>
        <w:rPr>
          <w:spacing w:val="-2"/>
        </w:rPr>
        <w:t>胰腺移植:</w:t>
      </w:r>
    </w:p>
    <w:p>
      <w:pPr>
        <w:pStyle w:val="BodyText"/>
        <w:spacing w:before="7"/>
        <w:rPr>
          <w:b/>
          <w:sz w:val="15"/>
        </w:rPr>
      </w:pPr>
    </w:p>
    <w:p>
      <w:pPr>
        <w:pStyle w:val="BodyText"/>
        <w:spacing w:line="278" w:lineRule="auto"/>
        <w:ind w:left="2533" w:right="356"/>
      </w:pPr>
      <w:r>
        <w:rPr>
          <w:spacing w:val="-2"/>
        </w:rPr>
        <w:t>指因胰腺功能衰竭，已经实施了在全身麻醉下进行的胰腺的异体器官移植手术（供</w:t>
      </w:r>
      <w:r>
        <w:rPr>
          <w:spacing w:val="-2"/>
        </w:rPr>
        <w:t>体必须是人体器官</w:t>
      </w:r>
      <w:r>
        <w:rPr>
          <w:spacing w:val="-108"/>
        </w:rPr>
        <w:t>）</w:t>
      </w:r>
      <w:r>
        <w:rPr>
          <w:spacing w:val="-2"/>
        </w:rPr>
        <w:t>。</w:t>
      </w:r>
    </w:p>
    <w:p>
      <w:pPr>
        <w:pStyle w:val="BodyText"/>
        <w:spacing w:line="269" w:lineRule="exact"/>
        <w:ind w:left="2533"/>
      </w:pPr>
      <w:r>
        <w:rPr>
          <w:color w:val="000000"/>
          <w:spacing w:val="-3"/>
          <w:shd w:fill="E4E4E4" w:color="auto" w:val="clear"/>
        </w:rPr>
        <w:t>单纯胰岛移植、部分胰腺组织或细胞的移植不在本保障范围内。</w:t>
      </w:r>
    </w:p>
    <w:p>
      <w:pPr>
        <w:pStyle w:val="BodyText"/>
        <w:spacing w:before="6"/>
        <w:rPr>
          <w:sz w:val="15"/>
        </w:rPr>
      </w:pPr>
    </w:p>
    <w:p>
      <w:pPr>
        <w:pStyle w:val="Heading2"/>
        <w:numPr>
          <w:ilvl w:val="0"/>
          <w:numId w:val="11"/>
        </w:numPr>
        <w:tabs>
          <w:tab w:pos="3169" w:val="left" w:leader="none"/>
        </w:tabs>
        <w:spacing w:line="240" w:lineRule="auto" w:before="1" w:after="0"/>
        <w:ind w:left="3168" w:right="0" w:hanging="636"/>
        <w:jc w:val="left"/>
      </w:pPr>
      <w:r>
        <w:rPr>
          <w:spacing w:val="-3"/>
        </w:rPr>
        <w:t>严重慢性复发性胰腺炎:</w:t>
      </w:r>
    </w:p>
    <w:p>
      <w:pPr>
        <w:pStyle w:val="BodyText"/>
        <w:spacing w:before="6"/>
        <w:rPr>
          <w:b/>
          <w:sz w:val="15"/>
        </w:rPr>
      </w:pPr>
    </w:p>
    <w:p>
      <w:pPr>
        <w:pStyle w:val="BodyText"/>
        <w:spacing w:line="278" w:lineRule="auto"/>
        <w:ind w:left="2533" w:right="355"/>
      </w:pPr>
      <w:r>
        <w:rPr>
          <w:spacing w:val="-2"/>
        </w:rPr>
        <w:t>指慢性反复发作的胰腺炎症导致胰腺的广泛纤维化、坏死、弥漫性钙化及假性囊肿</w:t>
      </w:r>
      <w:r>
        <w:rPr>
          <w:spacing w:val="-2"/>
        </w:rPr>
        <w:t>形成，造成胰腺功能障碍出现严重糖尿病和营养不良。须满足下列全部条件：</w:t>
      </w:r>
    </w:p>
    <w:p>
      <w:pPr>
        <w:pStyle w:val="ListParagraph"/>
        <w:numPr>
          <w:ilvl w:val="0"/>
          <w:numId w:val="56"/>
        </w:numPr>
        <w:tabs>
          <w:tab w:pos="3254" w:val="left" w:leader="none"/>
          <w:tab w:pos="3255" w:val="left" w:leader="none"/>
        </w:tabs>
        <w:spacing w:line="278" w:lineRule="auto" w:before="157" w:after="0"/>
        <w:ind w:left="3254" w:right="356" w:hanging="721"/>
        <w:jc w:val="left"/>
        <w:rPr>
          <w:sz w:val="21"/>
        </w:rPr>
      </w:pPr>
      <w:r>
        <w:rPr>
          <w:sz w:val="21"/>
        </w:rPr>
        <w:t>CT</w:t>
      </w:r>
      <w:r>
        <w:rPr>
          <w:spacing w:val="-5"/>
          <w:sz w:val="21"/>
        </w:rPr>
        <w:t> 显示胰腺广泛钙化或逆行胰胆管造影</w:t>
      </w:r>
      <w:r>
        <w:rPr>
          <w:sz w:val="21"/>
        </w:rPr>
        <w:t>（ERCP）显示胰管扭曲、扩张和狭</w:t>
      </w:r>
      <w:r>
        <w:rPr>
          <w:spacing w:val="-6"/>
          <w:sz w:val="21"/>
        </w:rPr>
        <w:t>窄；</w:t>
      </w:r>
    </w:p>
    <w:p>
      <w:pPr>
        <w:pStyle w:val="ListParagraph"/>
        <w:numPr>
          <w:ilvl w:val="0"/>
          <w:numId w:val="56"/>
        </w:numPr>
        <w:tabs>
          <w:tab w:pos="3254" w:val="left" w:leader="none"/>
          <w:tab w:pos="3255" w:val="left" w:leader="none"/>
        </w:tabs>
        <w:spacing w:line="240" w:lineRule="auto" w:before="155" w:after="0"/>
        <w:ind w:left="3254" w:right="0" w:hanging="722"/>
        <w:jc w:val="left"/>
        <w:rPr>
          <w:sz w:val="21"/>
        </w:rPr>
      </w:pPr>
      <w:r>
        <w:rPr>
          <w:spacing w:val="-5"/>
          <w:sz w:val="21"/>
        </w:rPr>
        <w:t>接受胰岛素代替治疗和酶替代治疗 </w:t>
      </w:r>
      <w:r>
        <w:rPr>
          <w:spacing w:val="-2"/>
          <w:sz w:val="21"/>
        </w:rPr>
        <w:t>180</w:t>
      </w:r>
      <w:r>
        <w:rPr>
          <w:spacing w:val="-14"/>
          <w:sz w:val="21"/>
        </w:rPr>
        <w:t> 天以上。</w:t>
      </w:r>
    </w:p>
    <w:p>
      <w:pPr>
        <w:pStyle w:val="BodyText"/>
        <w:rPr>
          <w:sz w:val="10"/>
        </w:rPr>
      </w:pPr>
    </w:p>
    <w:p>
      <w:pPr>
        <w:pStyle w:val="BodyText"/>
        <w:spacing w:before="71"/>
        <w:ind w:left="2533"/>
      </w:pPr>
      <w:r>
        <w:rPr>
          <w:color w:val="000000"/>
          <w:spacing w:val="-3"/>
          <w:shd w:fill="E4E4E4" w:color="auto" w:val="clear"/>
        </w:rPr>
        <w:t>酒精导致的慢性复发性胰腺炎不在本保障范围内。</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3"/>
        </w:rPr>
        <w:t>特发性慢性肾上腺皮质功能减退:</w:t>
      </w:r>
    </w:p>
    <w:p>
      <w:pPr>
        <w:pStyle w:val="BodyText"/>
        <w:spacing w:before="7"/>
        <w:rPr>
          <w:b/>
          <w:sz w:val="15"/>
        </w:rPr>
      </w:pPr>
    </w:p>
    <w:p>
      <w:pPr>
        <w:pStyle w:val="BodyText"/>
        <w:spacing w:line="278" w:lineRule="auto"/>
        <w:ind w:left="2533" w:right="356"/>
      </w:pPr>
      <w:r>
        <w:rPr>
          <w:spacing w:val="-2"/>
        </w:rPr>
        <w:t>指因自身免疫功能紊乱，导致肾上腺萎缩和慢性肾上腺皮质功能减退。必须满足下</w:t>
      </w:r>
      <w:r>
        <w:rPr>
          <w:spacing w:val="-2"/>
        </w:rPr>
        <w:t>列全部条件：</w:t>
      </w:r>
    </w:p>
    <w:p>
      <w:pPr>
        <w:pStyle w:val="ListParagraph"/>
        <w:numPr>
          <w:ilvl w:val="0"/>
          <w:numId w:val="57"/>
        </w:numPr>
        <w:tabs>
          <w:tab w:pos="3254" w:val="left" w:leader="none"/>
          <w:tab w:pos="3255" w:val="left" w:leader="none"/>
        </w:tabs>
        <w:spacing w:line="240" w:lineRule="auto" w:before="156" w:after="0"/>
        <w:ind w:left="3254" w:right="0" w:hanging="722"/>
        <w:jc w:val="left"/>
        <w:rPr>
          <w:sz w:val="21"/>
        </w:rPr>
      </w:pPr>
      <w:r>
        <w:rPr>
          <w:spacing w:val="-3"/>
          <w:sz w:val="21"/>
        </w:rPr>
        <w:t>明确诊断，符合所有以下诊断标准：</w:t>
      </w:r>
    </w:p>
    <w:p>
      <w:pPr>
        <w:pStyle w:val="BodyText"/>
        <w:spacing w:before="6"/>
        <w:rPr>
          <w:sz w:val="15"/>
        </w:rPr>
      </w:pPr>
    </w:p>
    <w:p>
      <w:pPr>
        <w:pStyle w:val="ListParagraph"/>
        <w:numPr>
          <w:ilvl w:val="1"/>
          <w:numId w:val="57"/>
        </w:numPr>
        <w:tabs>
          <w:tab w:pos="3675" w:val="left" w:leader="none"/>
        </w:tabs>
        <w:spacing w:line="240" w:lineRule="auto" w:before="1" w:after="0"/>
        <w:ind w:left="3674" w:right="0" w:hanging="421"/>
        <w:jc w:val="left"/>
        <w:rPr>
          <w:sz w:val="21"/>
        </w:rPr>
      </w:pPr>
      <w:r>
        <w:rPr>
          <w:spacing w:val="-2"/>
          <w:sz w:val="21"/>
        </w:rPr>
        <w:t>血浆促肾上腺皮质激素（ACTH）</w:t>
      </w:r>
      <w:r>
        <w:rPr>
          <w:spacing w:val="-8"/>
          <w:sz w:val="21"/>
        </w:rPr>
        <w:t>水平测定大于 </w:t>
      </w:r>
      <w:r>
        <w:rPr>
          <w:spacing w:val="-2"/>
          <w:sz w:val="21"/>
        </w:rPr>
        <w:t>100pg/ml；</w:t>
      </w:r>
    </w:p>
    <w:p>
      <w:pPr>
        <w:pStyle w:val="BodyText"/>
        <w:spacing w:before="6"/>
        <w:rPr>
          <w:sz w:val="15"/>
        </w:rPr>
      </w:pPr>
    </w:p>
    <w:p>
      <w:pPr>
        <w:pStyle w:val="ListParagraph"/>
        <w:numPr>
          <w:ilvl w:val="1"/>
          <w:numId w:val="57"/>
        </w:numPr>
        <w:tabs>
          <w:tab w:pos="3675" w:val="left" w:leader="none"/>
        </w:tabs>
        <w:spacing w:line="278" w:lineRule="auto" w:before="0" w:after="0"/>
        <w:ind w:left="3674" w:right="356" w:hanging="420"/>
        <w:jc w:val="both"/>
        <w:rPr>
          <w:sz w:val="21"/>
        </w:rPr>
      </w:pPr>
      <w:r>
        <w:rPr>
          <w:w w:val="95"/>
          <w:sz w:val="21"/>
        </w:rPr>
        <w:t>血</w:t>
      </w:r>
      <w:r>
        <w:rPr>
          <w:w w:val="95"/>
          <w:sz w:val="21"/>
        </w:rPr>
        <w:t>浆</w:t>
      </w:r>
      <w:r>
        <w:rPr>
          <w:w w:val="95"/>
          <w:sz w:val="21"/>
        </w:rPr>
        <w:t>和尿游离皮质醇及尿 17 羟皮质类固醇、17 酮皮</w:t>
      </w:r>
      <w:r>
        <w:rPr>
          <w:w w:val="95"/>
          <w:sz w:val="21"/>
        </w:rPr>
        <w:t>质</w:t>
      </w:r>
      <w:r>
        <w:rPr>
          <w:w w:val="95"/>
          <w:sz w:val="21"/>
        </w:rPr>
        <w:t>类</w:t>
      </w:r>
      <w:r>
        <w:rPr>
          <w:w w:val="95"/>
          <w:sz w:val="21"/>
        </w:rPr>
        <w:t>固醇测定、血</w:t>
      </w:r>
      <w:r>
        <w:rPr>
          <w:spacing w:val="-12"/>
          <w:sz w:val="21"/>
        </w:rPr>
        <w:t>浆肾素活性、血管紧张素Ⅱ和醛固酮测定，显示为原发性肾上腺皮质功</w:t>
      </w:r>
      <w:r>
        <w:rPr>
          <w:spacing w:val="-2"/>
          <w:sz w:val="21"/>
        </w:rPr>
        <w:t>能减退症；</w:t>
      </w:r>
    </w:p>
    <w:p>
      <w:pPr>
        <w:pStyle w:val="ListParagraph"/>
        <w:numPr>
          <w:ilvl w:val="1"/>
          <w:numId w:val="57"/>
        </w:numPr>
        <w:tabs>
          <w:tab w:pos="3675" w:val="left" w:leader="none"/>
        </w:tabs>
        <w:spacing w:line="278" w:lineRule="auto" w:before="156" w:after="0"/>
        <w:ind w:left="3674" w:right="355" w:hanging="420"/>
        <w:jc w:val="both"/>
        <w:rPr>
          <w:sz w:val="21"/>
        </w:rPr>
      </w:pPr>
      <w:r>
        <w:rPr>
          <w:spacing w:val="-9"/>
          <w:sz w:val="21"/>
        </w:rPr>
        <w:t>促肾上腺皮质激素</w:t>
      </w:r>
      <w:r>
        <w:rPr>
          <w:spacing w:val="-2"/>
          <w:sz w:val="21"/>
        </w:rPr>
        <w:t>（ACTH）刺激试验显示为原发性肾上腺皮质功能减退</w:t>
      </w:r>
      <w:r>
        <w:rPr>
          <w:spacing w:val="-6"/>
          <w:sz w:val="21"/>
        </w:rPr>
        <w:t>症。</w:t>
      </w:r>
    </w:p>
    <w:p>
      <w:pPr>
        <w:pStyle w:val="ListParagraph"/>
        <w:numPr>
          <w:ilvl w:val="0"/>
          <w:numId w:val="57"/>
        </w:numPr>
        <w:tabs>
          <w:tab w:pos="3255" w:val="left" w:leader="none"/>
        </w:tabs>
        <w:spacing w:line="240" w:lineRule="auto" w:before="156" w:after="0"/>
        <w:ind w:left="3254" w:right="0" w:hanging="722"/>
        <w:jc w:val="both"/>
        <w:rPr>
          <w:sz w:val="21"/>
        </w:rPr>
      </w:pPr>
      <w:r>
        <w:rPr>
          <w:spacing w:val="-6"/>
          <w:sz w:val="21"/>
        </w:rPr>
        <w:t>已经采用皮质类固醇替代治疗 </w:t>
      </w:r>
      <w:r>
        <w:rPr>
          <w:spacing w:val="-2"/>
          <w:sz w:val="21"/>
        </w:rPr>
        <w:t>180</w:t>
      </w:r>
      <w:r>
        <w:rPr>
          <w:spacing w:val="-14"/>
          <w:sz w:val="21"/>
        </w:rPr>
        <w:t> 天以上。</w:t>
      </w:r>
    </w:p>
    <w:p>
      <w:pPr>
        <w:pStyle w:val="BodyText"/>
        <w:spacing w:before="12"/>
        <w:rPr>
          <w:sz w:val="9"/>
        </w:rPr>
      </w:pPr>
    </w:p>
    <w:p>
      <w:pPr>
        <w:pStyle w:val="BodyText"/>
        <w:spacing w:line="278" w:lineRule="auto" w:before="72"/>
        <w:ind w:left="2533" w:right="355"/>
        <w:jc w:val="both"/>
      </w:pPr>
      <w:r>
        <w:rPr>
          <w:spacing w:val="-2"/>
        </w:rPr>
        <w:t>本保障仅包括由自身免疫功能紊乱所导致的慢性肾上腺功能不全，</w:t>
      </w:r>
      <w:r>
        <w:rPr>
          <w:color w:val="000000"/>
          <w:spacing w:val="-2"/>
          <w:shd w:fill="E4E4E4" w:color="auto" w:val="clear"/>
        </w:rPr>
        <w:t>其他成因（包括</w:t>
      </w:r>
      <w:r>
        <w:rPr>
          <w:color w:val="000000"/>
          <w:spacing w:val="40"/>
          <w:shd w:fill="E4E4E4" w:color="auto" w:val="clear"/>
        </w:rPr>
        <w:t> </w:t>
      </w:r>
      <w:r>
        <w:rPr>
          <w:color w:val="000000"/>
          <w:shd w:fill="E4E4E4" w:color="auto" w:val="clear"/>
        </w:rPr>
        <w:t>但不限于：肾上腺结核、HIV</w:t>
      </w:r>
      <w:r>
        <w:rPr>
          <w:color w:val="000000"/>
          <w:spacing w:val="-6"/>
          <w:shd w:fill="E4E4E4" w:color="auto" w:val="clear"/>
        </w:rPr>
        <w:t> 感染或艾滋病、感染、肿瘤</w:t>
      </w:r>
      <w:r>
        <w:rPr>
          <w:color w:val="000000"/>
          <w:shd w:fill="E4E4E4" w:color="auto" w:val="clear"/>
        </w:rPr>
        <w:t>）所致的原发性肾上腺皮</w:t>
      </w:r>
      <w:r>
        <w:rPr>
          <w:color w:val="000000"/>
          <w:spacing w:val="-2"/>
          <w:shd w:fill="E4E4E4" w:color="auto" w:val="clear"/>
        </w:rPr>
        <w:t>质功能减退和继发性肾上腺皮质功能减退均不在保障范围内。</w:t>
      </w:r>
    </w:p>
    <w:p>
      <w:pPr>
        <w:pStyle w:val="Heading2"/>
        <w:numPr>
          <w:ilvl w:val="0"/>
          <w:numId w:val="11"/>
        </w:numPr>
        <w:tabs>
          <w:tab w:pos="3169" w:val="left" w:leader="none"/>
        </w:tabs>
        <w:spacing w:line="240" w:lineRule="auto" w:before="156" w:after="0"/>
        <w:ind w:left="3168" w:right="0" w:hanging="636"/>
        <w:jc w:val="left"/>
      </w:pPr>
      <w:r>
        <w:rPr>
          <w:spacing w:val="-2"/>
        </w:rPr>
        <w:t>肺淋巴管肌瘤病:</w:t>
      </w:r>
    </w:p>
    <w:p>
      <w:pPr>
        <w:pStyle w:val="BodyText"/>
        <w:spacing w:before="6"/>
        <w:rPr>
          <w:b/>
          <w:sz w:val="15"/>
        </w:rPr>
      </w:pPr>
    </w:p>
    <w:p>
      <w:pPr>
        <w:pStyle w:val="BodyText"/>
        <w:spacing w:line="278" w:lineRule="auto" w:before="1"/>
        <w:ind w:left="2533" w:right="356"/>
      </w:pPr>
      <w:r>
        <w:rPr>
          <w:spacing w:val="-2"/>
        </w:rPr>
        <w:t>肺淋巴管肌瘤病是一种弥漫性肺部疾病，主要病理改变为肺间质、支气管、血管和</w:t>
      </w:r>
      <w:r>
        <w:rPr>
          <w:spacing w:val="-2"/>
        </w:rPr>
        <w:t>淋巴管内出现未成熟的平滑肌异常增生，同时须满足下列全部条件：</w:t>
      </w:r>
    </w:p>
    <w:p>
      <w:pPr>
        <w:pStyle w:val="ListParagraph"/>
        <w:numPr>
          <w:ilvl w:val="0"/>
          <w:numId w:val="58"/>
        </w:numPr>
        <w:tabs>
          <w:tab w:pos="3254" w:val="left" w:leader="none"/>
          <w:tab w:pos="3255" w:val="left" w:leader="none"/>
        </w:tabs>
        <w:spacing w:line="240" w:lineRule="auto" w:before="155" w:after="0"/>
        <w:ind w:left="3254" w:right="0" w:hanging="722"/>
        <w:jc w:val="left"/>
        <w:rPr>
          <w:sz w:val="21"/>
        </w:rPr>
      </w:pPr>
      <w:r>
        <w:rPr>
          <w:spacing w:val="-3"/>
          <w:sz w:val="21"/>
        </w:rPr>
        <w:t>经组织病理学诊断；</w:t>
      </w:r>
    </w:p>
    <w:p>
      <w:pPr>
        <w:pStyle w:val="BodyText"/>
        <w:spacing w:before="7"/>
        <w:rPr>
          <w:sz w:val="15"/>
        </w:rPr>
      </w:pPr>
    </w:p>
    <w:p>
      <w:pPr>
        <w:pStyle w:val="ListParagraph"/>
        <w:numPr>
          <w:ilvl w:val="0"/>
          <w:numId w:val="58"/>
        </w:numPr>
        <w:tabs>
          <w:tab w:pos="3254" w:val="left" w:leader="none"/>
          <w:tab w:pos="3255" w:val="left" w:leader="none"/>
        </w:tabs>
        <w:spacing w:line="240" w:lineRule="auto" w:before="0" w:after="0"/>
        <w:ind w:left="3254" w:right="0" w:hanging="722"/>
        <w:jc w:val="left"/>
        <w:rPr>
          <w:sz w:val="21"/>
        </w:rPr>
      </w:pPr>
      <w:r>
        <w:rPr>
          <w:spacing w:val="-2"/>
          <w:sz w:val="21"/>
        </w:rPr>
        <w:t>CT</w:t>
      </w:r>
      <w:r>
        <w:rPr>
          <w:spacing w:val="-10"/>
          <w:sz w:val="21"/>
        </w:rPr>
        <w:t> 显示双肺弥漫性囊性改变；</w:t>
      </w:r>
    </w:p>
    <w:p>
      <w:pPr>
        <w:spacing w:after="0" w:line="240" w:lineRule="auto"/>
        <w:jc w:val="left"/>
        <w:rPr>
          <w:sz w:val="21"/>
        </w:rPr>
        <w:sectPr>
          <w:footerReference w:type="default" r:id="rId25"/>
          <w:pgSz w:w="11910" w:h="16840"/>
          <w:pgMar w:footer="659" w:header="0" w:top="1400" w:bottom="840" w:left="920" w:right="540"/>
        </w:sectPr>
      </w:pPr>
    </w:p>
    <w:p>
      <w:pPr>
        <w:pStyle w:val="ListParagraph"/>
        <w:numPr>
          <w:ilvl w:val="0"/>
          <w:numId w:val="58"/>
        </w:numPr>
        <w:tabs>
          <w:tab w:pos="3254" w:val="left" w:leader="none"/>
          <w:tab w:pos="3255" w:val="left" w:leader="none"/>
        </w:tabs>
        <w:spacing w:line="240" w:lineRule="auto" w:before="44" w:after="0"/>
        <w:ind w:left="3254" w:right="0" w:hanging="722"/>
        <w:jc w:val="left"/>
        <w:rPr>
          <w:sz w:val="21"/>
        </w:rPr>
      </w:pPr>
      <w:r>
        <w:rPr>
          <w:spacing w:val="-3"/>
          <w:sz w:val="21"/>
        </w:rPr>
        <w:t>血气提示低氧血症。</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3"/>
        </w:rPr>
        <w:t>严重肠道疾病并发症:</w:t>
      </w:r>
    </w:p>
    <w:p>
      <w:pPr>
        <w:pStyle w:val="BodyText"/>
        <w:spacing w:before="7"/>
        <w:rPr>
          <w:b/>
          <w:sz w:val="15"/>
        </w:rPr>
      </w:pPr>
    </w:p>
    <w:p>
      <w:pPr>
        <w:pStyle w:val="BodyText"/>
        <w:ind w:left="2533"/>
      </w:pPr>
      <w:r>
        <w:rPr>
          <w:spacing w:val="-3"/>
        </w:rPr>
        <w:t>严重肠道疾病或外伤导致小肠损害并发症，须满足下列全部条件：</w:t>
      </w:r>
    </w:p>
    <w:p>
      <w:pPr>
        <w:pStyle w:val="BodyText"/>
        <w:spacing w:before="7"/>
        <w:rPr>
          <w:sz w:val="15"/>
        </w:rPr>
      </w:pPr>
    </w:p>
    <w:p>
      <w:pPr>
        <w:pStyle w:val="ListParagraph"/>
        <w:numPr>
          <w:ilvl w:val="0"/>
          <w:numId w:val="59"/>
        </w:numPr>
        <w:tabs>
          <w:tab w:pos="3254" w:val="left" w:leader="none"/>
          <w:tab w:pos="3255" w:val="left" w:leader="none"/>
        </w:tabs>
        <w:spacing w:line="240" w:lineRule="auto" w:before="0" w:after="0"/>
        <w:ind w:left="3254" w:right="0" w:hanging="722"/>
        <w:jc w:val="left"/>
        <w:rPr>
          <w:sz w:val="21"/>
        </w:rPr>
      </w:pPr>
      <w:r>
        <w:rPr>
          <w:spacing w:val="-3"/>
          <w:sz w:val="21"/>
        </w:rPr>
        <w:t>至少切除了三分之二小肠；</w:t>
      </w:r>
    </w:p>
    <w:p>
      <w:pPr>
        <w:pStyle w:val="BodyText"/>
        <w:spacing w:before="6"/>
        <w:rPr>
          <w:sz w:val="15"/>
        </w:rPr>
      </w:pPr>
    </w:p>
    <w:p>
      <w:pPr>
        <w:pStyle w:val="ListParagraph"/>
        <w:numPr>
          <w:ilvl w:val="0"/>
          <w:numId w:val="59"/>
        </w:numPr>
        <w:tabs>
          <w:tab w:pos="3254" w:val="left" w:leader="none"/>
          <w:tab w:pos="3255" w:val="left" w:leader="none"/>
        </w:tabs>
        <w:spacing w:line="240" w:lineRule="auto" w:before="1" w:after="0"/>
        <w:ind w:left="3254" w:right="0" w:hanging="722"/>
        <w:jc w:val="left"/>
        <w:rPr>
          <w:sz w:val="21"/>
        </w:rPr>
      </w:pPr>
      <w:r>
        <w:rPr>
          <w:spacing w:val="-8"/>
          <w:sz w:val="21"/>
        </w:rPr>
        <w:t>完全肠外营养支持 </w:t>
      </w:r>
      <w:r>
        <w:rPr>
          <w:spacing w:val="-2"/>
          <w:sz w:val="21"/>
        </w:rPr>
        <w:t>3</w:t>
      </w:r>
      <w:r>
        <w:rPr>
          <w:spacing w:val="-12"/>
          <w:sz w:val="21"/>
        </w:rPr>
        <w:t> 个月以上。</w:t>
      </w:r>
    </w:p>
    <w:p>
      <w:pPr>
        <w:pStyle w:val="BodyText"/>
        <w:spacing w:before="6"/>
        <w:rPr>
          <w:sz w:val="15"/>
        </w:rPr>
      </w:pPr>
    </w:p>
    <w:p>
      <w:pPr>
        <w:pStyle w:val="Heading2"/>
        <w:numPr>
          <w:ilvl w:val="0"/>
          <w:numId w:val="11"/>
        </w:numPr>
        <w:tabs>
          <w:tab w:pos="3169" w:val="left" w:leader="none"/>
        </w:tabs>
        <w:spacing w:line="240" w:lineRule="auto" w:before="0" w:after="0"/>
        <w:ind w:left="3168" w:right="0" w:hanging="636"/>
        <w:jc w:val="left"/>
      </w:pPr>
      <w:r>
        <w:rPr>
          <w:spacing w:val="-2"/>
        </w:rPr>
        <w:t>严重冠心病:</w:t>
      </w:r>
    </w:p>
    <w:p>
      <w:pPr>
        <w:pStyle w:val="BodyText"/>
        <w:spacing w:before="7"/>
        <w:rPr>
          <w:b/>
          <w:sz w:val="15"/>
        </w:rPr>
      </w:pPr>
    </w:p>
    <w:p>
      <w:pPr>
        <w:pStyle w:val="BodyText"/>
        <w:spacing w:line="278" w:lineRule="auto"/>
        <w:ind w:left="2533" w:right="356"/>
        <w:jc w:val="both"/>
      </w:pPr>
      <w:r>
        <w:rPr>
          <w:spacing w:val="-2"/>
        </w:rPr>
        <w:t>指经根据冠状动脉造影检查结果明确诊断为三支主要血管（左冠状动脉主干和右冠</w:t>
      </w:r>
      <w:r>
        <w:rPr>
          <w:spacing w:val="-2"/>
        </w:rPr>
        <w:t>状动脉，或前降支、左旋支和右冠状动脉）严重狭窄性病变（至少一支血管管腔直</w:t>
      </w:r>
      <w:r>
        <w:rPr/>
        <w:t>径减少 75</w:t>
      </w:r>
      <w:r>
        <w:rPr>
          <w:spacing w:val="-1"/>
        </w:rPr>
        <w:t>%以上和其他两支血管管腔直径减少 </w:t>
      </w:r>
      <w:r>
        <w:rPr/>
        <w:t>60%以上</w:t>
      </w:r>
      <w:r>
        <w:rPr>
          <w:spacing w:val="-108"/>
        </w:rPr>
        <w:t>）</w:t>
      </w:r>
      <w:r>
        <w:rPr/>
        <w:t>。</w:t>
      </w:r>
    </w:p>
    <w:p>
      <w:pPr>
        <w:pStyle w:val="BodyText"/>
        <w:spacing w:line="269" w:lineRule="exact"/>
        <w:ind w:left="2533"/>
      </w:pPr>
      <w:r>
        <w:rPr>
          <w:color w:val="000000"/>
          <w:spacing w:val="-3"/>
          <w:shd w:fill="E4E4E4" w:color="auto" w:val="clear"/>
        </w:rPr>
        <w:t>前降支、左旋支及右冠状动脉的分支血管的狭窄不作为本保障的衡量指标。</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肺源性心脏病:</w:t>
      </w:r>
    </w:p>
    <w:p>
      <w:pPr>
        <w:pStyle w:val="BodyText"/>
        <w:spacing w:before="7"/>
        <w:rPr>
          <w:b/>
          <w:sz w:val="15"/>
        </w:rPr>
      </w:pPr>
    </w:p>
    <w:p>
      <w:pPr>
        <w:pStyle w:val="BodyText"/>
        <w:spacing w:line="278" w:lineRule="auto"/>
        <w:ind w:left="2533" w:right="344"/>
        <w:jc w:val="both"/>
      </w:pPr>
      <w:r>
        <w:rPr>
          <w:spacing w:val="-2"/>
        </w:rPr>
        <w:t>指被保险人因慢性肺部疾病导致慢性心功能损害造成永久不可逆性的心功能衰竭。</w:t>
      </w:r>
      <w:r>
        <w:rPr>
          <w:spacing w:val="-2"/>
        </w:rPr>
        <w:t>心功能衰竭程度达到美国纽约心脏病学会心功能状态分级Ⅳ级。被保险人永久不可</w:t>
      </w:r>
      <w:r>
        <w:rPr>
          <w:spacing w:val="-2"/>
        </w:rPr>
        <w:t>逆性的体力活动能力受限，不能从事任何体力活动。</w:t>
      </w:r>
    </w:p>
    <w:p>
      <w:pPr>
        <w:pStyle w:val="Heading2"/>
        <w:numPr>
          <w:ilvl w:val="0"/>
          <w:numId w:val="11"/>
        </w:numPr>
        <w:tabs>
          <w:tab w:pos="3169" w:val="left" w:leader="none"/>
        </w:tabs>
        <w:spacing w:line="240" w:lineRule="auto" w:before="156" w:after="0"/>
        <w:ind w:left="3168" w:right="0" w:hanging="636"/>
        <w:jc w:val="left"/>
      </w:pPr>
      <w:r>
        <w:rPr>
          <w:spacing w:val="-3"/>
        </w:rPr>
        <w:t>严重慢性缩窄性心包炎:</w:t>
      </w:r>
    </w:p>
    <w:p>
      <w:pPr>
        <w:pStyle w:val="BodyText"/>
        <w:spacing w:before="6"/>
        <w:rPr>
          <w:b/>
          <w:sz w:val="15"/>
        </w:rPr>
      </w:pPr>
    </w:p>
    <w:p>
      <w:pPr>
        <w:pStyle w:val="BodyText"/>
        <w:spacing w:line="278" w:lineRule="auto" w:before="1"/>
        <w:ind w:left="2533" w:right="346"/>
      </w:pPr>
      <w:r>
        <w:rPr>
          <w:spacing w:val="-2"/>
        </w:rPr>
        <w:t>由于慢性心包炎症导致心包脏层和壁层广泛瘢痕粘连、增厚和钙化，心包腔闭塞，</w:t>
      </w:r>
      <w:r>
        <w:rPr>
          <w:spacing w:val="-2"/>
        </w:rPr>
        <w:t>形成一个纤维瘢痕外壳，使心脏和大血管根部受压，阻碍心脏的舒张。</w:t>
      </w:r>
    </w:p>
    <w:p>
      <w:pPr>
        <w:pStyle w:val="BodyText"/>
        <w:spacing w:line="269" w:lineRule="exact"/>
        <w:ind w:left="2533"/>
      </w:pPr>
      <w:r>
        <w:rPr>
          <w:spacing w:val="-3"/>
        </w:rPr>
        <w:t>被保险人被明确诊断为慢性缩窄性心包炎且必须满足下列全部条件：</w:t>
      </w:r>
    </w:p>
    <w:p>
      <w:pPr>
        <w:pStyle w:val="BodyText"/>
        <w:spacing w:before="6"/>
        <w:rPr>
          <w:sz w:val="15"/>
        </w:rPr>
      </w:pPr>
    </w:p>
    <w:p>
      <w:pPr>
        <w:pStyle w:val="ListParagraph"/>
        <w:numPr>
          <w:ilvl w:val="0"/>
          <w:numId w:val="60"/>
        </w:numPr>
        <w:tabs>
          <w:tab w:pos="3254" w:val="left" w:leader="none"/>
          <w:tab w:pos="3255" w:val="left" w:leader="none"/>
        </w:tabs>
        <w:spacing w:line="278" w:lineRule="auto" w:before="0" w:after="0"/>
        <w:ind w:left="3254" w:right="358" w:hanging="721"/>
        <w:jc w:val="left"/>
        <w:rPr>
          <w:sz w:val="21"/>
        </w:rPr>
      </w:pPr>
      <w:r>
        <w:rPr>
          <w:spacing w:val="-1"/>
          <w:sz w:val="21"/>
        </w:rPr>
        <w:t>心功能衰竭达到美国纽约心脏病学会心功能状态分级Ⅳ级，并持续 </w:t>
      </w:r>
      <w:r>
        <w:rPr>
          <w:sz w:val="21"/>
        </w:rPr>
        <w:t>180</w:t>
      </w:r>
      <w:r>
        <w:rPr>
          <w:spacing w:val="-7"/>
          <w:sz w:val="21"/>
        </w:rPr>
        <w:t> 天</w:t>
      </w:r>
      <w:r>
        <w:rPr>
          <w:spacing w:val="-4"/>
          <w:sz w:val="21"/>
        </w:rPr>
        <w:t>以上；</w:t>
      </w:r>
    </w:p>
    <w:p>
      <w:pPr>
        <w:pStyle w:val="ListParagraph"/>
        <w:numPr>
          <w:ilvl w:val="0"/>
          <w:numId w:val="60"/>
        </w:numPr>
        <w:tabs>
          <w:tab w:pos="3254" w:val="left" w:leader="none"/>
          <w:tab w:pos="3255" w:val="left" w:leader="none"/>
        </w:tabs>
        <w:spacing w:line="278" w:lineRule="auto" w:before="156" w:after="0"/>
        <w:ind w:left="3254" w:right="255" w:hanging="721"/>
        <w:jc w:val="left"/>
        <w:rPr>
          <w:sz w:val="21"/>
        </w:rPr>
      </w:pPr>
      <w:r>
        <w:rPr>
          <w:spacing w:val="-2"/>
          <w:sz w:val="21"/>
        </w:rPr>
        <w:t>实际接收了以下任何一种手术路径的心包剥脱或心包切除手术；手术路径：</w:t>
      </w:r>
      <w:r>
        <w:rPr>
          <w:spacing w:val="-2"/>
          <w:sz w:val="21"/>
        </w:rPr>
        <w:t>胸骨正中切口；双侧前胸切口；左前胸肋间切口。</w:t>
      </w:r>
    </w:p>
    <w:p>
      <w:pPr>
        <w:pStyle w:val="BodyText"/>
        <w:spacing w:before="156"/>
        <w:ind w:left="2533"/>
      </w:pPr>
      <w:r>
        <w:rPr>
          <w:color w:val="000000"/>
          <w:spacing w:val="-3"/>
          <w:shd w:fill="E4E4E4" w:color="auto" w:val="clear"/>
        </w:rPr>
        <w:t>经胸腔镜、胸壁打孔进行的手术、心包粘连松解手术不在保障范围内。</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3"/>
        </w:rPr>
        <w:t>严重Ⅲ度房室传导阻滞:</w:t>
      </w:r>
    </w:p>
    <w:p>
      <w:pPr>
        <w:pStyle w:val="BodyText"/>
        <w:spacing w:before="7"/>
        <w:rPr>
          <w:b/>
          <w:sz w:val="15"/>
        </w:rPr>
      </w:pPr>
    </w:p>
    <w:p>
      <w:pPr>
        <w:pStyle w:val="BodyText"/>
        <w:spacing w:line="278" w:lineRule="auto"/>
        <w:ind w:left="2533" w:right="356"/>
      </w:pPr>
      <w:r>
        <w:rPr>
          <w:spacing w:val="-2"/>
        </w:rPr>
        <w:t>指心房激动在房室交界区、房室束及其分支内发生阻滞，不能正常地传到心室的心</w:t>
      </w:r>
      <w:r>
        <w:rPr>
          <w:spacing w:val="-2"/>
        </w:rPr>
        <w:t>脏传导性疾病，须满足下列全部条件：</w:t>
      </w:r>
    </w:p>
    <w:p>
      <w:pPr>
        <w:pStyle w:val="ListParagraph"/>
        <w:numPr>
          <w:ilvl w:val="0"/>
          <w:numId w:val="61"/>
        </w:numPr>
        <w:tabs>
          <w:tab w:pos="3254" w:val="left" w:leader="none"/>
          <w:tab w:pos="3255" w:val="left" w:leader="none"/>
        </w:tabs>
        <w:spacing w:line="240" w:lineRule="auto" w:before="155" w:after="0"/>
        <w:ind w:left="3254" w:right="0" w:hanging="722"/>
        <w:jc w:val="left"/>
        <w:rPr>
          <w:sz w:val="21"/>
        </w:rPr>
      </w:pPr>
      <w:r>
        <w:rPr>
          <w:spacing w:val="-2"/>
          <w:sz w:val="21"/>
        </w:rPr>
        <w:t>心电图显示房室搏动彼此独立，心室率＜50</w:t>
      </w:r>
      <w:r>
        <w:rPr>
          <w:spacing w:val="-10"/>
          <w:sz w:val="21"/>
        </w:rPr>
        <w:t> 次/分钟；</w:t>
      </w:r>
    </w:p>
    <w:p>
      <w:pPr>
        <w:pStyle w:val="BodyText"/>
        <w:spacing w:before="7"/>
        <w:rPr>
          <w:sz w:val="15"/>
        </w:rPr>
      </w:pPr>
    </w:p>
    <w:p>
      <w:pPr>
        <w:pStyle w:val="ListParagraph"/>
        <w:numPr>
          <w:ilvl w:val="0"/>
          <w:numId w:val="61"/>
        </w:numPr>
        <w:tabs>
          <w:tab w:pos="3254" w:val="left" w:leader="none"/>
          <w:tab w:pos="3255" w:val="left" w:leader="none"/>
        </w:tabs>
        <w:spacing w:line="240" w:lineRule="auto" w:before="0" w:after="0"/>
        <w:ind w:left="3254" w:right="0" w:hanging="722"/>
        <w:jc w:val="left"/>
        <w:rPr>
          <w:sz w:val="21"/>
        </w:rPr>
      </w:pPr>
      <w:r>
        <w:rPr>
          <w:spacing w:val="-3"/>
          <w:sz w:val="21"/>
        </w:rPr>
        <w:t>出现阿-斯综合症或心力衰竭的表现；</w:t>
      </w:r>
    </w:p>
    <w:p>
      <w:pPr>
        <w:pStyle w:val="BodyText"/>
        <w:spacing w:before="7"/>
        <w:rPr>
          <w:sz w:val="15"/>
        </w:rPr>
      </w:pPr>
    </w:p>
    <w:p>
      <w:pPr>
        <w:pStyle w:val="ListParagraph"/>
        <w:numPr>
          <w:ilvl w:val="0"/>
          <w:numId w:val="61"/>
        </w:numPr>
        <w:tabs>
          <w:tab w:pos="3254" w:val="left" w:leader="none"/>
          <w:tab w:pos="3255" w:val="left" w:leader="none"/>
        </w:tabs>
        <w:spacing w:line="240" w:lineRule="auto" w:before="1" w:after="0"/>
        <w:ind w:left="3254" w:right="0" w:hanging="722"/>
        <w:jc w:val="left"/>
        <w:rPr>
          <w:sz w:val="21"/>
        </w:rPr>
      </w:pPr>
      <w:r>
        <w:rPr>
          <w:spacing w:val="-3"/>
          <w:sz w:val="21"/>
        </w:rPr>
        <w:t>必须持续性依赖心脏起搏器维持心脏正常功能，且已经放置心脏起搏器。</w:t>
      </w:r>
    </w:p>
    <w:p>
      <w:pPr>
        <w:pStyle w:val="BodyText"/>
        <w:spacing w:before="6"/>
        <w:rPr>
          <w:sz w:val="15"/>
        </w:rPr>
      </w:pPr>
    </w:p>
    <w:p>
      <w:pPr>
        <w:pStyle w:val="Heading2"/>
        <w:numPr>
          <w:ilvl w:val="0"/>
          <w:numId w:val="11"/>
        </w:numPr>
        <w:tabs>
          <w:tab w:pos="3169" w:val="left" w:leader="none"/>
        </w:tabs>
        <w:spacing w:line="240" w:lineRule="auto" w:before="0" w:after="0"/>
        <w:ind w:left="3168" w:right="0" w:hanging="636"/>
        <w:jc w:val="left"/>
      </w:pPr>
      <w:r>
        <w:rPr>
          <w:spacing w:val="-2"/>
        </w:rPr>
        <w:t>艾森门格综合征:</w:t>
      </w:r>
    </w:p>
    <w:p>
      <w:pPr>
        <w:pStyle w:val="BodyText"/>
        <w:spacing w:before="7"/>
        <w:rPr>
          <w:b/>
          <w:sz w:val="15"/>
        </w:rPr>
      </w:pPr>
    </w:p>
    <w:p>
      <w:pPr>
        <w:pStyle w:val="BodyText"/>
        <w:spacing w:line="278" w:lineRule="auto"/>
        <w:ind w:left="2533" w:right="356"/>
      </w:pPr>
      <w:r>
        <w:rPr>
          <w:spacing w:val="-2"/>
        </w:rPr>
        <w:t>因心脏病导致的严重肺动脉高压及右向左分流。诊断必须由心脏专科医生经超声心</w:t>
      </w:r>
      <w:r>
        <w:rPr>
          <w:spacing w:val="-2"/>
        </w:rPr>
        <w:t>动图和心导管检查证实及需符合以下所有标准：</w:t>
      </w:r>
    </w:p>
    <w:p>
      <w:pPr>
        <w:pStyle w:val="ListParagraph"/>
        <w:numPr>
          <w:ilvl w:val="0"/>
          <w:numId w:val="62"/>
        </w:numPr>
        <w:tabs>
          <w:tab w:pos="3254" w:val="left" w:leader="none"/>
          <w:tab w:pos="3255" w:val="left" w:leader="none"/>
        </w:tabs>
        <w:spacing w:line="240" w:lineRule="auto" w:before="156" w:after="0"/>
        <w:ind w:left="3254" w:right="0" w:hanging="722"/>
        <w:jc w:val="left"/>
        <w:rPr>
          <w:sz w:val="21"/>
        </w:rPr>
      </w:pPr>
      <w:r>
        <w:rPr>
          <w:spacing w:val="-7"/>
          <w:sz w:val="21"/>
        </w:rPr>
        <w:t>平均肺动脉压高于 </w:t>
      </w:r>
      <w:r>
        <w:rPr>
          <w:spacing w:val="-2"/>
          <w:sz w:val="21"/>
        </w:rPr>
        <w:t>40mmHg；</w:t>
      </w:r>
    </w:p>
    <w:p>
      <w:pPr>
        <w:spacing w:after="0" w:line="240" w:lineRule="auto"/>
        <w:jc w:val="left"/>
        <w:rPr>
          <w:sz w:val="21"/>
        </w:rPr>
        <w:sectPr>
          <w:footerReference w:type="default" r:id="rId26"/>
          <w:pgSz w:w="11910" w:h="16840"/>
          <w:pgMar w:footer="659" w:header="0" w:top="1400" w:bottom="840" w:left="920" w:right="540"/>
          <w:pgNumType w:start="1"/>
        </w:sectPr>
      </w:pPr>
    </w:p>
    <w:p>
      <w:pPr>
        <w:pStyle w:val="ListParagraph"/>
        <w:numPr>
          <w:ilvl w:val="0"/>
          <w:numId w:val="62"/>
        </w:numPr>
        <w:tabs>
          <w:tab w:pos="3254" w:val="left" w:leader="none"/>
          <w:tab w:pos="3255" w:val="left" w:leader="none"/>
        </w:tabs>
        <w:spacing w:line="240" w:lineRule="auto" w:before="44" w:after="0"/>
        <w:ind w:left="3254" w:right="0" w:hanging="722"/>
        <w:jc w:val="left"/>
        <w:rPr>
          <w:sz w:val="21"/>
        </w:rPr>
      </w:pPr>
      <w:r>
        <w:rPr>
          <w:spacing w:val="-7"/>
          <w:sz w:val="21"/>
        </w:rPr>
        <w:t>肺血管阻力高于 </w:t>
      </w:r>
      <w:r>
        <w:rPr>
          <w:sz w:val="21"/>
        </w:rPr>
        <w:t>3mm/L/min（Wood</w:t>
      </w:r>
      <w:r>
        <w:rPr>
          <w:spacing w:val="-8"/>
          <w:sz w:val="21"/>
        </w:rPr>
        <w:t> 单位</w:t>
      </w:r>
      <w:r>
        <w:rPr>
          <w:spacing w:val="-113"/>
          <w:sz w:val="21"/>
        </w:rPr>
        <w:t>）</w:t>
      </w:r>
      <w:r>
        <w:rPr>
          <w:spacing w:val="-5"/>
          <w:sz w:val="21"/>
        </w:rPr>
        <w:t>；</w:t>
      </w:r>
    </w:p>
    <w:p>
      <w:pPr>
        <w:pStyle w:val="BodyText"/>
        <w:spacing w:before="7"/>
        <w:rPr>
          <w:sz w:val="15"/>
        </w:rPr>
      </w:pPr>
    </w:p>
    <w:p>
      <w:pPr>
        <w:pStyle w:val="ListParagraph"/>
        <w:numPr>
          <w:ilvl w:val="0"/>
          <w:numId w:val="62"/>
        </w:numPr>
        <w:tabs>
          <w:tab w:pos="3254" w:val="left" w:leader="none"/>
          <w:tab w:pos="3255" w:val="left" w:leader="none"/>
        </w:tabs>
        <w:spacing w:line="240" w:lineRule="auto" w:before="0" w:after="0"/>
        <w:ind w:left="3254" w:right="0" w:hanging="722"/>
        <w:jc w:val="left"/>
        <w:rPr>
          <w:sz w:val="21"/>
        </w:rPr>
      </w:pPr>
      <w:r>
        <w:rPr>
          <w:spacing w:val="-6"/>
          <w:sz w:val="21"/>
        </w:rPr>
        <w:t>正常肺微血管楔压低于 </w:t>
      </w:r>
      <w:r>
        <w:rPr>
          <w:spacing w:val="-2"/>
          <w:sz w:val="21"/>
        </w:rPr>
        <w:t>15mmHg</w:t>
      </w:r>
      <w:r>
        <w:rPr>
          <w:spacing w:val="-10"/>
          <w:sz w:val="21"/>
        </w:rPr>
        <w:t>。</w:t>
      </w:r>
    </w:p>
    <w:p>
      <w:pPr>
        <w:pStyle w:val="BodyText"/>
        <w:spacing w:before="7"/>
        <w:rPr>
          <w:sz w:val="15"/>
        </w:rPr>
      </w:pPr>
    </w:p>
    <w:p>
      <w:pPr>
        <w:pStyle w:val="BodyText"/>
        <w:spacing w:line="278" w:lineRule="auto"/>
        <w:ind w:left="2533" w:right="356"/>
      </w:pPr>
      <w:r>
        <w:rPr>
          <w:spacing w:val="-2"/>
        </w:rPr>
        <w:t>本公司承担本项疾病责任不受本合同责任免除中“遗传性疾病，先天性畸形、变形</w:t>
      </w:r>
      <w:r>
        <w:rPr>
          <w:spacing w:val="-2"/>
        </w:rPr>
        <w:t>或染色体异常”的限制。</w:t>
      </w:r>
    </w:p>
    <w:p>
      <w:pPr>
        <w:pStyle w:val="Heading2"/>
        <w:numPr>
          <w:ilvl w:val="0"/>
          <w:numId w:val="11"/>
        </w:numPr>
        <w:tabs>
          <w:tab w:pos="3169" w:val="left" w:leader="none"/>
        </w:tabs>
        <w:spacing w:line="240" w:lineRule="auto" w:before="156" w:after="0"/>
        <w:ind w:left="3168" w:right="0" w:hanging="636"/>
        <w:jc w:val="left"/>
      </w:pPr>
      <w:r>
        <w:rPr>
          <w:w w:val="95"/>
        </w:rPr>
        <w:t>Brugada</w:t>
      </w:r>
      <w:r>
        <w:rPr>
          <w:spacing w:val="10"/>
        </w:rPr>
        <w:t> </w:t>
      </w:r>
      <w:r>
        <w:rPr>
          <w:w w:val="95"/>
        </w:rPr>
        <w:t>综</w:t>
      </w:r>
      <w:r>
        <w:rPr>
          <w:w w:val="95"/>
        </w:rPr>
        <w:t>合</w:t>
      </w:r>
      <w:r>
        <w:rPr>
          <w:w w:val="95"/>
        </w:rPr>
        <w:t>征</w:t>
      </w:r>
      <w:r>
        <w:rPr>
          <w:spacing w:val="-10"/>
          <w:w w:val="95"/>
        </w:rPr>
        <w:t>:</w:t>
      </w:r>
    </w:p>
    <w:p>
      <w:pPr>
        <w:pStyle w:val="BodyText"/>
        <w:spacing w:before="6"/>
        <w:rPr>
          <w:b/>
          <w:sz w:val="15"/>
        </w:rPr>
      </w:pPr>
    </w:p>
    <w:p>
      <w:pPr>
        <w:pStyle w:val="BodyText"/>
        <w:spacing w:line="278" w:lineRule="auto" w:before="1"/>
        <w:ind w:left="2533" w:right="355"/>
      </w:pPr>
      <w:r>
        <w:rPr/>
        <w:t>Brugada</w:t>
      </w:r>
      <w:r>
        <w:rPr>
          <w:spacing w:val="-6"/>
        </w:rPr>
        <w:t> 综合征须经本公司认可的医院的心脏专科医生明确诊断，并须满足下列全</w:t>
      </w:r>
      <w:r>
        <w:rPr>
          <w:spacing w:val="-4"/>
        </w:rPr>
        <w:t>部条件：</w:t>
      </w:r>
    </w:p>
    <w:p>
      <w:pPr>
        <w:pStyle w:val="ListParagraph"/>
        <w:numPr>
          <w:ilvl w:val="0"/>
          <w:numId w:val="63"/>
        </w:numPr>
        <w:tabs>
          <w:tab w:pos="3254" w:val="left" w:leader="none"/>
          <w:tab w:pos="3255" w:val="left" w:leader="none"/>
        </w:tabs>
        <w:spacing w:line="240" w:lineRule="auto" w:before="155" w:after="0"/>
        <w:ind w:left="3254" w:right="0" w:hanging="722"/>
        <w:jc w:val="left"/>
        <w:rPr>
          <w:sz w:val="21"/>
        </w:rPr>
      </w:pPr>
      <w:r>
        <w:rPr>
          <w:spacing w:val="-3"/>
          <w:sz w:val="21"/>
        </w:rPr>
        <w:t>有晕厥或心脏骤停病史，并提供完整的诊疗记录；</w:t>
      </w:r>
    </w:p>
    <w:p>
      <w:pPr>
        <w:pStyle w:val="BodyText"/>
        <w:spacing w:before="7"/>
        <w:rPr>
          <w:sz w:val="15"/>
        </w:rPr>
      </w:pPr>
    </w:p>
    <w:p>
      <w:pPr>
        <w:pStyle w:val="ListParagraph"/>
        <w:numPr>
          <w:ilvl w:val="0"/>
          <w:numId w:val="63"/>
        </w:numPr>
        <w:tabs>
          <w:tab w:pos="3254" w:val="left" w:leader="none"/>
          <w:tab w:pos="3255" w:val="left" w:leader="none"/>
        </w:tabs>
        <w:spacing w:line="240" w:lineRule="auto" w:before="0" w:after="0"/>
        <w:ind w:left="3254" w:right="0" w:hanging="722"/>
        <w:jc w:val="left"/>
        <w:rPr>
          <w:sz w:val="21"/>
        </w:rPr>
      </w:pPr>
      <w:r>
        <w:rPr>
          <w:spacing w:val="4"/>
          <w:sz w:val="21"/>
        </w:rPr>
        <w:t>心电图有典型的</w:t>
      </w:r>
      <w:r>
        <w:rPr>
          <w:sz w:val="21"/>
        </w:rPr>
        <w:t>I</w:t>
      </w:r>
      <w:r>
        <w:rPr>
          <w:spacing w:val="-37"/>
          <w:sz w:val="21"/>
        </w:rPr>
        <w:t> 型 </w:t>
      </w:r>
      <w:r>
        <w:rPr>
          <w:sz w:val="21"/>
        </w:rPr>
        <w:t>Brugada</w:t>
      </w:r>
      <w:r>
        <w:rPr>
          <w:spacing w:val="-21"/>
          <w:sz w:val="21"/>
        </w:rPr>
        <w:t> 波；</w:t>
      </w:r>
    </w:p>
    <w:p>
      <w:pPr>
        <w:pStyle w:val="BodyText"/>
        <w:spacing w:before="7"/>
        <w:rPr>
          <w:sz w:val="15"/>
        </w:rPr>
      </w:pPr>
    </w:p>
    <w:p>
      <w:pPr>
        <w:pStyle w:val="ListParagraph"/>
        <w:numPr>
          <w:ilvl w:val="0"/>
          <w:numId w:val="63"/>
        </w:numPr>
        <w:tabs>
          <w:tab w:pos="3254" w:val="left" w:leader="none"/>
          <w:tab w:pos="3255" w:val="left" w:leader="none"/>
        </w:tabs>
        <w:spacing w:line="240" w:lineRule="auto" w:before="0" w:after="0"/>
        <w:ind w:left="3254" w:right="0" w:hanging="722"/>
        <w:jc w:val="left"/>
        <w:rPr>
          <w:sz w:val="21"/>
        </w:rPr>
      </w:pPr>
      <w:r>
        <w:rPr>
          <w:spacing w:val="-3"/>
          <w:sz w:val="21"/>
        </w:rPr>
        <w:t>已经安装了永久性心脏起搏器。</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严重大动脉炎:</w:t>
      </w:r>
    </w:p>
    <w:p>
      <w:pPr>
        <w:pStyle w:val="BodyText"/>
        <w:spacing w:before="7"/>
        <w:rPr>
          <w:b/>
          <w:sz w:val="15"/>
        </w:rPr>
      </w:pPr>
    </w:p>
    <w:p>
      <w:pPr>
        <w:pStyle w:val="BodyText"/>
        <w:spacing w:line="417" w:lineRule="auto"/>
        <w:ind w:left="2533" w:right="553"/>
      </w:pPr>
      <w:r>
        <w:rPr>
          <w:spacing w:val="-2"/>
        </w:rPr>
        <w:t>指经本公司认可医院的心脏或血管外科专科医生确诊的大动脉炎，须满足下列全</w:t>
      </w:r>
      <w:r>
        <w:rPr>
          <w:spacing w:val="-4"/>
        </w:rPr>
        <w:t>部条件：</w:t>
      </w:r>
    </w:p>
    <w:p>
      <w:pPr>
        <w:pStyle w:val="ListParagraph"/>
        <w:numPr>
          <w:ilvl w:val="0"/>
          <w:numId w:val="64"/>
        </w:numPr>
        <w:tabs>
          <w:tab w:pos="3254" w:val="left" w:leader="none"/>
          <w:tab w:pos="3255" w:val="left" w:leader="none"/>
        </w:tabs>
        <w:spacing w:line="269" w:lineRule="exact" w:before="0" w:after="0"/>
        <w:ind w:left="3254" w:right="0" w:hanging="722"/>
        <w:jc w:val="left"/>
        <w:rPr>
          <w:sz w:val="21"/>
        </w:rPr>
      </w:pPr>
      <w:r>
        <w:rPr>
          <w:spacing w:val="4"/>
          <w:sz w:val="21"/>
        </w:rPr>
        <w:t>红细胞沉降率及</w:t>
      </w:r>
      <w:r>
        <w:rPr>
          <w:sz w:val="21"/>
        </w:rPr>
        <w:t>C</w:t>
      </w:r>
      <w:r>
        <w:rPr>
          <w:spacing w:val="-9"/>
          <w:sz w:val="21"/>
        </w:rPr>
        <w:t> 反应蛋白高于正常值；</w:t>
      </w:r>
    </w:p>
    <w:p>
      <w:pPr>
        <w:pStyle w:val="BodyText"/>
        <w:spacing w:before="6"/>
        <w:rPr>
          <w:sz w:val="15"/>
        </w:rPr>
      </w:pPr>
    </w:p>
    <w:p>
      <w:pPr>
        <w:pStyle w:val="ListParagraph"/>
        <w:numPr>
          <w:ilvl w:val="0"/>
          <w:numId w:val="64"/>
        </w:numPr>
        <w:tabs>
          <w:tab w:pos="3254" w:val="left" w:leader="none"/>
          <w:tab w:pos="3255" w:val="left" w:leader="none"/>
        </w:tabs>
        <w:spacing w:line="240" w:lineRule="auto" w:before="1" w:after="0"/>
        <w:ind w:left="3254" w:right="0" w:hanging="722"/>
        <w:jc w:val="left"/>
        <w:rPr>
          <w:sz w:val="21"/>
        </w:rPr>
      </w:pPr>
      <w:r>
        <w:rPr>
          <w:spacing w:val="-2"/>
          <w:sz w:val="21"/>
        </w:rPr>
        <w:t>超声检查、CTA</w:t>
      </w:r>
      <w:r>
        <w:rPr>
          <w:spacing w:val="-9"/>
          <w:sz w:val="21"/>
        </w:rPr>
        <w:t> 检查或血管造影检查证实主动脉及其主要分支存在狭窄；</w:t>
      </w:r>
    </w:p>
    <w:p>
      <w:pPr>
        <w:pStyle w:val="BodyText"/>
        <w:spacing w:before="6"/>
        <w:rPr>
          <w:sz w:val="15"/>
        </w:rPr>
      </w:pPr>
    </w:p>
    <w:p>
      <w:pPr>
        <w:pStyle w:val="ListParagraph"/>
        <w:numPr>
          <w:ilvl w:val="0"/>
          <w:numId w:val="64"/>
        </w:numPr>
        <w:tabs>
          <w:tab w:pos="3254" w:val="left" w:leader="none"/>
          <w:tab w:pos="3255" w:val="left" w:leader="none"/>
        </w:tabs>
        <w:spacing w:line="240" w:lineRule="auto" w:before="0" w:after="0"/>
        <w:ind w:left="3254" w:right="0" w:hanging="722"/>
        <w:jc w:val="left"/>
        <w:rPr>
          <w:sz w:val="21"/>
        </w:rPr>
      </w:pPr>
      <w:r>
        <w:rPr>
          <w:spacing w:val="-3"/>
          <w:sz w:val="21"/>
        </w:rPr>
        <w:t>已经针对狭窄的动脉进行了手术治疗。</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重症脊髓灰质炎:</w:t>
      </w:r>
    </w:p>
    <w:p>
      <w:pPr>
        <w:pStyle w:val="BodyText"/>
        <w:spacing w:before="7"/>
        <w:rPr>
          <w:b/>
          <w:sz w:val="15"/>
        </w:rPr>
      </w:pPr>
    </w:p>
    <w:p>
      <w:pPr>
        <w:pStyle w:val="BodyText"/>
        <w:spacing w:line="278" w:lineRule="auto"/>
        <w:ind w:left="2533" w:right="356"/>
      </w:pPr>
      <w:r>
        <w:rPr>
          <w:spacing w:val="-2"/>
        </w:rPr>
        <w:t>脊髓灰质炎指由于脊髓灰质炎病毒感染所致的瘫痪性疾病，临床表现为运动功能损</w:t>
      </w:r>
      <w:r>
        <w:rPr>
          <w:spacing w:val="-2"/>
        </w:rPr>
        <w:t>害或呼吸无力。脊髓灰质炎必须明确诊断。</w:t>
      </w:r>
    </w:p>
    <w:p>
      <w:pPr>
        <w:pStyle w:val="BodyText"/>
        <w:spacing w:line="278" w:lineRule="auto"/>
        <w:ind w:left="2533" w:right="343"/>
        <w:jc w:val="both"/>
      </w:pPr>
      <w:r>
        <w:rPr>
          <w:spacing w:val="-2"/>
        </w:rPr>
        <w:t>本合同所称“重症脊髓灰质炎”仅指脊髓灰质炎造成的神经系统功能损害导致被保</w:t>
      </w:r>
      <w:r>
        <w:rPr>
          <w:spacing w:val="-2"/>
        </w:rPr>
        <w:t>险人一肢或一肢以上肢体机能永久完全丧失的情形。肢体机能永久完全丧失，指疾</w:t>
      </w:r>
      <w:r>
        <w:rPr>
          <w:spacing w:val="-8"/>
        </w:rPr>
        <w:t>病确诊 </w:t>
      </w:r>
      <w:r>
        <w:rPr>
          <w:spacing w:val="-2"/>
        </w:rPr>
        <w:t>180</w:t>
      </w:r>
      <w:r>
        <w:rPr>
          <w:spacing w:val="-7"/>
        </w:rPr>
        <w:t> 天后，每肢三大关节中的两大关节仍然完全僵硬，或不能随意识活动。</w:t>
      </w:r>
      <w:r>
        <w:rPr>
          <w:spacing w:val="-2"/>
        </w:rPr>
        <w:t>若无因此感染而导致麻痹性瘫痪的事实结果，以及其它病因所致的麻痹，例如格林</w:t>
      </w:r>
      <w:r>
        <w:rPr>
          <w:spacing w:val="-2"/>
        </w:rPr>
        <w:t>巴利综合征则不属于本合同所说的脊髓灰质炎。</w:t>
      </w:r>
    </w:p>
    <w:p>
      <w:pPr>
        <w:pStyle w:val="Heading2"/>
        <w:numPr>
          <w:ilvl w:val="0"/>
          <w:numId w:val="11"/>
        </w:numPr>
        <w:tabs>
          <w:tab w:pos="3169" w:val="left" w:leader="none"/>
        </w:tabs>
        <w:spacing w:line="240" w:lineRule="auto" w:before="156" w:after="0"/>
        <w:ind w:left="3168" w:right="0" w:hanging="636"/>
        <w:jc w:val="both"/>
      </w:pPr>
      <w:r>
        <w:rPr>
          <w:w w:val="95"/>
        </w:rPr>
        <w:t>进</w:t>
      </w:r>
      <w:r>
        <w:rPr>
          <w:w w:val="95"/>
        </w:rPr>
        <w:t>行</w:t>
      </w:r>
      <w:r>
        <w:rPr>
          <w:w w:val="95"/>
        </w:rPr>
        <w:t>性</w:t>
      </w:r>
      <w:r>
        <w:rPr>
          <w:w w:val="95"/>
        </w:rPr>
        <w:t>核</w:t>
      </w:r>
      <w:r>
        <w:rPr>
          <w:w w:val="95"/>
        </w:rPr>
        <w:t>上</w:t>
      </w:r>
      <w:r>
        <w:rPr>
          <w:w w:val="95"/>
        </w:rPr>
        <w:t>性</w:t>
      </w:r>
      <w:r>
        <w:rPr>
          <w:w w:val="95"/>
        </w:rPr>
        <w:t>麻</w:t>
      </w:r>
      <w:r>
        <w:rPr>
          <w:w w:val="95"/>
        </w:rPr>
        <w:t>痹（Steele-Richardson-Olszewski</w:t>
      </w:r>
      <w:r>
        <w:rPr>
          <w:spacing w:val="42"/>
        </w:rPr>
        <w:t>  </w:t>
      </w:r>
      <w:r>
        <w:rPr>
          <w:w w:val="95"/>
        </w:rPr>
        <w:t>综</w:t>
      </w:r>
      <w:r>
        <w:rPr>
          <w:w w:val="95"/>
        </w:rPr>
        <w:t>合</w:t>
      </w:r>
      <w:r>
        <w:rPr>
          <w:w w:val="95"/>
        </w:rPr>
        <w:t>征</w:t>
      </w:r>
      <w:r>
        <w:rPr>
          <w:spacing w:val="-5"/>
          <w:w w:val="95"/>
        </w:rPr>
        <w:t>）:</w:t>
      </w:r>
    </w:p>
    <w:p>
      <w:pPr>
        <w:pStyle w:val="BodyText"/>
        <w:spacing w:before="6"/>
        <w:rPr>
          <w:b/>
          <w:sz w:val="15"/>
        </w:rPr>
      </w:pPr>
    </w:p>
    <w:p>
      <w:pPr>
        <w:pStyle w:val="BodyText"/>
        <w:spacing w:line="278" w:lineRule="auto"/>
        <w:ind w:left="2533" w:right="356"/>
        <w:jc w:val="both"/>
      </w:pPr>
      <w:r>
        <w:rPr>
          <w:spacing w:val="-4"/>
        </w:rPr>
        <w:t>进行性核上性麻痹（PSP）指一种少见的神经系统变性疾病，以假球麻痹、垂直性核</w:t>
      </w:r>
      <w:r>
        <w:rPr>
          <w:spacing w:val="-15"/>
        </w:rPr>
        <w:t>上性眼肌麻痹、锥体外系肌僵直、步态共济失调和轻度痴呆为主要临床特征。</w:t>
      </w:r>
      <w:r>
        <w:rPr>
          <w:spacing w:val="-2"/>
        </w:rPr>
        <w:t>PSP</w:t>
      </w:r>
      <w:r>
        <w:rPr>
          <w:spacing w:val="-6"/>
        </w:rPr>
        <w:t> 必</w:t>
      </w:r>
      <w:r>
        <w:rPr>
          <w:spacing w:val="-2"/>
        </w:rPr>
        <w:t>须由三级甲等医疗机构的神经内科专科医生确诊，并且被保险人自主生活能力完全</w:t>
      </w:r>
      <w:r>
        <w:rPr>
          <w:spacing w:val="-2"/>
        </w:rPr>
        <w:t>丧失，无法独立完成六项基本日常生活活动中的三项或三项以上。</w:t>
      </w:r>
    </w:p>
    <w:p>
      <w:pPr>
        <w:pStyle w:val="Heading2"/>
        <w:numPr>
          <w:ilvl w:val="0"/>
          <w:numId w:val="11"/>
        </w:numPr>
        <w:tabs>
          <w:tab w:pos="3169" w:val="left" w:leader="none"/>
        </w:tabs>
        <w:spacing w:line="240" w:lineRule="auto" w:before="156" w:after="0"/>
        <w:ind w:left="3168" w:right="0" w:hanging="636"/>
        <w:jc w:val="left"/>
      </w:pPr>
      <w:r>
        <w:rPr>
          <w:spacing w:val="-2"/>
        </w:rPr>
        <w:t>严重癫痫:</w:t>
      </w:r>
    </w:p>
    <w:p>
      <w:pPr>
        <w:pStyle w:val="BodyText"/>
        <w:spacing w:before="7"/>
        <w:rPr>
          <w:b/>
          <w:sz w:val="15"/>
        </w:rPr>
      </w:pPr>
    </w:p>
    <w:p>
      <w:pPr>
        <w:pStyle w:val="BodyText"/>
        <w:spacing w:line="278" w:lineRule="auto"/>
        <w:ind w:left="2533" w:right="250"/>
      </w:pPr>
      <w:r>
        <w:rPr>
          <w:spacing w:val="2"/>
          <w:w w:val="100"/>
        </w:rPr>
        <w:t>本病的诊断须由神经科或儿科专科医生根据典型临床症状和脑电图及头颅断层扫</w:t>
      </w:r>
      <w:r>
        <w:rPr>
          <w:spacing w:val="-3"/>
          <w:w w:val="100"/>
        </w:rPr>
        <w:t>描</w:t>
      </w:r>
      <w:r>
        <w:rPr>
          <w:w w:val="100"/>
        </w:rPr>
        <w:t>（CT</w:t>
      </w:r>
      <w:r>
        <w:rPr>
          <w:spacing w:val="-108"/>
          <w:w w:val="100"/>
        </w:rPr>
        <w:t>）</w:t>
      </w:r>
      <w:r>
        <w:rPr>
          <w:spacing w:val="-3"/>
          <w:w w:val="100"/>
        </w:rPr>
        <w:t>、核磁共振检查（</w:t>
      </w:r>
      <w:r>
        <w:rPr>
          <w:w w:val="100"/>
        </w:rPr>
        <w:t>MRI</w:t>
      </w:r>
      <w:r>
        <w:rPr>
          <w:spacing w:val="-3"/>
          <w:w w:val="100"/>
        </w:rPr>
        <w:t>）或正电子发射断层扫描</w:t>
      </w:r>
      <w:r>
        <w:rPr>
          <w:spacing w:val="-1"/>
          <w:w w:val="100"/>
        </w:rPr>
        <w:t>（</w:t>
      </w:r>
      <w:r>
        <w:rPr>
          <w:w w:val="100"/>
        </w:rPr>
        <w:t>PE</w:t>
      </w:r>
      <w:r>
        <w:rPr>
          <w:spacing w:val="-3"/>
          <w:w w:val="100"/>
        </w:rPr>
        <w:t>T）等影相学检查做出。</w:t>
      </w:r>
      <w:r>
        <w:rPr>
          <w:spacing w:val="2"/>
          <w:w w:val="100"/>
        </w:rPr>
        <w:t>理赔时必须提供六个月以上的相关病历记录证明被保险人存在经抗癫痫药物治疗</w:t>
      </w:r>
      <w:r>
        <w:rPr>
          <w:spacing w:val="-4"/>
          <w:w w:val="100"/>
        </w:rPr>
        <w:t>无效而反复发作的强直阵挛性发作或癫痫大发作，且已行神经外科手术以治疗反复</w:t>
      </w:r>
      <w:r>
        <w:rPr>
          <w:spacing w:val="-3"/>
          <w:w w:val="100"/>
        </w:rPr>
        <w:t>发作的癫痫。</w:t>
      </w:r>
    </w:p>
    <w:p>
      <w:pPr>
        <w:spacing w:after="0" w:line="278" w:lineRule="auto"/>
        <w:sectPr>
          <w:pgSz w:w="11910" w:h="16840"/>
          <w:pgMar w:header="0" w:footer="659" w:top="1400" w:bottom="840" w:left="920" w:right="540"/>
        </w:sectPr>
      </w:pPr>
    </w:p>
    <w:p>
      <w:pPr>
        <w:pStyle w:val="BodyText"/>
        <w:spacing w:before="44"/>
        <w:ind w:left="2533"/>
      </w:pPr>
      <w:r>
        <w:rPr>
          <w:color w:val="000000"/>
          <w:spacing w:val="-2"/>
          <w:shd w:fill="E4E4E4" w:color="auto" w:val="clear"/>
        </w:rPr>
        <w:t>发热性惊厥以及没有全身性发作的失神发作（癫痫小发作）</w:t>
      </w:r>
      <w:r>
        <w:rPr>
          <w:color w:val="000000"/>
          <w:spacing w:val="-3"/>
          <w:shd w:fill="E4E4E4" w:color="auto" w:val="clear"/>
        </w:rPr>
        <w:t>不在本保障范围内。</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重症手足口病:</w:t>
      </w:r>
    </w:p>
    <w:p>
      <w:pPr>
        <w:pStyle w:val="BodyText"/>
        <w:spacing w:before="7"/>
        <w:rPr>
          <w:b/>
          <w:sz w:val="15"/>
        </w:rPr>
      </w:pPr>
    </w:p>
    <w:p>
      <w:pPr>
        <w:pStyle w:val="BodyText"/>
        <w:spacing w:line="278" w:lineRule="auto"/>
        <w:ind w:left="2533" w:right="344"/>
        <w:jc w:val="both"/>
      </w:pPr>
      <w:r>
        <w:rPr>
          <w:spacing w:val="-2"/>
        </w:rPr>
        <w:t>指由肠道病毒引起的急性传染病，主要症状表现为手、足、口腔等部位的斑丘疹、</w:t>
      </w:r>
      <w:r>
        <w:rPr>
          <w:spacing w:val="-2"/>
        </w:rPr>
        <w:t>疱疹。经本公司指定或认可的医疗机构的专科医生确诊患有手足口病，并伴有下列</w:t>
      </w:r>
      <w:r>
        <w:rPr>
          <w:spacing w:val="-2"/>
        </w:rPr>
        <w:t>三项中的任意一项并发症：</w:t>
      </w:r>
    </w:p>
    <w:p>
      <w:pPr>
        <w:pStyle w:val="ListParagraph"/>
        <w:numPr>
          <w:ilvl w:val="0"/>
          <w:numId w:val="65"/>
        </w:numPr>
        <w:tabs>
          <w:tab w:pos="3255" w:val="left" w:leader="none"/>
        </w:tabs>
        <w:spacing w:line="278" w:lineRule="auto" w:before="156" w:after="0"/>
        <w:ind w:left="3254" w:right="355" w:hanging="721"/>
        <w:jc w:val="both"/>
        <w:rPr>
          <w:sz w:val="21"/>
        </w:rPr>
      </w:pPr>
      <w:r>
        <w:rPr>
          <w:spacing w:val="-11"/>
          <w:sz w:val="21"/>
        </w:rPr>
        <w:t>有脑膜炎或脑炎并发症，且导致意识障碍或瘫痪的临床表现及实验室检查证</w:t>
      </w:r>
      <w:r>
        <w:rPr>
          <w:spacing w:val="-6"/>
          <w:sz w:val="21"/>
        </w:rPr>
        <w:t>据；</w:t>
      </w:r>
    </w:p>
    <w:p>
      <w:pPr>
        <w:pStyle w:val="ListParagraph"/>
        <w:numPr>
          <w:ilvl w:val="0"/>
          <w:numId w:val="65"/>
        </w:numPr>
        <w:tabs>
          <w:tab w:pos="3255" w:val="left" w:leader="none"/>
        </w:tabs>
        <w:spacing w:line="240" w:lineRule="auto" w:before="155" w:after="0"/>
        <w:ind w:left="3254" w:right="0" w:hanging="722"/>
        <w:jc w:val="both"/>
        <w:rPr>
          <w:sz w:val="21"/>
        </w:rPr>
      </w:pPr>
      <w:r>
        <w:rPr>
          <w:spacing w:val="-3"/>
          <w:sz w:val="21"/>
        </w:rPr>
        <w:t>有肺炎或肺水肿并发症，且导致呼吸衰竭的临床表现及实验室检查证据；</w:t>
      </w:r>
    </w:p>
    <w:p>
      <w:pPr>
        <w:pStyle w:val="BodyText"/>
        <w:spacing w:before="7"/>
        <w:rPr>
          <w:sz w:val="15"/>
        </w:rPr>
      </w:pPr>
    </w:p>
    <w:p>
      <w:pPr>
        <w:pStyle w:val="ListParagraph"/>
        <w:numPr>
          <w:ilvl w:val="0"/>
          <w:numId w:val="65"/>
        </w:numPr>
        <w:tabs>
          <w:tab w:pos="3255" w:val="left" w:leader="none"/>
        </w:tabs>
        <w:spacing w:line="278" w:lineRule="auto" w:before="0" w:after="0"/>
        <w:ind w:left="3254" w:right="354" w:hanging="721"/>
        <w:jc w:val="both"/>
        <w:rPr>
          <w:sz w:val="21"/>
        </w:rPr>
      </w:pPr>
      <w:r>
        <w:rPr>
          <w:spacing w:val="-2"/>
          <w:sz w:val="21"/>
        </w:rPr>
        <w:t>有心肌炎并发症，且导致心脏扩大或心力衰竭的临床表现及实验室检查证</w:t>
      </w:r>
      <w:r>
        <w:rPr>
          <w:spacing w:val="-6"/>
          <w:sz w:val="21"/>
        </w:rPr>
        <w:t>据。</w:t>
      </w:r>
    </w:p>
    <w:p>
      <w:pPr>
        <w:pStyle w:val="Heading2"/>
        <w:numPr>
          <w:ilvl w:val="0"/>
          <w:numId w:val="11"/>
        </w:numPr>
        <w:tabs>
          <w:tab w:pos="3169" w:val="left" w:leader="none"/>
        </w:tabs>
        <w:spacing w:line="240" w:lineRule="auto" w:before="157" w:after="0"/>
        <w:ind w:left="3168" w:right="0" w:hanging="636"/>
        <w:jc w:val="left"/>
      </w:pPr>
      <w:r>
        <w:rPr>
          <w:spacing w:val="-3"/>
        </w:rPr>
        <w:t>进行性多灶性白质脑病:</w:t>
      </w:r>
    </w:p>
    <w:p>
      <w:pPr>
        <w:pStyle w:val="BodyText"/>
        <w:spacing w:before="6"/>
        <w:rPr>
          <w:b/>
          <w:sz w:val="15"/>
        </w:rPr>
      </w:pPr>
    </w:p>
    <w:p>
      <w:pPr>
        <w:pStyle w:val="BodyText"/>
        <w:spacing w:line="278" w:lineRule="auto"/>
        <w:ind w:left="2533" w:right="356"/>
      </w:pPr>
      <w:r>
        <w:rPr>
          <w:spacing w:val="-2"/>
        </w:rPr>
        <w:t>是一种亚急性脱髓鞘性脑病，常常发现于免疫缺陷的病人。此症必须由本公司认可</w:t>
      </w:r>
      <w:r>
        <w:rPr>
          <w:spacing w:val="-2"/>
        </w:rPr>
        <w:t>的神经科专科医生根据脑组织活检确诊。</w:t>
      </w:r>
    </w:p>
    <w:p>
      <w:pPr>
        <w:pStyle w:val="Heading2"/>
        <w:numPr>
          <w:ilvl w:val="0"/>
          <w:numId w:val="11"/>
        </w:numPr>
        <w:tabs>
          <w:tab w:pos="3169" w:val="left" w:leader="none"/>
        </w:tabs>
        <w:spacing w:line="240" w:lineRule="auto" w:before="156" w:after="0"/>
        <w:ind w:left="3168" w:right="0" w:hanging="636"/>
        <w:jc w:val="left"/>
      </w:pPr>
      <w:r>
        <w:rPr>
          <w:spacing w:val="-3"/>
        </w:rPr>
        <w:t>疾病或外伤所致智力障碍:</w:t>
      </w:r>
    </w:p>
    <w:p>
      <w:pPr>
        <w:pStyle w:val="BodyText"/>
        <w:spacing w:before="7"/>
        <w:rPr>
          <w:b/>
          <w:sz w:val="15"/>
        </w:rPr>
      </w:pPr>
    </w:p>
    <w:p>
      <w:pPr>
        <w:pStyle w:val="BodyText"/>
        <w:spacing w:line="278" w:lineRule="auto"/>
        <w:ind w:left="2533" w:right="356"/>
      </w:pPr>
      <w:r>
        <w:rPr>
          <w:spacing w:val="-4"/>
        </w:rPr>
        <w:t>因严重头部创伤或疾病造成被保险人智力低常（智力低于常态</w:t>
      </w:r>
      <w:r>
        <w:rPr>
          <w:spacing w:val="-106"/>
        </w:rPr>
        <w:t>）</w:t>
      </w:r>
      <w:r>
        <w:rPr>
          <w:spacing w:val="-4"/>
        </w:rPr>
        <w:t>。根据智商</w:t>
      </w:r>
      <w:r>
        <w:rPr>
          <w:spacing w:val="36"/>
        </w:rPr>
        <w:t>（</w:t>
      </w:r>
      <w:r>
        <w:rPr>
          <w:spacing w:val="38"/>
        </w:rPr>
        <w:t>IQ</w:t>
      </w:r>
      <w:r>
        <w:rPr>
          <w:spacing w:val="-68"/>
        </w:rPr>
        <w:t>），</w:t>
      </w:r>
      <w:r>
        <w:rPr>
          <w:spacing w:val="-8"/>
        </w:rPr>
        <w:t>智力低常分为轻度（IQ50-</w:t>
      </w:r>
      <w:r>
        <w:rPr>
          <w:spacing w:val="27"/>
        </w:rPr>
        <w:t>70</w:t>
      </w:r>
      <w:r>
        <w:rPr>
          <w:spacing w:val="-79"/>
        </w:rPr>
        <w:t>）</w:t>
      </w:r>
      <w:r>
        <w:rPr>
          <w:spacing w:val="-8"/>
        </w:rPr>
        <w:t>、中度（IQ35-</w:t>
      </w:r>
      <w:r>
        <w:rPr>
          <w:spacing w:val="28"/>
        </w:rPr>
        <w:t>50</w:t>
      </w:r>
      <w:r>
        <w:rPr>
          <w:spacing w:val="-80"/>
        </w:rPr>
        <w:t>）</w:t>
      </w:r>
      <w:r>
        <w:rPr>
          <w:spacing w:val="-8"/>
        </w:rPr>
        <w:t>、重度（IQ20-35）和极重度（IQ＜ </w:t>
      </w:r>
      <w:r>
        <w:rPr>
          <w:spacing w:val="31"/>
        </w:rPr>
        <w:t>20</w:t>
      </w:r>
      <w:r>
        <w:rPr>
          <w:spacing w:val="-75"/>
        </w:rPr>
        <w:t>）</w:t>
      </w:r>
      <w:r>
        <w:rPr>
          <w:spacing w:val="-14"/>
        </w:rPr>
        <w:t>。智商的检测必须由本公司认可的专职心理测验工作者进行，心理测验工作者必</w:t>
      </w:r>
      <w:r>
        <w:rPr>
          <w:spacing w:val="-2"/>
        </w:rPr>
        <w:t>须持有由心理测量专业委员会资格认定书。根据被保险人年龄采用对应的智力量表</w:t>
      </w:r>
      <w:r>
        <w:rPr>
          <w:spacing w:val="-2"/>
        </w:rPr>
        <w:t>如韦克斯勒智力量表（儿童智力量表或成人智力量表</w:t>
      </w:r>
      <w:r>
        <w:rPr>
          <w:spacing w:val="-106"/>
        </w:rPr>
        <w:t>）</w:t>
      </w:r>
      <w:r>
        <w:rPr>
          <w:spacing w:val="-2"/>
        </w:rPr>
        <w:t>。必须满足下列全部条件：</w:t>
      </w:r>
    </w:p>
    <w:p>
      <w:pPr>
        <w:pStyle w:val="ListParagraph"/>
        <w:numPr>
          <w:ilvl w:val="0"/>
          <w:numId w:val="66"/>
        </w:numPr>
        <w:tabs>
          <w:tab w:pos="3254" w:val="left" w:leader="none"/>
          <w:tab w:pos="3255" w:val="left" w:leader="none"/>
        </w:tabs>
        <w:spacing w:line="278" w:lineRule="auto" w:before="155" w:after="0"/>
        <w:ind w:left="3254" w:right="355" w:hanging="721"/>
        <w:jc w:val="left"/>
        <w:rPr>
          <w:sz w:val="21"/>
        </w:rPr>
      </w:pPr>
      <w:r>
        <w:rPr>
          <w:spacing w:val="-4"/>
          <w:sz w:val="21"/>
        </w:rPr>
        <w:t>造成被保险人智力低常（智力低于常态）的严重头部创伤或疾病（以入院日</w:t>
      </w:r>
      <w:r>
        <w:rPr>
          <w:sz w:val="21"/>
        </w:rPr>
        <w:t>期为准）</w:t>
      </w:r>
      <w:r>
        <w:rPr>
          <w:spacing w:val="-4"/>
          <w:sz w:val="21"/>
        </w:rPr>
        <w:t>发生在被保险人 </w:t>
      </w:r>
      <w:r>
        <w:rPr>
          <w:sz w:val="21"/>
        </w:rPr>
        <w:t>6</w:t>
      </w:r>
      <w:r>
        <w:rPr>
          <w:spacing w:val="-5"/>
          <w:sz w:val="21"/>
        </w:rPr>
        <w:t> 周岁以后；</w:t>
      </w:r>
    </w:p>
    <w:p>
      <w:pPr>
        <w:pStyle w:val="ListParagraph"/>
        <w:numPr>
          <w:ilvl w:val="0"/>
          <w:numId w:val="66"/>
        </w:numPr>
        <w:tabs>
          <w:tab w:pos="3255" w:val="left" w:leader="none"/>
        </w:tabs>
        <w:spacing w:line="240" w:lineRule="auto" w:before="156" w:after="0"/>
        <w:ind w:left="3254" w:right="0" w:hanging="722"/>
        <w:jc w:val="both"/>
        <w:rPr>
          <w:sz w:val="21"/>
        </w:rPr>
      </w:pPr>
      <w:r>
        <w:rPr>
          <w:spacing w:val="-3"/>
          <w:sz w:val="21"/>
        </w:rPr>
        <w:t>专科医师确诊被保险人由于严重头部创伤或疾病造成智力低常；</w:t>
      </w:r>
    </w:p>
    <w:p>
      <w:pPr>
        <w:pStyle w:val="BodyText"/>
        <w:spacing w:before="7"/>
        <w:rPr>
          <w:sz w:val="15"/>
        </w:rPr>
      </w:pPr>
    </w:p>
    <w:p>
      <w:pPr>
        <w:pStyle w:val="ListParagraph"/>
        <w:numPr>
          <w:ilvl w:val="0"/>
          <w:numId w:val="66"/>
        </w:numPr>
        <w:tabs>
          <w:tab w:pos="3254" w:val="left" w:leader="none"/>
          <w:tab w:pos="3255" w:val="left" w:leader="none"/>
        </w:tabs>
        <w:spacing w:line="278" w:lineRule="auto" w:before="0" w:after="0"/>
        <w:ind w:left="3254" w:right="255" w:hanging="721"/>
        <w:jc w:val="left"/>
        <w:rPr>
          <w:sz w:val="21"/>
        </w:rPr>
      </w:pPr>
      <w:r>
        <w:rPr>
          <w:spacing w:val="-2"/>
          <w:sz w:val="21"/>
        </w:rPr>
        <w:t>专职合格心理检测工作者适时做的心理检测证实被保险人智力低常（轻度、</w:t>
      </w:r>
      <w:r>
        <w:rPr>
          <w:spacing w:val="-2"/>
          <w:sz w:val="21"/>
        </w:rPr>
        <w:t>中度、重度或极重度</w:t>
      </w:r>
      <w:r>
        <w:rPr>
          <w:spacing w:val="-106"/>
          <w:sz w:val="21"/>
        </w:rPr>
        <w:t>）</w:t>
      </w:r>
      <w:r>
        <w:rPr>
          <w:sz w:val="21"/>
        </w:rPr>
        <w:t>；</w:t>
      </w:r>
    </w:p>
    <w:p>
      <w:pPr>
        <w:pStyle w:val="ListParagraph"/>
        <w:numPr>
          <w:ilvl w:val="0"/>
          <w:numId w:val="66"/>
        </w:numPr>
        <w:tabs>
          <w:tab w:pos="3255" w:val="left" w:leader="none"/>
        </w:tabs>
        <w:spacing w:line="240" w:lineRule="auto" w:before="156" w:after="0"/>
        <w:ind w:left="3254" w:right="0" w:hanging="722"/>
        <w:jc w:val="both"/>
        <w:rPr>
          <w:sz w:val="21"/>
        </w:rPr>
      </w:pPr>
      <w:r>
        <w:rPr>
          <w:spacing w:val="-5"/>
          <w:sz w:val="21"/>
        </w:rPr>
        <w:t>被保险人的智力低常自确认日起持续 </w:t>
      </w:r>
      <w:r>
        <w:rPr>
          <w:spacing w:val="-2"/>
          <w:sz w:val="21"/>
        </w:rPr>
        <w:t>180</w:t>
      </w:r>
      <w:r>
        <w:rPr>
          <w:spacing w:val="-14"/>
          <w:sz w:val="21"/>
        </w:rPr>
        <w:t> 天以上。</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丝虫病所致象皮肿:</w:t>
      </w:r>
    </w:p>
    <w:p>
      <w:pPr>
        <w:pStyle w:val="BodyText"/>
        <w:spacing w:before="6"/>
        <w:rPr>
          <w:b/>
          <w:sz w:val="15"/>
        </w:rPr>
      </w:pPr>
    </w:p>
    <w:p>
      <w:pPr>
        <w:pStyle w:val="BodyText"/>
        <w:spacing w:line="278" w:lineRule="auto"/>
        <w:ind w:left="2533" w:right="250"/>
      </w:pPr>
      <w:r>
        <w:rPr>
          <w:spacing w:val="-2"/>
        </w:rPr>
        <w:t>指因丝虫感染导致淋巴阻塞性出现严重淋巴水肿，达到国际淋巴学会淋巴肿分期第 </w:t>
      </w:r>
      <w:r>
        <w:rPr>
          <w:spacing w:val="-5"/>
        </w:rPr>
        <w:t>Ⅲ期，临床表现为肢体象皮肿，罹患患肢较健肢增粗 </w:t>
      </w:r>
      <w:r>
        <w:rPr>
          <w:spacing w:val="-2"/>
        </w:rPr>
        <w:t>30%以上，日常生活不能自理。</w:t>
      </w:r>
      <w:r>
        <w:rPr>
          <w:spacing w:val="-2"/>
        </w:rPr>
        <w:t>此病症须经专科医生根据临床表现和微丝蚴的化验结果确诊。</w:t>
      </w:r>
    </w:p>
    <w:p>
      <w:pPr>
        <w:pStyle w:val="Heading2"/>
        <w:numPr>
          <w:ilvl w:val="0"/>
          <w:numId w:val="11"/>
        </w:numPr>
        <w:tabs>
          <w:tab w:pos="3169" w:val="left" w:leader="none"/>
        </w:tabs>
        <w:spacing w:line="240" w:lineRule="auto" w:before="157" w:after="0"/>
        <w:ind w:left="3168" w:right="0" w:hanging="636"/>
        <w:jc w:val="left"/>
      </w:pPr>
      <w:r>
        <w:rPr>
          <w:spacing w:val="-2"/>
        </w:rPr>
        <w:t>颅脑手术:</w:t>
      </w:r>
    </w:p>
    <w:p>
      <w:pPr>
        <w:pStyle w:val="BodyText"/>
        <w:spacing w:before="6"/>
        <w:rPr>
          <w:b/>
          <w:sz w:val="15"/>
        </w:rPr>
      </w:pPr>
    </w:p>
    <w:p>
      <w:pPr>
        <w:pStyle w:val="BodyText"/>
        <w:spacing w:line="278" w:lineRule="auto"/>
        <w:ind w:left="2533" w:right="356"/>
      </w:pPr>
      <w:r>
        <w:rPr>
          <w:spacing w:val="-6"/>
        </w:rPr>
        <w:t>被保险人确已实施全麻下的开颅手术</w:t>
      </w:r>
      <w:r>
        <w:rPr>
          <w:spacing w:val="-2"/>
        </w:rPr>
        <w:t>（以切开硬脑膜为准</w:t>
      </w:r>
      <w:r>
        <w:rPr>
          <w:spacing w:val="-83"/>
        </w:rPr>
        <w:t>）</w:t>
      </w:r>
      <w:r>
        <w:rPr>
          <w:spacing w:val="-12"/>
        </w:rPr>
        <w:t>，不包括颅骨钻孔手术和</w:t>
      </w:r>
      <w:r>
        <w:rPr>
          <w:spacing w:val="-2"/>
        </w:rPr>
        <w:t>经鼻蝶窦入颅手术。</w:t>
      </w:r>
    </w:p>
    <w:p>
      <w:pPr>
        <w:pStyle w:val="BodyText"/>
        <w:spacing w:line="269" w:lineRule="exact"/>
        <w:ind w:left="2533"/>
      </w:pPr>
      <w:r>
        <w:rPr>
          <w:color w:val="000000"/>
          <w:spacing w:val="-3"/>
          <w:shd w:fill="E4E4E4" w:color="auto" w:val="clear"/>
        </w:rPr>
        <w:t>因外伤而实施的脑外科手术不在保障范围之内。</w:t>
      </w:r>
    </w:p>
    <w:p>
      <w:pPr>
        <w:pStyle w:val="BodyText"/>
        <w:spacing w:before="43"/>
        <w:ind w:left="2533"/>
      </w:pPr>
      <w:r>
        <w:rPr>
          <w:spacing w:val="-3"/>
        </w:rPr>
        <w:t>理赔时必须提供由神经外科医生出具的诊断书及手术报告。</w:t>
      </w:r>
    </w:p>
    <w:p>
      <w:pPr>
        <w:pStyle w:val="BodyText"/>
        <w:spacing w:before="7"/>
        <w:rPr>
          <w:sz w:val="15"/>
        </w:rPr>
      </w:pPr>
    </w:p>
    <w:p>
      <w:pPr>
        <w:pStyle w:val="Heading2"/>
        <w:numPr>
          <w:ilvl w:val="0"/>
          <w:numId w:val="11"/>
        </w:numPr>
        <w:tabs>
          <w:tab w:pos="3169" w:val="left" w:leader="none"/>
        </w:tabs>
        <w:spacing w:line="240" w:lineRule="auto" w:before="0" w:after="0"/>
        <w:ind w:left="3168" w:right="0" w:hanging="636"/>
        <w:jc w:val="left"/>
      </w:pPr>
      <w:r>
        <w:rPr>
          <w:spacing w:val="-2"/>
        </w:rPr>
        <w:t>严重强直性脊柱炎:</w:t>
      </w:r>
    </w:p>
    <w:p>
      <w:pPr>
        <w:spacing w:after="0" w:line="240" w:lineRule="auto"/>
        <w:jc w:val="left"/>
        <w:sectPr>
          <w:pgSz w:w="11910" w:h="16840"/>
          <w:pgMar w:header="0" w:footer="659" w:top="1400" w:bottom="840" w:left="920" w:right="540"/>
        </w:sectPr>
      </w:pPr>
    </w:p>
    <w:p>
      <w:pPr>
        <w:pStyle w:val="BodyText"/>
        <w:spacing w:line="278" w:lineRule="auto" w:before="44"/>
        <w:ind w:left="2533" w:right="356"/>
        <w:jc w:val="both"/>
      </w:pPr>
      <w:r>
        <w:rPr>
          <w:spacing w:val="-4"/>
          <w:w w:val="100"/>
        </w:rPr>
        <w:t>强直性脊柱炎指一种慢性、全身性、炎性疾病，主要侵犯脊柱导致脊柱畸形。严重</w:t>
      </w:r>
      <w:r>
        <w:rPr>
          <w:spacing w:val="2"/>
          <w:w w:val="100"/>
        </w:rPr>
        <w:t>强直性脊柱炎须经本公司认可的医院的专科医生明确诊断，并须满足下列全部条</w:t>
      </w:r>
      <w:r>
        <w:rPr>
          <w:w w:val="100"/>
        </w:rPr>
        <w:t>件：</w:t>
      </w:r>
    </w:p>
    <w:p>
      <w:pPr>
        <w:pStyle w:val="ListParagraph"/>
        <w:numPr>
          <w:ilvl w:val="0"/>
          <w:numId w:val="67"/>
        </w:numPr>
        <w:tabs>
          <w:tab w:pos="3254" w:val="left" w:leader="none"/>
          <w:tab w:pos="3255" w:val="left" w:leader="none"/>
        </w:tabs>
        <w:spacing w:line="240" w:lineRule="auto" w:before="156" w:after="0"/>
        <w:ind w:left="3254" w:right="0" w:hanging="722"/>
        <w:jc w:val="left"/>
        <w:rPr>
          <w:sz w:val="21"/>
        </w:rPr>
      </w:pPr>
      <w:r>
        <w:rPr>
          <w:spacing w:val="-4"/>
          <w:sz w:val="21"/>
        </w:rPr>
        <w:t>严重脊柱畸形；</w:t>
      </w:r>
    </w:p>
    <w:p>
      <w:pPr>
        <w:pStyle w:val="BodyText"/>
        <w:spacing w:before="7"/>
        <w:rPr>
          <w:sz w:val="15"/>
        </w:rPr>
      </w:pPr>
    </w:p>
    <w:p>
      <w:pPr>
        <w:pStyle w:val="ListParagraph"/>
        <w:numPr>
          <w:ilvl w:val="0"/>
          <w:numId w:val="67"/>
        </w:numPr>
        <w:tabs>
          <w:tab w:pos="3254" w:val="left" w:leader="none"/>
          <w:tab w:pos="3255" w:val="left" w:leader="none"/>
        </w:tabs>
        <w:spacing w:line="278" w:lineRule="auto" w:before="0" w:after="0"/>
        <w:ind w:left="3254" w:right="355" w:hanging="721"/>
        <w:jc w:val="left"/>
        <w:rPr>
          <w:sz w:val="21"/>
        </w:rPr>
      </w:pPr>
      <w:r>
        <w:rPr>
          <w:spacing w:val="-11"/>
          <w:sz w:val="21"/>
        </w:rPr>
        <w:t>自主生活能力完全丧失，无法独立完成六项基本日常生活活动中的三项或三</w:t>
      </w:r>
      <w:r>
        <w:rPr>
          <w:spacing w:val="-4"/>
          <w:sz w:val="21"/>
        </w:rPr>
        <w:t>项以上。</w:t>
      </w:r>
    </w:p>
    <w:p>
      <w:pPr>
        <w:pStyle w:val="Heading2"/>
        <w:numPr>
          <w:ilvl w:val="0"/>
          <w:numId w:val="11"/>
        </w:numPr>
        <w:tabs>
          <w:tab w:pos="3169" w:val="left" w:leader="none"/>
        </w:tabs>
        <w:spacing w:line="240" w:lineRule="auto" w:before="156" w:after="0"/>
        <w:ind w:left="3168" w:right="0" w:hanging="636"/>
        <w:jc w:val="left"/>
      </w:pPr>
      <w:r>
        <w:rPr>
          <w:spacing w:val="-3"/>
        </w:rPr>
        <w:t>婴儿进行性脊肌萎缩症:</w:t>
      </w:r>
    </w:p>
    <w:p>
      <w:pPr>
        <w:pStyle w:val="BodyText"/>
        <w:spacing w:before="6"/>
        <w:rPr>
          <w:b/>
          <w:sz w:val="15"/>
        </w:rPr>
      </w:pPr>
    </w:p>
    <w:p>
      <w:pPr>
        <w:pStyle w:val="BodyText"/>
        <w:spacing w:line="278" w:lineRule="auto"/>
        <w:ind w:left="2533" w:right="344"/>
        <w:jc w:val="both"/>
      </w:pPr>
      <w:r>
        <w:rPr>
          <w:spacing w:val="-2"/>
        </w:rPr>
        <w:t>该病是累及脊髓前角细胞及延髓运动核的神经元退行性变性病。在出生后两年内出</w:t>
      </w:r>
      <w:r>
        <w:rPr>
          <w:spacing w:val="-2"/>
        </w:rPr>
        <w:t>现的脊髓和脑干颅神经前角细胞进行性机能障碍，伴随肌肉无力和延髓机能障碍。</w:t>
      </w:r>
      <w:r>
        <w:rPr>
          <w:spacing w:val="-2"/>
        </w:rPr>
        <w:t>本公司承担本项疾病责任不受本合同责任免除中“遗传性疾病，先天性畸形、变形</w:t>
      </w:r>
      <w:r>
        <w:rPr>
          <w:spacing w:val="-2"/>
        </w:rPr>
        <w:t>或染色体异常”的限制。</w:t>
      </w:r>
    </w:p>
    <w:p>
      <w:pPr>
        <w:pStyle w:val="Heading2"/>
        <w:numPr>
          <w:ilvl w:val="0"/>
          <w:numId w:val="11"/>
        </w:numPr>
        <w:tabs>
          <w:tab w:pos="3169" w:val="left" w:leader="none"/>
        </w:tabs>
        <w:spacing w:line="240" w:lineRule="auto" w:before="157" w:after="0"/>
        <w:ind w:left="3168" w:right="0" w:hanging="636"/>
        <w:jc w:val="left"/>
      </w:pPr>
      <w:r>
        <w:rPr>
          <w:spacing w:val="-3"/>
        </w:rPr>
        <w:t>多处臂丛神经根性撕脱:</w:t>
      </w:r>
    </w:p>
    <w:p>
      <w:pPr>
        <w:pStyle w:val="BodyText"/>
        <w:spacing w:before="6"/>
        <w:rPr>
          <w:b/>
          <w:sz w:val="15"/>
        </w:rPr>
      </w:pPr>
    </w:p>
    <w:p>
      <w:pPr>
        <w:pStyle w:val="BodyText"/>
        <w:spacing w:line="278" w:lineRule="auto"/>
        <w:ind w:left="2533" w:right="253"/>
      </w:pPr>
      <w:r>
        <w:rPr>
          <w:spacing w:val="-2"/>
        </w:rPr>
        <w:t>由于疾病或意外导致至少两根臂丛神经根性撕脱，所造成的手臂感觉功能与运动功</w:t>
      </w:r>
      <w:r>
        <w:rPr>
          <w:spacing w:val="-12"/>
        </w:rPr>
        <w:t>能完全永久性丧失。该病须由医院专科医生明确诊断，并且有电生理检查结果证实。</w:t>
      </w:r>
    </w:p>
    <w:p>
      <w:pPr>
        <w:pStyle w:val="Heading2"/>
        <w:numPr>
          <w:ilvl w:val="0"/>
          <w:numId w:val="11"/>
        </w:numPr>
        <w:tabs>
          <w:tab w:pos="3169" w:val="left" w:leader="none"/>
        </w:tabs>
        <w:spacing w:line="240" w:lineRule="auto" w:before="156" w:after="0"/>
        <w:ind w:left="3168" w:right="0" w:hanging="636"/>
        <w:jc w:val="left"/>
      </w:pPr>
      <w:r>
        <w:rPr>
          <w:spacing w:val="-3"/>
        </w:rPr>
        <w:t>横贯性脊髓炎后遗症:</w:t>
      </w:r>
    </w:p>
    <w:p>
      <w:pPr>
        <w:pStyle w:val="BodyText"/>
        <w:spacing w:before="7"/>
        <w:rPr>
          <w:b/>
          <w:sz w:val="15"/>
        </w:rPr>
      </w:pPr>
    </w:p>
    <w:p>
      <w:pPr>
        <w:pStyle w:val="BodyText"/>
        <w:spacing w:line="278" w:lineRule="auto"/>
        <w:ind w:left="2533" w:right="356"/>
      </w:pPr>
      <w:r>
        <w:rPr>
          <w:spacing w:val="-2"/>
        </w:rPr>
        <w:t>脊髓炎是一种炎症性脊髓疾病。横贯性脊髓炎是指炎症扩展横贯整个脊髓，表现为</w:t>
      </w:r>
      <w:r>
        <w:rPr>
          <w:spacing w:val="-2"/>
        </w:rPr>
        <w:t>运动障碍、感觉障碍和自主神经功能障碍。</w:t>
      </w:r>
    </w:p>
    <w:p>
      <w:pPr>
        <w:pStyle w:val="BodyText"/>
        <w:spacing w:line="278" w:lineRule="auto"/>
        <w:ind w:left="2533" w:right="357"/>
      </w:pPr>
      <w:r>
        <w:rPr>
          <w:spacing w:val="2"/>
          <w:w w:val="100"/>
        </w:rPr>
        <w:t>特定的横贯性脊髓炎后遗症指诊断为横贯性脊髓炎且已经造成永久不可逆的神经</w:t>
      </w:r>
      <w:r>
        <w:rPr>
          <w:spacing w:val="-3"/>
          <w:w w:val="100"/>
        </w:rPr>
        <w:t>系统功能障碍，无法独立完成下列基本日常生活活动之一：</w:t>
      </w:r>
    </w:p>
    <w:p>
      <w:pPr>
        <w:pStyle w:val="ListParagraph"/>
        <w:numPr>
          <w:ilvl w:val="0"/>
          <w:numId w:val="68"/>
        </w:numPr>
        <w:tabs>
          <w:tab w:pos="3254" w:val="left" w:leader="none"/>
          <w:tab w:pos="3255" w:val="left" w:leader="none"/>
        </w:tabs>
        <w:spacing w:line="240" w:lineRule="auto" w:before="155" w:after="0"/>
        <w:ind w:left="3254" w:right="0" w:hanging="722"/>
        <w:jc w:val="left"/>
        <w:rPr>
          <w:sz w:val="21"/>
        </w:rPr>
      </w:pPr>
      <w:r>
        <w:rPr>
          <w:spacing w:val="-3"/>
          <w:sz w:val="21"/>
        </w:rPr>
        <w:t>移动：自己从一个房间到另一个房间；</w:t>
      </w:r>
    </w:p>
    <w:p>
      <w:pPr>
        <w:pStyle w:val="BodyText"/>
        <w:spacing w:before="7"/>
        <w:rPr>
          <w:sz w:val="15"/>
        </w:rPr>
      </w:pPr>
    </w:p>
    <w:p>
      <w:pPr>
        <w:pStyle w:val="ListParagraph"/>
        <w:numPr>
          <w:ilvl w:val="0"/>
          <w:numId w:val="68"/>
        </w:numPr>
        <w:tabs>
          <w:tab w:pos="3254" w:val="left" w:leader="none"/>
          <w:tab w:pos="3255" w:val="left" w:leader="none"/>
        </w:tabs>
        <w:spacing w:line="240" w:lineRule="auto" w:before="1" w:after="0"/>
        <w:ind w:left="3254" w:right="0" w:hanging="722"/>
        <w:jc w:val="left"/>
        <w:rPr>
          <w:sz w:val="21"/>
        </w:rPr>
      </w:pPr>
      <w:r>
        <w:rPr>
          <w:spacing w:val="-3"/>
          <w:sz w:val="21"/>
        </w:rPr>
        <w:t>进食：自己从已准备好的碗或碟中取食物放入口中。</w:t>
      </w:r>
    </w:p>
    <w:p>
      <w:pPr>
        <w:pStyle w:val="BodyText"/>
        <w:spacing w:before="6"/>
        <w:rPr>
          <w:sz w:val="15"/>
        </w:rPr>
      </w:pPr>
    </w:p>
    <w:p>
      <w:pPr>
        <w:pStyle w:val="Heading2"/>
        <w:numPr>
          <w:ilvl w:val="0"/>
          <w:numId w:val="11"/>
        </w:numPr>
        <w:tabs>
          <w:tab w:pos="3275" w:val="left" w:leader="none"/>
        </w:tabs>
        <w:spacing w:line="240" w:lineRule="auto" w:before="0" w:after="0"/>
        <w:ind w:left="3274" w:right="0" w:hanging="742"/>
        <w:jc w:val="left"/>
      </w:pPr>
      <w:r>
        <w:rPr>
          <w:spacing w:val="-3"/>
        </w:rPr>
        <w:t>原发性脊柱侧弯的矫正手术:</w:t>
      </w:r>
    </w:p>
    <w:p>
      <w:pPr>
        <w:pStyle w:val="BodyText"/>
        <w:spacing w:before="7"/>
        <w:rPr>
          <w:b/>
          <w:sz w:val="15"/>
        </w:rPr>
      </w:pPr>
    </w:p>
    <w:p>
      <w:pPr>
        <w:pStyle w:val="BodyText"/>
        <w:spacing w:line="278" w:lineRule="auto"/>
        <w:ind w:left="2533" w:right="356"/>
        <w:jc w:val="both"/>
      </w:pPr>
      <w:r>
        <w:rPr>
          <w:spacing w:val="-2"/>
        </w:rPr>
        <w:t>指被保险人因原发性脊柱侧弯，在本公司指定或认可的医疗机构实际实施了对该病</w:t>
      </w:r>
      <w:r>
        <w:rPr>
          <w:spacing w:val="-2"/>
        </w:rPr>
        <w:t>的矫正外科手术。但由于先天性脊柱侧弯以及其他疾病或意外导致的继发性脊柱侧</w:t>
      </w:r>
      <w:r>
        <w:rPr>
          <w:spacing w:val="-2"/>
        </w:rPr>
        <w:t>弯而进行的手术治疗不属于本保障责任。</w:t>
      </w:r>
    </w:p>
    <w:p>
      <w:pPr>
        <w:pStyle w:val="Heading2"/>
        <w:numPr>
          <w:ilvl w:val="0"/>
          <w:numId w:val="11"/>
        </w:numPr>
        <w:tabs>
          <w:tab w:pos="3275" w:val="left" w:leader="none"/>
        </w:tabs>
        <w:spacing w:line="240" w:lineRule="auto" w:before="156" w:after="0"/>
        <w:ind w:left="3274" w:right="0" w:hanging="742"/>
        <w:jc w:val="left"/>
      </w:pPr>
      <w:r>
        <w:rPr>
          <w:spacing w:val="-2"/>
        </w:rPr>
        <w:t>脑型疟疾:</w:t>
      </w:r>
    </w:p>
    <w:p>
      <w:pPr>
        <w:pStyle w:val="BodyText"/>
        <w:spacing w:before="6"/>
        <w:rPr>
          <w:b/>
          <w:sz w:val="15"/>
        </w:rPr>
      </w:pPr>
    </w:p>
    <w:p>
      <w:pPr>
        <w:pStyle w:val="BodyText"/>
        <w:spacing w:line="278" w:lineRule="auto"/>
        <w:ind w:left="2533" w:right="356"/>
        <w:jc w:val="both"/>
      </w:pPr>
      <w:r>
        <w:rPr>
          <w:spacing w:val="-2"/>
        </w:rPr>
        <w:t>指恶性疟原虫严重感染导致的脑病或脑型疟疾，以昏迷为主要特征。脑型疟疾的诊</w:t>
      </w:r>
      <w:r>
        <w:rPr>
          <w:spacing w:val="-2"/>
        </w:rPr>
        <w:t>断须由专科医生确认，且外周血涂片存在恶性疟原虫。</w:t>
      </w:r>
      <w:r>
        <w:rPr>
          <w:color w:val="000000"/>
          <w:spacing w:val="-2"/>
          <w:shd w:fill="E4E4E4" w:color="auto" w:val="clear"/>
        </w:rPr>
        <w:t>其他明确病因导致的脑病不</w:t>
      </w:r>
      <w:r>
        <w:rPr>
          <w:color w:val="000000"/>
          <w:spacing w:val="-2"/>
          <w:shd w:fill="E4E4E4" w:color="auto" w:val="clear"/>
        </w:rPr>
        <w:t>在保障范围内。</w:t>
      </w:r>
    </w:p>
    <w:p>
      <w:pPr>
        <w:pStyle w:val="Heading2"/>
        <w:numPr>
          <w:ilvl w:val="0"/>
          <w:numId w:val="11"/>
        </w:numPr>
        <w:tabs>
          <w:tab w:pos="3275" w:val="left" w:leader="none"/>
        </w:tabs>
        <w:spacing w:line="240" w:lineRule="auto" w:before="156" w:after="0"/>
        <w:ind w:left="3274" w:right="0" w:hanging="742"/>
        <w:jc w:val="left"/>
      </w:pPr>
      <w:r>
        <w:rPr>
          <w:spacing w:val="-2"/>
        </w:rPr>
        <w:t>范可尼综合征:</w:t>
      </w:r>
    </w:p>
    <w:p>
      <w:pPr>
        <w:pStyle w:val="BodyText"/>
        <w:spacing w:before="7"/>
        <w:rPr>
          <w:b/>
          <w:sz w:val="15"/>
        </w:rPr>
      </w:pPr>
    </w:p>
    <w:p>
      <w:pPr>
        <w:pStyle w:val="BodyText"/>
        <w:ind w:left="2533"/>
      </w:pPr>
      <w:r>
        <w:rPr>
          <w:spacing w:val="-3"/>
        </w:rPr>
        <w:t>指近端肾小管的功能异常引起的一组症候群。须满足下列至少三个条件：</w:t>
      </w:r>
    </w:p>
    <w:p>
      <w:pPr>
        <w:pStyle w:val="BodyText"/>
        <w:spacing w:before="7"/>
        <w:rPr>
          <w:sz w:val="15"/>
        </w:rPr>
      </w:pPr>
    </w:p>
    <w:p>
      <w:pPr>
        <w:pStyle w:val="ListParagraph"/>
        <w:numPr>
          <w:ilvl w:val="0"/>
          <w:numId w:val="69"/>
        </w:numPr>
        <w:tabs>
          <w:tab w:pos="3254" w:val="left" w:leader="none"/>
          <w:tab w:pos="3255" w:val="left" w:leader="none"/>
        </w:tabs>
        <w:spacing w:line="240" w:lineRule="auto" w:before="0" w:after="0"/>
        <w:ind w:left="3254" w:right="0" w:hanging="722"/>
        <w:jc w:val="left"/>
        <w:rPr>
          <w:sz w:val="21"/>
        </w:rPr>
      </w:pPr>
      <w:r>
        <w:rPr>
          <w:spacing w:val="-3"/>
          <w:sz w:val="21"/>
        </w:rPr>
        <w:t>尿液检查出现肾性糖尿、全氨基酸糖尿或磷酸盐尿；</w:t>
      </w:r>
    </w:p>
    <w:p>
      <w:pPr>
        <w:pStyle w:val="BodyText"/>
        <w:spacing w:before="7"/>
        <w:rPr>
          <w:sz w:val="15"/>
        </w:rPr>
      </w:pPr>
    </w:p>
    <w:p>
      <w:pPr>
        <w:pStyle w:val="ListParagraph"/>
        <w:numPr>
          <w:ilvl w:val="0"/>
          <w:numId w:val="69"/>
        </w:numPr>
        <w:tabs>
          <w:tab w:pos="3254" w:val="left" w:leader="none"/>
          <w:tab w:pos="3255" w:val="left" w:leader="none"/>
        </w:tabs>
        <w:spacing w:line="240" w:lineRule="auto" w:before="0" w:after="0"/>
        <w:ind w:left="3254" w:right="0" w:hanging="722"/>
        <w:jc w:val="left"/>
        <w:rPr>
          <w:sz w:val="21"/>
        </w:rPr>
      </w:pPr>
      <w:r>
        <w:rPr>
          <w:spacing w:val="-3"/>
          <w:sz w:val="21"/>
        </w:rPr>
        <w:t>血液检查出现低磷血症、低尿酸血症或近端肾小管酸中毒；</w:t>
      </w:r>
    </w:p>
    <w:p>
      <w:pPr>
        <w:pStyle w:val="BodyText"/>
        <w:spacing w:before="6"/>
        <w:rPr>
          <w:sz w:val="15"/>
        </w:rPr>
      </w:pPr>
    </w:p>
    <w:p>
      <w:pPr>
        <w:pStyle w:val="ListParagraph"/>
        <w:numPr>
          <w:ilvl w:val="0"/>
          <w:numId w:val="69"/>
        </w:numPr>
        <w:tabs>
          <w:tab w:pos="3254" w:val="left" w:leader="none"/>
          <w:tab w:pos="3255" w:val="left" w:leader="none"/>
        </w:tabs>
        <w:spacing w:line="240" w:lineRule="auto" w:before="1" w:after="0"/>
        <w:ind w:left="3254" w:right="0" w:hanging="722"/>
        <w:jc w:val="left"/>
        <w:rPr>
          <w:sz w:val="21"/>
        </w:rPr>
      </w:pPr>
      <w:r>
        <w:rPr>
          <w:spacing w:val="-3"/>
          <w:sz w:val="21"/>
        </w:rPr>
        <w:t>出现骨质疏松、骨骼畸形或尿路结石；</w:t>
      </w:r>
    </w:p>
    <w:p>
      <w:pPr>
        <w:spacing w:after="0" w:line="240" w:lineRule="auto"/>
        <w:jc w:val="left"/>
        <w:rPr>
          <w:sz w:val="21"/>
        </w:rPr>
        <w:sectPr>
          <w:pgSz w:w="11910" w:h="16840"/>
          <w:pgMar w:header="0" w:footer="659" w:top="1400" w:bottom="840" w:left="920" w:right="540"/>
        </w:sectPr>
      </w:pPr>
    </w:p>
    <w:p>
      <w:pPr>
        <w:pStyle w:val="ListParagraph"/>
        <w:numPr>
          <w:ilvl w:val="0"/>
          <w:numId w:val="69"/>
        </w:numPr>
        <w:tabs>
          <w:tab w:pos="3254" w:val="left" w:leader="none"/>
          <w:tab w:pos="3255" w:val="left" w:leader="none"/>
        </w:tabs>
        <w:spacing w:line="278" w:lineRule="auto" w:before="44" w:after="0"/>
        <w:ind w:left="3254" w:right="356" w:hanging="721"/>
        <w:jc w:val="left"/>
        <w:rPr>
          <w:sz w:val="21"/>
        </w:rPr>
      </w:pPr>
      <w:r>
        <w:rPr>
          <w:spacing w:val="-13"/>
          <w:sz w:val="21"/>
        </w:rPr>
        <w:t>通过骨髓片、白细胞、直肠黏膜中的结晶分析或裂隙灯检查角膜有胱氨酸结</w:t>
      </w:r>
      <w:r>
        <w:rPr>
          <w:spacing w:val="-6"/>
          <w:sz w:val="21"/>
        </w:rPr>
        <w:t>晶。</w:t>
      </w:r>
    </w:p>
    <w:p>
      <w:pPr>
        <w:pStyle w:val="Heading2"/>
        <w:numPr>
          <w:ilvl w:val="0"/>
          <w:numId w:val="11"/>
        </w:numPr>
        <w:tabs>
          <w:tab w:pos="3275" w:val="left" w:leader="none"/>
        </w:tabs>
        <w:spacing w:line="240" w:lineRule="auto" w:before="156" w:after="0"/>
        <w:ind w:left="3274" w:right="0" w:hanging="742"/>
        <w:jc w:val="left"/>
      </w:pPr>
      <w:r>
        <w:rPr>
          <w:spacing w:val="-3"/>
        </w:rPr>
        <w:t>败血症导致的多器官功能障碍综合症:</w:t>
      </w:r>
    </w:p>
    <w:p>
      <w:pPr>
        <w:pStyle w:val="BodyText"/>
        <w:spacing w:before="7"/>
        <w:rPr>
          <w:b/>
          <w:sz w:val="15"/>
        </w:rPr>
      </w:pPr>
    </w:p>
    <w:p>
      <w:pPr>
        <w:pStyle w:val="BodyText"/>
        <w:spacing w:line="278" w:lineRule="auto"/>
        <w:ind w:left="2533" w:right="357"/>
        <w:jc w:val="both"/>
      </w:pPr>
      <w:r>
        <w:rPr>
          <w:spacing w:val="2"/>
          <w:w w:val="100"/>
        </w:rPr>
        <w:t>指由我司认可医院的专科医生确诊为败血症，并由血液或骨骼检查检查证实致病</w:t>
      </w:r>
      <w:r>
        <w:rPr>
          <w:spacing w:val="-9"/>
          <w:w w:val="100"/>
        </w:rPr>
        <w:t>菌，伴发一个或多个器官系统生理功能障碍，并因该疾病入住重症监护病房至少</w:t>
      </w:r>
      <w:r>
        <w:rPr>
          <w:spacing w:val="-52"/>
        </w:rPr>
        <w:t> </w:t>
      </w:r>
      <w:r>
        <w:rPr>
          <w:spacing w:val="-3"/>
          <w:w w:val="100"/>
        </w:rPr>
        <w:t>96小时，同时至少满足以下一条标准：</w:t>
      </w:r>
    </w:p>
    <w:p>
      <w:pPr>
        <w:pStyle w:val="ListParagraph"/>
        <w:numPr>
          <w:ilvl w:val="0"/>
          <w:numId w:val="70"/>
        </w:numPr>
        <w:tabs>
          <w:tab w:pos="3255" w:val="left" w:leader="none"/>
        </w:tabs>
        <w:spacing w:line="240" w:lineRule="auto" w:before="156" w:after="0"/>
        <w:ind w:left="3254" w:right="0" w:hanging="722"/>
        <w:jc w:val="both"/>
        <w:rPr>
          <w:sz w:val="21"/>
        </w:rPr>
      </w:pPr>
      <w:r>
        <w:rPr>
          <w:spacing w:val="-3"/>
          <w:sz w:val="21"/>
        </w:rPr>
        <w:t>呼吸衰竭，需要进行气管插管机械通气；</w:t>
      </w:r>
    </w:p>
    <w:p>
      <w:pPr>
        <w:pStyle w:val="BodyText"/>
        <w:spacing w:before="6"/>
        <w:rPr>
          <w:sz w:val="15"/>
        </w:rPr>
      </w:pPr>
    </w:p>
    <w:p>
      <w:pPr>
        <w:pStyle w:val="ListParagraph"/>
        <w:numPr>
          <w:ilvl w:val="0"/>
          <w:numId w:val="70"/>
        </w:numPr>
        <w:tabs>
          <w:tab w:pos="3255" w:val="left" w:leader="none"/>
        </w:tabs>
        <w:spacing w:line="240" w:lineRule="auto" w:before="0" w:after="0"/>
        <w:ind w:left="3254" w:right="0" w:hanging="722"/>
        <w:jc w:val="both"/>
        <w:rPr>
          <w:sz w:val="21"/>
        </w:rPr>
      </w:pPr>
      <w:r>
        <w:rPr>
          <w:spacing w:val="-2"/>
          <w:sz w:val="21"/>
        </w:rPr>
        <w:t>凝血血小板计数＜50×10³</w:t>
      </w:r>
      <w:r>
        <w:rPr>
          <w:spacing w:val="-4"/>
          <w:sz w:val="21"/>
        </w:rPr>
        <w:t>/微升；</w:t>
      </w:r>
    </w:p>
    <w:p>
      <w:pPr>
        <w:pStyle w:val="BodyText"/>
        <w:spacing w:before="7"/>
        <w:rPr>
          <w:sz w:val="15"/>
        </w:rPr>
      </w:pPr>
    </w:p>
    <w:p>
      <w:pPr>
        <w:pStyle w:val="ListParagraph"/>
        <w:numPr>
          <w:ilvl w:val="0"/>
          <w:numId w:val="70"/>
        </w:numPr>
        <w:tabs>
          <w:tab w:pos="3254" w:val="left" w:leader="none"/>
          <w:tab w:pos="3255" w:val="left" w:leader="none"/>
        </w:tabs>
        <w:spacing w:line="240" w:lineRule="auto" w:before="0" w:after="0"/>
        <w:ind w:left="3254" w:right="0" w:hanging="722"/>
        <w:jc w:val="left"/>
        <w:rPr>
          <w:sz w:val="21"/>
        </w:rPr>
      </w:pPr>
      <w:r>
        <w:rPr>
          <w:spacing w:val="-2"/>
          <w:sz w:val="21"/>
        </w:rPr>
        <w:t>肝功能不全，胆红素＞6mg/dl</w:t>
      </w:r>
      <w:r>
        <w:rPr>
          <w:spacing w:val="-22"/>
          <w:sz w:val="21"/>
        </w:rPr>
        <w:t> 或</w:t>
      </w:r>
      <w:r>
        <w:rPr>
          <w:spacing w:val="-2"/>
          <w:sz w:val="21"/>
        </w:rPr>
        <w:t>＞102μmol/L；</w:t>
      </w:r>
    </w:p>
    <w:p>
      <w:pPr>
        <w:pStyle w:val="BodyText"/>
        <w:spacing w:before="7"/>
        <w:rPr>
          <w:sz w:val="15"/>
        </w:rPr>
      </w:pPr>
    </w:p>
    <w:p>
      <w:pPr>
        <w:pStyle w:val="ListParagraph"/>
        <w:numPr>
          <w:ilvl w:val="0"/>
          <w:numId w:val="70"/>
        </w:numPr>
        <w:tabs>
          <w:tab w:pos="3254" w:val="left" w:leader="none"/>
          <w:tab w:pos="3255" w:val="left" w:leader="none"/>
        </w:tabs>
        <w:spacing w:line="240" w:lineRule="auto" w:before="0" w:after="0"/>
        <w:ind w:left="3254" w:right="0" w:hanging="722"/>
        <w:jc w:val="left"/>
        <w:rPr>
          <w:sz w:val="21"/>
        </w:rPr>
      </w:pPr>
      <w:r>
        <w:rPr>
          <w:spacing w:val="-4"/>
          <w:sz w:val="21"/>
        </w:rPr>
        <w:t>需要用强心剂；</w:t>
      </w:r>
    </w:p>
    <w:p>
      <w:pPr>
        <w:pStyle w:val="BodyText"/>
        <w:spacing w:before="7"/>
        <w:rPr>
          <w:sz w:val="15"/>
        </w:rPr>
      </w:pPr>
    </w:p>
    <w:p>
      <w:pPr>
        <w:pStyle w:val="ListParagraph"/>
        <w:numPr>
          <w:ilvl w:val="0"/>
          <w:numId w:val="70"/>
        </w:numPr>
        <w:tabs>
          <w:tab w:pos="3254" w:val="left" w:leader="none"/>
          <w:tab w:pos="3255" w:val="left" w:leader="none"/>
        </w:tabs>
        <w:spacing w:line="240" w:lineRule="auto" w:before="0" w:after="0"/>
        <w:ind w:left="3254" w:right="0" w:hanging="722"/>
        <w:jc w:val="left"/>
        <w:rPr>
          <w:sz w:val="21"/>
        </w:rPr>
      </w:pPr>
      <w:r>
        <w:rPr>
          <w:spacing w:val="-2"/>
          <w:sz w:val="21"/>
        </w:rPr>
        <w:t>格拉斯哥昏迷评分（GCS）≤9；</w:t>
      </w:r>
    </w:p>
    <w:p>
      <w:pPr>
        <w:pStyle w:val="BodyText"/>
        <w:spacing w:before="7"/>
        <w:rPr>
          <w:sz w:val="15"/>
        </w:rPr>
      </w:pPr>
    </w:p>
    <w:p>
      <w:pPr>
        <w:pStyle w:val="ListParagraph"/>
        <w:numPr>
          <w:ilvl w:val="0"/>
          <w:numId w:val="70"/>
        </w:numPr>
        <w:tabs>
          <w:tab w:pos="3254" w:val="left" w:leader="none"/>
          <w:tab w:pos="3255" w:val="left" w:leader="none"/>
        </w:tabs>
        <w:spacing w:line="240" w:lineRule="auto" w:before="0" w:after="0"/>
        <w:ind w:left="3254" w:right="0" w:hanging="722"/>
        <w:jc w:val="left"/>
        <w:rPr>
          <w:sz w:val="21"/>
        </w:rPr>
      </w:pPr>
      <w:r>
        <w:rPr>
          <w:spacing w:val="-2"/>
          <w:sz w:val="21"/>
        </w:rPr>
        <w:t>肾功能衰竭，血清肌酐＞300μmol/L</w:t>
      </w:r>
      <w:r>
        <w:rPr>
          <w:spacing w:val="-13"/>
          <w:sz w:val="21"/>
        </w:rPr>
        <w:t> 或＞</w:t>
      </w:r>
      <w:r>
        <w:rPr>
          <w:spacing w:val="-2"/>
          <w:sz w:val="21"/>
        </w:rPr>
        <w:t>3.5mg/dl</w:t>
      </w:r>
      <w:r>
        <w:rPr>
          <w:spacing w:val="-10"/>
          <w:sz w:val="21"/>
        </w:rPr>
        <w:t> 或尿量</w:t>
      </w:r>
      <w:r>
        <w:rPr>
          <w:spacing w:val="-2"/>
          <w:sz w:val="21"/>
        </w:rPr>
        <w:t>＜500ml/d</w:t>
      </w:r>
      <w:r>
        <w:rPr>
          <w:spacing w:val="-10"/>
          <w:sz w:val="21"/>
        </w:rPr>
        <w:t>。</w:t>
      </w:r>
    </w:p>
    <w:p>
      <w:pPr>
        <w:pStyle w:val="BodyText"/>
        <w:spacing w:before="12"/>
        <w:rPr>
          <w:sz w:val="9"/>
        </w:rPr>
      </w:pPr>
    </w:p>
    <w:p>
      <w:pPr>
        <w:pStyle w:val="BodyText"/>
        <w:spacing w:before="72"/>
        <w:ind w:left="2533"/>
      </w:pPr>
      <w:r>
        <w:rPr>
          <w:color w:val="000000"/>
          <w:spacing w:val="-8"/>
          <w:shd w:fill="E4E4E4" w:color="auto" w:val="clear"/>
        </w:rPr>
        <w:t>非败血症引起的 </w:t>
      </w:r>
      <w:r>
        <w:rPr>
          <w:color w:val="000000"/>
          <w:spacing w:val="-2"/>
          <w:shd w:fill="E4E4E4" w:color="auto" w:val="clear"/>
        </w:rPr>
        <w:t>MODS</w:t>
      </w:r>
      <w:r>
        <w:rPr>
          <w:color w:val="000000"/>
          <w:spacing w:val="-10"/>
          <w:shd w:fill="E4E4E4" w:color="auto" w:val="clear"/>
        </w:rPr>
        <w:t> 不在保障范围内。</w:t>
      </w:r>
    </w:p>
    <w:p>
      <w:pPr>
        <w:pStyle w:val="BodyText"/>
        <w:spacing w:before="6"/>
        <w:rPr>
          <w:sz w:val="15"/>
        </w:rPr>
      </w:pPr>
    </w:p>
    <w:p>
      <w:pPr>
        <w:pStyle w:val="Heading2"/>
        <w:numPr>
          <w:ilvl w:val="0"/>
          <w:numId w:val="11"/>
        </w:numPr>
        <w:tabs>
          <w:tab w:pos="3275" w:val="left" w:leader="none"/>
        </w:tabs>
        <w:spacing w:line="240" w:lineRule="auto" w:before="0" w:after="0"/>
        <w:ind w:left="3274" w:right="0" w:hanging="742"/>
        <w:jc w:val="left"/>
      </w:pPr>
      <w:r>
        <w:rPr>
          <w:spacing w:val="-2"/>
        </w:rPr>
        <w:t>亚历山大病:</w:t>
      </w:r>
    </w:p>
    <w:p>
      <w:pPr>
        <w:pStyle w:val="BodyText"/>
        <w:spacing w:before="7"/>
        <w:rPr>
          <w:b/>
          <w:sz w:val="15"/>
        </w:rPr>
      </w:pPr>
    </w:p>
    <w:p>
      <w:pPr>
        <w:pStyle w:val="BodyText"/>
        <w:spacing w:line="278" w:lineRule="auto"/>
        <w:ind w:left="2533" w:right="344"/>
        <w:jc w:val="both"/>
      </w:pPr>
      <w:r>
        <w:rPr>
          <w:spacing w:val="-2"/>
        </w:rPr>
        <w:t>亚历山大病是一种遗传性中枢神经系统退行性病变，特点为脑白质营养不良。临床</w:t>
      </w:r>
      <w:r>
        <w:rPr>
          <w:spacing w:val="-2"/>
        </w:rPr>
        <w:t>表现为惊厥发作、智力下降、球麻痹、共济失调、痉挛性瘫痪。亚历山大病必须被</w:t>
      </w:r>
      <w:r>
        <w:rPr>
          <w:spacing w:val="-2"/>
        </w:rPr>
        <w:t>明确诊断，并且造成永久性神经系统功能损害。被保险人自主生活能力完全丧失，</w:t>
      </w:r>
      <w:r>
        <w:rPr>
          <w:spacing w:val="-2"/>
        </w:rPr>
        <w:t>无法独立完成六项基本日常生活活动中的三项或三项以上，日常生活必须持续接受</w:t>
      </w:r>
      <w:r>
        <w:rPr>
          <w:spacing w:val="-2"/>
        </w:rPr>
        <w:t>他人护理。</w:t>
      </w:r>
    </w:p>
    <w:p>
      <w:pPr>
        <w:pStyle w:val="Heading2"/>
        <w:numPr>
          <w:ilvl w:val="0"/>
          <w:numId w:val="11"/>
        </w:numPr>
        <w:tabs>
          <w:tab w:pos="3275" w:val="left" w:leader="none"/>
        </w:tabs>
        <w:spacing w:line="240" w:lineRule="auto" w:before="156" w:after="0"/>
        <w:ind w:left="3274" w:right="0" w:hanging="742"/>
        <w:jc w:val="both"/>
      </w:pPr>
      <w:r>
        <w:rPr>
          <w:w w:val="95"/>
        </w:rPr>
        <w:t>严</w:t>
      </w:r>
      <w:r>
        <w:rPr>
          <w:w w:val="95"/>
        </w:rPr>
        <w:t>重</w:t>
      </w:r>
      <w:r>
        <w:rPr>
          <w:w w:val="95"/>
        </w:rPr>
        <w:t>心</w:t>
      </w:r>
      <w:r>
        <w:rPr>
          <w:w w:val="95"/>
        </w:rPr>
        <w:t>脏</w:t>
      </w:r>
      <w:r>
        <w:rPr>
          <w:w w:val="95"/>
        </w:rPr>
        <w:t>衰</w:t>
      </w:r>
      <w:r>
        <w:rPr>
          <w:w w:val="95"/>
        </w:rPr>
        <w:t>竭</w:t>
      </w:r>
      <w:r>
        <w:rPr>
          <w:spacing w:val="22"/>
        </w:rPr>
        <w:t> </w:t>
      </w:r>
      <w:r>
        <w:rPr>
          <w:w w:val="95"/>
        </w:rPr>
        <w:t>CRT</w:t>
      </w:r>
      <w:r>
        <w:rPr>
          <w:spacing w:val="17"/>
        </w:rPr>
        <w:t> </w:t>
      </w:r>
      <w:r>
        <w:rPr>
          <w:w w:val="95"/>
        </w:rPr>
        <w:t>心</w:t>
      </w:r>
      <w:r>
        <w:rPr>
          <w:w w:val="95"/>
        </w:rPr>
        <w:t>脏</w:t>
      </w:r>
      <w:r>
        <w:rPr>
          <w:w w:val="95"/>
        </w:rPr>
        <w:t>再</w:t>
      </w:r>
      <w:r>
        <w:rPr>
          <w:w w:val="95"/>
        </w:rPr>
        <w:t>同</w:t>
      </w:r>
      <w:r>
        <w:rPr>
          <w:w w:val="95"/>
        </w:rPr>
        <w:t>步</w:t>
      </w:r>
      <w:r>
        <w:rPr>
          <w:w w:val="95"/>
        </w:rPr>
        <w:t>治</w:t>
      </w:r>
      <w:r>
        <w:rPr>
          <w:w w:val="95"/>
        </w:rPr>
        <w:t>疗</w:t>
      </w:r>
      <w:r>
        <w:rPr>
          <w:spacing w:val="-10"/>
          <w:w w:val="95"/>
        </w:rPr>
        <w:t>:</w:t>
      </w:r>
    </w:p>
    <w:p>
      <w:pPr>
        <w:pStyle w:val="BodyText"/>
        <w:spacing w:before="7"/>
        <w:rPr>
          <w:b/>
          <w:sz w:val="15"/>
        </w:rPr>
      </w:pPr>
    </w:p>
    <w:p>
      <w:pPr>
        <w:pStyle w:val="BodyText"/>
        <w:spacing w:line="278" w:lineRule="auto"/>
        <w:ind w:left="2533" w:right="343"/>
        <w:jc w:val="both"/>
      </w:pPr>
      <w:r>
        <w:rPr>
          <w:spacing w:val="-3"/>
        </w:rPr>
        <w:t>指因缺血性心脏病或扩张性心肌病导致慢性严重心脏衰竭，实际接受了 </w:t>
      </w:r>
      <w:r>
        <w:rPr>
          <w:spacing w:val="-2"/>
        </w:rPr>
        <w:t>CRT</w:t>
      </w:r>
      <w:r>
        <w:rPr>
          <w:spacing w:val="-8"/>
        </w:rPr>
        <w:t> 治疗，</w:t>
      </w:r>
      <w:r>
        <w:rPr>
          <w:spacing w:val="-2"/>
        </w:rPr>
        <w:t>以矫正心室收缩不协调和改善心脏功能。接受治疗前须满足下列全部条件：</w:t>
      </w:r>
    </w:p>
    <w:p>
      <w:pPr>
        <w:pStyle w:val="ListParagraph"/>
        <w:numPr>
          <w:ilvl w:val="0"/>
          <w:numId w:val="71"/>
        </w:numPr>
        <w:tabs>
          <w:tab w:pos="3254" w:val="left" w:leader="none"/>
          <w:tab w:pos="3255" w:val="left" w:leader="none"/>
        </w:tabs>
        <w:spacing w:line="240" w:lineRule="auto" w:before="156" w:after="0"/>
        <w:ind w:left="3254" w:right="0" w:hanging="722"/>
        <w:jc w:val="left"/>
        <w:rPr>
          <w:sz w:val="21"/>
        </w:rPr>
      </w:pPr>
      <w:r>
        <w:rPr>
          <w:spacing w:val="-3"/>
          <w:sz w:val="21"/>
        </w:rPr>
        <w:t>达到美国纽约心脏病学会心功能状态分级Ⅲ级或Ⅳ级；</w:t>
      </w:r>
    </w:p>
    <w:p>
      <w:pPr>
        <w:pStyle w:val="BodyText"/>
        <w:spacing w:before="6"/>
        <w:rPr>
          <w:sz w:val="15"/>
        </w:rPr>
      </w:pPr>
    </w:p>
    <w:p>
      <w:pPr>
        <w:pStyle w:val="ListParagraph"/>
        <w:numPr>
          <w:ilvl w:val="0"/>
          <w:numId w:val="71"/>
        </w:numPr>
        <w:tabs>
          <w:tab w:pos="3254" w:val="left" w:leader="none"/>
          <w:tab w:pos="3255" w:val="left" w:leader="none"/>
        </w:tabs>
        <w:spacing w:line="240" w:lineRule="auto" w:before="0" w:after="0"/>
        <w:ind w:left="3254" w:right="0" w:hanging="722"/>
        <w:jc w:val="left"/>
        <w:rPr>
          <w:sz w:val="21"/>
        </w:rPr>
      </w:pPr>
      <w:r>
        <w:rPr>
          <w:spacing w:val="-2"/>
          <w:sz w:val="21"/>
        </w:rPr>
        <w:t>左室射血分数低于 </w:t>
      </w:r>
      <w:r>
        <w:rPr>
          <w:spacing w:val="-4"/>
          <w:sz w:val="21"/>
        </w:rPr>
        <w:t>35％；</w:t>
      </w:r>
    </w:p>
    <w:p>
      <w:pPr>
        <w:pStyle w:val="BodyText"/>
        <w:spacing w:before="7"/>
        <w:rPr>
          <w:sz w:val="15"/>
        </w:rPr>
      </w:pPr>
    </w:p>
    <w:p>
      <w:pPr>
        <w:pStyle w:val="ListParagraph"/>
        <w:numPr>
          <w:ilvl w:val="0"/>
          <w:numId w:val="71"/>
        </w:numPr>
        <w:tabs>
          <w:tab w:pos="3254" w:val="left" w:leader="none"/>
          <w:tab w:pos="3255" w:val="left" w:leader="none"/>
        </w:tabs>
        <w:spacing w:line="240" w:lineRule="auto" w:before="0" w:after="0"/>
        <w:ind w:left="3254" w:right="0" w:hanging="722"/>
        <w:jc w:val="left"/>
        <w:rPr>
          <w:sz w:val="21"/>
        </w:rPr>
      </w:pPr>
      <w:r>
        <w:rPr>
          <w:spacing w:val="-2"/>
          <w:sz w:val="21"/>
        </w:rPr>
        <w:t>左室舒张末期内径≥55mm；</w:t>
      </w:r>
    </w:p>
    <w:p>
      <w:pPr>
        <w:pStyle w:val="BodyText"/>
        <w:spacing w:before="7"/>
        <w:rPr>
          <w:sz w:val="15"/>
        </w:rPr>
      </w:pPr>
    </w:p>
    <w:p>
      <w:pPr>
        <w:pStyle w:val="ListParagraph"/>
        <w:numPr>
          <w:ilvl w:val="0"/>
          <w:numId w:val="71"/>
        </w:numPr>
        <w:tabs>
          <w:tab w:pos="3254" w:val="left" w:leader="none"/>
          <w:tab w:pos="3255" w:val="left" w:leader="none"/>
        </w:tabs>
        <w:spacing w:line="240" w:lineRule="auto" w:before="0" w:after="0"/>
        <w:ind w:left="3254" w:right="0" w:hanging="722"/>
        <w:jc w:val="left"/>
        <w:rPr>
          <w:sz w:val="21"/>
        </w:rPr>
      </w:pPr>
      <w:r>
        <w:rPr>
          <w:sz w:val="21"/>
        </w:rPr>
        <w:t>QRS</w:t>
      </w:r>
      <w:r>
        <w:rPr>
          <w:spacing w:val="-2"/>
          <w:sz w:val="21"/>
        </w:rPr>
        <w:t> 时间≥130msec；</w:t>
      </w:r>
    </w:p>
    <w:p>
      <w:pPr>
        <w:pStyle w:val="BodyText"/>
        <w:spacing w:before="6"/>
        <w:rPr>
          <w:sz w:val="15"/>
        </w:rPr>
      </w:pPr>
    </w:p>
    <w:p>
      <w:pPr>
        <w:pStyle w:val="ListParagraph"/>
        <w:numPr>
          <w:ilvl w:val="0"/>
          <w:numId w:val="71"/>
        </w:numPr>
        <w:tabs>
          <w:tab w:pos="3254" w:val="left" w:leader="none"/>
          <w:tab w:pos="3255" w:val="left" w:leader="none"/>
        </w:tabs>
        <w:spacing w:line="240" w:lineRule="auto" w:before="1" w:after="0"/>
        <w:ind w:left="3254" w:right="0" w:hanging="722"/>
        <w:jc w:val="left"/>
        <w:rPr>
          <w:sz w:val="21"/>
        </w:rPr>
      </w:pPr>
      <w:r>
        <w:rPr>
          <w:spacing w:val="-3"/>
          <w:sz w:val="21"/>
        </w:rPr>
        <w:t>药物治疗效果不佳，仍有症状。</w:t>
      </w:r>
    </w:p>
    <w:p>
      <w:pPr>
        <w:pStyle w:val="BodyText"/>
        <w:spacing w:before="6"/>
        <w:rPr>
          <w:sz w:val="15"/>
        </w:rPr>
      </w:pPr>
    </w:p>
    <w:p>
      <w:pPr>
        <w:pStyle w:val="Heading2"/>
        <w:numPr>
          <w:ilvl w:val="0"/>
          <w:numId w:val="11"/>
        </w:numPr>
        <w:tabs>
          <w:tab w:pos="3275" w:val="left" w:leader="none"/>
        </w:tabs>
        <w:spacing w:line="240" w:lineRule="auto" w:before="0" w:after="0"/>
        <w:ind w:left="3274" w:right="0" w:hanging="742"/>
        <w:jc w:val="left"/>
      </w:pPr>
      <w:r>
        <w:rPr>
          <w:spacing w:val="-2"/>
        </w:rPr>
        <w:t>脊髓内肿瘤:</w:t>
      </w:r>
    </w:p>
    <w:p>
      <w:pPr>
        <w:pStyle w:val="BodyText"/>
        <w:spacing w:before="7"/>
        <w:rPr>
          <w:b/>
          <w:sz w:val="15"/>
        </w:rPr>
      </w:pPr>
    </w:p>
    <w:p>
      <w:pPr>
        <w:pStyle w:val="BodyText"/>
        <w:spacing w:before="1"/>
        <w:ind w:left="2533"/>
      </w:pPr>
      <w:r>
        <w:rPr>
          <w:spacing w:val="-3"/>
        </w:rPr>
        <w:t>指脊髓内的良性肿瘤。肿瘤须导致脊髓损害并导致瘫痪，并须满足下列全部条件：</w:t>
      </w:r>
    </w:p>
    <w:p>
      <w:pPr>
        <w:pStyle w:val="BodyText"/>
        <w:spacing w:before="6"/>
        <w:rPr>
          <w:sz w:val="15"/>
        </w:rPr>
      </w:pPr>
    </w:p>
    <w:p>
      <w:pPr>
        <w:pStyle w:val="ListParagraph"/>
        <w:numPr>
          <w:ilvl w:val="0"/>
          <w:numId w:val="72"/>
        </w:numPr>
        <w:tabs>
          <w:tab w:pos="3254" w:val="left" w:leader="none"/>
          <w:tab w:pos="3255" w:val="left" w:leader="none"/>
        </w:tabs>
        <w:spacing w:line="240" w:lineRule="auto" w:before="0" w:after="0"/>
        <w:ind w:left="3254" w:right="0" w:hanging="722"/>
        <w:jc w:val="left"/>
        <w:rPr>
          <w:sz w:val="21"/>
        </w:rPr>
      </w:pPr>
      <w:r>
        <w:rPr>
          <w:spacing w:val="-3"/>
          <w:sz w:val="21"/>
        </w:rPr>
        <w:t>实际接受了肿瘤切除的手术；</w:t>
      </w:r>
    </w:p>
    <w:p>
      <w:pPr>
        <w:pStyle w:val="BodyText"/>
        <w:spacing w:before="7"/>
        <w:rPr>
          <w:sz w:val="15"/>
        </w:rPr>
      </w:pPr>
    </w:p>
    <w:p>
      <w:pPr>
        <w:pStyle w:val="ListParagraph"/>
        <w:numPr>
          <w:ilvl w:val="0"/>
          <w:numId w:val="72"/>
        </w:numPr>
        <w:tabs>
          <w:tab w:pos="3254" w:val="left" w:leader="none"/>
          <w:tab w:pos="3255" w:val="left" w:leader="none"/>
        </w:tabs>
        <w:spacing w:line="278" w:lineRule="auto" w:before="0" w:after="0"/>
        <w:ind w:left="3254" w:right="356" w:hanging="721"/>
        <w:jc w:val="left"/>
        <w:rPr>
          <w:sz w:val="21"/>
        </w:rPr>
      </w:pPr>
      <w:r>
        <w:rPr>
          <w:spacing w:val="-4"/>
          <w:sz w:val="21"/>
        </w:rPr>
        <w:t>手术 </w:t>
      </w:r>
      <w:r>
        <w:rPr>
          <w:sz w:val="21"/>
        </w:rPr>
        <w:t>180</w:t>
      </w:r>
      <w:r>
        <w:rPr>
          <w:spacing w:val="-4"/>
          <w:sz w:val="21"/>
        </w:rPr>
        <w:t> 日后仍遗留神经系统损害，无法独立完成下列基本日常生活活动</w:t>
      </w:r>
      <w:r>
        <w:rPr>
          <w:spacing w:val="-4"/>
          <w:sz w:val="21"/>
        </w:rPr>
        <w:t>之一：</w:t>
      </w:r>
    </w:p>
    <w:p>
      <w:pPr>
        <w:spacing w:after="0" w:line="278" w:lineRule="auto"/>
        <w:jc w:val="left"/>
        <w:rPr>
          <w:sz w:val="21"/>
        </w:rPr>
        <w:sectPr>
          <w:pgSz w:w="11910" w:h="16840"/>
          <w:pgMar w:header="0" w:footer="659" w:top="1400" w:bottom="840" w:left="920" w:right="540"/>
        </w:sectPr>
      </w:pPr>
    </w:p>
    <w:p>
      <w:pPr>
        <w:pStyle w:val="ListParagraph"/>
        <w:numPr>
          <w:ilvl w:val="1"/>
          <w:numId w:val="72"/>
        </w:numPr>
        <w:tabs>
          <w:tab w:pos="3675" w:val="left" w:leader="none"/>
        </w:tabs>
        <w:spacing w:line="240" w:lineRule="auto" w:before="44" w:after="0"/>
        <w:ind w:left="3674" w:right="0" w:hanging="421"/>
        <w:jc w:val="left"/>
        <w:rPr>
          <w:sz w:val="21"/>
        </w:rPr>
      </w:pPr>
      <w:r>
        <w:rPr>
          <w:spacing w:val="-3"/>
          <w:sz w:val="21"/>
        </w:rPr>
        <w:t>移动：自己从一个房间到另一个房间；</w:t>
      </w:r>
    </w:p>
    <w:p>
      <w:pPr>
        <w:pStyle w:val="BodyText"/>
        <w:spacing w:before="7"/>
        <w:rPr>
          <w:sz w:val="15"/>
        </w:rPr>
      </w:pPr>
    </w:p>
    <w:p>
      <w:pPr>
        <w:pStyle w:val="ListParagraph"/>
        <w:numPr>
          <w:ilvl w:val="1"/>
          <w:numId w:val="72"/>
        </w:numPr>
        <w:tabs>
          <w:tab w:pos="3675" w:val="left" w:leader="none"/>
        </w:tabs>
        <w:spacing w:line="240" w:lineRule="auto" w:before="0" w:after="0"/>
        <w:ind w:left="3674" w:right="0" w:hanging="421"/>
        <w:jc w:val="left"/>
        <w:rPr>
          <w:sz w:val="21"/>
        </w:rPr>
      </w:pPr>
      <w:r>
        <w:rPr>
          <w:spacing w:val="-3"/>
          <w:sz w:val="21"/>
        </w:rPr>
        <w:t>进食：自己从已经准备好的碗或碟中取食物放入口中。</w:t>
      </w:r>
    </w:p>
    <w:p>
      <w:pPr>
        <w:pStyle w:val="BodyText"/>
        <w:spacing w:before="12"/>
        <w:rPr>
          <w:sz w:val="9"/>
        </w:rPr>
      </w:pPr>
    </w:p>
    <w:p>
      <w:pPr>
        <w:pStyle w:val="BodyText"/>
        <w:spacing w:before="72"/>
        <w:ind w:left="2533"/>
      </w:pPr>
      <w:r>
        <w:rPr>
          <w:color w:val="000000"/>
          <w:spacing w:val="-3"/>
          <w:shd w:fill="E4E4E4" w:color="auto" w:val="clear"/>
        </w:rPr>
        <w:t>非脊髓内的其他椎管内肿瘤、脊柱肿瘤、神经纤维瘤不在保障范围内。</w:t>
      </w:r>
    </w:p>
    <w:p>
      <w:pPr>
        <w:pStyle w:val="BodyText"/>
        <w:spacing w:before="6"/>
        <w:rPr>
          <w:sz w:val="15"/>
        </w:rPr>
      </w:pPr>
    </w:p>
    <w:p>
      <w:pPr>
        <w:pStyle w:val="Heading2"/>
        <w:numPr>
          <w:ilvl w:val="0"/>
          <w:numId w:val="11"/>
        </w:numPr>
        <w:tabs>
          <w:tab w:pos="3275" w:val="left" w:leader="none"/>
        </w:tabs>
        <w:spacing w:line="240" w:lineRule="auto" w:before="1" w:after="0"/>
        <w:ind w:left="3274" w:right="0" w:hanging="742"/>
        <w:jc w:val="left"/>
      </w:pPr>
      <w:r>
        <w:rPr>
          <w:spacing w:val="-2"/>
        </w:rPr>
        <w:t>埃博拉病毒感染</w:t>
      </w:r>
    </w:p>
    <w:p>
      <w:pPr>
        <w:pStyle w:val="BodyText"/>
        <w:spacing w:before="6"/>
        <w:rPr>
          <w:b/>
          <w:sz w:val="15"/>
        </w:rPr>
      </w:pPr>
    </w:p>
    <w:p>
      <w:pPr>
        <w:pStyle w:val="BodyText"/>
        <w:spacing w:line="278" w:lineRule="auto"/>
        <w:ind w:left="2533" w:right="356"/>
        <w:jc w:val="both"/>
      </w:pPr>
      <w:r>
        <w:rPr>
          <w:spacing w:val="-2"/>
        </w:rPr>
        <w:t>受埃博拉病毒感染导致出血性发热。埃博拉病毒必须经传染病专科医生确诊，并且</w:t>
      </w:r>
      <w:r>
        <w:rPr>
          <w:spacing w:val="-2"/>
        </w:rPr>
        <w:t>埃博拉病毒的存在必须经过实验室检查证实。该病必须从症状开始后三十天后持续</w:t>
      </w:r>
      <w:r>
        <w:rPr>
          <w:spacing w:val="-2"/>
        </w:rPr>
        <w:t>出现并发症。</w:t>
      </w:r>
    </w:p>
    <w:p>
      <w:pPr>
        <w:pStyle w:val="Heading2"/>
        <w:numPr>
          <w:ilvl w:val="0"/>
          <w:numId w:val="11"/>
        </w:numPr>
        <w:tabs>
          <w:tab w:pos="3275" w:val="left" w:leader="none"/>
        </w:tabs>
        <w:spacing w:line="240" w:lineRule="auto" w:before="156" w:after="0"/>
        <w:ind w:left="3274" w:right="0" w:hanging="742"/>
        <w:jc w:val="left"/>
      </w:pPr>
      <w:r>
        <w:rPr>
          <w:spacing w:val="-2"/>
        </w:rPr>
        <w:t>终末期肺病：</w:t>
      </w:r>
    </w:p>
    <w:p>
      <w:pPr>
        <w:pStyle w:val="BodyText"/>
        <w:spacing w:before="7"/>
        <w:rPr>
          <w:b/>
          <w:sz w:val="15"/>
        </w:rPr>
      </w:pPr>
    </w:p>
    <w:p>
      <w:pPr>
        <w:pStyle w:val="BodyText"/>
        <w:spacing w:line="278" w:lineRule="auto"/>
        <w:ind w:left="2533" w:right="356"/>
      </w:pPr>
      <w:r>
        <w:rPr>
          <w:spacing w:val="-2"/>
        </w:rPr>
        <w:t>慢性肺部疾病导致永久不可逆的慢性呼吸功能衰竭，必须由呼吸专科医师确认并符</w:t>
      </w:r>
      <w:r>
        <w:rPr>
          <w:spacing w:val="-2"/>
        </w:rPr>
        <w:t>合下列全部条件：</w:t>
      </w:r>
    </w:p>
    <w:p>
      <w:pPr>
        <w:pStyle w:val="ListParagraph"/>
        <w:numPr>
          <w:ilvl w:val="0"/>
          <w:numId w:val="73"/>
        </w:numPr>
        <w:tabs>
          <w:tab w:pos="3254" w:val="left" w:leader="none"/>
          <w:tab w:pos="3255" w:val="left" w:leader="none"/>
        </w:tabs>
        <w:spacing w:line="240" w:lineRule="auto" w:before="156" w:after="0"/>
        <w:ind w:left="3254" w:right="0" w:hanging="722"/>
        <w:jc w:val="left"/>
        <w:rPr>
          <w:sz w:val="21"/>
        </w:rPr>
      </w:pPr>
      <w:r>
        <w:rPr>
          <w:spacing w:val="-9"/>
          <w:sz w:val="21"/>
        </w:rPr>
        <w:t>肺功能测试其 </w:t>
      </w:r>
      <w:r>
        <w:rPr>
          <w:spacing w:val="-2"/>
          <w:sz w:val="21"/>
        </w:rPr>
        <w:t>FEV1</w:t>
      </w:r>
      <w:r>
        <w:rPr>
          <w:spacing w:val="-19"/>
          <w:sz w:val="21"/>
        </w:rPr>
        <w:t> 持续低于 </w:t>
      </w:r>
      <w:r>
        <w:rPr>
          <w:spacing w:val="-2"/>
          <w:sz w:val="21"/>
        </w:rPr>
        <w:t>0.75</w:t>
      </w:r>
      <w:r>
        <w:rPr>
          <w:spacing w:val="-20"/>
          <w:sz w:val="21"/>
        </w:rPr>
        <w:t> 升；</w:t>
      </w:r>
    </w:p>
    <w:p>
      <w:pPr>
        <w:pStyle w:val="BodyText"/>
        <w:spacing w:before="7"/>
        <w:rPr>
          <w:sz w:val="15"/>
        </w:rPr>
      </w:pPr>
    </w:p>
    <w:p>
      <w:pPr>
        <w:pStyle w:val="ListParagraph"/>
        <w:numPr>
          <w:ilvl w:val="0"/>
          <w:numId w:val="73"/>
        </w:numPr>
        <w:tabs>
          <w:tab w:pos="3254" w:val="left" w:leader="none"/>
          <w:tab w:pos="3255" w:val="left" w:leader="none"/>
        </w:tabs>
        <w:spacing w:line="240" w:lineRule="auto" w:before="0" w:after="0"/>
        <w:ind w:left="3254" w:right="0" w:hanging="722"/>
        <w:jc w:val="left"/>
        <w:rPr>
          <w:sz w:val="21"/>
        </w:rPr>
      </w:pPr>
      <w:r>
        <w:rPr>
          <w:spacing w:val="-3"/>
          <w:sz w:val="21"/>
        </w:rPr>
        <w:t>病人缺氧，且必须广泛而持续地进行输氧治疗；</w:t>
      </w:r>
    </w:p>
    <w:p>
      <w:pPr>
        <w:pStyle w:val="BodyText"/>
        <w:spacing w:before="6"/>
        <w:rPr>
          <w:sz w:val="15"/>
        </w:rPr>
      </w:pPr>
    </w:p>
    <w:p>
      <w:pPr>
        <w:pStyle w:val="ListParagraph"/>
        <w:numPr>
          <w:ilvl w:val="0"/>
          <w:numId w:val="73"/>
        </w:numPr>
        <w:tabs>
          <w:tab w:pos="3254" w:val="left" w:leader="none"/>
          <w:tab w:pos="3255" w:val="left" w:leader="none"/>
        </w:tabs>
        <w:spacing w:line="240" w:lineRule="auto" w:before="1" w:after="0"/>
        <w:ind w:left="3254" w:right="0" w:hanging="722"/>
        <w:jc w:val="left"/>
        <w:rPr>
          <w:sz w:val="21"/>
        </w:rPr>
      </w:pPr>
      <w:r>
        <w:rPr>
          <w:spacing w:val="-6"/>
          <w:sz w:val="21"/>
        </w:rPr>
        <w:t>动脉血气分析氧分压低于 </w:t>
      </w:r>
      <w:r>
        <w:rPr>
          <w:spacing w:val="-2"/>
          <w:sz w:val="21"/>
        </w:rPr>
        <w:t>55mmHg</w:t>
      </w:r>
      <w:r>
        <w:rPr>
          <w:spacing w:val="-10"/>
          <w:sz w:val="21"/>
        </w:rPr>
        <w:t>。</w:t>
      </w:r>
    </w:p>
    <w:p>
      <w:pPr>
        <w:pStyle w:val="BodyText"/>
        <w:spacing w:before="12"/>
        <w:rPr>
          <w:sz w:val="9"/>
        </w:rPr>
      </w:pPr>
    </w:p>
    <w:p>
      <w:pPr>
        <w:pStyle w:val="BodyText"/>
        <w:spacing w:before="71"/>
        <w:ind w:left="2533"/>
      </w:pPr>
      <w:r>
        <w:rPr>
          <w:color w:val="000000"/>
          <w:spacing w:val="-3"/>
          <w:shd w:fill="E4E4E4" w:color="auto" w:val="clear"/>
        </w:rPr>
        <w:t>理赔时必须提供以上三项相应的证明文件或检查报告。</w:t>
      </w:r>
    </w:p>
    <w:p>
      <w:pPr>
        <w:pStyle w:val="BodyText"/>
        <w:spacing w:before="7"/>
        <w:rPr>
          <w:sz w:val="15"/>
        </w:rPr>
      </w:pPr>
    </w:p>
    <w:p>
      <w:pPr>
        <w:pStyle w:val="Heading2"/>
        <w:numPr>
          <w:ilvl w:val="0"/>
          <w:numId w:val="11"/>
        </w:numPr>
        <w:tabs>
          <w:tab w:pos="3275" w:val="left" w:leader="none"/>
        </w:tabs>
        <w:spacing w:line="240" w:lineRule="auto" w:before="0" w:after="0"/>
        <w:ind w:left="3274" w:right="0" w:hanging="742"/>
        <w:jc w:val="left"/>
      </w:pPr>
      <w:r>
        <w:rPr>
          <w:spacing w:val="-3"/>
        </w:rPr>
        <w:t>湿性年龄相关性黄斑变性：</w:t>
      </w:r>
    </w:p>
    <w:p>
      <w:pPr>
        <w:pStyle w:val="BodyText"/>
        <w:spacing w:before="7"/>
        <w:rPr>
          <w:b/>
          <w:sz w:val="15"/>
        </w:rPr>
      </w:pPr>
    </w:p>
    <w:p>
      <w:pPr>
        <w:pStyle w:val="BodyText"/>
        <w:spacing w:line="278" w:lineRule="auto"/>
        <w:ind w:left="2533" w:right="355"/>
        <w:jc w:val="both"/>
      </w:pPr>
      <w:r>
        <w:rPr>
          <w:spacing w:val="-2"/>
        </w:rPr>
        <w:t>又称为新生血管性年龄相关性黄斑变性或“渗出性”年龄相关性黄斑变性。指发生</w:t>
      </w:r>
      <w:r>
        <w:rPr>
          <w:spacing w:val="-4"/>
        </w:rPr>
        <w:t>脉络膜新生血管（CNV）异常生长穿透玻璃膜进入视网膜，新生血管渗漏，渗出及出</w:t>
      </w:r>
      <w:r>
        <w:rPr>
          <w:spacing w:val="-6"/>
        </w:rPr>
        <w:t>血。</w:t>
      </w:r>
    </w:p>
    <w:p>
      <w:pPr>
        <w:pStyle w:val="BodyText"/>
        <w:spacing w:line="278" w:lineRule="auto"/>
        <w:ind w:left="2533" w:right="355"/>
      </w:pPr>
      <w:r>
        <w:rPr>
          <w:color w:val="000000"/>
          <w:spacing w:val="-2"/>
          <w:shd w:fill="E4E4E4" w:color="auto" w:val="clear"/>
        </w:rPr>
        <w:t>该病必须由荧光素眼底血管造影检查提示黄斑区新生血管形成，并且必须由医院的</w:t>
      </w:r>
      <w:r>
        <w:rPr>
          <w:color w:val="000000"/>
          <w:spacing w:val="80"/>
          <w:w w:val="150"/>
          <w:shd w:fill="E4E4E4" w:color="auto" w:val="clear"/>
        </w:rPr>
        <w:t>                                         </w:t>
      </w:r>
      <w:r>
        <w:rPr>
          <w:color w:val="000000"/>
          <w:spacing w:val="-2"/>
          <w:shd w:fill="E4E4E4" w:color="auto" w:val="clear"/>
        </w:rPr>
        <w:t>眼科专科医生确诊为湿性年龄相关性黄斑变性。</w:t>
      </w:r>
    </w:p>
    <w:p>
      <w:pPr>
        <w:pStyle w:val="BodyText"/>
        <w:spacing w:line="278" w:lineRule="auto"/>
        <w:ind w:left="2533" w:right="356"/>
      </w:pPr>
      <w:r>
        <w:rPr>
          <w:color w:val="000000"/>
          <w:spacing w:val="-5"/>
          <w:shd w:fill="E4E4E4" w:color="auto" w:val="clear"/>
        </w:rPr>
        <w:t>被保险人申请理赔时须提供近 </w:t>
      </w:r>
      <w:r>
        <w:rPr>
          <w:color w:val="000000"/>
          <w:spacing w:val="-2"/>
          <w:shd w:fill="E4E4E4" w:color="auto" w:val="clear"/>
        </w:rPr>
        <w:t>3</w:t>
      </w:r>
      <w:r>
        <w:rPr>
          <w:color w:val="000000"/>
          <w:spacing w:val="-8"/>
          <w:shd w:fill="E4E4E4" w:color="auto" w:val="clear"/>
        </w:rPr>
        <w:t> 个月内视力改变显示病情恶化的相关检查报告、诊</w:t>
      </w:r>
      <w:r>
        <w:rPr>
          <w:color w:val="000000"/>
          <w:spacing w:val="80"/>
          <w:w w:val="150"/>
          <w:shd w:fill="E4E4E4" w:color="auto" w:val="clear"/>
        </w:rPr>
        <w:t>                                         </w:t>
      </w:r>
      <w:r>
        <w:rPr>
          <w:color w:val="000000"/>
          <w:spacing w:val="-2"/>
          <w:shd w:fill="E4E4E4" w:color="auto" w:val="clear"/>
        </w:rPr>
        <w:t>断证明及病理报告。</w:t>
      </w:r>
    </w:p>
    <w:p>
      <w:pPr>
        <w:pStyle w:val="Heading2"/>
        <w:numPr>
          <w:ilvl w:val="0"/>
          <w:numId w:val="11"/>
        </w:numPr>
        <w:tabs>
          <w:tab w:pos="3275" w:val="left" w:leader="none"/>
        </w:tabs>
        <w:spacing w:line="240" w:lineRule="auto" w:before="155" w:after="0"/>
        <w:ind w:left="3274" w:right="0" w:hanging="742"/>
        <w:jc w:val="left"/>
      </w:pPr>
      <w:r>
        <w:rPr>
          <w:spacing w:val="-2"/>
        </w:rPr>
        <w:t>肺孢子菌肺炎</w:t>
      </w:r>
    </w:p>
    <w:p>
      <w:pPr>
        <w:pStyle w:val="BodyText"/>
        <w:spacing w:before="7"/>
        <w:rPr>
          <w:b/>
          <w:sz w:val="15"/>
        </w:rPr>
      </w:pPr>
    </w:p>
    <w:p>
      <w:pPr>
        <w:pStyle w:val="BodyText"/>
        <w:ind w:left="2533"/>
      </w:pPr>
      <w:r>
        <w:rPr>
          <w:spacing w:val="-3"/>
        </w:rPr>
        <w:t>指由肺孢子菌引起的间质性浆细胞性肺炎，且满足下列全部条件：</w:t>
      </w:r>
    </w:p>
    <w:p>
      <w:pPr>
        <w:pStyle w:val="BodyText"/>
        <w:spacing w:before="7"/>
        <w:rPr>
          <w:sz w:val="15"/>
        </w:rPr>
      </w:pPr>
    </w:p>
    <w:p>
      <w:pPr>
        <w:pStyle w:val="ListParagraph"/>
        <w:numPr>
          <w:ilvl w:val="0"/>
          <w:numId w:val="74"/>
        </w:numPr>
        <w:tabs>
          <w:tab w:pos="3254" w:val="left" w:leader="none"/>
          <w:tab w:pos="3255" w:val="left" w:leader="none"/>
        </w:tabs>
        <w:spacing w:line="240" w:lineRule="auto" w:before="0" w:after="0"/>
        <w:ind w:left="3254" w:right="0" w:hanging="722"/>
        <w:jc w:val="left"/>
        <w:rPr>
          <w:sz w:val="21"/>
        </w:rPr>
      </w:pPr>
      <w:r>
        <w:rPr>
          <w:spacing w:val="-2"/>
          <w:sz w:val="21"/>
        </w:rPr>
        <w:t>第一秒末用力呼气量（FEV1%）</w:t>
      </w:r>
      <w:r>
        <w:rPr>
          <w:spacing w:val="-17"/>
          <w:sz w:val="21"/>
        </w:rPr>
        <w:t>小于 </w:t>
      </w:r>
      <w:r>
        <w:rPr>
          <w:spacing w:val="-2"/>
          <w:sz w:val="21"/>
        </w:rPr>
        <w:t>1</w:t>
      </w:r>
      <w:r>
        <w:rPr>
          <w:spacing w:val="-20"/>
          <w:sz w:val="21"/>
        </w:rPr>
        <w:t> 升；</w:t>
      </w:r>
    </w:p>
    <w:p>
      <w:pPr>
        <w:pStyle w:val="BodyText"/>
        <w:spacing w:before="6"/>
        <w:rPr>
          <w:sz w:val="15"/>
        </w:rPr>
      </w:pPr>
    </w:p>
    <w:p>
      <w:pPr>
        <w:pStyle w:val="ListParagraph"/>
        <w:numPr>
          <w:ilvl w:val="0"/>
          <w:numId w:val="74"/>
        </w:numPr>
        <w:tabs>
          <w:tab w:pos="3254" w:val="left" w:leader="none"/>
          <w:tab w:pos="3255" w:val="left" w:leader="none"/>
        </w:tabs>
        <w:spacing w:line="240" w:lineRule="auto" w:before="1" w:after="0"/>
        <w:ind w:left="3254" w:right="0" w:hanging="722"/>
        <w:jc w:val="left"/>
        <w:rPr>
          <w:sz w:val="21"/>
        </w:rPr>
      </w:pPr>
      <w:r>
        <w:rPr>
          <w:spacing w:val="-6"/>
          <w:sz w:val="21"/>
        </w:rPr>
        <w:t>气道内阻力增加，至少达到 </w:t>
      </w:r>
      <w:r>
        <w:rPr>
          <w:spacing w:val="-2"/>
          <w:sz w:val="21"/>
        </w:rPr>
        <w:t>0.5kPa/L/s；</w:t>
      </w:r>
    </w:p>
    <w:p>
      <w:pPr>
        <w:pStyle w:val="BodyText"/>
        <w:spacing w:before="6"/>
        <w:rPr>
          <w:sz w:val="15"/>
        </w:rPr>
      </w:pPr>
    </w:p>
    <w:p>
      <w:pPr>
        <w:pStyle w:val="ListParagraph"/>
        <w:numPr>
          <w:ilvl w:val="0"/>
          <w:numId w:val="74"/>
        </w:numPr>
        <w:tabs>
          <w:tab w:pos="3254" w:val="left" w:leader="none"/>
          <w:tab w:pos="3255" w:val="left" w:leader="none"/>
        </w:tabs>
        <w:spacing w:line="240" w:lineRule="auto" w:before="0" w:after="0"/>
        <w:ind w:left="3254" w:right="0" w:hanging="722"/>
        <w:jc w:val="left"/>
        <w:rPr>
          <w:sz w:val="21"/>
        </w:rPr>
      </w:pPr>
      <w:r>
        <w:rPr>
          <w:spacing w:val="-2"/>
          <w:sz w:val="21"/>
        </w:rPr>
        <w:t>残气容积占肺总量（TLC）</w:t>
      </w:r>
      <w:r>
        <w:rPr>
          <w:spacing w:val="-20"/>
          <w:sz w:val="21"/>
        </w:rPr>
        <w:t>的 </w:t>
      </w:r>
      <w:r>
        <w:rPr>
          <w:spacing w:val="-2"/>
          <w:sz w:val="21"/>
        </w:rPr>
        <w:t>60</w:t>
      </w:r>
      <w:r>
        <w:rPr>
          <w:spacing w:val="-4"/>
          <w:sz w:val="21"/>
        </w:rPr>
        <w:t>%以上；</w:t>
      </w:r>
    </w:p>
    <w:p>
      <w:pPr>
        <w:pStyle w:val="BodyText"/>
        <w:spacing w:before="7"/>
        <w:rPr>
          <w:sz w:val="15"/>
        </w:rPr>
      </w:pPr>
    </w:p>
    <w:p>
      <w:pPr>
        <w:pStyle w:val="ListParagraph"/>
        <w:numPr>
          <w:ilvl w:val="0"/>
          <w:numId w:val="74"/>
        </w:numPr>
        <w:tabs>
          <w:tab w:pos="3254" w:val="left" w:leader="none"/>
          <w:tab w:pos="3255" w:val="left" w:leader="none"/>
        </w:tabs>
        <w:spacing w:line="240" w:lineRule="auto" w:before="0" w:after="0"/>
        <w:ind w:left="3254" w:right="0" w:hanging="722"/>
        <w:jc w:val="left"/>
        <w:rPr>
          <w:sz w:val="21"/>
        </w:rPr>
      </w:pPr>
      <w:r>
        <w:rPr>
          <w:spacing w:val="-5"/>
          <w:sz w:val="21"/>
        </w:rPr>
        <w:t>胸内气体容积升高，超过基值的 </w:t>
      </w:r>
      <w:r>
        <w:rPr>
          <w:spacing w:val="-4"/>
          <w:sz w:val="21"/>
        </w:rPr>
        <w:t>170%；</w:t>
      </w:r>
    </w:p>
    <w:p>
      <w:pPr>
        <w:pStyle w:val="BodyText"/>
        <w:spacing w:before="7"/>
        <w:rPr>
          <w:sz w:val="15"/>
        </w:rPr>
      </w:pPr>
    </w:p>
    <w:p>
      <w:pPr>
        <w:pStyle w:val="ListParagraph"/>
        <w:numPr>
          <w:ilvl w:val="0"/>
          <w:numId w:val="74"/>
        </w:numPr>
        <w:tabs>
          <w:tab w:pos="3254" w:val="left" w:leader="none"/>
          <w:tab w:pos="3255" w:val="left" w:leader="none"/>
        </w:tabs>
        <w:spacing w:line="240" w:lineRule="auto" w:before="1" w:after="0"/>
        <w:ind w:left="3254" w:right="0" w:hanging="722"/>
        <w:jc w:val="left"/>
        <w:rPr>
          <w:sz w:val="21"/>
        </w:rPr>
      </w:pPr>
      <w:r>
        <w:rPr>
          <w:spacing w:val="-2"/>
          <w:sz w:val="21"/>
        </w:rPr>
        <w:t>PaO2＜60mmHg，PaCO2＞50mmHg</w:t>
      </w:r>
      <w:r>
        <w:rPr>
          <w:spacing w:val="-10"/>
          <w:sz w:val="21"/>
        </w:rPr>
        <w:t>。</w:t>
      </w:r>
    </w:p>
    <w:p>
      <w:pPr>
        <w:spacing w:after="0" w:line="240" w:lineRule="auto"/>
        <w:jc w:val="left"/>
        <w:rPr>
          <w:sz w:val="21"/>
        </w:rPr>
        <w:sectPr>
          <w:pgSz w:w="11910" w:h="16840"/>
          <w:pgMar w:header="0" w:footer="659" w:top="1400" w:bottom="840" w:left="920" w:right="540"/>
        </w:sectPr>
      </w:pPr>
    </w:p>
    <w:p>
      <w:pPr>
        <w:pStyle w:val="Heading2"/>
        <w:spacing w:line="276" w:lineRule="auto" w:before="58"/>
        <w:ind w:left="2533" w:right="358" w:hanging="2266"/>
        <w:jc w:val="both"/>
      </w:pPr>
      <w:r>
        <w:rPr>
          <w:spacing w:val="42"/>
        </w:rPr>
        <w:t>附表二 中度疾病 </w:t>
      </w:r>
      <w:r>
        <w:rPr>
          <w:spacing w:val="-4"/>
          <w:position w:val="1"/>
        </w:rPr>
        <w:t>以下中度疾病非 </w:t>
      </w:r>
      <w:r>
        <w:rPr>
          <w:position w:val="1"/>
        </w:rPr>
        <w:t>2020</w:t>
      </w:r>
      <w:r>
        <w:rPr>
          <w:spacing w:val="-7"/>
          <w:position w:val="1"/>
        </w:rPr>
        <w:t> 版定义的疾病病种，是本公司在 </w:t>
      </w:r>
      <w:r>
        <w:rPr>
          <w:position w:val="1"/>
        </w:rPr>
        <w:t>2020</w:t>
      </w:r>
      <w:r>
        <w:rPr>
          <w:spacing w:val="-5"/>
          <w:position w:val="1"/>
        </w:rPr>
        <w:t> 版定义规定的疾病范围</w:t>
      </w:r>
      <w:r>
        <w:rPr>
          <w:spacing w:val="-2"/>
        </w:rPr>
        <w:t>之外增加的疾病。被保险人发生符合以下中度疾病定义所述条件的疾病，应当由专</w:t>
      </w:r>
      <w:r>
        <w:rPr>
          <w:spacing w:val="-2"/>
        </w:rPr>
        <w:t>科医生明确诊断。</w:t>
      </w:r>
    </w:p>
    <w:p>
      <w:pPr>
        <w:pStyle w:val="ListParagraph"/>
        <w:numPr>
          <w:ilvl w:val="0"/>
          <w:numId w:val="75"/>
        </w:numPr>
        <w:tabs>
          <w:tab w:pos="3063" w:val="left" w:leader="none"/>
        </w:tabs>
        <w:spacing w:line="240" w:lineRule="auto" w:before="156" w:after="0"/>
        <w:ind w:left="3063" w:right="0" w:hanging="530"/>
        <w:jc w:val="left"/>
        <w:rPr>
          <w:b/>
          <w:sz w:val="21"/>
        </w:rPr>
      </w:pPr>
      <w:r>
        <w:rPr>
          <w:b/>
          <w:spacing w:val="-3"/>
          <w:sz w:val="21"/>
        </w:rPr>
        <w:t>中度严重克罗恩病：</w:t>
      </w:r>
    </w:p>
    <w:p>
      <w:pPr>
        <w:pStyle w:val="BodyText"/>
        <w:spacing w:before="7"/>
        <w:rPr>
          <w:b/>
          <w:sz w:val="15"/>
        </w:rPr>
      </w:pPr>
    </w:p>
    <w:p>
      <w:pPr>
        <w:pStyle w:val="BodyText"/>
        <w:spacing w:line="278" w:lineRule="auto"/>
        <w:ind w:left="2533" w:right="356"/>
        <w:jc w:val="both"/>
      </w:pPr>
      <w:r>
        <w:rPr/>
        <w:t>指一种慢性肉芽肿性肠炎，具有特征性的克罗恩病（Crohn</w:t>
      </w:r>
      <w:r>
        <w:rPr>
          <w:spacing w:val="-14"/>
        </w:rPr>
        <w:t> 病</w:t>
      </w:r>
      <w:r>
        <w:rPr/>
        <w:t>）病理组织学变化，</w:t>
      </w:r>
      <w:r>
        <w:rPr>
          <w:spacing w:val="-2"/>
        </w:rPr>
        <w:t>须根据组织病理学特点诊断，且已经造成瘘管形成，同时经专科医生以类固醇或免</w:t>
      </w:r>
      <w:r>
        <w:rPr>
          <w:spacing w:val="-2"/>
        </w:rPr>
        <w:t>疫抑制剂连续治疗三个月以上，方符合赔偿条件。</w:t>
      </w:r>
    </w:p>
    <w:p>
      <w:pPr>
        <w:pStyle w:val="Heading2"/>
        <w:numPr>
          <w:ilvl w:val="0"/>
          <w:numId w:val="75"/>
        </w:numPr>
        <w:tabs>
          <w:tab w:pos="3063" w:val="left" w:leader="none"/>
        </w:tabs>
        <w:spacing w:line="240" w:lineRule="auto" w:before="156" w:after="0"/>
        <w:ind w:left="3063" w:right="0" w:hanging="530"/>
        <w:jc w:val="left"/>
      </w:pPr>
      <w:r>
        <w:rPr>
          <w:spacing w:val="-3"/>
        </w:rPr>
        <w:t>中度肠道疾病并发症：</w:t>
      </w:r>
    </w:p>
    <w:p>
      <w:pPr>
        <w:pStyle w:val="BodyText"/>
        <w:spacing w:before="6"/>
        <w:rPr>
          <w:b/>
          <w:sz w:val="15"/>
        </w:rPr>
      </w:pPr>
    </w:p>
    <w:p>
      <w:pPr>
        <w:pStyle w:val="BodyText"/>
        <w:ind w:left="2533"/>
      </w:pPr>
      <w:r>
        <w:rPr>
          <w:spacing w:val="-3"/>
        </w:rPr>
        <w:t>严重肠道疾病或外伤导致小肠损害并发症，必须满足下列全部条件：</w:t>
      </w:r>
    </w:p>
    <w:p>
      <w:pPr>
        <w:pStyle w:val="BodyText"/>
        <w:spacing w:before="7"/>
        <w:rPr>
          <w:sz w:val="15"/>
        </w:rPr>
      </w:pPr>
    </w:p>
    <w:p>
      <w:pPr>
        <w:pStyle w:val="ListParagraph"/>
        <w:numPr>
          <w:ilvl w:val="0"/>
          <w:numId w:val="76"/>
        </w:numPr>
        <w:tabs>
          <w:tab w:pos="3254" w:val="left" w:leader="none"/>
          <w:tab w:pos="3255" w:val="left" w:leader="none"/>
        </w:tabs>
        <w:spacing w:line="240" w:lineRule="auto" w:before="0" w:after="0"/>
        <w:ind w:left="3254" w:right="0" w:hanging="722"/>
        <w:jc w:val="left"/>
        <w:rPr>
          <w:sz w:val="21"/>
        </w:rPr>
      </w:pPr>
      <w:r>
        <w:rPr>
          <w:spacing w:val="-3"/>
          <w:sz w:val="21"/>
        </w:rPr>
        <w:t>至少切除了二分之一小肠；</w:t>
      </w:r>
    </w:p>
    <w:p>
      <w:pPr>
        <w:pStyle w:val="BodyText"/>
        <w:spacing w:before="7"/>
        <w:rPr>
          <w:sz w:val="15"/>
        </w:rPr>
      </w:pPr>
    </w:p>
    <w:p>
      <w:pPr>
        <w:pStyle w:val="ListParagraph"/>
        <w:numPr>
          <w:ilvl w:val="0"/>
          <w:numId w:val="76"/>
        </w:numPr>
        <w:tabs>
          <w:tab w:pos="3254" w:val="left" w:leader="none"/>
          <w:tab w:pos="3255" w:val="left" w:leader="none"/>
        </w:tabs>
        <w:spacing w:line="240" w:lineRule="auto" w:before="0" w:after="0"/>
        <w:ind w:left="3254" w:right="0" w:hanging="722"/>
        <w:jc w:val="left"/>
        <w:rPr>
          <w:sz w:val="21"/>
        </w:rPr>
      </w:pPr>
      <w:r>
        <w:rPr>
          <w:spacing w:val="-3"/>
          <w:sz w:val="21"/>
        </w:rPr>
        <w:t>完全肠外营养支持两个月以上。</w:t>
      </w:r>
    </w:p>
    <w:p>
      <w:pPr>
        <w:pStyle w:val="BodyText"/>
        <w:rPr>
          <w:sz w:val="10"/>
        </w:rPr>
      </w:pPr>
    </w:p>
    <w:p>
      <w:pPr>
        <w:pStyle w:val="BodyText"/>
        <w:spacing w:before="71"/>
        <w:ind w:left="2533"/>
      </w:pPr>
      <w:r>
        <w:rPr>
          <w:color w:val="000000"/>
          <w:spacing w:val="-3"/>
          <w:shd w:fill="E4E4E4" w:color="auto" w:val="clear"/>
        </w:rPr>
        <w:t>因“克罗恩病”所致中度肠道疾病并发症不在本保障范围内。</w:t>
      </w:r>
    </w:p>
    <w:p>
      <w:pPr>
        <w:pStyle w:val="BodyText"/>
        <w:spacing w:before="7"/>
        <w:rPr>
          <w:sz w:val="15"/>
        </w:rPr>
      </w:pPr>
    </w:p>
    <w:p>
      <w:pPr>
        <w:pStyle w:val="Heading2"/>
        <w:numPr>
          <w:ilvl w:val="0"/>
          <w:numId w:val="75"/>
        </w:numPr>
        <w:tabs>
          <w:tab w:pos="3063" w:val="left" w:leader="none"/>
        </w:tabs>
        <w:spacing w:line="240" w:lineRule="auto" w:before="0" w:after="0"/>
        <w:ind w:left="3063" w:right="0" w:hanging="530"/>
        <w:jc w:val="left"/>
      </w:pPr>
      <w:r>
        <w:rPr>
          <w:spacing w:val="-3"/>
        </w:rPr>
        <w:t>中度多发性硬化症：</w:t>
      </w:r>
    </w:p>
    <w:p>
      <w:pPr>
        <w:pStyle w:val="BodyText"/>
        <w:spacing w:before="7"/>
        <w:rPr>
          <w:b/>
          <w:sz w:val="15"/>
        </w:rPr>
      </w:pPr>
    </w:p>
    <w:p>
      <w:pPr>
        <w:pStyle w:val="BodyText"/>
        <w:spacing w:line="278" w:lineRule="auto"/>
        <w:ind w:left="2533" w:right="356"/>
        <w:jc w:val="both"/>
      </w:pPr>
      <w:r>
        <w:rPr>
          <w:spacing w:val="-5"/>
        </w:rPr>
        <w:t>指被保险人因脑及脊髓内的脱髓鞘病变而出现神经系统多灶性</w:t>
      </w:r>
      <w:r>
        <w:rPr>
          <w:spacing w:val="-2"/>
        </w:rPr>
        <w:t>（多发性</w:t>
      </w:r>
      <w:r>
        <w:rPr>
          <w:spacing w:val="-77"/>
        </w:rPr>
        <w:t>）</w:t>
      </w:r>
      <w:r>
        <w:rPr>
          <w:spacing w:val="-27"/>
        </w:rPr>
        <w:t>多时相</w:t>
      </w:r>
      <w:r>
        <w:rPr>
          <w:spacing w:val="-2"/>
        </w:rPr>
        <w:t>（至</w:t>
      </w:r>
      <w:r>
        <w:rPr>
          <w:spacing w:val="-12"/>
        </w:rPr>
        <w:t>少六个月以内有一次以上</w:t>
      </w:r>
      <w:r>
        <w:rPr>
          <w:spacing w:val="-4"/>
        </w:rPr>
        <w:t>（不包含一次</w:t>
      </w:r>
      <w:r>
        <w:rPr>
          <w:spacing w:val="-87"/>
        </w:rPr>
        <w:t>）</w:t>
      </w:r>
      <w:r>
        <w:rPr>
          <w:spacing w:val="-4"/>
        </w:rPr>
        <w:t>的发作</w:t>
      </w:r>
      <w:r>
        <w:rPr>
          <w:spacing w:val="-87"/>
        </w:rPr>
        <w:t>）</w:t>
      </w:r>
      <w:r>
        <w:rPr>
          <w:spacing w:val="-20"/>
        </w:rPr>
        <w:t>的病变，须由计算机断层扫描</w:t>
      </w:r>
      <w:r>
        <w:rPr>
          <w:spacing w:val="23"/>
        </w:rPr>
        <w:t>（</w:t>
      </w:r>
      <w:r>
        <w:rPr>
          <w:spacing w:val="20"/>
        </w:rPr>
        <w:t>C</w:t>
      </w:r>
      <w:r>
        <w:rPr>
          <w:spacing w:val="23"/>
        </w:rPr>
        <w:t>T</w:t>
      </w:r>
      <w:r>
        <w:rPr>
          <w:spacing w:val="-83"/>
        </w:rPr>
        <w:t>）</w:t>
      </w:r>
      <w:r>
        <w:rPr>
          <w:spacing w:val="-106"/>
        </w:rPr>
        <w:t>、</w:t>
      </w:r>
      <w:r>
        <w:rPr>
          <w:spacing w:val="-2"/>
        </w:rPr>
        <w:t>核磁共振检查（MRI）或正电子发射断层扫描（PET）等影像学检查证实，且已经造</w:t>
      </w:r>
      <w:r>
        <w:rPr>
          <w:spacing w:val="-2"/>
        </w:rPr>
        <w:t>成自主生活能力严重丧失，无法独立完成六项基本日常生活活动中的二项或二项以</w:t>
      </w:r>
      <w:r>
        <w:rPr>
          <w:spacing w:val="-3"/>
        </w:rPr>
        <w:t>上，持续至少 </w:t>
      </w:r>
      <w:r>
        <w:rPr/>
        <w:t>180</w:t>
      </w:r>
      <w:r>
        <w:rPr>
          <w:spacing w:val="-8"/>
        </w:rPr>
        <w:t> 天。</w:t>
      </w:r>
    </w:p>
    <w:p>
      <w:pPr>
        <w:pStyle w:val="Heading2"/>
        <w:numPr>
          <w:ilvl w:val="0"/>
          <w:numId w:val="75"/>
        </w:numPr>
        <w:tabs>
          <w:tab w:pos="3063" w:val="left" w:leader="none"/>
        </w:tabs>
        <w:spacing w:line="240" w:lineRule="auto" w:before="155" w:after="0"/>
        <w:ind w:left="3063" w:right="0" w:hanging="530"/>
        <w:jc w:val="left"/>
      </w:pPr>
      <w:r>
        <w:rPr>
          <w:spacing w:val="-3"/>
        </w:rPr>
        <w:t>中度肌营养不良症：</w:t>
      </w:r>
    </w:p>
    <w:p>
      <w:pPr>
        <w:pStyle w:val="BodyText"/>
        <w:spacing w:before="7"/>
        <w:rPr>
          <w:b/>
          <w:sz w:val="15"/>
        </w:rPr>
      </w:pPr>
    </w:p>
    <w:p>
      <w:pPr>
        <w:pStyle w:val="BodyText"/>
        <w:spacing w:line="417" w:lineRule="auto"/>
        <w:ind w:left="2533" w:right="553"/>
      </w:pPr>
      <w:r>
        <w:rPr>
          <w:spacing w:val="-2"/>
        </w:rPr>
        <w:t>指一组原发于肌肉的遗传性疾病，临床表现为与神经系统无关的肌肉无力和肌肉</w:t>
      </w:r>
      <w:r>
        <w:rPr>
          <w:spacing w:val="-2"/>
        </w:rPr>
        <w:t>萎缩。须满足下列全部条件：</w:t>
      </w:r>
    </w:p>
    <w:p>
      <w:pPr>
        <w:pStyle w:val="ListParagraph"/>
        <w:numPr>
          <w:ilvl w:val="0"/>
          <w:numId w:val="77"/>
        </w:numPr>
        <w:tabs>
          <w:tab w:pos="3254" w:val="left" w:leader="none"/>
          <w:tab w:pos="3255" w:val="left" w:leader="none"/>
        </w:tabs>
        <w:spacing w:line="269" w:lineRule="exact" w:before="0" w:after="0"/>
        <w:ind w:left="3254" w:right="0" w:hanging="722"/>
        <w:jc w:val="left"/>
        <w:rPr>
          <w:sz w:val="21"/>
        </w:rPr>
      </w:pPr>
      <w:r>
        <w:rPr>
          <w:spacing w:val="-3"/>
          <w:sz w:val="21"/>
        </w:rPr>
        <w:t>肌肉组织活检结果满足肌营养不良症的肌肉细胞变性、坏死等阳性改变；</w:t>
      </w:r>
    </w:p>
    <w:p>
      <w:pPr>
        <w:pStyle w:val="BodyText"/>
        <w:spacing w:before="7"/>
        <w:rPr>
          <w:sz w:val="15"/>
        </w:rPr>
      </w:pPr>
    </w:p>
    <w:p>
      <w:pPr>
        <w:pStyle w:val="ListParagraph"/>
        <w:numPr>
          <w:ilvl w:val="0"/>
          <w:numId w:val="77"/>
        </w:numPr>
        <w:tabs>
          <w:tab w:pos="3254" w:val="left" w:leader="none"/>
          <w:tab w:pos="3255" w:val="left" w:leader="none"/>
        </w:tabs>
        <w:spacing w:line="278" w:lineRule="auto" w:before="0" w:after="0"/>
        <w:ind w:left="3254" w:right="355" w:hanging="721"/>
        <w:jc w:val="left"/>
        <w:rPr>
          <w:sz w:val="21"/>
        </w:rPr>
      </w:pPr>
      <w:r>
        <w:rPr>
          <w:spacing w:val="-11"/>
          <w:sz w:val="21"/>
        </w:rPr>
        <w:t>自主生活能力严重丧失，无法独立完成六项基本日常生活活动中的二项或二</w:t>
      </w:r>
      <w:r>
        <w:rPr>
          <w:spacing w:val="-4"/>
          <w:sz w:val="21"/>
        </w:rPr>
        <w:t>项以上。</w:t>
      </w:r>
    </w:p>
    <w:p>
      <w:pPr>
        <w:pStyle w:val="BodyText"/>
        <w:spacing w:line="278" w:lineRule="auto" w:before="156"/>
        <w:ind w:left="2533" w:right="356"/>
      </w:pPr>
      <w:r>
        <w:rPr>
          <w:spacing w:val="-2"/>
        </w:rPr>
        <w:t>本公司承担本项疾病责任不受责任免除中“遗传性疾病、先天性畸形、变形或染色</w:t>
      </w:r>
      <w:r>
        <w:rPr>
          <w:spacing w:val="-2"/>
        </w:rPr>
        <w:t>体异常”的限制。</w:t>
      </w:r>
    </w:p>
    <w:p>
      <w:pPr>
        <w:pStyle w:val="Heading2"/>
        <w:numPr>
          <w:ilvl w:val="0"/>
          <w:numId w:val="75"/>
        </w:numPr>
        <w:tabs>
          <w:tab w:pos="3063" w:val="left" w:leader="none"/>
        </w:tabs>
        <w:spacing w:line="240" w:lineRule="auto" w:before="156" w:after="0"/>
        <w:ind w:left="3063" w:right="0" w:hanging="530"/>
        <w:jc w:val="left"/>
      </w:pPr>
      <w:r>
        <w:rPr>
          <w:spacing w:val="-3"/>
        </w:rPr>
        <w:t>中度进行性核上神经麻痹症：</w:t>
      </w:r>
    </w:p>
    <w:p>
      <w:pPr>
        <w:pStyle w:val="BodyText"/>
        <w:spacing w:before="6"/>
        <w:rPr>
          <w:b/>
          <w:sz w:val="15"/>
        </w:rPr>
      </w:pPr>
    </w:p>
    <w:p>
      <w:pPr>
        <w:pStyle w:val="BodyText"/>
        <w:spacing w:line="278" w:lineRule="auto"/>
        <w:ind w:left="2533" w:right="253"/>
      </w:pPr>
      <w:r>
        <w:rPr>
          <w:spacing w:val="-2"/>
        </w:rPr>
        <w:t>指一种少见的神经系统变性疾病，以假球麻痹、垂直性核上性眼肌麻痹、锥体外系</w:t>
      </w:r>
      <w:r>
        <w:rPr>
          <w:spacing w:val="-13"/>
        </w:rPr>
        <w:t>肌僵直、步态共济失调和轻度痴呆为主要临床特征。须满足自主生活能力严重丧失，</w:t>
      </w:r>
      <w:r>
        <w:rPr>
          <w:spacing w:val="-2"/>
        </w:rPr>
        <w:t>无法独立完成六项基本日常生活活动中的二项或二项以上。</w:t>
      </w:r>
    </w:p>
    <w:p>
      <w:pPr>
        <w:pStyle w:val="Heading2"/>
        <w:numPr>
          <w:ilvl w:val="0"/>
          <w:numId w:val="75"/>
        </w:numPr>
        <w:tabs>
          <w:tab w:pos="3063" w:val="left" w:leader="none"/>
        </w:tabs>
        <w:spacing w:line="240" w:lineRule="auto" w:before="157" w:after="0"/>
        <w:ind w:left="3063" w:right="0" w:hanging="530"/>
        <w:jc w:val="left"/>
      </w:pPr>
      <w:r>
        <w:rPr>
          <w:spacing w:val="-2"/>
        </w:rPr>
        <w:t>中度重症肌无力：</w:t>
      </w:r>
    </w:p>
    <w:p>
      <w:pPr>
        <w:pStyle w:val="BodyText"/>
        <w:spacing w:before="6"/>
        <w:rPr>
          <w:b/>
          <w:sz w:val="15"/>
        </w:rPr>
      </w:pPr>
    </w:p>
    <w:p>
      <w:pPr>
        <w:pStyle w:val="BodyText"/>
        <w:spacing w:line="278" w:lineRule="auto"/>
        <w:ind w:left="2533" w:right="356"/>
        <w:jc w:val="both"/>
      </w:pPr>
      <w:r>
        <w:rPr>
          <w:spacing w:val="-2"/>
        </w:rPr>
        <w:t>指一种神经肌肉接头传递障碍所致的疾病，表现为局部或全身骨骼肌（特别是眼外</w:t>
      </w:r>
      <w:r>
        <w:rPr>
          <w:spacing w:val="-2"/>
        </w:rPr>
        <w:t>肌）极易疲劳。疾病可以累及呼吸肌、上肢或下肢的近端肌群或全身肌肉，必须满</w:t>
      </w:r>
      <w:r>
        <w:rPr>
          <w:spacing w:val="-2"/>
        </w:rPr>
        <w:t>足下列全部条件：</w:t>
      </w:r>
    </w:p>
    <w:p>
      <w:pPr>
        <w:spacing w:after="0" w:line="278" w:lineRule="auto"/>
        <w:jc w:val="both"/>
        <w:sectPr>
          <w:pgSz w:w="11910" w:h="16840"/>
          <w:pgMar w:header="0" w:footer="659" w:top="1540" w:bottom="840" w:left="920" w:right="540"/>
        </w:sectPr>
      </w:pPr>
    </w:p>
    <w:p>
      <w:pPr>
        <w:pStyle w:val="ListParagraph"/>
        <w:numPr>
          <w:ilvl w:val="0"/>
          <w:numId w:val="78"/>
        </w:numPr>
        <w:tabs>
          <w:tab w:pos="3254" w:val="left" w:leader="none"/>
          <w:tab w:pos="3255" w:val="left" w:leader="none"/>
        </w:tabs>
        <w:spacing w:line="278" w:lineRule="auto" w:before="44" w:after="0"/>
        <w:ind w:left="3254" w:right="356" w:hanging="721"/>
        <w:jc w:val="left"/>
        <w:rPr>
          <w:sz w:val="21"/>
        </w:rPr>
      </w:pPr>
      <w:r>
        <w:rPr>
          <w:spacing w:val="-7"/>
          <w:sz w:val="21"/>
        </w:rPr>
        <w:t>经药物治疗或胸腺手术治疗一年以上无法控制病情，症状缓解、复发及恶化</w:t>
      </w:r>
      <w:r>
        <w:rPr>
          <w:spacing w:val="-2"/>
          <w:sz w:val="21"/>
        </w:rPr>
        <w:t>交替出现；</w:t>
      </w:r>
    </w:p>
    <w:p>
      <w:pPr>
        <w:pStyle w:val="ListParagraph"/>
        <w:numPr>
          <w:ilvl w:val="0"/>
          <w:numId w:val="78"/>
        </w:numPr>
        <w:tabs>
          <w:tab w:pos="3254" w:val="left" w:leader="none"/>
          <w:tab w:pos="3255" w:val="left" w:leader="none"/>
        </w:tabs>
        <w:spacing w:line="278" w:lineRule="auto" w:before="156" w:after="0"/>
        <w:ind w:left="3254" w:right="356" w:hanging="721"/>
        <w:jc w:val="left"/>
        <w:rPr>
          <w:sz w:val="21"/>
        </w:rPr>
      </w:pPr>
      <w:r>
        <w:rPr>
          <w:spacing w:val="-11"/>
          <w:sz w:val="21"/>
        </w:rPr>
        <w:t>自主生活能力严重丧失，无法独立完成六项基本日常生活活动中的二项或二</w:t>
      </w:r>
      <w:r>
        <w:rPr>
          <w:spacing w:val="-4"/>
          <w:sz w:val="21"/>
        </w:rPr>
        <w:t>项以上。</w:t>
      </w:r>
    </w:p>
    <w:p>
      <w:pPr>
        <w:pStyle w:val="Heading2"/>
        <w:numPr>
          <w:ilvl w:val="0"/>
          <w:numId w:val="75"/>
        </w:numPr>
        <w:tabs>
          <w:tab w:pos="3063" w:val="left" w:leader="none"/>
        </w:tabs>
        <w:spacing w:line="240" w:lineRule="auto" w:before="156" w:after="0"/>
        <w:ind w:left="3063" w:right="0" w:hanging="530"/>
        <w:jc w:val="left"/>
      </w:pPr>
      <w:r>
        <w:rPr>
          <w:spacing w:val="-2"/>
        </w:rPr>
        <w:t>结核性脊髓炎：</w:t>
      </w:r>
    </w:p>
    <w:p>
      <w:pPr>
        <w:pStyle w:val="BodyText"/>
        <w:spacing w:before="7"/>
        <w:rPr>
          <w:b/>
          <w:sz w:val="15"/>
        </w:rPr>
      </w:pPr>
    </w:p>
    <w:p>
      <w:pPr>
        <w:pStyle w:val="BodyText"/>
        <w:spacing w:line="278" w:lineRule="auto"/>
        <w:ind w:left="2533" w:right="356"/>
      </w:pPr>
      <w:r>
        <w:rPr>
          <w:spacing w:val="-2"/>
        </w:rPr>
        <w:t>因结核杆菌引起的脊髓炎，导致永久性神经系统功能中度障碍，即：疾病确诊初次</w:t>
      </w:r>
      <w:r>
        <w:rPr>
          <w:spacing w:val="-7"/>
        </w:rPr>
        <w:t>发生 </w:t>
      </w:r>
      <w:r>
        <w:rPr/>
        <w:t>180</w:t>
      </w:r>
      <w:r>
        <w:rPr>
          <w:spacing w:val="-5"/>
        </w:rPr>
        <w:t> 天后，仍遗留下列一种或一种以上障碍：</w:t>
      </w:r>
    </w:p>
    <w:p>
      <w:pPr>
        <w:pStyle w:val="ListParagraph"/>
        <w:numPr>
          <w:ilvl w:val="0"/>
          <w:numId w:val="79"/>
        </w:numPr>
        <w:tabs>
          <w:tab w:pos="3254" w:val="left" w:leader="none"/>
          <w:tab w:pos="3255" w:val="left" w:leader="none"/>
        </w:tabs>
        <w:spacing w:line="240" w:lineRule="auto" w:before="156" w:after="0"/>
        <w:ind w:left="3254" w:right="0" w:hanging="722"/>
        <w:jc w:val="left"/>
        <w:rPr>
          <w:sz w:val="21"/>
        </w:rPr>
      </w:pPr>
      <w:r>
        <w:rPr>
          <w:spacing w:val="-7"/>
          <w:sz w:val="21"/>
        </w:rPr>
        <w:t>一肢或一肢以上肢体肌力 </w:t>
      </w:r>
      <w:r>
        <w:rPr>
          <w:spacing w:val="-2"/>
          <w:sz w:val="21"/>
        </w:rPr>
        <w:t>3</w:t>
      </w:r>
      <w:r>
        <w:rPr>
          <w:spacing w:val="-26"/>
          <w:sz w:val="21"/>
        </w:rPr>
        <w:t> 级或 </w:t>
      </w:r>
      <w:r>
        <w:rPr>
          <w:spacing w:val="-2"/>
          <w:sz w:val="21"/>
        </w:rPr>
        <w:t>3</w:t>
      </w:r>
      <w:r>
        <w:rPr>
          <w:spacing w:val="-10"/>
          <w:sz w:val="21"/>
        </w:rPr>
        <w:t> 级以下的运动功能障碍。</w:t>
      </w:r>
    </w:p>
    <w:p>
      <w:pPr>
        <w:pStyle w:val="BodyText"/>
        <w:spacing w:before="6"/>
        <w:rPr>
          <w:sz w:val="15"/>
        </w:rPr>
      </w:pPr>
    </w:p>
    <w:p>
      <w:pPr>
        <w:pStyle w:val="ListParagraph"/>
        <w:numPr>
          <w:ilvl w:val="0"/>
          <w:numId w:val="79"/>
        </w:numPr>
        <w:tabs>
          <w:tab w:pos="3254" w:val="left" w:leader="none"/>
          <w:tab w:pos="3255" w:val="left" w:leader="none"/>
        </w:tabs>
        <w:spacing w:line="278" w:lineRule="auto" w:before="0" w:after="0"/>
        <w:ind w:left="3254" w:right="355" w:hanging="721"/>
        <w:jc w:val="left"/>
        <w:rPr>
          <w:sz w:val="21"/>
        </w:rPr>
      </w:pPr>
      <w:r>
        <w:rPr>
          <w:spacing w:val="-11"/>
          <w:sz w:val="21"/>
        </w:rPr>
        <w:t>自主生活能力部分丧失，无法独立完成六项基本日常生活活动中的二项或二</w:t>
      </w:r>
      <w:r>
        <w:rPr>
          <w:spacing w:val="-4"/>
          <w:sz w:val="21"/>
        </w:rPr>
        <w:t>项以上。</w:t>
      </w:r>
    </w:p>
    <w:p>
      <w:pPr>
        <w:pStyle w:val="BodyText"/>
        <w:spacing w:line="278" w:lineRule="auto" w:before="157"/>
        <w:ind w:left="2533" w:right="356"/>
      </w:pPr>
      <w:r>
        <w:rPr>
          <w:color w:val="000000"/>
          <w:spacing w:val="-2"/>
          <w:shd w:fill="E4E4E4" w:color="auto" w:val="clear"/>
        </w:rPr>
        <w:t>该诊断必须由本本公司指定或认可的医疗机构的神经专科医生证实。并必须由适当</w:t>
      </w:r>
      <w:r>
        <w:rPr>
          <w:color w:val="000000"/>
          <w:spacing w:val="80"/>
          <w:w w:val="150"/>
          <w:shd w:fill="E4E4E4" w:color="auto" w:val="clear"/>
        </w:rPr>
        <w:t>                                         </w:t>
      </w:r>
      <w:r>
        <w:rPr>
          <w:color w:val="000000"/>
          <w:spacing w:val="-2"/>
          <w:shd w:fill="E4E4E4" w:color="auto" w:val="clear"/>
        </w:rPr>
        <w:t>的检查证明为结核性脊髓炎。</w:t>
      </w:r>
    </w:p>
    <w:p>
      <w:pPr>
        <w:pStyle w:val="Heading2"/>
        <w:numPr>
          <w:ilvl w:val="0"/>
          <w:numId w:val="75"/>
        </w:numPr>
        <w:tabs>
          <w:tab w:pos="3063" w:val="left" w:leader="none"/>
        </w:tabs>
        <w:spacing w:line="240" w:lineRule="auto" w:before="155" w:after="0"/>
        <w:ind w:left="3063" w:right="0" w:hanging="530"/>
        <w:jc w:val="left"/>
      </w:pPr>
      <w:r>
        <w:rPr>
          <w:spacing w:val="-3"/>
        </w:rPr>
        <w:t>中度类风湿性关节炎：</w:t>
      </w:r>
    </w:p>
    <w:p>
      <w:pPr>
        <w:pStyle w:val="BodyText"/>
        <w:spacing w:before="7"/>
        <w:rPr>
          <w:b/>
          <w:sz w:val="15"/>
        </w:rPr>
      </w:pPr>
    </w:p>
    <w:p>
      <w:pPr>
        <w:pStyle w:val="BodyText"/>
        <w:spacing w:line="278" w:lineRule="auto"/>
        <w:ind w:left="2533" w:right="356"/>
        <w:jc w:val="both"/>
      </w:pPr>
      <w:r>
        <w:rPr>
          <w:spacing w:val="-2"/>
        </w:rPr>
        <w:t>类风湿性关节炎为广泛分布的慢性进行性多关节病变，表现为关节严重变形，侵犯</w:t>
      </w:r>
      <w:r>
        <w:rPr>
          <w:spacing w:val="-2"/>
        </w:rPr>
        <w:t>两个主要关节或关节组（如：双手（多手指）关节、双足（多足趾）关节、双腕关</w:t>
      </w:r>
      <w:r>
        <w:rPr>
          <w:spacing w:val="-10"/>
        </w:rPr>
        <w:t>节、双膝关节和双髋关节</w:t>
      </w:r>
      <w:r>
        <w:rPr>
          <w:spacing w:val="-108"/>
        </w:rPr>
        <w:t>）</w:t>
      </w:r>
      <w:r>
        <w:rPr>
          <w:spacing w:val="-12"/>
        </w:rPr>
        <w:t>。且被保人满足至少 </w:t>
      </w:r>
      <w:r>
        <w:rPr>
          <w:spacing w:val="-2"/>
        </w:rPr>
        <w:t>180</w:t>
      </w:r>
      <w:r>
        <w:rPr>
          <w:spacing w:val="-7"/>
        </w:rPr>
        <w:t> 天无法独立完成六项基本日常生</w:t>
      </w:r>
      <w:r>
        <w:rPr>
          <w:spacing w:val="-2"/>
        </w:rPr>
        <w:t>活活动中的二项或二项以上。</w:t>
      </w:r>
    </w:p>
    <w:p>
      <w:pPr>
        <w:pStyle w:val="Heading2"/>
        <w:numPr>
          <w:ilvl w:val="0"/>
          <w:numId w:val="75"/>
        </w:numPr>
        <w:tabs>
          <w:tab w:pos="3063" w:val="left" w:leader="none"/>
        </w:tabs>
        <w:spacing w:line="240" w:lineRule="auto" w:before="156" w:after="0"/>
        <w:ind w:left="3063" w:right="0" w:hanging="530"/>
        <w:jc w:val="left"/>
      </w:pPr>
      <w:r>
        <w:rPr>
          <w:spacing w:val="-3"/>
        </w:rPr>
        <w:t>中度原发性帕金森氏病：</w:t>
      </w:r>
    </w:p>
    <w:p>
      <w:pPr>
        <w:pStyle w:val="BodyText"/>
        <w:spacing w:before="6"/>
        <w:rPr>
          <w:b/>
          <w:sz w:val="15"/>
        </w:rPr>
      </w:pPr>
    </w:p>
    <w:p>
      <w:pPr>
        <w:pStyle w:val="BodyText"/>
        <w:spacing w:line="278" w:lineRule="auto" w:before="1"/>
        <w:ind w:left="2533" w:right="253"/>
      </w:pPr>
      <w:r>
        <w:rPr>
          <w:spacing w:val="-9"/>
        </w:rPr>
        <w:t>是一种中枢神经系统的退行性疾病，临床表现为运动迟缓、静止性震颤或肌强直等。</w:t>
      </w:r>
      <w:r>
        <w:rPr>
          <w:spacing w:val="-2"/>
        </w:rPr>
        <w:t>经相关专科医生确诊，须满足自主生活能力严重丧失，无法独立完成六项基本日常</w:t>
      </w:r>
      <w:r>
        <w:rPr>
          <w:spacing w:val="-2"/>
        </w:rPr>
        <w:t>生活活动中的二项或二项以上，但未达到本合同所指重大疾病“严重原发性帕金森</w:t>
      </w:r>
      <w:r>
        <w:rPr>
          <w:spacing w:val="-2"/>
        </w:rPr>
        <w:t>病”的标准。</w:t>
      </w:r>
    </w:p>
    <w:p>
      <w:pPr>
        <w:pStyle w:val="BodyText"/>
        <w:spacing w:before="50"/>
        <w:ind w:left="2533"/>
      </w:pPr>
      <w:r>
        <w:rPr>
          <w:color w:val="000000"/>
          <w:spacing w:val="-3"/>
          <w:shd w:fill="E4E4E4" w:color="auto" w:val="clear"/>
        </w:rPr>
        <w:t>继发性帕金森综合征、帕金森叠加综合征不在保障范围内。</w:t>
      </w:r>
    </w:p>
    <w:p>
      <w:pPr>
        <w:pStyle w:val="BodyText"/>
        <w:spacing w:before="6"/>
        <w:rPr>
          <w:sz w:val="15"/>
        </w:rPr>
      </w:pPr>
    </w:p>
    <w:p>
      <w:pPr>
        <w:pStyle w:val="Heading2"/>
        <w:numPr>
          <w:ilvl w:val="0"/>
          <w:numId w:val="75"/>
        </w:numPr>
        <w:tabs>
          <w:tab w:pos="3169" w:val="left" w:leader="none"/>
        </w:tabs>
        <w:spacing w:line="240" w:lineRule="auto" w:before="1" w:after="0"/>
        <w:ind w:left="3168" w:right="0" w:hanging="636"/>
        <w:jc w:val="left"/>
      </w:pPr>
      <w:r>
        <w:rPr>
          <w:spacing w:val="-3"/>
        </w:rPr>
        <w:t>早期运动神经元疾病：</w:t>
      </w:r>
    </w:p>
    <w:p>
      <w:pPr>
        <w:pStyle w:val="BodyText"/>
        <w:spacing w:before="6"/>
        <w:rPr>
          <w:b/>
          <w:sz w:val="15"/>
        </w:rPr>
      </w:pPr>
    </w:p>
    <w:p>
      <w:pPr>
        <w:pStyle w:val="BodyText"/>
        <w:spacing w:line="278" w:lineRule="auto"/>
        <w:ind w:left="2533" w:right="356"/>
        <w:jc w:val="both"/>
      </w:pPr>
      <w:r>
        <w:rPr>
          <w:spacing w:val="-2"/>
        </w:rPr>
        <w:t>是一组中枢神经系统运动神经元的进行性变性疾病，包括进行性脊肌萎缩症、进行</w:t>
      </w:r>
      <w:r>
        <w:rPr>
          <w:spacing w:val="-2"/>
        </w:rPr>
        <w:t>性延髓麻痹症、原发性侧索硬化症、肌萎缩性侧索硬化症。须满足自主生活能力严</w:t>
      </w:r>
      <w:r>
        <w:rPr>
          <w:spacing w:val="-2"/>
        </w:rPr>
        <w:t>重丧失，无法独立完成六项基本日常生活活动中的二项或二项以上。但未达到本合</w:t>
      </w:r>
      <w:r>
        <w:rPr>
          <w:spacing w:val="-2"/>
        </w:rPr>
        <w:t>同所指重大疾病“严重运动神经元病”的标准。</w:t>
      </w:r>
    </w:p>
    <w:p>
      <w:pPr>
        <w:pStyle w:val="Heading2"/>
        <w:numPr>
          <w:ilvl w:val="0"/>
          <w:numId w:val="75"/>
        </w:numPr>
        <w:tabs>
          <w:tab w:pos="3169" w:val="left" w:leader="none"/>
        </w:tabs>
        <w:spacing w:line="240" w:lineRule="auto" w:before="156" w:after="0"/>
        <w:ind w:left="3168" w:right="0" w:hanging="636"/>
        <w:jc w:val="left"/>
      </w:pPr>
      <w:r>
        <w:rPr>
          <w:spacing w:val="-2"/>
        </w:rPr>
        <w:t>中度瘫痪：</w:t>
      </w:r>
    </w:p>
    <w:p>
      <w:pPr>
        <w:pStyle w:val="BodyText"/>
        <w:spacing w:before="6"/>
        <w:rPr>
          <w:b/>
          <w:sz w:val="15"/>
        </w:rPr>
      </w:pPr>
    </w:p>
    <w:p>
      <w:pPr>
        <w:pStyle w:val="BodyText"/>
        <w:spacing w:line="278" w:lineRule="auto" w:before="1"/>
        <w:ind w:left="2533" w:right="344"/>
        <w:jc w:val="both"/>
      </w:pPr>
      <w:r>
        <w:rPr>
          <w:spacing w:val="-2"/>
        </w:rPr>
        <w:t>指因疾病或者意外伤害导致一肢肢体机能永久完全丧失。肢体机能永久完全丧失，</w:t>
      </w:r>
      <w:r>
        <w:rPr>
          <w:w w:val="95"/>
        </w:rPr>
        <w:t>指</w:t>
      </w:r>
      <w:r>
        <w:rPr>
          <w:w w:val="95"/>
        </w:rPr>
        <w:t>疾</w:t>
      </w:r>
      <w:r>
        <w:rPr>
          <w:w w:val="95"/>
        </w:rPr>
        <w:t>病</w:t>
      </w:r>
      <w:r>
        <w:rPr>
          <w:w w:val="95"/>
        </w:rPr>
        <w:t>确</w:t>
      </w:r>
      <w:r>
        <w:rPr>
          <w:w w:val="95"/>
        </w:rPr>
        <w:t>诊 180 天后或意</w:t>
      </w:r>
      <w:r>
        <w:rPr>
          <w:w w:val="95"/>
        </w:rPr>
        <w:t>外</w:t>
      </w:r>
      <w:r>
        <w:rPr>
          <w:w w:val="95"/>
        </w:rPr>
        <w:t>伤</w:t>
      </w:r>
      <w:r>
        <w:rPr>
          <w:w w:val="95"/>
        </w:rPr>
        <w:t>害</w:t>
      </w:r>
      <w:r>
        <w:rPr>
          <w:w w:val="95"/>
        </w:rPr>
        <w:t>发</w:t>
      </w:r>
      <w:r>
        <w:rPr>
          <w:w w:val="95"/>
        </w:rPr>
        <w:t>生 180 天后，该</w:t>
      </w:r>
      <w:r>
        <w:rPr>
          <w:w w:val="95"/>
        </w:rPr>
        <w:t>肢</w:t>
      </w:r>
      <w:r>
        <w:rPr>
          <w:w w:val="95"/>
        </w:rPr>
        <w:t>三</w:t>
      </w:r>
      <w:r>
        <w:rPr>
          <w:w w:val="95"/>
        </w:rPr>
        <w:t>大关节中的两大关节仍然</w:t>
      </w:r>
      <w:r>
        <w:rPr>
          <w:w w:val="95"/>
        </w:rPr>
        <w:t>完</w:t>
      </w:r>
      <w:r>
        <w:rPr>
          <w:spacing w:val="-2"/>
        </w:rPr>
        <w:t>全僵硬，或不能随意识活动。肢体是指包括肩关节的整个上肢或包括髋关节的整个</w:t>
      </w:r>
      <w:r>
        <w:rPr>
          <w:spacing w:val="-4"/>
        </w:rPr>
        <w:t>下肢。</w:t>
      </w:r>
    </w:p>
    <w:p>
      <w:pPr>
        <w:pStyle w:val="BodyText"/>
        <w:spacing w:line="278" w:lineRule="auto"/>
        <w:ind w:left="2533" w:right="357"/>
      </w:pPr>
      <w:r>
        <w:rPr>
          <w:color w:val="000000"/>
          <w:spacing w:val="2"/>
          <w:w w:val="100"/>
          <w:shd w:fill="E4E4E4" w:color="auto" w:val="clear"/>
        </w:rPr>
        <w:t>自我伤害，病毒感染后的临时瘫痪或由于心理疾病造成的机能丧失不在保障范围</w:t>
      </w:r>
      <w:r>
        <w:rPr>
          <w:color w:val="000000"/>
          <w:w w:val="100"/>
          <w:shd w:fill="E4E4E4" w:color="auto" w:val="clear"/>
        </w:rPr>
        <w:t>内。</w:t>
      </w:r>
    </w:p>
    <w:p>
      <w:pPr>
        <w:pStyle w:val="Heading2"/>
        <w:numPr>
          <w:ilvl w:val="0"/>
          <w:numId w:val="75"/>
        </w:numPr>
        <w:tabs>
          <w:tab w:pos="3169" w:val="left" w:leader="none"/>
        </w:tabs>
        <w:spacing w:line="240" w:lineRule="auto" w:before="156" w:after="0"/>
        <w:ind w:left="3168" w:right="0" w:hanging="636"/>
        <w:jc w:val="left"/>
      </w:pPr>
      <w:r>
        <w:rPr>
          <w:spacing w:val="-2"/>
        </w:rPr>
        <w:t>一肢缺失：</w:t>
      </w:r>
    </w:p>
    <w:p>
      <w:pPr>
        <w:spacing w:after="0" w:line="240" w:lineRule="auto"/>
        <w:jc w:val="left"/>
        <w:sectPr>
          <w:pgSz w:w="11910" w:h="16840"/>
          <w:pgMar w:header="0" w:footer="659" w:top="1400" w:bottom="840" w:left="920" w:right="540"/>
        </w:sectPr>
      </w:pPr>
    </w:p>
    <w:p>
      <w:pPr>
        <w:pStyle w:val="BodyText"/>
        <w:spacing w:before="44"/>
        <w:ind w:left="2533"/>
      </w:pPr>
      <w:r>
        <w:rPr>
          <w:spacing w:val="-5"/>
        </w:rPr>
        <w:t>指因疾病或意外导致一个肢体自腕关节或踝关节近端</w:t>
      </w:r>
      <w:r>
        <w:rPr>
          <w:spacing w:val="-2"/>
        </w:rPr>
        <w:t>（靠近躯干端</w:t>
      </w:r>
      <w:r>
        <w:rPr>
          <w:spacing w:val="-60"/>
        </w:rPr>
        <w:t>）</w:t>
      </w:r>
      <w:r>
        <w:rPr>
          <w:spacing w:val="-4"/>
        </w:rPr>
        <w:t>以上完全断离。</w:t>
      </w:r>
    </w:p>
    <w:p>
      <w:pPr>
        <w:pStyle w:val="BodyText"/>
        <w:spacing w:before="7"/>
        <w:rPr>
          <w:sz w:val="15"/>
        </w:rPr>
      </w:pPr>
    </w:p>
    <w:p>
      <w:pPr>
        <w:pStyle w:val="Heading2"/>
        <w:numPr>
          <w:ilvl w:val="0"/>
          <w:numId w:val="75"/>
        </w:numPr>
        <w:tabs>
          <w:tab w:pos="3169" w:val="left" w:leader="none"/>
        </w:tabs>
        <w:spacing w:line="240" w:lineRule="auto" w:before="0" w:after="0"/>
        <w:ind w:left="3168" w:right="0" w:hanging="636"/>
        <w:jc w:val="left"/>
      </w:pPr>
      <w:r>
        <w:rPr>
          <w:spacing w:val="-3"/>
        </w:rPr>
        <w:t>中度严重溃疡性结肠炎：</w:t>
      </w:r>
    </w:p>
    <w:p>
      <w:pPr>
        <w:pStyle w:val="BodyText"/>
        <w:spacing w:before="7"/>
        <w:rPr>
          <w:b/>
          <w:sz w:val="15"/>
        </w:rPr>
      </w:pPr>
    </w:p>
    <w:p>
      <w:pPr>
        <w:pStyle w:val="BodyText"/>
        <w:spacing w:line="278" w:lineRule="auto"/>
        <w:ind w:left="2533" w:right="356"/>
      </w:pPr>
      <w:r>
        <w:rPr>
          <w:spacing w:val="-2"/>
        </w:rPr>
        <w:t>溃疡性结肠炎是指伴有致命性电解质紊乱及肠道肿胀及有肠破裂的风险的大肠（结</w:t>
      </w:r>
      <w:r>
        <w:rPr>
          <w:spacing w:val="-2"/>
        </w:rPr>
        <w:t>肠及直肠）粘膜炎症。须满足下列全部条件：</w:t>
      </w:r>
    </w:p>
    <w:p>
      <w:pPr>
        <w:pStyle w:val="ListParagraph"/>
        <w:numPr>
          <w:ilvl w:val="0"/>
          <w:numId w:val="80"/>
        </w:numPr>
        <w:tabs>
          <w:tab w:pos="3254" w:val="left" w:leader="none"/>
          <w:tab w:pos="3255" w:val="left" w:leader="none"/>
        </w:tabs>
        <w:spacing w:line="278" w:lineRule="auto" w:before="156" w:after="0"/>
        <w:ind w:left="3254" w:right="356" w:hanging="721"/>
        <w:jc w:val="left"/>
        <w:rPr>
          <w:sz w:val="21"/>
        </w:rPr>
      </w:pPr>
      <w:r>
        <w:rPr>
          <w:spacing w:val="-7"/>
          <w:sz w:val="21"/>
        </w:rPr>
        <w:t>须经由内窥镜检查证实该疾病侵犯全部结肠及直肠，并经病理学组织切片检</w:t>
      </w:r>
      <w:r>
        <w:rPr>
          <w:spacing w:val="-2"/>
          <w:sz w:val="21"/>
        </w:rPr>
        <w:t>查证实为溃疡性结肠炎；</w:t>
      </w:r>
    </w:p>
    <w:p>
      <w:pPr>
        <w:pStyle w:val="ListParagraph"/>
        <w:numPr>
          <w:ilvl w:val="0"/>
          <w:numId w:val="80"/>
        </w:numPr>
        <w:tabs>
          <w:tab w:pos="3254" w:val="left" w:leader="none"/>
          <w:tab w:pos="3255" w:val="left" w:leader="none"/>
        </w:tabs>
        <w:spacing w:line="278" w:lineRule="auto" w:before="156" w:after="0"/>
        <w:ind w:left="3254" w:right="356" w:hanging="721"/>
        <w:jc w:val="left"/>
        <w:rPr>
          <w:sz w:val="21"/>
        </w:rPr>
      </w:pPr>
      <w:r>
        <w:rPr>
          <w:spacing w:val="-7"/>
          <w:sz w:val="21"/>
        </w:rPr>
        <w:t>经专科医生以类固醇或免疫抑制剂连续治疗六个月。诊断及治疗均须在本公</w:t>
      </w:r>
      <w:r>
        <w:rPr>
          <w:spacing w:val="-2"/>
          <w:sz w:val="21"/>
        </w:rPr>
        <w:t>司指定或认可的医疗机构内由专科医师认为是医疗必需的情况下进行。</w:t>
      </w:r>
    </w:p>
    <w:p>
      <w:pPr>
        <w:pStyle w:val="Heading2"/>
        <w:numPr>
          <w:ilvl w:val="0"/>
          <w:numId w:val="75"/>
        </w:numPr>
        <w:tabs>
          <w:tab w:pos="3169" w:val="left" w:leader="none"/>
        </w:tabs>
        <w:spacing w:line="240" w:lineRule="auto" w:before="155" w:after="0"/>
        <w:ind w:left="3168" w:right="0" w:hanging="636"/>
        <w:jc w:val="left"/>
      </w:pPr>
      <w:r>
        <w:rPr>
          <w:spacing w:val="-3"/>
        </w:rPr>
        <w:t>可逆性再生障碍性贫血：</w:t>
      </w:r>
    </w:p>
    <w:p>
      <w:pPr>
        <w:pStyle w:val="BodyText"/>
        <w:spacing w:before="7"/>
        <w:rPr>
          <w:b/>
          <w:sz w:val="15"/>
        </w:rPr>
      </w:pPr>
    </w:p>
    <w:p>
      <w:pPr>
        <w:pStyle w:val="BodyText"/>
        <w:spacing w:line="278" w:lineRule="auto"/>
        <w:ind w:left="2533" w:right="344"/>
      </w:pPr>
      <w:r>
        <w:rPr>
          <w:spacing w:val="-2"/>
        </w:rPr>
        <w:t>指因急性可逆性的骨髓造血功能衰竭而导致贫血、中性粒细胞减少和血小板减少，</w:t>
      </w:r>
      <w:r>
        <w:rPr>
          <w:spacing w:val="-2"/>
        </w:rPr>
        <w:t>必须由血液科医生的诊断，且病历资料显示接受了下列任一治疗：</w:t>
      </w:r>
    </w:p>
    <w:p>
      <w:pPr>
        <w:pStyle w:val="ListParagraph"/>
        <w:numPr>
          <w:ilvl w:val="0"/>
          <w:numId w:val="81"/>
        </w:numPr>
        <w:tabs>
          <w:tab w:pos="3254" w:val="left" w:leader="none"/>
          <w:tab w:pos="3255" w:val="left" w:leader="none"/>
        </w:tabs>
        <w:spacing w:line="240" w:lineRule="auto" w:before="156" w:after="0"/>
        <w:ind w:left="3254" w:right="0" w:hanging="722"/>
        <w:jc w:val="left"/>
        <w:rPr>
          <w:sz w:val="21"/>
        </w:rPr>
      </w:pPr>
      <w:r>
        <w:rPr>
          <w:spacing w:val="-3"/>
          <w:sz w:val="21"/>
        </w:rPr>
        <w:t>骨髓刺激疗法至少一个月；</w:t>
      </w:r>
    </w:p>
    <w:p>
      <w:pPr>
        <w:pStyle w:val="BodyText"/>
        <w:spacing w:before="7"/>
        <w:rPr>
          <w:sz w:val="15"/>
        </w:rPr>
      </w:pPr>
    </w:p>
    <w:p>
      <w:pPr>
        <w:pStyle w:val="ListParagraph"/>
        <w:numPr>
          <w:ilvl w:val="0"/>
          <w:numId w:val="81"/>
        </w:numPr>
        <w:tabs>
          <w:tab w:pos="3254" w:val="left" w:leader="none"/>
          <w:tab w:pos="3255" w:val="left" w:leader="none"/>
        </w:tabs>
        <w:spacing w:line="240" w:lineRule="auto" w:before="0" w:after="0"/>
        <w:ind w:left="3254" w:right="0" w:hanging="722"/>
        <w:jc w:val="left"/>
        <w:rPr>
          <w:sz w:val="21"/>
        </w:rPr>
      </w:pPr>
      <w:r>
        <w:rPr>
          <w:spacing w:val="-3"/>
          <w:sz w:val="21"/>
        </w:rPr>
        <w:t>免疫抑制剂治疗至少一个月；</w:t>
      </w:r>
    </w:p>
    <w:p>
      <w:pPr>
        <w:pStyle w:val="BodyText"/>
        <w:spacing w:before="7"/>
        <w:rPr>
          <w:sz w:val="15"/>
        </w:rPr>
      </w:pPr>
    </w:p>
    <w:p>
      <w:pPr>
        <w:pStyle w:val="ListParagraph"/>
        <w:numPr>
          <w:ilvl w:val="0"/>
          <w:numId w:val="81"/>
        </w:numPr>
        <w:tabs>
          <w:tab w:pos="3254" w:val="left" w:leader="none"/>
          <w:tab w:pos="3255" w:val="left" w:leader="none"/>
        </w:tabs>
        <w:spacing w:line="240" w:lineRule="auto" w:before="0" w:after="0"/>
        <w:ind w:left="3254" w:right="0" w:hanging="722"/>
        <w:jc w:val="left"/>
        <w:rPr>
          <w:sz w:val="21"/>
        </w:rPr>
      </w:pPr>
      <w:r>
        <w:rPr>
          <w:spacing w:val="-4"/>
          <w:sz w:val="21"/>
        </w:rPr>
        <w:t>接受了骨髓移植。</w:t>
      </w:r>
    </w:p>
    <w:p>
      <w:pPr>
        <w:pStyle w:val="BodyText"/>
        <w:spacing w:before="7"/>
        <w:rPr>
          <w:sz w:val="15"/>
        </w:rPr>
      </w:pPr>
    </w:p>
    <w:p>
      <w:pPr>
        <w:pStyle w:val="Heading2"/>
        <w:numPr>
          <w:ilvl w:val="0"/>
          <w:numId w:val="75"/>
        </w:numPr>
        <w:tabs>
          <w:tab w:pos="3169" w:val="left" w:leader="none"/>
        </w:tabs>
        <w:spacing w:line="240" w:lineRule="auto" w:before="0" w:after="0"/>
        <w:ind w:left="3168" w:right="0" w:hanging="636"/>
        <w:jc w:val="left"/>
      </w:pPr>
      <w:r>
        <w:rPr>
          <w:spacing w:val="-2"/>
        </w:rPr>
        <w:t>单侧肺脏切除术：</w:t>
      </w:r>
    </w:p>
    <w:p>
      <w:pPr>
        <w:pStyle w:val="BodyText"/>
        <w:spacing w:before="12"/>
        <w:rPr>
          <w:b/>
          <w:sz w:val="9"/>
        </w:rPr>
      </w:pPr>
    </w:p>
    <w:p>
      <w:pPr>
        <w:pStyle w:val="BodyText"/>
        <w:spacing w:line="278" w:lineRule="auto" w:before="71"/>
        <w:ind w:left="2533" w:right="356"/>
      </w:pPr>
      <w:r>
        <w:rPr>
          <w:color w:val="000000"/>
          <w:spacing w:val="-2"/>
          <w:shd w:fill="E4E4E4" w:color="auto" w:val="clear"/>
        </w:rPr>
        <w:t>因疾病或意外事故实际实施的一侧肺脏切除术，恶性肿瘤、部分切除手术和肺脏捐</w:t>
      </w:r>
      <w:r>
        <w:rPr>
          <w:color w:val="000000"/>
          <w:spacing w:val="80"/>
          <w:w w:val="150"/>
          <w:shd w:fill="E4E4E4" w:color="auto" w:val="clear"/>
        </w:rPr>
        <w:t>                                         </w:t>
      </w:r>
      <w:r>
        <w:rPr>
          <w:color w:val="000000"/>
          <w:spacing w:val="-2"/>
          <w:shd w:fill="E4E4E4" w:color="auto" w:val="clear"/>
        </w:rPr>
        <w:t>献引起的手术不在保障范围内。</w:t>
      </w:r>
    </w:p>
    <w:p>
      <w:pPr>
        <w:pStyle w:val="Heading2"/>
        <w:numPr>
          <w:ilvl w:val="0"/>
          <w:numId w:val="75"/>
        </w:numPr>
        <w:tabs>
          <w:tab w:pos="3169" w:val="left" w:leader="none"/>
        </w:tabs>
        <w:spacing w:line="240" w:lineRule="auto" w:before="156" w:after="0"/>
        <w:ind w:left="3168" w:right="0" w:hanging="636"/>
        <w:jc w:val="left"/>
      </w:pPr>
      <w:r>
        <w:rPr>
          <w:spacing w:val="-3"/>
        </w:rPr>
        <w:t>轻度脑炎或脑膜炎后遗症：</w:t>
      </w:r>
    </w:p>
    <w:p>
      <w:pPr>
        <w:pStyle w:val="BodyText"/>
        <w:spacing w:before="7"/>
        <w:rPr>
          <w:b/>
          <w:sz w:val="15"/>
        </w:rPr>
      </w:pPr>
    </w:p>
    <w:p>
      <w:pPr>
        <w:pStyle w:val="BodyText"/>
        <w:spacing w:line="278" w:lineRule="auto"/>
        <w:ind w:left="2533" w:right="356"/>
        <w:jc w:val="both"/>
      </w:pPr>
      <w:r>
        <w:rPr>
          <w:spacing w:val="2"/>
          <w:w w:val="100"/>
        </w:rPr>
        <w:t>指因患脑炎或脑膜炎导致的神经系统的永久功能障碍。神经系统永久性的功能障</w:t>
      </w:r>
      <w:r>
        <w:rPr>
          <w:spacing w:val="-3"/>
          <w:w w:val="100"/>
        </w:rPr>
        <w:t>碍，指疾病确诊</w:t>
      </w:r>
      <w:r>
        <w:rPr>
          <w:spacing w:val="-52"/>
        </w:rPr>
        <w:t> </w:t>
      </w:r>
      <w:r>
        <w:rPr>
          <w:spacing w:val="-3"/>
          <w:w w:val="100"/>
        </w:rPr>
        <w:t>1</w:t>
      </w:r>
      <w:r>
        <w:rPr>
          <w:w w:val="100"/>
        </w:rPr>
        <w:t>80</w:t>
      </w:r>
      <w:r>
        <w:rPr>
          <w:spacing w:val="-53"/>
        </w:rPr>
        <w:t> </w:t>
      </w:r>
      <w:r>
        <w:rPr>
          <w:spacing w:val="-4"/>
          <w:w w:val="100"/>
        </w:rPr>
        <w:t>天后，仍存在自主活动能力严重丧失，无法独立完成六项基本</w:t>
      </w:r>
      <w:r>
        <w:rPr>
          <w:spacing w:val="-3"/>
          <w:w w:val="100"/>
        </w:rPr>
        <w:t>日常生活活动中的二项或二项以上。</w:t>
      </w:r>
    </w:p>
    <w:p>
      <w:pPr>
        <w:pStyle w:val="Heading2"/>
        <w:numPr>
          <w:ilvl w:val="0"/>
          <w:numId w:val="75"/>
        </w:numPr>
        <w:tabs>
          <w:tab w:pos="3169" w:val="left" w:leader="none"/>
        </w:tabs>
        <w:spacing w:line="240" w:lineRule="auto" w:before="156" w:after="0"/>
        <w:ind w:left="3168" w:right="0" w:hanging="636"/>
        <w:jc w:val="left"/>
      </w:pPr>
      <w:r>
        <w:rPr>
          <w:spacing w:val="-3"/>
        </w:rPr>
        <w:t>轻度阿尔茨海默病：</w:t>
      </w:r>
    </w:p>
    <w:p>
      <w:pPr>
        <w:pStyle w:val="BodyText"/>
        <w:spacing w:before="6"/>
        <w:rPr>
          <w:b/>
          <w:sz w:val="15"/>
        </w:rPr>
      </w:pPr>
    </w:p>
    <w:p>
      <w:pPr>
        <w:pStyle w:val="BodyText"/>
        <w:spacing w:line="278" w:lineRule="auto" w:before="1"/>
        <w:ind w:left="2533" w:right="356"/>
        <w:jc w:val="both"/>
      </w:pPr>
      <w:r>
        <w:rPr>
          <w:spacing w:val="-2"/>
        </w:rPr>
        <w:t>指因大脑进行性、不可逆性改变导致智能严重衰退或丧失，临床表现为明显的认知</w:t>
      </w:r>
      <w:r>
        <w:rPr>
          <w:spacing w:val="-2"/>
        </w:rPr>
        <w:t>能力障碍、行为异常和社交能力减退，其日常生活必须持续受到他人监护。须由头</w:t>
      </w:r>
      <w:r>
        <w:rPr>
          <w:spacing w:val="-6"/>
        </w:rPr>
        <w:t>颅断层扫描</w:t>
      </w:r>
      <w:r>
        <w:rPr>
          <w:spacing w:val="21"/>
        </w:rPr>
        <w:t>（</w:t>
      </w:r>
      <w:r>
        <w:rPr>
          <w:spacing w:val="18"/>
        </w:rPr>
        <w:t>C</w:t>
      </w:r>
      <w:r>
        <w:rPr>
          <w:spacing w:val="21"/>
        </w:rPr>
        <w:t>T</w:t>
      </w:r>
      <w:r>
        <w:rPr>
          <w:spacing w:val="-85"/>
        </w:rPr>
        <w:t>）</w:t>
      </w:r>
      <w:r>
        <w:rPr>
          <w:spacing w:val="-6"/>
        </w:rPr>
        <w:t>、核磁共振检查（MRI）或正电子发射断层扫描（PET）等影像学检</w:t>
      </w:r>
      <w:r>
        <w:rPr>
          <w:spacing w:val="-2"/>
        </w:rPr>
        <w:t>查证实，且自主生活能力严重丧失，无法独立完成六项基本日常生活活动中的二项</w:t>
      </w:r>
      <w:r>
        <w:rPr>
          <w:spacing w:val="-2"/>
        </w:rPr>
        <w:t>或二项以上。</w:t>
      </w:r>
    </w:p>
    <w:p>
      <w:pPr>
        <w:pStyle w:val="BodyText"/>
        <w:spacing w:before="155"/>
        <w:ind w:left="2533"/>
      </w:pPr>
      <w:r>
        <w:rPr>
          <w:color w:val="000000"/>
          <w:spacing w:val="-3"/>
          <w:shd w:fill="E4E4E4" w:color="auto" w:val="clear"/>
        </w:rPr>
        <w:t>神经官能症和精神疾病不在保障范围内。</w:t>
      </w:r>
    </w:p>
    <w:p>
      <w:pPr>
        <w:pStyle w:val="BodyText"/>
        <w:spacing w:before="7"/>
        <w:rPr>
          <w:sz w:val="15"/>
        </w:rPr>
      </w:pPr>
    </w:p>
    <w:p>
      <w:pPr>
        <w:pStyle w:val="Heading2"/>
        <w:numPr>
          <w:ilvl w:val="0"/>
          <w:numId w:val="75"/>
        </w:numPr>
        <w:tabs>
          <w:tab w:pos="3169" w:val="left" w:leader="none"/>
        </w:tabs>
        <w:spacing w:line="240" w:lineRule="auto" w:before="0" w:after="0"/>
        <w:ind w:left="3168" w:right="0" w:hanging="636"/>
        <w:jc w:val="left"/>
      </w:pPr>
      <w:r>
        <w:rPr>
          <w:spacing w:val="-2"/>
        </w:rPr>
        <w:t>出血性登革热：</w:t>
      </w:r>
    </w:p>
    <w:p>
      <w:pPr>
        <w:pStyle w:val="BodyText"/>
        <w:spacing w:before="7"/>
        <w:rPr>
          <w:b/>
          <w:sz w:val="15"/>
        </w:rPr>
      </w:pPr>
    </w:p>
    <w:p>
      <w:pPr>
        <w:pStyle w:val="BodyText"/>
        <w:spacing w:line="278" w:lineRule="auto"/>
        <w:ind w:left="2533" w:right="355"/>
        <w:jc w:val="both"/>
      </w:pPr>
      <w:r>
        <w:rPr>
          <w:spacing w:val="-13"/>
        </w:rPr>
        <w:t>出血性登革热须出现全部四种症状，包括发高烧、出血现象、肝肿大和循环衰竭</w:t>
      </w:r>
      <w:r>
        <w:rPr>
          <w:spacing w:val="-2"/>
        </w:rPr>
        <w:t>（登</w:t>
      </w:r>
      <w:r>
        <w:rPr>
          <w:spacing w:val="-2"/>
        </w:rPr>
        <w:t>革热休克综合症即符合 </w:t>
      </w:r>
      <w:r>
        <w:rPr/>
        <w:t>WHO</w:t>
      </w:r>
      <w:r>
        <w:rPr>
          <w:spacing w:val="-4"/>
        </w:rPr>
        <w:t> 登革热第Ⅲ级及第Ⅳ级</w:t>
      </w:r>
      <w:r>
        <w:rPr>
          <w:spacing w:val="-108"/>
        </w:rPr>
        <w:t>）</w:t>
      </w:r>
      <w:r>
        <w:rPr/>
        <w:t>。出血性登革热的诊断必须由</w:t>
      </w:r>
      <w:r>
        <w:rPr>
          <w:spacing w:val="-2"/>
        </w:rPr>
        <w:t>本公司指定或认可的医疗机构的专科医生证实。</w:t>
      </w:r>
    </w:p>
    <w:p>
      <w:pPr>
        <w:pStyle w:val="BodyText"/>
        <w:spacing w:before="156"/>
        <w:ind w:left="2533"/>
      </w:pPr>
      <w:r>
        <w:rPr>
          <w:color w:val="000000"/>
          <w:spacing w:val="-3"/>
          <w:shd w:fill="E4E4E4" w:color="auto" w:val="clear"/>
        </w:rPr>
        <w:t>非出血性登革热不在保障范围内。</w:t>
      </w:r>
    </w:p>
    <w:p>
      <w:pPr>
        <w:pStyle w:val="BodyText"/>
        <w:spacing w:before="6"/>
        <w:rPr>
          <w:sz w:val="15"/>
        </w:rPr>
      </w:pPr>
    </w:p>
    <w:p>
      <w:pPr>
        <w:pStyle w:val="Heading2"/>
        <w:numPr>
          <w:ilvl w:val="0"/>
          <w:numId w:val="75"/>
        </w:numPr>
        <w:tabs>
          <w:tab w:pos="3169" w:val="left" w:leader="none"/>
        </w:tabs>
        <w:spacing w:line="240" w:lineRule="auto" w:before="1" w:after="0"/>
        <w:ind w:left="3168" w:right="0" w:hanging="636"/>
        <w:jc w:val="left"/>
      </w:pPr>
      <w:r>
        <w:rPr>
          <w:spacing w:val="-3"/>
        </w:rPr>
        <w:t>全身中度面积Ⅲ度烧伤：</w:t>
      </w:r>
    </w:p>
    <w:p>
      <w:pPr>
        <w:spacing w:after="0" w:line="240" w:lineRule="auto"/>
        <w:jc w:val="left"/>
        <w:sectPr>
          <w:pgSz w:w="11910" w:h="16840"/>
          <w:pgMar w:header="0" w:footer="659" w:top="1400" w:bottom="840" w:left="920" w:right="540"/>
        </w:sectPr>
      </w:pPr>
    </w:p>
    <w:p>
      <w:pPr>
        <w:pStyle w:val="BodyText"/>
        <w:spacing w:line="278" w:lineRule="auto" w:before="44"/>
        <w:ind w:left="2533" w:right="358"/>
        <w:jc w:val="both"/>
      </w:pPr>
      <w:r>
        <w:rPr>
          <w:spacing w:val="-2"/>
        </w:rPr>
        <w:t>指烧伤程度为Ⅲ度，即全层皮肤烧伤，包括表皮、真皮和皮下组织，且Ⅲ度烧伤的</w:t>
      </w:r>
      <w:r>
        <w:rPr>
          <w:spacing w:val="-7"/>
        </w:rPr>
        <w:t>面积达到全身体表面积的 </w:t>
      </w:r>
      <w:r>
        <w:rPr>
          <w:spacing w:val="-6"/>
        </w:rPr>
        <w:t>15%</w:t>
      </w:r>
      <w:r>
        <w:rPr>
          <w:spacing w:val="-8"/>
        </w:rPr>
        <w:t>或 </w:t>
      </w:r>
      <w:r>
        <w:rPr>
          <w:spacing w:val="-6"/>
        </w:rPr>
        <w:t>15%以上，且未达到重大疾病“严重Ⅲ度烧伤”的给</w:t>
      </w:r>
      <w:r>
        <w:rPr>
          <w:spacing w:val="-2"/>
        </w:rPr>
        <w:t>付标准。体表面积根据《中国新九分法》计算。</w:t>
      </w:r>
    </w:p>
    <w:p>
      <w:pPr>
        <w:pStyle w:val="Heading2"/>
        <w:numPr>
          <w:ilvl w:val="0"/>
          <w:numId w:val="75"/>
        </w:numPr>
        <w:tabs>
          <w:tab w:pos="3169" w:val="left" w:leader="none"/>
        </w:tabs>
        <w:spacing w:line="240" w:lineRule="auto" w:before="156" w:after="0"/>
        <w:ind w:left="3168" w:right="0" w:hanging="636"/>
        <w:jc w:val="left"/>
      </w:pPr>
      <w:r>
        <w:rPr>
          <w:w w:val="95"/>
        </w:rPr>
        <w:t>深</w:t>
      </w:r>
      <w:r>
        <w:rPr>
          <w:w w:val="95"/>
        </w:rPr>
        <w:t>度</w:t>
      </w:r>
      <w:r>
        <w:rPr>
          <w:w w:val="95"/>
        </w:rPr>
        <w:t>昏</w:t>
      </w:r>
      <w:r>
        <w:rPr>
          <w:w w:val="95"/>
        </w:rPr>
        <w:t>迷</w:t>
      </w:r>
      <w:r>
        <w:rPr>
          <w:spacing w:val="-12"/>
          <w:w w:val="95"/>
        </w:rPr>
        <w:t> </w:t>
      </w:r>
      <w:r>
        <w:rPr>
          <w:w w:val="95"/>
        </w:rPr>
        <w:t>72</w:t>
      </w:r>
      <w:r>
        <w:rPr>
          <w:spacing w:val="-13"/>
          <w:w w:val="95"/>
        </w:rPr>
        <w:t> </w:t>
      </w:r>
      <w:r>
        <w:rPr>
          <w:w w:val="95"/>
        </w:rPr>
        <w:t>小</w:t>
      </w:r>
      <w:r>
        <w:rPr>
          <w:w w:val="95"/>
        </w:rPr>
        <w:t>时</w:t>
      </w:r>
      <w:r>
        <w:rPr>
          <w:spacing w:val="-10"/>
          <w:w w:val="95"/>
        </w:rPr>
        <w:t>：</w:t>
      </w:r>
    </w:p>
    <w:p>
      <w:pPr>
        <w:pStyle w:val="BodyText"/>
        <w:spacing w:before="7"/>
        <w:rPr>
          <w:b/>
          <w:sz w:val="15"/>
        </w:rPr>
      </w:pPr>
    </w:p>
    <w:p>
      <w:pPr>
        <w:pStyle w:val="BodyText"/>
        <w:spacing w:line="278" w:lineRule="auto"/>
        <w:ind w:left="2533" w:right="356"/>
        <w:jc w:val="both"/>
      </w:pPr>
      <w:r>
        <w:rPr>
          <w:spacing w:val="-2"/>
        </w:rPr>
        <w:t>处于昏迷的状态，对外界刺激或体内需求无反应，并已经使用插管和机械性呼吸的</w:t>
      </w:r>
      <w:r>
        <w:rPr>
          <w:spacing w:val="-3"/>
        </w:rPr>
        <w:t>方法来维持生命 </w:t>
      </w:r>
      <w:r>
        <w:rPr/>
        <w:t>72</w:t>
      </w:r>
      <w:r>
        <w:rPr>
          <w:spacing w:val="-5"/>
        </w:rPr>
        <w:t> 个小时。昏迷的诊断及有关证明必须由本公司认可医院的神经</w:t>
      </w:r>
      <w:r>
        <w:rPr>
          <w:spacing w:val="-2"/>
        </w:rPr>
        <w:t>科专科医生确定，但未达到本合同所指重大疾病“深度昏迷”的标准。</w:t>
      </w:r>
    </w:p>
    <w:p>
      <w:pPr>
        <w:pStyle w:val="BodyText"/>
        <w:spacing w:line="269" w:lineRule="exact"/>
        <w:ind w:left="2533"/>
      </w:pPr>
      <w:r>
        <w:rPr>
          <w:color w:val="000000"/>
          <w:spacing w:val="-3"/>
          <w:shd w:fill="E4E4E4" w:color="auto" w:val="clear"/>
        </w:rPr>
        <w:t>因酗酒或药物滥用导致的昏迷不在保障范围内。</w:t>
      </w:r>
    </w:p>
    <w:p>
      <w:pPr>
        <w:pStyle w:val="BodyText"/>
        <w:spacing w:before="6"/>
        <w:rPr>
          <w:sz w:val="15"/>
        </w:rPr>
      </w:pPr>
    </w:p>
    <w:p>
      <w:pPr>
        <w:pStyle w:val="Heading2"/>
        <w:numPr>
          <w:ilvl w:val="0"/>
          <w:numId w:val="75"/>
        </w:numPr>
        <w:tabs>
          <w:tab w:pos="3169" w:val="left" w:leader="none"/>
        </w:tabs>
        <w:spacing w:line="240" w:lineRule="auto" w:before="1" w:after="0"/>
        <w:ind w:left="3168" w:right="0" w:hanging="636"/>
        <w:jc w:val="left"/>
      </w:pPr>
      <w:r>
        <w:rPr>
          <w:spacing w:val="-3"/>
        </w:rPr>
        <w:t>中度强直性脊柱炎：</w:t>
      </w:r>
    </w:p>
    <w:p>
      <w:pPr>
        <w:pStyle w:val="BodyText"/>
        <w:spacing w:before="6"/>
        <w:rPr>
          <w:b/>
          <w:sz w:val="15"/>
        </w:rPr>
      </w:pPr>
    </w:p>
    <w:p>
      <w:pPr>
        <w:pStyle w:val="BodyText"/>
        <w:spacing w:line="278" w:lineRule="auto"/>
        <w:ind w:left="2533" w:right="356"/>
      </w:pPr>
      <w:r>
        <w:rPr>
          <w:spacing w:val="-2"/>
        </w:rPr>
        <w:t>是一种慢性全身性炎性疾病，主要侵犯脊柱导致脊柱畸形。必须明确诊断并且满足</w:t>
      </w:r>
      <w:r>
        <w:rPr>
          <w:spacing w:val="-2"/>
        </w:rPr>
        <w:t>下列全部条件：</w:t>
      </w:r>
    </w:p>
    <w:p>
      <w:pPr>
        <w:pStyle w:val="ListParagraph"/>
        <w:numPr>
          <w:ilvl w:val="0"/>
          <w:numId w:val="82"/>
        </w:numPr>
        <w:tabs>
          <w:tab w:pos="3254" w:val="left" w:leader="none"/>
          <w:tab w:pos="3255" w:val="left" w:leader="none"/>
        </w:tabs>
        <w:spacing w:line="240" w:lineRule="auto" w:before="157" w:after="0"/>
        <w:ind w:left="3254" w:right="0" w:hanging="722"/>
        <w:jc w:val="left"/>
        <w:rPr>
          <w:sz w:val="21"/>
        </w:rPr>
      </w:pPr>
      <w:r>
        <w:rPr>
          <w:spacing w:val="-4"/>
          <w:sz w:val="21"/>
        </w:rPr>
        <w:t>严重脊柱畸形；</w:t>
      </w:r>
    </w:p>
    <w:p>
      <w:pPr>
        <w:pStyle w:val="BodyText"/>
        <w:spacing w:before="6"/>
        <w:rPr>
          <w:sz w:val="15"/>
        </w:rPr>
      </w:pPr>
    </w:p>
    <w:p>
      <w:pPr>
        <w:pStyle w:val="ListParagraph"/>
        <w:numPr>
          <w:ilvl w:val="0"/>
          <w:numId w:val="82"/>
        </w:numPr>
        <w:tabs>
          <w:tab w:pos="3254" w:val="left" w:leader="none"/>
          <w:tab w:pos="3255" w:val="left" w:leader="none"/>
        </w:tabs>
        <w:spacing w:line="278" w:lineRule="auto" w:before="1" w:after="0"/>
        <w:ind w:left="3254" w:right="355" w:hanging="721"/>
        <w:jc w:val="left"/>
        <w:rPr>
          <w:sz w:val="21"/>
        </w:rPr>
      </w:pPr>
      <w:r>
        <w:rPr>
          <w:spacing w:val="-11"/>
          <w:sz w:val="21"/>
        </w:rPr>
        <w:t>自主生活能力严重丧失，无法独立完成六项基本日常生活活动中的二项或二</w:t>
      </w:r>
      <w:r>
        <w:rPr>
          <w:spacing w:val="-4"/>
          <w:sz w:val="21"/>
        </w:rPr>
        <w:t>项以上。</w:t>
      </w:r>
    </w:p>
    <w:p>
      <w:pPr>
        <w:pStyle w:val="Heading2"/>
        <w:numPr>
          <w:ilvl w:val="0"/>
          <w:numId w:val="75"/>
        </w:numPr>
        <w:tabs>
          <w:tab w:pos="3169" w:val="left" w:leader="none"/>
        </w:tabs>
        <w:spacing w:line="240" w:lineRule="auto" w:before="155" w:after="0"/>
        <w:ind w:left="3168" w:right="0" w:hanging="636"/>
        <w:jc w:val="left"/>
      </w:pPr>
      <w:r>
        <w:rPr>
          <w:spacing w:val="-3"/>
        </w:rPr>
        <w:t>中度严重脊髓灰质炎：</w:t>
      </w:r>
    </w:p>
    <w:p>
      <w:pPr>
        <w:pStyle w:val="BodyText"/>
        <w:spacing w:before="7"/>
        <w:rPr>
          <w:b/>
          <w:sz w:val="15"/>
        </w:rPr>
      </w:pPr>
    </w:p>
    <w:p>
      <w:pPr>
        <w:pStyle w:val="BodyText"/>
        <w:spacing w:line="278" w:lineRule="auto"/>
        <w:ind w:left="2533" w:right="356"/>
      </w:pPr>
      <w:r>
        <w:rPr>
          <w:spacing w:val="-2"/>
        </w:rPr>
        <w:t>脊髓灰质炎是由于脊髓灰质炎病毒感染所致的瘫痪性疾病，临床表现为运动功能损</w:t>
      </w:r>
      <w:r>
        <w:rPr>
          <w:spacing w:val="-2"/>
        </w:rPr>
        <w:t>害或呼吸无力。脊髓灰质炎必须明确诊断。</w:t>
      </w:r>
    </w:p>
    <w:p>
      <w:pPr>
        <w:pStyle w:val="BodyText"/>
        <w:spacing w:line="278" w:lineRule="auto"/>
        <w:ind w:left="2533" w:right="357"/>
      </w:pPr>
      <w:r>
        <w:rPr>
          <w:spacing w:val="2"/>
          <w:w w:val="100"/>
        </w:rPr>
        <w:t>本合同仅对脊髓灰质炎造成的神经系统功能损害导致被保险人一肢或一肢以上肢</w:t>
      </w:r>
      <w:r>
        <w:rPr>
          <w:spacing w:val="-3"/>
          <w:w w:val="100"/>
        </w:rPr>
        <w:t>体机能永久完全丧失的情况予以理赔。</w:t>
      </w:r>
    </w:p>
    <w:p>
      <w:pPr>
        <w:pStyle w:val="BodyText"/>
        <w:spacing w:line="278" w:lineRule="auto"/>
        <w:ind w:left="2533" w:right="356"/>
      </w:pPr>
      <w:r>
        <w:rPr>
          <w:spacing w:val="-4"/>
        </w:rPr>
        <w:t>肢体机能永久完全丧失，指疾病确诊 </w:t>
      </w:r>
      <w:r>
        <w:rPr>
          <w:spacing w:val="-2"/>
        </w:rPr>
        <w:t>180</w:t>
      </w:r>
      <w:r>
        <w:rPr>
          <w:spacing w:val="-8"/>
        </w:rPr>
        <w:t> 天后，每肢三大关节中的至少一个大关节</w:t>
      </w:r>
      <w:r>
        <w:rPr>
          <w:spacing w:val="-2"/>
        </w:rPr>
        <w:t>仍然完全僵硬，或不能随意识活动。</w:t>
      </w:r>
    </w:p>
    <w:p>
      <w:pPr>
        <w:pStyle w:val="Heading2"/>
        <w:numPr>
          <w:ilvl w:val="0"/>
          <w:numId w:val="75"/>
        </w:numPr>
        <w:tabs>
          <w:tab w:pos="3169" w:val="left" w:leader="none"/>
        </w:tabs>
        <w:spacing w:line="240" w:lineRule="auto" w:before="156" w:after="0"/>
        <w:ind w:left="3168" w:right="0" w:hanging="636"/>
        <w:jc w:val="left"/>
      </w:pPr>
      <w:r>
        <w:rPr>
          <w:spacing w:val="-3"/>
        </w:rPr>
        <w:t>因肾上腺皮脂腺瘤切除肾上腺：</w:t>
      </w:r>
    </w:p>
    <w:p>
      <w:pPr>
        <w:pStyle w:val="BodyText"/>
        <w:spacing w:before="6"/>
        <w:rPr>
          <w:b/>
          <w:sz w:val="15"/>
        </w:rPr>
      </w:pPr>
    </w:p>
    <w:p>
      <w:pPr>
        <w:pStyle w:val="BodyText"/>
        <w:spacing w:line="278" w:lineRule="auto" w:before="1"/>
        <w:ind w:left="2533" w:right="356"/>
        <w:jc w:val="both"/>
      </w:pPr>
      <w:r>
        <w:rPr>
          <w:spacing w:val="1"/>
          <w:w w:val="100"/>
        </w:rPr>
        <w:t>因肾上腺皮脂腺瘤所导致的醛固酮分泌过多而产生的继发性恶性高血压而实际接</w:t>
      </w:r>
      <w:r>
        <w:rPr>
          <w:spacing w:val="-5"/>
          <w:w w:val="100"/>
        </w:rPr>
        <w:t>受了肾上腺切除术治疗。此诊断及治疗均须在本公司指定或认可的医疗机构内由专</w:t>
      </w:r>
      <w:r>
        <w:rPr>
          <w:spacing w:val="-4"/>
          <w:w w:val="100"/>
        </w:rPr>
        <w:t>科医生认为是医疗必需的情况下进行。</w:t>
      </w:r>
    </w:p>
    <w:p>
      <w:pPr>
        <w:pStyle w:val="Heading2"/>
        <w:numPr>
          <w:ilvl w:val="0"/>
          <w:numId w:val="75"/>
        </w:numPr>
        <w:tabs>
          <w:tab w:pos="3169" w:val="left" w:leader="none"/>
        </w:tabs>
        <w:spacing w:line="240" w:lineRule="auto" w:before="155" w:after="0"/>
        <w:ind w:left="3168" w:right="0" w:hanging="636"/>
        <w:jc w:val="left"/>
      </w:pPr>
      <w:r>
        <w:rPr>
          <w:spacing w:val="-2"/>
        </w:rPr>
        <w:t>中度脑损伤：</w:t>
      </w:r>
    </w:p>
    <w:p>
      <w:pPr>
        <w:pStyle w:val="BodyText"/>
        <w:spacing w:before="7"/>
        <w:rPr>
          <w:b/>
          <w:sz w:val="15"/>
        </w:rPr>
      </w:pPr>
    </w:p>
    <w:p>
      <w:pPr>
        <w:pStyle w:val="BodyText"/>
        <w:spacing w:line="278" w:lineRule="auto"/>
        <w:ind w:left="2533" w:right="250"/>
      </w:pPr>
      <w:r>
        <w:rPr>
          <w:spacing w:val="-10"/>
        </w:rPr>
        <w:t>指因头部遭受机械性外力，引起脑重要部位损伤，导致神经系统永久性的功能障碍。</w:t>
      </w:r>
      <w:r>
        <w:rPr>
          <w:spacing w:val="-4"/>
        </w:rPr>
        <w:t>须由头颅断层扫描</w:t>
      </w:r>
      <w:r>
        <w:rPr>
          <w:spacing w:val="20"/>
        </w:rPr>
        <w:t>（</w:t>
      </w:r>
      <w:r>
        <w:rPr>
          <w:spacing w:val="23"/>
        </w:rPr>
        <w:t>CT</w:t>
      </w:r>
      <w:r>
        <w:rPr>
          <w:spacing w:val="-85"/>
        </w:rPr>
        <w:t>）</w:t>
      </w:r>
      <w:r>
        <w:rPr>
          <w:spacing w:val="-4"/>
        </w:rPr>
        <w:t>、核磁共振检查（MRI）或正电子发射断层扫描（PET）等影</w:t>
      </w:r>
      <w:r>
        <w:rPr>
          <w:spacing w:val="-2"/>
        </w:rPr>
        <w:t>像学检查证实。</w:t>
      </w:r>
    </w:p>
    <w:p>
      <w:pPr>
        <w:pStyle w:val="BodyText"/>
        <w:spacing w:line="278" w:lineRule="auto"/>
        <w:ind w:left="2533" w:right="253"/>
      </w:pPr>
      <w:r>
        <w:rPr>
          <w:spacing w:val="-2"/>
        </w:rPr>
        <w:t>神经系统永久性的功能障碍，指脑损伤 </w:t>
      </w:r>
      <w:r>
        <w:rPr/>
        <w:t>180</w:t>
      </w:r>
      <w:r>
        <w:rPr>
          <w:spacing w:val="-5"/>
        </w:rPr>
        <w:t> 天后，仍部分丧失自主生活能力，无法</w:t>
      </w:r>
      <w:r>
        <w:rPr>
          <w:spacing w:val="-7"/>
        </w:rPr>
        <w:t>独立完成六项基本日常生活活动中的二项或以上，但未达到重大疾病“严重脑损伤”</w:t>
      </w:r>
      <w:r>
        <w:rPr>
          <w:spacing w:val="-2"/>
        </w:rPr>
        <w:t>的给付标准。</w:t>
      </w:r>
    </w:p>
    <w:p>
      <w:pPr>
        <w:pStyle w:val="Heading2"/>
        <w:numPr>
          <w:ilvl w:val="0"/>
          <w:numId w:val="75"/>
        </w:numPr>
        <w:tabs>
          <w:tab w:pos="3169" w:val="left" w:leader="none"/>
        </w:tabs>
        <w:spacing w:line="240" w:lineRule="auto" w:before="156" w:after="0"/>
        <w:ind w:left="3168" w:right="0" w:hanging="636"/>
        <w:jc w:val="left"/>
      </w:pPr>
      <w:r>
        <w:rPr>
          <w:spacing w:val="-2"/>
        </w:rPr>
        <w:t>肺功能衰竭：</w:t>
      </w:r>
    </w:p>
    <w:p>
      <w:pPr>
        <w:pStyle w:val="BodyText"/>
        <w:spacing w:before="6"/>
        <w:rPr>
          <w:b/>
          <w:sz w:val="15"/>
        </w:rPr>
      </w:pPr>
    </w:p>
    <w:p>
      <w:pPr>
        <w:pStyle w:val="BodyText"/>
        <w:spacing w:before="1"/>
        <w:ind w:left="2533"/>
      </w:pPr>
      <w:r>
        <w:rPr>
          <w:spacing w:val="-3"/>
        </w:rPr>
        <w:t>指因慢性呼吸系统疾病导致呼吸功能衰竭，且诊断必须满足以下所有条件：</w:t>
      </w:r>
    </w:p>
    <w:p>
      <w:pPr>
        <w:pStyle w:val="ListParagraph"/>
        <w:numPr>
          <w:ilvl w:val="0"/>
          <w:numId w:val="83"/>
        </w:numPr>
        <w:tabs>
          <w:tab w:pos="3254" w:val="left" w:leader="none"/>
          <w:tab w:pos="3255" w:val="left" w:leader="none"/>
        </w:tabs>
        <w:spacing w:line="240" w:lineRule="auto" w:before="93" w:after="0"/>
        <w:ind w:left="3254" w:right="0" w:hanging="722"/>
        <w:jc w:val="left"/>
        <w:rPr>
          <w:sz w:val="21"/>
        </w:rPr>
      </w:pPr>
      <w:r>
        <w:rPr>
          <w:sz w:val="21"/>
        </w:rPr>
        <w:t>第一秒末用力呼吸量（FEV1）</w:t>
      </w:r>
      <w:r>
        <w:rPr>
          <w:spacing w:val="-5"/>
          <w:sz w:val="21"/>
        </w:rPr>
        <w:t>小于 </w:t>
      </w:r>
      <w:r>
        <w:rPr>
          <w:sz w:val="21"/>
        </w:rPr>
        <w:t>1</w:t>
      </w:r>
      <w:r>
        <w:rPr>
          <w:spacing w:val="-8"/>
          <w:sz w:val="21"/>
        </w:rPr>
        <w:t> 升；</w:t>
      </w:r>
    </w:p>
    <w:p>
      <w:pPr>
        <w:pStyle w:val="ListParagraph"/>
        <w:numPr>
          <w:ilvl w:val="0"/>
          <w:numId w:val="83"/>
        </w:numPr>
        <w:tabs>
          <w:tab w:pos="3254" w:val="left" w:leader="none"/>
          <w:tab w:pos="3255" w:val="left" w:leader="none"/>
        </w:tabs>
        <w:spacing w:line="240" w:lineRule="auto" w:before="93" w:after="0"/>
        <w:ind w:left="3254" w:right="0" w:hanging="722"/>
        <w:jc w:val="left"/>
        <w:rPr>
          <w:sz w:val="21"/>
        </w:rPr>
      </w:pPr>
      <w:r>
        <w:rPr>
          <w:sz w:val="21"/>
        </w:rPr>
        <w:t>残气容积占肺总量（TLC）</w:t>
      </w:r>
      <w:r>
        <w:rPr>
          <w:spacing w:val="-12"/>
          <w:sz w:val="21"/>
        </w:rPr>
        <w:t>的 </w:t>
      </w:r>
      <w:r>
        <w:rPr>
          <w:sz w:val="21"/>
        </w:rPr>
        <w:t>50</w:t>
      </w:r>
      <w:r>
        <w:rPr>
          <w:spacing w:val="-3"/>
          <w:sz w:val="21"/>
        </w:rPr>
        <w:t>%以上；</w:t>
      </w:r>
    </w:p>
    <w:p>
      <w:pPr>
        <w:pStyle w:val="ListParagraph"/>
        <w:numPr>
          <w:ilvl w:val="0"/>
          <w:numId w:val="83"/>
        </w:numPr>
        <w:tabs>
          <w:tab w:pos="3254" w:val="left" w:leader="none"/>
          <w:tab w:pos="3255" w:val="left" w:leader="none"/>
        </w:tabs>
        <w:spacing w:line="240" w:lineRule="auto" w:before="91" w:after="0"/>
        <w:ind w:left="3254" w:right="0" w:hanging="722"/>
        <w:jc w:val="left"/>
        <w:rPr>
          <w:sz w:val="21"/>
        </w:rPr>
      </w:pPr>
      <w:r>
        <w:rPr>
          <w:spacing w:val="-2"/>
          <w:sz w:val="21"/>
        </w:rPr>
        <w:t>PaO2＜60mmHg</w:t>
      </w:r>
      <w:r>
        <w:rPr>
          <w:spacing w:val="-10"/>
          <w:sz w:val="21"/>
        </w:rPr>
        <w:t>。</w:t>
      </w:r>
    </w:p>
    <w:p>
      <w:pPr>
        <w:spacing w:after="0" w:line="240" w:lineRule="auto"/>
        <w:jc w:val="left"/>
        <w:rPr>
          <w:sz w:val="21"/>
        </w:rPr>
        <w:sectPr>
          <w:footerReference w:type="default" r:id="rId27"/>
          <w:pgSz w:w="11910" w:h="16840"/>
          <w:pgMar w:footer="659" w:header="0" w:top="1400" w:bottom="840" w:left="920" w:right="540"/>
        </w:sectPr>
      </w:pPr>
    </w:p>
    <w:p>
      <w:pPr>
        <w:spacing w:before="58"/>
        <w:ind w:left="267" w:right="0" w:firstLine="0"/>
        <w:jc w:val="both"/>
        <w:rPr>
          <w:b/>
          <w:sz w:val="21"/>
        </w:rPr>
      </w:pPr>
      <w:r>
        <w:rPr>
          <w:b/>
          <w:spacing w:val="61"/>
          <w:sz w:val="21"/>
        </w:rPr>
        <w:t>附表三 轻度疾病 </w:t>
      </w:r>
      <w:r>
        <w:rPr>
          <w:b/>
          <w:spacing w:val="-11"/>
          <w:position w:val="1"/>
          <w:sz w:val="21"/>
        </w:rPr>
        <w:t>以下第 </w:t>
      </w:r>
      <w:r>
        <w:rPr>
          <w:b/>
          <w:position w:val="1"/>
          <w:sz w:val="21"/>
        </w:rPr>
        <w:t>1</w:t>
      </w:r>
      <w:r>
        <w:rPr>
          <w:b/>
          <w:spacing w:val="-29"/>
          <w:position w:val="1"/>
          <w:sz w:val="21"/>
        </w:rPr>
        <w:t> 至 </w:t>
      </w:r>
      <w:r>
        <w:rPr>
          <w:b/>
          <w:position w:val="1"/>
          <w:sz w:val="21"/>
        </w:rPr>
        <w:t>3</w:t>
      </w:r>
      <w:r>
        <w:rPr>
          <w:b/>
          <w:spacing w:val="-13"/>
          <w:position w:val="1"/>
          <w:sz w:val="21"/>
        </w:rPr>
        <w:t> 种轻度疾病是 </w:t>
      </w:r>
      <w:r>
        <w:rPr>
          <w:b/>
          <w:position w:val="1"/>
          <w:sz w:val="21"/>
        </w:rPr>
        <w:t>2020</w:t>
      </w:r>
      <w:r>
        <w:rPr>
          <w:b/>
          <w:spacing w:val="-8"/>
          <w:position w:val="1"/>
          <w:sz w:val="21"/>
        </w:rPr>
        <w:t> 版定义规定的轻度疾病，疾病名称、病种名称、</w:t>
      </w:r>
    </w:p>
    <w:p>
      <w:pPr>
        <w:spacing w:line="278" w:lineRule="auto" w:before="35"/>
        <w:ind w:left="2533" w:right="358" w:firstLine="0"/>
        <w:jc w:val="both"/>
        <w:rPr>
          <w:b/>
          <w:sz w:val="21"/>
        </w:rPr>
      </w:pPr>
      <w:r>
        <w:rPr>
          <w:b/>
          <w:w w:val="95"/>
          <w:sz w:val="21"/>
        </w:rPr>
        <w:t>疾</w:t>
      </w:r>
      <w:r>
        <w:rPr>
          <w:b/>
          <w:w w:val="95"/>
          <w:sz w:val="21"/>
        </w:rPr>
        <w:t>病</w:t>
      </w:r>
      <w:r>
        <w:rPr>
          <w:b/>
          <w:w w:val="95"/>
          <w:sz w:val="21"/>
        </w:rPr>
        <w:t>定</w:t>
      </w:r>
      <w:r>
        <w:rPr>
          <w:b/>
          <w:w w:val="95"/>
          <w:sz w:val="21"/>
        </w:rPr>
        <w:t>义</w:t>
      </w:r>
      <w:r>
        <w:rPr>
          <w:b/>
          <w:w w:val="95"/>
          <w:sz w:val="21"/>
        </w:rPr>
        <w:t>与</w:t>
      </w:r>
      <w:r>
        <w:rPr>
          <w:b/>
          <w:w w:val="95"/>
          <w:sz w:val="21"/>
        </w:rPr>
        <w:t> 2020 </w:t>
      </w:r>
      <w:r>
        <w:rPr>
          <w:b/>
          <w:w w:val="95"/>
          <w:sz w:val="21"/>
        </w:rPr>
        <w:t>版</w:t>
      </w:r>
      <w:r>
        <w:rPr>
          <w:b/>
          <w:w w:val="95"/>
          <w:sz w:val="21"/>
        </w:rPr>
        <w:t>定</w:t>
      </w:r>
      <w:r>
        <w:rPr>
          <w:b/>
          <w:w w:val="95"/>
          <w:sz w:val="21"/>
        </w:rPr>
        <w:t>义</w:t>
      </w:r>
      <w:r>
        <w:rPr>
          <w:b/>
          <w:w w:val="95"/>
          <w:sz w:val="21"/>
        </w:rPr>
        <w:t>保</w:t>
      </w:r>
      <w:r>
        <w:rPr>
          <w:b/>
          <w:w w:val="95"/>
          <w:sz w:val="21"/>
        </w:rPr>
        <w:t>持</w:t>
      </w:r>
      <w:r>
        <w:rPr>
          <w:b/>
          <w:w w:val="95"/>
          <w:sz w:val="21"/>
        </w:rPr>
        <w:t>一</w:t>
      </w:r>
      <w:r>
        <w:rPr>
          <w:b/>
          <w:w w:val="95"/>
          <w:sz w:val="21"/>
        </w:rPr>
        <w:t>致</w:t>
      </w:r>
      <w:r>
        <w:rPr>
          <w:b/>
          <w:w w:val="95"/>
          <w:sz w:val="21"/>
        </w:rPr>
        <w:t>，</w:t>
      </w:r>
      <w:r>
        <w:rPr>
          <w:b/>
          <w:w w:val="95"/>
          <w:sz w:val="21"/>
        </w:rPr>
        <w:t>其</w:t>
      </w:r>
      <w:r>
        <w:rPr>
          <w:b/>
          <w:w w:val="95"/>
          <w:sz w:val="21"/>
        </w:rPr>
        <w:t>余</w:t>
      </w:r>
      <w:r>
        <w:rPr>
          <w:b/>
          <w:w w:val="95"/>
          <w:sz w:val="21"/>
        </w:rPr>
        <w:t>轻</w:t>
      </w:r>
      <w:r>
        <w:rPr>
          <w:b/>
          <w:w w:val="95"/>
          <w:sz w:val="21"/>
        </w:rPr>
        <w:t>度疾病是</w:t>
      </w:r>
      <w:r>
        <w:rPr>
          <w:b/>
          <w:w w:val="95"/>
          <w:sz w:val="21"/>
        </w:rPr>
        <w:t>本</w:t>
      </w:r>
      <w:r>
        <w:rPr>
          <w:b/>
          <w:w w:val="95"/>
          <w:sz w:val="21"/>
        </w:rPr>
        <w:t>公</w:t>
      </w:r>
      <w:r>
        <w:rPr>
          <w:b/>
          <w:w w:val="95"/>
          <w:sz w:val="21"/>
        </w:rPr>
        <w:t>司</w:t>
      </w:r>
      <w:r>
        <w:rPr>
          <w:b/>
          <w:w w:val="95"/>
          <w:sz w:val="21"/>
        </w:rPr>
        <w:t>在</w:t>
      </w:r>
      <w:r>
        <w:rPr>
          <w:b/>
          <w:w w:val="95"/>
          <w:sz w:val="21"/>
        </w:rPr>
        <w:t> 2020 </w:t>
      </w:r>
      <w:r>
        <w:rPr>
          <w:b/>
          <w:w w:val="95"/>
          <w:sz w:val="21"/>
        </w:rPr>
        <w:t>版</w:t>
      </w:r>
      <w:r>
        <w:rPr>
          <w:b/>
          <w:w w:val="95"/>
          <w:sz w:val="21"/>
        </w:rPr>
        <w:t>定</w:t>
      </w:r>
      <w:r>
        <w:rPr>
          <w:b/>
          <w:w w:val="95"/>
          <w:sz w:val="21"/>
        </w:rPr>
        <w:t>义</w:t>
      </w:r>
      <w:r>
        <w:rPr>
          <w:b/>
          <w:w w:val="95"/>
          <w:sz w:val="21"/>
        </w:rPr>
        <w:t>规</w:t>
      </w:r>
      <w:r>
        <w:rPr>
          <w:b/>
          <w:w w:val="95"/>
          <w:sz w:val="21"/>
        </w:rPr>
        <w:t>定</w:t>
      </w:r>
      <w:r>
        <w:rPr>
          <w:b/>
          <w:w w:val="95"/>
          <w:sz w:val="21"/>
        </w:rPr>
        <w:t>的</w:t>
      </w:r>
      <w:r>
        <w:rPr>
          <w:b/>
          <w:w w:val="95"/>
          <w:sz w:val="21"/>
        </w:rPr>
        <w:t>轻</w:t>
      </w:r>
      <w:r>
        <w:rPr>
          <w:b/>
          <w:spacing w:val="-2"/>
          <w:sz w:val="21"/>
        </w:rPr>
        <w:t>度疾病范围之外增加的疾病。被保险人发生符合以下疾病定义所述条件的疾病，应</w:t>
      </w:r>
      <w:r>
        <w:rPr>
          <w:b/>
          <w:spacing w:val="-2"/>
          <w:sz w:val="21"/>
        </w:rPr>
        <w:t>当由专科医生明确诊断。</w:t>
      </w:r>
    </w:p>
    <w:p>
      <w:pPr>
        <w:pStyle w:val="ListParagraph"/>
        <w:numPr>
          <w:ilvl w:val="0"/>
          <w:numId w:val="84"/>
        </w:numPr>
        <w:tabs>
          <w:tab w:pos="3063" w:val="left" w:leader="none"/>
        </w:tabs>
        <w:spacing w:line="240" w:lineRule="auto" w:before="156" w:after="0"/>
        <w:ind w:left="3063" w:right="0" w:hanging="530"/>
        <w:jc w:val="left"/>
        <w:rPr>
          <w:b/>
          <w:sz w:val="21"/>
        </w:rPr>
      </w:pPr>
      <w:r>
        <w:rPr>
          <w:b/>
          <w:w w:val="95"/>
          <w:sz w:val="21"/>
        </w:rPr>
        <w:t>恶</w:t>
      </w:r>
      <w:r>
        <w:rPr>
          <w:b/>
          <w:w w:val="95"/>
          <w:sz w:val="21"/>
        </w:rPr>
        <w:t>性</w:t>
      </w:r>
      <w:r>
        <w:rPr>
          <w:b/>
          <w:w w:val="95"/>
          <w:sz w:val="21"/>
        </w:rPr>
        <w:t>肿</w:t>
      </w:r>
      <w:r>
        <w:rPr>
          <w:b/>
          <w:w w:val="95"/>
          <w:sz w:val="21"/>
        </w:rPr>
        <w:t>瘤</w:t>
      </w:r>
      <w:r>
        <w:rPr>
          <w:b/>
          <w:w w:val="95"/>
          <w:sz w:val="21"/>
        </w:rPr>
        <w:t>-</w:t>
      </w:r>
      <w:r>
        <w:rPr>
          <w:b/>
          <w:w w:val="95"/>
          <w:sz w:val="21"/>
        </w:rPr>
        <w:t>轻</w:t>
      </w:r>
      <w:r>
        <w:rPr>
          <w:b/>
          <w:w w:val="95"/>
          <w:sz w:val="21"/>
        </w:rPr>
        <w:t>度</w:t>
      </w:r>
      <w:r>
        <w:rPr>
          <w:b/>
          <w:spacing w:val="-10"/>
          <w:w w:val="95"/>
          <w:sz w:val="21"/>
        </w:rPr>
        <w:t>：</w:t>
      </w:r>
    </w:p>
    <w:p>
      <w:pPr>
        <w:pStyle w:val="BodyText"/>
        <w:spacing w:before="7"/>
        <w:rPr>
          <w:b/>
          <w:sz w:val="15"/>
        </w:rPr>
      </w:pPr>
    </w:p>
    <w:p>
      <w:pPr>
        <w:pStyle w:val="BodyText"/>
        <w:spacing w:line="278" w:lineRule="auto"/>
        <w:ind w:left="2533" w:right="253"/>
      </w:pPr>
      <w:r>
        <w:rPr>
          <w:spacing w:val="-8"/>
        </w:rPr>
        <w:t>指恶性细胞不受控制的进行性增长和扩散，浸润和破坏周围正常组织，可以经血管、</w:t>
      </w:r>
      <w:r>
        <w:rPr>
          <w:spacing w:val="-2"/>
        </w:rPr>
        <w:t>淋巴管和体腔扩散转移到身体其它部位，病灶经组织病理学检查（涵盖骨髓病理学</w:t>
      </w:r>
      <w:r>
        <w:rPr>
          <w:spacing w:val="33"/>
        </w:rPr>
        <w:t>检查</w:t>
      </w:r>
      <w:r>
        <w:rPr/>
        <w:t>）</w:t>
      </w:r>
      <w:r>
        <w:rPr>
          <w:spacing w:val="16"/>
        </w:rPr>
        <w:t> 结果明确诊断， 临床诊断属于世界卫生组织</w:t>
      </w:r>
      <w:r>
        <w:rPr/>
        <w:t>（</w:t>
      </w:r>
      <w:r>
        <w:rPr>
          <w:spacing w:val="-54"/>
        </w:rPr>
        <w:t> </w:t>
      </w:r>
      <w:r>
        <w:rPr/>
        <w:t>WHO</w:t>
      </w:r>
      <w:r>
        <w:rPr>
          <w:spacing w:val="-43"/>
        </w:rPr>
        <w:t> ， </w:t>
      </w:r>
      <w:r>
        <w:rPr/>
        <w:t>World</w:t>
      </w:r>
      <w:r>
        <w:rPr>
          <w:spacing w:val="80"/>
        </w:rPr>
        <w:t> </w:t>
      </w:r>
      <w:r>
        <w:rPr/>
        <w:t>Health </w:t>
      </w:r>
      <w:r>
        <w:rPr>
          <w:spacing w:val="7"/>
        </w:rPr>
        <w:t>Organ</w:t>
      </w:r>
      <w:r>
        <w:rPr>
          <w:spacing w:val="4"/>
        </w:rPr>
        <w:t>i</w:t>
      </w:r>
      <w:r>
        <w:rPr>
          <w:spacing w:val="7"/>
        </w:rPr>
        <w:t>zat</w:t>
      </w:r>
      <w:r>
        <w:rPr>
          <w:spacing w:val="4"/>
        </w:rPr>
        <w:t>i</w:t>
      </w:r>
      <w:r>
        <w:rPr>
          <w:spacing w:val="7"/>
        </w:rPr>
        <w:t>on</w:t>
      </w:r>
      <w:r>
        <w:rPr>
          <w:spacing w:val="-130"/>
        </w:rPr>
        <w:t>）</w:t>
      </w:r>
      <w:r>
        <w:rPr>
          <w:spacing w:val="-4"/>
        </w:rPr>
        <w:t>《疾病和有关健康问题的国际统计分类》第十次修订版（ICD-10）的</w:t>
      </w:r>
      <w:r>
        <w:rPr>
          <w:spacing w:val="-2"/>
        </w:rPr>
        <w:t>恶性肿瘤类别及《国际疾病分类肿瘤学专辑》第三版（ICD-O-3）的肿瘤形态学编码</w:t>
      </w:r>
      <w:r>
        <w:rPr>
          <w:spacing w:val="-19"/>
        </w:rPr>
        <w:t>属于 </w:t>
      </w:r>
      <w:r>
        <w:rPr>
          <w:spacing w:val="-2"/>
        </w:rPr>
        <w:t>3、6、9（恶性肿瘤）</w:t>
      </w:r>
      <w:r>
        <w:rPr>
          <w:spacing w:val="-5"/>
        </w:rPr>
        <w:t>范畴，但不在 “恶性肿瘤-重度”保障范围的疾病。且特</w:t>
      </w:r>
      <w:r>
        <w:rPr>
          <w:spacing w:val="-2"/>
        </w:rPr>
        <w:t>指下列六项之一：</w:t>
      </w:r>
    </w:p>
    <w:p>
      <w:pPr>
        <w:pStyle w:val="ListParagraph"/>
        <w:numPr>
          <w:ilvl w:val="0"/>
          <w:numId w:val="85"/>
        </w:numPr>
        <w:tabs>
          <w:tab w:pos="3254" w:val="left" w:leader="none"/>
          <w:tab w:pos="3255" w:val="left" w:leader="none"/>
        </w:tabs>
        <w:spacing w:line="240" w:lineRule="auto" w:before="156" w:after="0"/>
        <w:ind w:left="3254" w:right="0" w:hanging="722"/>
        <w:jc w:val="left"/>
        <w:rPr>
          <w:sz w:val="21"/>
        </w:rPr>
      </w:pPr>
      <w:r>
        <w:rPr>
          <w:spacing w:val="-2"/>
          <w:sz w:val="21"/>
        </w:rPr>
        <w:t>TNM</w:t>
      </w:r>
      <w:r>
        <w:rPr>
          <w:spacing w:val="-10"/>
          <w:sz w:val="21"/>
        </w:rPr>
        <w:t> 分期为Ⅰ期的甲状腺癌；</w:t>
      </w:r>
    </w:p>
    <w:p>
      <w:pPr>
        <w:pStyle w:val="BodyText"/>
        <w:spacing w:before="6"/>
        <w:rPr>
          <w:sz w:val="15"/>
        </w:rPr>
      </w:pPr>
    </w:p>
    <w:p>
      <w:pPr>
        <w:pStyle w:val="ListParagraph"/>
        <w:numPr>
          <w:ilvl w:val="0"/>
          <w:numId w:val="85"/>
        </w:numPr>
        <w:tabs>
          <w:tab w:pos="3254" w:val="left" w:leader="none"/>
          <w:tab w:pos="3255" w:val="left" w:leader="none"/>
        </w:tabs>
        <w:spacing w:line="240" w:lineRule="auto" w:before="0" w:after="0"/>
        <w:ind w:left="3254" w:right="0" w:hanging="722"/>
        <w:jc w:val="left"/>
        <w:rPr>
          <w:sz w:val="21"/>
        </w:rPr>
      </w:pPr>
      <w:r>
        <w:rPr>
          <w:spacing w:val="-2"/>
          <w:sz w:val="21"/>
        </w:rPr>
        <w:t>TNM</w:t>
      </w:r>
      <w:r>
        <w:rPr>
          <w:spacing w:val="-21"/>
          <w:sz w:val="21"/>
        </w:rPr>
        <w:t> 分期为 </w:t>
      </w:r>
      <w:r>
        <w:rPr>
          <w:spacing w:val="-2"/>
          <w:sz w:val="21"/>
        </w:rPr>
        <w:t>T1N0M0</w:t>
      </w:r>
      <w:r>
        <w:rPr>
          <w:spacing w:val="-10"/>
          <w:sz w:val="21"/>
        </w:rPr>
        <w:t> 期的前列腺癌；</w:t>
      </w:r>
    </w:p>
    <w:p>
      <w:pPr>
        <w:pStyle w:val="BodyText"/>
        <w:spacing w:before="7"/>
        <w:rPr>
          <w:sz w:val="15"/>
        </w:rPr>
      </w:pPr>
    </w:p>
    <w:p>
      <w:pPr>
        <w:pStyle w:val="ListParagraph"/>
        <w:numPr>
          <w:ilvl w:val="0"/>
          <w:numId w:val="85"/>
        </w:numPr>
        <w:tabs>
          <w:tab w:pos="3254" w:val="left" w:leader="none"/>
          <w:tab w:pos="3255" w:val="left" w:leader="none"/>
        </w:tabs>
        <w:spacing w:line="240" w:lineRule="auto" w:before="0" w:after="0"/>
        <w:ind w:left="3254" w:right="0" w:hanging="722"/>
        <w:jc w:val="left"/>
        <w:rPr>
          <w:sz w:val="21"/>
        </w:rPr>
      </w:pPr>
      <w:r>
        <w:rPr>
          <w:spacing w:val="-3"/>
          <w:sz w:val="21"/>
        </w:rPr>
        <w:t>黑色素瘤以外的未发生淋巴结和远处转移的皮肤恶性肿瘤；</w:t>
      </w:r>
    </w:p>
    <w:p>
      <w:pPr>
        <w:pStyle w:val="BodyText"/>
        <w:spacing w:before="7"/>
        <w:rPr>
          <w:sz w:val="15"/>
        </w:rPr>
      </w:pPr>
    </w:p>
    <w:p>
      <w:pPr>
        <w:pStyle w:val="ListParagraph"/>
        <w:numPr>
          <w:ilvl w:val="0"/>
          <w:numId w:val="85"/>
        </w:numPr>
        <w:tabs>
          <w:tab w:pos="3254" w:val="left" w:leader="none"/>
          <w:tab w:pos="3255" w:val="left" w:leader="none"/>
        </w:tabs>
        <w:spacing w:line="240" w:lineRule="auto" w:before="0" w:after="0"/>
        <w:ind w:left="3254" w:right="0" w:hanging="722"/>
        <w:jc w:val="left"/>
        <w:rPr>
          <w:sz w:val="21"/>
        </w:rPr>
      </w:pPr>
      <w:r>
        <w:rPr>
          <w:spacing w:val="-14"/>
          <w:sz w:val="21"/>
        </w:rPr>
        <w:t>相当于 </w:t>
      </w:r>
      <w:r>
        <w:rPr>
          <w:spacing w:val="-2"/>
          <w:sz w:val="21"/>
        </w:rPr>
        <w:t>Binet</w:t>
      </w:r>
      <w:r>
        <w:rPr>
          <w:spacing w:val="-18"/>
          <w:sz w:val="21"/>
        </w:rPr>
        <w:t> 分期方案 </w:t>
      </w:r>
      <w:r>
        <w:rPr>
          <w:spacing w:val="-2"/>
          <w:sz w:val="21"/>
        </w:rPr>
        <w:t>A</w:t>
      </w:r>
      <w:r>
        <w:rPr>
          <w:spacing w:val="-10"/>
          <w:sz w:val="21"/>
        </w:rPr>
        <w:t> 期程度的慢性淋巴细胞白血病；</w:t>
      </w:r>
    </w:p>
    <w:p>
      <w:pPr>
        <w:pStyle w:val="BodyText"/>
        <w:spacing w:before="6"/>
        <w:rPr>
          <w:sz w:val="15"/>
        </w:rPr>
      </w:pPr>
    </w:p>
    <w:p>
      <w:pPr>
        <w:pStyle w:val="ListParagraph"/>
        <w:numPr>
          <w:ilvl w:val="0"/>
          <w:numId w:val="85"/>
        </w:numPr>
        <w:tabs>
          <w:tab w:pos="3254" w:val="left" w:leader="none"/>
          <w:tab w:pos="3255" w:val="left" w:leader="none"/>
        </w:tabs>
        <w:spacing w:line="240" w:lineRule="auto" w:before="1" w:after="0"/>
        <w:ind w:left="3254" w:right="0" w:hanging="722"/>
        <w:jc w:val="left"/>
        <w:rPr>
          <w:sz w:val="21"/>
        </w:rPr>
      </w:pPr>
      <w:r>
        <w:rPr>
          <w:spacing w:val="-14"/>
          <w:sz w:val="21"/>
        </w:rPr>
        <w:t>相当于 </w:t>
      </w:r>
      <w:r>
        <w:rPr>
          <w:spacing w:val="-2"/>
          <w:sz w:val="21"/>
        </w:rPr>
        <w:t>Ann</w:t>
      </w:r>
      <w:r>
        <w:rPr>
          <w:spacing w:val="10"/>
          <w:sz w:val="21"/>
        </w:rPr>
        <w:t> </w:t>
      </w:r>
      <w:r>
        <w:rPr>
          <w:spacing w:val="-2"/>
          <w:sz w:val="21"/>
        </w:rPr>
        <w:t>Arbor</w:t>
      </w:r>
      <w:r>
        <w:rPr>
          <w:spacing w:val="-10"/>
          <w:sz w:val="21"/>
        </w:rPr>
        <w:t> 分期方案Ⅰ期程度的何杰金氏病；</w:t>
      </w:r>
    </w:p>
    <w:p>
      <w:pPr>
        <w:pStyle w:val="BodyText"/>
        <w:spacing w:before="6"/>
        <w:rPr>
          <w:sz w:val="15"/>
        </w:rPr>
      </w:pPr>
    </w:p>
    <w:p>
      <w:pPr>
        <w:pStyle w:val="ListParagraph"/>
        <w:numPr>
          <w:ilvl w:val="0"/>
          <w:numId w:val="85"/>
        </w:numPr>
        <w:tabs>
          <w:tab w:pos="3254" w:val="left" w:leader="none"/>
          <w:tab w:pos="3255" w:val="left" w:leader="none"/>
        </w:tabs>
        <w:spacing w:line="240" w:lineRule="auto" w:before="0" w:after="0"/>
        <w:ind w:left="3254" w:right="0" w:hanging="722"/>
        <w:jc w:val="left"/>
        <w:rPr>
          <w:sz w:val="21"/>
        </w:rPr>
      </w:pPr>
      <w:r>
        <w:rPr>
          <w:spacing w:val="-3"/>
          <w:sz w:val="21"/>
        </w:rPr>
        <w:t>未发生淋巴结和远处转移且 </w:t>
      </w:r>
      <w:r>
        <w:rPr>
          <w:spacing w:val="-2"/>
          <w:sz w:val="21"/>
        </w:rPr>
        <w:t>WHO</w:t>
      </w:r>
      <w:r>
        <w:rPr>
          <w:spacing w:val="-7"/>
          <w:sz w:val="21"/>
        </w:rPr>
        <w:t> 分级为 </w:t>
      </w:r>
      <w:r>
        <w:rPr>
          <w:spacing w:val="-2"/>
          <w:sz w:val="21"/>
        </w:rPr>
        <w:t>G1</w:t>
      </w:r>
      <w:r>
        <w:rPr>
          <w:spacing w:val="-6"/>
          <w:sz w:val="21"/>
        </w:rPr>
        <w:t> 级别</w:t>
      </w:r>
      <w:r>
        <w:rPr>
          <w:spacing w:val="-2"/>
          <w:sz w:val="21"/>
        </w:rPr>
        <w:t>（核分裂像＜10/50HPF</w:t>
      </w:r>
      <w:r>
        <w:rPr>
          <w:spacing w:val="-13"/>
          <w:sz w:val="21"/>
        </w:rPr>
        <w:t> 和</w:t>
      </w:r>
    </w:p>
    <w:p>
      <w:pPr>
        <w:pStyle w:val="BodyText"/>
        <w:spacing w:before="43"/>
        <w:ind w:left="3254"/>
      </w:pPr>
      <w:r>
        <w:rPr>
          <w:spacing w:val="-2"/>
        </w:rPr>
        <w:t>ki-67≤2%）</w:t>
      </w:r>
      <w:r>
        <w:rPr>
          <w:spacing w:val="-3"/>
        </w:rPr>
        <w:t>的神经内分泌肿瘤。</w:t>
      </w:r>
    </w:p>
    <w:p>
      <w:pPr>
        <w:pStyle w:val="BodyText"/>
        <w:spacing w:before="12"/>
        <w:rPr>
          <w:sz w:val="9"/>
        </w:rPr>
      </w:pPr>
    </w:p>
    <w:p>
      <w:pPr>
        <w:pStyle w:val="BodyText"/>
        <w:spacing w:before="72"/>
        <w:ind w:left="2533"/>
      </w:pPr>
      <w:r>
        <w:rPr>
          <w:color w:val="000000"/>
          <w:spacing w:val="-3"/>
          <w:shd w:fill="E4E4E4" w:color="auto" w:val="clear"/>
        </w:rPr>
        <w:t>下列疾病不属于恶性肿瘤-轻度，不在保障范围内：</w:t>
      </w:r>
    </w:p>
    <w:p>
      <w:pPr>
        <w:pStyle w:val="BodyText"/>
        <w:spacing w:line="278" w:lineRule="auto" w:before="43"/>
        <w:ind w:left="2533" w:right="355"/>
      </w:pPr>
      <w:r>
        <w:rPr>
          <w:color w:val="000000"/>
          <w:spacing w:val="-4"/>
          <w:shd w:fill="E4E4E4" w:color="auto" w:val="clear"/>
        </w:rPr>
        <w:t>ICD-O-3</w:t>
      </w:r>
      <w:r>
        <w:rPr>
          <w:color w:val="000000"/>
          <w:spacing w:val="-14"/>
          <w:shd w:fill="E4E4E4" w:color="auto" w:val="clear"/>
        </w:rPr>
        <w:t> 肿瘤形态学编码属于 </w:t>
      </w:r>
      <w:r>
        <w:rPr>
          <w:color w:val="000000"/>
          <w:spacing w:val="-4"/>
          <w:shd w:fill="E4E4E4" w:color="auto" w:val="clear"/>
        </w:rPr>
        <w:t>0（良性肿瘤</w:t>
      </w:r>
      <w:r>
        <w:rPr>
          <w:color w:val="000000"/>
          <w:spacing w:val="-106"/>
          <w:shd w:fill="E4E4E4" w:color="auto" w:val="clear"/>
        </w:rPr>
        <w:t>）</w:t>
      </w:r>
      <w:r>
        <w:rPr>
          <w:color w:val="000000"/>
          <w:spacing w:val="-4"/>
          <w:shd w:fill="E4E4E4" w:color="auto" w:val="clear"/>
        </w:rPr>
        <w:t>、1（动态未定性肿瘤</w:t>
      </w:r>
      <w:r>
        <w:rPr>
          <w:color w:val="000000"/>
          <w:spacing w:val="-106"/>
          <w:shd w:fill="E4E4E4" w:color="auto" w:val="clear"/>
        </w:rPr>
        <w:t>）</w:t>
      </w:r>
      <w:r>
        <w:rPr>
          <w:color w:val="000000"/>
          <w:spacing w:val="-4"/>
          <w:shd w:fill="E4E4E4" w:color="auto" w:val="clear"/>
        </w:rPr>
        <w:t>、2（原位癌和非</w:t>
      </w:r>
      <w:r>
        <w:rPr>
          <w:color w:val="000000"/>
          <w:spacing w:val="80"/>
          <w:w w:val="150"/>
          <w:shd w:fill="E4E4E4" w:color="auto" w:val="clear"/>
        </w:rPr>
        <w:t>                                         </w:t>
      </w:r>
      <w:r>
        <w:rPr>
          <w:color w:val="000000"/>
          <w:spacing w:val="-2"/>
          <w:shd w:fill="E4E4E4" w:color="auto" w:val="clear"/>
        </w:rPr>
        <w:t>侵袭性癌）范畴的疾病，如：</w:t>
      </w:r>
    </w:p>
    <w:p>
      <w:pPr>
        <w:pStyle w:val="ListParagraph"/>
        <w:numPr>
          <w:ilvl w:val="0"/>
          <w:numId w:val="86"/>
        </w:numPr>
        <w:tabs>
          <w:tab w:pos="2747" w:val="left" w:leader="none"/>
        </w:tabs>
        <w:spacing w:line="278" w:lineRule="auto" w:before="0" w:after="0"/>
        <w:ind w:left="2533" w:right="356" w:firstLine="0"/>
        <w:jc w:val="left"/>
        <w:rPr>
          <w:sz w:val="21"/>
        </w:rPr>
      </w:pPr>
      <w:r>
        <w:rPr>
          <w:color w:val="000000"/>
          <w:spacing w:val="-2"/>
          <w:sz w:val="21"/>
          <w:shd w:fill="E4E4E4" w:color="auto" w:val="clear"/>
        </w:rPr>
        <w:t>原位癌，癌前病变，非浸润性癌，非侵袭性癌，肿瘤细胞未侵犯基底层，上皮内</w:t>
      </w:r>
      <w:r>
        <w:rPr>
          <w:color w:val="000000"/>
          <w:spacing w:val="14595"/>
          <w:sz w:val="21"/>
          <w:shd w:fill="E4E4E4" w:color="auto" w:val="clear"/>
        </w:rPr>
        <w:t> </w:t>
      </w:r>
      <w:r>
        <w:rPr>
          <w:color w:val="000000"/>
          <w:spacing w:val="-2"/>
          <w:sz w:val="21"/>
          <w:shd w:fill="E4E4E4" w:color="auto" w:val="clear"/>
        </w:rPr>
        <w:t>瘤变，细胞不典型性增生等；</w:t>
      </w:r>
    </w:p>
    <w:p>
      <w:pPr>
        <w:pStyle w:val="ListParagraph"/>
        <w:numPr>
          <w:ilvl w:val="0"/>
          <w:numId w:val="86"/>
        </w:numPr>
        <w:tabs>
          <w:tab w:pos="2747" w:val="left" w:leader="none"/>
        </w:tabs>
        <w:spacing w:line="269" w:lineRule="exact" w:before="0" w:after="0"/>
        <w:ind w:left="2746" w:right="0" w:hanging="214"/>
        <w:jc w:val="left"/>
        <w:rPr>
          <w:sz w:val="21"/>
        </w:rPr>
      </w:pPr>
      <w:r>
        <w:rPr>
          <w:color w:val="000000"/>
          <w:spacing w:val="-3"/>
          <w:sz w:val="21"/>
          <w:shd w:fill="E4E4E4" w:color="auto" w:val="clear"/>
        </w:rPr>
        <w:t>交界性肿瘤，交界恶性肿瘤，肿瘤低度恶性潜能，潜在低度恶性肿瘤等。</w:t>
      </w:r>
    </w:p>
    <w:p>
      <w:pPr>
        <w:pStyle w:val="BodyText"/>
        <w:spacing w:before="7"/>
        <w:rPr>
          <w:sz w:val="15"/>
        </w:rPr>
      </w:pPr>
    </w:p>
    <w:p>
      <w:pPr>
        <w:pStyle w:val="Heading2"/>
        <w:numPr>
          <w:ilvl w:val="0"/>
          <w:numId w:val="84"/>
        </w:numPr>
        <w:tabs>
          <w:tab w:pos="3063" w:val="left" w:leader="none"/>
        </w:tabs>
        <w:spacing w:line="240" w:lineRule="auto" w:before="0" w:after="0"/>
        <w:ind w:left="3063" w:right="0" w:hanging="530"/>
        <w:jc w:val="left"/>
      </w:pPr>
      <w:r>
        <w:rPr>
          <w:spacing w:val="-3"/>
        </w:rPr>
        <w:t>较轻急性心肌梗死：</w:t>
      </w:r>
    </w:p>
    <w:p>
      <w:pPr>
        <w:pStyle w:val="BodyText"/>
        <w:spacing w:before="6"/>
        <w:rPr>
          <w:b/>
          <w:sz w:val="15"/>
        </w:rPr>
      </w:pPr>
    </w:p>
    <w:p>
      <w:pPr>
        <w:pStyle w:val="BodyText"/>
        <w:spacing w:line="278" w:lineRule="auto" w:before="1"/>
        <w:ind w:left="2533" w:right="355"/>
        <w:jc w:val="both"/>
      </w:pPr>
      <w:r>
        <w:rPr>
          <w:spacing w:val="2"/>
          <w:w w:val="100"/>
        </w:rPr>
        <w:t>急性心肌梗死指由于冠状动脉闭塞或梗阻引起部分心肌严重的持久性缺血造成急</w:t>
      </w:r>
      <w:r>
        <w:rPr>
          <w:spacing w:val="-8"/>
          <w:w w:val="100"/>
        </w:rPr>
        <w:t>性心肌坏死。急性心肌梗死的诊断必须依据国际国内诊断标准，符合</w:t>
      </w:r>
      <w:r>
        <w:rPr>
          <w:w w:val="100"/>
        </w:rPr>
        <w:t>（1</w:t>
      </w:r>
      <w:r>
        <w:rPr>
          <w:spacing w:val="-32"/>
          <w:w w:val="100"/>
        </w:rPr>
        <w:t>）</w:t>
      </w:r>
      <w:r>
        <w:rPr>
          <w:spacing w:val="-2"/>
          <w:w w:val="100"/>
        </w:rPr>
        <w:t>检测到肌</w:t>
      </w:r>
      <w:r>
        <w:rPr>
          <w:spacing w:val="-7"/>
          <w:w w:val="100"/>
        </w:rPr>
        <w:t>酸激酶同工酶</w:t>
      </w:r>
      <w:r>
        <w:rPr>
          <w:w w:val="100"/>
        </w:rPr>
        <w:t>（</w:t>
      </w:r>
      <w:r>
        <w:rPr>
          <w:spacing w:val="-3"/>
          <w:w w:val="100"/>
        </w:rPr>
        <w:t>C</w:t>
      </w:r>
      <w:r>
        <w:rPr>
          <w:w w:val="100"/>
        </w:rPr>
        <w:t>K-M</w:t>
      </w:r>
      <w:r>
        <w:rPr>
          <w:spacing w:val="-3"/>
          <w:w w:val="100"/>
        </w:rPr>
        <w:t>B</w:t>
      </w:r>
      <w:r>
        <w:rPr>
          <w:spacing w:val="-25"/>
          <w:w w:val="100"/>
        </w:rPr>
        <w:t>）</w:t>
      </w:r>
      <w:r>
        <w:rPr>
          <w:spacing w:val="-8"/>
          <w:w w:val="100"/>
        </w:rPr>
        <w:t>或肌钙蛋白</w:t>
      </w:r>
      <w:r>
        <w:rPr>
          <w:w w:val="100"/>
        </w:rPr>
        <w:t>（</w:t>
      </w:r>
      <w:r>
        <w:rPr>
          <w:spacing w:val="-3"/>
          <w:w w:val="100"/>
        </w:rPr>
        <w:t>c</w:t>
      </w:r>
      <w:r>
        <w:rPr>
          <w:w w:val="100"/>
        </w:rPr>
        <w:t>T</w:t>
      </w:r>
      <w:r>
        <w:rPr>
          <w:spacing w:val="-1"/>
          <w:w w:val="100"/>
        </w:rPr>
        <w:t>n</w:t>
      </w:r>
      <w:r>
        <w:rPr>
          <w:spacing w:val="-27"/>
          <w:w w:val="100"/>
        </w:rPr>
        <w:t>）</w:t>
      </w:r>
      <w:r>
        <w:rPr>
          <w:spacing w:val="-5"/>
          <w:w w:val="100"/>
        </w:rPr>
        <w:t>升高和/或降低的动态变化，至少一次达</w:t>
      </w:r>
      <w:r>
        <w:rPr>
          <w:spacing w:val="-11"/>
          <w:w w:val="100"/>
        </w:rPr>
        <w:t>到或超过心肌梗死的临床诊断标准；</w:t>
      </w:r>
      <w:r>
        <w:rPr>
          <w:w w:val="100"/>
        </w:rPr>
        <w:t>（</w:t>
      </w:r>
      <w:r>
        <w:rPr>
          <w:spacing w:val="-3"/>
          <w:w w:val="100"/>
        </w:rPr>
        <w:t>2）</w:t>
      </w:r>
      <w:r>
        <w:rPr>
          <w:spacing w:val="-5"/>
          <w:w w:val="100"/>
        </w:rPr>
        <w:t>同时存在下列之一的证据，包括：缺血性胸痛症状、新发生的缺血性心电图改变、新生成的病理性</w:t>
      </w:r>
      <w:r>
        <w:rPr>
          <w:spacing w:val="-52"/>
        </w:rPr>
        <w:t> </w:t>
      </w:r>
      <w:r>
        <w:rPr>
          <w:w w:val="100"/>
        </w:rPr>
        <w:t>Q</w:t>
      </w:r>
      <w:r>
        <w:rPr>
          <w:spacing w:val="-53"/>
        </w:rPr>
        <w:t> </w:t>
      </w:r>
      <w:r>
        <w:rPr>
          <w:spacing w:val="-3"/>
          <w:w w:val="100"/>
        </w:rPr>
        <w:t>波、影像学证据显示有</w:t>
      </w:r>
      <w:r>
        <w:rPr>
          <w:spacing w:val="-4"/>
          <w:w w:val="100"/>
        </w:rPr>
        <w:t>新出现的心肌活性丧失或新出现局部室壁运动异常、冠脉造影证实存在冠状动脉血栓。</w:t>
      </w:r>
    </w:p>
    <w:p>
      <w:pPr>
        <w:pStyle w:val="BodyText"/>
        <w:spacing w:line="278" w:lineRule="auto"/>
        <w:ind w:left="2533" w:right="355"/>
      </w:pPr>
      <w:r>
        <w:rPr/>
        <w:drawing>
          <wp:anchor distT="0" distB="0" distL="0" distR="0" allowOverlap="1" layoutInCell="1" locked="0" behindDoc="1" simplePos="0" relativeHeight="486133760">
            <wp:simplePos x="0" y="0"/>
            <wp:positionH relativeFrom="page">
              <wp:posOffset>2193289</wp:posOffset>
            </wp:positionH>
            <wp:positionV relativeFrom="paragraph">
              <wp:posOffset>393953</wp:posOffset>
            </wp:positionV>
            <wp:extent cx="4335145" cy="173735"/>
            <wp:effectExtent l="0" t="0" r="0" b="0"/>
            <wp:wrapNone/>
            <wp:docPr id="59" name="image13.png"/>
            <wp:cNvGraphicFramePr>
              <a:graphicFrameLocks noChangeAspect="1"/>
            </wp:cNvGraphicFramePr>
            <a:graphic>
              <a:graphicData uri="http://schemas.openxmlformats.org/drawingml/2006/picture">
                <pic:pic>
                  <pic:nvPicPr>
                    <pic:cNvPr id="60" name="image13.png"/>
                    <pic:cNvPicPr/>
                  </pic:nvPicPr>
                  <pic:blipFill>
                    <a:blip r:embed="rId29" cstate="print"/>
                    <a:stretch>
                      <a:fillRect/>
                    </a:stretch>
                  </pic:blipFill>
                  <pic:spPr>
                    <a:xfrm>
                      <a:off x="0" y="0"/>
                      <a:ext cx="4335145" cy="173735"/>
                    </a:xfrm>
                    <a:prstGeom prst="rect">
                      <a:avLst/>
                    </a:prstGeom>
                  </pic:spPr>
                </pic:pic>
              </a:graphicData>
            </a:graphic>
          </wp:anchor>
        </w:drawing>
      </w:r>
      <w:r>
        <w:rPr/>
        <w:pict>
          <v:shape style="position:absolute;margin-left:172.699997pt;margin-top:31.019999pt;width:341.35pt;height:13.7pt;mso-position-horizontal-relative:page;mso-position-vertical-relative:paragraph;z-index:-17182208" type="#_x0000_t202" id="docshape50" filled="false" stroked="false">
            <v:textbox inset="0,0,0,0">
              <w:txbxContent>
                <w:p>
                  <w:pPr>
                    <w:pStyle w:val="BodyText"/>
                    <w:spacing w:before="3"/>
                    <w:ind w:right="-15"/>
                  </w:pPr>
                  <w:r>
                    <w:rPr>
                      <w:spacing w:val="-2"/>
                    </w:rPr>
                    <w:t>其他非冠状动脉阻塞性疾病引起的肌钙蛋白（cTn）</w:t>
                  </w:r>
                  <w:r>
                    <w:rPr>
                      <w:spacing w:val="-3"/>
                    </w:rPr>
                    <w:t>升高不在保障范围内。</w:t>
                  </w:r>
                </w:p>
              </w:txbxContent>
            </v:textbox>
            <w10:wrap type="none"/>
          </v:shape>
        </w:pict>
      </w:r>
      <w:r>
        <w:rPr/>
        <w:pict>
          <v:shape style="position:absolute;margin-left:172.699997pt;margin-top:46.615997pt;width:377.5pt;height:13.7pt;mso-position-horizontal-relative:page;mso-position-vertical-relative:paragraph;z-index:-17181696" type="#_x0000_t202" id="docshape51" filled="true" fillcolor="#e4e4e4" stroked="false">
            <v:textbox inset="0,0,0,0">
              <w:txbxContent>
                <w:p>
                  <w:pPr>
                    <w:pStyle w:val="BodyText"/>
                    <w:spacing w:before="3"/>
                    <w:ind w:right="-15"/>
                    <w:rPr>
                      <w:color w:val="000000"/>
                    </w:rPr>
                  </w:pPr>
                  <w:r>
                    <w:rPr>
                      <w:color w:val="000000"/>
                      <w:spacing w:val="-12"/>
                    </w:rPr>
                    <w:t>本公司对“较轻急性心肌梗死”</w:t>
                  </w:r>
                  <w:r>
                    <w:rPr>
                      <w:color w:val="000000"/>
                      <w:spacing w:val="-19"/>
                    </w:rPr>
                    <w:t>、“冠状动脉介入手术</w:t>
                  </w:r>
                  <w:r>
                    <w:rPr>
                      <w:color w:val="000000"/>
                      <w:spacing w:val="-4"/>
                    </w:rPr>
                    <w:t>（非切开心包手术</w:t>
                  </w:r>
                  <w:r>
                    <w:rPr>
                      <w:color w:val="000000"/>
                      <w:spacing w:val="-67"/>
                    </w:rPr>
                    <w:t>）</w:t>
                  </w:r>
                  <w:r>
                    <w:rPr>
                      <w:color w:val="000000"/>
                      <w:spacing w:val="-19"/>
                    </w:rPr>
                    <w:t>”和“激光</w:t>
                  </w:r>
                </w:p>
              </w:txbxContent>
            </v:textbox>
            <v:fill type="solid"/>
            <w10:wrap type="none"/>
          </v:shape>
        </w:pict>
      </w:r>
      <w:r>
        <w:rPr>
          <w:spacing w:val="-2"/>
        </w:rPr>
        <w:t>较轻急性心肌梗死指依照上述标准被明确诊断为急性心肌梗死，但未达到“较重急</w:t>
      </w:r>
      <w:r>
        <w:rPr>
          <w:spacing w:val="-2"/>
        </w:rPr>
        <w:t>性心肌梗死”的给付标准。</w:t>
      </w:r>
    </w:p>
    <w:p>
      <w:pPr>
        <w:pStyle w:val="BodyText"/>
        <w:spacing w:before="8"/>
        <w:rPr>
          <w:sz w:val="2"/>
        </w:rPr>
      </w:pPr>
    </w:p>
    <w:p>
      <w:pPr>
        <w:pStyle w:val="BodyText"/>
        <w:ind w:left="2534"/>
        <w:rPr>
          <w:sz w:val="20"/>
        </w:rPr>
      </w:pPr>
      <w:r>
        <w:rPr>
          <w:sz w:val="20"/>
        </w:rPr>
        <w:pict>
          <v:shape style="width:377.5pt;height:13.7pt;mso-position-horizontal-relative:char;mso-position-vertical-relative:line" type="#_x0000_t202" id="docshape52" filled="true" fillcolor="#e4e4e4" stroked="false">
            <w10:anchorlock/>
            <v:textbox inset="0,0,0,0">
              <w:txbxContent>
                <w:p>
                  <w:pPr>
                    <w:pStyle w:val="BodyText"/>
                    <w:spacing w:before="3"/>
                    <w:ind w:right="-15"/>
                    <w:rPr>
                      <w:color w:val="000000"/>
                    </w:rPr>
                  </w:pPr>
                  <w:r>
                    <w:rPr>
                      <w:color w:val="000000"/>
                      <w:spacing w:val="-5"/>
                    </w:rPr>
                    <w:t>心肌血运重建术”三项中的其中一项承担保险责任，给付其中一项保险金后，对其</w:t>
                  </w:r>
                </w:p>
              </w:txbxContent>
            </v:textbox>
            <v:fill type="solid"/>
          </v:shape>
        </w:pict>
      </w:r>
      <w:r>
        <w:rPr>
          <w:sz w:val="20"/>
        </w:rPr>
      </w:r>
    </w:p>
    <w:p>
      <w:pPr>
        <w:spacing w:after="0"/>
        <w:rPr>
          <w:sz w:val="20"/>
        </w:rPr>
        <w:sectPr>
          <w:footerReference w:type="default" r:id="rId28"/>
          <w:pgSz w:w="11910" w:h="16840"/>
          <w:pgMar w:footer="659" w:header="0" w:top="1540" w:bottom="840" w:left="920" w:right="540"/>
          <w:pgNumType w:start="1"/>
        </w:sectPr>
      </w:pPr>
    </w:p>
    <w:p>
      <w:pPr>
        <w:pStyle w:val="BodyText"/>
        <w:spacing w:before="44"/>
        <w:ind w:left="2533"/>
      </w:pPr>
      <w:r>
        <w:rPr>
          <w:color w:val="000000"/>
          <w:spacing w:val="-3"/>
          <w:shd w:fill="E4E4E4" w:color="auto" w:val="clear"/>
        </w:rPr>
        <w:t>它两项轻度疾病保险责任同时终止。</w:t>
      </w:r>
    </w:p>
    <w:p>
      <w:pPr>
        <w:pStyle w:val="BodyText"/>
        <w:spacing w:before="7"/>
        <w:rPr>
          <w:sz w:val="15"/>
        </w:rPr>
      </w:pPr>
    </w:p>
    <w:p>
      <w:pPr>
        <w:pStyle w:val="Heading2"/>
        <w:numPr>
          <w:ilvl w:val="0"/>
          <w:numId w:val="84"/>
        </w:numPr>
        <w:tabs>
          <w:tab w:pos="3063" w:val="left" w:leader="none"/>
        </w:tabs>
        <w:spacing w:line="240" w:lineRule="auto" w:before="0" w:after="0"/>
        <w:ind w:left="3063" w:right="0" w:hanging="530"/>
        <w:jc w:val="left"/>
      </w:pPr>
      <w:r>
        <w:rPr>
          <w:spacing w:val="-3"/>
        </w:rPr>
        <w:t>轻度脑中风后遗症：</w:t>
      </w:r>
    </w:p>
    <w:p>
      <w:pPr>
        <w:pStyle w:val="BodyText"/>
        <w:spacing w:before="7"/>
        <w:rPr>
          <w:b/>
          <w:sz w:val="15"/>
        </w:rPr>
      </w:pPr>
    </w:p>
    <w:p>
      <w:pPr>
        <w:pStyle w:val="BodyText"/>
        <w:spacing w:line="278" w:lineRule="auto"/>
        <w:ind w:left="2533" w:right="356"/>
        <w:jc w:val="both"/>
      </w:pPr>
      <w:r>
        <w:rPr>
          <w:spacing w:val="-6"/>
        </w:rPr>
        <w:t>指因脑血管的突发病变引起脑血管出血、栓塞或梗塞，须由头颅断层扫描</w:t>
      </w:r>
      <w:r>
        <w:rPr>
          <w:spacing w:val="21"/>
        </w:rPr>
        <w:t>（</w:t>
      </w:r>
      <w:r>
        <w:rPr>
          <w:spacing w:val="18"/>
        </w:rPr>
        <w:t>C</w:t>
      </w:r>
      <w:r>
        <w:rPr>
          <w:spacing w:val="21"/>
        </w:rPr>
        <w:t>T</w:t>
      </w:r>
      <w:r>
        <w:rPr>
          <w:spacing w:val="-85"/>
        </w:rPr>
        <w:t>）</w:t>
      </w:r>
      <w:r>
        <w:rPr>
          <w:spacing w:val="-6"/>
        </w:rPr>
        <w:t>、核</w:t>
      </w:r>
      <w:r>
        <w:rPr>
          <w:spacing w:val="-4"/>
        </w:rPr>
        <w:t>磁共振检查（MRI）等影像学检查证实，并导致神经系统永久性的功能障碍，但未达</w:t>
      </w:r>
      <w:r>
        <w:rPr>
          <w:spacing w:val="-4"/>
        </w:rPr>
        <w:t>到“严重脑中风后遗症”的给付标准，在疾病确诊 </w:t>
      </w:r>
      <w:r>
        <w:rPr>
          <w:spacing w:val="-2"/>
        </w:rPr>
        <w:t>180</w:t>
      </w:r>
      <w:r>
        <w:rPr>
          <w:spacing w:val="-7"/>
        </w:rPr>
        <w:t> 天后，仍遗留下列至少一种</w:t>
      </w:r>
      <w:r>
        <w:rPr>
          <w:spacing w:val="-4"/>
        </w:rPr>
        <w:t>障碍：</w:t>
      </w:r>
    </w:p>
    <w:p>
      <w:pPr>
        <w:pStyle w:val="ListParagraph"/>
        <w:numPr>
          <w:ilvl w:val="0"/>
          <w:numId w:val="87"/>
        </w:numPr>
        <w:tabs>
          <w:tab w:pos="3255" w:val="left" w:leader="none"/>
        </w:tabs>
        <w:spacing w:line="240" w:lineRule="auto" w:before="156" w:after="0"/>
        <w:ind w:left="3254" w:right="0" w:hanging="722"/>
        <w:jc w:val="both"/>
        <w:rPr>
          <w:sz w:val="21"/>
        </w:rPr>
      </w:pPr>
      <w:r>
        <w:rPr>
          <w:spacing w:val="-2"/>
          <w:sz w:val="21"/>
        </w:rPr>
        <w:t>一肢（含）</w:t>
      </w:r>
      <w:r>
        <w:rPr>
          <w:spacing w:val="-8"/>
          <w:sz w:val="21"/>
        </w:rPr>
        <w:t>以上肢体肌力为 </w:t>
      </w:r>
      <w:r>
        <w:rPr>
          <w:spacing w:val="-2"/>
          <w:sz w:val="21"/>
        </w:rPr>
        <w:t>3</w:t>
      </w:r>
      <w:r>
        <w:rPr>
          <w:spacing w:val="-20"/>
          <w:sz w:val="21"/>
        </w:rPr>
        <w:t> 级；</w:t>
      </w:r>
    </w:p>
    <w:p>
      <w:pPr>
        <w:pStyle w:val="BodyText"/>
        <w:spacing w:before="6"/>
        <w:rPr>
          <w:sz w:val="15"/>
        </w:rPr>
      </w:pPr>
    </w:p>
    <w:p>
      <w:pPr>
        <w:pStyle w:val="ListParagraph"/>
        <w:numPr>
          <w:ilvl w:val="0"/>
          <w:numId w:val="87"/>
        </w:numPr>
        <w:tabs>
          <w:tab w:pos="3255" w:val="left" w:leader="none"/>
        </w:tabs>
        <w:spacing w:line="240" w:lineRule="auto" w:before="0" w:after="0"/>
        <w:ind w:left="3254" w:right="0" w:hanging="722"/>
        <w:jc w:val="both"/>
        <w:rPr>
          <w:sz w:val="21"/>
        </w:rPr>
      </w:pPr>
      <w:r>
        <w:rPr>
          <w:spacing w:val="-3"/>
          <w:sz w:val="21"/>
        </w:rPr>
        <w:t>自主生活能力部分丧失，无法独立完成六项基本日常生活活动中的两项。</w:t>
      </w:r>
    </w:p>
    <w:p>
      <w:pPr>
        <w:pStyle w:val="BodyText"/>
        <w:spacing w:before="7"/>
        <w:rPr>
          <w:sz w:val="15"/>
        </w:rPr>
      </w:pPr>
    </w:p>
    <w:p>
      <w:pPr>
        <w:pStyle w:val="Heading2"/>
        <w:numPr>
          <w:ilvl w:val="0"/>
          <w:numId w:val="84"/>
        </w:numPr>
        <w:tabs>
          <w:tab w:pos="3063" w:val="left" w:leader="none"/>
        </w:tabs>
        <w:spacing w:line="240" w:lineRule="auto" w:before="0" w:after="0"/>
        <w:ind w:left="3063" w:right="0" w:hanging="530"/>
        <w:jc w:val="left"/>
      </w:pPr>
      <w:r>
        <w:rPr>
          <w:spacing w:val="-3"/>
        </w:rPr>
        <w:t>原位癌：</w:t>
      </w:r>
    </w:p>
    <w:p>
      <w:pPr>
        <w:pStyle w:val="BodyText"/>
        <w:spacing w:before="7"/>
        <w:rPr>
          <w:b/>
          <w:sz w:val="15"/>
        </w:rPr>
      </w:pPr>
    </w:p>
    <w:p>
      <w:pPr>
        <w:pStyle w:val="BodyText"/>
        <w:spacing w:line="278" w:lineRule="auto"/>
        <w:ind w:left="2533" w:right="355"/>
        <w:jc w:val="both"/>
      </w:pPr>
      <w:r>
        <w:rPr>
          <w:spacing w:val="-6"/>
        </w:rPr>
        <w:t>指恶性肿瘤细胞未穿透基底膜的原位无浸润的恶性肿瘤，包括 </w:t>
      </w:r>
      <w:r>
        <w:rPr>
          <w:spacing w:val="-2"/>
        </w:rPr>
        <w:t>CINⅢ-宫颈鳞状上皮</w:t>
      </w:r>
      <w:r>
        <w:rPr>
          <w:spacing w:val="-4"/>
        </w:rPr>
        <w:t>病变。</w:t>
      </w:r>
      <w:r>
        <w:rPr>
          <w:color w:val="000000"/>
          <w:spacing w:val="-4"/>
          <w:shd w:fill="E4E4E4" w:color="auto" w:val="clear"/>
        </w:rPr>
        <w:t>感染艾滋病毒或患艾滋病期间所患原位癌不在本保障范围之内。</w:t>
      </w:r>
    </w:p>
    <w:p>
      <w:pPr>
        <w:pStyle w:val="Heading2"/>
        <w:numPr>
          <w:ilvl w:val="0"/>
          <w:numId w:val="84"/>
        </w:numPr>
        <w:tabs>
          <w:tab w:pos="3063" w:val="left" w:leader="none"/>
        </w:tabs>
        <w:spacing w:line="240" w:lineRule="auto" w:before="156" w:after="0"/>
        <w:ind w:left="3063" w:right="0" w:hanging="530"/>
        <w:jc w:val="left"/>
      </w:pPr>
      <w:r>
        <w:rPr>
          <w:spacing w:val="-2"/>
        </w:rPr>
        <w:t>冠状动脉介入手术（非切开心包手术</w:t>
      </w:r>
      <w:r>
        <w:rPr>
          <w:spacing w:val="-111"/>
        </w:rPr>
        <w:t>）</w:t>
      </w:r>
      <w:r>
        <w:rPr>
          <w:spacing w:val="-5"/>
        </w:rPr>
        <w:t>：</w:t>
      </w:r>
    </w:p>
    <w:p>
      <w:pPr>
        <w:pStyle w:val="BodyText"/>
        <w:spacing w:before="7"/>
        <w:rPr>
          <w:b/>
          <w:sz w:val="15"/>
        </w:rPr>
      </w:pPr>
    </w:p>
    <w:p>
      <w:pPr>
        <w:pStyle w:val="BodyText"/>
        <w:spacing w:line="278" w:lineRule="auto"/>
        <w:ind w:left="2533" w:right="356"/>
        <w:jc w:val="both"/>
      </w:pPr>
      <w:r>
        <w:rPr>
          <w:spacing w:val="-2"/>
        </w:rPr>
        <w:t>为了治疗明显的冠状动脉狭窄性疾病，首次实际实施了非切开心包的冠状动脉介入</w:t>
      </w:r>
      <w:r>
        <w:rPr>
          <w:spacing w:val="-2"/>
        </w:rPr>
        <w:t>手术，包括冠状动脉球囊扩张成形术、冠状动脉支架植入术、冠状动脉粥肿斑块切</w:t>
      </w:r>
      <w:r>
        <w:rPr>
          <w:spacing w:val="-2"/>
        </w:rPr>
        <w:t>除术或激光冠状动脉成形术。</w:t>
      </w:r>
    </w:p>
    <w:p>
      <w:pPr>
        <w:pStyle w:val="BodyText"/>
        <w:spacing w:line="278" w:lineRule="auto"/>
        <w:ind w:left="2533" w:right="356"/>
        <w:jc w:val="both"/>
      </w:pPr>
      <w:r>
        <w:rPr>
          <w:color w:val="000000"/>
          <w:spacing w:val="-10"/>
          <w:shd w:fill="E4E4E4" w:color="auto" w:val="clear"/>
        </w:rPr>
        <w:t>本公司对“较轻急性心肌梗死”</w:t>
      </w:r>
      <w:r>
        <w:rPr>
          <w:color w:val="000000"/>
          <w:spacing w:val="-17"/>
          <w:shd w:fill="E4E4E4" w:color="auto" w:val="clear"/>
        </w:rPr>
        <w:t>、“冠状动脉介入手术</w:t>
      </w:r>
      <w:r>
        <w:rPr>
          <w:color w:val="000000"/>
          <w:spacing w:val="-2"/>
          <w:shd w:fill="E4E4E4" w:color="auto" w:val="clear"/>
        </w:rPr>
        <w:t>（非切开心包手术</w:t>
      </w:r>
      <w:r>
        <w:rPr>
          <w:color w:val="000000"/>
          <w:spacing w:val="-67"/>
          <w:shd w:fill="E4E4E4" w:color="auto" w:val="clear"/>
        </w:rPr>
        <w:t>）</w:t>
      </w:r>
      <w:r>
        <w:rPr>
          <w:color w:val="000000"/>
          <w:spacing w:val="-16"/>
          <w:shd w:fill="E4E4E4" w:color="auto" w:val="clear"/>
        </w:rPr>
        <w:t>”和“激光</w:t>
      </w:r>
      <w:r>
        <w:rPr>
          <w:color w:val="000000"/>
          <w:spacing w:val="40"/>
          <w:shd w:fill="E4E4E4" w:color="auto" w:val="clear"/>
        </w:rPr>
        <w:t> </w:t>
      </w:r>
      <w:r>
        <w:rPr>
          <w:color w:val="000000"/>
          <w:spacing w:val="-2"/>
          <w:shd w:fill="E4E4E4" w:color="auto" w:val="clear"/>
        </w:rPr>
        <w:t>心肌血运重建术”三项中的其中一项承担保险责任，给付其中一项保险金后，对其</w:t>
      </w:r>
      <w:r>
        <w:rPr>
          <w:color w:val="000000"/>
          <w:spacing w:val="-2"/>
          <w:shd w:fill="E4E4E4" w:color="auto" w:val="clear"/>
        </w:rPr>
        <w:t>它两项轻度疾病保险责任同时终止。</w:t>
      </w:r>
    </w:p>
    <w:p>
      <w:pPr>
        <w:pStyle w:val="Heading2"/>
        <w:numPr>
          <w:ilvl w:val="0"/>
          <w:numId w:val="84"/>
        </w:numPr>
        <w:tabs>
          <w:tab w:pos="3063" w:val="left" w:leader="none"/>
        </w:tabs>
        <w:spacing w:line="240" w:lineRule="auto" w:before="155" w:after="0"/>
        <w:ind w:left="3063" w:right="0" w:hanging="530"/>
        <w:jc w:val="left"/>
      </w:pPr>
      <w:r>
        <w:rPr>
          <w:spacing w:val="-2"/>
        </w:rPr>
        <w:t>慢性肾功能衰竭：</w:t>
      </w:r>
    </w:p>
    <w:p>
      <w:pPr>
        <w:pStyle w:val="BodyText"/>
        <w:spacing w:before="7"/>
        <w:rPr>
          <w:b/>
          <w:sz w:val="15"/>
        </w:rPr>
      </w:pPr>
    </w:p>
    <w:p>
      <w:pPr>
        <w:pStyle w:val="BodyText"/>
        <w:spacing w:line="278" w:lineRule="auto"/>
        <w:ind w:left="2533" w:right="360"/>
      </w:pPr>
      <w:r>
        <w:rPr>
          <w:spacing w:val="-2"/>
        </w:rPr>
        <w:t>指慢性肾功能不全的晚期，但未达到本合同所指的重大疾病“严重慢性肾衰竭”的</w:t>
      </w:r>
      <w:r>
        <w:rPr>
          <w:spacing w:val="-2"/>
        </w:rPr>
        <w:t>给付标准。经泌尿科或肾脏科专科医生确诊，且须满足：</w:t>
      </w:r>
    </w:p>
    <w:p>
      <w:pPr>
        <w:pStyle w:val="ListParagraph"/>
        <w:numPr>
          <w:ilvl w:val="0"/>
          <w:numId w:val="88"/>
        </w:numPr>
        <w:tabs>
          <w:tab w:pos="3255" w:val="left" w:leader="none"/>
        </w:tabs>
        <w:spacing w:line="240" w:lineRule="auto" w:before="156" w:after="0"/>
        <w:ind w:left="3254" w:right="0" w:hanging="722"/>
        <w:jc w:val="both"/>
        <w:rPr>
          <w:sz w:val="21"/>
        </w:rPr>
      </w:pPr>
      <w:r>
        <w:rPr>
          <w:spacing w:val="-2"/>
          <w:sz w:val="21"/>
        </w:rPr>
        <w:t>肾小球滤过率（GFR）</w:t>
      </w:r>
      <w:r>
        <w:rPr>
          <w:spacing w:val="-16"/>
          <w:sz w:val="21"/>
        </w:rPr>
        <w:t>低于 </w:t>
      </w:r>
      <w:r>
        <w:rPr>
          <w:spacing w:val="-2"/>
          <w:sz w:val="21"/>
        </w:rPr>
        <w:t>25ml/min/1.73m²；</w:t>
      </w:r>
    </w:p>
    <w:p>
      <w:pPr>
        <w:pStyle w:val="BodyText"/>
        <w:spacing w:before="7"/>
        <w:rPr>
          <w:sz w:val="15"/>
        </w:rPr>
      </w:pPr>
    </w:p>
    <w:p>
      <w:pPr>
        <w:pStyle w:val="ListParagraph"/>
        <w:numPr>
          <w:ilvl w:val="0"/>
          <w:numId w:val="88"/>
        </w:numPr>
        <w:tabs>
          <w:tab w:pos="3255" w:val="left" w:leader="none"/>
        </w:tabs>
        <w:spacing w:line="240" w:lineRule="auto" w:before="0" w:after="0"/>
        <w:ind w:left="3254" w:right="0" w:hanging="722"/>
        <w:jc w:val="both"/>
        <w:rPr>
          <w:sz w:val="21"/>
        </w:rPr>
      </w:pPr>
      <w:r>
        <w:rPr>
          <w:spacing w:val="-2"/>
          <w:sz w:val="21"/>
        </w:rPr>
        <w:t>血肌酐（Scr）＞5mg/dl</w:t>
      </w:r>
      <w:r>
        <w:rPr>
          <w:spacing w:val="-20"/>
          <w:sz w:val="21"/>
        </w:rPr>
        <w:t> 或</w:t>
      </w:r>
      <w:r>
        <w:rPr>
          <w:spacing w:val="-2"/>
          <w:sz w:val="21"/>
        </w:rPr>
        <w:t>＞442umol/L；</w:t>
      </w:r>
    </w:p>
    <w:p>
      <w:pPr>
        <w:pStyle w:val="BodyText"/>
        <w:spacing w:before="6"/>
        <w:rPr>
          <w:sz w:val="15"/>
        </w:rPr>
      </w:pPr>
    </w:p>
    <w:p>
      <w:pPr>
        <w:pStyle w:val="ListParagraph"/>
        <w:numPr>
          <w:ilvl w:val="0"/>
          <w:numId w:val="88"/>
        </w:numPr>
        <w:tabs>
          <w:tab w:pos="3255" w:val="left" w:leader="none"/>
        </w:tabs>
        <w:spacing w:line="240" w:lineRule="auto" w:before="1" w:after="0"/>
        <w:ind w:left="3254" w:right="0" w:hanging="722"/>
        <w:jc w:val="both"/>
        <w:rPr>
          <w:sz w:val="21"/>
        </w:rPr>
      </w:pPr>
      <w:r>
        <w:rPr>
          <w:spacing w:val="-12"/>
          <w:sz w:val="21"/>
        </w:rPr>
        <w:t>持续至少 </w:t>
      </w:r>
      <w:r>
        <w:rPr>
          <w:spacing w:val="-2"/>
          <w:sz w:val="21"/>
        </w:rPr>
        <w:t>180</w:t>
      </w:r>
      <w:r>
        <w:rPr>
          <w:spacing w:val="-21"/>
          <w:sz w:val="21"/>
        </w:rPr>
        <w:t> 天。</w:t>
      </w:r>
    </w:p>
    <w:p>
      <w:pPr>
        <w:pStyle w:val="BodyText"/>
        <w:spacing w:before="6"/>
        <w:rPr>
          <w:sz w:val="15"/>
        </w:rPr>
      </w:pPr>
    </w:p>
    <w:p>
      <w:pPr>
        <w:pStyle w:val="Heading2"/>
        <w:numPr>
          <w:ilvl w:val="0"/>
          <w:numId w:val="84"/>
        </w:numPr>
        <w:tabs>
          <w:tab w:pos="3063" w:val="left" w:leader="none"/>
        </w:tabs>
        <w:spacing w:line="240" w:lineRule="auto" w:before="0" w:after="0"/>
        <w:ind w:left="3063" w:right="0" w:hanging="530"/>
        <w:jc w:val="left"/>
      </w:pPr>
      <w:r>
        <w:rPr>
          <w:spacing w:val="-2"/>
        </w:rPr>
        <w:t>慢性肝功能衰竭：</w:t>
      </w:r>
    </w:p>
    <w:p>
      <w:pPr>
        <w:pStyle w:val="BodyText"/>
        <w:spacing w:before="7"/>
        <w:rPr>
          <w:b/>
          <w:sz w:val="15"/>
        </w:rPr>
      </w:pPr>
    </w:p>
    <w:p>
      <w:pPr>
        <w:pStyle w:val="BodyText"/>
        <w:ind w:left="2533"/>
      </w:pPr>
      <w:r>
        <w:rPr>
          <w:spacing w:val="-5"/>
        </w:rPr>
        <w:t>指因慢性肝脏疾病导致持续 </w:t>
      </w:r>
      <w:r>
        <w:rPr>
          <w:spacing w:val="-2"/>
        </w:rPr>
        <w:t>180</w:t>
      </w:r>
      <w:r>
        <w:rPr>
          <w:spacing w:val="-10"/>
        </w:rPr>
        <w:t> 天肝功能衰竭，须满足下列全部条件：</w:t>
      </w:r>
    </w:p>
    <w:p>
      <w:pPr>
        <w:pStyle w:val="BodyText"/>
        <w:spacing w:before="7"/>
        <w:rPr>
          <w:sz w:val="15"/>
        </w:rPr>
      </w:pPr>
    </w:p>
    <w:p>
      <w:pPr>
        <w:pStyle w:val="ListParagraph"/>
        <w:numPr>
          <w:ilvl w:val="0"/>
          <w:numId w:val="89"/>
        </w:numPr>
        <w:tabs>
          <w:tab w:pos="3255" w:val="left" w:leader="none"/>
        </w:tabs>
        <w:spacing w:line="240" w:lineRule="auto" w:before="0" w:after="0"/>
        <w:ind w:left="3254" w:right="0" w:hanging="722"/>
        <w:jc w:val="both"/>
        <w:rPr>
          <w:sz w:val="21"/>
        </w:rPr>
      </w:pPr>
      <w:r>
        <w:rPr>
          <w:spacing w:val="-2"/>
          <w:sz w:val="21"/>
        </w:rPr>
        <w:t>持续性黄疸，胆红素＞50μmol/L；</w:t>
      </w:r>
    </w:p>
    <w:p>
      <w:pPr>
        <w:pStyle w:val="BodyText"/>
        <w:spacing w:before="6"/>
        <w:rPr>
          <w:sz w:val="15"/>
        </w:rPr>
      </w:pPr>
    </w:p>
    <w:p>
      <w:pPr>
        <w:pStyle w:val="ListParagraph"/>
        <w:numPr>
          <w:ilvl w:val="0"/>
          <w:numId w:val="89"/>
        </w:numPr>
        <w:tabs>
          <w:tab w:pos="3255" w:val="left" w:leader="none"/>
        </w:tabs>
        <w:spacing w:line="240" w:lineRule="auto" w:before="1" w:after="0"/>
        <w:ind w:left="3254" w:right="0" w:hanging="722"/>
        <w:jc w:val="both"/>
        <w:rPr>
          <w:sz w:val="21"/>
        </w:rPr>
      </w:pPr>
      <w:r>
        <w:rPr>
          <w:spacing w:val="-2"/>
          <w:sz w:val="21"/>
        </w:rPr>
        <w:t>白蛋白＜27g/L；</w:t>
      </w:r>
    </w:p>
    <w:p>
      <w:pPr>
        <w:pStyle w:val="BodyText"/>
        <w:spacing w:before="7"/>
        <w:rPr>
          <w:sz w:val="15"/>
        </w:rPr>
      </w:pPr>
    </w:p>
    <w:p>
      <w:pPr>
        <w:pStyle w:val="ListParagraph"/>
        <w:numPr>
          <w:ilvl w:val="0"/>
          <w:numId w:val="89"/>
        </w:numPr>
        <w:tabs>
          <w:tab w:pos="3255" w:val="left" w:leader="none"/>
        </w:tabs>
        <w:spacing w:line="240" w:lineRule="auto" w:before="0" w:after="0"/>
        <w:ind w:left="3254" w:right="0" w:hanging="722"/>
        <w:jc w:val="both"/>
        <w:rPr>
          <w:sz w:val="21"/>
        </w:rPr>
      </w:pPr>
      <w:r>
        <w:rPr>
          <w:spacing w:val="-2"/>
          <w:sz w:val="21"/>
        </w:rPr>
        <w:t>凝血酶原时间延长＞4</w:t>
      </w:r>
      <w:r>
        <w:rPr>
          <w:spacing w:val="-21"/>
          <w:sz w:val="21"/>
        </w:rPr>
        <w:t> 秒。</w:t>
      </w:r>
    </w:p>
    <w:p>
      <w:pPr>
        <w:pStyle w:val="BodyText"/>
        <w:spacing w:before="12"/>
        <w:rPr>
          <w:sz w:val="9"/>
        </w:rPr>
      </w:pPr>
    </w:p>
    <w:p>
      <w:pPr>
        <w:pStyle w:val="BodyText"/>
        <w:spacing w:before="72"/>
        <w:ind w:left="2533"/>
      </w:pPr>
      <w:r>
        <w:rPr>
          <w:color w:val="000000"/>
          <w:spacing w:val="-3"/>
          <w:shd w:fill="E4E4E4" w:color="auto" w:val="clear"/>
        </w:rPr>
        <w:t>因酗酒或药物滥用或肝硬化导致的肝功能衰竭不在保障范围内。</w:t>
      </w:r>
    </w:p>
    <w:p>
      <w:pPr>
        <w:pStyle w:val="BodyText"/>
        <w:spacing w:line="278" w:lineRule="auto" w:before="43"/>
        <w:ind w:left="2533" w:right="358"/>
      </w:pPr>
      <w:r>
        <w:rPr>
          <w:color w:val="000000"/>
          <w:spacing w:val="-17"/>
          <w:shd w:fill="E4E4E4" w:color="auto" w:val="clear"/>
        </w:rPr>
        <w:t>本公司对“慢性肝功能衰竭”、“早期肝硬化”二项中的其中一项承担保险责任，给</w:t>
      </w:r>
      <w:r>
        <w:rPr>
          <w:color w:val="000000"/>
          <w:spacing w:val="80"/>
          <w:w w:val="150"/>
          <w:shd w:fill="E4E4E4" w:color="auto" w:val="clear"/>
        </w:rPr>
        <w:t>                                         </w:t>
      </w:r>
      <w:r>
        <w:rPr>
          <w:color w:val="000000"/>
          <w:spacing w:val="-2"/>
          <w:shd w:fill="E4E4E4" w:color="auto" w:val="clear"/>
        </w:rPr>
        <w:t>付其中一项保险金后，对另一项轻度疾病保险责任同时终止。</w:t>
      </w:r>
    </w:p>
    <w:p>
      <w:pPr>
        <w:pStyle w:val="Heading2"/>
        <w:numPr>
          <w:ilvl w:val="0"/>
          <w:numId w:val="84"/>
        </w:numPr>
        <w:tabs>
          <w:tab w:pos="3063" w:val="left" w:leader="none"/>
        </w:tabs>
        <w:spacing w:line="240" w:lineRule="auto" w:before="155" w:after="0"/>
        <w:ind w:left="3063" w:right="0" w:hanging="530"/>
        <w:jc w:val="left"/>
      </w:pPr>
      <w:r>
        <w:rPr>
          <w:w w:val="95"/>
        </w:rPr>
        <w:t>深</w:t>
      </w:r>
      <w:r>
        <w:rPr>
          <w:w w:val="95"/>
        </w:rPr>
        <w:t>度</w:t>
      </w:r>
      <w:r>
        <w:rPr>
          <w:w w:val="95"/>
        </w:rPr>
        <w:t>昏</w:t>
      </w:r>
      <w:r>
        <w:rPr>
          <w:w w:val="95"/>
        </w:rPr>
        <w:t>迷</w:t>
      </w:r>
      <w:r>
        <w:rPr>
          <w:spacing w:val="-12"/>
          <w:w w:val="95"/>
        </w:rPr>
        <w:t> </w:t>
      </w:r>
      <w:r>
        <w:rPr>
          <w:w w:val="95"/>
        </w:rPr>
        <w:t>48</w:t>
      </w:r>
      <w:r>
        <w:rPr>
          <w:spacing w:val="-13"/>
          <w:w w:val="95"/>
        </w:rPr>
        <w:t> </w:t>
      </w:r>
      <w:r>
        <w:rPr>
          <w:w w:val="95"/>
        </w:rPr>
        <w:t>小</w:t>
      </w:r>
      <w:r>
        <w:rPr>
          <w:w w:val="95"/>
        </w:rPr>
        <w:t>时</w:t>
      </w:r>
      <w:r>
        <w:rPr>
          <w:spacing w:val="-10"/>
          <w:w w:val="95"/>
        </w:rPr>
        <w:t>：</w:t>
      </w:r>
    </w:p>
    <w:p>
      <w:pPr>
        <w:pStyle w:val="BodyText"/>
        <w:spacing w:before="7"/>
        <w:rPr>
          <w:b/>
          <w:sz w:val="15"/>
        </w:rPr>
      </w:pPr>
    </w:p>
    <w:p>
      <w:pPr>
        <w:pStyle w:val="BodyText"/>
        <w:ind w:left="2533"/>
      </w:pPr>
      <w:r>
        <w:rPr>
          <w:spacing w:val="-9"/>
        </w:rPr>
        <w:t>指因疾病或意外伤害导致意识丧失,对外界刺激和体内需求均无反应,昏迷程度按照格</w:t>
      </w:r>
    </w:p>
    <w:p>
      <w:pPr>
        <w:spacing w:after="0"/>
        <w:sectPr>
          <w:pgSz w:w="11910" w:h="16840"/>
          <w:pgMar w:header="0" w:footer="659" w:top="1400" w:bottom="840" w:left="920" w:right="540"/>
        </w:sectPr>
      </w:pPr>
    </w:p>
    <w:p>
      <w:pPr>
        <w:pStyle w:val="BodyText"/>
        <w:spacing w:line="278" w:lineRule="auto" w:before="44"/>
        <w:ind w:left="2533" w:right="346"/>
        <w:jc w:val="both"/>
      </w:pPr>
      <w:r>
        <w:rPr>
          <w:spacing w:val="-4"/>
          <w:w w:val="95"/>
        </w:rPr>
        <w:t>拉</w:t>
      </w:r>
      <w:r>
        <w:rPr>
          <w:spacing w:val="-4"/>
          <w:w w:val="95"/>
        </w:rPr>
        <w:t>斯</w:t>
      </w:r>
      <w:r>
        <w:rPr>
          <w:spacing w:val="-4"/>
          <w:w w:val="95"/>
        </w:rPr>
        <w:t>哥</w:t>
      </w:r>
      <w:r>
        <w:rPr>
          <w:spacing w:val="-4"/>
          <w:w w:val="95"/>
        </w:rPr>
        <w:t>昏</w:t>
      </w:r>
      <w:r>
        <w:rPr>
          <w:spacing w:val="-4"/>
          <w:w w:val="95"/>
        </w:rPr>
        <w:t>迷</w:t>
      </w:r>
      <w:r>
        <w:rPr>
          <w:spacing w:val="-4"/>
          <w:w w:val="95"/>
        </w:rPr>
        <w:t>分</w:t>
      </w:r>
      <w:r>
        <w:rPr>
          <w:spacing w:val="-4"/>
          <w:w w:val="95"/>
        </w:rPr>
        <w:t>级（Glasgow</w:t>
      </w:r>
      <w:r>
        <w:rPr>
          <w:spacing w:val="-17"/>
          <w:w w:val="95"/>
        </w:rPr>
        <w:t> </w:t>
      </w:r>
      <w:r>
        <w:rPr>
          <w:spacing w:val="-4"/>
          <w:w w:val="95"/>
        </w:rPr>
        <w:t>coma</w:t>
      </w:r>
      <w:r>
        <w:rPr>
          <w:spacing w:val="10"/>
        </w:rPr>
        <w:t> </w:t>
      </w:r>
      <w:r>
        <w:rPr>
          <w:spacing w:val="-4"/>
          <w:w w:val="95"/>
        </w:rPr>
        <w:t>scale）</w:t>
      </w:r>
      <w:r>
        <w:rPr>
          <w:spacing w:val="-4"/>
          <w:w w:val="95"/>
        </w:rPr>
        <w:t>结</w:t>
      </w:r>
      <w:r>
        <w:rPr>
          <w:spacing w:val="-4"/>
          <w:w w:val="95"/>
        </w:rPr>
        <w:t>果</w:t>
      </w:r>
      <w:r>
        <w:rPr>
          <w:spacing w:val="-11"/>
          <w:w w:val="95"/>
        </w:rPr>
        <w:t>为 </w:t>
      </w:r>
      <w:r>
        <w:rPr>
          <w:spacing w:val="-4"/>
          <w:w w:val="95"/>
        </w:rPr>
        <w:t>5</w:t>
      </w:r>
      <w:r>
        <w:rPr>
          <w:spacing w:val="-11"/>
          <w:w w:val="95"/>
        </w:rPr>
        <w:t> 分或 </w:t>
      </w:r>
      <w:r>
        <w:rPr>
          <w:spacing w:val="-4"/>
          <w:w w:val="95"/>
        </w:rPr>
        <w:t>5</w:t>
      </w:r>
      <w:r>
        <w:rPr>
          <w:spacing w:val="-9"/>
          <w:w w:val="95"/>
        </w:rPr>
        <w:t> 分以</w:t>
      </w:r>
      <w:r>
        <w:rPr>
          <w:spacing w:val="-4"/>
          <w:w w:val="95"/>
        </w:rPr>
        <w:t>下</w:t>
      </w:r>
      <w:r>
        <w:rPr>
          <w:spacing w:val="-4"/>
          <w:w w:val="95"/>
        </w:rPr>
        <w:t>，</w:t>
      </w:r>
      <w:r>
        <w:rPr>
          <w:spacing w:val="-4"/>
          <w:w w:val="95"/>
        </w:rPr>
        <w:t>且</w:t>
      </w:r>
      <w:r>
        <w:rPr>
          <w:spacing w:val="-4"/>
          <w:w w:val="95"/>
        </w:rPr>
        <w:t>已</w:t>
      </w:r>
      <w:r>
        <w:rPr>
          <w:spacing w:val="-4"/>
          <w:w w:val="95"/>
        </w:rPr>
        <w:t>经</w:t>
      </w:r>
      <w:r>
        <w:rPr>
          <w:spacing w:val="-4"/>
          <w:w w:val="95"/>
        </w:rPr>
        <w:t>持</w:t>
      </w:r>
      <w:r>
        <w:rPr>
          <w:spacing w:val="-4"/>
          <w:w w:val="95"/>
        </w:rPr>
        <w:t>续</w:t>
      </w:r>
      <w:r>
        <w:rPr>
          <w:spacing w:val="-4"/>
          <w:w w:val="95"/>
        </w:rPr>
        <w:t>使</w:t>
      </w:r>
      <w:r>
        <w:rPr>
          <w:spacing w:val="-4"/>
          <w:w w:val="95"/>
        </w:rPr>
        <w:t>用</w:t>
      </w:r>
      <w:r>
        <w:rPr>
          <w:spacing w:val="-4"/>
          <w:w w:val="95"/>
        </w:rPr>
        <w:t>呼吸</w:t>
      </w:r>
      <w:r>
        <w:rPr>
          <w:spacing w:val="-12"/>
        </w:rPr>
        <w:t>机及其它生命维持系统 48 小时以上。但未达到本合同所指重大疾病“深度昏迷”的标</w:t>
      </w:r>
      <w:r>
        <w:rPr>
          <w:spacing w:val="-6"/>
        </w:rPr>
        <w:t>准。</w:t>
      </w:r>
    </w:p>
    <w:p>
      <w:pPr>
        <w:pStyle w:val="BodyText"/>
        <w:ind w:left="2533"/>
      </w:pPr>
      <w:r>
        <w:rPr>
          <w:color w:val="000000"/>
          <w:spacing w:val="-12"/>
          <w:shd w:fill="E4E4E4" w:color="auto" w:val="clear"/>
        </w:rPr>
        <w:t>因酗酒或药物滥用导致的昏迷不在保障范围内。</w:t>
      </w:r>
    </w:p>
    <w:p>
      <w:pPr>
        <w:pStyle w:val="BodyText"/>
        <w:spacing w:before="7"/>
        <w:rPr>
          <w:sz w:val="15"/>
        </w:rPr>
      </w:pPr>
    </w:p>
    <w:p>
      <w:pPr>
        <w:pStyle w:val="Heading2"/>
        <w:numPr>
          <w:ilvl w:val="0"/>
          <w:numId w:val="84"/>
        </w:numPr>
        <w:tabs>
          <w:tab w:pos="3063" w:val="left" w:leader="none"/>
        </w:tabs>
        <w:spacing w:line="240" w:lineRule="auto" w:before="0" w:after="0"/>
        <w:ind w:left="3063" w:right="0" w:hanging="530"/>
        <w:jc w:val="left"/>
      </w:pPr>
      <w:r>
        <w:rPr>
          <w:spacing w:val="-2"/>
        </w:rPr>
        <w:t>单耳失聪：</w:t>
      </w:r>
    </w:p>
    <w:p>
      <w:pPr>
        <w:pStyle w:val="BodyText"/>
        <w:spacing w:before="6"/>
        <w:rPr>
          <w:b/>
          <w:sz w:val="15"/>
        </w:rPr>
      </w:pPr>
    </w:p>
    <w:p>
      <w:pPr>
        <w:pStyle w:val="BodyText"/>
        <w:spacing w:line="278" w:lineRule="auto" w:before="1"/>
        <w:ind w:left="2533" w:right="356"/>
        <w:jc w:val="both"/>
      </w:pPr>
      <w:r>
        <w:rPr/>
        <w:t>指因疾病或者意外导致单耳听力永久不可逆性丧失，在 500 赫兹、1000 赫兹和 </w:t>
      </w:r>
      <w:r>
        <w:rPr>
          <w:spacing w:val="-2"/>
        </w:rPr>
        <w:t>2000</w:t>
      </w:r>
      <w:r>
        <w:rPr>
          <w:spacing w:val="-8"/>
        </w:rPr>
        <w:t> 赫兹语音频率下，平均听阈大于 </w:t>
      </w:r>
      <w:r>
        <w:rPr>
          <w:spacing w:val="-2"/>
        </w:rPr>
        <w:t>90</w:t>
      </w:r>
      <w:r>
        <w:rPr>
          <w:spacing w:val="-7"/>
        </w:rPr>
        <w:t> 分贝，且经纯音听力测试、声导抗检测或</w:t>
      </w:r>
      <w:r>
        <w:rPr>
          <w:spacing w:val="-2"/>
        </w:rPr>
        <w:t>者听觉诱发电位检测等证实。</w:t>
      </w:r>
    </w:p>
    <w:p>
      <w:pPr>
        <w:pStyle w:val="BodyText"/>
        <w:spacing w:line="269" w:lineRule="exact"/>
        <w:ind w:left="2533"/>
        <w:jc w:val="both"/>
      </w:pPr>
      <w:r>
        <w:rPr>
          <w:color w:val="000000"/>
          <w:spacing w:val="-26"/>
          <w:shd w:fill="E4E4E4" w:color="auto" w:val="clear"/>
        </w:rPr>
        <w:t>在 </w:t>
      </w:r>
      <w:r>
        <w:rPr>
          <w:color w:val="000000"/>
          <w:spacing w:val="-2"/>
          <w:shd w:fill="E4E4E4" w:color="auto" w:val="clear"/>
        </w:rPr>
        <w:t>0</w:t>
      </w:r>
      <w:r>
        <w:rPr>
          <w:color w:val="000000"/>
          <w:spacing w:val="-34"/>
          <w:shd w:fill="E4E4E4" w:color="auto" w:val="clear"/>
        </w:rPr>
        <w:t> 至 </w:t>
      </w:r>
      <w:r>
        <w:rPr>
          <w:color w:val="000000"/>
          <w:spacing w:val="-2"/>
          <w:shd w:fill="E4E4E4" w:color="auto" w:val="clear"/>
        </w:rPr>
        <w:t>3</w:t>
      </w:r>
      <w:r>
        <w:rPr>
          <w:color w:val="000000"/>
          <w:spacing w:val="-10"/>
          <w:shd w:fill="E4E4E4" w:color="auto" w:val="clear"/>
        </w:rPr>
        <w:t> 周岁期间，被保险人单耳失聪不在保障范围内。</w:t>
      </w:r>
    </w:p>
    <w:p>
      <w:pPr>
        <w:pStyle w:val="BodyText"/>
        <w:spacing w:line="278" w:lineRule="auto" w:before="43"/>
        <w:ind w:left="2533" w:right="356"/>
        <w:jc w:val="both"/>
      </w:pPr>
      <w:r>
        <w:rPr>
          <w:color w:val="000000"/>
          <w:spacing w:val="-11"/>
          <w:shd w:fill="E4E4E4" w:color="auto" w:val="clear"/>
        </w:rPr>
        <w:t>本公司对“听力严重受损”、 “单耳失聪”二项中的其中一项承担保险责任，给付</w:t>
      </w:r>
      <w:r>
        <w:rPr>
          <w:color w:val="000000"/>
          <w:spacing w:val="40"/>
          <w:shd w:fill="E4E4E4" w:color="auto" w:val="clear"/>
        </w:rPr>
        <w:t> </w:t>
      </w:r>
      <w:r>
        <w:rPr>
          <w:color w:val="000000"/>
          <w:spacing w:val="-2"/>
          <w:shd w:fill="E4E4E4" w:color="auto" w:val="clear"/>
        </w:rPr>
        <w:t>其中一项保险金后，对另一项轻度疾病保险责任同时终止。</w:t>
      </w:r>
    </w:p>
    <w:p>
      <w:pPr>
        <w:pStyle w:val="Heading2"/>
        <w:numPr>
          <w:ilvl w:val="0"/>
          <w:numId w:val="84"/>
        </w:numPr>
        <w:tabs>
          <w:tab w:pos="3169" w:val="left" w:leader="none"/>
        </w:tabs>
        <w:spacing w:line="240" w:lineRule="auto" w:before="156" w:after="0"/>
        <w:ind w:left="3168" w:right="0" w:hanging="636"/>
        <w:jc w:val="left"/>
      </w:pPr>
      <w:r>
        <w:rPr>
          <w:spacing w:val="-2"/>
        </w:rPr>
        <w:t>单眼失明：</w:t>
      </w:r>
    </w:p>
    <w:p>
      <w:pPr>
        <w:pStyle w:val="BodyText"/>
        <w:spacing w:before="7"/>
        <w:rPr>
          <w:b/>
          <w:sz w:val="15"/>
        </w:rPr>
      </w:pPr>
    </w:p>
    <w:p>
      <w:pPr>
        <w:pStyle w:val="BodyText"/>
        <w:ind w:left="2533"/>
      </w:pPr>
      <w:r>
        <w:rPr>
          <w:spacing w:val="-3"/>
        </w:rPr>
        <w:t>指因疾病或意外导致单眼视力永久不可逆性丧失，须满足下列至少一项条件：</w:t>
      </w:r>
    </w:p>
    <w:p>
      <w:pPr>
        <w:pStyle w:val="BodyText"/>
        <w:spacing w:before="6"/>
        <w:rPr>
          <w:sz w:val="15"/>
        </w:rPr>
      </w:pPr>
    </w:p>
    <w:p>
      <w:pPr>
        <w:pStyle w:val="ListParagraph"/>
        <w:numPr>
          <w:ilvl w:val="0"/>
          <w:numId w:val="90"/>
        </w:numPr>
        <w:tabs>
          <w:tab w:pos="3254" w:val="left" w:leader="none"/>
          <w:tab w:pos="3255" w:val="left" w:leader="none"/>
        </w:tabs>
        <w:spacing w:line="240" w:lineRule="auto" w:before="0" w:after="0"/>
        <w:ind w:left="3254" w:right="0" w:hanging="722"/>
        <w:jc w:val="left"/>
        <w:rPr>
          <w:sz w:val="21"/>
        </w:rPr>
      </w:pPr>
      <w:r>
        <w:rPr>
          <w:spacing w:val="-4"/>
          <w:sz w:val="21"/>
        </w:rPr>
        <w:t>眼球缺失或摘除；</w:t>
      </w:r>
    </w:p>
    <w:p>
      <w:pPr>
        <w:pStyle w:val="BodyText"/>
        <w:spacing w:before="7"/>
        <w:rPr>
          <w:sz w:val="15"/>
        </w:rPr>
      </w:pPr>
    </w:p>
    <w:p>
      <w:pPr>
        <w:pStyle w:val="ListParagraph"/>
        <w:numPr>
          <w:ilvl w:val="0"/>
          <w:numId w:val="90"/>
        </w:numPr>
        <w:tabs>
          <w:tab w:pos="3254" w:val="left" w:leader="none"/>
          <w:tab w:pos="3255" w:val="left" w:leader="none"/>
        </w:tabs>
        <w:spacing w:line="278" w:lineRule="auto" w:before="0" w:after="0"/>
        <w:ind w:left="3254" w:right="356" w:hanging="721"/>
        <w:jc w:val="left"/>
        <w:rPr>
          <w:sz w:val="21"/>
        </w:rPr>
      </w:pPr>
      <w:r>
        <w:rPr>
          <w:spacing w:val="-4"/>
          <w:sz w:val="21"/>
        </w:rPr>
        <w:t>矫正视力低于 </w:t>
      </w:r>
      <w:r>
        <w:rPr>
          <w:sz w:val="21"/>
        </w:rPr>
        <w:t>0.02（采用国际标准视力表，如果使用其它视力表应进行换</w:t>
      </w:r>
      <w:r>
        <w:rPr>
          <w:spacing w:val="-10"/>
          <w:sz w:val="21"/>
        </w:rPr>
        <w:t>算</w:t>
      </w:r>
      <w:r>
        <w:rPr>
          <w:spacing w:val="-106"/>
          <w:sz w:val="21"/>
        </w:rPr>
        <w:t>）</w:t>
      </w:r>
      <w:r>
        <w:rPr>
          <w:sz w:val="21"/>
        </w:rPr>
        <w:t>；</w:t>
      </w:r>
    </w:p>
    <w:p>
      <w:pPr>
        <w:pStyle w:val="ListParagraph"/>
        <w:numPr>
          <w:ilvl w:val="0"/>
          <w:numId w:val="90"/>
        </w:numPr>
        <w:tabs>
          <w:tab w:pos="3254" w:val="left" w:leader="none"/>
          <w:tab w:pos="3255" w:val="left" w:leader="none"/>
        </w:tabs>
        <w:spacing w:line="240" w:lineRule="auto" w:before="156" w:after="0"/>
        <w:ind w:left="3254" w:right="0" w:hanging="722"/>
        <w:jc w:val="left"/>
        <w:rPr>
          <w:sz w:val="21"/>
        </w:rPr>
      </w:pPr>
      <w:r>
        <w:rPr>
          <w:spacing w:val="-9"/>
          <w:sz w:val="21"/>
        </w:rPr>
        <w:t>视野半径小于 </w:t>
      </w:r>
      <w:r>
        <w:rPr>
          <w:spacing w:val="-2"/>
          <w:sz w:val="21"/>
        </w:rPr>
        <w:t>5</w:t>
      </w:r>
      <w:r>
        <w:rPr>
          <w:spacing w:val="-21"/>
          <w:sz w:val="21"/>
        </w:rPr>
        <w:t> 度。</w:t>
      </w:r>
    </w:p>
    <w:p>
      <w:pPr>
        <w:pStyle w:val="BodyText"/>
        <w:spacing w:before="12"/>
        <w:rPr>
          <w:sz w:val="9"/>
        </w:rPr>
      </w:pPr>
    </w:p>
    <w:p>
      <w:pPr>
        <w:pStyle w:val="BodyText"/>
        <w:spacing w:line="278" w:lineRule="auto" w:before="72"/>
        <w:ind w:left="2533" w:right="356"/>
        <w:jc w:val="both"/>
      </w:pPr>
      <w:r>
        <w:rPr>
          <w:color w:val="000000"/>
          <w:spacing w:val="-30"/>
          <w:shd w:fill="E4E4E4" w:color="auto" w:val="clear"/>
        </w:rPr>
        <w:t>本公司对“视力严重受损”、“角膜移植”、“单眼失明”、“糖尿病视网膜晚期增生性</w:t>
      </w:r>
      <w:r>
        <w:rPr>
          <w:color w:val="000000"/>
          <w:spacing w:val="40"/>
          <w:shd w:fill="E4E4E4" w:color="auto" w:val="clear"/>
        </w:rPr>
        <w:t> </w:t>
      </w:r>
      <w:r>
        <w:rPr>
          <w:color w:val="000000"/>
          <w:spacing w:val="-2"/>
          <w:shd w:fill="E4E4E4" w:color="auto" w:val="clear"/>
        </w:rPr>
        <w:t>病变”四项中的其中一项承担保险责任，给付其中一项保险金后，对其他三项轻度</w:t>
      </w:r>
      <w:r>
        <w:rPr>
          <w:color w:val="000000"/>
          <w:spacing w:val="-2"/>
          <w:shd w:fill="E4E4E4" w:color="auto" w:val="clear"/>
        </w:rPr>
        <w:t>疾病保险责任同时终止。</w:t>
      </w:r>
    </w:p>
    <w:p>
      <w:pPr>
        <w:pStyle w:val="Heading2"/>
        <w:numPr>
          <w:ilvl w:val="0"/>
          <w:numId w:val="84"/>
        </w:numPr>
        <w:tabs>
          <w:tab w:pos="3169" w:val="left" w:leader="none"/>
        </w:tabs>
        <w:spacing w:line="240" w:lineRule="auto" w:before="156" w:after="0"/>
        <w:ind w:left="3168" w:right="0" w:hanging="636"/>
        <w:jc w:val="left"/>
      </w:pPr>
      <w:r>
        <w:rPr>
          <w:spacing w:val="-3"/>
        </w:rPr>
        <w:t>较小面积Ⅲ度烧伤：</w:t>
      </w:r>
    </w:p>
    <w:p>
      <w:pPr>
        <w:pStyle w:val="BodyText"/>
        <w:spacing w:before="6"/>
        <w:rPr>
          <w:b/>
          <w:sz w:val="15"/>
        </w:rPr>
      </w:pPr>
    </w:p>
    <w:p>
      <w:pPr>
        <w:pStyle w:val="BodyText"/>
        <w:spacing w:line="278" w:lineRule="auto"/>
        <w:ind w:left="2533" w:right="355"/>
        <w:jc w:val="both"/>
      </w:pPr>
      <w:r>
        <w:rPr>
          <w:spacing w:val="-10"/>
        </w:rPr>
        <w:t>指烧伤程度为Ⅲ度，且Ⅲ度烧伤面积为全身体表面积的 </w:t>
      </w:r>
      <w:r>
        <w:rPr>
          <w:spacing w:val="-2"/>
        </w:rPr>
        <w:t>10%</w:t>
      </w:r>
      <w:r>
        <w:rPr>
          <w:spacing w:val="-13"/>
        </w:rPr>
        <w:t>或 </w:t>
      </w:r>
      <w:r>
        <w:rPr>
          <w:spacing w:val="-2"/>
        </w:rPr>
        <w:t>10</w:t>
      </w:r>
      <w:r>
        <w:rPr>
          <w:spacing w:val="-10"/>
        </w:rPr>
        <w:t>%以上，且未达到中</w:t>
      </w:r>
      <w:r>
        <w:rPr>
          <w:spacing w:val="-2"/>
        </w:rPr>
        <w:t>度疾病“全身中度面积Ⅲ度烧伤”的给付标准。体表面积根据《中国新九分法》计</w:t>
      </w:r>
      <w:r>
        <w:rPr>
          <w:spacing w:val="-6"/>
        </w:rPr>
        <w:t>算。</w:t>
      </w:r>
    </w:p>
    <w:p>
      <w:pPr>
        <w:pStyle w:val="Heading2"/>
        <w:numPr>
          <w:ilvl w:val="0"/>
          <w:numId w:val="84"/>
        </w:numPr>
        <w:tabs>
          <w:tab w:pos="3169" w:val="left" w:leader="none"/>
        </w:tabs>
        <w:spacing w:line="240" w:lineRule="auto" w:before="156" w:after="0"/>
        <w:ind w:left="3168" w:right="0" w:hanging="636"/>
        <w:jc w:val="left"/>
      </w:pPr>
      <w:r>
        <w:rPr>
          <w:spacing w:val="-2"/>
        </w:rPr>
        <w:t>主动脉内手术（非开胸手术</w:t>
      </w:r>
      <w:r>
        <w:rPr>
          <w:spacing w:val="-113"/>
        </w:rPr>
        <w:t>）</w:t>
      </w:r>
      <w:r>
        <w:rPr>
          <w:spacing w:val="-7"/>
        </w:rPr>
        <w:t>：</w:t>
      </w:r>
    </w:p>
    <w:p>
      <w:pPr>
        <w:pStyle w:val="BodyText"/>
        <w:spacing w:before="7"/>
        <w:rPr>
          <w:b/>
          <w:sz w:val="15"/>
        </w:rPr>
      </w:pPr>
    </w:p>
    <w:p>
      <w:pPr>
        <w:pStyle w:val="BodyText"/>
        <w:spacing w:line="278" w:lineRule="auto"/>
        <w:ind w:left="2533" w:right="356"/>
      </w:pPr>
      <w:r>
        <w:rPr>
          <w:spacing w:val="-2"/>
        </w:rPr>
        <w:t>为了治疗主动脉疾病实际实施了经皮经导管进行的动脉内手术。主动脉指胸主动脉</w:t>
      </w:r>
      <w:r>
        <w:rPr>
          <w:spacing w:val="-2"/>
        </w:rPr>
        <w:t>和腹主动脉，</w:t>
      </w:r>
      <w:r>
        <w:rPr>
          <w:color w:val="000000"/>
          <w:spacing w:val="-2"/>
          <w:shd w:fill="E4E4E4" w:color="auto" w:val="clear"/>
        </w:rPr>
        <w:t>不包括胸主动脉和腹主动脉的分支血管</w:t>
      </w:r>
      <w:r>
        <w:rPr>
          <w:color w:val="000000"/>
          <w:spacing w:val="-2"/>
        </w:rPr>
        <w:t>。</w:t>
      </w:r>
    </w:p>
    <w:p>
      <w:pPr>
        <w:pStyle w:val="Heading2"/>
        <w:numPr>
          <w:ilvl w:val="0"/>
          <w:numId w:val="84"/>
        </w:numPr>
        <w:tabs>
          <w:tab w:pos="3169" w:val="left" w:leader="none"/>
        </w:tabs>
        <w:spacing w:line="240" w:lineRule="auto" w:before="156" w:after="0"/>
        <w:ind w:left="3168" w:right="0" w:hanging="636"/>
        <w:jc w:val="left"/>
      </w:pPr>
      <w:r>
        <w:rPr>
          <w:spacing w:val="-3"/>
        </w:rPr>
        <w:t>糖尿病视网膜晚期增生性病变：</w:t>
      </w:r>
    </w:p>
    <w:p>
      <w:pPr>
        <w:pStyle w:val="BodyText"/>
        <w:spacing w:before="6"/>
        <w:rPr>
          <w:b/>
          <w:sz w:val="15"/>
        </w:rPr>
      </w:pPr>
    </w:p>
    <w:p>
      <w:pPr>
        <w:pStyle w:val="BodyText"/>
        <w:ind w:left="2533"/>
      </w:pPr>
      <w:r>
        <w:rPr>
          <w:spacing w:val="-3"/>
        </w:rPr>
        <w:t>因糖尿病而并发视网膜晚期增生性血管病变，并必须符合下列所有理赔条件：</w:t>
      </w:r>
    </w:p>
    <w:p>
      <w:pPr>
        <w:pStyle w:val="BodyText"/>
        <w:spacing w:before="7"/>
        <w:rPr>
          <w:sz w:val="15"/>
        </w:rPr>
      </w:pPr>
    </w:p>
    <w:p>
      <w:pPr>
        <w:pStyle w:val="ListParagraph"/>
        <w:numPr>
          <w:ilvl w:val="0"/>
          <w:numId w:val="91"/>
        </w:numPr>
        <w:tabs>
          <w:tab w:pos="3254" w:val="left" w:leader="none"/>
          <w:tab w:pos="3255" w:val="left" w:leader="none"/>
        </w:tabs>
        <w:spacing w:line="240" w:lineRule="auto" w:before="0" w:after="0"/>
        <w:ind w:left="3254" w:right="0" w:hanging="722"/>
        <w:jc w:val="left"/>
        <w:rPr>
          <w:sz w:val="21"/>
        </w:rPr>
      </w:pPr>
      <w:r>
        <w:rPr>
          <w:spacing w:val="-3"/>
          <w:sz w:val="21"/>
        </w:rPr>
        <w:t>确诊糖尿病视网膜病变时被保险人已患有糖尿病；</w:t>
      </w:r>
    </w:p>
    <w:p>
      <w:pPr>
        <w:pStyle w:val="BodyText"/>
        <w:spacing w:before="7"/>
        <w:rPr>
          <w:sz w:val="15"/>
        </w:rPr>
      </w:pPr>
    </w:p>
    <w:p>
      <w:pPr>
        <w:pStyle w:val="ListParagraph"/>
        <w:numPr>
          <w:ilvl w:val="0"/>
          <w:numId w:val="91"/>
        </w:numPr>
        <w:tabs>
          <w:tab w:pos="3254" w:val="left" w:leader="none"/>
          <w:tab w:pos="3255" w:val="left" w:leader="none"/>
        </w:tabs>
        <w:spacing w:line="278" w:lineRule="auto" w:before="0" w:after="0"/>
        <w:ind w:left="3254" w:right="358" w:hanging="721"/>
        <w:jc w:val="left"/>
        <w:rPr>
          <w:sz w:val="21"/>
        </w:rPr>
      </w:pPr>
      <w:r>
        <w:rPr>
          <w:spacing w:val="-7"/>
          <w:sz w:val="21"/>
        </w:rPr>
        <w:t>双眼最佳矫正视力低于 </w:t>
      </w:r>
      <w:r>
        <w:rPr>
          <w:spacing w:val="-2"/>
          <w:sz w:val="21"/>
        </w:rPr>
        <w:t>0.3（采用国际标准视力表，如果使用其他视力表应</w:t>
      </w:r>
      <w:r>
        <w:rPr>
          <w:spacing w:val="-4"/>
          <w:sz w:val="21"/>
        </w:rPr>
        <w:t>进行换算</w:t>
      </w:r>
      <w:r>
        <w:rPr>
          <w:spacing w:val="-108"/>
          <w:sz w:val="21"/>
        </w:rPr>
        <w:t>）</w:t>
      </w:r>
      <w:r>
        <w:rPr>
          <w:sz w:val="21"/>
        </w:rPr>
        <w:t>；</w:t>
      </w:r>
    </w:p>
    <w:p>
      <w:pPr>
        <w:pStyle w:val="ListParagraph"/>
        <w:numPr>
          <w:ilvl w:val="0"/>
          <w:numId w:val="91"/>
        </w:numPr>
        <w:tabs>
          <w:tab w:pos="3254" w:val="left" w:leader="none"/>
          <w:tab w:pos="3255" w:val="left" w:leader="none"/>
        </w:tabs>
        <w:spacing w:line="240" w:lineRule="auto" w:before="156" w:after="0"/>
        <w:ind w:left="3254" w:right="0" w:hanging="722"/>
        <w:jc w:val="left"/>
        <w:rPr>
          <w:sz w:val="21"/>
        </w:rPr>
      </w:pPr>
      <w:r>
        <w:rPr>
          <w:spacing w:val="-3"/>
          <w:sz w:val="21"/>
        </w:rPr>
        <w:t>被保险人已确实进行了激光治疗等以改善视力障碍；</w:t>
      </w:r>
    </w:p>
    <w:p>
      <w:pPr>
        <w:pStyle w:val="BodyText"/>
        <w:spacing w:before="7"/>
        <w:rPr>
          <w:sz w:val="15"/>
        </w:rPr>
      </w:pPr>
    </w:p>
    <w:p>
      <w:pPr>
        <w:pStyle w:val="ListParagraph"/>
        <w:numPr>
          <w:ilvl w:val="0"/>
          <w:numId w:val="91"/>
        </w:numPr>
        <w:tabs>
          <w:tab w:pos="3254" w:val="left" w:leader="none"/>
          <w:tab w:pos="3255" w:val="left" w:leader="none"/>
        </w:tabs>
        <w:spacing w:line="278" w:lineRule="auto" w:before="0" w:after="0"/>
        <w:ind w:left="3254" w:right="356" w:hanging="721"/>
        <w:jc w:val="left"/>
        <w:rPr>
          <w:sz w:val="21"/>
        </w:rPr>
      </w:pPr>
      <w:r>
        <w:rPr>
          <w:spacing w:val="-11"/>
          <w:sz w:val="21"/>
        </w:rPr>
        <w:t>糖尿病视网膜病变的诊断、视力障碍的程度及治疗的医疗之必要性必须由本</w:t>
      </w:r>
      <w:r>
        <w:rPr>
          <w:spacing w:val="-2"/>
          <w:sz w:val="21"/>
        </w:rPr>
        <w:t>公司认可的医疗机构的眼科专科医生确定。</w:t>
      </w:r>
    </w:p>
    <w:p>
      <w:pPr>
        <w:spacing w:after="0" w:line="278" w:lineRule="auto"/>
        <w:jc w:val="left"/>
        <w:rPr>
          <w:sz w:val="21"/>
        </w:rPr>
        <w:sectPr>
          <w:pgSz w:w="11910" w:h="16840"/>
          <w:pgMar w:header="0" w:footer="659" w:top="1400" w:bottom="840" w:left="920" w:right="540"/>
        </w:sectPr>
      </w:pPr>
    </w:p>
    <w:p>
      <w:pPr>
        <w:pStyle w:val="BodyText"/>
        <w:spacing w:line="278" w:lineRule="auto" w:before="44"/>
        <w:ind w:left="2533" w:right="356"/>
        <w:jc w:val="both"/>
      </w:pPr>
      <w:r>
        <w:rPr>
          <w:color w:val="000000"/>
          <w:spacing w:val="-30"/>
          <w:shd w:fill="E4E4E4" w:color="auto" w:val="clear"/>
        </w:rPr>
        <w:t>本公司对“视力严重受损”、“角膜移植”、“单眼失明”、“糖尿病视网膜晚期增生性</w:t>
      </w:r>
      <w:r>
        <w:rPr>
          <w:color w:val="000000"/>
          <w:spacing w:val="40"/>
          <w:shd w:fill="E4E4E4" w:color="auto" w:val="clear"/>
        </w:rPr>
        <w:t> </w:t>
      </w:r>
      <w:r>
        <w:rPr>
          <w:color w:val="000000"/>
          <w:spacing w:val="-2"/>
          <w:shd w:fill="E4E4E4" w:color="auto" w:val="clear"/>
        </w:rPr>
        <w:t>病变”四项中的其中一项承担保险责任，给付其中一项保险金后，对其他三项轻度</w:t>
      </w:r>
      <w:r>
        <w:rPr>
          <w:color w:val="000000"/>
          <w:spacing w:val="-2"/>
          <w:shd w:fill="E4E4E4" w:color="auto" w:val="clear"/>
        </w:rPr>
        <w:t>疾病保险责任同时终止。</w:t>
      </w:r>
    </w:p>
    <w:p>
      <w:pPr>
        <w:pStyle w:val="Heading2"/>
        <w:numPr>
          <w:ilvl w:val="0"/>
          <w:numId w:val="84"/>
        </w:numPr>
        <w:tabs>
          <w:tab w:pos="3169" w:val="left" w:leader="none"/>
        </w:tabs>
        <w:spacing w:line="240" w:lineRule="auto" w:before="156" w:after="0"/>
        <w:ind w:left="3168" w:right="0" w:hanging="636"/>
        <w:jc w:val="left"/>
      </w:pPr>
      <w:r>
        <w:rPr>
          <w:spacing w:val="-3"/>
        </w:rPr>
        <w:t>急性坏死性胰腺炎腹腔镜手术：</w:t>
      </w:r>
    </w:p>
    <w:p>
      <w:pPr>
        <w:pStyle w:val="BodyText"/>
        <w:spacing w:before="7"/>
        <w:rPr>
          <w:b/>
          <w:sz w:val="15"/>
        </w:rPr>
      </w:pPr>
    </w:p>
    <w:p>
      <w:pPr>
        <w:pStyle w:val="BodyText"/>
        <w:spacing w:line="278" w:lineRule="auto"/>
        <w:ind w:left="2533" w:right="356"/>
      </w:pPr>
      <w:r>
        <w:rPr>
          <w:spacing w:val="-2"/>
        </w:rPr>
        <w:t>指被保险人被确诊为急性坏死性胰腺炎，并实际接受了腹腔镜手术治疗，以进行坏</w:t>
      </w:r>
      <w:r>
        <w:rPr>
          <w:spacing w:val="-2"/>
        </w:rPr>
        <w:t>死组织清除、坏死病灶切除或胰腺切除。</w:t>
      </w:r>
    </w:p>
    <w:p>
      <w:pPr>
        <w:pStyle w:val="BodyText"/>
        <w:spacing w:before="156"/>
        <w:ind w:left="2533"/>
      </w:pPr>
      <w:r>
        <w:rPr>
          <w:color w:val="000000"/>
          <w:spacing w:val="-3"/>
          <w:shd w:fill="E4E4E4" w:color="auto" w:val="clear"/>
        </w:rPr>
        <w:t>因酗酒或饮酒过量所致的急性坏死性胰腺炎不在保障范围内。</w:t>
      </w:r>
    </w:p>
    <w:p>
      <w:pPr>
        <w:pStyle w:val="BodyText"/>
        <w:spacing w:before="6"/>
        <w:rPr>
          <w:sz w:val="15"/>
        </w:rPr>
      </w:pPr>
    </w:p>
    <w:p>
      <w:pPr>
        <w:pStyle w:val="Heading2"/>
        <w:numPr>
          <w:ilvl w:val="0"/>
          <w:numId w:val="84"/>
        </w:numPr>
        <w:tabs>
          <w:tab w:pos="3169" w:val="left" w:leader="none"/>
        </w:tabs>
        <w:spacing w:line="240" w:lineRule="auto" w:before="0" w:after="0"/>
        <w:ind w:left="3168" w:right="0" w:hanging="636"/>
        <w:jc w:val="left"/>
      </w:pPr>
      <w:r>
        <w:rPr>
          <w:spacing w:val="-3"/>
        </w:rPr>
        <w:t>肺泡蛋白沉积症肺灌流治疗：</w:t>
      </w:r>
    </w:p>
    <w:p>
      <w:pPr>
        <w:pStyle w:val="BodyText"/>
        <w:spacing w:before="7"/>
        <w:rPr>
          <w:b/>
          <w:sz w:val="15"/>
        </w:rPr>
      </w:pPr>
    </w:p>
    <w:p>
      <w:pPr>
        <w:pStyle w:val="BodyText"/>
        <w:spacing w:line="278" w:lineRule="auto"/>
        <w:ind w:left="2533" w:right="356"/>
      </w:pPr>
      <w:r>
        <w:rPr>
          <w:spacing w:val="-2"/>
        </w:rPr>
        <w:t>肺泡蛋白质沉积症是一种弥漫性肺部疾病，其组织学特征为肺泡腔内及终末细支气</w:t>
      </w:r>
      <w:r>
        <w:rPr>
          <w:spacing w:val="-2"/>
        </w:rPr>
        <w:t>管内堆积过量的磷脂蛋白样物质。必须满足下列所有条件：</w:t>
      </w:r>
    </w:p>
    <w:p>
      <w:pPr>
        <w:pStyle w:val="ListParagraph"/>
        <w:numPr>
          <w:ilvl w:val="0"/>
          <w:numId w:val="92"/>
        </w:numPr>
        <w:tabs>
          <w:tab w:pos="3255" w:val="left" w:leader="none"/>
        </w:tabs>
        <w:spacing w:line="240" w:lineRule="auto" w:before="157" w:after="0"/>
        <w:ind w:left="3254" w:right="0" w:hanging="722"/>
        <w:jc w:val="both"/>
        <w:rPr>
          <w:sz w:val="21"/>
        </w:rPr>
      </w:pPr>
      <w:r>
        <w:rPr>
          <w:spacing w:val="-3"/>
          <w:sz w:val="21"/>
        </w:rPr>
        <w:t>经组织病理学检查明确诊断；</w:t>
      </w:r>
    </w:p>
    <w:p>
      <w:pPr>
        <w:pStyle w:val="BodyText"/>
        <w:spacing w:before="6"/>
        <w:rPr>
          <w:sz w:val="15"/>
        </w:rPr>
      </w:pPr>
    </w:p>
    <w:p>
      <w:pPr>
        <w:pStyle w:val="ListParagraph"/>
        <w:numPr>
          <w:ilvl w:val="0"/>
          <w:numId w:val="92"/>
        </w:numPr>
        <w:tabs>
          <w:tab w:pos="3255" w:val="left" w:leader="none"/>
        </w:tabs>
        <w:spacing w:line="240" w:lineRule="auto" w:before="0" w:after="0"/>
        <w:ind w:left="3254" w:right="0" w:hanging="722"/>
        <w:jc w:val="both"/>
        <w:rPr>
          <w:sz w:val="21"/>
        </w:rPr>
      </w:pPr>
      <w:r>
        <w:rPr>
          <w:spacing w:val="-8"/>
          <w:sz w:val="21"/>
        </w:rPr>
        <w:t>实际接受了至少 </w:t>
      </w:r>
      <w:r>
        <w:rPr>
          <w:spacing w:val="-2"/>
          <w:sz w:val="21"/>
        </w:rPr>
        <w:t>2</w:t>
      </w:r>
      <w:r>
        <w:rPr>
          <w:spacing w:val="-10"/>
          <w:sz w:val="21"/>
        </w:rPr>
        <w:t> 次支气管肺泡灌洗治疗。</w:t>
      </w:r>
    </w:p>
    <w:p>
      <w:pPr>
        <w:pStyle w:val="BodyText"/>
        <w:spacing w:before="7"/>
        <w:rPr>
          <w:sz w:val="15"/>
        </w:rPr>
      </w:pPr>
    </w:p>
    <w:p>
      <w:pPr>
        <w:pStyle w:val="Heading2"/>
        <w:numPr>
          <w:ilvl w:val="0"/>
          <w:numId w:val="84"/>
        </w:numPr>
        <w:tabs>
          <w:tab w:pos="3169" w:val="left" w:leader="none"/>
        </w:tabs>
        <w:spacing w:line="240" w:lineRule="auto" w:before="0" w:after="0"/>
        <w:ind w:left="3168" w:right="0" w:hanging="636"/>
        <w:jc w:val="left"/>
      </w:pPr>
      <w:r>
        <w:rPr>
          <w:spacing w:val="-3"/>
        </w:rPr>
        <w:t>早期原发性心肌病：</w:t>
      </w:r>
    </w:p>
    <w:p>
      <w:pPr>
        <w:pStyle w:val="BodyText"/>
        <w:spacing w:before="7"/>
        <w:rPr>
          <w:b/>
          <w:sz w:val="15"/>
        </w:rPr>
      </w:pPr>
    </w:p>
    <w:p>
      <w:pPr>
        <w:pStyle w:val="BodyText"/>
        <w:ind w:left="2533"/>
      </w:pPr>
      <w:r>
        <w:rPr>
          <w:spacing w:val="-3"/>
        </w:rPr>
        <w:t>被诊断为原发性心肌病，并符合下列全部条件：</w:t>
      </w:r>
    </w:p>
    <w:p>
      <w:pPr>
        <w:pStyle w:val="BodyText"/>
        <w:spacing w:before="6"/>
        <w:rPr>
          <w:sz w:val="15"/>
        </w:rPr>
      </w:pPr>
    </w:p>
    <w:p>
      <w:pPr>
        <w:pStyle w:val="ListParagraph"/>
        <w:numPr>
          <w:ilvl w:val="0"/>
          <w:numId w:val="93"/>
        </w:numPr>
        <w:tabs>
          <w:tab w:pos="3255" w:val="left" w:leader="none"/>
        </w:tabs>
        <w:spacing w:line="278" w:lineRule="auto" w:before="1" w:after="0"/>
        <w:ind w:left="3254" w:right="356" w:hanging="721"/>
        <w:jc w:val="both"/>
        <w:rPr>
          <w:sz w:val="21"/>
        </w:rPr>
      </w:pPr>
      <w:r>
        <w:rPr>
          <w:spacing w:val="-12"/>
          <w:sz w:val="21"/>
        </w:rPr>
        <w:t>导致心室功能受损，其受损程度达到美国纽约心脏病学会心脏功能分级第Ⅲ</w:t>
      </w:r>
      <w:r>
        <w:rPr>
          <w:spacing w:val="-4"/>
          <w:sz w:val="21"/>
        </w:rPr>
        <w:t>级，或其同等级別，即：体力活动明显受限，休息时无症状，轻于日常的活</w:t>
      </w:r>
      <w:r>
        <w:rPr>
          <w:spacing w:val="-2"/>
          <w:sz w:val="21"/>
        </w:rPr>
        <w:t>动即可引起充血性心力衰竭的症状；</w:t>
      </w:r>
    </w:p>
    <w:p>
      <w:pPr>
        <w:pStyle w:val="ListParagraph"/>
        <w:numPr>
          <w:ilvl w:val="0"/>
          <w:numId w:val="93"/>
        </w:numPr>
        <w:tabs>
          <w:tab w:pos="3255" w:val="left" w:leader="none"/>
        </w:tabs>
        <w:spacing w:line="240" w:lineRule="auto" w:before="155" w:after="0"/>
        <w:ind w:left="3254" w:right="0" w:hanging="722"/>
        <w:jc w:val="both"/>
        <w:rPr>
          <w:sz w:val="21"/>
        </w:rPr>
      </w:pPr>
      <w:r>
        <w:rPr>
          <w:spacing w:val="-9"/>
          <w:sz w:val="21"/>
        </w:rPr>
        <w:t>左室射血分数 </w:t>
      </w:r>
      <w:r>
        <w:rPr>
          <w:spacing w:val="-2"/>
          <w:sz w:val="21"/>
        </w:rPr>
        <w:t>LVEF＜35%；</w:t>
      </w:r>
    </w:p>
    <w:p>
      <w:pPr>
        <w:pStyle w:val="BodyText"/>
        <w:spacing w:before="7"/>
        <w:rPr>
          <w:sz w:val="15"/>
        </w:rPr>
      </w:pPr>
    </w:p>
    <w:p>
      <w:pPr>
        <w:pStyle w:val="ListParagraph"/>
        <w:numPr>
          <w:ilvl w:val="0"/>
          <w:numId w:val="93"/>
        </w:numPr>
        <w:tabs>
          <w:tab w:pos="3255" w:val="left" w:leader="none"/>
        </w:tabs>
        <w:spacing w:line="278" w:lineRule="auto" w:before="0" w:after="0"/>
        <w:ind w:left="3254" w:right="355" w:hanging="721"/>
        <w:jc w:val="both"/>
        <w:rPr>
          <w:sz w:val="21"/>
        </w:rPr>
      </w:pPr>
      <w:r>
        <w:rPr>
          <w:spacing w:val="-6"/>
          <w:sz w:val="21"/>
        </w:rPr>
        <w:t>原发性心肌病的诊断必须由本公司认可医院的心脏专科医生确认，并提供心</w:t>
      </w:r>
      <w:r>
        <w:rPr>
          <w:spacing w:val="-2"/>
          <w:sz w:val="21"/>
        </w:rPr>
        <w:t>脏超声检查结果报告。</w:t>
      </w:r>
    </w:p>
    <w:p>
      <w:pPr>
        <w:pStyle w:val="BodyText"/>
        <w:spacing w:before="156"/>
        <w:ind w:left="2533"/>
      </w:pPr>
      <w:r>
        <w:rPr>
          <w:spacing w:val="-3"/>
        </w:rPr>
        <w:t>本保障范围内的心肌病包括扩张型心肌病、肥厚型心肌病及限制型心肌病。</w:t>
      </w:r>
    </w:p>
    <w:p>
      <w:pPr>
        <w:pStyle w:val="BodyText"/>
        <w:spacing w:before="7"/>
        <w:rPr>
          <w:sz w:val="15"/>
        </w:rPr>
      </w:pPr>
    </w:p>
    <w:p>
      <w:pPr>
        <w:pStyle w:val="Heading2"/>
        <w:numPr>
          <w:ilvl w:val="0"/>
          <w:numId w:val="84"/>
        </w:numPr>
        <w:tabs>
          <w:tab w:pos="3169" w:val="left" w:leader="none"/>
        </w:tabs>
        <w:spacing w:line="240" w:lineRule="auto" w:before="0" w:after="0"/>
        <w:ind w:left="3168" w:right="0" w:hanging="636"/>
        <w:jc w:val="left"/>
      </w:pPr>
      <w:r>
        <w:rPr>
          <w:spacing w:val="-3"/>
        </w:rPr>
        <w:t>脑动脉瘤及脑血管瘤：</w:t>
      </w:r>
    </w:p>
    <w:p>
      <w:pPr>
        <w:pStyle w:val="BodyText"/>
        <w:spacing w:before="6"/>
        <w:rPr>
          <w:b/>
          <w:sz w:val="15"/>
        </w:rPr>
      </w:pPr>
    </w:p>
    <w:p>
      <w:pPr>
        <w:pStyle w:val="BodyText"/>
        <w:spacing w:line="278" w:lineRule="auto" w:before="1"/>
        <w:ind w:left="2533" w:right="346"/>
      </w:pPr>
      <w:r>
        <w:rPr>
          <w:spacing w:val="-4"/>
        </w:rPr>
        <w:t>指经头颅断层扫描</w:t>
      </w:r>
      <w:r>
        <w:rPr>
          <w:spacing w:val="20"/>
        </w:rPr>
        <w:t>（</w:t>
      </w:r>
      <w:r>
        <w:rPr>
          <w:spacing w:val="23"/>
        </w:rPr>
        <w:t>CT</w:t>
      </w:r>
      <w:r>
        <w:rPr>
          <w:spacing w:val="-85"/>
        </w:rPr>
        <w:t>）</w:t>
      </w:r>
      <w:r>
        <w:rPr>
          <w:spacing w:val="-4"/>
        </w:rPr>
        <w:t>、核磁共振（MRI）或其他影像学检查被确诊为脑动脉瘤、</w:t>
      </w:r>
      <w:r>
        <w:rPr>
          <w:spacing w:val="-2"/>
        </w:rPr>
        <w:t>脑血管瘤，并实际接受了手术或放射治疗。</w:t>
      </w:r>
    </w:p>
    <w:p>
      <w:pPr>
        <w:pStyle w:val="Heading2"/>
        <w:numPr>
          <w:ilvl w:val="0"/>
          <w:numId w:val="84"/>
        </w:numPr>
        <w:tabs>
          <w:tab w:pos="3169" w:val="left" w:leader="none"/>
        </w:tabs>
        <w:spacing w:line="240" w:lineRule="auto" w:before="155" w:after="0"/>
        <w:ind w:left="3168" w:right="0" w:hanging="636"/>
        <w:jc w:val="left"/>
      </w:pPr>
      <w:r>
        <w:rPr>
          <w:spacing w:val="-2"/>
        </w:rPr>
        <w:t>轻度面部烧伤：</w:t>
      </w:r>
    </w:p>
    <w:p>
      <w:pPr>
        <w:pStyle w:val="BodyText"/>
        <w:spacing w:before="7"/>
        <w:rPr>
          <w:b/>
          <w:sz w:val="15"/>
        </w:rPr>
      </w:pPr>
    </w:p>
    <w:p>
      <w:pPr>
        <w:pStyle w:val="BodyText"/>
        <w:spacing w:line="278" w:lineRule="auto"/>
        <w:ind w:left="2533" w:right="344"/>
      </w:pPr>
      <w:r>
        <w:rPr>
          <w:spacing w:val="-2"/>
        </w:rPr>
        <w:t>指面部Ⅲ度烧伤且烧伤面积达到面部表面积的 </w:t>
      </w:r>
      <w:r>
        <w:rPr/>
        <w:t>1/3</w:t>
      </w:r>
      <w:r>
        <w:rPr>
          <w:spacing w:val="-11"/>
        </w:rPr>
        <w:t> 或全身体表面积的 </w:t>
      </w:r>
      <w:r>
        <w:rPr/>
        <w:t>1％；且未达</w:t>
      </w:r>
      <w:r>
        <w:rPr>
          <w:spacing w:val="-3"/>
        </w:rPr>
        <w:t>到重大疾病“严重面部烧伤”的给付标准。体表面积根据《中国新九分法》计算。</w:t>
      </w:r>
    </w:p>
    <w:p>
      <w:pPr>
        <w:pStyle w:val="Heading2"/>
        <w:numPr>
          <w:ilvl w:val="0"/>
          <w:numId w:val="84"/>
        </w:numPr>
        <w:tabs>
          <w:tab w:pos="3169" w:val="left" w:leader="none"/>
        </w:tabs>
        <w:spacing w:line="240" w:lineRule="auto" w:before="156" w:after="0"/>
        <w:ind w:left="3168" w:right="0" w:hanging="636"/>
        <w:jc w:val="left"/>
      </w:pPr>
      <w:r>
        <w:rPr>
          <w:spacing w:val="-2"/>
        </w:rPr>
        <w:t>系统性红斑狼疮：</w:t>
      </w:r>
    </w:p>
    <w:p>
      <w:pPr>
        <w:pStyle w:val="BodyText"/>
        <w:spacing w:before="7"/>
        <w:rPr>
          <w:b/>
          <w:sz w:val="15"/>
        </w:rPr>
      </w:pPr>
    </w:p>
    <w:p>
      <w:pPr>
        <w:pStyle w:val="BodyText"/>
        <w:ind w:left="2533"/>
      </w:pPr>
      <w:r>
        <w:rPr>
          <w:spacing w:val="-3"/>
        </w:rPr>
        <w:t>本保障所指的系统性红斑狼疮必须符合下列全部理赔条件：</w:t>
      </w:r>
    </w:p>
    <w:p>
      <w:pPr>
        <w:pStyle w:val="BodyText"/>
        <w:spacing w:before="7"/>
        <w:rPr>
          <w:sz w:val="15"/>
        </w:rPr>
      </w:pPr>
    </w:p>
    <w:p>
      <w:pPr>
        <w:pStyle w:val="ListParagraph"/>
        <w:numPr>
          <w:ilvl w:val="0"/>
          <w:numId w:val="94"/>
        </w:numPr>
        <w:tabs>
          <w:tab w:pos="3255" w:val="left" w:leader="none"/>
        </w:tabs>
        <w:spacing w:line="240" w:lineRule="auto" w:before="0" w:after="0"/>
        <w:ind w:left="3254" w:right="0" w:hanging="722"/>
        <w:jc w:val="both"/>
        <w:rPr>
          <w:sz w:val="21"/>
        </w:rPr>
      </w:pPr>
      <w:r>
        <w:rPr>
          <w:spacing w:val="-3"/>
          <w:sz w:val="21"/>
        </w:rPr>
        <w:t>在下列五项情况中出现最少三项：</w:t>
      </w:r>
    </w:p>
    <w:p>
      <w:pPr>
        <w:pStyle w:val="BodyText"/>
        <w:spacing w:before="7"/>
        <w:rPr>
          <w:sz w:val="15"/>
        </w:rPr>
      </w:pPr>
    </w:p>
    <w:p>
      <w:pPr>
        <w:pStyle w:val="ListParagraph"/>
        <w:numPr>
          <w:ilvl w:val="1"/>
          <w:numId w:val="94"/>
        </w:numPr>
        <w:tabs>
          <w:tab w:pos="3675" w:val="left" w:leader="none"/>
        </w:tabs>
        <w:spacing w:line="240" w:lineRule="auto" w:before="0" w:after="0"/>
        <w:ind w:left="3674" w:right="0" w:hanging="421"/>
        <w:jc w:val="left"/>
        <w:rPr>
          <w:sz w:val="21"/>
        </w:rPr>
      </w:pPr>
      <w:r>
        <w:rPr>
          <w:spacing w:val="-3"/>
          <w:sz w:val="21"/>
        </w:rPr>
        <w:t>关节炎：非磨损性关节炎，需涉及两个或以上关节；</w:t>
      </w:r>
    </w:p>
    <w:p>
      <w:pPr>
        <w:pStyle w:val="BodyText"/>
        <w:spacing w:before="6"/>
        <w:rPr>
          <w:sz w:val="15"/>
        </w:rPr>
      </w:pPr>
    </w:p>
    <w:p>
      <w:pPr>
        <w:pStyle w:val="ListParagraph"/>
        <w:numPr>
          <w:ilvl w:val="1"/>
          <w:numId w:val="94"/>
        </w:numPr>
        <w:tabs>
          <w:tab w:pos="3675" w:val="left" w:leader="none"/>
        </w:tabs>
        <w:spacing w:line="240" w:lineRule="auto" w:before="1" w:after="0"/>
        <w:ind w:left="3674" w:right="0" w:hanging="421"/>
        <w:jc w:val="left"/>
        <w:rPr>
          <w:sz w:val="21"/>
        </w:rPr>
      </w:pPr>
      <w:r>
        <w:rPr>
          <w:spacing w:val="-3"/>
          <w:sz w:val="21"/>
        </w:rPr>
        <w:t>浆膜炎：胸膜炎或心包炎；</w:t>
      </w:r>
    </w:p>
    <w:p>
      <w:pPr>
        <w:spacing w:after="0" w:line="240" w:lineRule="auto"/>
        <w:jc w:val="left"/>
        <w:rPr>
          <w:sz w:val="21"/>
        </w:rPr>
        <w:sectPr>
          <w:pgSz w:w="11910" w:h="16840"/>
          <w:pgMar w:header="0" w:footer="659" w:top="1400" w:bottom="840" w:left="920" w:right="540"/>
        </w:sectPr>
      </w:pPr>
    </w:p>
    <w:p>
      <w:pPr>
        <w:pStyle w:val="ListParagraph"/>
        <w:numPr>
          <w:ilvl w:val="1"/>
          <w:numId w:val="94"/>
        </w:numPr>
        <w:tabs>
          <w:tab w:pos="3675" w:val="left" w:leader="none"/>
        </w:tabs>
        <w:spacing w:line="240" w:lineRule="auto" w:before="44" w:after="0"/>
        <w:ind w:left="3674" w:right="0" w:hanging="421"/>
        <w:jc w:val="left"/>
        <w:rPr>
          <w:sz w:val="21"/>
        </w:rPr>
      </w:pPr>
      <w:r>
        <w:rPr>
          <w:spacing w:val="-2"/>
          <w:sz w:val="21"/>
        </w:rPr>
        <w:t>肾病：24</w:t>
      </w:r>
      <w:r>
        <w:rPr>
          <w:spacing w:val="-14"/>
          <w:sz w:val="21"/>
        </w:rPr>
        <w:t> 小时尿蛋白定量达到 </w:t>
      </w:r>
      <w:r>
        <w:rPr>
          <w:spacing w:val="-2"/>
          <w:sz w:val="21"/>
        </w:rPr>
        <w:t>0.5</w:t>
      </w:r>
      <w:r>
        <w:rPr>
          <w:spacing w:val="-10"/>
          <w:sz w:val="21"/>
        </w:rPr>
        <w:t> 克，或尿液检查出现细胞管型；</w:t>
      </w:r>
    </w:p>
    <w:p>
      <w:pPr>
        <w:pStyle w:val="BodyText"/>
        <w:spacing w:before="7"/>
        <w:rPr>
          <w:sz w:val="15"/>
        </w:rPr>
      </w:pPr>
    </w:p>
    <w:p>
      <w:pPr>
        <w:pStyle w:val="ListParagraph"/>
        <w:numPr>
          <w:ilvl w:val="1"/>
          <w:numId w:val="94"/>
        </w:numPr>
        <w:tabs>
          <w:tab w:pos="3675" w:val="left" w:leader="none"/>
        </w:tabs>
        <w:spacing w:line="240" w:lineRule="auto" w:before="0" w:after="0"/>
        <w:ind w:left="3674" w:right="0" w:hanging="421"/>
        <w:jc w:val="left"/>
        <w:rPr>
          <w:sz w:val="21"/>
        </w:rPr>
      </w:pPr>
      <w:r>
        <w:rPr>
          <w:spacing w:val="-3"/>
          <w:sz w:val="21"/>
        </w:rPr>
        <w:t>血液学异常：溶血性贫血、白细胞减少、或血小板减少；</w:t>
      </w:r>
    </w:p>
    <w:p>
      <w:pPr>
        <w:pStyle w:val="BodyText"/>
        <w:spacing w:before="7"/>
        <w:rPr>
          <w:sz w:val="15"/>
        </w:rPr>
      </w:pPr>
    </w:p>
    <w:p>
      <w:pPr>
        <w:pStyle w:val="ListParagraph"/>
        <w:numPr>
          <w:ilvl w:val="1"/>
          <w:numId w:val="94"/>
        </w:numPr>
        <w:tabs>
          <w:tab w:pos="3675" w:val="left" w:leader="none"/>
        </w:tabs>
        <w:spacing w:line="240" w:lineRule="auto" w:before="0" w:after="0"/>
        <w:ind w:left="3674" w:right="0" w:hanging="421"/>
        <w:jc w:val="left"/>
        <w:rPr>
          <w:sz w:val="21"/>
        </w:rPr>
      </w:pPr>
      <w:r>
        <w:rPr>
          <w:spacing w:val="-7"/>
          <w:sz w:val="21"/>
        </w:rPr>
        <w:t>抗核抗体阳性、或抗 </w:t>
      </w:r>
      <w:r>
        <w:rPr>
          <w:spacing w:val="-2"/>
          <w:sz w:val="21"/>
        </w:rPr>
        <w:t>dsDNA</w:t>
      </w:r>
      <w:r>
        <w:rPr>
          <w:spacing w:val="-17"/>
          <w:sz w:val="21"/>
        </w:rPr>
        <w:t> 阳性，或抗 </w:t>
      </w:r>
      <w:r>
        <w:rPr>
          <w:spacing w:val="-2"/>
          <w:sz w:val="21"/>
        </w:rPr>
        <w:t>Smith</w:t>
      </w:r>
      <w:r>
        <w:rPr>
          <w:spacing w:val="-12"/>
          <w:sz w:val="21"/>
        </w:rPr>
        <w:t> 抗体阳性。</w:t>
      </w:r>
    </w:p>
    <w:p>
      <w:pPr>
        <w:pStyle w:val="BodyText"/>
        <w:spacing w:before="7"/>
        <w:rPr>
          <w:sz w:val="15"/>
        </w:rPr>
      </w:pPr>
    </w:p>
    <w:p>
      <w:pPr>
        <w:pStyle w:val="ListParagraph"/>
        <w:numPr>
          <w:ilvl w:val="0"/>
          <w:numId w:val="94"/>
        </w:numPr>
        <w:tabs>
          <w:tab w:pos="3254" w:val="left" w:leader="none"/>
          <w:tab w:pos="3255" w:val="left" w:leader="none"/>
        </w:tabs>
        <w:spacing w:line="278" w:lineRule="auto" w:before="0" w:after="0"/>
        <w:ind w:left="3254" w:right="354" w:hanging="721"/>
        <w:jc w:val="left"/>
        <w:rPr>
          <w:sz w:val="21"/>
        </w:rPr>
      </w:pPr>
      <w:r>
        <w:rPr>
          <w:spacing w:val="-2"/>
          <w:sz w:val="21"/>
        </w:rPr>
        <w:t>系统性红斑狼疮的诊断必须由本公司认可医院的风湿科或免疫系统专科医</w:t>
      </w:r>
      <w:r>
        <w:rPr>
          <w:spacing w:val="-4"/>
          <w:sz w:val="21"/>
        </w:rPr>
        <w:t>生确定。</w:t>
      </w:r>
    </w:p>
    <w:p>
      <w:pPr>
        <w:pStyle w:val="Heading2"/>
        <w:numPr>
          <w:ilvl w:val="0"/>
          <w:numId w:val="84"/>
        </w:numPr>
        <w:tabs>
          <w:tab w:pos="3169" w:val="left" w:leader="none"/>
        </w:tabs>
        <w:spacing w:line="240" w:lineRule="auto" w:before="156" w:after="0"/>
        <w:ind w:left="3168" w:right="0" w:hanging="636"/>
        <w:jc w:val="left"/>
      </w:pPr>
      <w:r>
        <w:rPr>
          <w:spacing w:val="-2"/>
        </w:rPr>
        <w:t>早期象皮病：</w:t>
      </w:r>
    </w:p>
    <w:p>
      <w:pPr>
        <w:pStyle w:val="BodyText"/>
        <w:spacing w:before="6"/>
        <w:rPr>
          <w:b/>
          <w:sz w:val="15"/>
        </w:rPr>
      </w:pPr>
    </w:p>
    <w:p>
      <w:pPr>
        <w:pStyle w:val="BodyText"/>
        <w:spacing w:line="278" w:lineRule="auto"/>
        <w:ind w:left="2533" w:right="356"/>
      </w:pPr>
      <w:r>
        <w:rPr>
          <w:spacing w:val="-2"/>
        </w:rPr>
        <w:t>指因丝虫感染导致淋巴管阻塞而造成身体组织出现严重淋巴水肿。此病症须经本公</w:t>
      </w:r>
      <w:r>
        <w:rPr>
          <w:spacing w:val="-2"/>
        </w:rPr>
        <w:t>司指定或认可的医疗机构的专科医生根据临床表现和微丝蚴的化验结果确诊。</w:t>
      </w:r>
    </w:p>
    <w:p>
      <w:pPr>
        <w:pStyle w:val="BodyText"/>
        <w:spacing w:line="269" w:lineRule="exact"/>
        <w:ind w:left="2533"/>
      </w:pPr>
      <w:r>
        <w:rPr>
          <w:color w:val="000000"/>
          <w:spacing w:val="-3"/>
          <w:shd w:fill="E4E4E4" w:color="auto" w:val="clear"/>
        </w:rPr>
        <w:t>急性淋巴管炎或其它原因引起的淋巴水肿并不在保障范围內。</w:t>
      </w:r>
    </w:p>
    <w:p>
      <w:pPr>
        <w:pStyle w:val="BodyText"/>
        <w:spacing w:before="7"/>
        <w:rPr>
          <w:sz w:val="15"/>
        </w:rPr>
      </w:pPr>
    </w:p>
    <w:p>
      <w:pPr>
        <w:pStyle w:val="Heading2"/>
        <w:numPr>
          <w:ilvl w:val="0"/>
          <w:numId w:val="84"/>
        </w:numPr>
        <w:tabs>
          <w:tab w:pos="3169" w:val="left" w:leader="none"/>
        </w:tabs>
        <w:spacing w:line="240" w:lineRule="auto" w:before="0" w:after="0"/>
        <w:ind w:left="3168" w:right="0" w:hanging="636"/>
        <w:jc w:val="left"/>
      </w:pPr>
      <w:r>
        <w:rPr>
          <w:spacing w:val="-2"/>
        </w:rPr>
        <w:t>微创颅脑手术：</w:t>
      </w:r>
    </w:p>
    <w:p>
      <w:pPr>
        <w:pStyle w:val="BodyText"/>
        <w:spacing w:before="7"/>
        <w:rPr>
          <w:b/>
          <w:sz w:val="15"/>
        </w:rPr>
      </w:pPr>
    </w:p>
    <w:p>
      <w:pPr>
        <w:pStyle w:val="BodyText"/>
        <w:spacing w:line="278" w:lineRule="auto"/>
        <w:ind w:left="2533" w:right="356"/>
      </w:pPr>
      <w:r>
        <w:rPr>
          <w:spacing w:val="-2"/>
        </w:rPr>
        <w:t>因疾病被保险人确已实施全麻下的颅骨钻孔手术或者经鼻蝶窦入颅手术。因外伤而</w:t>
      </w:r>
      <w:r>
        <w:rPr>
          <w:spacing w:val="-2"/>
        </w:rPr>
        <w:t>实施的脑外科手术不在保障范围内。</w:t>
      </w:r>
    </w:p>
    <w:p>
      <w:pPr>
        <w:pStyle w:val="BodyText"/>
        <w:spacing w:line="278" w:lineRule="auto"/>
        <w:ind w:left="2533" w:right="356"/>
      </w:pPr>
      <w:r>
        <w:rPr>
          <w:color w:val="000000"/>
          <w:spacing w:val="-24"/>
          <w:shd w:fill="E4E4E4" w:color="auto" w:val="clear"/>
        </w:rPr>
        <w:t>因“脑动脉瘤及脑血管瘤”、“脑垂体瘤”、“脑囊肿”所引起的微创颅脑手术不在本</w:t>
      </w:r>
      <w:r>
        <w:rPr>
          <w:color w:val="000000"/>
          <w:spacing w:val="80"/>
          <w:w w:val="150"/>
          <w:shd w:fill="E4E4E4" w:color="auto" w:val="clear"/>
        </w:rPr>
        <w:t>                                         </w:t>
      </w:r>
      <w:r>
        <w:rPr>
          <w:color w:val="000000"/>
          <w:spacing w:val="-2"/>
          <w:shd w:fill="E4E4E4" w:color="auto" w:val="clear"/>
        </w:rPr>
        <w:t>保障范围内。</w:t>
      </w:r>
    </w:p>
    <w:p>
      <w:pPr>
        <w:pStyle w:val="BodyText"/>
        <w:spacing w:line="278" w:lineRule="auto"/>
        <w:ind w:left="2533" w:right="358"/>
      </w:pPr>
      <w:r>
        <w:rPr>
          <w:color w:val="000000"/>
          <w:spacing w:val="-2"/>
          <w:shd w:fill="E4E4E4" w:color="auto" w:val="clear"/>
        </w:rPr>
        <w:t>本公司对“微创颅脑手术”及“植入大脑内分流器”二项中的其中一项承担保险责</w:t>
      </w:r>
      <w:r>
        <w:rPr>
          <w:color w:val="000000"/>
          <w:spacing w:val="80"/>
          <w:w w:val="150"/>
          <w:shd w:fill="E4E4E4" w:color="auto" w:val="clear"/>
        </w:rPr>
        <w:t>                                         </w:t>
      </w:r>
      <w:r>
        <w:rPr>
          <w:color w:val="000000"/>
          <w:spacing w:val="-2"/>
          <w:shd w:fill="E4E4E4" w:color="auto" w:val="clear"/>
        </w:rPr>
        <w:t>任，给付其中一项保险金后，对另一项轻度疾病保险责任同时终止。</w:t>
      </w:r>
    </w:p>
    <w:p>
      <w:pPr>
        <w:pStyle w:val="Heading2"/>
        <w:numPr>
          <w:ilvl w:val="0"/>
          <w:numId w:val="84"/>
        </w:numPr>
        <w:tabs>
          <w:tab w:pos="3169" w:val="left" w:leader="none"/>
        </w:tabs>
        <w:spacing w:line="240" w:lineRule="auto" w:before="156" w:after="0"/>
        <w:ind w:left="3168" w:right="0" w:hanging="636"/>
        <w:jc w:val="left"/>
      </w:pPr>
      <w:r>
        <w:rPr>
          <w:spacing w:val="-3"/>
        </w:rPr>
        <w:t>强直性脊柱炎的特定手术治疗：</w:t>
      </w:r>
    </w:p>
    <w:p>
      <w:pPr>
        <w:pStyle w:val="BodyText"/>
        <w:spacing w:before="6"/>
        <w:rPr>
          <w:b/>
          <w:sz w:val="15"/>
        </w:rPr>
      </w:pPr>
    </w:p>
    <w:p>
      <w:pPr>
        <w:pStyle w:val="BodyText"/>
        <w:ind w:left="2533"/>
      </w:pPr>
      <w:r>
        <w:rPr>
          <w:spacing w:val="-3"/>
        </w:rPr>
        <w:t>指诊断为强直性脊柱炎，且满足下列全部条件：</w:t>
      </w:r>
    </w:p>
    <w:p>
      <w:pPr>
        <w:pStyle w:val="BodyText"/>
        <w:spacing w:before="7"/>
        <w:rPr>
          <w:sz w:val="15"/>
        </w:rPr>
      </w:pPr>
    </w:p>
    <w:p>
      <w:pPr>
        <w:pStyle w:val="ListParagraph"/>
        <w:numPr>
          <w:ilvl w:val="0"/>
          <w:numId w:val="95"/>
        </w:numPr>
        <w:tabs>
          <w:tab w:pos="3254" w:val="left" w:leader="none"/>
          <w:tab w:pos="3255" w:val="left" w:leader="none"/>
        </w:tabs>
        <w:spacing w:line="240" w:lineRule="auto" w:before="0" w:after="0"/>
        <w:ind w:left="3254" w:right="0" w:hanging="722"/>
        <w:jc w:val="left"/>
        <w:rPr>
          <w:sz w:val="21"/>
        </w:rPr>
      </w:pPr>
      <w:r>
        <w:rPr>
          <w:spacing w:val="-3"/>
          <w:sz w:val="21"/>
        </w:rPr>
        <w:t>脊柱、髋、膝关节疼痛活动受限；</w:t>
      </w:r>
    </w:p>
    <w:p>
      <w:pPr>
        <w:pStyle w:val="BodyText"/>
        <w:spacing w:before="7"/>
        <w:rPr>
          <w:sz w:val="15"/>
        </w:rPr>
      </w:pPr>
    </w:p>
    <w:p>
      <w:pPr>
        <w:pStyle w:val="ListParagraph"/>
        <w:numPr>
          <w:ilvl w:val="0"/>
          <w:numId w:val="95"/>
        </w:numPr>
        <w:tabs>
          <w:tab w:pos="3254" w:val="left" w:leader="none"/>
          <w:tab w:pos="3255" w:val="left" w:leader="none"/>
        </w:tabs>
        <w:spacing w:line="240" w:lineRule="auto" w:before="0" w:after="0"/>
        <w:ind w:left="3254" w:right="0" w:hanging="722"/>
        <w:jc w:val="left"/>
        <w:rPr>
          <w:sz w:val="21"/>
        </w:rPr>
      </w:pPr>
      <w:r>
        <w:rPr>
          <w:spacing w:val="-3"/>
          <w:sz w:val="21"/>
        </w:rPr>
        <w:t>脊柱后凸畸形，髋、膝关节强直；</w:t>
      </w:r>
    </w:p>
    <w:p>
      <w:pPr>
        <w:pStyle w:val="BodyText"/>
        <w:spacing w:before="7"/>
        <w:rPr>
          <w:sz w:val="15"/>
        </w:rPr>
      </w:pPr>
    </w:p>
    <w:p>
      <w:pPr>
        <w:pStyle w:val="ListParagraph"/>
        <w:numPr>
          <w:ilvl w:val="0"/>
          <w:numId w:val="95"/>
        </w:numPr>
        <w:tabs>
          <w:tab w:pos="3254" w:val="left" w:leader="none"/>
          <w:tab w:pos="3255" w:val="left" w:leader="none"/>
        </w:tabs>
        <w:spacing w:line="240" w:lineRule="auto" w:before="0" w:after="0"/>
        <w:ind w:left="3254" w:right="0" w:hanging="722"/>
        <w:jc w:val="left"/>
        <w:rPr>
          <w:sz w:val="21"/>
        </w:rPr>
      </w:pPr>
      <w:r>
        <w:rPr>
          <w:spacing w:val="-2"/>
          <w:sz w:val="21"/>
        </w:rPr>
        <w:t>X</w:t>
      </w:r>
      <w:r>
        <w:rPr>
          <w:spacing w:val="-10"/>
          <w:sz w:val="21"/>
        </w:rPr>
        <w:t> 线关节结构破坏征象；</w:t>
      </w:r>
    </w:p>
    <w:p>
      <w:pPr>
        <w:pStyle w:val="BodyText"/>
        <w:spacing w:before="7"/>
        <w:rPr>
          <w:sz w:val="15"/>
        </w:rPr>
      </w:pPr>
    </w:p>
    <w:p>
      <w:pPr>
        <w:pStyle w:val="ListParagraph"/>
        <w:numPr>
          <w:ilvl w:val="0"/>
          <w:numId w:val="95"/>
        </w:numPr>
        <w:tabs>
          <w:tab w:pos="3254" w:val="left" w:leader="none"/>
          <w:tab w:pos="3255" w:val="left" w:leader="none"/>
        </w:tabs>
        <w:spacing w:line="240" w:lineRule="auto" w:before="0" w:after="0"/>
        <w:ind w:left="3254" w:right="0" w:hanging="722"/>
        <w:jc w:val="left"/>
        <w:rPr>
          <w:sz w:val="21"/>
        </w:rPr>
      </w:pPr>
      <w:r>
        <w:rPr>
          <w:spacing w:val="-3"/>
          <w:sz w:val="21"/>
        </w:rPr>
        <w:t>实际实施了下列手术治疗的一项或多项：</w:t>
      </w:r>
    </w:p>
    <w:p>
      <w:pPr>
        <w:pStyle w:val="BodyText"/>
        <w:spacing w:before="6"/>
        <w:rPr>
          <w:sz w:val="15"/>
        </w:rPr>
      </w:pPr>
    </w:p>
    <w:p>
      <w:pPr>
        <w:pStyle w:val="ListParagraph"/>
        <w:numPr>
          <w:ilvl w:val="1"/>
          <w:numId w:val="95"/>
        </w:numPr>
        <w:tabs>
          <w:tab w:pos="3675" w:val="left" w:leader="none"/>
        </w:tabs>
        <w:spacing w:line="240" w:lineRule="auto" w:before="1" w:after="0"/>
        <w:ind w:left="3674" w:right="0" w:hanging="421"/>
        <w:jc w:val="left"/>
        <w:rPr>
          <w:sz w:val="21"/>
        </w:rPr>
      </w:pPr>
      <w:r>
        <w:rPr>
          <w:spacing w:val="-4"/>
          <w:sz w:val="21"/>
        </w:rPr>
        <w:t>脊柱截骨手术；</w:t>
      </w:r>
    </w:p>
    <w:p>
      <w:pPr>
        <w:pStyle w:val="BodyText"/>
        <w:spacing w:before="6"/>
        <w:rPr>
          <w:sz w:val="15"/>
        </w:rPr>
      </w:pPr>
    </w:p>
    <w:p>
      <w:pPr>
        <w:pStyle w:val="ListParagraph"/>
        <w:numPr>
          <w:ilvl w:val="1"/>
          <w:numId w:val="95"/>
        </w:numPr>
        <w:tabs>
          <w:tab w:pos="3675" w:val="left" w:leader="none"/>
        </w:tabs>
        <w:spacing w:line="240" w:lineRule="auto" w:before="0" w:after="0"/>
        <w:ind w:left="3674" w:right="0" w:hanging="421"/>
        <w:jc w:val="left"/>
        <w:rPr>
          <w:sz w:val="21"/>
        </w:rPr>
      </w:pPr>
      <w:r>
        <w:rPr>
          <w:spacing w:val="-3"/>
          <w:sz w:val="21"/>
        </w:rPr>
        <w:t>全髋关节置换手术；</w:t>
      </w:r>
    </w:p>
    <w:p>
      <w:pPr>
        <w:pStyle w:val="BodyText"/>
        <w:spacing w:before="7"/>
        <w:rPr>
          <w:sz w:val="15"/>
        </w:rPr>
      </w:pPr>
    </w:p>
    <w:p>
      <w:pPr>
        <w:pStyle w:val="ListParagraph"/>
        <w:numPr>
          <w:ilvl w:val="1"/>
          <w:numId w:val="95"/>
        </w:numPr>
        <w:tabs>
          <w:tab w:pos="3675" w:val="left" w:leader="none"/>
        </w:tabs>
        <w:spacing w:line="240" w:lineRule="auto" w:before="0" w:after="0"/>
        <w:ind w:left="3674" w:right="0" w:hanging="421"/>
        <w:jc w:val="left"/>
        <w:rPr>
          <w:sz w:val="21"/>
        </w:rPr>
      </w:pPr>
      <w:r>
        <w:rPr>
          <w:spacing w:val="-4"/>
          <w:sz w:val="21"/>
        </w:rPr>
        <w:t>膝关节置换手术。</w:t>
      </w:r>
    </w:p>
    <w:p>
      <w:pPr>
        <w:pStyle w:val="BodyText"/>
        <w:spacing w:before="7"/>
        <w:rPr>
          <w:sz w:val="15"/>
        </w:rPr>
      </w:pPr>
    </w:p>
    <w:p>
      <w:pPr>
        <w:pStyle w:val="Heading2"/>
        <w:numPr>
          <w:ilvl w:val="0"/>
          <w:numId w:val="84"/>
        </w:numPr>
        <w:tabs>
          <w:tab w:pos="3169" w:val="left" w:leader="none"/>
        </w:tabs>
        <w:spacing w:line="240" w:lineRule="auto" w:before="0" w:after="0"/>
        <w:ind w:left="3168" w:right="0" w:hanging="636"/>
        <w:jc w:val="left"/>
      </w:pPr>
      <w:r>
        <w:rPr>
          <w:spacing w:val="-3"/>
        </w:rPr>
        <w:t>急性重型肝炎人工肝治疗：</w:t>
      </w:r>
    </w:p>
    <w:p>
      <w:pPr>
        <w:pStyle w:val="BodyText"/>
        <w:spacing w:before="6"/>
        <w:rPr>
          <w:b/>
          <w:sz w:val="15"/>
        </w:rPr>
      </w:pPr>
    </w:p>
    <w:p>
      <w:pPr>
        <w:pStyle w:val="BodyText"/>
        <w:spacing w:line="278" w:lineRule="auto" w:before="1"/>
        <w:ind w:left="2533" w:right="344"/>
      </w:pPr>
      <w:r>
        <w:rPr>
          <w:spacing w:val="-2"/>
        </w:rPr>
        <w:t>指被保险人被明确诊断为急性重型肝炎，并且实际接受了人工肝支持系统（ALSS）</w:t>
      </w:r>
      <w:r>
        <w:rPr>
          <w:spacing w:val="-4"/>
        </w:rPr>
        <w:t>治疗。</w:t>
      </w:r>
    </w:p>
    <w:p>
      <w:pPr>
        <w:pStyle w:val="BodyText"/>
        <w:spacing w:line="278" w:lineRule="auto"/>
        <w:ind w:left="2533" w:right="355"/>
      </w:pPr>
      <w:r>
        <w:rPr>
          <w:spacing w:val="-2"/>
        </w:rPr>
        <w:t>ALSS</w:t>
      </w:r>
      <w:r>
        <w:rPr>
          <w:spacing w:val="-10"/>
        </w:rPr>
        <w:t> 又称体外肝脏支持装置，指借助体外机械、化学或生物性装置暂时部分替代肝</w:t>
      </w:r>
      <w:r>
        <w:rPr>
          <w:spacing w:val="-2"/>
        </w:rPr>
        <w:t>脏功能，协助治疗肝脏功能不全或相关疾病的治疗方法。</w:t>
      </w:r>
    </w:p>
    <w:p>
      <w:pPr>
        <w:pStyle w:val="BodyText"/>
        <w:spacing w:line="269" w:lineRule="exact"/>
        <w:ind w:left="2533"/>
      </w:pPr>
      <w:r>
        <w:rPr>
          <w:color w:val="000000"/>
          <w:spacing w:val="-9"/>
          <w:shd w:fill="E4E4E4" w:color="auto" w:val="clear"/>
        </w:rPr>
        <w:t>慢性重型肝炎 </w:t>
      </w:r>
      <w:r>
        <w:rPr>
          <w:color w:val="000000"/>
          <w:spacing w:val="-2"/>
          <w:shd w:fill="E4E4E4" w:color="auto" w:val="clear"/>
        </w:rPr>
        <w:t>ALSS</w:t>
      </w:r>
      <w:r>
        <w:rPr>
          <w:color w:val="000000"/>
          <w:spacing w:val="-10"/>
          <w:shd w:fill="E4E4E4" w:color="auto" w:val="clear"/>
        </w:rPr>
        <w:t> 治疗不在保障范围内。</w:t>
      </w:r>
    </w:p>
    <w:p>
      <w:pPr>
        <w:pStyle w:val="BodyText"/>
        <w:spacing w:before="7"/>
        <w:rPr>
          <w:sz w:val="15"/>
        </w:rPr>
      </w:pPr>
    </w:p>
    <w:p>
      <w:pPr>
        <w:pStyle w:val="ListParagraph"/>
        <w:numPr>
          <w:ilvl w:val="0"/>
          <w:numId w:val="84"/>
        </w:numPr>
        <w:tabs>
          <w:tab w:pos="3169" w:val="left" w:leader="none"/>
        </w:tabs>
        <w:spacing w:line="417" w:lineRule="auto" w:before="0" w:after="0"/>
        <w:ind w:left="2533" w:right="4533" w:firstLine="0"/>
        <w:jc w:val="left"/>
        <w:rPr>
          <w:sz w:val="21"/>
        </w:rPr>
      </w:pPr>
      <w:r>
        <w:rPr>
          <w:b/>
          <w:spacing w:val="-2"/>
          <w:sz w:val="21"/>
        </w:rPr>
        <w:t>风湿热导致的心脏瓣膜疾病：</w:t>
      </w:r>
      <w:r>
        <w:rPr>
          <w:spacing w:val="-2"/>
          <w:sz w:val="21"/>
        </w:rPr>
        <w:t>本保障须满足下列全部条件：</w:t>
      </w:r>
    </w:p>
    <w:p>
      <w:pPr>
        <w:pStyle w:val="ListParagraph"/>
        <w:numPr>
          <w:ilvl w:val="0"/>
          <w:numId w:val="96"/>
        </w:numPr>
        <w:tabs>
          <w:tab w:pos="3254" w:val="left" w:leader="none"/>
          <w:tab w:pos="3255" w:val="left" w:leader="none"/>
        </w:tabs>
        <w:spacing w:line="269" w:lineRule="exact" w:before="0" w:after="0"/>
        <w:ind w:left="3254" w:right="0" w:hanging="722"/>
        <w:jc w:val="left"/>
        <w:rPr>
          <w:sz w:val="21"/>
        </w:rPr>
      </w:pPr>
      <w:r>
        <w:rPr>
          <w:spacing w:val="-1"/>
          <w:sz w:val="21"/>
        </w:rPr>
        <w:t>经由本公司认可的儿科专科医生根据已修订的 </w:t>
      </w:r>
      <w:r>
        <w:rPr>
          <w:sz w:val="21"/>
        </w:rPr>
        <w:t>Jones</w:t>
      </w:r>
      <w:r>
        <w:rPr>
          <w:spacing w:val="-6"/>
          <w:sz w:val="21"/>
        </w:rPr>
        <w:t> 标准诊断证实罹患急</w:t>
      </w:r>
    </w:p>
    <w:p>
      <w:pPr>
        <w:spacing w:after="0" w:line="269" w:lineRule="exact"/>
        <w:jc w:val="left"/>
        <w:rPr>
          <w:sz w:val="21"/>
        </w:rPr>
        <w:sectPr>
          <w:pgSz w:w="11910" w:h="16840"/>
          <w:pgMar w:header="0" w:footer="659" w:top="1400" w:bottom="840" w:left="920" w:right="540"/>
        </w:sectPr>
      </w:pPr>
    </w:p>
    <w:p>
      <w:pPr>
        <w:pStyle w:val="BodyText"/>
        <w:spacing w:before="44"/>
        <w:ind w:left="3254"/>
      </w:pPr>
      <w:r>
        <w:rPr>
          <w:spacing w:val="-4"/>
        </w:rPr>
        <w:t>性风湿热；</w:t>
      </w:r>
    </w:p>
    <w:p>
      <w:pPr>
        <w:pStyle w:val="BodyText"/>
        <w:spacing w:before="7"/>
        <w:rPr>
          <w:sz w:val="15"/>
        </w:rPr>
      </w:pPr>
    </w:p>
    <w:p>
      <w:pPr>
        <w:pStyle w:val="ListParagraph"/>
        <w:numPr>
          <w:ilvl w:val="0"/>
          <w:numId w:val="96"/>
        </w:numPr>
        <w:tabs>
          <w:tab w:pos="3254" w:val="left" w:leader="none"/>
          <w:tab w:pos="3255" w:val="left" w:leader="none"/>
        </w:tabs>
        <w:spacing w:line="278" w:lineRule="auto" w:before="0" w:after="0"/>
        <w:ind w:left="3254" w:right="255" w:hanging="721"/>
        <w:jc w:val="left"/>
        <w:rPr>
          <w:sz w:val="21"/>
        </w:rPr>
      </w:pPr>
      <w:r>
        <w:rPr>
          <w:spacing w:val="-3"/>
          <w:w w:val="100"/>
          <w:sz w:val="21"/>
        </w:rPr>
        <w:t>因风湿热所导致一个或以上最少轻度心脏瓣膜关闭不全或狭窄的心瓣损伤。</w:t>
      </w:r>
      <w:r>
        <w:rPr>
          <w:spacing w:val="2"/>
          <w:w w:val="100"/>
          <w:sz w:val="21"/>
        </w:rPr>
        <w:t>有关诊断必须由本公司认可医院的心脏专科医生根据心瓣功能的定量检查</w:t>
      </w:r>
      <w:r>
        <w:rPr>
          <w:w w:val="100"/>
          <w:sz w:val="21"/>
        </w:rPr>
        <w:t>证实。</w:t>
      </w:r>
    </w:p>
    <w:p>
      <w:pPr>
        <w:pStyle w:val="Heading2"/>
        <w:numPr>
          <w:ilvl w:val="0"/>
          <w:numId w:val="84"/>
        </w:numPr>
        <w:tabs>
          <w:tab w:pos="3169" w:val="left" w:leader="none"/>
        </w:tabs>
        <w:spacing w:line="240" w:lineRule="auto" w:before="156" w:after="0"/>
        <w:ind w:left="3168" w:right="0" w:hanging="636"/>
        <w:jc w:val="left"/>
      </w:pPr>
      <w:r>
        <w:rPr>
          <w:spacing w:val="-2"/>
        </w:rPr>
        <w:t>早期肝硬化：</w:t>
      </w:r>
    </w:p>
    <w:p>
      <w:pPr>
        <w:pStyle w:val="BodyText"/>
        <w:spacing w:before="6"/>
        <w:rPr>
          <w:b/>
          <w:sz w:val="15"/>
        </w:rPr>
      </w:pPr>
    </w:p>
    <w:p>
      <w:pPr>
        <w:pStyle w:val="BodyText"/>
        <w:spacing w:line="278" w:lineRule="auto" w:before="1"/>
        <w:ind w:left="2533" w:right="356"/>
      </w:pPr>
      <w:r>
        <w:rPr>
          <w:spacing w:val="-2"/>
        </w:rPr>
        <w:t>肝硬化须由专科医生明确诊断。必须由活检证实有再生的肝细胞结节和典型的肝组</w:t>
      </w:r>
      <w:r>
        <w:rPr>
          <w:spacing w:val="-2"/>
        </w:rPr>
        <w:t>织纤维化。下列条件必须全部满足并至少持续一年：</w:t>
      </w:r>
    </w:p>
    <w:p>
      <w:pPr>
        <w:pStyle w:val="ListParagraph"/>
        <w:numPr>
          <w:ilvl w:val="0"/>
          <w:numId w:val="97"/>
        </w:numPr>
        <w:tabs>
          <w:tab w:pos="3254" w:val="left" w:leader="none"/>
          <w:tab w:pos="3255" w:val="left" w:leader="none"/>
        </w:tabs>
        <w:spacing w:line="240" w:lineRule="auto" w:before="155" w:after="0"/>
        <w:ind w:left="3254" w:right="0" w:hanging="722"/>
        <w:jc w:val="left"/>
        <w:rPr>
          <w:sz w:val="21"/>
        </w:rPr>
      </w:pPr>
      <w:r>
        <w:rPr>
          <w:spacing w:val="-5"/>
          <w:sz w:val="21"/>
        </w:rPr>
        <w:t>持续性黄疸，胆红素水平升高超过 </w:t>
      </w:r>
      <w:r>
        <w:rPr>
          <w:spacing w:val="-2"/>
          <w:sz w:val="21"/>
        </w:rPr>
        <w:t>50μmol/L；</w:t>
      </w:r>
    </w:p>
    <w:p>
      <w:pPr>
        <w:pStyle w:val="BodyText"/>
        <w:spacing w:before="7"/>
        <w:rPr>
          <w:sz w:val="15"/>
        </w:rPr>
      </w:pPr>
    </w:p>
    <w:p>
      <w:pPr>
        <w:pStyle w:val="ListParagraph"/>
        <w:numPr>
          <w:ilvl w:val="0"/>
          <w:numId w:val="97"/>
        </w:numPr>
        <w:tabs>
          <w:tab w:pos="3254" w:val="left" w:leader="none"/>
          <w:tab w:pos="3255" w:val="left" w:leader="none"/>
        </w:tabs>
        <w:spacing w:line="240" w:lineRule="auto" w:before="0" w:after="0"/>
        <w:ind w:left="3254" w:right="0" w:hanging="722"/>
        <w:jc w:val="left"/>
        <w:rPr>
          <w:sz w:val="21"/>
        </w:rPr>
      </w:pPr>
      <w:r>
        <w:rPr>
          <w:spacing w:val="-5"/>
          <w:sz w:val="21"/>
        </w:rPr>
        <w:t>蛋白质合成异常，白蛋白水平低于 </w:t>
      </w:r>
      <w:r>
        <w:rPr>
          <w:spacing w:val="-2"/>
          <w:sz w:val="21"/>
        </w:rPr>
        <w:t>27g/L；</w:t>
      </w:r>
    </w:p>
    <w:p>
      <w:pPr>
        <w:pStyle w:val="BodyText"/>
        <w:spacing w:before="7"/>
        <w:rPr>
          <w:sz w:val="15"/>
        </w:rPr>
      </w:pPr>
    </w:p>
    <w:p>
      <w:pPr>
        <w:pStyle w:val="ListParagraph"/>
        <w:numPr>
          <w:ilvl w:val="0"/>
          <w:numId w:val="97"/>
        </w:numPr>
        <w:tabs>
          <w:tab w:pos="3254" w:val="left" w:leader="none"/>
          <w:tab w:pos="3255" w:val="left" w:leader="none"/>
        </w:tabs>
        <w:spacing w:line="278" w:lineRule="auto" w:before="0" w:after="0"/>
        <w:ind w:left="3254" w:right="356" w:hanging="721"/>
        <w:jc w:val="left"/>
        <w:rPr>
          <w:sz w:val="21"/>
        </w:rPr>
      </w:pPr>
      <w:r>
        <w:rPr>
          <w:spacing w:val="-10"/>
          <w:sz w:val="21"/>
        </w:rPr>
        <w:t>异常凝血功能，凝血酶原时间超过正常上限的 </w:t>
      </w:r>
      <w:r>
        <w:rPr>
          <w:sz w:val="21"/>
        </w:rPr>
        <w:t>2</w:t>
      </w:r>
      <w:r>
        <w:rPr>
          <w:spacing w:val="-11"/>
          <w:sz w:val="21"/>
        </w:rPr>
        <w:t> 倍或以上，或者国际正常化</w:t>
      </w:r>
      <w:r>
        <w:rPr>
          <w:sz w:val="21"/>
        </w:rPr>
        <w:t>比率（INR）</w:t>
      </w:r>
      <w:r>
        <w:rPr>
          <w:spacing w:val="-13"/>
          <w:sz w:val="21"/>
        </w:rPr>
        <w:t>在 </w:t>
      </w:r>
      <w:r>
        <w:rPr>
          <w:sz w:val="21"/>
        </w:rPr>
        <w:t>2.0</w:t>
      </w:r>
      <w:r>
        <w:rPr>
          <w:spacing w:val="-7"/>
          <w:sz w:val="21"/>
        </w:rPr>
        <w:t> 以上。</w:t>
      </w:r>
    </w:p>
    <w:p>
      <w:pPr>
        <w:pStyle w:val="BodyText"/>
        <w:spacing w:line="278" w:lineRule="auto" w:before="156"/>
        <w:ind w:left="2533" w:right="358"/>
      </w:pPr>
      <w:r>
        <w:rPr>
          <w:color w:val="000000"/>
          <w:spacing w:val="-17"/>
          <w:shd w:fill="E4E4E4" w:color="auto" w:val="clear"/>
        </w:rPr>
        <w:t>本公司对“慢性肝功能衰竭”、“早期肝硬化”二项中的其中一项承担保险责任，给</w:t>
      </w:r>
      <w:r>
        <w:rPr>
          <w:color w:val="000000"/>
          <w:spacing w:val="80"/>
          <w:w w:val="150"/>
          <w:shd w:fill="E4E4E4" w:color="auto" w:val="clear"/>
        </w:rPr>
        <w:t>                                         </w:t>
      </w:r>
      <w:r>
        <w:rPr>
          <w:color w:val="000000"/>
          <w:spacing w:val="-2"/>
          <w:shd w:fill="E4E4E4" w:color="auto" w:val="clear"/>
        </w:rPr>
        <w:t>付其中一项保险金后，对另一项轻度疾病保险责任同时终止。</w:t>
      </w:r>
    </w:p>
    <w:p>
      <w:pPr>
        <w:pStyle w:val="Heading2"/>
        <w:numPr>
          <w:ilvl w:val="0"/>
          <w:numId w:val="84"/>
        </w:numPr>
        <w:tabs>
          <w:tab w:pos="3169" w:val="left" w:leader="none"/>
        </w:tabs>
        <w:spacing w:line="240" w:lineRule="auto" w:before="156" w:after="0"/>
        <w:ind w:left="3168" w:right="0" w:hanging="636"/>
        <w:jc w:val="left"/>
      </w:pPr>
      <w:r>
        <w:rPr>
          <w:spacing w:val="-2"/>
        </w:rPr>
        <w:t>脑垂体瘤、脑囊肿</w:t>
      </w:r>
    </w:p>
    <w:p>
      <w:pPr>
        <w:pStyle w:val="BodyText"/>
        <w:spacing w:before="7"/>
        <w:rPr>
          <w:b/>
          <w:sz w:val="15"/>
        </w:rPr>
      </w:pPr>
    </w:p>
    <w:p>
      <w:pPr>
        <w:pStyle w:val="BodyText"/>
        <w:spacing w:line="278" w:lineRule="auto"/>
        <w:ind w:left="2533" w:right="346"/>
      </w:pPr>
      <w:r>
        <w:rPr>
          <w:spacing w:val="-4"/>
        </w:rPr>
        <w:t>指经头颅断层扫描</w:t>
      </w:r>
      <w:r>
        <w:rPr>
          <w:spacing w:val="20"/>
        </w:rPr>
        <w:t>（</w:t>
      </w:r>
      <w:r>
        <w:rPr>
          <w:spacing w:val="23"/>
        </w:rPr>
        <w:t>CT</w:t>
      </w:r>
      <w:r>
        <w:rPr>
          <w:spacing w:val="-85"/>
        </w:rPr>
        <w:t>）</w:t>
      </w:r>
      <w:r>
        <w:rPr>
          <w:spacing w:val="-4"/>
        </w:rPr>
        <w:t>、核磁共振（MRI）或其他影像学检查被确诊为下列病变，</w:t>
      </w:r>
      <w:r>
        <w:rPr>
          <w:spacing w:val="-2"/>
        </w:rPr>
        <w:t>并实际接受了手术或放射治疗。</w:t>
      </w:r>
    </w:p>
    <w:p>
      <w:pPr>
        <w:pStyle w:val="ListParagraph"/>
        <w:numPr>
          <w:ilvl w:val="0"/>
          <w:numId w:val="98"/>
        </w:numPr>
        <w:tabs>
          <w:tab w:pos="3254" w:val="left" w:leader="none"/>
          <w:tab w:pos="3255" w:val="left" w:leader="none"/>
        </w:tabs>
        <w:spacing w:line="240" w:lineRule="auto" w:before="156" w:after="0"/>
        <w:ind w:left="3254" w:right="0" w:hanging="722"/>
        <w:jc w:val="left"/>
        <w:rPr>
          <w:sz w:val="21"/>
        </w:rPr>
      </w:pPr>
      <w:r>
        <w:rPr>
          <w:spacing w:val="-4"/>
          <w:sz w:val="21"/>
        </w:rPr>
        <w:t>脑垂体瘤；</w:t>
      </w:r>
    </w:p>
    <w:p>
      <w:pPr>
        <w:pStyle w:val="BodyText"/>
        <w:spacing w:before="6"/>
        <w:rPr>
          <w:sz w:val="15"/>
        </w:rPr>
      </w:pPr>
    </w:p>
    <w:p>
      <w:pPr>
        <w:pStyle w:val="ListParagraph"/>
        <w:numPr>
          <w:ilvl w:val="0"/>
          <w:numId w:val="98"/>
        </w:numPr>
        <w:tabs>
          <w:tab w:pos="3254" w:val="left" w:leader="none"/>
          <w:tab w:pos="3255" w:val="left" w:leader="none"/>
        </w:tabs>
        <w:spacing w:line="240" w:lineRule="auto" w:before="0" w:after="0"/>
        <w:ind w:left="3254" w:right="0" w:hanging="722"/>
        <w:jc w:val="left"/>
        <w:rPr>
          <w:sz w:val="21"/>
        </w:rPr>
      </w:pPr>
      <w:r>
        <w:rPr>
          <w:spacing w:val="-4"/>
          <w:sz w:val="21"/>
        </w:rPr>
        <w:t>脑囊肿。</w:t>
      </w:r>
    </w:p>
    <w:p>
      <w:pPr>
        <w:pStyle w:val="BodyText"/>
        <w:spacing w:before="7"/>
        <w:rPr>
          <w:sz w:val="15"/>
        </w:rPr>
      </w:pPr>
    </w:p>
    <w:p>
      <w:pPr>
        <w:pStyle w:val="Heading2"/>
        <w:numPr>
          <w:ilvl w:val="0"/>
          <w:numId w:val="84"/>
        </w:numPr>
        <w:tabs>
          <w:tab w:pos="3169" w:val="left" w:leader="none"/>
        </w:tabs>
        <w:spacing w:line="240" w:lineRule="auto" w:before="0" w:after="0"/>
        <w:ind w:left="3168" w:right="0" w:hanging="636"/>
        <w:jc w:val="left"/>
      </w:pPr>
      <w:r>
        <w:rPr>
          <w:spacing w:val="-2"/>
        </w:rPr>
        <w:t>视力严重受损：</w:t>
      </w:r>
    </w:p>
    <w:p>
      <w:pPr>
        <w:pStyle w:val="BodyText"/>
        <w:spacing w:before="7"/>
        <w:rPr>
          <w:b/>
          <w:sz w:val="15"/>
        </w:rPr>
      </w:pPr>
    </w:p>
    <w:p>
      <w:pPr>
        <w:pStyle w:val="BodyText"/>
        <w:spacing w:line="278" w:lineRule="auto"/>
        <w:ind w:left="2533" w:right="356"/>
      </w:pPr>
      <w:r>
        <w:rPr>
          <w:spacing w:val="-2"/>
        </w:rPr>
        <w:t>指被保险人因疾病或意外伤害导致双目视力永久不可逆性丧失，虽然未达到重大疾</w:t>
      </w:r>
      <w:r>
        <w:rPr>
          <w:spacing w:val="-2"/>
        </w:rPr>
        <w:t>病“双目失明”的给付标准，但满足下列条件之一：</w:t>
      </w:r>
    </w:p>
    <w:p>
      <w:pPr>
        <w:pStyle w:val="ListParagraph"/>
        <w:numPr>
          <w:ilvl w:val="0"/>
          <w:numId w:val="99"/>
        </w:numPr>
        <w:tabs>
          <w:tab w:pos="3254" w:val="left" w:leader="none"/>
          <w:tab w:pos="3255" w:val="left" w:leader="none"/>
        </w:tabs>
        <w:spacing w:line="278" w:lineRule="auto" w:before="156" w:after="0"/>
        <w:ind w:left="3254" w:right="355" w:hanging="721"/>
        <w:jc w:val="left"/>
        <w:rPr>
          <w:sz w:val="21"/>
        </w:rPr>
      </w:pPr>
      <w:r>
        <w:rPr>
          <w:spacing w:val="-6"/>
          <w:sz w:val="21"/>
        </w:rPr>
        <w:t>双眼中较好眼矫正视力低于 </w:t>
      </w:r>
      <w:r>
        <w:rPr>
          <w:spacing w:val="-2"/>
          <w:sz w:val="21"/>
        </w:rPr>
        <w:t>0.1（采用国际标准视力表，如果使用其他视力</w:t>
      </w:r>
      <w:r>
        <w:rPr>
          <w:spacing w:val="-2"/>
          <w:sz w:val="21"/>
        </w:rPr>
        <w:t>表应进行换算</w:t>
      </w:r>
      <w:r>
        <w:rPr>
          <w:spacing w:val="-108"/>
          <w:sz w:val="21"/>
        </w:rPr>
        <w:t>）</w:t>
      </w:r>
      <w:r>
        <w:rPr>
          <w:sz w:val="21"/>
        </w:rPr>
        <w:t>；</w:t>
      </w:r>
    </w:p>
    <w:p>
      <w:pPr>
        <w:pStyle w:val="ListParagraph"/>
        <w:numPr>
          <w:ilvl w:val="0"/>
          <w:numId w:val="99"/>
        </w:numPr>
        <w:tabs>
          <w:tab w:pos="3254" w:val="left" w:leader="none"/>
          <w:tab w:pos="3255" w:val="left" w:leader="none"/>
        </w:tabs>
        <w:spacing w:line="240" w:lineRule="auto" w:before="156" w:after="0"/>
        <w:ind w:left="3254" w:right="0" w:hanging="722"/>
        <w:jc w:val="left"/>
        <w:rPr>
          <w:sz w:val="21"/>
        </w:rPr>
      </w:pPr>
      <w:r>
        <w:rPr>
          <w:spacing w:val="-6"/>
          <w:sz w:val="21"/>
        </w:rPr>
        <w:t>双眼中较好眼视野半径小于 </w:t>
      </w:r>
      <w:r>
        <w:rPr>
          <w:spacing w:val="-2"/>
          <w:sz w:val="21"/>
        </w:rPr>
        <w:t>20</w:t>
      </w:r>
      <w:r>
        <w:rPr>
          <w:spacing w:val="-20"/>
          <w:sz w:val="21"/>
        </w:rPr>
        <w:t> 度。</w:t>
      </w:r>
    </w:p>
    <w:p>
      <w:pPr>
        <w:pStyle w:val="BodyText"/>
        <w:spacing w:before="12"/>
        <w:rPr>
          <w:sz w:val="9"/>
        </w:rPr>
      </w:pPr>
    </w:p>
    <w:p>
      <w:pPr>
        <w:pStyle w:val="BodyText"/>
        <w:spacing w:before="71"/>
        <w:ind w:left="2533"/>
        <w:jc w:val="both"/>
      </w:pPr>
      <w:r>
        <w:rPr>
          <w:color w:val="000000"/>
          <w:spacing w:val="-26"/>
          <w:shd w:fill="E4E4E4" w:color="auto" w:val="clear"/>
        </w:rPr>
        <w:t>在 </w:t>
      </w:r>
      <w:r>
        <w:rPr>
          <w:color w:val="000000"/>
          <w:spacing w:val="-2"/>
          <w:shd w:fill="E4E4E4" w:color="auto" w:val="clear"/>
        </w:rPr>
        <w:t>0</w:t>
      </w:r>
      <w:r>
        <w:rPr>
          <w:color w:val="000000"/>
          <w:spacing w:val="-34"/>
          <w:shd w:fill="E4E4E4" w:color="auto" w:val="clear"/>
        </w:rPr>
        <w:t> 至 </w:t>
      </w:r>
      <w:r>
        <w:rPr>
          <w:color w:val="000000"/>
          <w:spacing w:val="-2"/>
          <w:shd w:fill="E4E4E4" w:color="auto" w:val="clear"/>
        </w:rPr>
        <w:t>3</w:t>
      </w:r>
      <w:r>
        <w:rPr>
          <w:color w:val="000000"/>
          <w:spacing w:val="-10"/>
          <w:shd w:fill="E4E4E4" w:color="auto" w:val="clear"/>
        </w:rPr>
        <w:t> 周岁期间，被保险人视力严重受损不在保障范围内。</w:t>
      </w:r>
    </w:p>
    <w:p>
      <w:pPr>
        <w:pStyle w:val="BodyText"/>
        <w:spacing w:line="278" w:lineRule="auto" w:before="43"/>
        <w:ind w:left="2533" w:right="356"/>
        <w:jc w:val="both"/>
      </w:pPr>
      <w:r>
        <w:rPr>
          <w:color w:val="000000"/>
          <w:spacing w:val="-30"/>
          <w:shd w:fill="E4E4E4" w:color="auto" w:val="clear"/>
        </w:rPr>
        <w:t>本公司对“视力严重受损”、“角膜移植”、“单眼失明”、“糖尿病视网膜晚期增生性</w:t>
      </w:r>
      <w:r>
        <w:rPr>
          <w:color w:val="000000"/>
          <w:spacing w:val="40"/>
          <w:shd w:fill="E4E4E4" w:color="auto" w:val="clear"/>
        </w:rPr>
        <w:t> </w:t>
      </w:r>
      <w:r>
        <w:rPr>
          <w:color w:val="000000"/>
          <w:spacing w:val="-2"/>
          <w:shd w:fill="E4E4E4" w:color="auto" w:val="clear"/>
        </w:rPr>
        <w:t>病变”四项中的其中一项承担保险责任，给付其中一项保险金后，对其他三项轻度</w:t>
      </w:r>
      <w:r>
        <w:rPr>
          <w:color w:val="000000"/>
          <w:spacing w:val="-2"/>
          <w:shd w:fill="E4E4E4" w:color="auto" w:val="clear"/>
        </w:rPr>
        <w:t>疾病保险责任同时终止。</w:t>
      </w:r>
    </w:p>
    <w:p>
      <w:pPr>
        <w:pStyle w:val="Heading2"/>
        <w:numPr>
          <w:ilvl w:val="0"/>
          <w:numId w:val="84"/>
        </w:numPr>
        <w:tabs>
          <w:tab w:pos="3169" w:val="left" w:leader="none"/>
        </w:tabs>
        <w:spacing w:line="240" w:lineRule="auto" w:before="156" w:after="0"/>
        <w:ind w:left="3168" w:right="0" w:hanging="636"/>
        <w:jc w:val="left"/>
      </w:pPr>
      <w:r>
        <w:rPr>
          <w:spacing w:val="-2"/>
        </w:rPr>
        <w:t>肝脏手术：</w:t>
      </w:r>
    </w:p>
    <w:p>
      <w:pPr>
        <w:pStyle w:val="BodyText"/>
        <w:spacing w:before="7"/>
        <w:rPr>
          <w:b/>
          <w:sz w:val="15"/>
        </w:rPr>
      </w:pPr>
    </w:p>
    <w:p>
      <w:pPr>
        <w:pStyle w:val="BodyText"/>
        <w:spacing w:line="278" w:lineRule="auto"/>
        <w:ind w:left="2533" w:right="356"/>
      </w:pPr>
      <w:r>
        <w:rPr>
          <w:spacing w:val="-2"/>
        </w:rPr>
        <w:t>指因疾病或意外事故实际实施的肝脏部分切除术，手术须有至少一个完整的肝叶切</w:t>
      </w:r>
      <w:r>
        <w:rPr>
          <w:spacing w:val="-6"/>
        </w:rPr>
        <w:t>除。</w:t>
      </w:r>
    </w:p>
    <w:p>
      <w:pPr>
        <w:pStyle w:val="Heading2"/>
        <w:numPr>
          <w:ilvl w:val="0"/>
          <w:numId w:val="84"/>
        </w:numPr>
        <w:tabs>
          <w:tab w:pos="3169" w:val="left" w:leader="none"/>
        </w:tabs>
        <w:spacing w:line="240" w:lineRule="auto" w:before="156" w:after="0"/>
        <w:ind w:left="3168" w:right="0" w:hanging="636"/>
        <w:jc w:val="left"/>
      </w:pPr>
      <w:r>
        <w:rPr>
          <w:spacing w:val="-2"/>
        </w:rPr>
        <w:t>听力严重受损：</w:t>
      </w:r>
    </w:p>
    <w:p>
      <w:pPr>
        <w:pStyle w:val="BodyText"/>
        <w:spacing w:before="7"/>
        <w:rPr>
          <w:b/>
          <w:sz w:val="15"/>
        </w:rPr>
      </w:pPr>
    </w:p>
    <w:p>
      <w:pPr>
        <w:pStyle w:val="BodyText"/>
        <w:ind w:left="2533"/>
      </w:pPr>
      <w:r>
        <w:rPr>
          <w:spacing w:val="-3"/>
        </w:rPr>
        <w:t>指因疾病或意外导致双耳听力永久不可逆性丧失，在 </w:t>
      </w:r>
      <w:r>
        <w:rPr>
          <w:spacing w:val="-2"/>
        </w:rPr>
        <w:t>500</w:t>
      </w:r>
      <w:r>
        <w:rPr>
          <w:spacing w:val="-8"/>
        </w:rPr>
        <w:t> 赫兹、</w:t>
      </w:r>
      <w:r>
        <w:rPr>
          <w:spacing w:val="-2"/>
        </w:rPr>
        <w:t>1000</w:t>
      </w:r>
      <w:r>
        <w:rPr>
          <w:spacing w:val="-11"/>
        </w:rPr>
        <w:t> 赫兹和 </w:t>
      </w:r>
      <w:r>
        <w:rPr>
          <w:spacing w:val="-4"/>
        </w:rPr>
        <w:t>2000</w:t>
      </w:r>
    </w:p>
    <w:p>
      <w:pPr>
        <w:pStyle w:val="BodyText"/>
        <w:spacing w:before="43"/>
        <w:ind w:left="2533"/>
      </w:pPr>
      <w:r>
        <w:rPr>
          <w:spacing w:val="-8"/>
        </w:rPr>
        <w:t>赫兹语音频率下，平均听阈大于 </w:t>
      </w:r>
      <w:r>
        <w:rPr>
          <w:spacing w:val="-6"/>
        </w:rPr>
        <w:t>70</w:t>
      </w:r>
      <w:r>
        <w:rPr>
          <w:spacing w:val="-11"/>
        </w:rPr>
        <w:t> 分贝，且经纯音听力测试、声导抗检测或听觉诱</w:t>
      </w:r>
    </w:p>
    <w:p>
      <w:pPr>
        <w:spacing w:after="0"/>
        <w:sectPr>
          <w:pgSz w:w="11910" w:h="16840"/>
          <w:pgMar w:header="0" w:footer="659" w:top="1400" w:bottom="840" w:left="920" w:right="540"/>
        </w:sectPr>
      </w:pPr>
    </w:p>
    <w:p>
      <w:pPr>
        <w:pStyle w:val="BodyText"/>
        <w:spacing w:before="44"/>
        <w:ind w:left="2533"/>
      </w:pPr>
      <w:r>
        <w:rPr>
          <w:spacing w:val="-3"/>
        </w:rPr>
        <w:t>发电位检测等证实。</w:t>
      </w:r>
    </w:p>
    <w:p>
      <w:pPr>
        <w:pStyle w:val="BodyText"/>
        <w:spacing w:before="43"/>
        <w:ind w:left="2533"/>
      </w:pPr>
      <w:r>
        <w:rPr>
          <w:color w:val="000000"/>
          <w:spacing w:val="-26"/>
          <w:shd w:fill="E4E4E4" w:color="auto" w:val="clear"/>
        </w:rPr>
        <w:t>在 </w:t>
      </w:r>
      <w:r>
        <w:rPr>
          <w:color w:val="000000"/>
          <w:spacing w:val="-2"/>
          <w:shd w:fill="E4E4E4" w:color="auto" w:val="clear"/>
        </w:rPr>
        <w:t>0</w:t>
      </w:r>
      <w:r>
        <w:rPr>
          <w:color w:val="000000"/>
          <w:spacing w:val="-34"/>
          <w:shd w:fill="E4E4E4" w:color="auto" w:val="clear"/>
        </w:rPr>
        <w:t> 至 </w:t>
      </w:r>
      <w:r>
        <w:rPr>
          <w:color w:val="000000"/>
          <w:spacing w:val="-2"/>
          <w:shd w:fill="E4E4E4" w:color="auto" w:val="clear"/>
        </w:rPr>
        <w:t>3</w:t>
      </w:r>
      <w:r>
        <w:rPr>
          <w:color w:val="000000"/>
          <w:spacing w:val="-10"/>
          <w:shd w:fill="E4E4E4" w:color="auto" w:val="clear"/>
        </w:rPr>
        <w:t> 周岁期间，被保险人听力严重受损不在保障范围内。</w:t>
      </w:r>
    </w:p>
    <w:p>
      <w:pPr>
        <w:pStyle w:val="BodyText"/>
        <w:spacing w:line="278" w:lineRule="auto" w:before="43"/>
        <w:ind w:left="2533" w:right="356"/>
      </w:pPr>
      <w:r>
        <w:rPr>
          <w:color w:val="000000"/>
          <w:spacing w:val="-11"/>
          <w:shd w:fill="E4E4E4" w:color="auto" w:val="clear"/>
        </w:rPr>
        <w:t>本公司对“听力严重受损”、 “单耳失聪”二项中的其中一项承担保险责任，给付</w:t>
      </w:r>
      <w:r>
        <w:rPr>
          <w:color w:val="000000"/>
          <w:spacing w:val="80"/>
          <w:w w:val="150"/>
          <w:shd w:fill="E4E4E4" w:color="auto" w:val="clear"/>
        </w:rPr>
        <w:t>                                         </w:t>
      </w:r>
      <w:r>
        <w:rPr>
          <w:color w:val="000000"/>
          <w:spacing w:val="-2"/>
          <w:shd w:fill="E4E4E4" w:color="auto" w:val="clear"/>
        </w:rPr>
        <w:t>其中一项保险金后，对另一项轻度疾病保险责任同时终止。</w:t>
      </w:r>
    </w:p>
    <w:p>
      <w:pPr>
        <w:pStyle w:val="Heading2"/>
        <w:numPr>
          <w:ilvl w:val="0"/>
          <w:numId w:val="84"/>
        </w:numPr>
        <w:tabs>
          <w:tab w:pos="3169" w:val="left" w:leader="none"/>
        </w:tabs>
        <w:spacing w:line="240" w:lineRule="auto" w:before="156" w:after="0"/>
        <w:ind w:left="3168" w:right="0" w:hanging="636"/>
        <w:jc w:val="left"/>
      </w:pPr>
      <w:r>
        <w:rPr>
          <w:spacing w:val="-3"/>
        </w:rPr>
        <w:t>心脏起搏器或除颤器植入：</w:t>
      </w:r>
    </w:p>
    <w:p>
      <w:pPr>
        <w:pStyle w:val="BodyText"/>
        <w:spacing w:before="7"/>
        <w:rPr>
          <w:b/>
          <w:sz w:val="15"/>
        </w:rPr>
      </w:pPr>
    </w:p>
    <w:p>
      <w:pPr>
        <w:pStyle w:val="BodyText"/>
        <w:spacing w:line="278" w:lineRule="auto"/>
        <w:ind w:left="2533" w:right="356"/>
        <w:jc w:val="both"/>
      </w:pPr>
      <w:r>
        <w:rPr>
          <w:spacing w:val="-4"/>
          <w:w w:val="100"/>
        </w:rPr>
        <w:t>因严重心律失常而确实已行植入永久性心脏起搏器或除颤器的手术。理赔时须提供完整病历资料及手术记录以证实此严重心律失常并不能以其他方法治疗。诊断及治</w:t>
      </w:r>
      <w:r>
        <w:rPr>
          <w:spacing w:val="2"/>
          <w:w w:val="100"/>
        </w:rPr>
        <w:t>疗均须在本公司指定或认可的医疗机构内由专科医生认为是医疗必须的情况下进</w:t>
      </w:r>
      <w:r>
        <w:rPr>
          <w:w w:val="100"/>
        </w:rPr>
        <w:t>行。</w:t>
      </w:r>
    </w:p>
    <w:p>
      <w:pPr>
        <w:pStyle w:val="BodyText"/>
        <w:spacing w:line="278" w:lineRule="auto"/>
        <w:ind w:left="2533" w:right="356"/>
      </w:pPr>
      <w:r>
        <w:rPr>
          <w:color w:val="000000"/>
          <w:spacing w:val="-11"/>
          <w:shd w:fill="E4E4E4" w:color="auto" w:val="clear"/>
        </w:rPr>
        <w:t>体外心脏电复律</w:t>
      </w:r>
      <w:r>
        <w:rPr>
          <w:color w:val="000000"/>
          <w:spacing w:val="-2"/>
          <w:shd w:fill="E4E4E4" w:color="auto" w:val="clear"/>
        </w:rPr>
        <w:t>（心脏电除颤</w:t>
      </w:r>
      <w:r>
        <w:rPr>
          <w:color w:val="000000"/>
          <w:spacing w:val="-108"/>
          <w:shd w:fill="E4E4E4" w:color="auto" w:val="clear"/>
        </w:rPr>
        <w:t>）</w:t>
      </w:r>
      <w:r>
        <w:rPr>
          <w:color w:val="000000"/>
          <w:spacing w:val="-10"/>
          <w:shd w:fill="E4E4E4" w:color="auto" w:val="clear"/>
        </w:rPr>
        <w:t>、临时心脏起搏器及临时性埋藏式心脏复律除颤器安</w:t>
      </w:r>
      <w:r>
        <w:rPr>
          <w:color w:val="000000"/>
          <w:spacing w:val="-4"/>
          <w:shd w:fill="E4E4E4" w:color="auto" w:val="clear"/>
        </w:rPr>
        <w:t>装除外。</w:t>
      </w:r>
    </w:p>
    <w:p>
      <w:pPr>
        <w:pStyle w:val="Heading2"/>
        <w:numPr>
          <w:ilvl w:val="0"/>
          <w:numId w:val="84"/>
        </w:numPr>
        <w:tabs>
          <w:tab w:pos="3169" w:val="left" w:leader="none"/>
        </w:tabs>
        <w:spacing w:line="240" w:lineRule="auto" w:before="156" w:after="0"/>
        <w:ind w:left="3168" w:right="0" w:hanging="636"/>
        <w:jc w:val="left"/>
      </w:pPr>
      <w:r>
        <w:rPr>
          <w:spacing w:val="-2"/>
        </w:rPr>
        <w:t>严重的骨质疏松：</w:t>
      </w:r>
    </w:p>
    <w:p>
      <w:pPr>
        <w:pStyle w:val="BodyText"/>
        <w:spacing w:before="6"/>
        <w:rPr>
          <w:b/>
          <w:sz w:val="15"/>
        </w:rPr>
      </w:pPr>
    </w:p>
    <w:p>
      <w:pPr>
        <w:pStyle w:val="BodyText"/>
        <w:spacing w:line="278" w:lineRule="auto" w:before="1"/>
        <w:ind w:left="2533" w:right="356"/>
        <w:jc w:val="both"/>
      </w:pPr>
      <w:r>
        <w:rPr>
          <w:spacing w:val="-2"/>
        </w:rPr>
        <w:t>严重的骨质疏松，并因此而直接导致脊椎、骨盆、桡骨、尺骨、肱骨、胫骨、股骨</w:t>
      </w:r>
      <w:r>
        <w:rPr>
          <w:spacing w:val="-2"/>
        </w:rPr>
        <w:t>骨折。骨质疏松的诊断必须由本公司认可医院合格的专科医生做出，并符合世界卫</w:t>
      </w:r>
      <w:r>
        <w:rPr/>
        <w:t>生组织关于骨质疏松的诊断标准 。</w:t>
      </w:r>
    </w:p>
    <w:p>
      <w:pPr>
        <w:pStyle w:val="Heading2"/>
        <w:numPr>
          <w:ilvl w:val="0"/>
          <w:numId w:val="84"/>
        </w:numPr>
        <w:tabs>
          <w:tab w:pos="3169" w:val="left" w:leader="none"/>
        </w:tabs>
        <w:spacing w:line="240" w:lineRule="auto" w:before="155" w:after="0"/>
        <w:ind w:left="3168" w:right="0" w:hanging="636"/>
        <w:jc w:val="left"/>
      </w:pPr>
      <w:r>
        <w:rPr>
          <w:spacing w:val="-2"/>
        </w:rPr>
        <w:t>双侧睾丸切除术：</w:t>
      </w:r>
    </w:p>
    <w:p>
      <w:pPr>
        <w:pStyle w:val="BodyText"/>
        <w:spacing w:before="7"/>
        <w:rPr>
          <w:b/>
          <w:sz w:val="15"/>
        </w:rPr>
      </w:pPr>
    </w:p>
    <w:p>
      <w:pPr>
        <w:pStyle w:val="BodyText"/>
        <w:spacing w:line="278" w:lineRule="auto"/>
        <w:ind w:left="2533" w:right="764"/>
      </w:pPr>
      <w:r>
        <w:rPr>
          <w:spacing w:val="-2"/>
        </w:rPr>
        <w:t>指为治疗疾病实际接受了经腹部切开或腹腔镜进行的双侧睾丸完全切除手术。</w:t>
      </w:r>
      <w:r>
        <w:rPr>
          <w:color w:val="000000"/>
          <w:spacing w:val="-2"/>
          <w:shd w:fill="E4E4E4" w:color="auto" w:val="clear"/>
        </w:rPr>
        <w:t>下列情况不在保障范围内：</w:t>
      </w:r>
    </w:p>
    <w:p>
      <w:pPr>
        <w:pStyle w:val="ListParagraph"/>
        <w:numPr>
          <w:ilvl w:val="0"/>
          <w:numId w:val="100"/>
        </w:numPr>
        <w:tabs>
          <w:tab w:pos="3254" w:val="left" w:leader="none"/>
          <w:tab w:pos="3255" w:val="left" w:leader="none"/>
        </w:tabs>
        <w:spacing w:line="240" w:lineRule="auto" w:before="156" w:after="0"/>
        <w:ind w:left="3254" w:right="0" w:hanging="722"/>
        <w:jc w:val="left"/>
        <w:rPr>
          <w:sz w:val="21"/>
        </w:rPr>
      </w:pPr>
      <w:r>
        <w:rPr>
          <w:color w:val="000000"/>
          <w:spacing w:val="-4"/>
          <w:sz w:val="21"/>
          <w:shd w:fill="E4E4E4" w:color="auto" w:val="clear"/>
        </w:rPr>
        <w:t>部分睾丸切除；</w:t>
      </w:r>
    </w:p>
    <w:p>
      <w:pPr>
        <w:pStyle w:val="BodyText"/>
        <w:spacing w:before="12"/>
        <w:rPr>
          <w:sz w:val="9"/>
        </w:rPr>
      </w:pPr>
    </w:p>
    <w:p>
      <w:pPr>
        <w:pStyle w:val="ListParagraph"/>
        <w:numPr>
          <w:ilvl w:val="0"/>
          <w:numId w:val="100"/>
        </w:numPr>
        <w:tabs>
          <w:tab w:pos="3254" w:val="left" w:leader="none"/>
          <w:tab w:pos="3255" w:val="left" w:leader="none"/>
        </w:tabs>
        <w:spacing w:line="240" w:lineRule="auto" w:before="71" w:after="0"/>
        <w:ind w:left="3254" w:right="0" w:hanging="722"/>
        <w:jc w:val="left"/>
        <w:rPr>
          <w:sz w:val="21"/>
        </w:rPr>
      </w:pPr>
      <w:r>
        <w:rPr>
          <w:color w:val="000000"/>
          <w:spacing w:val="-3"/>
          <w:sz w:val="21"/>
          <w:shd w:fill="E4E4E4" w:color="auto" w:val="clear"/>
        </w:rPr>
        <w:t>因恶性肿瘤进行的睾丸切除术；</w:t>
      </w:r>
    </w:p>
    <w:p>
      <w:pPr>
        <w:pStyle w:val="BodyText"/>
        <w:rPr>
          <w:sz w:val="10"/>
        </w:rPr>
      </w:pPr>
    </w:p>
    <w:p>
      <w:pPr>
        <w:pStyle w:val="ListParagraph"/>
        <w:numPr>
          <w:ilvl w:val="0"/>
          <w:numId w:val="100"/>
        </w:numPr>
        <w:tabs>
          <w:tab w:pos="3254" w:val="left" w:leader="none"/>
          <w:tab w:pos="3255" w:val="left" w:leader="none"/>
        </w:tabs>
        <w:spacing w:line="240" w:lineRule="auto" w:before="72" w:after="0"/>
        <w:ind w:left="3254" w:right="0" w:hanging="722"/>
        <w:jc w:val="left"/>
        <w:rPr>
          <w:sz w:val="21"/>
        </w:rPr>
      </w:pPr>
      <w:r>
        <w:rPr>
          <w:color w:val="000000"/>
          <w:spacing w:val="-4"/>
          <w:sz w:val="21"/>
          <w:shd w:fill="E4E4E4" w:color="auto" w:val="clear"/>
        </w:rPr>
        <w:t>预防性睾丸切除；</w:t>
      </w:r>
    </w:p>
    <w:p>
      <w:pPr>
        <w:pStyle w:val="BodyText"/>
        <w:spacing w:before="12"/>
        <w:rPr>
          <w:sz w:val="9"/>
        </w:rPr>
      </w:pPr>
    </w:p>
    <w:p>
      <w:pPr>
        <w:pStyle w:val="ListParagraph"/>
        <w:numPr>
          <w:ilvl w:val="0"/>
          <w:numId w:val="100"/>
        </w:numPr>
        <w:tabs>
          <w:tab w:pos="3254" w:val="left" w:leader="none"/>
          <w:tab w:pos="3255" w:val="left" w:leader="none"/>
        </w:tabs>
        <w:spacing w:line="240" w:lineRule="auto" w:before="71" w:after="0"/>
        <w:ind w:left="3254" w:right="0" w:hanging="722"/>
        <w:jc w:val="left"/>
        <w:rPr>
          <w:sz w:val="21"/>
        </w:rPr>
      </w:pPr>
      <w:r>
        <w:rPr>
          <w:color w:val="000000"/>
          <w:spacing w:val="-4"/>
          <w:sz w:val="21"/>
          <w:shd w:fill="E4E4E4" w:color="auto" w:val="clear"/>
        </w:rPr>
        <w:t>变性手术。</w:t>
      </w:r>
    </w:p>
    <w:p>
      <w:pPr>
        <w:pStyle w:val="BodyText"/>
        <w:spacing w:before="7"/>
        <w:rPr>
          <w:sz w:val="15"/>
        </w:rPr>
      </w:pPr>
    </w:p>
    <w:p>
      <w:pPr>
        <w:pStyle w:val="Heading2"/>
        <w:numPr>
          <w:ilvl w:val="0"/>
          <w:numId w:val="84"/>
        </w:numPr>
        <w:tabs>
          <w:tab w:pos="3169" w:val="left" w:leader="none"/>
        </w:tabs>
        <w:spacing w:line="240" w:lineRule="auto" w:before="0" w:after="0"/>
        <w:ind w:left="3168" w:right="0" w:hanging="636"/>
        <w:jc w:val="left"/>
      </w:pPr>
      <w:r>
        <w:rPr>
          <w:spacing w:val="-2"/>
        </w:rPr>
        <w:t>双侧卵巢切除术：</w:t>
      </w:r>
    </w:p>
    <w:p>
      <w:pPr>
        <w:pStyle w:val="BodyText"/>
        <w:spacing w:before="7"/>
        <w:rPr>
          <w:b/>
          <w:sz w:val="15"/>
        </w:rPr>
      </w:pPr>
    </w:p>
    <w:p>
      <w:pPr>
        <w:pStyle w:val="BodyText"/>
        <w:ind w:left="2533"/>
      </w:pPr>
      <w:r>
        <w:rPr>
          <w:spacing w:val="-3"/>
        </w:rPr>
        <w:t>指为治疗疾病实际接受了经腹部切开或腹腔镜进行的双侧卵巢完全切除手术。</w:t>
      </w:r>
    </w:p>
    <w:p>
      <w:pPr>
        <w:pStyle w:val="BodyText"/>
        <w:spacing w:before="12"/>
        <w:rPr>
          <w:sz w:val="9"/>
        </w:rPr>
      </w:pPr>
    </w:p>
    <w:p>
      <w:pPr>
        <w:pStyle w:val="BodyText"/>
        <w:spacing w:before="71"/>
        <w:ind w:left="2533"/>
      </w:pPr>
      <w:r>
        <w:rPr>
          <w:color w:val="000000"/>
          <w:spacing w:val="-3"/>
          <w:shd w:fill="E4E4E4" w:color="auto" w:val="clear"/>
        </w:rPr>
        <w:t>下列情况不在保障范围内：</w:t>
      </w:r>
    </w:p>
    <w:p>
      <w:pPr>
        <w:pStyle w:val="BodyText"/>
        <w:spacing w:before="12"/>
        <w:rPr>
          <w:sz w:val="9"/>
        </w:rPr>
      </w:pPr>
    </w:p>
    <w:p>
      <w:pPr>
        <w:pStyle w:val="ListParagraph"/>
        <w:numPr>
          <w:ilvl w:val="0"/>
          <w:numId w:val="101"/>
        </w:numPr>
        <w:tabs>
          <w:tab w:pos="3254" w:val="left" w:leader="none"/>
          <w:tab w:pos="3255" w:val="left" w:leader="none"/>
        </w:tabs>
        <w:spacing w:line="240" w:lineRule="auto" w:before="72" w:after="0"/>
        <w:ind w:left="3254" w:right="0" w:hanging="722"/>
        <w:jc w:val="left"/>
        <w:rPr>
          <w:sz w:val="21"/>
        </w:rPr>
      </w:pPr>
      <w:r>
        <w:rPr>
          <w:color w:val="000000"/>
          <w:spacing w:val="-4"/>
          <w:sz w:val="21"/>
          <w:shd w:fill="E4E4E4" w:color="auto" w:val="clear"/>
        </w:rPr>
        <w:t>部分卵巢切除；</w:t>
      </w:r>
    </w:p>
    <w:p>
      <w:pPr>
        <w:pStyle w:val="BodyText"/>
        <w:spacing w:before="12"/>
        <w:rPr>
          <w:sz w:val="9"/>
        </w:rPr>
      </w:pPr>
    </w:p>
    <w:p>
      <w:pPr>
        <w:pStyle w:val="ListParagraph"/>
        <w:numPr>
          <w:ilvl w:val="0"/>
          <w:numId w:val="101"/>
        </w:numPr>
        <w:tabs>
          <w:tab w:pos="3254" w:val="left" w:leader="none"/>
          <w:tab w:pos="3255" w:val="left" w:leader="none"/>
        </w:tabs>
        <w:spacing w:line="240" w:lineRule="auto" w:before="72" w:after="0"/>
        <w:ind w:left="3254" w:right="0" w:hanging="722"/>
        <w:jc w:val="left"/>
        <w:rPr>
          <w:sz w:val="21"/>
        </w:rPr>
      </w:pPr>
      <w:r>
        <w:rPr>
          <w:color w:val="000000"/>
          <w:spacing w:val="-3"/>
          <w:sz w:val="21"/>
          <w:shd w:fill="E4E4E4" w:color="auto" w:val="clear"/>
        </w:rPr>
        <w:t>因恶性肿瘤进行的卵巢切除术；</w:t>
      </w:r>
    </w:p>
    <w:p>
      <w:pPr>
        <w:pStyle w:val="BodyText"/>
        <w:spacing w:before="12"/>
        <w:rPr>
          <w:sz w:val="9"/>
        </w:rPr>
      </w:pPr>
    </w:p>
    <w:p>
      <w:pPr>
        <w:pStyle w:val="ListParagraph"/>
        <w:numPr>
          <w:ilvl w:val="0"/>
          <w:numId w:val="101"/>
        </w:numPr>
        <w:tabs>
          <w:tab w:pos="3254" w:val="left" w:leader="none"/>
          <w:tab w:pos="3255" w:val="left" w:leader="none"/>
        </w:tabs>
        <w:spacing w:line="240" w:lineRule="auto" w:before="71" w:after="0"/>
        <w:ind w:left="3254" w:right="0" w:hanging="722"/>
        <w:jc w:val="left"/>
        <w:rPr>
          <w:sz w:val="21"/>
        </w:rPr>
      </w:pPr>
      <w:r>
        <w:rPr>
          <w:color w:val="000000"/>
          <w:spacing w:val="-4"/>
          <w:sz w:val="21"/>
          <w:shd w:fill="E4E4E4" w:color="auto" w:val="clear"/>
        </w:rPr>
        <w:t>预防性卵巢切除；</w:t>
      </w:r>
    </w:p>
    <w:p>
      <w:pPr>
        <w:pStyle w:val="BodyText"/>
        <w:spacing w:before="12"/>
        <w:rPr>
          <w:sz w:val="9"/>
        </w:rPr>
      </w:pPr>
    </w:p>
    <w:p>
      <w:pPr>
        <w:pStyle w:val="ListParagraph"/>
        <w:numPr>
          <w:ilvl w:val="0"/>
          <w:numId w:val="101"/>
        </w:numPr>
        <w:tabs>
          <w:tab w:pos="3254" w:val="left" w:leader="none"/>
          <w:tab w:pos="3255" w:val="left" w:leader="none"/>
        </w:tabs>
        <w:spacing w:line="240" w:lineRule="auto" w:before="72" w:after="0"/>
        <w:ind w:left="3254" w:right="0" w:hanging="722"/>
        <w:jc w:val="left"/>
        <w:rPr>
          <w:sz w:val="21"/>
        </w:rPr>
      </w:pPr>
      <w:r>
        <w:rPr>
          <w:color w:val="000000"/>
          <w:spacing w:val="-4"/>
          <w:sz w:val="21"/>
          <w:shd w:fill="E4E4E4" w:color="auto" w:val="clear"/>
        </w:rPr>
        <w:t>变性手术。</w:t>
      </w:r>
    </w:p>
    <w:p>
      <w:pPr>
        <w:pStyle w:val="BodyText"/>
        <w:spacing w:before="7"/>
        <w:rPr>
          <w:sz w:val="15"/>
        </w:rPr>
      </w:pPr>
    </w:p>
    <w:p>
      <w:pPr>
        <w:pStyle w:val="Heading2"/>
        <w:numPr>
          <w:ilvl w:val="0"/>
          <w:numId w:val="84"/>
        </w:numPr>
        <w:tabs>
          <w:tab w:pos="3169" w:val="left" w:leader="none"/>
        </w:tabs>
        <w:spacing w:line="240" w:lineRule="auto" w:before="0" w:after="0"/>
        <w:ind w:left="3168" w:right="0" w:hanging="636"/>
        <w:jc w:val="left"/>
      </w:pPr>
      <w:r>
        <w:rPr>
          <w:spacing w:val="-2"/>
        </w:rPr>
        <w:t>单侧肾脏切除：</w:t>
      </w:r>
    </w:p>
    <w:p>
      <w:pPr>
        <w:pStyle w:val="BodyText"/>
        <w:spacing w:before="7"/>
        <w:rPr>
          <w:b/>
          <w:sz w:val="15"/>
        </w:rPr>
      </w:pPr>
    </w:p>
    <w:p>
      <w:pPr>
        <w:pStyle w:val="BodyText"/>
        <w:spacing w:line="278" w:lineRule="auto"/>
        <w:ind w:left="2533" w:right="356"/>
      </w:pPr>
      <w:r>
        <w:rPr>
          <w:spacing w:val="-2"/>
        </w:rPr>
        <w:t>因肾脏疾病或外伤而确实已经接受手术完全切除左肾或右肾。手术必须被本公司指</w:t>
      </w:r>
      <w:r>
        <w:rPr>
          <w:spacing w:val="-2"/>
        </w:rPr>
        <w:t>定或认可的医疗机构的专科医生视为必要的。</w:t>
      </w:r>
    </w:p>
    <w:p>
      <w:pPr>
        <w:pStyle w:val="BodyText"/>
        <w:spacing w:line="269" w:lineRule="exact"/>
        <w:ind w:left="2533"/>
      </w:pPr>
      <w:r>
        <w:rPr>
          <w:color w:val="000000"/>
          <w:spacing w:val="-3"/>
          <w:shd w:fill="E4E4E4" w:color="auto" w:val="clear"/>
        </w:rPr>
        <w:t>恶性肿瘤、肾脏部分切除手术和肾脏捐献引起的手术不在保障范围内。</w:t>
      </w:r>
    </w:p>
    <w:p>
      <w:pPr>
        <w:pStyle w:val="BodyText"/>
        <w:spacing w:before="6"/>
        <w:rPr>
          <w:sz w:val="15"/>
        </w:rPr>
      </w:pPr>
    </w:p>
    <w:p>
      <w:pPr>
        <w:pStyle w:val="Heading2"/>
        <w:numPr>
          <w:ilvl w:val="0"/>
          <w:numId w:val="84"/>
        </w:numPr>
        <w:tabs>
          <w:tab w:pos="3169" w:val="left" w:leader="none"/>
        </w:tabs>
        <w:spacing w:line="240" w:lineRule="auto" w:before="1" w:after="0"/>
        <w:ind w:left="3168" w:right="0" w:hanging="636"/>
        <w:jc w:val="left"/>
      </w:pPr>
      <w:r>
        <w:rPr>
          <w:spacing w:val="-3"/>
        </w:rPr>
        <w:t>于颈动脉进行血管成形术或内膜切除术：</w:t>
      </w:r>
    </w:p>
    <w:p>
      <w:pPr>
        <w:spacing w:after="0" w:line="240" w:lineRule="auto"/>
        <w:jc w:val="left"/>
        <w:sectPr>
          <w:pgSz w:w="11910" w:h="16840"/>
          <w:pgMar w:header="0" w:footer="659" w:top="1400" w:bottom="840" w:left="920" w:right="540"/>
        </w:sectPr>
      </w:pPr>
    </w:p>
    <w:p>
      <w:pPr>
        <w:pStyle w:val="BodyText"/>
        <w:spacing w:line="278" w:lineRule="auto" w:before="44"/>
        <w:ind w:left="2533" w:right="356"/>
        <w:jc w:val="both"/>
      </w:pPr>
      <w:r>
        <w:rPr>
          <w:spacing w:val="-2"/>
        </w:rPr>
        <w:t>指根据颈动脉造影检查结果，确诊一条或以上颈动脉存在严重狭窄性病变（至少一</w:t>
      </w:r>
      <w:r>
        <w:rPr>
          <w:spacing w:val="-3"/>
        </w:rPr>
        <w:t>支血管管腔直径减少 </w:t>
      </w:r>
      <w:r>
        <w:rPr/>
        <w:t>50％以上</w:t>
      </w:r>
      <w:r>
        <w:rPr>
          <w:spacing w:val="-108"/>
        </w:rPr>
        <w:t>）</w:t>
      </w:r>
      <w:r>
        <w:rPr/>
        <w:t>。本病须经国家机关认可的有合法资质的专科医生</w:t>
      </w:r>
      <w:r>
        <w:rPr>
          <w:spacing w:val="-2"/>
        </w:rPr>
        <w:t>明确诊断，同时必须已经采取以下手术之一以减轻症状：</w:t>
      </w:r>
    </w:p>
    <w:p>
      <w:pPr>
        <w:pStyle w:val="ListParagraph"/>
        <w:numPr>
          <w:ilvl w:val="0"/>
          <w:numId w:val="102"/>
        </w:numPr>
        <w:tabs>
          <w:tab w:pos="3254" w:val="left" w:leader="none"/>
          <w:tab w:pos="3255" w:val="left" w:leader="none"/>
        </w:tabs>
        <w:spacing w:line="240" w:lineRule="auto" w:before="156" w:after="0"/>
        <w:ind w:left="3254" w:right="0" w:hanging="722"/>
        <w:jc w:val="left"/>
        <w:rPr>
          <w:sz w:val="21"/>
        </w:rPr>
      </w:pPr>
      <w:r>
        <w:rPr>
          <w:spacing w:val="-3"/>
          <w:sz w:val="21"/>
        </w:rPr>
        <w:t>确实进行动脉内膜切除术；</w:t>
      </w:r>
    </w:p>
    <w:p>
      <w:pPr>
        <w:pStyle w:val="BodyText"/>
        <w:spacing w:before="7"/>
        <w:rPr>
          <w:sz w:val="15"/>
        </w:rPr>
      </w:pPr>
    </w:p>
    <w:p>
      <w:pPr>
        <w:pStyle w:val="ListParagraph"/>
        <w:numPr>
          <w:ilvl w:val="0"/>
          <w:numId w:val="102"/>
        </w:numPr>
        <w:tabs>
          <w:tab w:pos="3254" w:val="left" w:leader="none"/>
          <w:tab w:pos="3255" w:val="left" w:leader="none"/>
        </w:tabs>
        <w:spacing w:line="278" w:lineRule="auto" w:before="0" w:after="0"/>
        <w:ind w:left="3254" w:right="356" w:hanging="721"/>
        <w:jc w:val="left"/>
        <w:rPr>
          <w:sz w:val="21"/>
        </w:rPr>
      </w:pPr>
      <w:r>
        <w:rPr>
          <w:spacing w:val="-2"/>
          <w:sz w:val="21"/>
        </w:rPr>
        <w:t>确实进行血管介入治疗，例如血管成形术及/或进行植入支架或动脉粥样瘤</w:t>
      </w:r>
      <w:r>
        <w:rPr>
          <w:spacing w:val="-2"/>
          <w:sz w:val="21"/>
        </w:rPr>
        <w:t>清除手术。</w:t>
      </w:r>
    </w:p>
    <w:p>
      <w:pPr>
        <w:pStyle w:val="Heading2"/>
        <w:numPr>
          <w:ilvl w:val="0"/>
          <w:numId w:val="84"/>
        </w:numPr>
        <w:tabs>
          <w:tab w:pos="3169" w:val="left" w:leader="none"/>
        </w:tabs>
        <w:spacing w:line="240" w:lineRule="auto" w:before="156" w:after="0"/>
        <w:ind w:left="3168" w:right="0" w:hanging="636"/>
        <w:jc w:val="left"/>
      </w:pPr>
      <w:r>
        <w:rPr>
          <w:spacing w:val="-2"/>
        </w:rPr>
        <w:t>心包膜切除术：</w:t>
      </w:r>
    </w:p>
    <w:p>
      <w:pPr>
        <w:pStyle w:val="BodyText"/>
        <w:spacing w:before="6"/>
        <w:rPr>
          <w:b/>
          <w:sz w:val="15"/>
        </w:rPr>
      </w:pPr>
    </w:p>
    <w:p>
      <w:pPr>
        <w:pStyle w:val="BodyText"/>
        <w:spacing w:line="278" w:lineRule="auto"/>
        <w:ind w:left="2533" w:right="344"/>
      </w:pPr>
      <w:r>
        <w:rPr>
          <w:spacing w:val="-2"/>
        </w:rPr>
        <w:t>因心包膜疾病导致已接受心包膜切除术或已进行任何需要心脏小切口技术的手术。</w:t>
      </w:r>
      <w:r>
        <w:rPr>
          <w:spacing w:val="-2"/>
        </w:rPr>
        <w:t>手术必须在心脏科医生认为是医学上必需的情况下进行。</w:t>
      </w:r>
    </w:p>
    <w:p>
      <w:pPr>
        <w:pStyle w:val="Heading2"/>
        <w:numPr>
          <w:ilvl w:val="0"/>
          <w:numId w:val="84"/>
        </w:numPr>
        <w:tabs>
          <w:tab w:pos="3169" w:val="left" w:leader="none"/>
        </w:tabs>
        <w:spacing w:line="240" w:lineRule="auto" w:before="156" w:after="0"/>
        <w:ind w:left="3168" w:right="0" w:hanging="636"/>
        <w:jc w:val="left"/>
      </w:pPr>
      <w:r>
        <w:rPr>
          <w:spacing w:val="-3"/>
        </w:rPr>
        <w:t>硬脑膜下血肿手术：</w:t>
      </w:r>
    </w:p>
    <w:p>
      <w:pPr>
        <w:pStyle w:val="BodyText"/>
        <w:spacing w:before="7"/>
        <w:rPr>
          <w:b/>
          <w:sz w:val="15"/>
        </w:rPr>
      </w:pPr>
    </w:p>
    <w:p>
      <w:pPr>
        <w:pStyle w:val="BodyText"/>
        <w:spacing w:line="278" w:lineRule="auto" w:before="1"/>
        <w:ind w:left="2533" w:right="356"/>
      </w:pPr>
      <w:r>
        <w:rPr>
          <w:spacing w:val="-2"/>
        </w:rPr>
        <w:t>为清除或引流因意外导致的血肿，需于头部进行开颅或钻孔手术。开颅或钻孔手术</w:t>
      </w:r>
      <w:r>
        <w:rPr>
          <w:spacing w:val="-2"/>
        </w:rPr>
        <w:t>必须由专科医生认为是医学上必需的情况下进行。</w:t>
      </w:r>
    </w:p>
    <w:p>
      <w:pPr>
        <w:pStyle w:val="Heading2"/>
        <w:numPr>
          <w:ilvl w:val="0"/>
          <w:numId w:val="84"/>
        </w:numPr>
        <w:tabs>
          <w:tab w:pos="3169" w:val="left" w:leader="none"/>
        </w:tabs>
        <w:spacing w:line="240" w:lineRule="auto" w:before="155" w:after="0"/>
        <w:ind w:left="3168" w:right="0" w:hanging="636"/>
        <w:jc w:val="left"/>
      </w:pPr>
      <w:r>
        <w:rPr>
          <w:spacing w:val="-3"/>
        </w:rPr>
        <w:t>特定周围动脉疾病的血管介入治疗：</w:t>
      </w:r>
    </w:p>
    <w:p>
      <w:pPr>
        <w:pStyle w:val="BodyText"/>
        <w:spacing w:before="7"/>
        <w:rPr>
          <w:b/>
          <w:sz w:val="15"/>
        </w:rPr>
      </w:pPr>
    </w:p>
    <w:p>
      <w:pPr>
        <w:pStyle w:val="BodyText"/>
        <w:ind w:left="2533"/>
      </w:pPr>
      <w:r>
        <w:rPr>
          <w:spacing w:val="-3"/>
        </w:rPr>
        <w:t>指为治疗一条或者一条以上的下列动脉狭窄而实施的血管介入治疗：</w:t>
      </w:r>
    </w:p>
    <w:p>
      <w:pPr>
        <w:pStyle w:val="BodyText"/>
        <w:spacing w:before="7"/>
        <w:rPr>
          <w:sz w:val="15"/>
        </w:rPr>
      </w:pPr>
    </w:p>
    <w:p>
      <w:pPr>
        <w:pStyle w:val="ListParagraph"/>
        <w:numPr>
          <w:ilvl w:val="0"/>
          <w:numId w:val="103"/>
        </w:numPr>
        <w:tabs>
          <w:tab w:pos="3254" w:val="left" w:leader="none"/>
          <w:tab w:pos="3255" w:val="left" w:leader="none"/>
        </w:tabs>
        <w:spacing w:line="240" w:lineRule="auto" w:before="0" w:after="0"/>
        <w:ind w:left="3254" w:right="0" w:hanging="722"/>
        <w:jc w:val="left"/>
        <w:rPr>
          <w:sz w:val="21"/>
        </w:rPr>
      </w:pPr>
      <w:r>
        <w:rPr>
          <w:spacing w:val="-3"/>
          <w:sz w:val="21"/>
        </w:rPr>
        <w:t>为下肢或者上肢供血的动脉；</w:t>
      </w:r>
    </w:p>
    <w:p>
      <w:pPr>
        <w:pStyle w:val="BodyText"/>
        <w:spacing w:before="6"/>
        <w:rPr>
          <w:sz w:val="15"/>
        </w:rPr>
      </w:pPr>
    </w:p>
    <w:p>
      <w:pPr>
        <w:pStyle w:val="ListParagraph"/>
        <w:numPr>
          <w:ilvl w:val="0"/>
          <w:numId w:val="103"/>
        </w:numPr>
        <w:tabs>
          <w:tab w:pos="3254" w:val="left" w:leader="none"/>
          <w:tab w:pos="3255" w:val="left" w:leader="none"/>
        </w:tabs>
        <w:spacing w:line="240" w:lineRule="auto" w:before="1" w:after="0"/>
        <w:ind w:left="3254" w:right="0" w:hanging="722"/>
        <w:jc w:val="left"/>
        <w:rPr>
          <w:sz w:val="21"/>
        </w:rPr>
      </w:pPr>
      <w:r>
        <w:rPr>
          <w:spacing w:val="-4"/>
          <w:sz w:val="21"/>
        </w:rPr>
        <w:t>肾动脉；</w:t>
      </w:r>
    </w:p>
    <w:p>
      <w:pPr>
        <w:pStyle w:val="BodyText"/>
        <w:spacing w:before="6"/>
        <w:rPr>
          <w:sz w:val="15"/>
        </w:rPr>
      </w:pPr>
    </w:p>
    <w:p>
      <w:pPr>
        <w:pStyle w:val="ListParagraph"/>
        <w:numPr>
          <w:ilvl w:val="0"/>
          <w:numId w:val="103"/>
        </w:numPr>
        <w:tabs>
          <w:tab w:pos="3254" w:val="left" w:leader="none"/>
          <w:tab w:pos="3255" w:val="left" w:leader="none"/>
        </w:tabs>
        <w:spacing w:line="417" w:lineRule="auto" w:before="0" w:after="0"/>
        <w:ind w:left="2533" w:right="5807" w:firstLine="0"/>
        <w:jc w:val="left"/>
        <w:rPr>
          <w:sz w:val="21"/>
        </w:rPr>
      </w:pPr>
      <w:r>
        <w:rPr>
          <w:spacing w:val="-2"/>
          <w:sz w:val="21"/>
        </w:rPr>
        <w:t>肠系膜动脉。</w:t>
      </w:r>
      <w:r>
        <w:rPr>
          <w:spacing w:val="-2"/>
          <w:sz w:val="21"/>
        </w:rPr>
        <w:t>须满足下列全部条件：</w:t>
      </w:r>
    </w:p>
    <w:p>
      <w:pPr>
        <w:pStyle w:val="ListParagraph"/>
        <w:numPr>
          <w:ilvl w:val="0"/>
          <w:numId w:val="104"/>
        </w:numPr>
        <w:tabs>
          <w:tab w:pos="3254" w:val="left" w:leader="none"/>
          <w:tab w:pos="3255" w:val="left" w:leader="none"/>
        </w:tabs>
        <w:spacing w:line="240" w:lineRule="auto" w:before="0" w:after="0"/>
        <w:ind w:left="3254" w:right="0" w:hanging="722"/>
        <w:jc w:val="left"/>
        <w:rPr>
          <w:sz w:val="21"/>
        </w:rPr>
      </w:pPr>
      <w:r>
        <w:rPr>
          <w:spacing w:val="-4"/>
          <w:sz w:val="21"/>
        </w:rPr>
        <w:t>经血管造影术证实一条或者一条以上的上述动脉狭窄达到 </w:t>
      </w:r>
      <w:r>
        <w:rPr>
          <w:spacing w:val="-2"/>
          <w:sz w:val="21"/>
        </w:rPr>
        <w:t>50</w:t>
      </w:r>
      <w:r>
        <w:rPr>
          <w:spacing w:val="-4"/>
          <w:sz w:val="21"/>
        </w:rPr>
        <w:t>%或者以上；</w:t>
      </w:r>
    </w:p>
    <w:p>
      <w:pPr>
        <w:pStyle w:val="BodyText"/>
        <w:spacing w:before="7"/>
        <w:rPr>
          <w:sz w:val="15"/>
        </w:rPr>
      </w:pPr>
    </w:p>
    <w:p>
      <w:pPr>
        <w:pStyle w:val="ListParagraph"/>
        <w:numPr>
          <w:ilvl w:val="0"/>
          <w:numId w:val="104"/>
        </w:numPr>
        <w:tabs>
          <w:tab w:pos="3254" w:val="left" w:leader="none"/>
          <w:tab w:pos="3255" w:val="left" w:leader="none"/>
        </w:tabs>
        <w:spacing w:line="278" w:lineRule="auto" w:before="0" w:after="0"/>
        <w:ind w:left="3254" w:right="358" w:hanging="721"/>
        <w:jc w:val="left"/>
        <w:rPr>
          <w:sz w:val="21"/>
        </w:rPr>
      </w:pPr>
      <w:r>
        <w:rPr>
          <w:spacing w:val="-2"/>
          <w:sz w:val="21"/>
        </w:rPr>
        <w:t>对一条或者一条以上的上述动脉施行了血管介入治疗，如血管成形术及/或</w:t>
      </w:r>
      <w:r>
        <w:rPr>
          <w:spacing w:val="-2"/>
          <w:sz w:val="21"/>
        </w:rPr>
        <w:t>者进行植入支架或者动脉粥样瘤清除手术。</w:t>
      </w:r>
    </w:p>
    <w:p>
      <w:pPr>
        <w:pStyle w:val="BodyText"/>
        <w:spacing w:line="278" w:lineRule="auto" w:before="156"/>
        <w:ind w:left="2533" w:right="357"/>
      </w:pPr>
      <w:r>
        <w:rPr>
          <w:spacing w:val="2"/>
          <w:w w:val="100"/>
        </w:rPr>
        <w:t>此诊断及治疗均须在本公司指定或认可的医疗机构内由血管疾病的专科医生认为</w:t>
      </w:r>
      <w:r>
        <w:rPr>
          <w:spacing w:val="-3"/>
          <w:w w:val="100"/>
        </w:rPr>
        <w:t>是医疗必须的情况下进行。</w:t>
      </w:r>
    </w:p>
    <w:p>
      <w:pPr>
        <w:pStyle w:val="Heading2"/>
        <w:numPr>
          <w:ilvl w:val="0"/>
          <w:numId w:val="84"/>
        </w:numPr>
        <w:tabs>
          <w:tab w:pos="3169" w:val="left" w:leader="none"/>
        </w:tabs>
        <w:spacing w:line="240" w:lineRule="auto" w:before="156" w:after="0"/>
        <w:ind w:left="3168" w:right="0" w:hanging="636"/>
        <w:jc w:val="left"/>
      </w:pPr>
      <w:r>
        <w:rPr>
          <w:spacing w:val="-3"/>
        </w:rPr>
        <w:t>植入腔静脉过滤器：</w:t>
      </w:r>
    </w:p>
    <w:p>
      <w:pPr>
        <w:pStyle w:val="BodyText"/>
        <w:spacing w:before="6"/>
        <w:rPr>
          <w:b/>
          <w:sz w:val="15"/>
        </w:rPr>
      </w:pPr>
    </w:p>
    <w:p>
      <w:pPr>
        <w:pStyle w:val="BodyText"/>
        <w:spacing w:line="278" w:lineRule="auto"/>
        <w:ind w:left="2533" w:right="356"/>
      </w:pPr>
      <w:r>
        <w:rPr>
          <w:spacing w:val="-2"/>
        </w:rPr>
        <w:t>指患者因反复肺栓塞发作，抗凝血疗法无效而接受手术植入腔静脉过滤器。此手术</w:t>
      </w:r>
      <w:r>
        <w:rPr>
          <w:spacing w:val="-2"/>
        </w:rPr>
        <w:t>须在本公司指定或认可的医疗机构内由专科医生认为是医疗必须的情况下进行。</w:t>
      </w:r>
    </w:p>
    <w:p>
      <w:pPr>
        <w:pStyle w:val="Heading2"/>
        <w:numPr>
          <w:ilvl w:val="0"/>
          <w:numId w:val="84"/>
        </w:numPr>
        <w:tabs>
          <w:tab w:pos="3169" w:val="left" w:leader="none"/>
        </w:tabs>
        <w:spacing w:line="240" w:lineRule="auto" w:before="156" w:after="0"/>
        <w:ind w:left="3168" w:right="0" w:hanging="636"/>
        <w:jc w:val="left"/>
      </w:pPr>
      <w:r>
        <w:rPr>
          <w:spacing w:val="-2"/>
        </w:rPr>
        <w:t>席汉氏综合症：</w:t>
      </w:r>
    </w:p>
    <w:p>
      <w:pPr>
        <w:pStyle w:val="BodyText"/>
        <w:spacing w:before="7"/>
        <w:rPr>
          <w:b/>
          <w:sz w:val="15"/>
        </w:rPr>
      </w:pPr>
    </w:p>
    <w:p>
      <w:pPr>
        <w:pStyle w:val="BodyText"/>
        <w:spacing w:line="278" w:lineRule="auto"/>
        <w:ind w:left="2533" w:right="356"/>
        <w:jc w:val="both"/>
      </w:pPr>
      <w:r>
        <w:rPr>
          <w:spacing w:val="-2"/>
        </w:rPr>
        <w:t>指因产后大出血并发休克、全身循环衰竭、弥漫性血管内凝血导致脑垂体缺血坏死</w:t>
      </w:r>
      <w:r>
        <w:rPr>
          <w:spacing w:val="-2"/>
        </w:rPr>
        <w:t>和垂体分泌激素不足，造成性腺、甲状腺、肾上腺皮质功能减退。必须满足下列全</w:t>
      </w:r>
      <w:r>
        <w:rPr>
          <w:spacing w:val="-4"/>
        </w:rPr>
        <w:t>部条件：</w:t>
      </w:r>
    </w:p>
    <w:p>
      <w:pPr>
        <w:pStyle w:val="ListParagraph"/>
        <w:numPr>
          <w:ilvl w:val="0"/>
          <w:numId w:val="105"/>
        </w:numPr>
        <w:tabs>
          <w:tab w:pos="3254" w:val="left" w:leader="none"/>
          <w:tab w:pos="3255" w:val="left" w:leader="none"/>
        </w:tabs>
        <w:spacing w:line="240" w:lineRule="auto" w:before="156" w:after="0"/>
        <w:ind w:left="3254" w:right="0" w:hanging="722"/>
        <w:jc w:val="left"/>
        <w:rPr>
          <w:sz w:val="21"/>
        </w:rPr>
      </w:pPr>
      <w:r>
        <w:rPr>
          <w:spacing w:val="-3"/>
          <w:sz w:val="21"/>
        </w:rPr>
        <w:t>产后大出血休克病史；</w:t>
      </w:r>
    </w:p>
    <w:p>
      <w:pPr>
        <w:pStyle w:val="BodyText"/>
        <w:spacing w:before="7"/>
        <w:rPr>
          <w:sz w:val="15"/>
        </w:rPr>
      </w:pPr>
    </w:p>
    <w:p>
      <w:pPr>
        <w:pStyle w:val="ListParagraph"/>
        <w:numPr>
          <w:ilvl w:val="0"/>
          <w:numId w:val="105"/>
        </w:numPr>
        <w:tabs>
          <w:tab w:pos="3254" w:val="left" w:leader="none"/>
          <w:tab w:pos="3255" w:val="left" w:leader="none"/>
        </w:tabs>
        <w:spacing w:line="240" w:lineRule="auto" w:before="0" w:after="0"/>
        <w:ind w:left="3254" w:right="0" w:hanging="722"/>
        <w:jc w:val="left"/>
        <w:rPr>
          <w:sz w:val="21"/>
        </w:rPr>
      </w:pPr>
      <w:r>
        <w:rPr>
          <w:spacing w:val="-2"/>
          <w:sz w:val="21"/>
        </w:rPr>
        <w:t>严重腺垂体功能破坏，破坏程度</w:t>
      </w:r>
      <w:r>
        <w:rPr>
          <w:spacing w:val="-4"/>
          <w:sz w:val="21"/>
        </w:rPr>
        <w:t>＞95%；</w:t>
      </w:r>
    </w:p>
    <w:p>
      <w:pPr>
        <w:pStyle w:val="BodyText"/>
        <w:spacing w:before="6"/>
        <w:rPr>
          <w:sz w:val="15"/>
        </w:rPr>
      </w:pPr>
    </w:p>
    <w:p>
      <w:pPr>
        <w:pStyle w:val="ListParagraph"/>
        <w:numPr>
          <w:ilvl w:val="0"/>
          <w:numId w:val="105"/>
        </w:numPr>
        <w:tabs>
          <w:tab w:pos="3254" w:val="left" w:leader="none"/>
          <w:tab w:pos="3255" w:val="left" w:leader="none"/>
        </w:tabs>
        <w:spacing w:line="240" w:lineRule="auto" w:before="1" w:after="0"/>
        <w:ind w:left="3254" w:right="0" w:hanging="722"/>
        <w:jc w:val="left"/>
        <w:rPr>
          <w:sz w:val="21"/>
        </w:rPr>
      </w:pPr>
      <w:r>
        <w:rPr>
          <w:spacing w:val="-3"/>
          <w:sz w:val="21"/>
        </w:rPr>
        <w:t>影像学检查显示脑垂体严重萎缩或消失；</w:t>
      </w:r>
    </w:p>
    <w:p>
      <w:pPr>
        <w:spacing w:after="0" w:line="240" w:lineRule="auto"/>
        <w:jc w:val="left"/>
        <w:rPr>
          <w:sz w:val="21"/>
        </w:rPr>
        <w:sectPr>
          <w:pgSz w:w="11910" w:h="16840"/>
          <w:pgMar w:header="0" w:footer="659" w:top="1400" w:bottom="840" w:left="920" w:right="540"/>
        </w:sectPr>
      </w:pPr>
    </w:p>
    <w:p>
      <w:pPr>
        <w:pStyle w:val="ListParagraph"/>
        <w:numPr>
          <w:ilvl w:val="0"/>
          <w:numId w:val="105"/>
        </w:numPr>
        <w:tabs>
          <w:tab w:pos="3255" w:val="left" w:leader="none"/>
        </w:tabs>
        <w:spacing w:line="278" w:lineRule="auto" w:before="44" w:after="0"/>
        <w:ind w:left="3254" w:right="356" w:hanging="721"/>
        <w:jc w:val="both"/>
        <w:rPr>
          <w:sz w:val="21"/>
        </w:rPr>
      </w:pPr>
      <w:r>
        <w:rPr>
          <w:spacing w:val="-4"/>
          <w:sz w:val="21"/>
        </w:rPr>
        <w:t>实验室检查显示：垂体前叶激素全面低下（包括生长激素、促甲状腺素、促</w:t>
      </w:r>
      <w:r>
        <w:rPr>
          <w:spacing w:val="-4"/>
          <w:sz w:val="21"/>
        </w:rPr>
        <w:t>肾上腺皮质激素、卵泡刺激素和黄体生成素）和性激素、甲状腺素、肾上腺</w:t>
      </w:r>
      <w:r>
        <w:rPr>
          <w:spacing w:val="-2"/>
          <w:sz w:val="21"/>
        </w:rPr>
        <w:t>皮质激素全面低下；</w:t>
      </w:r>
    </w:p>
    <w:p>
      <w:pPr>
        <w:pStyle w:val="ListParagraph"/>
        <w:numPr>
          <w:ilvl w:val="0"/>
          <w:numId w:val="105"/>
        </w:numPr>
        <w:tabs>
          <w:tab w:pos="3254" w:val="left" w:leader="none"/>
          <w:tab w:pos="3255" w:val="left" w:leader="none"/>
        </w:tabs>
        <w:spacing w:line="240" w:lineRule="auto" w:before="156" w:after="0"/>
        <w:ind w:left="3254" w:right="0" w:hanging="722"/>
        <w:jc w:val="left"/>
        <w:rPr>
          <w:sz w:val="21"/>
        </w:rPr>
      </w:pPr>
      <w:r>
        <w:rPr>
          <w:spacing w:val="-3"/>
          <w:sz w:val="21"/>
        </w:rPr>
        <w:t>需要终身激素替代治疗以维持身体功能，持续服用各种替代激素超过一年。</w:t>
      </w:r>
    </w:p>
    <w:p>
      <w:pPr>
        <w:pStyle w:val="BodyText"/>
        <w:spacing w:before="7"/>
        <w:rPr>
          <w:sz w:val="15"/>
        </w:rPr>
      </w:pPr>
    </w:p>
    <w:p>
      <w:pPr>
        <w:pStyle w:val="Heading2"/>
        <w:numPr>
          <w:ilvl w:val="0"/>
          <w:numId w:val="84"/>
        </w:numPr>
        <w:tabs>
          <w:tab w:pos="3169" w:val="left" w:leader="none"/>
        </w:tabs>
        <w:spacing w:line="240" w:lineRule="auto" w:before="0" w:after="0"/>
        <w:ind w:left="3168" w:right="0" w:hanging="636"/>
        <w:jc w:val="left"/>
      </w:pPr>
      <w:r>
        <w:rPr>
          <w:spacing w:val="-3"/>
        </w:rPr>
        <w:t>严重阻塞性睡眠窒息症：</w:t>
      </w:r>
    </w:p>
    <w:p>
      <w:pPr>
        <w:pStyle w:val="BodyText"/>
        <w:spacing w:before="6"/>
        <w:rPr>
          <w:b/>
          <w:sz w:val="15"/>
        </w:rPr>
      </w:pPr>
    </w:p>
    <w:p>
      <w:pPr>
        <w:pStyle w:val="BodyText"/>
        <w:spacing w:line="278" w:lineRule="auto" w:before="1"/>
        <w:ind w:left="2533" w:right="356"/>
      </w:pPr>
      <w:r>
        <w:rPr>
          <w:spacing w:val="-2"/>
        </w:rPr>
        <w:t>须由相关医学范畴的注册专科医生，经多导睡眠监测仪检查明确诊断为严重阻塞性</w:t>
      </w:r>
      <w:r>
        <w:rPr>
          <w:spacing w:val="-2"/>
        </w:rPr>
        <w:t>睡眠呼吸暂停综合征</w:t>
      </w:r>
      <w:r>
        <w:rPr>
          <w:spacing w:val="16"/>
        </w:rPr>
        <w:t>（O</w:t>
      </w:r>
      <w:r>
        <w:rPr>
          <w:spacing w:val="13"/>
        </w:rPr>
        <w:t>SA</w:t>
      </w:r>
      <w:r>
        <w:rPr>
          <w:spacing w:val="-90"/>
        </w:rPr>
        <w:t>）</w:t>
      </w:r>
      <w:r>
        <w:rPr>
          <w:spacing w:val="-2"/>
        </w:rPr>
        <w:t>，并必须符合以下全部条件：</w:t>
      </w:r>
    </w:p>
    <w:p>
      <w:pPr>
        <w:pStyle w:val="ListParagraph"/>
        <w:numPr>
          <w:ilvl w:val="0"/>
          <w:numId w:val="106"/>
        </w:numPr>
        <w:tabs>
          <w:tab w:pos="3254" w:val="left" w:leader="none"/>
          <w:tab w:pos="3255" w:val="left" w:leader="none"/>
        </w:tabs>
        <w:spacing w:line="240" w:lineRule="auto" w:before="155" w:after="0"/>
        <w:ind w:left="3254" w:right="0" w:hanging="722"/>
        <w:jc w:val="left"/>
        <w:rPr>
          <w:sz w:val="21"/>
        </w:rPr>
      </w:pPr>
      <w:r>
        <w:rPr>
          <w:spacing w:val="-2"/>
          <w:sz w:val="21"/>
        </w:rPr>
        <w:t>受保人必须现正接受持续气道正压呼吸器（CPAP）</w:t>
      </w:r>
      <w:r>
        <w:rPr>
          <w:spacing w:val="-4"/>
          <w:sz w:val="21"/>
        </w:rPr>
        <w:t>之夜间治疗；</w:t>
      </w:r>
    </w:p>
    <w:p>
      <w:pPr>
        <w:pStyle w:val="BodyText"/>
        <w:spacing w:before="7"/>
        <w:rPr>
          <w:sz w:val="15"/>
        </w:rPr>
      </w:pPr>
    </w:p>
    <w:p>
      <w:pPr>
        <w:pStyle w:val="ListParagraph"/>
        <w:numPr>
          <w:ilvl w:val="0"/>
          <w:numId w:val="106"/>
        </w:numPr>
        <w:tabs>
          <w:tab w:pos="3254" w:val="left" w:leader="none"/>
          <w:tab w:pos="3255" w:val="left" w:leader="none"/>
        </w:tabs>
        <w:spacing w:line="240" w:lineRule="auto" w:before="0" w:after="0"/>
        <w:ind w:left="3254" w:right="0" w:hanging="722"/>
        <w:jc w:val="left"/>
        <w:rPr>
          <w:sz w:val="21"/>
        </w:rPr>
      </w:pPr>
      <w:r>
        <w:rPr>
          <w:spacing w:val="-5"/>
          <w:sz w:val="21"/>
        </w:rPr>
        <w:t>必须提供睡眠测试的文件证明，显示 </w:t>
      </w:r>
      <w:r>
        <w:rPr>
          <w:spacing w:val="-2"/>
          <w:sz w:val="21"/>
        </w:rPr>
        <w:t>AHI＞30</w:t>
      </w:r>
      <w:r>
        <w:rPr>
          <w:spacing w:val="-9"/>
          <w:sz w:val="21"/>
        </w:rPr>
        <w:t> 及夜间血氧饱和平均值＜</w:t>
      </w:r>
      <w:r>
        <w:rPr>
          <w:spacing w:val="-2"/>
          <w:sz w:val="21"/>
        </w:rPr>
        <w:t>85</w:t>
      </w:r>
      <w:r>
        <w:rPr>
          <w:spacing w:val="-10"/>
          <w:sz w:val="21"/>
        </w:rPr>
        <w:t>。</w:t>
      </w:r>
    </w:p>
    <w:p>
      <w:pPr>
        <w:pStyle w:val="BodyText"/>
        <w:spacing w:before="7"/>
        <w:rPr>
          <w:sz w:val="15"/>
        </w:rPr>
      </w:pPr>
    </w:p>
    <w:p>
      <w:pPr>
        <w:pStyle w:val="Heading2"/>
        <w:numPr>
          <w:ilvl w:val="0"/>
          <w:numId w:val="84"/>
        </w:numPr>
        <w:tabs>
          <w:tab w:pos="3169" w:val="left" w:leader="none"/>
        </w:tabs>
        <w:spacing w:line="240" w:lineRule="auto" w:before="0" w:after="0"/>
        <w:ind w:left="3168" w:right="0" w:hanging="636"/>
        <w:jc w:val="left"/>
      </w:pPr>
      <w:r>
        <w:rPr>
          <w:spacing w:val="-3"/>
        </w:rPr>
        <w:t>无颅内压增高的微小良性脑肿瘤：</w:t>
      </w:r>
    </w:p>
    <w:p>
      <w:pPr>
        <w:pStyle w:val="BodyText"/>
        <w:spacing w:before="7"/>
        <w:rPr>
          <w:b/>
          <w:sz w:val="15"/>
        </w:rPr>
      </w:pPr>
    </w:p>
    <w:p>
      <w:pPr>
        <w:pStyle w:val="BodyText"/>
        <w:spacing w:line="278" w:lineRule="auto"/>
        <w:ind w:left="2533" w:right="252"/>
      </w:pPr>
      <w:r>
        <w:rPr>
          <w:spacing w:val="-9"/>
        </w:rPr>
        <w:t>指直径小于 </w:t>
      </w:r>
      <w:r>
        <w:rPr/>
        <w:t>2cm</w:t>
      </w:r>
      <w:r>
        <w:rPr>
          <w:spacing w:val="-14"/>
        </w:rPr>
        <w:t> 的脑的微小良性肿瘤，临床上无颅内压升高表现，无危及生命征象。</w:t>
      </w:r>
      <w:r>
        <w:rPr>
          <w:spacing w:val="-2"/>
        </w:rPr>
        <w:t>微小良性脑肿瘤由头颅断层扫描</w:t>
      </w:r>
      <w:r>
        <w:rPr>
          <w:spacing w:val="25"/>
        </w:rPr>
        <w:t>（</w:t>
      </w:r>
      <w:r>
        <w:rPr>
          <w:spacing w:val="22"/>
        </w:rPr>
        <w:t>C</w:t>
      </w:r>
      <w:r>
        <w:rPr>
          <w:spacing w:val="25"/>
        </w:rPr>
        <w:t>T</w:t>
      </w:r>
      <w:r>
        <w:rPr>
          <w:spacing w:val="-81"/>
        </w:rPr>
        <w:t>）</w:t>
      </w:r>
      <w:r>
        <w:rPr>
          <w:spacing w:val="-2"/>
        </w:rPr>
        <w:t>、核磁共振检查（MRI）或正电子发射断层扫</w:t>
      </w:r>
      <w:r>
        <w:rPr>
          <w:spacing w:val="-2"/>
        </w:rPr>
        <w:t>描（PET）等影像学检查证实，未实施开颅或微创切除肿瘤的手术治疗，仅接受了针</w:t>
      </w:r>
      <w:r>
        <w:rPr>
          <w:spacing w:val="-2"/>
        </w:rPr>
        <w:t>对该脑肿瘤的放射治疗。</w:t>
      </w:r>
    </w:p>
    <w:p>
      <w:pPr>
        <w:pStyle w:val="BodyText"/>
        <w:spacing w:line="269" w:lineRule="exact"/>
        <w:ind w:left="2533"/>
      </w:pPr>
      <w:r>
        <w:rPr>
          <w:color w:val="000000"/>
          <w:spacing w:val="-3"/>
          <w:shd w:fill="E4E4E4" w:color="auto" w:val="clear"/>
        </w:rPr>
        <w:t>脑垂体瘤、脑囊肿、脑动脉瘤及脑血管瘤不在本保障范围。</w:t>
      </w:r>
    </w:p>
    <w:p>
      <w:pPr>
        <w:pStyle w:val="BodyText"/>
        <w:spacing w:before="7"/>
        <w:rPr>
          <w:sz w:val="15"/>
        </w:rPr>
      </w:pPr>
    </w:p>
    <w:p>
      <w:pPr>
        <w:pStyle w:val="Heading2"/>
        <w:numPr>
          <w:ilvl w:val="0"/>
          <w:numId w:val="84"/>
        </w:numPr>
        <w:tabs>
          <w:tab w:pos="3169" w:val="left" w:leader="none"/>
        </w:tabs>
        <w:spacing w:line="240" w:lineRule="auto" w:before="0" w:after="0"/>
        <w:ind w:left="3168" w:right="0" w:hanging="636"/>
        <w:jc w:val="left"/>
      </w:pPr>
      <w:r>
        <w:rPr>
          <w:spacing w:val="-3"/>
        </w:rPr>
        <w:t>头臂动脉型大动脉炎非开胸旁路移植手术：</w:t>
      </w:r>
    </w:p>
    <w:p>
      <w:pPr>
        <w:pStyle w:val="BodyText"/>
        <w:spacing w:before="7"/>
        <w:rPr>
          <w:b/>
          <w:sz w:val="15"/>
        </w:rPr>
      </w:pPr>
    </w:p>
    <w:p>
      <w:pPr>
        <w:pStyle w:val="BodyText"/>
        <w:spacing w:line="278" w:lineRule="auto"/>
        <w:ind w:left="2533" w:right="355"/>
        <w:jc w:val="both"/>
      </w:pPr>
      <w:r>
        <w:rPr>
          <w:spacing w:val="-2"/>
        </w:rPr>
        <w:t>多发性大动脉炎（高安氏动脉炎）是一种发生在主动脉和其主要分支的慢性炎症性</w:t>
      </w:r>
      <w:r>
        <w:rPr>
          <w:spacing w:val="-2"/>
        </w:rPr>
        <w:t>动脉疾病，表现为受累动脉狭窄或闭塞。头臂动脉型多发性大动脉炎是指多发性大</w:t>
      </w:r>
      <w:r>
        <w:rPr>
          <w:spacing w:val="-2"/>
        </w:rPr>
        <w:t>动脉炎头臂动脉型（I</w:t>
      </w:r>
      <w:r>
        <w:rPr>
          <w:spacing w:val="-14"/>
        </w:rPr>
        <w:t> 型</w:t>
      </w:r>
      <w:r>
        <w:rPr>
          <w:spacing w:val="-65"/>
        </w:rPr>
        <w:t>）</w:t>
      </w:r>
      <w:r>
        <w:rPr>
          <w:spacing w:val="-11"/>
        </w:rPr>
        <w:t>，又称为无脉症。被保险人被明确诊断为头臂动脉型多发</w:t>
      </w:r>
      <w:r>
        <w:rPr>
          <w:spacing w:val="-4"/>
        </w:rPr>
        <w:t>性大动脉炎并且实际接受了非开胸的无名动脉（头臂干</w:t>
      </w:r>
      <w:r>
        <w:rPr>
          <w:spacing w:val="-108"/>
        </w:rPr>
        <w:t>）</w:t>
      </w:r>
      <w:r>
        <w:rPr>
          <w:spacing w:val="-4"/>
        </w:rPr>
        <w:t>、颈总动脉、锁骨下动脉旁</w:t>
      </w:r>
      <w:r>
        <w:rPr>
          <w:spacing w:val="-2"/>
        </w:rPr>
        <w:t>路移植手术。</w:t>
      </w:r>
    </w:p>
    <w:p>
      <w:pPr>
        <w:pStyle w:val="BodyText"/>
        <w:ind w:left="2533"/>
      </w:pPr>
      <w:r>
        <w:rPr>
          <w:color w:val="000000"/>
          <w:spacing w:val="-3"/>
          <w:shd w:fill="E4E4E4" w:color="auto" w:val="clear"/>
        </w:rPr>
        <w:t>经导管血管内手术不在本保障范围内。</w:t>
      </w:r>
    </w:p>
    <w:p>
      <w:pPr>
        <w:pStyle w:val="BodyText"/>
        <w:spacing w:before="6"/>
        <w:rPr>
          <w:sz w:val="15"/>
        </w:rPr>
      </w:pPr>
    </w:p>
    <w:p>
      <w:pPr>
        <w:pStyle w:val="Heading2"/>
        <w:numPr>
          <w:ilvl w:val="0"/>
          <w:numId w:val="84"/>
        </w:numPr>
        <w:tabs>
          <w:tab w:pos="3169" w:val="left" w:leader="none"/>
        </w:tabs>
        <w:spacing w:line="240" w:lineRule="auto" w:before="0" w:after="0"/>
        <w:ind w:left="3168" w:right="0" w:hanging="636"/>
        <w:jc w:val="left"/>
      </w:pPr>
      <w:r>
        <w:rPr>
          <w:spacing w:val="-2"/>
        </w:rPr>
        <w:t>多发肋骨骨折：</w:t>
      </w:r>
    </w:p>
    <w:p>
      <w:pPr>
        <w:pStyle w:val="BodyText"/>
        <w:spacing w:before="12"/>
        <w:rPr>
          <w:b/>
          <w:sz w:val="9"/>
        </w:rPr>
      </w:pPr>
    </w:p>
    <w:p>
      <w:pPr>
        <w:pStyle w:val="BodyText"/>
        <w:spacing w:line="278" w:lineRule="auto" w:before="72"/>
        <w:ind w:left="2533" w:right="355"/>
      </w:pPr>
      <w:r>
        <w:rPr>
          <w:spacing w:val="-1"/>
        </w:rPr>
        <w:t>因一次意外伤害事故导致胸部损伤同时大于等于 </w:t>
      </w:r>
      <w:r>
        <w:rPr/>
        <w:t>12</w:t>
      </w:r>
      <w:r>
        <w:rPr>
          <w:spacing w:val="-5"/>
        </w:rPr>
        <w:t> 根肋骨骨折，</w:t>
      </w:r>
      <w:r>
        <w:rPr>
          <w:color w:val="000000"/>
          <w:shd w:fill="E4E4E4" w:color="auto" w:val="clear"/>
        </w:rPr>
        <w:t>陈旧性骨折不在</w:t>
      </w:r>
      <w:r>
        <w:rPr>
          <w:color w:val="000000"/>
          <w:spacing w:val="80"/>
          <w:w w:val="150"/>
          <w:shd w:fill="E4E4E4" w:color="auto" w:val="clear"/>
        </w:rPr>
        <w:t>                                         </w:t>
      </w:r>
      <w:r>
        <w:rPr>
          <w:color w:val="000000"/>
          <w:spacing w:val="-2"/>
          <w:shd w:fill="E4E4E4" w:color="auto" w:val="clear"/>
        </w:rPr>
        <w:t>保障范围之内</w:t>
      </w:r>
      <w:r>
        <w:rPr>
          <w:color w:val="000000"/>
          <w:spacing w:val="-2"/>
        </w:rPr>
        <w:t>。</w:t>
      </w:r>
    </w:p>
    <w:p>
      <w:pPr>
        <w:pStyle w:val="Heading2"/>
        <w:numPr>
          <w:ilvl w:val="0"/>
          <w:numId w:val="84"/>
        </w:numPr>
        <w:tabs>
          <w:tab w:pos="3169" w:val="left" w:leader="none"/>
        </w:tabs>
        <w:spacing w:line="240" w:lineRule="auto" w:before="156" w:after="0"/>
        <w:ind w:left="3168" w:right="0" w:hanging="636"/>
        <w:jc w:val="left"/>
      </w:pPr>
      <w:r>
        <w:rPr>
          <w:spacing w:val="-3"/>
        </w:rPr>
        <w:t>激光心肌血运重建术：</w:t>
      </w:r>
    </w:p>
    <w:p>
      <w:pPr>
        <w:pStyle w:val="BodyText"/>
        <w:spacing w:before="6"/>
        <w:rPr>
          <w:b/>
          <w:sz w:val="15"/>
        </w:rPr>
      </w:pPr>
    </w:p>
    <w:p>
      <w:pPr>
        <w:pStyle w:val="BodyText"/>
        <w:spacing w:line="278" w:lineRule="auto" w:before="1"/>
        <w:ind w:left="2533" w:right="356"/>
        <w:jc w:val="both"/>
      </w:pPr>
      <w:r>
        <w:rPr>
          <w:spacing w:val="-2"/>
        </w:rPr>
        <w:t>指患有顽固性心绞痛，经持续药物治疗后无改善，冠状动脉搭桥手术及经皮血管成</w:t>
      </w:r>
      <w:r>
        <w:rPr>
          <w:spacing w:val="-2"/>
        </w:rPr>
        <w:t>形手术已失败或者被认为不适合。在本公司认可医院内实际进行了开胸手术下或者</w:t>
      </w:r>
      <w:r>
        <w:rPr>
          <w:spacing w:val="-2"/>
        </w:rPr>
        <w:t>胸腔镜下的激光心肌血运重建术。</w:t>
      </w:r>
    </w:p>
    <w:p>
      <w:pPr>
        <w:pStyle w:val="BodyText"/>
        <w:spacing w:line="278" w:lineRule="auto"/>
        <w:ind w:left="2533" w:right="356"/>
        <w:jc w:val="both"/>
      </w:pPr>
      <w:r>
        <w:rPr>
          <w:color w:val="000000"/>
          <w:spacing w:val="-10"/>
          <w:shd w:fill="E4E4E4" w:color="auto" w:val="clear"/>
        </w:rPr>
        <w:t>本公司对“较轻急性心肌梗死”</w:t>
      </w:r>
      <w:r>
        <w:rPr>
          <w:color w:val="000000"/>
          <w:spacing w:val="-17"/>
          <w:shd w:fill="E4E4E4" w:color="auto" w:val="clear"/>
        </w:rPr>
        <w:t>、“冠状动脉介入手术</w:t>
      </w:r>
      <w:r>
        <w:rPr>
          <w:color w:val="000000"/>
          <w:spacing w:val="-2"/>
          <w:shd w:fill="E4E4E4" w:color="auto" w:val="clear"/>
        </w:rPr>
        <w:t>（非切开心包手术</w:t>
      </w:r>
      <w:r>
        <w:rPr>
          <w:color w:val="000000"/>
          <w:spacing w:val="-67"/>
          <w:shd w:fill="E4E4E4" w:color="auto" w:val="clear"/>
        </w:rPr>
        <w:t>）</w:t>
      </w:r>
      <w:r>
        <w:rPr>
          <w:color w:val="000000"/>
          <w:spacing w:val="-16"/>
          <w:shd w:fill="E4E4E4" w:color="auto" w:val="clear"/>
        </w:rPr>
        <w:t>”和“激光</w:t>
      </w:r>
      <w:r>
        <w:rPr>
          <w:color w:val="000000"/>
          <w:spacing w:val="40"/>
          <w:shd w:fill="E4E4E4" w:color="auto" w:val="clear"/>
        </w:rPr>
        <w:t> </w:t>
      </w:r>
      <w:r>
        <w:rPr>
          <w:color w:val="000000"/>
          <w:spacing w:val="-2"/>
          <w:shd w:fill="E4E4E4" w:color="auto" w:val="clear"/>
        </w:rPr>
        <w:t>心肌血运重建术”三项中的其中一项承担保险责任，给付其中一项保险金后，对其</w:t>
      </w:r>
      <w:r>
        <w:rPr>
          <w:color w:val="000000"/>
          <w:spacing w:val="-2"/>
          <w:shd w:fill="E4E4E4" w:color="auto" w:val="clear"/>
        </w:rPr>
        <w:t>它两项轻度疾病保险责任同时终止。</w:t>
      </w:r>
    </w:p>
    <w:p>
      <w:pPr>
        <w:pStyle w:val="Heading2"/>
        <w:numPr>
          <w:ilvl w:val="0"/>
          <w:numId w:val="84"/>
        </w:numPr>
        <w:tabs>
          <w:tab w:pos="3169" w:val="left" w:leader="none"/>
        </w:tabs>
        <w:spacing w:line="240" w:lineRule="auto" w:before="155" w:after="0"/>
        <w:ind w:left="3168" w:right="0" w:hanging="636"/>
        <w:jc w:val="left"/>
      </w:pPr>
      <w:r>
        <w:rPr>
          <w:spacing w:val="-2"/>
        </w:rPr>
        <w:t>角膜移植：</w:t>
      </w:r>
    </w:p>
    <w:p>
      <w:pPr>
        <w:pStyle w:val="BodyText"/>
        <w:spacing w:before="7"/>
        <w:rPr>
          <w:b/>
          <w:sz w:val="15"/>
        </w:rPr>
      </w:pPr>
    </w:p>
    <w:p>
      <w:pPr>
        <w:pStyle w:val="BodyText"/>
        <w:spacing w:line="278" w:lineRule="auto"/>
        <w:ind w:left="2533" w:right="356"/>
      </w:pPr>
      <w:r>
        <w:rPr>
          <w:spacing w:val="-2"/>
        </w:rPr>
        <w:t>指为增进视力或治疗某些角膜疾患，已经实施了异体的角膜移植手术。此手术必须</w:t>
      </w:r>
      <w:r>
        <w:rPr>
          <w:spacing w:val="-2"/>
        </w:rPr>
        <w:t>在本公司指定或认可的医疗机构内由专科医生认为是医疗必需的情况下进行。</w:t>
      </w:r>
    </w:p>
    <w:p>
      <w:pPr>
        <w:pStyle w:val="Heading2"/>
        <w:numPr>
          <w:ilvl w:val="0"/>
          <w:numId w:val="84"/>
        </w:numPr>
        <w:tabs>
          <w:tab w:pos="3169" w:val="left" w:leader="none"/>
        </w:tabs>
        <w:spacing w:line="240" w:lineRule="auto" w:before="156" w:after="0"/>
        <w:ind w:left="3168" w:right="0" w:hanging="636"/>
        <w:jc w:val="left"/>
      </w:pPr>
      <w:r>
        <w:rPr>
          <w:spacing w:val="-3"/>
        </w:rPr>
        <w:t>植入大脑内分流器：</w:t>
      </w:r>
    </w:p>
    <w:p>
      <w:pPr>
        <w:spacing w:after="0" w:line="240" w:lineRule="auto"/>
        <w:jc w:val="left"/>
        <w:sectPr>
          <w:pgSz w:w="11910" w:h="16840"/>
          <w:pgMar w:header="0" w:footer="659" w:top="1400" w:bottom="840" w:left="920" w:right="540"/>
        </w:sectPr>
      </w:pPr>
    </w:p>
    <w:p>
      <w:pPr>
        <w:pStyle w:val="BodyText"/>
        <w:spacing w:line="278" w:lineRule="auto" w:before="44"/>
        <w:ind w:left="2533" w:right="357"/>
      </w:pPr>
      <w:r>
        <w:rPr>
          <w:spacing w:val="2"/>
          <w:w w:val="100"/>
        </w:rPr>
        <w:t>植入大脑内分流器是指确实在脑室进行分流器植入手术，以缓解升高的脑脊液压</w:t>
      </w:r>
      <w:r>
        <w:rPr>
          <w:spacing w:val="-3"/>
          <w:w w:val="100"/>
        </w:rPr>
        <w:t>力。必须由脑神经专科医生证实植入分流器为医疗所需。</w:t>
      </w:r>
    </w:p>
    <w:p>
      <w:pPr>
        <w:pStyle w:val="BodyText"/>
        <w:ind w:left="2533"/>
      </w:pPr>
      <w:r>
        <w:rPr>
          <w:color w:val="000000"/>
          <w:spacing w:val="-3"/>
          <w:shd w:fill="E4E4E4" w:color="auto" w:val="clear"/>
        </w:rPr>
        <w:t>先天性脑积水不在本保障范围内。</w:t>
      </w:r>
    </w:p>
    <w:p>
      <w:pPr>
        <w:pStyle w:val="BodyText"/>
        <w:spacing w:line="278" w:lineRule="auto" w:before="43"/>
        <w:ind w:left="2533" w:right="358"/>
      </w:pPr>
      <w:r>
        <w:rPr>
          <w:color w:val="000000"/>
          <w:spacing w:val="-12"/>
          <w:shd w:fill="E4E4E4" w:color="auto" w:val="clear"/>
        </w:rPr>
        <w:t>因治疗“脑垂体瘤、脑囊肿、脑动脉瘤及脑血管瘤”、“无颅内压增高的微小良性脑</w:t>
      </w:r>
      <w:r>
        <w:rPr>
          <w:color w:val="000000"/>
          <w:spacing w:val="80"/>
          <w:w w:val="150"/>
          <w:shd w:fill="E4E4E4" w:color="auto" w:val="clear"/>
        </w:rPr>
        <w:t>                                         </w:t>
      </w:r>
      <w:r>
        <w:rPr>
          <w:color w:val="000000"/>
          <w:spacing w:val="-2"/>
          <w:shd w:fill="E4E4E4" w:color="auto" w:val="clear"/>
        </w:rPr>
        <w:t>肿瘤”所致植入大脑内分流器不在本保障范围之内。</w:t>
      </w:r>
    </w:p>
    <w:p>
      <w:pPr>
        <w:pStyle w:val="BodyText"/>
        <w:spacing w:line="278" w:lineRule="auto"/>
        <w:ind w:left="2533" w:right="358"/>
      </w:pPr>
      <w:r>
        <w:rPr>
          <w:color w:val="000000"/>
          <w:spacing w:val="-2"/>
          <w:shd w:fill="E4E4E4" w:color="auto" w:val="clear"/>
        </w:rPr>
        <w:t>本公司对“微创颅脑手术”及“植入大脑内分流器”二项中的其中一项承担保险责</w:t>
      </w:r>
      <w:r>
        <w:rPr>
          <w:color w:val="000000"/>
          <w:spacing w:val="80"/>
          <w:w w:val="150"/>
          <w:shd w:fill="E4E4E4" w:color="auto" w:val="clear"/>
        </w:rPr>
        <w:t>                                         </w:t>
      </w:r>
      <w:r>
        <w:rPr>
          <w:color w:val="000000"/>
          <w:spacing w:val="-2"/>
          <w:shd w:fill="E4E4E4" w:color="auto" w:val="clear"/>
        </w:rPr>
        <w:t>任，给付其中一项保险金后，对另一项轻度疾病保险责任同时终止。</w:t>
      </w:r>
    </w:p>
    <w:p>
      <w:pPr>
        <w:pStyle w:val="Heading2"/>
        <w:numPr>
          <w:ilvl w:val="0"/>
          <w:numId w:val="84"/>
        </w:numPr>
        <w:tabs>
          <w:tab w:pos="3169" w:val="left" w:leader="none"/>
        </w:tabs>
        <w:spacing w:line="240" w:lineRule="auto" w:before="156" w:after="0"/>
        <w:ind w:left="3168" w:right="0" w:hanging="636"/>
        <w:jc w:val="left"/>
      </w:pPr>
      <w:r>
        <w:rPr>
          <w:spacing w:val="-3"/>
        </w:rPr>
        <w:t>急性肾衰竭肾脏透析治疗：</w:t>
      </w:r>
    </w:p>
    <w:p>
      <w:pPr>
        <w:pStyle w:val="BodyText"/>
        <w:spacing w:before="6"/>
        <w:rPr>
          <w:b/>
          <w:sz w:val="15"/>
        </w:rPr>
      </w:pPr>
    </w:p>
    <w:p>
      <w:pPr>
        <w:pStyle w:val="BodyText"/>
        <w:spacing w:line="278" w:lineRule="auto" w:before="1"/>
        <w:ind w:left="2533" w:right="250"/>
        <w:jc w:val="both"/>
      </w:pPr>
      <w:r>
        <w:rPr>
          <w:spacing w:val="-2"/>
        </w:rPr>
        <w:t>急性肾衰竭（ARF）是指各种病因引起的肾功能在短期内（数小时或数周）急剧进行</w:t>
      </w:r>
      <w:r>
        <w:rPr>
          <w:spacing w:val="-2"/>
        </w:rPr>
        <w:t>性下降，导致体内氮质产物潴留而出现的临床综合征，国际上近年来改称为急性肾</w:t>
      </w:r>
      <w:r>
        <w:rPr>
          <w:spacing w:val="-6"/>
        </w:rPr>
        <w:t>损伤</w:t>
      </w:r>
      <w:r>
        <w:rPr>
          <w:spacing w:val="15"/>
        </w:rPr>
        <w:t>（AK</w:t>
      </w:r>
      <w:r>
        <w:rPr>
          <w:spacing w:val="12"/>
        </w:rPr>
        <w:t>I</w:t>
      </w:r>
      <w:r>
        <w:rPr>
          <w:spacing w:val="-91"/>
        </w:rPr>
        <w:t>）</w:t>
      </w:r>
      <w:r>
        <w:rPr>
          <w:spacing w:val="-6"/>
        </w:rPr>
        <w:t>。急性肾衰竭肾脏透析治疗指诊断为急性肾衰竭，且满足下列全部条件：</w:t>
      </w:r>
    </w:p>
    <w:p>
      <w:pPr>
        <w:pStyle w:val="ListParagraph"/>
        <w:numPr>
          <w:ilvl w:val="0"/>
          <w:numId w:val="107"/>
        </w:numPr>
        <w:tabs>
          <w:tab w:pos="3254" w:val="left" w:leader="none"/>
          <w:tab w:pos="3255" w:val="left" w:leader="none"/>
        </w:tabs>
        <w:spacing w:line="240" w:lineRule="auto" w:before="156" w:after="0"/>
        <w:ind w:left="3254" w:right="0" w:hanging="722"/>
        <w:jc w:val="left"/>
        <w:rPr>
          <w:sz w:val="21"/>
        </w:rPr>
      </w:pPr>
      <w:r>
        <w:rPr>
          <w:spacing w:val="-11"/>
          <w:sz w:val="21"/>
        </w:rPr>
        <w:t>少尿或无尿 </w:t>
      </w:r>
      <w:r>
        <w:rPr>
          <w:spacing w:val="-2"/>
          <w:sz w:val="21"/>
        </w:rPr>
        <w:t>2</w:t>
      </w:r>
      <w:r>
        <w:rPr>
          <w:spacing w:val="-14"/>
          <w:sz w:val="21"/>
        </w:rPr>
        <w:t> 天以上；</w:t>
      </w:r>
    </w:p>
    <w:p>
      <w:pPr>
        <w:pStyle w:val="BodyText"/>
        <w:spacing w:before="6"/>
        <w:rPr>
          <w:sz w:val="15"/>
        </w:rPr>
      </w:pPr>
    </w:p>
    <w:p>
      <w:pPr>
        <w:pStyle w:val="ListParagraph"/>
        <w:numPr>
          <w:ilvl w:val="0"/>
          <w:numId w:val="107"/>
        </w:numPr>
        <w:tabs>
          <w:tab w:pos="3254" w:val="left" w:leader="none"/>
          <w:tab w:pos="3255" w:val="left" w:leader="none"/>
        </w:tabs>
        <w:spacing w:line="240" w:lineRule="auto" w:before="1" w:after="0"/>
        <w:ind w:left="3254" w:right="0" w:hanging="722"/>
        <w:jc w:val="left"/>
        <w:rPr>
          <w:sz w:val="21"/>
        </w:rPr>
      </w:pPr>
      <w:r>
        <w:rPr>
          <w:spacing w:val="-2"/>
          <w:sz w:val="21"/>
        </w:rPr>
        <w:t>血肌酐（Scr）＞5mg/dl</w:t>
      </w:r>
      <w:r>
        <w:rPr>
          <w:spacing w:val="-20"/>
          <w:sz w:val="21"/>
        </w:rPr>
        <w:t> 或</w:t>
      </w:r>
      <w:r>
        <w:rPr>
          <w:spacing w:val="-2"/>
          <w:sz w:val="21"/>
        </w:rPr>
        <w:t>＞442umol/L；</w:t>
      </w:r>
    </w:p>
    <w:p>
      <w:pPr>
        <w:pStyle w:val="BodyText"/>
        <w:spacing w:before="6"/>
        <w:rPr>
          <w:sz w:val="15"/>
        </w:rPr>
      </w:pPr>
    </w:p>
    <w:p>
      <w:pPr>
        <w:pStyle w:val="ListParagraph"/>
        <w:numPr>
          <w:ilvl w:val="0"/>
          <w:numId w:val="107"/>
        </w:numPr>
        <w:tabs>
          <w:tab w:pos="3254" w:val="left" w:leader="none"/>
          <w:tab w:pos="3255" w:val="left" w:leader="none"/>
        </w:tabs>
        <w:spacing w:line="240" w:lineRule="auto" w:before="0" w:after="0"/>
        <w:ind w:left="3254" w:right="0" w:hanging="722"/>
        <w:jc w:val="left"/>
        <w:rPr>
          <w:sz w:val="21"/>
        </w:rPr>
      </w:pPr>
      <w:r>
        <w:rPr>
          <w:spacing w:val="-1"/>
          <w:sz w:val="21"/>
        </w:rPr>
        <w:t>血钾＞</w:t>
      </w:r>
      <w:r>
        <w:rPr>
          <w:spacing w:val="-2"/>
          <w:sz w:val="21"/>
        </w:rPr>
        <w:t>6.5mmol/L；</w:t>
      </w:r>
    </w:p>
    <w:p>
      <w:pPr>
        <w:pStyle w:val="BodyText"/>
        <w:spacing w:before="7"/>
        <w:rPr>
          <w:sz w:val="15"/>
        </w:rPr>
      </w:pPr>
    </w:p>
    <w:p>
      <w:pPr>
        <w:pStyle w:val="ListParagraph"/>
        <w:numPr>
          <w:ilvl w:val="0"/>
          <w:numId w:val="107"/>
        </w:numPr>
        <w:tabs>
          <w:tab w:pos="3254" w:val="left" w:leader="none"/>
          <w:tab w:pos="3255" w:val="left" w:leader="none"/>
        </w:tabs>
        <w:spacing w:line="240" w:lineRule="auto" w:before="0" w:after="0"/>
        <w:ind w:left="3254" w:right="0" w:hanging="722"/>
        <w:jc w:val="left"/>
        <w:rPr>
          <w:sz w:val="21"/>
        </w:rPr>
      </w:pPr>
      <w:r>
        <w:rPr>
          <w:spacing w:val="-3"/>
          <w:sz w:val="21"/>
        </w:rPr>
        <w:t>接受了血液透析治疗。</w:t>
      </w:r>
    </w:p>
    <w:p>
      <w:pPr>
        <w:pStyle w:val="BodyText"/>
        <w:spacing w:before="7"/>
        <w:rPr>
          <w:sz w:val="15"/>
        </w:rPr>
      </w:pPr>
    </w:p>
    <w:p>
      <w:pPr>
        <w:pStyle w:val="Heading2"/>
        <w:numPr>
          <w:ilvl w:val="0"/>
          <w:numId w:val="84"/>
        </w:numPr>
        <w:tabs>
          <w:tab w:pos="3169" w:val="left" w:leader="none"/>
        </w:tabs>
        <w:spacing w:line="240" w:lineRule="auto" w:before="0" w:after="0"/>
        <w:ind w:left="3168" w:right="0" w:hanging="636"/>
        <w:jc w:val="left"/>
      </w:pPr>
      <w:r>
        <w:rPr>
          <w:spacing w:val="-3"/>
        </w:rPr>
        <w:t>轻度特发性肺动脉高压：</w:t>
      </w:r>
    </w:p>
    <w:p>
      <w:pPr>
        <w:pStyle w:val="BodyText"/>
        <w:spacing w:before="6"/>
        <w:rPr>
          <w:b/>
          <w:sz w:val="15"/>
        </w:rPr>
      </w:pPr>
    </w:p>
    <w:p>
      <w:pPr>
        <w:pStyle w:val="BodyText"/>
        <w:spacing w:line="278" w:lineRule="auto" w:before="1"/>
        <w:ind w:left="2533" w:right="332"/>
        <w:jc w:val="both"/>
      </w:pPr>
      <w:r>
        <w:rPr>
          <w:spacing w:val="-2"/>
        </w:rPr>
        <w:t>指不明原因的肺动脉压力持续性增高，进行性发展而导致的慢性疾病，已经造成永</w:t>
      </w:r>
      <w:r>
        <w:rPr>
          <w:spacing w:val="-2"/>
        </w:rPr>
        <w:t>久不可逆性的体力活动能力受限，达到</w:t>
      </w:r>
      <w:r>
        <w:rPr>
          <w:b/>
          <w:spacing w:val="-2"/>
        </w:rPr>
        <w:t>美国纽约心脏病学会心功能状态分级Ⅲ级</w:t>
      </w:r>
      <w:r>
        <w:rPr>
          <w:spacing w:val="-2"/>
        </w:rPr>
        <w:t>，</w:t>
      </w:r>
      <w:r>
        <w:rPr>
          <w:spacing w:val="-4"/>
        </w:rPr>
        <w:t>且静息状态下肺动脉平均压超过 </w:t>
      </w:r>
      <w:r>
        <w:rPr>
          <w:spacing w:val="-2"/>
        </w:rPr>
        <w:t>25mmHg，但未达到本合同所指重大疾病“严重特发</w:t>
      </w:r>
      <w:r>
        <w:rPr>
          <w:spacing w:val="-2"/>
        </w:rPr>
        <w:t>性肺动脉高压”的标准。</w:t>
      </w:r>
    </w:p>
    <w:p>
      <w:pPr>
        <w:pStyle w:val="Heading2"/>
        <w:numPr>
          <w:ilvl w:val="0"/>
          <w:numId w:val="84"/>
        </w:numPr>
        <w:tabs>
          <w:tab w:pos="3169" w:val="left" w:leader="none"/>
        </w:tabs>
        <w:spacing w:line="240" w:lineRule="auto" w:before="155" w:after="0"/>
        <w:ind w:left="3168" w:right="0" w:hanging="636"/>
        <w:jc w:val="left"/>
      </w:pPr>
      <w:r>
        <w:rPr>
          <w:spacing w:val="-3"/>
        </w:rPr>
        <w:t>早期系统性硬皮病：</w:t>
      </w:r>
    </w:p>
    <w:p>
      <w:pPr>
        <w:pStyle w:val="BodyText"/>
        <w:spacing w:before="7"/>
        <w:rPr>
          <w:b/>
          <w:sz w:val="15"/>
        </w:rPr>
      </w:pPr>
    </w:p>
    <w:p>
      <w:pPr>
        <w:pStyle w:val="BodyText"/>
        <w:spacing w:line="278" w:lineRule="auto"/>
        <w:ind w:left="2533" w:right="356"/>
        <w:jc w:val="both"/>
      </w:pPr>
      <w:r>
        <w:rPr>
          <w:spacing w:val="-8"/>
        </w:rPr>
        <w:t>指一种以局限性或弥漫性皮肤增厚和皮肤、血管、内脏器官 异常纤维化为特征的结</w:t>
      </w:r>
      <w:r>
        <w:rPr>
          <w:spacing w:val="-2"/>
        </w:rPr>
        <w:t>缔组织病。本病须经专科医生明确诊断，并须满足下列所有条件：</w:t>
      </w:r>
    </w:p>
    <w:p>
      <w:pPr>
        <w:pStyle w:val="ListParagraph"/>
        <w:numPr>
          <w:ilvl w:val="0"/>
          <w:numId w:val="108"/>
        </w:numPr>
        <w:tabs>
          <w:tab w:pos="3255" w:val="left" w:leader="none"/>
        </w:tabs>
        <w:spacing w:line="278" w:lineRule="auto" w:before="156" w:after="0"/>
        <w:ind w:left="3254" w:right="355" w:hanging="721"/>
        <w:jc w:val="both"/>
        <w:rPr>
          <w:sz w:val="21"/>
        </w:rPr>
      </w:pPr>
      <w:r>
        <w:rPr>
          <w:spacing w:val="-2"/>
          <w:sz w:val="21"/>
        </w:rPr>
        <w:t>必须是经由本公司认可医院的风湿学专科医生根据美国风湿病学会（ACR）</w:t>
      </w:r>
      <w:r>
        <w:rPr>
          <w:spacing w:val="-10"/>
          <w:sz w:val="21"/>
        </w:rPr>
        <w:t>及欧洲抗 风湿病联盟</w:t>
      </w:r>
      <w:r>
        <w:rPr>
          <w:sz w:val="21"/>
        </w:rPr>
        <w:t>（EULAR）</w:t>
      </w:r>
      <w:r>
        <w:rPr>
          <w:spacing w:val="-13"/>
          <w:sz w:val="21"/>
        </w:rPr>
        <w:t>在 </w:t>
      </w:r>
      <w:r>
        <w:rPr>
          <w:sz w:val="21"/>
        </w:rPr>
        <w:t>2013</w:t>
      </w:r>
      <w:r>
        <w:rPr>
          <w:spacing w:val="-6"/>
          <w:sz w:val="21"/>
        </w:rPr>
        <w:t> 年发布的系统性硬皮病诊断标准确</w:t>
      </w:r>
      <w:r>
        <w:rPr>
          <w:sz w:val="21"/>
        </w:rPr>
        <w:t>认达到确诊标准（</w:t>
      </w:r>
      <w:r>
        <w:rPr>
          <w:spacing w:val="-5"/>
          <w:sz w:val="21"/>
        </w:rPr>
        <w:t>总分值由 每一个分类中的最高比重</w:t>
      </w:r>
      <w:r>
        <w:rPr>
          <w:sz w:val="21"/>
        </w:rPr>
        <w:t>（分值）相加而成，总分≥9 分的患者被分类为系统性硬皮病</w:t>
      </w:r>
      <w:r>
        <w:rPr>
          <w:spacing w:val="-106"/>
          <w:sz w:val="21"/>
        </w:rPr>
        <w:t>）</w:t>
      </w:r>
      <w:r>
        <w:rPr>
          <w:sz w:val="21"/>
        </w:rPr>
        <w:t>；</w:t>
      </w:r>
    </w:p>
    <w:p>
      <w:pPr>
        <w:pStyle w:val="ListParagraph"/>
        <w:numPr>
          <w:ilvl w:val="0"/>
          <w:numId w:val="108"/>
        </w:numPr>
        <w:tabs>
          <w:tab w:pos="3255" w:val="left" w:leader="none"/>
        </w:tabs>
        <w:spacing w:line="240" w:lineRule="auto" w:before="156" w:after="0"/>
        <w:ind w:left="3254" w:right="0" w:hanging="722"/>
        <w:jc w:val="both"/>
        <w:rPr>
          <w:sz w:val="21"/>
        </w:rPr>
      </w:pPr>
      <w:r>
        <w:rPr>
          <w:spacing w:val="-3"/>
          <w:sz w:val="21"/>
        </w:rPr>
        <w:t>须提供明确的病理活检及自身抗体免疫血清学证据支持。</w:t>
      </w:r>
    </w:p>
    <w:p>
      <w:pPr>
        <w:pStyle w:val="BodyText"/>
        <w:spacing w:before="6"/>
        <w:rPr>
          <w:sz w:val="15"/>
        </w:rPr>
      </w:pPr>
    </w:p>
    <w:p>
      <w:pPr>
        <w:pStyle w:val="Heading2"/>
        <w:numPr>
          <w:ilvl w:val="0"/>
          <w:numId w:val="84"/>
        </w:numPr>
        <w:tabs>
          <w:tab w:pos="3169" w:val="left" w:leader="none"/>
        </w:tabs>
        <w:spacing w:line="240" w:lineRule="auto" w:before="0" w:after="0"/>
        <w:ind w:left="3168" w:right="0" w:hanging="636"/>
        <w:jc w:val="left"/>
      </w:pPr>
      <w:r>
        <w:rPr>
          <w:spacing w:val="-2"/>
        </w:rPr>
        <w:t>心脏瓣膜介入手术（非切开心脏手术</w:t>
      </w:r>
      <w:r>
        <w:rPr>
          <w:spacing w:val="-111"/>
        </w:rPr>
        <w:t>）</w:t>
      </w:r>
      <w:r>
        <w:rPr>
          <w:spacing w:val="-5"/>
        </w:rPr>
        <w:t>：</w:t>
      </w:r>
    </w:p>
    <w:p>
      <w:pPr>
        <w:pStyle w:val="BodyText"/>
        <w:spacing w:before="7"/>
        <w:rPr>
          <w:b/>
          <w:sz w:val="15"/>
        </w:rPr>
      </w:pPr>
    </w:p>
    <w:p>
      <w:pPr>
        <w:pStyle w:val="BodyText"/>
        <w:spacing w:line="278" w:lineRule="auto"/>
        <w:ind w:left="2533" w:right="356"/>
      </w:pPr>
      <w:r>
        <w:rPr>
          <w:spacing w:val="-2"/>
        </w:rPr>
        <w:t>指为了治疗心脏瓣膜疾病，被保险人实际接受了非切开心脏的心脏瓣膜置换或修复</w:t>
      </w:r>
      <w:r>
        <w:rPr>
          <w:spacing w:val="-4"/>
        </w:rPr>
        <w:t>手术。</w:t>
      </w:r>
    </w:p>
    <w:p>
      <w:pPr>
        <w:spacing w:after="0" w:line="278" w:lineRule="auto"/>
        <w:sectPr>
          <w:footerReference w:type="default" r:id="rId30"/>
          <w:pgSz w:w="11910" w:h="16840"/>
          <w:pgMar w:footer="659" w:header="0" w:top="1400" w:bottom="840" w:left="920" w:right="540"/>
        </w:sectPr>
      </w:pPr>
    </w:p>
    <w:p>
      <w:pPr>
        <w:spacing w:before="68"/>
        <w:ind w:left="267" w:right="0" w:firstLine="0"/>
        <w:jc w:val="left"/>
        <w:rPr>
          <w:b/>
          <w:sz w:val="21"/>
        </w:rPr>
      </w:pPr>
      <w:r>
        <w:rPr>
          <w:b/>
          <w:sz w:val="21"/>
        </w:rPr>
        <w:t>附表四</w:t>
      </w:r>
      <w:r>
        <w:rPr>
          <w:b/>
          <w:spacing w:val="75"/>
          <w:w w:val="150"/>
          <w:sz w:val="21"/>
        </w:rPr>
        <w:t> </w:t>
      </w:r>
      <w:r>
        <w:rPr>
          <w:b/>
          <w:spacing w:val="-2"/>
          <w:sz w:val="21"/>
        </w:rPr>
        <w:t>心脑血管特</w:t>
      </w:r>
    </w:p>
    <w:p>
      <w:pPr>
        <w:spacing w:before="31"/>
        <w:ind w:left="1137" w:right="0" w:firstLine="0"/>
        <w:jc w:val="left"/>
        <w:rPr>
          <w:b/>
          <w:sz w:val="21"/>
        </w:rPr>
      </w:pPr>
      <w:r>
        <w:rPr>
          <w:b/>
          <w:spacing w:val="-4"/>
          <w:sz w:val="21"/>
        </w:rPr>
        <w:t>定疾病</w:t>
      </w:r>
    </w:p>
    <w:p>
      <w:pPr>
        <w:spacing w:line="278" w:lineRule="auto" w:before="60"/>
        <w:ind w:left="268" w:right="358" w:firstLine="0"/>
        <w:jc w:val="both"/>
        <w:rPr>
          <w:b/>
          <w:sz w:val="21"/>
        </w:rPr>
      </w:pPr>
      <w:r>
        <w:rPr/>
        <w:br w:type="column"/>
      </w:r>
      <w:r>
        <w:rPr>
          <w:b/>
          <w:w w:val="95"/>
          <w:sz w:val="21"/>
        </w:rPr>
        <w:t>以</w:t>
      </w:r>
      <w:r>
        <w:rPr>
          <w:b/>
          <w:w w:val="95"/>
          <w:sz w:val="21"/>
        </w:rPr>
        <w:t>下</w:t>
      </w:r>
      <w:r>
        <w:rPr>
          <w:b/>
          <w:w w:val="95"/>
          <w:sz w:val="21"/>
        </w:rPr>
        <w:t>第</w:t>
      </w:r>
      <w:r>
        <w:rPr>
          <w:b/>
          <w:w w:val="95"/>
          <w:sz w:val="21"/>
        </w:rPr>
        <w:t> 1 至 3 </w:t>
      </w:r>
      <w:r>
        <w:rPr>
          <w:b/>
          <w:w w:val="95"/>
          <w:sz w:val="21"/>
        </w:rPr>
        <w:t>种</w:t>
      </w:r>
      <w:r>
        <w:rPr>
          <w:b/>
          <w:w w:val="95"/>
          <w:sz w:val="21"/>
        </w:rPr>
        <w:t>重</w:t>
      </w:r>
      <w:r>
        <w:rPr>
          <w:b/>
          <w:w w:val="95"/>
          <w:sz w:val="21"/>
        </w:rPr>
        <w:t>大</w:t>
      </w:r>
      <w:r>
        <w:rPr>
          <w:b/>
          <w:w w:val="95"/>
          <w:sz w:val="21"/>
        </w:rPr>
        <w:t>疾</w:t>
      </w:r>
      <w:r>
        <w:rPr>
          <w:b/>
          <w:w w:val="95"/>
          <w:sz w:val="21"/>
        </w:rPr>
        <w:t>病</w:t>
      </w:r>
      <w:r>
        <w:rPr>
          <w:b/>
          <w:w w:val="95"/>
          <w:sz w:val="21"/>
        </w:rPr>
        <w:t>是</w:t>
      </w:r>
      <w:r>
        <w:rPr>
          <w:b/>
          <w:w w:val="95"/>
          <w:sz w:val="21"/>
        </w:rPr>
        <w:t>中</w:t>
      </w:r>
      <w:r>
        <w:rPr>
          <w:b/>
          <w:w w:val="95"/>
          <w:sz w:val="21"/>
        </w:rPr>
        <w:t>国</w:t>
      </w:r>
      <w:r>
        <w:rPr>
          <w:b/>
          <w:w w:val="95"/>
          <w:sz w:val="21"/>
        </w:rPr>
        <w:t>保</w:t>
      </w:r>
      <w:r>
        <w:rPr>
          <w:b/>
          <w:w w:val="95"/>
          <w:sz w:val="21"/>
        </w:rPr>
        <w:t>险</w:t>
      </w:r>
      <w:r>
        <w:rPr>
          <w:b/>
          <w:w w:val="95"/>
          <w:sz w:val="21"/>
        </w:rPr>
        <w:t>行</w:t>
      </w:r>
      <w:r>
        <w:rPr>
          <w:b/>
          <w:w w:val="95"/>
          <w:sz w:val="21"/>
        </w:rPr>
        <w:t>业</w:t>
      </w:r>
      <w:r>
        <w:rPr>
          <w:b/>
          <w:w w:val="95"/>
          <w:sz w:val="21"/>
        </w:rPr>
        <w:t>协</w:t>
      </w:r>
      <w:r>
        <w:rPr>
          <w:b/>
          <w:w w:val="95"/>
          <w:sz w:val="21"/>
        </w:rPr>
        <w:t>会制定的</w:t>
      </w:r>
      <w:r>
        <w:rPr>
          <w:b/>
          <w:w w:val="95"/>
          <w:sz w:val="21"/>
        </w:rPr>
        <w:t>《</w:t>
      </w:r>
      <w:r>
        <w:rPr>
          <w:b/>
          <w:w w:val="95"/>
          <w:sz w:val="21"/>
        </w:rPr>
        <w:t>重</w:t>
      </w:r>
      <w:r>
        <w:rPr>
          <w:b/>
          <w:w w:val="95"/>
          <w:sz w:val="21"/>
        </w:rPr>
        <w:t>大</w:t>
      </w:r>
      <w:r>
        <w:rPr>
          <w:b/>
          <w:w w:val="95"/>
          <w:sz w:val="21"/>
        </w:rPr>
        <w:t>疾</w:t>
      </w:r>
      <w:r>
        <w:rPr>
          <w:b/>
          <w:w w:val="95"/>
          <w:sz w:val="21"/>
        </w:rPr>
        <w:t>病</w:t>
      </w:r>
      <w:r>
        <w:rPr>
          <w:b/>
          <w:w w:val="95"/>
          <w:sz w:val="21"/>
        </w:rPr>
        <w:t>保</w:t>
      </w:r>
      <w:r>
        <w:rPr>
          <w:b/>
          <w:w w:val="95"/>
          <w:sz w:val="21"/>
        </w:rPr>
        <w:t>险</w:t>
      </w:r>
      <w:r>
        <w:rPr>
          <w:b/>
          <w:w w:val="95"/>
          <w:sz w:val="21"/>
        </w:rPr>
        <w:t>的</w:t>
      </w:r>
      <w:r>
        <w:rPr>
          <w:b/>
          <w:w w:val="95"/>
          <w:sz w:val="21"/>
        </w:rPr>
        <w:t>疾</w:t>
      </w:r>
      <w:r>
        <w:rPr>
          <w:b/>
          <w:w w:val="95"/>
          <w:sz w:val="21"/>
        </w:rPr>
        <w:t>病</w:t>
      </w:r>
      <w:r>
        <w:rPr>
          <w:b/>
          <w:w w:val="95"/>
          <w:sz w:val="21"/>
        </w:rPr>
        <w:t>定</w:t>
      </w:r>
      <w:r>
        <w:rPr>
          <w:b/>
          <w:w w:val="95"/>
          <w:sz w:val="21"/>
        </w:rPr>
        <w:t>义</w:t>
      </w:r>
      <w:r>
        <w:rPr>
          <w:b/>
          <w:w w:val="95"/>
          <w:sz w:val="21"/>
        </w:rPr>
        <w:t>使</w:t>
      </w:r>
      <w:r>
        <w:rPr>
          <w:b/>
          <w:w w:val="95"/>
          <w:sz w:val="21"/>
        </w:rPr>
        <w:t>用</w:t>
      </w:r>
      <w:r>
        <w:rPr>
          <w:b/>
          <w:w w:val="95"/>
          <w:sz w:val="21"/>
        </w:rPr>
        <w:t>规</w:t>
      </w:r>
      <w:r>
        <w:rPr>
          <w:b/>
          <w:w w:val="95"/>
          <w:sz w:val="21"/>
        </w:rPr>
        <w:t>范</w:t>
      </w:r>
      <w:r>
        <w:rPr>
          <w:b/>
          <w:w w:val="95"/>
          <w:sz w:val="21"/>
        </w:rPr>
        <w:t>（2020</w:t>
      </w:r>
      <w:r>
        <w:rPr>
          <w:b/>
          <w:spacing w:val="39"/>
          <w:sz w:val="21"/>
        </w:rPr>
        <w:t> </w:t>
      </w:r>
      <w:r>
        <w:rPr>
          <w:b/>
          <w:w w:val="95"/>
          <w:sz w:val="21"/>
        </w:rPr>
        <w:t>年</w:t>
      </w:r>
      <w:r>
        <w:rPr>
          <w:b/>
          <w:w w:val="95"/>
          <w:sz w:val="21"/>
        </w:rPr>
        <w:t>修</w:t>
      </w:r>
      <w:r>
        <w:rPr>
          <w:b/>
          <w:w w:val="95"/>
          <w:sz w:val="21"/>
        </w:rPr>
        <w:t>订</w:t>
      </w:r>
      <w:r>
        <w:rPr>
          <w:b/>
          <w:w w:val="95"/>
          <w:sz w:val="21"/>
        </w:rPr>
        <w:t>版</w:t>
      </w:r>
      <w:r>
        <w:rPr>
          <w:b/>
          <w:spacing w:val="-106"/>
          <w:w w:val="95"/>
          <w:sz w:val="21"/>
        </w:rPr>
        <w:t>）</w:t>
      </w:r>
      <w:r>
        <w:rPr>
          <w:b/>
          <w:spacing w:val="-108"/>
          <w:w w:val="95"/>
          <w:sz w:val="21"/>
        </w:rPr>
        <w:t>》</w:t>
      </w:r>
      <w:r>
        <w:rPr>
          <w:b/>
          <w:w w:val="95"/>
          <w:sz w:val="21"/>
        </w:rPr>
        <w:t>（</w:t>
      </w:r>
      <w:r>
        <w:rPr>
          <w:b/>
          <w:w w:val="95"/>
          <w:sz w:val="21"/>
        </w:rPr>
        <w:t>以</w:t>
      </w:r>
      <w:r>
        <w:rPr>
          <w:b/>
          <w:w w:val="95"/>
          <w:sz w:val="21"/>
        </w:rPr>
        <w:t>下</w:t>
      </w:r>
      <w:r>
        <w:rPr>
          <w:b/>
          <w:w w:val="95"/>
          <w:sz w:val="21"/>
        </w:rPr>
        <w:t>简</w:t>
      </w:r>
      <w:r>
        <w:rPr>
          <w:b/>
          <w:w w:val="95"/>
          <w:sz w:val="21"/>
        </w:rPr>
        <w:t>称</w:t>
      </w:r>
      <w:r>
        <w:rPr>
          <w:b/>
          <w:spacing w:val="39"/>
          <w:sz w:val="21"/>
        </w:rPr>
        <w:t> </w:t>
      </w:r>
      <w:r>
        <w:rPr>
          <w:b/>
          <w:w w:val="95"/>
          <w:sz w:val="21"/>
        </w:rPr>
        <w:t>2020</w:t>
      </w:r>
      <w:r>
        <w:rPr>
          <w:b/>
          <w:spacing w:val="39"/>
          <w:sz w:val="21"/>
        </w:rPr>
        <w:t> </w:t>
      </w:r>
      <w:r>
        <w:rPr>
          <w:b/>
          <w:w w:val="95"/>
          <w:sz w:val="21"/>
        </w:rPr>
        <w:t>版</w:t>
      </w:r>
      <w:r>
        <w:rPr>
          <w:b/>
          <w:w w:val="95"/>
          <w:sz w:val="21"/>
        </w:rPr>
        <w:t>定</w:t>
      </w:r>
      <w:r>
        <w:rPr>
          <w:b/>
          <w:w w:val="95"/>
          <w:sz w:val="21"/>
        </w:rPr>
        <w:t>义</w:t>
      </w:r>
      <w:r>
        <w:rPr>
          <w:b/>
          <w:w w:val="95"/>
          <w:sz w:val="21"/>
        </w:rPr>
        <w:t>）</w:t>
      </w:r>
      <w:r>
        <w:rPr>
          <w:b/>
          <w:w w:val="95"/>
          <w:sz w:val="21"/>
        </w:rPr>
        <w:t>规</w:t>
      </w:r>
      <w:r>
        <w:rPr>
          <w:b/>
          <w:w w:val="95"/>
          <w:sz w:val="21"/>
        </w:rPr>
        <w:t>定</w:t>
      </w:r>
      <w:r>
        <w:rPr>
          <w:b/>
          <w:w w:val="95"/>
          <w:sz w:val="21"/>
        </w:rPr>
        <w:t>的</w:t>
      </w:r>
      <w:r>
        <w:rPr>
          <w:b/>
          <w:w w:val="95"/>
          <w:sz w:val="21"/>
        </w:rPr>
        <w:t>重</w:t>
      </w:r>
      <w:r>
        <w:rPr>
          <w:b/>
          <w:w w:val="95"/>
          <w:sz w:val="21"/>
        </w:rPr>
        <w:t>大</w:t>
      </w:r>
      <w:r>
        <w:rPr>
          <w:b/>
          <w:w w:val="95"/>
          <w:sz w:val="21"/>
        </w:rPr>
        <w:t>疾</w:t>
      </w:r>
      <w:r>
        <w:rPr>
          <w:b/>
          <w:w w:val="95"/>
          <w:sz w:val="21"/>
        </w:rPr>
        <w:t>病</w:t>
      </w:r>
      <w:r>
        <w:rPr>
          <w:b/>
          <w:w w:val="95"/>
          <w:sz w:val="21"/>
        </w:rPr>
        <w:t>，疾病名称、</w:t>
      </w:r>
      <w:r>
        <w:rPr>
          <w:b/>
          <w:sz w:val="21"/>
        </w:rPr>
        <w:t>病种名称、疾病定义与 2020 版定义保持一致。</w:t>
      </w:r>
    </w:p>
    <w:p>
      <w:pPr>
        <w:pStyle w:val="ListParagraph"/>
        <w:numPr>
          <w:ilvl w:val="0"/>
          <w:numId w:val="109"/>
        </w:numPr>
        <w:tabs>
          <w:tab w:pos="989" w:val="left" w:leader="none"/>
        </w:tabs>
        <w:spacing w:line="240" w:lineRule="auto" w:before="156" w:after="0"/>
        <w:ind w:left="988" w:right="0" w:hanging="721"/>
        <w:jc w:val="both"/>
        <w:rPr>
          <w:b/>
          <w:sz w:val="21"/>
        </w:rPr>
      </w:pPr>
      <w:r>
        <w:rPr>
          <w:b/>
          <w:spacing w:val="-2"/>
          <w:sz w:val="21"/>
        </w:rPr>
        <w:t>较重急性心肌梗死:</w:t>
      </w:r>
    </w:p>
    <w:p>
      <w:pPr>
        <w:pStyle w:val="BodyText"/>
        <w:spacing w:before="7"/>
        <w:rPr>
          <w:b/>
          <w:sz w:val="15"/>
        </w:rPr>
      </w:pPr>
    </w:p>
    <w:p>
      <w:pPr>
        <w:pStyle w:val="BodyText"/>
        <w:spacing w:line="278" w:lineRule="auto"/>
        <w:ind w:left="268" w:right="357"/>
      </w:pPr>
      <w:r>
        <w:rPr>
          <w:spacing w:val="2"/>
          <w:w w:val="100"/>
        </w:rPr>
        <w:t>急性心肌梗死指由于冠状动脉闭塞或梗阻引起部分心肌严重的持久性缺血造成急</w:t>
      </w:r>
      <w:r>
        <w:rPr>
          <w:spacing w:val="-3"/>
          <w:w w:val="100"/>
        </w:rPr>
        <w:t>性心肌坏死。急性心肌梗死的诊断必须依据国际国内诊断标准，符合</w:t>
      </w:r>
    </w:p>
    <w:p>
      <w:pPr>
        <w:pStyle w:val="ListParagraph"/>
        <w:numPr>
          <w:ilvl w:val="0"/>
          <w:numId w:val="110"/>
        </w:numPr>
        <w:tabs>
          <w:tab w:pos="989" w:val="left" w:leader="none"/>
        </w:tabs>
        <w:spacing w:line="278" w:lineRule="auto" w:before="156" w:after="0"/>
        <w:ind w:left="988" w:right="355" w:hanging="721"/>
        <w:jc w:val="both"/>
        <w:rPr>
          <w:sz w:val="21"/>
        </w:rPr>
      </w:pPr>
      <w:r>
        <w:rPr>
          <w:spacing w:val="-2"/>
          <w:sz w:val="21"/>
        </w:rPr>
        <w:t>检测到肌酸激酶同工酶（CK-MB）或肌钙蛋白（cTn）升高和/或降低的动态</w:t>
      </w:r>
      <w:r>
        <w:rPr>
          <w:spacing w:val="-2"/>
          <w:sz w:val="21"/>
        </w:rPr>
        <w:t>变化，至少一次达到或超过心肌梗死的临床诊断标准；</w:t>
      </w:r>
    </w:p>
    <w:p>
      <w:pPr>
        <w:pStyle w:val="ListParagraph"/>
        <w:numPr>
          <w:ilvl w:val="0"/>
          <w:numId w:val="110"/>
        </w:numPr>
        <w:tabs>
          <w:tab w:pos="989" w:val="left" w:leader="none"/>
        </w:tabs>
        <w:spacing w:line="278" w:lineRule="auto" w:before="155" w:after="0"/>
        <w:ind w:left="988" w:right="355" w:hanging="721"/>
        <w:jc w:val="both"/>
        <w:rPr>
          <w:sz w:val="21"/>
        </w:rPr>
      </w:pPr>
      <w:r>
        <w:rPr>
          <w:spacing w:val="-4"/>
          <w:sz w:val="21"/>
        </w:rPr>
        <w:t>同时存在下列之一的证据，包括：缺血性胸痛症状、新发生的缺血性心电图</w:t>
      </w:r>
      <w:r>
        <w:rPr>
          <w:spacing w:val="-12"/>
          <w:sz w:val="21"/>
        </w:rPr>
        <w:t>改变、新生成的病理性 </w:t>
      </w:r>
      <w:r>
        <w:rPr>
          <w:spacing w:val="-2"/>
          <w:sz w:val="21"/>
        </w:rPr>
        <w:t>Q</w:t>
      </w:r>
      <w:r>
        <w:rPr>
          <w:spacing w:val="-11"/>
          <w:sz w:val="21"/>
        </w:rPr>
        <w:t> 波、影像学证据显示有新出现的心肌活性丧失或新</w:t>
      </w:r>
      <w:r>
        <w:rPr>
          <w:spacing w:val="-2"/>
          <w:sz w:val="21"/>
        </w:rPr>
        <w:t>出现局部室壁运动异常、冠脉造影证实存在冠状动脉血栓。</w:t>
      </w:r>
    </w:p>
    <w:p>
      <w:pPr>
        <w:pStyle w:val="BodyText"/>
        <w:spacing w:line="278" w:lineRule="auto" w:before="157"/>
        <w:ind w:left="268" w:right="356"/>
      </w:pPr>
      <w:r>
        <w:rPr>
          <w:spacing w:val="-2"/>
        </w:rPr>
        <w:t>较重急性心肌梗死指依照上述标准被明确诊断为急性心肌梗死，并且必须同时满足</w:t>
      </w:r>
      <w:r>
        <w:rPr>
          <w:spacing w:val="-2"/>
        </w:rPr>
        <w:t>下列至少一项条件：</w:t>
      </w:r>
    </w:p>
    <w:p>
      <w:pPr>
        <w:pStyle w:val="ListParagraph"/>
        <w:numPr>
          <w:ilvl w:val="0"/>
          <w:numId w:val="111"/>
        </w:numPr>
        <w:tabs>
          <w:tab w:pos="988" w:val="left" w:leader="none"/>
          <w:tab w:pos="989" w:val="left" w:leader="none"/>
        </w:tabs>
        <w:spacing w:line="278" w:lineRule="auto" w:before="156" w:after="0"/>
        <w:ind w:left="988" w:right="356" w:hanging="721"/>
        <w:jc w:val="left"/>
        <w:rPr>
          <w:sz w:val="21"/>
        </w:rPr>
      </w:pPr>
      <w:r>
        <w:rPr>
          <w:spacing w:val="-2"/>
          <w:sz w:val="21"/>
        </w:rPr>
        <w:t>心肌损伤标志物肌钙蛋白（cTn）升高，至少一次检测结果达到该检验正常</w:t>
      </w:r>
      <w:r>
        <w:rPr>
          <w:spacing w:val="-4"/>
          <w:sz w:val="21"/>
        </w:rPr>
        <w:t>参考值上限的 </w:t>
      </w:r>
      <w:r>
        <w:rPr>
          <w:sz w:val="21"/>
        </w:rPr>
        <w:t>15</w:t>
      </w:r>
      <w:r>
        <w:rPr>
          <w:spacing w:val="-11"/>
          <w:sz w:val="21"/>
        </w:rPr>
        <w:t> 倍</w:t>
      </w:r>
      <w:r>
        <w:rPr>
          <w:sz w:val="21"/>
        </w:rPr>
        <w:t>（含）以上；</w:t>
      </w:r>
    </w:p>
    <w:p>
      <w:pPr>
        <w:pStyle w:val="ListParagraph"/>
        <w:numPr>
          <w:ilvl w:val="0"/>
          <w:numId w:val="111"/>
        </w:numPr>
        <w:tabs>
          <w:tab w:pos="988" w:val="left" w:leader="none"/>
          <w:tab w:pos="989" w:val="left" w:leader="none"/>
        </w:tabs>
        <w:spacing w:line="278" w:lineRule="auto" w:before="155" w:after="0"/>
        <w:ind w:left="988" w:right="356" w:hanging="721"/>
        <w:jc w:val="left"/>
        <w:rPr>
          <w:sz w:val="21"/>
        </w:rPr>
      </w:pPr>
      <w:r>
        <w:rPr>
          <w:spacing w:val="-2"/>
          <w:sz w:val="21"/>
        </w:rPr>
        <w:t>肌酸激酶同工酶（CK-MB）升高，至少一次检测结果达到该检验正常参考上</w:t>
      </w:r>
      <w:r>
        <w:rPr>
          <w:spacing w:val="-8"/>
          <w:sz w:val="21"/>
        </w:rPr>
        <w:t>限的 </w:t>
      </w:r>
      <w:r>
        <w:rPr>
          <w:sz w:val="21"/>
        </w:rPr>
        <w:t>2</w:t>
      </w:r>
      <w:r>
        <w:rPr>
          <w:spacing w:val="-13"/>
          <w:sz w:val="21"/>
        </w:rPr>
        <w:t> 倍</w:t>
      </w:r>
      <w:r>
        <w:rPr>
          <w:sz w:val="21"/>
        </w:rPr>
        <w:t>（含）以上；</w:t>
      </w:r>
    </w:p>
    <w:p>
      <w:pPr>
        <w:pStyle w:val="ListParagraph"/>
        <w:numPr>
          <w:ilvl w:val="0"/>
          <w:numId w:val="111"/>
        </w:numPr>
        <w:tabs>
          <w:tab w:pos="988" w:val="left" w:leader="none"/>
          <w:tab w:pos="989" w:val="left" w:leader="none"/>
        </w:tabs>
        <w:spacing w:line="278" w:lineRule="auto" w:before="156" w:after="0"/>
        <w:ind w:left="988" w:right="384" w:hanging="721"/>
        <w:jc w:val="left"/>
        <w:rPr>
          <w:sz w:val="21"/>
        </w:rPr>
      </w:pPr>
      <w:r>
        <w:rPr>
          <w:spacing w:val="-8"/>
          <w:sz w:val="21"/>
        </w:rPr>
        <w:t>出现左心室收缩功能下降，在确诊 </w:t>
      </w:r>
      <w:r>
        <w:rPr>
          <w:spacing w:val="-4"/>
          <w:sz w:val="21"/>
        </w:rPr>
        <w:t>6</w:t>
      </w:r>
      <w:r>
        <w:rPr>
          <w:spacing w:val="-12"/>
          <w:sz w:val="21"/>
        </w:rPr>
        <w:t> 周以后，检测左室射血分数</w:t>
      </w:r>
      <w:r>
        <w:rPr>
          <w:spacing w:val="-4"/>
          <w:sz w:val="21"/>
        </w:rPr>
        <w:t>（LVEF）低</w:t>
      </w:r>
      <w:r>
        <w:rPr>
          <w:sz w:val="21"/>
        </w:rPr>
        <w:t>于 50%（不含</w:t>
      </w:r>
      <w:r>
        <w:rPr>
          <w:spacing w:val="-108"/>
          <w:sz w:val="21"/>
        </w:rPr>
        <w:t>）</w:t>
      </w:r>
      <w:r>
        <w:rPr>
          <w:sz w:val="21"/>
        </w:rPr>
        <w:t>；</w:t>
      </w:r>
    </w:p>
    <w:p>
      <w:pPr>
        <w:pStyle w:val="ListParagraph"/>
        <w:numPr>
          <w:ilvl w:val="0"/>
          <w:numId w:val="111"/>
        </w:numPr>
        <w:tabs>
          <w:tab w:pos="988" w:val="left" w:leader="none"/>
          <w:tab w:pos="989" w:val="left" w:leader="none"/>
        </w:tabs>
        <w:spacing w:line="278" w:lineRule="auto" w:before="156" w:after="0"/>
        <w:ind w:left="988" w:right="356" w:hanging="721"/>
        <w:jc w:val="left"/>
        <w:rPr>
          <w:sz w:val="21"/>
        </w:rPr>
      </w:pPr>
      <w:r>
        <w:rPr>
          <w:spacing w:val="-4"/>
          <w:sz w:val="21"/>
        </w:rPr>
        <w:t>影像学检查证实存在新发的乳头肌功能失调或断裂引起的中度</w:t>
      </w:r>
      <w:r>
        <w:rPr>
          <w:spacing w:val="-2"/>
          <w:sz w:val="21"/>
        </w:rPr>
        <w:t>（含</w:t>
      </w:r>
      <w:r>
        <w:rPr>
          <w:spacing w:val="-53"/>
          <w:sz w:val="21"/>
        </w:rPr>
        <w:t>）</w:t>
      </w:r>
      <w:r>
        <w:rPr>
          <w:spacing w:val="-2"/>
          <w:sz w:val="21"/>
        </w:rPr>
        <w:t>以上的</w:t>
      </w:r>
      <w:r>
        <w:rPr>
          <w:spacing w:val="-2"/>
          <w:sz w:val="21"/>
        </w:rPr>
        <w:t>二尖瓣反流；</w:t>
      </w:r>
    </w:p>
    <w:p>
      <w:pPr>
        <w:pStyle w:val="ListParagraph"/>
        <w:numPr>
          <w:ilvl w:val="0"/>
          <w:numId w:val="111"/>
        </w:numPr>
        <w:tabs>
          <w:tab w:pos="988" w:val="left" w:leader="none"/>
          <w:tab w:pos="989" w:val="left" w:leader="none"/>
        </w:tabs>
        <w:spacing w:line="240" w:lineRule="auto" w:before="156" w:after="0"/>
        <w:ind w:left="988" w:right="0" w:hanging="721"/>
        <w:jc w:val="left"/>
        <w:rPr>
          <w:sz w:val="21"/>
        </w:rPr>
      </w:pPr>
      <w:r>
        <w:rPr>
          <w:spacing w:val="-3"/>
          <w:sz w:val="21"/>
        </w:rPr>
        <w:t>影像学检查证实存在新出现的室壁瘤；</w:t>
      </w:r>
    </w:p>
    <w:p>
      <w:pPr>
        <w:pStyle w:val="BodyText"/>
        <w:spacing w:before="7"/>
        <w:rPr>
          <w:sz w:val="15"/>
        </w:rPr>
      </w:pPr>
    </w:p>
    <w:p>
      <w:pPr>
        <w:pStyle w:val="ListParagraph"/>
        <w:numPr>
          <w:ilvl w:val="0"/>
          <w:numId w:val="111"/>
        </w:numPr>
        <w:tabs>
          <w:tab w:pos="988" w:val="left" w:leader="none"/>
          <w:tab w:pos="989" w:val="left" w:leader="none"/>
        </w:tabs>
        <w:spacing w:line="240" w:lineRule="auto" w:before="0" w:after="0"/>
        <w:ind w:left="988" w:right="0" w:hanging="721"/>
        <w:jc w:val="left"/>
        <w:rPr>
          <w:sz w:val="21"/>
        </w:rPr>
      </w:pPr>
      <w:r>
        <w:rPr>
          <w:spacing w:val="-3"/>
          <w:sz w:val="21"/>
        </w:rPr>
        <w:t>出现室性心动过速、心室颤动或心源性休克。</w:t>
      </w:r>
    </w:p>
    <w:p>
      <w:pPr>
        <w:spacing w:after="0" w:line="240" w:lineRule="auto"/>
        <w:jc w:val="left"/>
        <w:rPr>
          <w:sz w:val="21"/>
        </w:rPr>
        <w:sectPr>
          <w:footerReference w:type="default" r:id="rId31"/>
          <w:pgSz w:w="11910" w:h="16840"/>
          <w:pgMar w:footer="659" w:header="0" w:top="1540" w:bottom="840" w:left="920" w:right="540"/>
          <w:pgNumType w:start="1"/>
          <w:cols w:num="2" w:equalWidth="0">
            <w:col w:w="2194" w:space="72"/>
            <w:col w:w="8184"/>
          </w:cols>
        </w:sectPr>
      </w:pPr>
    </w:p>
    <w:p>
      <w:pPr>
        <w:pStyle w:val="BodyText"/>
        <w:spacing w:before="12"/>
        <w:rPr>
          <w:sz w:val="9"/>
        </w:rPr>
      </w:pPr>
    </w:p>
    <w:p>
      <w:pPr>
        <w:pStyle w:val="BodyText"/>
        <w:spacing w:before="71"/>
        <w:ind w:left="2533"/>
      </w:pPr>
      <w:r>
        <w:rPr>
          <w:color w:val="000000"/>
          <w:spacing w:val="-2"/>
          <w:shd w:fill="E4E4E4" w:color="auto" w:val="clear"/>
        </w:rPr>
        <w:t>其他非冠状动脉阻塞性疾病所引起的肌钙蛋白（cTn）</w:t>
      </w:r>
      <w:r>
        <w:rPr>
          <w:color w:val="000000"/>
          <w:spacing w:val="-3"/>
          <w:shd w:fill="E4E4E4" w:color="auto" w:val="clear"/>
        </w:rPr>
        <w:t>升高不在保障范围内。</w:t>
      </w:r>
    </w:p>
    <w:p>
      <w:pPr>
        <w:pStyle w:val="BodyText"/>
        <w:spacing w:before="7"/>
        <w:rPr>
          <w:sz w:val="15"/>
        </w:rPr>
      </w:pPr>
    </w:p>
    <w:p>
      <w:pPr>
        <w:pStyle w:val="Heading2"/>
        <w:numPr>
          <w:ilvl w:val="1"/>
          <w:numId w:val="109"/>
        </w:numPr>
        <w:tabs>
          <w:tab w:pos="3255" w:val="left" w:leader="none"/>
        </w:tabs>
        <w:spacing w:line="240" w:lineRule="auto" w:before="0" w:after="0"/>
        <w:ind w:left="3254" w:right="0" w:hanging="722"/>
        <w:jc w:val="left"/>
      </w:pPr>
      <w:r>
        <w:rPr>
          <w:spacing w:val="-2"/>
        </w:rPr>
        <w:t>严重脑中风后遗症:</w:t>
      </w:r>
    </w:p>
    <w:p>
      <w:pPr>
        <w:pStyle w:val="BodyText"/>
        <w:spacing w:before="7"/>
        <w:rPr>
          <w:b/>
          <w:sz w:val="15"/>
        </w:rPr>
      </w:pPr>
    </w:p>
    <w:p>
      <w:pPr>
        <w:pStyle w:val="BodyText"/>
        <w:spacing w:line="278" w:lineRule="auto"/>
        <w:ind w:left="2533" w:right="358"/>
        <w:jc w:val="both"/>
      </w:pPr>
      <w:r>
        <w:rPr>
          <w:spacing w:val="-6"/>
        </w:rPr>
        <w:t>指因脑血管的突发病变引起脑血管出血、栓塞或梗塞，须由头颅断层扫描</w:t>
      </w:r>
      <w:r>
        <w:rPr>
          <w:spacing w:val="21"/>
        </w:rPr>
        <w:t>（</w:t>
      </w:r>
      <w:r>
        <w:rPr>
          <w:spacing w:val="18"/>
        </w:rPr>
        <w:t>C</w:t>
      </w:r>
      <w:r>
        <w:rPr>
          <w:spacing w:val="21"/>
        </w:rPr>
        <w:t>T</w:t>
      </w:r>
      <w:r>
        <w:rPr>
          <w:spacing w:val="-85"/>
        </w:rPr>
        <w:t>）</w:t>
      </w:r>
      <w:r>
        <w:rPr>
          <w:spacing w:val="-6"/>
        </w:rPr>
        <w:t>、核</w:t>
      </w:r>
      <w:r>
        <w:rPr>
          <w:spacing w:val="-4"/>
        </w:rPr>
        <w:t>磁共振检查（MRI）等影像学检查证实，并导致神经系统永久性的功能障碍。神经系</w:t>
      </w:r>
      <w:r>
        <w:rPr>
          <w:spacing w:val="-2"/>
        </w:rPr>
        <w:t>统永久性的功能障碍，指疾病确诊 </w:t>
      </w:r>
      <w:r>
        <w:rPr/>
        <w:t>180</w:t>
      </w:r>
      <w:r>
        <w:rPr>
          <w:spacing w:val="-5"/>
        </w:rPr>
        <w:t> 天后，仍遗留下列至少一种障碍：</w:t>
      </w:r>
    </w:p>
    <w:p>
      <w:pPr>
        <w:pStyle w:val="ListParagraph"/>
        <w:numPr>
          <w:ilvl w:val="0"/>
          <w:numId w:val="112"/>
        </w:numPr>
        <w:tabs>
          <w:tab w:pos="3255" w:val="left" w:leader="none"/>
        </w:tabs>
        <w:spacing w:line="240" w:lineRule="auto" w:before="156" w:after="0"/>
        <w:ind w:left="3254" w:right="0" w:hanging="722"/>
        <w:jc w:val="both"/>
        <w:rPr>
          <w:sz w:val="21"/>
        </w:rPr>
      </w:pPr>
      <w:r>
        <w:rPr>
          <w:spacing w:val="-2"/>
          <w:sz w:val="21"/>
        </w:rPr>
        <w:t>一肢（含）</w:t>
      </w:r>
      <w:r>
        <w:rPr>
          <w:spacing w:val="-10"/>
          <w:sz w:val="21"/>
        </w:rPr>
        <w:t>以上肢体肌力 </w:t>
      </w:r>
      <w:r>
        <w:rPr>
          <w:spacing w:val="-2"/>
          <w:sz w:val="21"/>
        </w:rPr>
        <w:t>2</w:t>
      </w:r>
      <w:r>
        <w:rPr>
          <w:spacing w:val="-24"/>
          <w:sz w:val="21"/>
        </w:rPr>
        <w:t> 级</w:t>
      </w:r>
      <w:r>
        <w:rPr>
          <w:spacing w:val="-2"/>
          <w:sz w:val="21"/>
        </w:rPr>
        <w:t>（含）</w:t>
      </w:r>
      <w:r>
        <w:rPr>
          <w:spacing w:val="-5"/>
          <w:sz w:val="21"/>
        </w:rPr>
        <w:t>以下；</w:t>
      </w:r>
    </w:p>
    <w:p>
      <w:pPr>
        <w:pStyle w:val="BodyText"/>
        <w:spacing w:before="7"/>
        <w:rPr>
          <w:sz w:val="15"/>
        </w:rPr>
      </w:pPr>
    </w:p>
    <w:p>
      <w:pPr>
        <w:pStyle w:val="ListParagraph"/>
        <w:numPr>
          <w:ilvl w:val="0"/>
          <w:numId w:val="112"/>
        </w:numPr>
        <w:tabs>
          <w:tab w:pos="3255" w:val="left" w:leader="none"/>
        </w:tabs>
        <w:spacing w:line="240" w:lineRule="auto" w:before="0" w:after="0"/>
        <w:ind w:left="3254" w:right="0" w:hanging="722"/>
        <w:jc w:val="both"/>
        <w:rPr>
          <w:sz w:val="21"/>
        </w:rPr>
      </w:pPr>
      <w:r>
        <w:rPr>
          <w:spacing w:val="-3"/>
          <w:sz w:val="21"/>
        </w:rPr>
        <w:t>语言能力完全丧失，或严重咀嚼吞咽功能障碍；</w:t>
      </w:r>
    </w:p>
    <w:p>
      <w:pPr>
        <w:pStyle w:val="BodyText"/>
        <w:spacing w:before="6"/>
        <w:rPr>
          <w:sz w:val="15"/>
        </w:rPr>
      </w:pPr>
    </w:p>
    <w:p>
      <w:pPr>
        <w:pStyle w:val="ListParagraph"/>
        <w:numPr>
          <w:ilvl w:val="0"/>
          <w:numId w:val="112"/>
        </w:numPr>
        <w:tabs>
          <w:tab w:pos="3254" w:val="left" w:leader="none"/>
          <w:tab w:pos="3255" w:val="left" w:leader="none"/>
        </w:tabs>
        <w:spacing w:line="278" w:lineRule="auto" w:before="1" w:after="0"/>
        <w:ind w:left="3254" w:right="355" w:hanging="721"/>
        <w:jc w:val="left"/>
        <w:rPr>
          <w:sz w:val="21"/>
        </w:rPr>
      </w:pPr>
      <w:r>
        <w:rPr>
          <w:spacing w:val="-11"/>
          <w:sz w:val="21"/>
        </w:rPr>
        <w:t>自主生活能力完全丧失，无法独立完成六项基本日常生活活动中的三项或三</w:t>
      </w:r>
      <w:r>
        <w:rPr>
          <w:spacing w:val="-4"/>
          <w:sz w:val="21"/>
        </w:rPr>
        <w:t>项以上。</w:t>
      </w:r>
    </w:p>
    <w:p>
      <w:pPr>
        <w:pStyle w:val="Heading2"/>
        <w:numPr>
          <w:ilvl w:val="1"/>
          <w:numId w:val="109"/>
        </w:numPr>
        <w:tabs>
          <w:tab w:pos="3063" w:val="left" w:leader="none"/>
        </w:tabs>
        <w:spacing w:line="240" w:lineRule="auto" w:before="155" w:after="0"/>
        <w:ind w:left="3063" w:right="0" w:hanging="530"/>
        <w:jc w:val="left"/>
      </w:pPr>
      <w:r>
        <w:rPr>
          <w:spacing w:val="-2"/>
        </w:rPr>
        <w:t>冠状动脉搭桥术（或称冠状动脉旁路移植术</w:t>
      </w:r>
      <w:r>
        <w:rPr>
          <w:spacing w:val="-5"/>
        </w:rPr>
        <w:t>）:</w:t>
      </w:r>
    </w:p>
    <w:p>
      <w:pPr>
        <w:pStyle w:val="BodyText"/>
        <w:spacing w:before="7"/>
        <w:rPr>
          <w:b/>
          <w:sz w:val="15"/>
        </w:rPr>
      </w:pPr>
    </w:p>
    <w:p>
      <w:pPr>
        <w:pStyle w:val="BodyText"/>
        <w:ind w:left="2533"/>
      </w:pPr>
      <w:r>
        <w:rPr>
          <w:spacing w:val="-1"/>
        </w:rPr>
        <w:t>指为治疗严重的冠心病，已经实施了切开心包进行的冠状动脉血管旁路移植的手</w:t>
      </w:r>
    </w:p>
    <w:p>
      <w:pPr>
        <w:spacing w:after="0"/>
        <w:sectPr>
          <w:type w:val="continuous"/>
          <w:pgSz w:w="11910" w:h="16840"/>
          <w:pgMar w:header="0" w:footer="659" w:top="480" w:bottom="280" w:left="920" w:right="540"/>
        </w:sectPr>
      </w:pPr>
    </w:p>
    <w:p>
      <w:pPr>
        <w:pStyle w:val="BodyText"/>
        <w:spacing w:before="44"/>
        <w:ind w:left="2533"/>
      </w:pPr>
      <w:r>
        <w:rPr>
          <w:spacing w:val="-5"/>
        </w:rPr>
        <w:t>术。</w:t>
      </w:r>
    </w:p>
    <w:p>
      <w:pPr>
        <w:pStyle w:val="BodyText"/>
        <w:rPr>
          <w:sz w:val="10"/>
        </w:rPr>
      </w:pPr>
    </w:p>
    <w:p>
      <w:pPr>
        <w:pStyle w:val="BodyText"/>
        <w:spacing w:before="71"/>
        <w:ind w:left="1631" w:right="1961"/>
        <w:jc w:val="center"/>
      </w:pPr>
      <w:r>
        <w:rPr>
          <w:color w:val="000000"/>
          <w:spacing w:val="-3"/>
          <w:shd w:fill="E4E4E4" w:color="auto" w:val="clear"/>
        </w:rPr>
        <w:t>所有未切开心包的冠状动脉介入治疗不在保障范围内。</w:t>
      </w:r>
    </w:p>
    <w:p>
      <w:pPr>
        <w:spacing w:after="0"/>
        <w:jc w:val="center"/>
        <w:sectPr>
          <w:pgSz w:w="11910" w:h="16840"/>
          <w:pgMar w:header="0" w:footer="659" w:top="1400" w:bottom="840" w:left="920" w:right="540"/>
        </w:sectPr>
      </w:pPr>
    </w:p>
    <w:p>
      <w:pPr>
        <w:pStyle w:val="Heading2"/>
        <w:spacing w:before="68"/>
        <w:ind w:left="267" w:firstLine="0"/>
      </w:pPr>
      <w:r>
        <w:rPr/>
        <w:t>附表五</w:t>
      </w:r>
      <w:r>
        <w:rPr>
          <w:spacing w:val="75"/>
          <w:w w:val="150"/>
        </w:rPr>
        <w:t> </w:t>
      </w:r>
      <w:r>
        <w:rPr>
          <w:spacing w:val="-2"/>
        </w:rPr>
        <w:t>甲状腺癌的</w:t>
      </w:r>
    </w:p>
    <w:p>
      <w:pPr>
        <w:spacing w:before="31"/>
        <w:ind w:left="1137" w:right="0" w:firstLine="0"/>
        <w:jc w:val="left"/>
        <w:rPr>
          <w:b/>
          <w:sz w:val="21"/>
        </w:rPr>
      </w:pPr>
      <w:r>
        <w:rPr>
          <w:b/>
          <w:w w:val="95"/>
          <w:sz w:val="21"/>
        </w:rPr>
        <w:t>TNM</w:t>
      </w:r>
      <w:r>
        <w:rPr>
          <w:b/>
          <w:spacing w:val="-26"/>
          <w:w w:val="95"/>
          <w:sz w:val="21"/>
        </w:rPr>
        <w:t> </w:t>
      </w:r>
      <w:r>
        <w:rPr>
          <w:b/>
          <w:w w:val="95"/>
          <w:sz w:val="21"/>
        </w:rPr>
        <w:t>分</w:t>
      </w:r>
      <w:r>
        <w:rPr>
          <w:b/>
          <w:spacing w:val="-10"/>
          <w:w w:val="95"/>
          <w:sz w:val="21"/>
        </w:rPr>
        <w:t>期</w:t>
      </w:r>
    </w:p>
    <w:p>
      <w:pPr>
        <w:pStyle w:val="BodyText"/>
        <w:spacing w:before="60"/>
        <w:ind w:left="268"/>
      </w:pPr>
      <w:r>
        <w:rPr/>
        <w:br w:type="column"/>
      </w:r>
      <w:r>
        <w:rPr>
          <w:spacing w:val="-2"/>
        </w:rPr>
        <w:t>甲状腺乳头状癌、滤泡癌、低分化癌、Hürthle</w:t>
      </w:r>
      <w:r>
        <w:rPr>
          <w:spacing w:val="-8"/>
        </w:rPr>
        <w:t> 细胞癌和未分化癌</w:t>
      </w:r>
    </w:p>
    <w:p>
      <w:pPr>
        <w:pStyle w:val="BodyText"/>
        <w:spacing w:before="7"/>
        <w:rPr>
          <w:sz w:val="15"/>
        </w:rPr>
      </w:pPr>
    </w:p>
    <w:p>
      <w:pPr>
        <w:pStyle w:val="BodyText"/>
        <w:ind w:left="268"/>
      </w:pPr>
      <w:r>
        <w:rPr/>
        <w:t>p</w:t>
      </w:r>
      <w:r>
        <w:rPr>
          <w:rFonts w:ascii="Cambria Math" w:eastAsia="Cambria Math"/>
        </w:rPr>
        <w:t>𝑇</w:t>
      </w:r>
      <w:r>
        <w:rPr>
          <w:rFonts w:ascii="Cambria Math" w:eastAsia="Cambria Math"/>
          <w:position w:val="-3"/>
          <w:sz w:val="15"/>
        </w:rPr>
        <w:t>𝑥</w:t>
      </w:r>
      <w:r>
        <w:rPr>
          <w:spacing w:val="-6"/>
        </w:rPr>
        <w:t>： 原发肿瘤不能评估</w:t>
      </w:r>
    </w:p>
    <w:p>
      <w:pPr>
        <w:pStyle w:val="BodyText"/>
        <w:spacing w:before="185"/>
        <w:ind w:left="268"/>
      </w:pPr>
      <w:r>
        <w:rPr/>
        <w:t>p</w:t>
      </w:r>
      <w:r>
        <w:rPr>
          <w:rFonts w:ascii="Cambria Math" w:eastAsia="Cambria Math"/>
        </w:rPr>
        <w:t>𝑇</w:t>
      </w:r>
      <w:r>
        <w:rPr>
          <w:rFonts w:ascii="Cambria Math" w:eastAsia="Cambria Math"/>
          <w:vertAlign w:val="subscript"/>
        </w:rPr>
        <w:t>0</w:t>
      </w:r>
      <w:r>
        <w:rPr>
          <w:spacing w:val="-4"/>
          <w:vertAlign w:val="baseline"/>
        </w:rPr>
        <w:t>： 无肿瘤证据</w:t>
      </w:r>
    </w:p>
    <w:p>
      <w:pPr>
        <w:pStyle w:val="BodyText"/>
        <w:spacing w:before="199"/>
        <w:ind w:left="268"/>
      </w:pPr>
      <w:r>
        <w:rPr>
          <w:spacing w:val="-2"/>
        </w:rPr>
        <w:t>p</w:t>
      </w:r>
      <w:r>
        <w:rPr>
          <w:rFonts w:ascii="Cambria Math" w:hAnsi="Cambria Math" w:eastAsia="Cambria Math"/>
          <w:spacing w:val="-2"/>
        </w:rPr>
        <w:t>𝑇</w:t>
      </w:r>
      <w:r>
        <w:rPr>
          <w:rFonts w:ascii="Cambria Math" w:hAnsi="Cambria Math" w:eastAsia="Cambria Math"/>
          <w:spacing w:val="-2"/>
          <w:vertAlign w:val="subscript"/>
        </w:rPr>
        <w:t>1</w:t>
      </w:r>
      <w:r>
        <w:rPr>
          <w:spacing w:val="-3"/>
          <w:vertAlign w:val="baseline"/>
        </w:rPr>
        <w:t>： 肿瘤局限在甲状腺内，最大径≤</w:t>
      </w:r>
      <w:r>
        <w:rPr>
          <w:spacing w:val="-4"/>
          <w:vertAlign w:val="baseline"/>
        </w:rPr>
        <w:t>2cm</w:t>
      </w:r>
    </w:p>
    <w:p>
      <w:pPr>
        <w:pStyle w:val="BodyText"/>
        <w:spacing w:before="199"/>
        <w:ind w:left="899"/>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𝑎</w:t>
      </w:r>
      <w:r>
        <w:rPr>
          <w:spacing w:val="-2"/>
          <w:vertAlign w:val="baseline"/>
        </w:rPr>
        <w:t>肿瘤最大径</w:t>
      </w:r>
      <w:r>
        <w:rPr>
          <w:spacing w:val="-4"/>
          <w:vertAlign w:val="baseline"/>
        </w:rPr>
        <w:t>≤1cm</w:t>
      </w:r>
    </w:p>
    <w:p>
      <w:pPr>
        <w:pStyle w:val="BodyText"/>
        <w:spacing w:before="184"/>
        <w:ind w:left="899"/>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𝑏</w:t>
      </w:r>
      <w:r>
        <w:rPr>
          <w:spacing w:val="-2"/>
          <w:vertAlign w:val="baseline"/>
        </w:rPr>
        <w:t>肿瘤最大径＞1cm，≤2cm</w:t>
      </w:r>
    </w:p>
    <w:p>
      <w:pPr>
        <w:pStyle w:val="BodyText"/>
        <w:spacing w:before="185"/>
        <w:ind w:left="268"/>
      </w:pPr>
      <w:r>
        <w:rPr/>
        <w:t>p</w:t>
      </w:r>
      <w:r>
        <w:rPr>
          <w:rFonts w:ascii="Cambria Math" w:eastAsia="Cambria Math"/>
        </w:rPr>
        <w:t>𝑇</w:t>
      </w:r>
      <w:r>
        <w:rPr>
          <w:rFonts w:ascii="Cambria Math" w:eastAsia="Cambria Math"/>
          <w:vertAlign w:val="subscript"/>
        </w:rPr>
        <w:t>2</w:t>
      </w:r>
      <w:r>
        <w:rPr>
          <w:spacing w:val="-13"/>
          <w:vertAlign w:val="baseline"/>
        </w:rPr>
        <w:t>： 肿瘤 </w:t>
      </w:r>
      <w:r>
        <w:rPr>
          <w:spacing w:val="-2"/>
          <w:vertAlign w:val="baseline"/>
        </w:rPr>
        <w:t>2～4cm</w:t>
      </w:r>
    </w:p>
    <w:p>
      <w:pPr>
        <w:pStyle w:val="BodyText"/>
        <w:spacing w:before="199"/>
        <w:ind w:left="268"/>
      </w:pPr>
      <w:r>
        <w:rPr>
          <w:spacing w:val="-2"/>
        </w:rPr>
        <w:t>p</w:t>
      </w:r>
      <w:r>
        <w:rPr>
          <w:rFonts w:ascii="Cambria Math" w:eastAsia="Cambria Math"/>
          <w:spacing w:val="-2"/>
        </w:rPr>
        <w:t>𝑇</w:t>
      </w:r>
      <w:r>
        <w:rPr>
          <w:rFonts w:ascii="Cambria Math" w:eastAsia="Cambria Math"/>
          <w:spacing w:val="-2"/>
          <w:vertAlign w:val="subscript"/>
        </w:rPr>
        <w:t>3</w:t>
      </w:r>
      <w:r>
        <w:rPr>
          <w:spacing w:val="1"/>
          <w:vertAlign w:val="baseline"/>
        </w:rPr>
        <w:t>： 肿瘤＞</w:t>
      </w:r>
      <w:r>
        <w:rPr>
          <w:spacing w:val="-2"/>
          <w:vertAlign w:val="baseline"/>
        </w:rPr>
        <w:t>4cm</w:t>
      </w:r>
      <w:r>
        <w:rPr>
          <w:spacing w:val="-3"/>
          <w:vertAlign w:val="baseline"/>
        </w:rPr>
        <w:t>，局限于甲状腺内或大体侵犯甲状腺外带状肌</w:t>
      </w:r>
    </w:p>
    <w:p>
      <w:pPr>
        <w:pStyle w:val="BodyText"/>
        <w:spacing w:before="200"/>
        <w:ind w:left="268"/>
      </w:pPr>
      <w:r>
        <w:rPr>
          <w:spacing w:val="-2"/>
        </w:rPr>
        <w:t>p</w:t>
      </w:r>
      <w:r>
        <w:rPr>
          <w:rFonts w:ascii="Cambria Math" w:eastAsia="Cambria Math"/>
          <w:spacing w:val="-2"/>
        </w:rPr>
        <w:t>𝑇</w:t>
      </w:r>
      <w:r>
        <w:rPr>
          <w:rFonts w:ascii="Cambria Math" w:eastAsia="Cambria Math"/>
          <w:spacing w:val="-2"/>
          <w:vertAlign w:val="subscript"/>
        </w:rPr>
        <w:t>3</w:t>
      </w:r>
      <w:r>
        <w:rPr>
          <w:rFonts w:ascii="Cambria Math" w:eastAsia="Cambria Math"/>
          <w:spacing w:val="-2"/>
          <w:position w:val="-3"/>
          <w:sz w:val="15"/>
          <w:vertAlign w:val="baseline"/>
        </w:rPr>
        <w:t>𝑎</w:t>
      </w:r>
      <w:r>
        <w:rPr>
          <w:spacing w:val="-2"/>
          <w:vertAlign w:val="baseline"/>
        </w:rPr>
        <w:t>：肿瘤＞4cm</w:t>
      </w:r>
      <w:r>
        <w:rPr>
          <w:spacing w:val="-4"/>
          <w:vertAlign w:val="baseline"/>
        </w:rPr>
        <w:t>，局限于甲状腺内</w:t>
      </w:r>
    </w:p>
    <w:p>
      <w:pPr>
        <w:pStyle w:val="BodyText"/>
        <w:spacing w:before="184"/>
        <w:ind w:left="268"/>
      </w:pPr>
      <w:r>
        <w:rPr>
          <w:spacing w:val="-2"/>
        </w:rPr>
        <w:t>p</w:t>
      </w:r>
      <w:r>
        <w:rPr>
          <w:rFonts w:ascii="Cambria Math" w:eastAsia="Cambria Math"/>
          <w:spacing w:val="-2"/>
        </w:rPr>
        <w:t>𝑇</w:t>
      </w:r>
      <w:r>
        <w:rPr>
          <w:rFonts w:ascii="Cambria Math" w:eastAsia="Cambria Math"/>
          <w:spacing w:val="-2"/>
          <w:position w:val="-3"/>
          <w:sz w:val="15"/>
        </w:rPr>
        <w:t>3𝑏</w:t>
      </w:r>
      <w:r>
        <w:rPr>
          <w:spacing w:val="-3"/>
        </w:rPr>
        <w:t>：大体侵犯甲状腺外带状肌，无论肿瘤大小</w:t>
      </w:r>
    </w:p>
    <w:p>
      <w:pPr>
        <w:pStyle w:val="BodyText"/>
        <w:spacing w:before="185"/>
        <w:ind w:left="899"/>
      </w:pPr>
      <w:r>
        <w:rPr>
          <w:spacing w:val="-3"/>
        </w:rPr>
        <w:t>带状肌包括：胸骨舌骨肌、胸骨甲状肌、甲状舌骨肌、肩胛舌骨肌</w:t>
      </w:r>
    </w:p>
    <w:p>
      <w:pPr>
        <w:pStyle w:val="BodyText"/>
        <w:spacing w:before="7"/>
        <w:rPr>
          <w:sz w:val="15"/>
        </w:rPr>
      </w:pPr>
    </w:p>
    <w:p>
      <w:pPr>
        <w:pStyle w:val="BodyText"/>
        <w:ind w:left="268"/>
      </w:pPr>
      <w:r>
        <w:rPr/>
        <w:t>p</w:t>
      </w:r>
      <w:r>
        <w:rPr>
          <w:rFonts w:ascii="Cambria Math" w:eastAsia="Cambria Math"/>
        </w:rPr>
        <w:t>𝑇</w:t>
      </w:r>
      <w:r>
        <w:rPr>
          <w:rFonts w:ascii="Cambria Math" w:eastAsia="Cambria Math"/>
          <w:vertAlign w:val="subscript"/>
        </w:rPr>
        <w:t>4</w:t>
      </w:r>
      <w:r>
        <w:rPr>
          <w:spacing w:val="-6"/>
          <w:vertAlign w:val="baseline"/>
        </w:rPr>
        <w:t>： 大体侵犯甲状腺外带状肌外</w:t>
      </w:r>
    </w:p>
    <w:p>
      <w:pPr>
        <w:pStyle w:val="BodyText"/>
        <w:spacing w:line="405" w:lineRule="auto" w:before="199"/>
        <w:ind w:left="268" w:right="3104"/>
      </w:pPr>
      <w:r>
        <w:rPr>
          <w:spacing w:val="-2"/>
        </w:rPr>
        <w:t>p</w:t>
      </w:r>
      <w:r>
        <w:rPr>
          <w:rFonts w:ascii="Cambria Math" w:eastAsia="Cambria Math"/>
          <w:spacing w:val="-2"/>
        </w:rPr>
        <w:t>𝑇</w:t>
      </w:r>
      <w:r>
        <w:rPr>
          <w:rFonts w:ascii="Cambria Math" w:eastAsia="Cambria Math"/>
          <w:spacing w:val="-2"/>
          <w:position w:val="-3"/>
          <w:sz w:val="15"/>
        </w:rPr>
        <w:t>4𝑎</w:t>
      </w:r>
      <w:r>
        <w:rPr>
          <w:spacing w:val="-2"/>
        </w:rPr>
        <w:t>：侵犯喉、气管、食管、喉反神经及皮下软组织 p</w:t>
      </w:r>
      <w:r>
        <w:rPr>
          <w:rFonts w:ascii="Cambria Math" w:eastAsia="Cambria Math"/>
          <w:spacing w:val="-2"/>
        </w:rPr>
        <w:t>𝑇</w:t>
      </w:r>
      <w:r>
        <w:rPr>
          <w:rFonts w:ascii="Cambria Math" w:eastAsia="Cambria Math"/>
          <w:spacing w:val="-2"/>
          <w:position w:val="-3"/>
          <w:sz w:val="15"/>
        </w:rPr>
        <w:t>4𝑏</w:t>
      </w:r>
      <w:r>
        <w:rPr>
          <w:spacing w:val="-2"/>
        </w:rPr>
        <w:t>：侵犯椎前筋膜，或包裹颈动脉、纵隔血管</w:t>
      </w:r>
    </w:p>
    <w:p>
      <w:pPr>
        <w:pStyle w:val="BodyText"/>
        <w:spacing w:line="267" w:lineRule="exact"/>
        <w:ind w:left="268"/>
      </w:pPr>
      <w:r>
        <w:rPr>
          <w:spacing w:val="-4"/>
        </w:rPr>
        <w:t>甲状腺髓样癌</w:t>
      </w:r>
    </w:p>
    <w:p>
      <w:pPr>
        <w:pStyle w:val="BodyText"/>
        <w:spacing w:before="6"/>
        <w:rPr>
          <w:sz w:val="15"/>
        </w:rPr>
      </w:pPr>
    </w:p>
    <w:p>
      <w:pPr>
        <w:pStyle w:val="BodyText"/>
        <w:ind w:left="268"/>
      </w:pPr>
      <w:r>
        <w:rPr/>
        <w:t>p</w:t>
      </w:r>
      <w:r>
        <w:rPr>
          <w:rFonts w:ascii="Cambria Math" w:eastAsia="Cambria Math"/>
        </w:rPr>
        <w:t>𝑇</w:t>
      </w:r>
      <w:r>
        <w:rPr>
          <w:rFonts w:ascii="Cambria Math" w:eastAsia="Cambria Math"/>
          <w:position w:val="-3"/>
          <w:sz w:val="15"/>
        </w:rPr>
        <w:t>𝑥</w:t>
      </w:r>
      <w:r>
        <w:rPr>
          <w:spacing w:val="-6"/>
        </w:rPr>
        <w:t>： 原发肿瘤不能评估</w:t>
      </w:r>
    </w:p>
    <w:p>
      <w:pPr>
        <w:pStyle w:val="BodyText"/>
        <w:spacing w:before="185"/>
        <w:ind w:left="268"/>
      </w:pPr>
      <w:r>
        <w:rPr/>
        <w:t>p</w:t>
      </w:r>
      <w:r>
        <w:rPr>
          <w:rFonts w:ascii="Cambria Math" w:eastAsia="Cambria Math"/>
        </w:rPr>
        <w:t>𝑇</w:t>
      </w:r>
      <w:r>
        <w:rPr>
          <w:rFonts w:ascii="Cambria Math" w:eastAsia="Cambria Math"/>
          <w:vertAlign w:val="subscript"/>
        </w:rPr>
        <w:t>0</w:t>
      </w:r>
      <w:r>
        <w:rPr>
          <w:spacing w:val="-4"/>
          <w:vertAlign w:val="baseline"/>
        </w:rPr>
        <w:t>： 无肿瘤证据</w:t>
      </w:r>
    </w:p>
    <w:p>
      <w:pPr>
        <w:pStyle w:val="BodyText"/>
        <w:spacing w:before="199"/>
        <w:ind w:left="268"/>
      </w:pPr>
      <w:r>
        <w:rPr>
          <w:spacing w:val="-2"/>
        </w:rPr>
        <w:t>p</w:t>
      </w:r>
      <w:r>
        <w:rPr>
          <w:rFonts w:ascii="Cambria Math" w:hAnsi="Cambria Math" w:eastAsia="Cambria Math"/>
          <w:spacing w:val="-2"/>
        </w:rPr>
        <w:t>𝑇</w:t>
      </w:r>
      <w:r>
        <w:rPr>
          <w:rFonts w:ascii="Cambria Math" w:hAnsi="Cambria Math" w:eastAsia="Cambria Math"/>
          <w:spacing w:val="-2"/>
          <w:vertAlign w:val="subscript"/>
        </w:rPr>
        <w:t>1</w:t>
      </w:r>
      <w:r>
        <w:rPr>
          <w:spacing w:val="-3"/>
          <w:vertAlign w:val="baseline"/>
        </w:rPr>
        <w:t>： 肿瘤局限在甲状腺内，最大径≤</w:t>
      </w:r>
      <w:r>
        <w:rPr>
          <w:spacing w:val="-4"/>
          <w:vertAlign w:val="baseline"/>
        </w:rPr>
        <w:t>2cm</w:t>
      </w:r>
    </w:p>
    <w:p>
      <w:pPr>
        <w:pStyle w:val="BodyText"/>
        <w:spacing w:before="199"/>
        <w:ind w:left="899"/>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𝑎</w:t>
      </w:r>
      <w:r>
        <w:rPr>
          <w:spacing w:val="-2"/>
          <w:vertAlign w:val="baseline"/>
        </w:rPr>
        <w:t>肿瘤最大径</w:t>
      </w:r>
      <w:r>
        <w:rPr>
          <w:spacing w:val="-4"/>
          <w:vertAlign w:val="baseline"/>
        </w:rPr>
        <w:t>≤1cm</w:t>
      </w:r>
    </w:p>
    <w:p>
      <w:pPr>
        <w:pStyle w:val="BodyText"/>
        <w:spacing w:before="185"/>
        <w:ind w:left="899"/>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𝑏</w:t>
      </w:r>
      <w:r>
        <w:rPr>
          <w:spacing w:val="-2"/>
          <w:vertAlign w:val="baseline"/>
        </w:rPr>
        <w:t>肿瘤最大径＞1cm，≤2cm</w:t>
      </w:r>
    </w:p>
    <w:p>
      <w:pPr>
        <w:pStyle w:val="BodyText"/>
        <w:spacing w:before="185"/>
        <w:ind w:left="268"/>
      </w:pPr>
      <w:r>
        <w:rPr/>
        <w:t>p</w:t>
      </w:r>
      <w:r>
        <w:rPr>
          <w:rFonts w:ascii="Cambria Math" w:eastAsia="Cambria Math"/>
        </w:rPr>
        <w:t>𝑇</w:t>
      </w:r>
      <w:r>
        <w:rPr>
          <w:rFonts w:ascii="Cambria Math" w:eastAsia="Cambria Math"/>
          <w:vertAlign w:val="subscript"/>
        </w:rPr>
        <w:t>2</w:t>
      </w:r>
      <w:r>
        <w:rPr>
          <w:spacing w:val="-13"/>
          <w:vertAlign w:val="baseline"/>
        </w:rPr>
        <w:t>： 肿瘤 </w:t>
      </w:r>
      <w:r>
        <w:rPr>
          <w:spacing w:val="-2"/>
          <w:vertAlign w:val="baseline"/>
        </w:rPr>
        <w:t>2～4cm</w:t>
      </w:r>
    </w:p>
    <w:p>
      <w:pPr>
        <w:pStyle w:val="BodyText"/>
        <w:spacing w:before="199"/>
        <w:ind w:left="268"/>
      </w:pPr>
      <w:r>
        <w:rPr>
          <w:spacing w:val="-2"/>
        </w:rPr>
        <w:t>p</w:t>
      </w:r>
      <w:r>
        <w:rPr>
          <w:rFonts w:ascii="Cambria Math" w:eastAsia="Cambria Math"/>
          <w:spacing w:val="-2"/>
        </w:rPr>
        <w:t>𝑇</w:t>
      </w:r>
      <w:r>
        <w:rPr>
          <w:rFonts w:ascii="Cambria Math" w:eastAsia="Cambria Math"/>
          <w:spacing w:val="-2"/>
          <w:vertAlign w:val="subscript"/>
        </w:rPr>
        <w:t>3</w:t>
      </w:r>
      <w:r>
        <w:rPr>
          <w:spacing w:val="1"/>
          <w:vertAlign w:val="baseline"/>
        </w:rPr>
        <w:t>： 肿瘤＞</w:t>
      </w:r>
      <w:r>
        <w:rPr>
          <w:spacing w:val="-2"/>
          <w:vertAlign w:val="baseline"/>
        </w:rPr>
        <w:t>4cm</w:t>
      </w:r>
      <w:r>
        <w:rPr>
          <w:spacing w:val="-3"/>
          <w:vertAlign w:val="baseline"/>
        </w:rPr>
        <w:t>，局限于甲状腺内或大体侵犯甲状腺外带状肌</w:t>
      </w:r>
    </w:p>
    <w:p>
      <w:pPr>
        <w:pStyle w:val="BodyText"/>
        <w:spacing w:before="199"/>
        <w:ind w:left="268"/>
      </w:pPr>
      <w:r>
        <w:rPr>
          <w:spacing w:val="-2"/>
        </w:rPr>
        <w:t>p</w:t>
      </w:r>
      <w:r>
        <w:rPr>
          <w:rFonts w:ascii="Cambria Math" w:eastAsia="Cambria Math"/>
          <w:spacing w:val="-2"/>
        </w:rPr>
        <w:t>𝑇</w:t>
      </w:r>
      <w:r>
        <w:rPr>
          <w:rFonts w:ascii="Cambria Math" w:eastAsia="Cambria Math"/>
          <w:spacing w:val="-2"/>
          <w:vertAlign w:val="subscript"/>
        </w:rPr>
        <w:t>3</w:t>
      </w:r>
      <w:r>
        <w:rPr>
          <w:rFonts w:ascii="Cambria Math" w:eastAsia="Cambria Math"/>
          <w:spacing w:val="-2"/>
          <w:position w:val="-3"/>
          <w:sz w:val="15"/>
          <w:vertAlign w:val="baseline"/>
        </w:rPr>
        <w:t>𝑎</w:t>
      </w:r>
      <w:r>
        <w:rPr>
          <w:spacing w:val="-2"/>
          <w:vertAlign w:val="baseline"/>
        </w:rPr>
        <w:t>：肿瘤＞4cm</w:t>
      </w:r>
      <w:r>
        <w:rPr>
          <w:spacing w:val="-4"/>
          <w:vertAlign w:val="baseline"/>
        </w:rPr>
        <w:t>，局限于甲状腺内</w:t>
      </w:r>
    </w:p>
    <w:p>
      <w:pPr>
        <w:pStyle w:val="BodyText"/>
        <w:spacing w:before="184"/>
        <w:ind w:left="268"/>
      </w:pPr>
      <w:r>
        <w:rPr>
          <w:spacing w:val="-2"/>
        </w:rPr>
        <w:t>p</w:t>
      </w:r>
      <w:r>
        <w:rPr>
          <w:rFonts w:ascii="Cambria Math" w:eastAsia="Cambria Math"/>
          <w:spacing w:val="-2"/>
        </w:rPr>
        <w:t>𝑇</w:t>
      </w:r>
      <w:r>
        <w:rPr>
          <w:rFonts w:ascii="Cambria Math" w:eastAsia="Cambria Math"/>
          <w:spacing w:val="-2"/>
          <w:position w:val="-3"/>
          <w:sz w:val="15"/>
        </w:rPr>
        <w:t>3𝑏</w:t>
      </w:r>
      <w:r>
        <w:rPr>
          <w:spacing w:val="-3"/>
        </w:rPr>
        <w:t>：大体侵犯甲状腺外带状肌，无论肿瘤大小</w:t>
      </w:r>
    </w:p>
    <w:p>
      <w:pPr>
        <w:pStyle w:val="BodyText"/>
        <w:spacing w:before="185"/>
        <w:ind w:left="899"/>
      </w:pPr>
      <w:r>
        <w:rPr>
          <w:spacing w:val="-3"/>
        </w:rPr>
        <w:t>带状肌包括：胸骨舌骨肌、胸骨甲状肌、甲状舌骨肌、肩胛舌骨肌</w:t>
      </w:r>
    </w:p>
    <w:p>
      <w:pPr>
        <w:pStyle w:val="BodyText"/>
        <w:spacing w:before="7"/>
        <w:rPr>
          <w:sz w:val="15"/>
        </w:rPr>
      </w:pPr>
    </w:p>
    <w:p>
      <w:pPr>
        <w:pStyle w:val="BodyText"/>
        <w:ind w:left="268"/>
      </w:pPr>
      <w:r>
        <w:rPr/>
        <w:t>p</w:t>
      </w:r>
      <w:r>
        <w:rPr>
          <w:rFonts w:ascii="Cambria Math" w:eastAsia="Cambria Math"/>
        </w:rPr>
        <w:t>𝑇</w:t>
      </w:r>
      <w:r>
        <w:rPr>
          <w:rFonts w:ascii="Cambria Math" w:eastAsia="Cambria Math"/>
          <w:vertAlign w:val="subscript"/>
        </w:rPr>
        <w:t>4</w:t>
      </w:r>
      <w:r>
        <w:rPr>
          <w:spacing w:val="-5"/>
          <w:vertAlign w:val="baseline"/>
        </w:rPr>
        <w:t>： 进展期病变</w:t>
      </w:r>
    </w:p>
    <w:p>
      <w:pPr>
        <w:pStyle w:val="BodyText"/>
        <w:spacing w:line="266" w:lineRule="auto" w:before="199"/>
        <w:ind w:left="268" w:right="359"/>
      </w:pPr>
      <w:r>
        <w:rPr>
          <w:spacing w:val="-2"/>
        </w:rPr>
        <w:t>p</w:t>
      </w:r>
      <w:r>
        <w:rPr>
          <w:rFonts w:ascii="Cambria Math" w:eastAsia="Cambria Math"/>
          <w:spacing w:val="-2"/>
        </w:rPr>
        <w:t>𝑇</w:t>
      </w:r>
      <w:r>
        <w:rPr>
          <w:rFonts w:ascii="Cambria Math" w:eastAsia="Cambria Math"/>
          <w:spacing w:val="-2"/>
          <w:position w:val="-3"/>
          <w:sz w:val="15"/>
        </w:rPr>
        <w:t>4𝑎</w:t>
      </w:r>
      <w:r>
        <w:rPr>
          <w:spacing w:val="-2"/>
        </w:rPr>
        <w:t>：中度进展，任何大小的肿瘤，侵犯甲状腺外颈部周围器官和软组织，如喉、</w:t>
      </w:r>
      <w:r>
        <w:rPr>
          <w:spacing w:val="-2"/>
        </w:rPr>
        <w:t>气管、食管、喉反神经及皮下软组织</w:t>
      </w:r>
    </w:p>
    <w:p>
      <w:pPr>
        <w:pStyle w:val="BodyText"/>
        <w:spacing w:before="169"/>
        <w:ind w:left="268"/>
      </w:pPr>
      <w:r>
        <w:rPr>
          <w:spacing w:val="-2"/>
        </w:rPr>
        <w:t>p</w:t>
      </w:r>
      <w:r>
        <w:rPr>
          <w:rFonts w:ascii="Cambria Math" w:eastAsia="Cambria Math"/>
          <w:spacing w:val="-2"/>
        </w:rPr>
        <w:t>𝑇</w:t>
      </w:r>
      <w:r>
        <w:rPr>
          <w:rFonts w:ascii="Cambria Math" w:eastAsia="Cambria Math"/>
          <w:spacing w:val="-2"/>
          <w:position w:val="-3"/>
          <w:sz w:val="15"/>
        </w:rPr>
        <w:t>4𝑏</w:t>
      </w:r>
      <w:r>
        <w:rPr>
          <w:spacing w:val="-3"/>
        </w:rPr>
        <w:t>：重度进展，任何大小的肿瘤，侵犯椎前筋膜，或包裹颈动脉、纵隔血管</w:t>
      </w:r>
    </w:p>
    <w:p>
      <w:pPr>
        <w:spacing w:after="0"/>
        <w:sectPr>
          <w:pgSz w:w="11910" w:h="16840"/>
          <w:pgMar w:header="0" w:footer="659" w:top="1540" w:bottom="840" w:left="920" w:right="540"/>
          <w:cols w:num="2" w:equalWidth="0">
            <w:col w:w="2194" w:space="72"/>
            <w:col w:w="8184"/>
          </w:cols>
        </w:sectPr>
      </w:pPr>
    </w:p>
    <w:p>
      <w:pPr>
        <w:pStyle w:val="BodyText"/>
        <w:spacing w:before="44"/>
        <w:ind w:left="2533"/>
      </w:pPr>
      <w:r>
        <w:rPr>
          <w:spacing w:val="-3"/>
        </w:rPr>
        <w:t>区域淋巴结：适用于所有甲状腺癌</w:t>
      </w:r>
    </w:p>
    <w:p>
      <w:pPr>
        <w:pStyle w:val="BodyText"/>
        <w:spacing w:before="7"/>
        <w:rPr>
          <w:sz w:val="15"/>
        </w:rPr>
      </w:pPr>
    </w:p>
    <w:p>
      <w:pPr>
        <w:pStyle w:val="BodyText"/>
        <w:spacing w:line="410" w:lineRule="auto"/>
        <w:ind w:left="2533" w:right="5358"/>
      </w:pPr>
      <w:r>
        <w:rPr/>
        <w:t>p</w:t>
      </w:r>
      <w:r>
        <w:rPr>
          <w:rFonts w:ascii="Cambria Math" w:eastAsia="Cambria Math"/>
        </w:rPr>
        <w:t>𝑁</w:t>
      </w:r>
      <w:r>
        <w:rPr>
          <w:rFonts w:ascii="Cambria Math" w:eastAsia="Cambria Math"/>
          <w:position w:val="-3"/>
          <w:sz w:val="15"/>
        </w:rPr>
        <w:t>𝑥</w:t>
      </w:r>
      <w:r>
        <w:rPr>
          <w:spacing w:val="-5"/>
        </w:rPr>
        <w:t>： 区域淋巴结无法评估</w:t>
      </w:r>
      <w:r>
        <w:rPr/>
        <w:t> p</w:t>
      </w:r>
      <w:r>
        <w:rPr>
          <w:rFonts w:ascii="Cambria Math" w:eastAsia="Cambria Math"/>
        </w:rPr>
        <w:t>𝑁</w:t>
      </w:r>
      <w:r>
        <w:rPr>
          <w:rFonts w:ascii="Cambria Math" w:eastAsia="Cambria Math"/>
          <w:vertAlign w:val="subscript"/>
        </w:rPr>
        <w:t>0</w:t>
      </w:r>
      <w:r>
        <w:rPr>
          <w:vertAlign w:val="baseline"/>
        </w:rPr>
        <w:t>： 无淋巴结转移证据 p</w:t>
      </w:r>
      <w:r>
        <w:rPr>
          <w:rFonts w:ascii="Cambria Math" w:eastAsia="Cambria Math"/>
          <w:vertAlign w:val="baseline"/>
        </w:rPr>
        <w:t>𝑁</w:t>
      </w:r>
      <w:r>
        <w:rPr>
          <w:rFonts w:ascii="Cambria Math" w:eastAsia="Cambria Math"/>
          <w:vertAlign w:val="subscript"/>
        </w:rPr>
        <w:t>1</w:t>
      </w:r>
      <w:r>
        <w:rPr>
          <w:vertAlign w:val="baseline"/>
        </w:rPr>
        <w:t>： 区域淋巴结转移</w:t>
      </w:r>
    </w:p>
    <w:p>
      <w:pPr>
        <w:pStyle w:val="BodyText"/>
        <w:spacing w:line="266" w:lineRule="auto" w:before="10"/>
        <w:ind w:left="2533" w:right="253"/>
      </w:pPr>
      <w:r>
        <w:rPr>
          <w:spacing w:val="-2"/>
        </w:rPr>
        <w:t>p</w:t>
      </w:r>
      <w:r>
        <w:rPr>
          <w:rFonts w:ascii="Cambria Math" w:hAnsi="Cambria Math" w:eastAsia="Cambria Math"/>
          <w:spacing w:val="-2"/>
        </w:rPr>
        <w:t>𝑁</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𝑎</w:t>
      </w:r>
      <w:r>
        <w:rPr>
          <w:spacing w:val="-2"/>
          <w:vertAlign w:val="baseline"/>
        </w:rPr>
        <w:t>：转移至Ⅵ、Ⅶ区（包括气管旁、气管前、喉前/Delphian</w:t>
      </w:r>
      <w:r>
        <w:rPr>
          <w:spacing w:val="-14"/>
          <w:vertAlign w:val="baseline"/>
        </w:rPr>
        <w:t> 或上纵隔</w:t>
      </w:r>
      <w:r>
        <w:rPr>
          <w:spacing w:val="-2"/>
          <w:vertAlign w:val="baseline"/>
        </w:rPr>
        <w:t>）淋巴结，</w:t>
      </w:r>
      <w:r>
        <w:rPr>
          <w:spacing w:val="-2"/>
          <w:vertAlign w:val="baseline"/>
        </w:rPr>
        <w:t>可以为单侧或双侧。</w:t>
      </w:r>
    </w:p>
    <w:p>
      <w:pPr>
        <w:pStyle w:val="BodyText"/>
        <w:spacing w:line="266" w:lineRule="auto" w:before="168"/>
        <w:ind w:left="2533" w:right="358"/>
      </w:pPr>
      <w:r>
        <w:rPr>
          <w:spacing w:val="-2"/>
        </w:rPr>
        <w:t>p</w:t>
      </w:r>
      <w:r>
        <w:rPr>
          <w:rFonts w:ascii="Cambria Math" w:hAnsi="Cambria Math" w:eastAsia="Cambria Math"/>
          <w:spacing w:val="-2"/>
        </w:rPr>
        <w:t>𝑁</w:t>
      </w:r>
      <w:r>
        <w:rPr>
          <w:rFonts w:ascii="Cambria Math" w:hAnsi="Cambria Math" w:eastAsia="Cambria Math"/>
          <w:spacing w:val="-2"/>
          <w:position w:val="-3"/>
          <w:sz w:val="15"/>
        </w:rPr>
        <w:t>1𝑏</w:t>
      </w:r>
      <w:r>
        <w:rPr>
          <w:spacing w:val="-2"/>
        </w:rPr>
        <w:t>：单侧、双侧或对侧颈淋巴结转移（包括Ⅰ、Ⅱ、Ⅲ、Ⅳ或Ⅴ区）淋巴结或咽</w:t>
      </w:r>
      <w:r>
        <w:rPr>
          <w:spacing w:val="-2"/>
        </w:rPr>
        <w:t>后淋巴结转移。</w:t>
      </w:r>
    </w:p>
    <w:p>
      <w:pPr>
        <w:pStyle w:val="BodyText"/>
        <w:spacing w:before="169"/>
        <w:ind w:left="2533"/>
      </w:pPr>
      <w:r>
        <w:rPr>
          <w:spacing w:val="-3"/>
        </w:rPr>
        <w:t>远处转移：适用于所有甲状腺癌</w:t>
      </w:r>
    </w:p>
    <w:p>
      <w:pPr>
        <w:pStyle w:val="BodyText"/>
        <w:spacing w:before="7"/>
        <w:rPr>
          <w:sz w:val="15"/>
        </w:rPr>
      </w:pPr>
    </w:p>
    <w:p>
      <w:pPr>
        <w:pStyle w:val="BodyText"/>
        <w:ind w:left="2533"/>
      </w:pPr>
      <w:r>
        <w:rPr>
          <w:rFonts w:ascii="Cambria Math" w:eastAsia="Cambria Math"/>
          <w:spacing w:val="-2"/>
        </w:rPr>
        <w:t>𝑀</w:t>
      </w:r>
      <w:r>
        <w:rPr>
          <w:rFonts w:ascii="Cambria Math" w:eastAsia="Cambria Math"/>
          <w:spacing w:val="-2"/>
          <w:vertAlign w:val="subscript"/>
        </w:rPr>
        <w:t>0</w:t>
      </w:r>
      <w:r>
        <w:rPr>
          <w:spacing w:val="-4"/>
          <w:vertAlign w:val="baseline"/>
        </w:rPr>
        <w:t>：无远处转移</w:t>
      </w:r>
    </w:p>
    <w:p>
      <w:pPr>
        <w:pStyle w:val="BodyText"/>
        <w:spacing w:before="199"/>
        <w:ind w:left="2533"/>
      </w:pPr>
      <w:r>
        <w:rPr>
          <w:rFonts w:ascii="Cambria Math" w:eastAsia="Cambria Math"/>
          <w:spacing w:val="-2"/>
        </w:rPr>
        <w:t>𝑀</w:t>
      </w:r>
      <w:r>
        <w:rPr>
          <w:rFonts w:ascii="Cambria Math" w:eastAsia="Cambria Math"/>
          <w:spacing w:val="-2"/>
          <w:vertAlign w:val="subscript"/>
        </w:rPr>
        <w:t>1</w:t>
      </w:r>
      <w:r>
        <w:rPr>
          <w:spacing w:val="-4"/>
          <w:vertAlign w:val="baseline"/>
        </w:rPr>
        <w:t>：有远处转移</w:t>
      </w:r>
    </w:p>
    <w:p>
      <w:pPr>
        <w:pStyle w:val="BodyText"/>
        <w:spacing w:before="9"/>
        <w:rPr>
          <w:sz w:val="13"/>
        </w:rPr>
      </w:pPr>
    </w:p>
    <w:tbl>
      <w:tblPr>
        <w:tblW w:w="0" w:type="auto"/>
        <w:jc w:val="left"/>
        <w:tblInd w:w="25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87"/>
        <w:gridCol w:w="1901"/>
        <w:gridCol w:w="1889"/>
        <w:gridCol w:w="1863"/>
      </w:tblGrid>
      <w:tr>
        <w:trPr>
          <w:trHeight w:val="311" w:hRule="atLeast"/>
        </w:trPr>
        <w:tc>
          <w:tcPr>
            <w:tcW w:w="7540" w:type="dxa"/>
            <w:gridSpan w:val="4"/>
          </w:tcPr>
          <w:p>
            <w:pPr>
              <w:pStyle w:val="TableParagraph"/>
              <w:ind w:left="107"/>
              <w:jc w:val="left"/>
              <w:rPr>
                <w:sz w:val="21"/>
              </w:rPr>
            </w:pPr>
            <w:r>
              <w:rPr>
                <w:spacing w:val="-2"/>
                <w:sz w:val="21"/>
              </w:rPr>
              <w:t>乳头状或滤泡状癌（分化型</w:t>
            </w:r>
            <w:r>
              <w:rPr>
                <w:spacing w:val="-10"/>
                <w:sz w:val="21"/>
              </w:rPr>
              <w:t>）</w:t>
            </w:r>
          </w:p>
        </w:tc>
      </w:tr>
      <w:tr>
        <w:trPr>
          <w:trHeight w:val="311" w:hRule="atLeast"/>
        </w:trPr>
        <w:tc>
          <w:tcPr>
            <w:tcW w:w="7540" w:type="dxa"/>
            <w:gridSpan w:val="4"/>
          </w:tcPr>
          <w:p>
            <w:pPr>
              <w:pStyle w:val="TableParagraph"/>
              <w:ind w:left="107"/>
              <w:jc w:val="left"/>
              <w:rPr>
                <w:sz w:val="21"/>
              </w:rPr>
            </w:pPr>
            <w:r>
              <w:rPr>
                <w:spacing w:val="-2"/>
                <w:sz w:val="21"/>
              </w:rPr>
              <w:t>年龄＜55</w:t>
            </w:r>
            <w:r>
              <w:rPr>
                <w:spacing w:val="-29"/>
                <w:sz w:val="21"/>
              </w:rPr>
              <w:t> 岁</w:t>
            </w:r>
          </w:p>
        </w:tc>
      </w:tr>
      <w:tr>
        <w:trPr>
          <w:trHeight w:val="311" w:hRule="atLeast"/>
        </w:trPr>
        <w:tc>
          <w:tcPr>
            <w:tcW w:w="1887" w:type="dxa"/>
          </w:tcPr>
          <w:p>
            <w:pPr>
              <w:pStyle w:val="TableParagraph"/>
              <w:spacing w:before="0"/>
              <w:jc w:val="left"/>
              <w:rPr>
                <w:rFonts w:ascii="Times New Roman"/>
                <w:sz w:val="20"/>
              </w:rPr>
            </w:pPr>
          </w:p>
        </w:tc>
        <w:tc>
          <w:tcPr>
            <w:tcW w:w="1901" w:type="dxa"/>
          </w:tcPr>
          <w:p>
            <w:pPr>
              <w:pStyle w:val="TableParagraph"/>
              <w:ind w:left="9"/>
              <w:rPr>
                <w:sz w:val="21"/>
              </w:rPr>
            </w:pPr>
            <w:r>
              <w:rPr>
                <w:w w:val="100"/>
                <w:sz w:val="21"/>
              </w:rPr>
              <w:t>T</w:t>
            </w:r>
          </w:p>
        </w:tc>
        <w:tc>
          <w:tcPr>
            <w:tcW w:w="1889" w:type="dxa"/>
          </w:tcPr>
          <w:p>
            <w:pPr>
              <w:pStyle w:val="TableParagraph"/>
              <w:ind w:left="12"/>
              <w:rPr>
                <w:sz w:val="21"/>
              </w:rPr>
            </w:pPr>
            <w:r>
              <w:rPr>
                <w:w w:val="100"/>
                <w:sz w:val="21"/>
              </w:rPr>
              <w:t>N</w:t>
            </w:r>
          </w:p>
        </w:tc>
        <w:tc>
          <w:tcPr>
            <w:tcW w:w="1863" w:type="dxa"/>
          </w:tcPr>
          <w:p>
            <w:pPr>
              <w:pStyle w:val="TableParagraph"/>
              <w:ind w:right="866"/>
              <w:jc w:val="right"/>
              <w:rPr>
                <w:sz w:val="21"/>
              </w:rPr>
            </w:pPr>
            <w:r>
              <w:rPr>
                <w:w w:val="100"/>
                <w:sz w:val="21"/>
              </w:rPr>
              <w:t>M</w:t>
            </w:r>
          </w:p>
        </w:tc>
      </w:tr>
      <w:tr>
        <w:trPr>
          <w:trHeight w:val="313" w:hRule="atLeast"/>
        </w:trPr>
        <w:tc>
          <w:tcPr>
            <w:tcW w:w="1887" w:type="dxa"/>
          </w:tcPr>
          <w:p>
            <w:pPr>
              <w:pStyle w:val="TableParagraph"/>
              <w:spacing w:before="25"/>
              <w:ind w:left="640" w:right="630"/>
              <w:rPr>
                <w:sz w:val="21"/>
              </w:rPr>
            </w:pPr>
            <w:r>
              <w:rPr>
                <w:spacing w:val="-5"/>
                <w:sz w:val="21"/>
              </w:rPr>
              <w:t>Ⅰ期</w:t>
            </w:r>
          </w:p>
        </w:tc>
        <w:tc>
          <w:tcPr>
            <w:tcW w:w="1901" w:type="dxa"/>
          </w:tcPr>
          <w:p>
            <w:pPr>
              <w:pStyle w:val="TableParagraph"/>
              <w:spacing w:before="25"/>
              <w:ind w:left="620" w:right="611"/>
              <w:rPr>
                <w:sz w:val="21"/>
              </w:rPr>
            </w:pPr>
            <w:r>
              <w:rPr>
                <w:spacing w:val="-5"/>
                <w:sz w:val="21"/>
              </w:rPr>
              <w:t>任何</w:t>
            </w:r>
          </w:p>
        </w:tc>
        <w:tc>
          <w:tcPr>
            <w:tcW w:w="1889" w:type="dxa"/>
          </w:tcPr>
          <w:p>
            <w:pPr>
              <w:pStyle w:val="TableParagraph"/>
              <w:spacing w:before="25"/>
              <w:ind w:left="723" w:right="706"/>
              <w:rPr>
                <w:sz w:val="21"/>
              </w:rPr>
            </w:pPr>
            <w:r>
              <w:rPr>
                <w:spacing w:val="-5"/>
                <w:sz w:val="21"/>
              </w:rPr>
              <w:t>任何</w:t>
            </w:r>
          </w:p>
        </w:tc>
        <w:tc>
          <w:tcPr>
            <w:tcW w:w="1863" w:type="dxa"/>
          </w:tcPr>
          <w:p>
            <w:pPr>
              <w:pStyle w:val="TableParagraph"/>
              <w:spacing w:before="25"/>
              <w:ind w:right="866"/>
              <w:jc w:val="right"/>
              <w:rPr>
                <w:sz w:val="21"/>
              </w:rPr>
            </w:pPr>
            <w:r>
              <w:rPr>
                <w:w w:val="100"/>
                <w:sz w:val="21"/>
              </w:rPr>
              <w:t>0</w:t>
            </w:r>
          </w:p>
        </w:tc>
      </w:tr>
      <w:tr>
        <w:trPr>
          <w:trHeight w:val="311" w:hRule="atLeast"/>
        </w:trPr>
        <w:tc>
          <w:tcPr>
            <w:tcW w:w="1887" w:type="dxa"/>
          </w:tcPr>
          <w:p>
            <w:pPr>
              <w:pStyle w:val="TableParagraph"/>
              <w:ind w:left="640" w:right="630"/>
              <w:rPr>
                <w:sz w:val="21"/>
              </w:rPr>
            </w:pPr>
            <w:r>
              <w:rPr>
                <w:spacing w:val="-5"/>
                <w:sz w:val="21"/>
              </w:rPr>
              <w:t>Ⅱ期</w:t>
            </w:r>
          </w:p>
        </w:tc>
        <w:tc>
          <w:tcPr>
            <w:tcW w:w="1901" w:type="dxa"/>
          </w:tcPr>
          <w:p>
            <w:pPr>
              <w:pStyle w:val="TableParagraph"/>
              <w:ind w:left="620" w:right="611"/>
              <w:rPr>
                <w:sz w:val="21"/>
              </w:rPr>
            </w:pPr>
            <w:r>
              <w:rPr>
                <w:spacing w:val="-5"/>
                <w:sz w:val="21"/>
              </w:rPr>
              <w:t>任何</w:t>
            </w:r>
          </w:p>
        </w:tc>
        <w:tc>
          <w:tcPr>
            <w:tcW w:w="1889" w:type="dxa"/>
          </w:tcPr>
          <w:p>
            <w:pPr>
              <w:pStyle w:val="TableParagraph"/>
              <w:ind w:left="723" w:right="706"/>
              <w:rPr>
                <w:sz w:val="21"/>
              </w:rPr>
            </w:pPr>
            <w:r>
              <w:rPr>
                <w:spacing w:val="-5"/>
                <w:sz w:val="21"/>
              </w:rPr>
              <w:t>任何</w:t>
            </w:r>
          </w:p>
        </w:tc>
        <w:tc>
          <w:tcPr>
            <w:tcW w:w="1863" w:type="dxa"/>
          </w:tcPr>
          <w:p>
            <w:pPr>
              <w:pStyle w:val="TableParagraph"/>
              <w:ind w:right="866"/>
              <w:jc w:val="right"/>
              <w:rPr>
                <w:sz w:val="21"/>
              </w:rPr>
            </w:pPr>
            <w:r>
              <w:rPr>
                <w:w w:val="100"/>
                <w:sz w:val="21"/>
              </w:rPr>
              <w:t>1</w:t>
            </w:r>
          </w:p>
        </w:tc>
      </w:tr>
      <w:tr>
        <w:trPr>
          <w:trHeight w:val="311" w:hRule="atLeast"/>
        </w:trPr>
        <w:tc>
          <w:tcPr>
            <w:tcW w:w="7540" w:type="dxa"/>
            <w:gridSpan w:val="4"/>
          </w:tcPr>
          <w:p>
            <w:pPr>
              <w:pStyle w:val="TableParagraph"/>
              <w:ind w:left="107"/>
              <w:jc w:val="left"/>
              <w:rPr>
                <w:sz w:val="21"/>
              </w:rPr>
            </w:pPr>
            <w:r>
              <w:rPr>
                <w:spacing w:val="-2"/>
                <w:sz w:val="21"/>
              </w:rPr>
              <w:t>年龄≥55</w:t>
            </w:r>
            <w:r>
              <w:rPr>
                <w:spacing w:val="-29"/>
                <w:sz w:val="21"/>
              </w:rPr>
              <w:t> 岁</w:t>
            </w:r>
          </w:p>
        </w:tc>
      </w:tr>
      <w:tr>
        <w:trPr>
          <w:trHeight w:val="311" w:hRule="atLeast"/>
        </w:trPr>
        <w:tc>
          <w:tcPr>
            <w:tcW w:w="1887" w:type="dxa"/>
            <w:vMerge w:val="restart"/>
          </w:tcPr>
          <w:p>
            <w:pPr>
              <w:pStyle w:val="TableParagraph"/>
              <w:ind w:left="640" w:right="630"/>
              <w:rPr>
                <w:sz w:val="21"/>
              </w:rPr>
            </w:pPr>
            <w:r>
              <w:rPr>
                <w:spacing w:val="-5"/>
                <w:sz w:val="21"/>
              </w:rPr>
              <w:t>Ⅰ期</w:t>
            </w:r>
          </w:p>
        </w:tc>
        <w:tc>
          <w:tcPr>
            <w:tcW w:w="1901" w:type="dxa"/>
          </w:tcPr>
          <w:p>
            <w:pPr>
              <w:pStyle w:val="TableParagraph"/>
              <w:ind w:left="9"/>
              <w:rPr>
                <w:sz w:val="21"/>
              </w:rPr>
            </w:pPr>
            <w:r>
              <w:rPr>
                <w:w w:val="100"/>
                <w:sz w:val="21"/>
              </w:rPr>
              <w:t>1</w:t>
            </w:r>
          </w:p>
        </w:tc>
        <w:tc>
          <w:tcPr>
            <w:tcW w:w="1889" w:type="dxa"/>
          </w:tcPr>
          <w:p>
            <w:pPr>
              <w:pStyle w:val="TableParagraph"/>
              <w:ind w:left="723" w:right="706"/>
              <w:rPr>
                <w:sz w:val="21"/>
              </w:rPr>
            </w:pPr>
            <w:r>
              <w:rPr>
                <w:spacing w:val="-5"/>
                <w:sz w:val="21"/>
              </w:rPr>
              <w:t>0/x</w:t>
            </w:r>
          </w:p>
        </w:tc>
        <w:tc>
          <w:tcPr>
            <w:tcW w:w="1863" w:type="dxa"/>
          </w:tcPr>
          <w:p>
            <w:pPr>
              <w:pStyle w:val="TableParagraph"/>
              <w:ind w:right="866"/>
              <w:jc w:val="right"/>
              <w:rPr>
                <w:sz w:val="21"/>
              </w:rPr>
            </w:pPr>
            <w:r>
              <w:rPr>
                <w:w w:val="100"/>
                <w:sz w:val="21"/>
              </w:rPr>
              <w:t>0</w:t>
            </w:r>
          </w:p>
        </w:tc>
      </w:tr>
      <w:tr>
        <w:trPr>
          <w:trHeight w:val="311" w:hRule="atLeast"/>
        </w:trPr>
        <w:tc>
          <w:tcPr>
            <w:tcW w:w="1887" w:type="dxa"/>
            <w:vMerge/>
            <w:tcBorders>
              <w:top w:val="nil"/>
            </w:tcBorders>
          </w:tcPr>
          <w:p>
            <w:pPr>
              <w:rPr>
                <w:sz w:val="2"/>
                <w:szCs w:val="2"/>
              </w:rPr>
            </w:pPr>
          </w:p>
        </w:tc>
        <w:tc>
          <w:tcPr>
            <w:tcW w:w="1901" w:type="dxa"/>
          </w:tcPr>
          <w:p>
            <w:pPr>
              <w:pStyle w:val="TableParagraph"/>
              <w:ind w:left="9"/>
              <w:rPr>
                <w:sz w:val="21"/>
              </w:rPr>
            </w:pPr>
            <w:r>
              <w:rPr>
                <w:w w:val="100"/>
                <w:sz w:val="21"/>
              </w:rPr>
              <w:t>2</w:t>
            </w:r>
          </w:p>
        </w:tc>
        <w:tc>
          <w:tcPr>
            <w:tcW w:w="1889" w:type="dxa"/>
          </w:tcPr>
          <w:p>
            <w:pPr>
              <w:pStyle w:val="TableParagraph"/>
              <w:ind w:left="723" w:right="706"/>
              <w:rPr>
                <w:sz w:val="21"/>
              </w:rPr>
            </w:pPr>
            <w:r>
              <w:rPr>
                <w:spacing w:val="-5"/>
                <w:sz w:val="21"/>
              </w:rPr>
              <w:t>0/x</w:t>
            </w:r>
          </w:p>
        </w:tc>
        <w:tc>
          <w:tcPr>
            <w:tcW w:w="1863" w:type="dxa"/>
          </w:tcPr>
          <w:p>
            <w:pPr>
              <w:pStyle w:val="TableParagraph"/>
              <w:ind w:right="866"/>
              <w:jc w:val="right"/>
              <w:rPr>
                <w:sz w:val="21"/>
              </w:rPr>
            </w:pPr>
            <w:r>
              <w:rPr>
                <w:w w:val="100"/>
                <w:sz w:val="21"/>
              </w:rPr>
              <w:t>0</w:t>
            </w:r>
          </w:p>
        </w:tc>
      </w:tr>
      <w:tr>
        <w:trPr>
          <w:trHeight w:val="311" w:hRule="atLeast"/>
        </w:trPr>
        <w:tc>
          <w:tcPr>
            <w:tcW w:w="1887" w:type="dxa"/>
            <w:vMerge w:val="restart"/>
          </w:tcPr>
          <w:p>
            <w:pPr>
              <w:pStyle w:val="TableParagraph"/>
              <w:ind w:left="640" w:right="630"/>
              <w:rPr>
                <w:sz w:val="21"/>
              </w:rPr>
            </w:pPr>
            <w:r>
              <w:rPr>
                <w:spacing w:val="-5"/>
                <w:sz w:val="21"/>
              </w:rPr>
              <w:t>Ⅱ期</w:t>
            </w:r>
          </w:p>
        </w:tc>
        <w:tc>
          <w:tcPr>
            <w:tcW w:w="1901" w:type="dxa"/>
          </w:tcPr>
          <w:p>
            <w:pPr>
              <w:pStyle w:val="TableParagraph"/>
              <w:ind w:left="620" w:right="611"/>
              <w:rPr>
                <w:sz w:val="21"/>
              </w:rPr>
            </w:pPr>
            <w:r>
              <w:rPr>
                <w:spacing w:val="-5"/>
                <w:sz w:val="21"/>
              </w:rPr>
              <w:t>1～2</w:t>
            </w:r>
          </w:p>
        </w:tc>
        <w:tc>
          <w:tcPr>
            <w:tcW w:w="1889" w:type="dxa"/>
          </w:tcPr>
          <w:p>
            <w:pPr>
              <w:pStyle w:val="TableParagraph"/>
              <w:ind w:left="12"/>
              <w:rPr>
                <w:sz w:val="21"/>
              </w:rPr>
            </w:pPr>
            <w:r>
              <w:rPr>
                <w:w w:val="100"/>
                <w:sz w:val="21"/>
              </w:rPr>
              <w:t>1</w:t>
            </w:r>
          </w:p>
        </w:tc>
        <w:tc>
          <w:tcPr>
            <w:tcW w:w="1863" w:type="dxa"/>
          </w:tcPr>
          <w:p>
            <w:pPr>
              <w:pStyle w:val="TableParagraph"/>
              <w:ind w:right="866"/>
              <w:jc w:val="right"/>
              <w:rPr>
                <w:sz w:val="21"/>
              </w:rPr>
            </w:pPr>
            <w:r>
              <w:rPr>
                <w:w w:val="100"/>
                <w:sz w:val="21"/>
              </w:rPr>
              <w:t>0</w:t>
            </w:r>
          </w:p>
        </w:tc>
      </w:tr>
      <w:tr>
        <w:trPr>
          <w:trHeight w:val="314" w:hRule="atLeast"/>
        </w:trPr>
        <w:tc>
          <w:tcPr>
            <w:tcW w:w="1887" w:type="dxa"/>
            <w:vMerge/>
            <w:tcBorders>
              <w:top w:val="nil"/>
            </w:tcBorders>
          </w:tcPr>
          <w:p>
            <w:pPr>
              <w:rPr>
                <w:sz w:val="2"/>
                <w:szCs w:val="2"/>
              </w:rPr>
            </w:pPr>
          </w:p>
        </w:tc>
        <w:tc>
          <w:tcPr>
            <w:tcW w:w="1901" w:type="dxa"/>
          </w:tcPr>
          <w:p>
            <w:pPr>
              <w:pStyle w:val="TableParagraph"/>
              <w:spacing w:before="25"/>
              <w:ind w:left="620" w:right="611"/>
              <w:rPr>
                <w:sz w:val="21"/>
              </w:rPr>
            </w:pPr>
            <w:r>
              <w:rPr>
                <w:spacing w:val="-2"/>
                <w:sz w:val="21"/>
              </w:rPr>
              <w:t>3a～3b</w:t>
            </w:r>
          </w:p>
        </w:tc>
        <w:tc>
          <w:tcPr>
            <w:tcW w:w="1889" w:type="dxa"/>
          </w:tcPr>
          <w:p>
            <w:pPr>
              <w:pStyle w:val="TableParagraph"/>
              <w:spacing w:before="25"/>
              <w:ind w:left="723" w:right="706"/>
              <w:rPr>
                <w:sz w:val="21"/>
              </w:rPr>
            </w:pPr>
            <w:r>
              <w:rPr>
                <w:spacing w:val="-5"/>
                <w:sz w:val="21"/>
              </w:rPr>
              <w:t>任何</w:t>
            </w:r>
          </w:p>
        </w:tc>
        <w:tc>
          <w:tcPr>
            <w:tcW w:w="1863" w:type="dxa"/>
          </w:tcPr>
          <w:p>
            <w:pPr>
              <w:pStyle w:val="TableParagraph"/>
              <w:spacing w:before="25"/>
              <w:ind w:right="866"/>
              <w:jc w:val="right"/>
              <w:rPr>
                <w:sz w:val="21"/>
              </w:rPr>
            </w:pPr>
            <w:r>
              <w:rPr>
                <w:w w:val="100"/>
                <w:sz w:val="21"/>
              </w:rPr>
              <w:t>0</w:t>
            </w:r>
          </w:p>
        </w:tc>
      </w:tr>
      <w:tr>
        <w:trPr>
          <w:trHeight w:val="311" w:hRule="atLeast"/>
        </w:trPr>
        <w:tc>
          <w:tcPr>
            <w:tcW w:w="1887" w:type="dxa"/>
          </w:tcPr>
          <w:p>
            <w:pPr>
              <w:pStyle w:val="TableParagraph"/>
              <w:ind w:left="640" w:right="630"/>
              <w:rPr>
                <w:sz w:val="21"/>
              </w:rPr>
            </w:pPr>
            <w:r>
              <w:rPr>
                <w:spacing w:val="-5"/>
                <w:sz w:val="21"/>
              </w:rPr>
              <w:t>Ⅲ期</w:t>
            </w:r>
          </w:p>
        </w:tc>
        <w:tc>
          <w:tcPr>
            <w:tcW w:w="1901" w:type="dxa"/>
          </w:tcPr>
          <w:p>
            <w:pPr>
              <w:pStyle w:val="TableParagraph"/>
              <w:ind w:left="620" w:right="611"/>
              <w:rPr>
                <w:sz w:val="21"/>
              </w:rPr>
            </w:pPr>
            <w:r>
              <w:rPr>
                <w:spacing w:val="-5"/>
                <w:sz w:val="21"/>
              </w:rPr>
              <w:t>4a</w:t>
            </w:r>
          </w:p>
        </w:tc>
        <w:tc>
          <w:tcPr>
            <w:tcW w:w="1889" w:type="dxa"/>
          </w:tcPr>
          <w:p>
            <w:pPr>
              <w:pStyle w:val="TableParagraph"/>
              <w:ind w:left="723" w:right="706"/>
              <w:rPr>
                <w:sz w:val="21"/>
              </w:rPr>
            </w:pPr>
            <w:r>
              <w:rPr>
                <w:spacing w:val="-5"/>
                <w:sz w:val="21"/>
              </w:rPr>
              <w:t>任何</w:t>
            </w:r>
          </w:p>
        </w:tc>
        <w:tc>
          <w:tcPr>
            <w:tcW w:w="1863" w:type="dxa"/>
          </w:tcPr>
          <w:p>
            <w:pPr>
              <w:pStyle w:val="TableParagraph"/>
              <w:ind w:right="866"/>
              <w:jc w:val="right"/>
              <w:rPr>
                <w:sz w:val="21"/>
              </w:rPr>
            </w:pPr>
            <w:r>
              <w:rPr>
                <w:w w:val="100"/>
                <w:sz w:val="21"/>
              </w:rPr>
              <w:t>0</w:t>
            </w:r>
          </w:p>
        </w:tc>
      </w:tr>
      <w:tr>
        <w:trPr>
          <w:trHeight w:val="311" w:hRule="atLeast"/>
        </w:trPr>
        <w:tc>
          <w:tcPr>
            <w:tcW w:w="1887" w:type="dxa"/>
          </w:tcPr>
          <w:p>
            <w:pPr>
              <w:pStyle w:val="TableParagraph"/>
              <w:ind w:left="640" w:right="630"/>
              <w:rPr>
                <w:sz w:val="21"/>
              </w:rPr>
            </w:pPr>
            <w:r>
              <w:rPr>
                <w:sz w:val="21"/>
              </w:rPr>
              <w:t>ⅣA</w:t>
            </w:r>
            <w:r>
              <w:rPr>
                <w:spacing w:val="-32"/>
                <w:sz w:val="21"/>
              </w:rPr>
              <w:t> 期</w:t>
            </w:r>
          </w:p>
        </w:tc>
        <w:tc>
          <w:tcPr>
            <w:tcW w:w="1901" w:type="dxa"/>
          </w:tcPr>
          <w:p>
            <w:pPr>
              <w:pStyle w:val="TableParagraph"/>
              <w:ind w:left="620" w:right="611"/>
              <w:rPr>
                <w:sz w:val="21"/>
              </w:rPr>
            </w:pPr>
            <w:r>
              <w:rPr>
                <w:spacing w:val="-5"/>
                <w:sz w:val="21"/>
              </w:rPr>
              <w:t>4b</w:t>
            </w:r>
          </w:p>
        </w:tc>
        <w:tc>
          <w:tcPr>
            <w:tcW w:w="1889" w:type="dxa"/>
          </w:tcPr>
          <w:p>
            <w:pPr>
              <w:pStyle w:val="TableParagraph"/>
              <w:ind w:left="723" w:right="706"/>
              <w:rPr>
                <w:sz w:val="21"/>
              </w:rPr>
            </w:pPr>
            <w:r>
              <w:rPr>
                <w:spacing w:val="-5"/>
                <w:sz w:val="21"/>
              </w:rPr>
              <w:t>任何</w:t>
            </w:r>
          </w:p>
        </w:tc>
        <w:tc>
          <w:tcPr>
            <w:tcW w:w="1863" w:type="dxa"/>
          </w:tcPr>
          <w:p>
            <w:pPr>
              <w:pStyle w:val="TableParagraph"/>
              <w:ind w:right="866"/>
              <w:jc w:val="right"/>
              <w:rPr>
                <w:sz w:val="21"/>
              </w:rPr>
            </w:pPr>
            <w:r>
              <w:rPr>
                <w:w w:val="100"/>
                <w:sz w:val="21"/>
              </w:rPr>
              <w:t>0</w:t>
            </w:r>
          </w:p>
        </w:tc>
      </w:tr>
      <w:tr>
        <w:trPr>
          <w:trHeight w:val="311" w:hRule="atLeast"/>
        </w:trPr>
        <w:tc>
          <w:tcPr>
            <w:tcW w:w="1887" w:type="dxa"/>
          </w:tcPr>
          <w:p>
            <w:pPr>
              <w:pStyle w:val="TableParagraph"/>
              <w:ind w:left="640" w:right="630"/>
              <w:rPr>
                <w:sz w:val="21"/>
              </w:rPr>
            </w:pPr>
            <w:r>
              <w:rPr>
                <w:sz w:val="21"/>
              </w:rPr>
              <w:t>ⅣB</w:t>
            </w:r>
            <w:r>
              <w:rPr>
                <w:spacing w:val="-32"/>
                <w:sz w:val="21"/>
              </w:rPr>
              <w:t> 期</w:t>
            </w:r>
          </w:p>
        </w:tc>
        <w:tc>
          <w:tcPr>
            <w:tcW w:w="1901" w:type="dxa"/>
          </w:tcPr>
          <w:p>
            <w:pPr>
              <w:pStyle w:val="TableParagraph"/>
              <w:ind w:left="620" w:right="611"/>
              <w:rPr>
                <w:sz w:val="21"/>
              </w:rPr>
            </w:pPr>
            <w:r>
              <w:rPr>
                <w:spacing w:val="-5"/>
                <w:sz w:val="21"/>
              </w:rPr>
              <w:t>任何</w:t>
            </w:r>
          </w:p>
        </w:tc>
        <w:tc>
          <w:tcPr>
            <w:tcW w:w="1889" w:type="dxa"/>
          </w:tcPr>
          <w:p>
            <w:pPr>
              <w:pStyle w:val="TableParagraph"/>
              <w:ind w:left="723" w:right="706"/>
              <w:rPr>
                <w:sz w:val="21"/>
              </w:rPr>
            </w:pPr>
            <w:r>
              <w:rPr>
                <w:spacing w:val="-5"/>
                <w:sz w:val="21"/>
              </w:rPr>
              <w:t>任何</w:t>
            </w:r>
          </w:p>
        </w:tc>
        <w:tc>
          <w:tcPr>
            <w:tcW w:w="1863" w:type="dxa"/>
          </w:tcPr>
          <w:p>
            <w:pPr>
              <w:pStyle w:val="TableParagraph"/>
              <w:ind w:right="866"/>
              <w:jc w:val="right"/>
              <w:rPr>
                <w:sz w:val="21"/>
              </w:rPr>
            </w:pPr>
            <w:r>
              <w:rPr>
                <w:w w:val="100"/>
                <w:sz w:val="21"/>
              </w:rPr>
              <w:t>1</w:t>
            </w:r>
          </w:p>
        </w:tc>
      </w:tr>
      <w:tr>
        <w:trPr>
          <w:trHeight w:val="311" w:hRule="atLeast"/>
        </w:trPr>
        <w:tc>
          <w:tcPr>
            <w:tcW w:w="7540" w:type="dxa"/>
            <w:gridSpan w:val="4"/>
          </w:tcPr>
          <w:p>
            <w:pPr>
              <w:pStyle w:val="TableParagraph"/>
              <w:ind w:left="107"/>
              <w:jc w:val="left"/>
              <w:rPr>
                <w:sz w:val="21"/>
              </w:rPr>
            </w:pPr>
            <w:r>
              <w:rPr>
                <w:spacing w:val="-2"/>
                <w:sz w:val="21"/>
              </w:rPr>
              <w:t>髓样癌（所有年龄组</w:t>
            </w:r>
            <w:r>
              <w:rPr>
                <w:spacing w:val="-10"/>
                <w:sz w:val="21"/>
              </w:rPr>
              <w:t>）</w:t>
            </w:r>
          </w:p>
        </w:tc>
      </w:tr>
      <w:tr>
        <w:trPr>
          <w:trHeight w:val="311" w:hRule="atLeast"/>
        </w:trPr>
        <w:tc>
          <w:tcPr>
            <w:tcW w:w="1887" w:type="dxa"/>
          </w:tcPr>
          <w:p>
            <w:pPr>
              <w:pStyle w:val="TableParagraph"/>
              <w:ind w:left="640" w:right="630"/>
              <w:rPr>
                <w:sz w:val="21"/>
              </w:rPr>
            </w:pPr>
            <w:r>
              <w:rPr>
                <w:spacing w:val="-5"/>
                <w:sz w:val="21"/>
              </w:rPr>
              <w:t>Ⅰ期</w:t>
            </w:r>
          </w:p>
        </w:tc>
        <w:tc>
          <w:tcPr>
            <w:tcW w:w="1901" w:type="dxa"/>
          </w:tcPr>
          <w:p>
            <w:pPr>
              <w:pStyle w:val="TableParagraph"/>
              <w:ind w:left="9"/>
              <w:rPr>
                <w:sz w:val="21"/>
              </w:rPr>
            </w:pPr>
            <w:r>
              <w:rPr>
                <w:w w:val="100"/>
                <w:sz w:val="21"/>
              </w:rPr>
              <w:t>1</w:t>
            </w:r>
          </w:p>
        </w:tc>
        <w:tc>
          <w:tcPr>
            <w:tcW w:w="1889" w:type="dxa"/>
          </w:tcPr>
          <w:p>
            <w:pPr>
              <w:pStyle w:val="TableParagraph"/>
              <w:ind w:left="12"/>
              <w:rPr>
                <w:sz w:val="21"/>
              </w:rPr>
            </w:pPr>
            <w:r>
              <w:rPr>
                <w:w w:val="100"/>
                <w:sz w:val="21"/>
              </w:rPr>
              <w:t>0</w:t>
            </w:r>
          </w:p>
        </w:tc>
        <w:tc>
          <w:tcPr>
            <w:tcW w:w="1863" w:type="dxa"/>
          </w:tcPr>
          <w:p>
            <w:pPr>
              <w:pStyle w:val="TableParagraph"/>
              <w:ind w:right="866"/>
              <w:jc w:val="right"/>
              <w:rPr>
                <w:sz w:val="21"/>
              </w:rPr>
            </w:pPr>
            <w:r>
              <w:rPr>
                <w:w w:val="100"/>
                <w:sz w:val="21"/>
              </w:rPr>
              <w:t>0</w:t>
            </w:r>
          </w:p>
        </w:tc>
      </w:tr>
      <w:tr>
        <w:trPr>
          <w:trHeight w:val="314" w:hRule="atLeast"/>
        </w:trPr>
        <w:tc>
          <w:tcPr>
            <w:tcW w:w="1887" w:type="dxa"/>
          </w:tcPr>
          <w:p>
            <w:pPr>
              <w:pStyle w:val="TableParagraph"/>
              <w:spacing w:before="25"/>
              <w:ind w:left="640" w:right="630"/>
              <w:rPr>
                <w:sz w:val="21"/>
              </w:rPr>
            </w:pPr>
            <w:r>
              <w:rPr>
                <w:spacing w:val="-5"/>
                <w:sz w:val="21"/>
              </w:rPr>
              <w:t>Ⅱ期</w:t>
            </w:r>
          </w:p>
        </w:tc>
        <w:tc>
          <w:tcPr>
            <w:tcW w:w="1901" w:type="dxa"/>
          </w:tcPr>
          <w:p>
            <w:pPr>
              <w:pStyle w:val="TableParagraph"/>
              <w:spacing w:before="25"/>
              <w:ind w:left="620" w:right="611"/>
              <w:rPr>
                <w:sz w:val="21"/>
              </w:rPr>
            </w:pPr>
            <w:r>
              <w:rPr>
                <w:spacing w:val="-5"/>
                <w:sz w:val="21"/>
              </w:rPr>
              <w:t>2～3</w:t>
            </w:r>
          </w:p>
        </w:tc>
        <w:tc>
          <w:tcPr>
            <w:tcW w:w="1889" w:type="dxa"/>
          </w:tcPr>
          <w:p>
            <w:pPr>
              <w:pStyle w:val="TableParagraph"/>
              <w:spacing w:before="25"/>
              <w:ind w:left="12"/>
              <w:rPr>
                <w:sz w:val="21"/>
              </w:rPr>
            </w:pPr>
            <w:r>
              <w:rPr>
                <w:w w:val="100"/>
                <w:sz w:val="21"/>
              </w:rPr>
              <w:t>0</w:t>
            </w:r>
          </w:p>
        </w:tc>
        <w:tc>
          <w:tcPr>
            <w:tcW w:w="1863" w:type="dxa"/>
          </w:tcPr>
          <w:p>
            <w:pPr>
              <w:pStyle w:val="TableParagraph"/>
              <w:spacing w:before="25"/>
              <w:ind w:right="866"/>
              <w:jc w:val="right"/>
              <w:rPr>
                <w:sz w:val="21"/>
              </w:rPr>
            </w:pPr>
            <w:r>
              <w:rPr>
                <w:w w:val="100"/>
                <w:sz w:val="21"/>
              </w:rPr>
              <w:t>0</w:t>
            </w:r>
          </w:p>
        </w:tc>
      </w:tr>
      <w:tr>
        <w:trPr>
          <w:trHeight w:val="311" w:hRule="atLeast"/>
        </w:trPr>
        <w:tc>
          <w:tcPr>
            <w:tcW w:w="1887" w:type="dxa"/>
          </w:tcPr>
          <w:p>
            <w:pPr>
              <w:pStyle w:val="TableParagraph"/>
              <w:ind w:left="640" w:right="630"/>
              <w:rPr>
                <w:sz w:val="21"/>
              </w:rPr>
            </w:pPr>
            <w:r>
              <w:rPr>
                <w:spacing w:val="-5"/>
                <w:sz w:val="21"/>
              </w:rPr>
              <w:t>Ⅲ期</w:t>
            </w:r>
          </w:p>
        </w:tc>
        <w:tc>
          <w:tcPr>
            <w:tcW w:w="1901" w:type="dxa"/>
          </w:tcPr>
          <w:p>
            <w:pPr>
              <w:pStyle w:val="TableParagraph"/>
              <w:ind w:left="620" w:right="611"/>
              <w:rPr>
                <w:sz w:val="21"/>
              </w:rPr>
            </w:pPr>
            <w:r>
              <w:rPr>
                <w:spacing w:val="-5"/>
                <w:sz w:val="21"/>
              </w:rPr>
              <w:t>1～3</w:t>
            </w:r>
          </w:p>
        </w:tc>
        <w:tc>
          <w:tcPr>
            <w:tcW w:w="1889" w:type="dxa"/>
          </w:tcPr>
          <w:p>
            <w:pPr>
              <w:pStyle w:val="TableParagraph"/>
              <w:ind w:left="718" w:right="706"/>
              <w:rPr>
                <w:sz w:val="21"/>
              </w:rPr>
            </w:pPr>
            <w:r>
              <w:rPr>
                <w:spacing w:val="-5"/>
                <w:sz w:val="21"/>
              </w:rPr>
              <w:t>1a</w:t>
            </w:r>
          </w:p>
        </w:tc>
        <w:tc>
          <w:tcPr>
            <w:tcW w:w="1863" w:type="dxa"/>
          </w:tcPr>
          <w:p>
            <w:pPr>
              <w:pStyle w:val="TableParagraph"/>
              <w:ind w:right="866"/>
              <w:jc w:val="right"/>
              <w:rPr>
                <w:sz w:val="21"/>
              </w:rPr>
            </w:pPr>
            <w:r>
              <w:rPr>
                <w:w w:val="100"/>
                <w:sz w:val="21"/>
              </w:rPr>
              <w:t>0</w:t>
            </w:r>
          </w:p>
        </w:tc>
      </w:tr>
      <w:tr>
        <w:trPr>
          <w:trHeight w:val="311" w:hRule="atLeast"/>
        </w:trPr>
        <w:tc>
          <w:tcPr>
            <w:tcW w:w="1887" w:type="dxa"/>
            <w:vMerge w:val="restart"/>
          </w:tcPr>
          <w:p>
            <w:pPr>
              <w:pStyle w:val="TableParagraph"/>
              <w:ind w:left="640" w:right="630"/>
              <w:rPr>
                <w:sz w:val="21"/>
              </w:rPr>
            </w:pPr>
            <w:r>
              <w:rPr>
                <w:sz w:val="21"/>
              </w:rPr>
              <w:t>ⅣA</w:t>
            </w:r>
            <w:r>
              <w:rPr>
                <w:spacing w:val="-32"/>
                <w:sz w:val="21"/>
              </w:rPr>
              <w:t> 期</w:t>
            </w:r>
          </w:p>
        </w:tc>
        <w:tc>
          <w:tcPr>
            <w:tcW w:w="1901" w:type="dxa"/>
          </w:tcPr>
          <w:p>
            <w:pPr>
              <w:pStyle w:val="TableParagraph"/>
              <w:ind w:left="620" w:right="611"/>
              <w:rPr>
                <w:sz w:val="21"/>
              </w:rPr>
            </w:pPr>
            <w:r>
              <w:rPr>
                <w:spacing w:val="-5"/>
                <w:sz w:val="21"/>
              </w:rPr>
              <w:t>4a</w:t>
            </w:r>
          </w:p>
        </w:tc>
        <w:tc>
          <w:tcPr>
            <w:tcW w:w="1889" w:type="dxa"/>
          </w:tcPr>
          <w:p>
            <w:pPr>
              <w:pStyle w:val="TableParagraph"/>
              <w:ind w:left="723" w:right="706"/>
              <w:rPr>
                <w:sz w:val="21"/>
              </w:rPr>
            </w:pPr>
            <w:r>
              <w:rPr>
                <w:spacing w:val="-5"/>
                <w:sz w:val="21"/>
              </w:rPr>
              <w:t>任何</w:t>
            </w:r>
          </w:p>
        </w:tc>
        <w:tc>
          <w:tcPr>
            <w:tcW w:w="1863" w:type="dxa"/>
          </w:tcPr>
          <w:p>
            <w:pPr>
              <w:pStyle w:val="TableParagraph"/>
              <w:ind w:right="866"/>
              <w:jc w:val="right"/>
              <w:rPr>
                <w:sz w:val="21"/>
              </w:rPr>
            </w:pPr>
            <w:r>
              <w:rPr>
                <w:w w:val="100"/>
                <w:sz w:val="21"/>
              </w:rPr>
              <w:t>0</w:t>
            </w:r>
          </w:p>
        </w:tc>
      </w:tr>
      <w:tr>
        <w:trPr>
          <w:trHeight w:val="311" w:hRule="atLeast"/>
        </w:trPr>
        <w:tc>
          <w:tcPr>
            <w:tcW w:w="1887" w:type="dxa"/>
            <w:vMerge/>
            <w:tcBorders>
              <w:top w:val="nil"/>
            </w:tcBorders>
          </w:tcPr>
          <w:p>
            <w:pPr>
              <w:rPr>
                <w:sz w:val="2"/>
                <w:szCs w:val="2"/>
              </w:rPr>
            </w:pPr>
          </w:p>
        </w:tc>
        <w:tc>
          <w:tcPr>
            <w:tcW w:w="1901" w:type="dxa"/>
          </w:tcPr>
          <w:p>
            <w:pPr>
              <w:pStyle w:val="TableParagraph"/>
              <w:ind w:left="620" w:right="611"/>
              <w:rPr>
                <w:sz w:val="21"/>
              </w:rPr>
            </w:pPr>
            <w:r>
              <w:rPr>
                <w:spacing w:val="-5"/>
                <w:sz w:val="21"/>
              </w:rPr>
              <w:t>1～3</w:t>
            </w:r>
          </w:p>
        </w:tc>
        <w:tc>
          <w:tcPr>
            <w:tcW w:w="1889" w:type="dxa"/>
          </w:tcPr>
          <w:p>
            <w:pPr>
              <w:pStyle w:val="TableParagraph"/>
              <w:ind w:left="718" w:right="706"/>
              <w:rPr>
                <w:sz w:val="21"/>
              </w:rPr>
            </w:pPr>
            <w:r>
              <w:rPr>
                <w:spacing w:val="-5"/>
                <w:sz w:val="21"/>
              </w:rPr>
              <w:t>1b</w:t>
            </w:r>
          </w:p>
        </w:tc>
        <w:tc>
          <w:tcPr>
            <w:tcW w:w="1863" w:type="dxa"/>
          </w:tcPr>
          <w:p>
            <w:pPr>
              <w:pStyle w:val="TableParagraph"/>
              <w:ind w:right="866"/>
              <w:jc w:val="right"/>
              <w:rPr>
                <w:sz w:val="21"/>
              </w:rPr>
            </w:pPr>
            <w:r>
              <w:rPr>
                <w:w w:val="100"/>
                <w:sz w:val="21"/>
              </w:rPr>
              <w:t>0</w:t>
            </w:r>
          </w:p>
        </w:tc>
      </w:tr>
      <w:tr>
        <w:trPr>
          <w:trHeight w:val="311" w:hRule="atLeast"/>
        </w:trPr>
        <w:tc>
          <w:tcPr>
            <w:tcW w:w="1887" w:type="dxa"/>
          </w:tcPr>
          <w:p>
            <w:pPr>
              <w:pStyle w:val="TableParagraph"/>
              <w:ind w:left="640" w:right="630"/>
              <w:rPr>
                <w:sz w:val="21"/>
              </w:rPr>
            </w:pPr>
            <w:r>
              <w:rPr>
                <w:sz w:val="21"/>
              </w:rPr>
              <w:t>ⅣB</w:t>
            </w:r>
            <w:r>
              <w:rPr>
                <w:spacing w:val="-32"/>
                <w:sz w:val="21"/>
              </w:rPr>
              <w:t> 期</w:t>
            </w:r>
          </w:p>
        </w:tc>
        <w:tc>
          <w:tcPr>
            <w:tcW w:w="1901" w:type="dxa"/>
          </w:tcPr>
          <w:p>
            <w:pPr>
              <w:pStyle w:val="TableParagraph"/>
              <w:ind w:left="620" w:right="611"/>
              <w:rPr>
                <w:sz w:val="21"/>
              </w:rPr>
            </w:pPr>
            <w:r>
              <w:rPr>
                <w:spacing w:val="-5"/>
                <w:sz w:val="21"/>
              </w:rPr>
              <w:t>4b</w:t>
            </w:r>
          </w:p>
        </w:tc>
        <w:tc>
          <w:tcPr>
            <w:tcW w:w="1889" w:type="dxa"/>
          </w:tcPr>
          <w:p>
            <w:pPr>
              <w:pStyle w:val="TableParagraph"/>
              <w:ind w:left="723" w:right="706"/>
              <w:rPr>
                <w:sz w:val="21"/>
              </w:rPr>
            </w:pPr>
            <w:r>
              <w:rPr>
                <w:spacing w:val="-5"/>
                <w:sz w:val="21"/>
              </w:rPr>
              <w:t>任何</w:t>
            </w:r>
          </w:p>
        </w:tc>
        <w:tc>
          <w:tcPr>
            <w:tcW w:w="1863" w:type="dxa"/>
          </w:tcPr>
          <w:p>
            <w:pPr>
              <w:pStyle w:val="TableParagraph"/>
              <w:ind w:right="866"/>
              <w:jc w:val="right"/>
              <w:rPr>
                <w:sz w:val="21"/>
              </w:rPr>
            </w:pPr>
            <w:r>
              <w:rPr>
                <w:w w:val="100"/>
                <w:sz w:val="21"/>
              </w:rPr>
              <w:t>0</w:t>
            </w:r>
          </w:p>
        </w:tc>
      </w:tr>
      <w:tr>
        <w:trPr>
          <w:trHeight w:val="311" w:hRule="atLeast"/>
        </w:trPr>
        <w:tc>
          <w:tcPr>
            <w:tcW w:w="1887" w:type="dxa"/>
          </w:tcPr>
          <w:p>
            <w:pPr>
              <w:pStyle w:val="TableParagraph"/>
              <w:ind w:left="640" w:right="630"/>
              <w:rPr>
                <w:sz w:val="21"/>
              </w:rPr>
            </w:pPr>
            <w:r>
              <w:rPr>
                <w:sz w:val="21"/>
              </w:rPr>
              <w:t>ⅣC</w:t>
            </w:r>
            <w:r>
              <w:rPr>
                <w:spacing w:val="-32"/>
                <w:sz w:val="21"/>
              </w:rPr>
              <w:t> 期</w:t>
            </w:r>
          </w:p>
        </w:tc>
        <w:tc>
          <w:tcPr>
            <w:tcW w:w="1901" w:type="dxa"/>
          </w:tcPr>
          <w:p>
            <w:pPr>
              <w:pStyle w:val="TableParagraph"/>
              <w:ind w:left="620" w:right="611"/>
              <w:rPr>
                <w:sz w:val="21"/>
              </w:rPr>
            </w:pPr>
            <w:r>
              <w:rPr>
                <w:spacing w:val="-5"/>
                <w:sz w:val="21"/>
              </w:rPr>
              <w:t>任何</w:t>
            </w:r>
          </w:p>
        </w:tc>
        <w:tc>
          <w:tcPr>
            <w:tcW w:w="1889" w:type="dxa"/>
          </w:tcPr>
          <w:p>
            <w:pPr>
              <w:pStyle w:val="TableParagraph"/>
              <w:ind w:left="723" w:right="706"/>
              <w:rPr>
                <w:sz w:val="21"/>
              </w:rPr>
            </w:pPr>
            <w:r>
              <w:rPr>
                <w:spacing w:val="-5"/>
                <w:sz w:val="21"/>
              </w:rPr>
              <w:t>任何</w:t>
            </w:r>
          </w:p>
        </w:tc>
        <w:tc>
          <w:tcPr>
            <w:tcW w:w="1863" w:type="dxa"/>
          </w:tcPr>
          <w:p>
            <w:pPr>
              <w:pStyle w:val="TableParagraph"/>
              <w:ind w:right="866"/>
              <w:jc w:val="right"/>
              <w:rPr>
                <w:sz w:val="21"/>
              </w:rPr>
            </w:pPr>
            <w:r>
              <w:rPr>
                <w:w w:val="100"/>
                <w:sz w:val="21"/>
              </w:rPr>
              <w:t>1</w:t>
            </w:r>
          </w:p>
        </w:tc>
      </w:tr>
      <w:tr>
        <w:trPr>
          <w:trHeight w:val="314" w:hRule="atLeast"/>
        </w:trPr>
        <w:tc>
          <w:tcPr>
            <w:tcW w:w="7540" w:type="dxa"/>
            <w:gridSpan w:val="4"/>
          </w:tcPr>
          <w:p>
            <w:pPr>
              <w:pStyle w:val="TableParagraph"/>
              <w:spacing w:before="25"/>
              <w:ind w:left="107"/>
              <w:jc w:val="left"/>
              <w:rPr>
                <w:sz w:val="21"/>
              </w:rPr>
            </w:pPr>
            <w:r>
              <w:rPr>
                <w:spacing w:val="-2"/>
                <w:sz w:val="21"/>
              </w:rPr>
              <w:t>未分化癌（所有年龄组</w:t>
            </w:r>
            <w:r>
              <w:rPr>
                <w:spacing w:val="-10"/>
                <w:sz w:val="21"/>
              </w:rPr>
              <w:t>）</w:t>
            </w:r>
          </w:p>
        </w:tc>
      </w:tr>
      <w:tr>
        <w:trPr>
          <w:trHeight w:val="311" w:hRule="atLeast"/>
        </w:trPr>
        <w:tc>
          <w:tcPr>
            <w:tcW w:w="1887" w:type="dxa"/>
          </w:tcPr>
          <w:p>
            <w:pPr>
              <w:pStyle w:val="TableParagraph"/>
              <w:ind w:left="640" w:right="630"/>
              <w:rPr>
                <w:sz w:val="21"/>
              </w:rPr>
            </w:pPr>
            <w:r>
              <w:rPr>
                <w:sz w:val="21"/>
              </w:rPr>
              <w:t>ⅣA</w:t>
            </w:r>
            <w:r>
              <w:rPr>
                <w:spacing w:val="-32"/>
                <w:sz w:val="21"/>
              </w:rPr>
              <w:t> 期</w:t>
            </w:r>
          </w:p>
        </w:tc>
        <w:tc>
          <w:tcPr>
            <w:tcW w:w="1901" w:type="dxa"/>
          </w:tcPr>
          <w:p>
            <w:pPr>
              <w:pStyle w:val="TableParagraph"/>
              <w:ind w:left="620" w:right="611"/>
              <w:rPr>
                <w:sz w:val="21"/>
              </w:rPr>
            </w:pPr>
            <w:r>
              <w:rPr>
                <w:spacing w:val="-4"/>
                <w:sz w:val="21"/>
              </w:rPr>
              <w:t>1～3a</w:t>
            </w:r>
          </w:p>
        </w:tc>
        <w:tc>
          <w:tcPr>
            <w:tcW w:w="1889" w:type="dxa"/>
          </w:tcPr>
          <w:p>
            <w:pPr>
              <w:pStyle w:val="TableParagraph"/>
              <w:ind w:left="723" w:right="706"/>
              <w:rPr>
                <w:sz w:val="21"/>
              </w:rPr>
            </w:pPr>
            <w:r>
              <w:rPr>
                <w:spacing w:val="-5"/>
                <w:sz w:val="21"/>
              </w:rPr>
              <w:t>0/x</w:t>
            </w:r>
          </w:p>
        </w:tc>
        <w:tc>
          <w:tcPr>
            <w:tcW w:w="1863" w:type="dxa"/>
          </w:tcPr>
          <w:p>
            <w:pPr>
              <w:pStyle w:val="TableParagraph"/>
              <w:ind w:right="866"/>
              <w:jc w:val="right"/>
              <w:rPr>
                <w:sz w:val="21"/>
              </w:rPr>
            </w:pPr>
            <w:r>
              <w:rPr>
                <w:w w:val="100"/>
                <w:sz w:val="21"/>
              </w:rPr>
              <w:t>0</w:t>
            </w:r>
          </w:p>
        </w:tc>
      </w:tr>
      <w:tr>
        <w:trPr>
          <w:trHeight w:val="311" w:hRule="atLeast"/>
        </w:trPr>
        <w:tc>
          <w:tcPr>
            <w:tcW w:w="1887" w:type="dxa"/>
            <w:vMerge w:val="restart"/>
          </w:tcPr>
          <w:p>
            <w:pPr>
              <w:pStyle w:val="TableParagraph"/>
              <w:ind w:left="640" w:right="630"/>
              <w:rPr>
                <w:sz w:val="21"/>
              </w:rPr>
            </w:pPr>
            <w:r>
              <w:rPr>
                <w:sz w:val="21"/>
              </w:rPr>
              <w:t>ⅣB</w:t>
            </w:r>
            <w:r>
              <w:rPr>
                <w:spacing w:val="-32"/>
                <w:sz w:val="21"/>
              </w:rPr>
              <w:t> 期</w:t>
            </w:r>
          </w:p>
        </w:tc>
        <w:tc>
          <w:tcPr>
            <w:tcW w:w="1901" w:type="dxa"/>
          </w:tcPr>
          <w:p>
            <w:pPr>
              <w:pStyle w:val="TableParagraph"/>
              <w:ind w:left="620" w:right="611"/>
              <w:rPr>
                <w:sz w:val="21"/>
              </w:rPr>
            </w:pPr>
            <w:r>
              <w:rPr>
                <w:spacing w:val="-4"/>
                <w:sz w:val="21"/>
              </w:rPr>
              <w:t>1～3a</w:t>
            </w:r>
          </w:p>
        </w:tc>
        <w:tc>
          <w:tcPr>
            <w:tcW w:w="1889" w:type="dxa"/>
          </w:tcPr>
          <w:p>
            <w:pPr>
              <w:pStyle w:val="TableParagraph"/>
              <w:ind w:left="12"/>
              <w:rPr>
                <w:sz w:val="21"/>
              </w:rPr>
            </w:pPr>
            <w:r>
              <w:rPr>
                <w:w w:val="100"/>
                <w:sz w:val="21"/>
              </w:rPr>
              <w:t>1</w:t>
            </w:r>
          </w:p>
        </w:tc>
        <w:tc>
          <w:tcPr>
            <w:tcW w:w="1863" w:type="dxa"/>
          </w:tcPr>
          <w:p>
            <w:pPr>
              <w:pStyle w:val="TableParagraph"/>
              <w:ind w:right="866"/>
              <w:jc w:val="right"/>
              <w:rPr>
                <w:sz w:val="21"/>
              </w:rPr>
            </w:pPr>
            <w:r>
              <w:rPr>
                <w:w w:val="100"/>
                <w:sz w:val="21"/>
              </w:rPr>
              <w:t>0</w:t>
            </w:r>
          </w:p>
        </w:tc>
      </w:tr>
      <w:tr>
        <w:trPr>
          <w:trHeight w:val="311" w:hRule="atLeast"/>
        </w:trPr>
        <w:tc>
          <w:tcPr>
            <w:tcW w:w="1887" w:type="dxa"/>
            <w:vMerge/>
            <w:tcBorders>
              <w:top w:val="nil"/>
            </w:tcBorders>
          </w:tcPr>
          <w:p>
            <w:pPr>
              <w:rPr>
                <w:sz w:val="2"/>
                <w:szCs w:val="2"/>
              </w:rPr>
            </w:pPr>
          </w:p>
        </w:tc>
        <w:tc>
          <w:tcPr>
            <w:tcW w:w="1901" w:type="dxa"/>
          </w:tcPr>
          <w:p>
            <w:pPr>
              <w:pStyle w:val="TableParagraph"/>
              <w:ind w:left="620" w:right="611"/>
              <w:rPr>
                <w:sz w:val="21"/>
              </w:rPr>
            </w:pPr>
            <w:r>
              <w:rPr>
                <w:spacing w:val="-4"/>
                <w:sz w:val="21"/>
              </w:rPr>
              <w:t>3b～4</w:t>
            </w:r>
          </w:p>
        </w:tc>
        <w:tc>
          <w:tcPr>
            <w:tcW w:w="1889" w:type="dxa"/>
          </w:tcPr>
          <w:p>
            <w:pPr>
              <w:pStyle w:val="TableParagraph"/>
              <w:ind w:left="723" w:right="706"/>
              <w:rPr>
                <w:sz w:val="21"/>
              </w:rPr>
            </w:pPr>
            <w:r>
              <w:rPr>
                <w:spacing w:val="-5"/>
                <w:sz w:val="21"/>
              </w:rPr>
              <w:t>任何</w:t>
            </w:r>
          </w:p>
        </w:tc>
        <w:tc>
          <w:tcPr>
            <w:tcW w:w="1863" w:type="dxa"/>
          </w:tcPr>
          <w:p>
            <w:pPr>
              <w:pStyle w:val="TableParagraph"/>
              <w:ind w:right="866"/>
              <w:jc w:val="right"/>
              <w:rPr>
                <w:sz w:val="21"/>
              </w:rPr>
            </w:pPr>
            <w:r>
              <w:rPr>
                <w:w w:val="100"/>
                <w:sz w:val="21"/>
              </w:rPr>
              <w:t>0</w:t>
            </w:r>
          </w:p>
        </w:tc>
      </w:tr>
      <w:tr>
        <w:trPr>
          <w:trHeight w:val="311" w:hRule="atLeast"/>
        </w:trPr>
        <w:tc>
          <w:tcPr>
            <w:tcW w:w="1887" w:type="dxa"/>
          </w:tcPr>
          <w:p>
            <w:pPr>
              <w:pStyle w:val="TableParagraph"/>
              <w:ind w:left="640" w:right="630"/>
              <w:rPr>
                <w:sz w:val="21"/>
              </w:rPr>
            </w:pPr>
            <w:r>
              <w:rPr>
                <w:sz w:val="21"/>
              </w:rPr>
              <w:t>ⅣC</w:t>
            </w:r>
            <w:r>
              <w:rPr>
                <w:spacing w:val="-32"/>
                <w:sz w:val="21"/>
              </w:rPr>
              <w:t> 期</w:t>
            </w:r>
          </w:p>
        </w:tc>
        <w:tc>
          <w:tcPr>
            <w:tcW w:w="1901" w:type="dxa"/>
          </w:tcPr>
          <w:p>
            <w:pPr>
              <w:pStyle w:val="TableParagraph"/>
              <w:ind w:left="620" w:right="611"/>
              <w:rPr>
                <w:sz w:val="21"/>
              </w:rPr>
            </w:pPr>
            <w:r>
              <w:rPr>
                <w:spacing w:val="-5"/>
                <w:sz w:val="21"/>
              </w:rPr>
              <w:t>任何</w:t>
            </w:r>
          </w:p>
        </w:tc>
        <w:tc>
          <w:tcPr>
            <w:tcW w:w="1889" w:type="dxa"/>
          </w:tcPr>
          <w:p>
            <w:pPr>
              <w:pStyle w:val="TableParagraph"/>
              <w:ind w:left="723" w:right="706"/>
              <w:rPr>
                <w:sz w:val="21"/>
              </w:rPr>
            </w:pPr>
            <w:r>
              <w:rPr>
                <w:spacing w:val="-5"/>
                <w:sz w:val="21"/>
              </w:rPr>
              <w:t>任何</w:t>
            </w:r>
          </w:p>
        </w:tc>
        <w:tc>
          <w:tcPr>
            <w:tcW w:w="1863" w:type="dxa"/>
          </w:tcPr>
          <w:p>
            <w:pPr>
              <w:pStyle w:val="TableParagraph"/>
              <w:ind w:right="866"/>
              <w:jc w:val="right"/>
              <w:rPr>
                <w:sz w:val="21"/>
              </w:rPr>
            </w:pPr>
            <w:r>
              <w:rPr>
                <w:w w:val="100"/>
                <w:sz w:val="21"/>
              </w:rPr>
              <w:t>1</w:t>
            </w:r>
          </w:p>
        </w:tc>
      </w:tr>
    </w:tbl>
    <w:p>
      <w:pPr>
        <w:pStyle w:val="BodyText"/>
        <w:spacing w:before="193"/>
        <w:ind w:left="2533"/>
      </w:pPr>
      <w:r>
        <w:rPr>
          <w:spacing w:val="-3"/>
        </w:rPr>
        <w:t>注：以上表格中“年龄”指患者病理组织标本获取日期时的年龄。</w:t>
      </w:r>
    </w:p>
    <w:p>
      <w:pPr>
        <w:spacing w:after="0"/>
        <w:sectPr>
          <w:pgSz w:w="11910" w:h="16840"/>
          <w:pgMar w:header="0" w:footer="659" w:top="1400" w:bottom="840" w:left="920" w:right="540"/>
        </w:sectPr>
      </w:pPr>
    </w:p>
    <w:p>
      <w:pPr>
        <w:pStyle w:val="BodyText"/>
        <w:spacing w:before="7"/>
        <w:rPr>
          <w:sz w:val="15"/>
        </w:rPr>
      </w:pPr>
    </w:p>
    <w:sectPr>
      <w:pgSz w:w="11910" w:h="16840"/>
      <w:pgMar w:header="0" w:footer="659" w:top="1580" w:bottom="840" w:left="920" w:right="5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楷体">
    <w:altName w:val="楷体"/>
    <w:charset w:val="86"/>
    <w:family w:val="modern"/>
    <w:pitch w:val="fixed"/>
  </w:font>
  <w:font w:name="Cambria Math">
    <w:altName w:val="Cambria Math"/>
    <w:charset w:val="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2.369995pt;margin-top:797.955994pt;width:11.5pt;height:12pt;mso-position-horizontal-relative:page;mso-position-vertical-relative:page;z-index:-17212928" type="#_x0000_t202" id="docshape1" filled="false" stroked="false">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3</w:t>
                </w:r>
                <w:r>
                  <w:rPr>
                    <w:rFonts w:ascii="Times New Roman"/>
                    <w:sz w:val="18"/>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4pt;margin-top:613.149963pt;width:144.050pt;height:.48004pt;mso-position-horizontal-relative:page;mso-position-vertical-relative:page;z-index:-17212416" id="docshape4" filled="true" fillcolor="#000000" stroked="false">
          <v:fill type="solid"/>
          <w10:wrap type="none"/>
        </v:rect>
      </w:pict>
    </w:r>
    <w:r>
      <w:rPr/>
      <w:pict>
        <v:shape style="position:absolute;margin-left:292.369995pt;margin-top:797.955994pt;width:11.5pt;height:12pt;mso-position-horizontal-relative:page;mso-position-vertical-relative:page;z-index:-17211904" type="#_x0000_t202" id="docshape5" filled="false" stroked="false">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4</w:t>
                </w:r>
                <w:r>
                  <w:rPr>
                    <w:rFonts w:ascii="Times New Roman"/>
                    <w:sz w:val="18"/>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369995pt;margin-top:797.955994pt;width:11.5pt;height:12pt;mso-position-horizontal-relative:page;mso-position-vertical-relative:page;z-index:-17211392" type="#_x0000_t202" id="docshape9" filled="false" stroked="false">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5</w:t>
                </w:r>
                <w:r>
                  <w:rPr>
                    <w:rFonts w:ascii="Times New Roman"/>
                    <w:sz w:val="18"/>
                  </w:rPr>
                  <w:fldChar w:fldCharType="end"/>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209991pt;margin-top:797.955994pt;width:11.15pt;height:12pt;mso-position-horizontal-relative:page;mso-position-vertical-relative:page;z-index:-17210880" type="#_x0000_t202" id="docshape25" filled="false" stroked="false">
          <v:textbox inset="0,0,0,0">
            <w:txbxContent>
              <w:p>
                <w:pPr>
                  <w:spacing w:before="12"/>
                  <w:ind w:left="20" w:right="0" w:firstLine="0"/>
                  <w:jc w:val="left"/>
                  <w:rPr>
                    <w:rFonts w:ascii="Times New Roman"/>
                    <w:sz w:val="18"/>
                  </w:rPr>
                </w:pPr>
                <w:r>
                  <w:rPr>
                    <w:rFonts w:ascii="Times New Roman"/>
                    <w:spacing w:val="-5"/>
                    <w:sz w:val="18"/>
                  </w:rPr>
                  <w:t>10</w:t>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329987pt;margin-top:797.955994pt;width:10.4pt;height:12pt;mso-position-horizontal-relative:page;mso-position-vertical-relative:page;z-index:-17210368" type="#_x0000_t202" id="docshape32" filled="false" stroked="false">
          <v:textbox inset="0,0,0,0">
            <w:txbxContent>
              <w:p>
                <w:pPr>
                  <w:spacing w:before="12"/>
                  <w:ind w:left="20" w:right="0" w:firstLine="0"/>
                  <w:jc w:val="left"/>
                  <w:rPr>
                    <w:rFonts w:ascii="Times New Roman"/>
                    <w:sz w:val="18"/>
                  </w:rPr>
                </w:pPr>
                <w:r>
                  <w:rPr>
                    <w:rFonts w:ascii="Times New Roman"/>
                    <w:spacing w:val="-5"/>
                    <w:sz w:val="18"/>
                  </w:rPr>
                  <w:t>11</w:t>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209991pt;margin-top:797.955994pt;width:14.15pt;height:12pt;mso-position-horizontal-relative:page;mso-position-vertical-relative:page;z-index:-17209856" type="#_x0000_t202" id="docshape39" filled="false" stroked="false">
          <v:textbox inset="0,0,0,0">
            <w:txbxContent>
              <w:p>
                <w:pPr>
                  <w:spacing w:before="12"/>
                  <w:ind w:left="20" w:right="0" w:firstLine="0"/>
                  <w:jc w:val="left"/>
                  <w:rPr>
                    <w:rFonts w:ascii="Times New Roman"/>
                    <w:sz w:val="18"/>
                  </w:rPr>
                </w:pPr>
                <w:r>
                  <w:rPr>
                    <w:rFonts w:ascii="Times New Roman"/>
                    <w:spacing w:val="-5"/>
                    <w:sz w:val="18"/>
                  </w:rPr>
                  <w:t>1</w:t>
                </w: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209991pt;margin-top:797.955994pt;width:11.15pt;height:12pt;mso-position-horizontal-relative:page;mso-position-vertical-relative:page;z-index:-17209344" type="#_x0000_t202" id="docshape44" filled="false" stroked="false">
          <v:textbox inset="0,0,0,0">
            <w:txbxContent>
              <w:p>
                <w:pPr>
                  <w:spacing w:before="12"/>
                  <w:ind w:left="20" w:right="0" w:firstLine="0"/>
                  <w:jc w:val="left"/>
                  <w:rPr>
                    <w:rFonts w:ascii="Times New Roman"/>
                    <w:sz w:val="18"/>
                  </w:rPr>
                </w:pPr>
                <w:r>
                  <w:rPr>
                    <w:rFonts w:ascii="Times New Roman"/>
                    <w:spacing w:val="-5"/>
                    <w:sz w:val="18"/>
                  </w:rPr>
                  <w:t>20</w:t>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209991pt;margin-top:797.955994pt;width:14.15pt;height:12pt;mso-position-horizontal-relative:page;mso-position-vertical-relative:page;z-index:-17208832" type="#_x0000_t202" id="docshape45" filled="false" stroked="false">
          <v:textbox inset="0,0,0,0">
            <w:txbxContent>
              <w:p>
                <w:pPr>
                  <w:spacing w:before="12"/>
                  <w:ind w:left="20" w:right="0" w:firstLine="0"/>
                  <w:jc w:val="left"/>
                  <w:rPr>
                    <w:rFonts w:ascii="Times New Roman"/>
                    <w:sz w:val="18"/>
                  </w:rPr>
                </w:pPr>
                <w:r>
                  <w:rPr>
                    <w:rFonts w:ascii="Times New Roman"/>
                    <w:spacing w:val="-5"/>
                    <w:sz w:val="18"/>
                  </w:rPr>
                  <w:t>2</w:t>
                </w: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209991pt;margin-top:797.955994pt;width:11.15pt;height:12pt;mso-position-horizontal-relative:page;mso-position-vertical-relative:page;z-index:-17208320" type="#_x0000_t202" id="docshape46" filled="false" stroked="false">
          <v:textbox inset="0,0,0,0">
            <w:txbxContent>
              <w:p>
                <w:pPr>
                  <w:spacing w:before="12"/>
                  <w:ind w:left="20" w:right="0" w:firstLine="0"/>
                  <w:jc w:val="left"/>
                  <w:rPr>
                    <w:rFonts w:ascii="Times New Roman"/>
                    <w:sz w:val="18"/>
                  </w:rPr>
                </w:pPr>
                <w:r>
                  <w:rPr>
                    <w:rFonts w:ascii="Times New Roman"/>
                    <w:spacing w:val="-5"/>
                    <w:sz w:val="18"/>
                  </w:rPr>
                  <w:t>30</w:t>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209991pt;margin-top:797.955994pt;width:14.15pt;height:12pt;mso-position-horizontal-relative:page;mso-position-vertical-relative:page;z-index:-17207808" type="#_x0000_t202" id="docshape47" filled="false" stroked="false">
          <v:textbox inset="0,0,0,0">
            <w:txbxContent>
              <w:p>
                <w:pPr>
                  <w:spacing w:before="12"/>
                  <w:ind w:left="20" w:right="0" w:firstLine="0"/>
                  <w:jc w:val="left"/>
                  <w:rPr>
                    <w:rFonts w:ascii="Times New Roman"/>
                    <w:sz w:val="18"/>
                  </w:rPr>
                </w:pPr>
                <w:r>
                  <w:rPr>
                    <w:rFonts w:ascii="Times New Roman"/>
                    <w:spacing w:val="-5"/>
                    <w:sz w:val="18"/>
                  </w:rPr>
                  <w:t>3</w:t>
                </w: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209991pt;margin-top:797.955994pt;width:11.15pt;height:12pt;mso-position-horizontal-relative:page;mso-position-vertical-relative:page;z-index:-17207296" type="#_x0000_t202" id="docshape48" filled="false" stroked="false">
          <v:textbox inset="0,0,0,0">
            <w:txbxContent>
              <w:p>
                <w:pPr>
                  <w:spacing w:before="12"/>
                  <w:ind w:left="20" w:right="0" w:firstLine="0"/>
                  <w:jc w:val="left"/>
                  <w:rPr>
                    <w:rFonts w:ascii="Times New Roman"/>
                    <w:sz w:val="18"/>
                  </w:rPr>
                </w:pPr>
                <w:r>
                  <w:rPr>
                    <w:rFonts w:ascii="Times New Roman"/>
                    <w:spacing w:val="-5"/>
                    <w:sz w:val="18"/>
                  </w:rPr>
                  <w:t>40</w:t>
                </w:r>
              </w:p>
            </w:txbxContent>
          </v:textbox>
          <w10:wrap type="non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209991pt;margin-top:797.955994pt;width:14.15pt;height:12pt;mso-position-horizontal-relative:page;mso-position-vertical-relative:page;z-index:-17206784" type="#_x0000_t202" id="docshape49" filled="false" stroked="false">
          <v:textbox inset="0,0,0,0">
            <w:txbxContent>
              <w:p>
                <w:pPr>
                  <w:spacing w:before="12"/>
                  <w:ind w:left="20" w:right="0" w:firstLine="0"/>
                  <w:jc w:val="left"/>
                  <w:rPr>
                    <w:rFonts w:ascii="Times New Roman"/>
                    <w:sz w:val="18"/>
                  </w:rPr>
                </w:pPr>
                <w:r>
                  <w:rPr>
                    <w:rFonts w:ascii="Times New Roman"/>
                    <w:spacing w:val="-5"/>
                    <w:sz w:val="18"/>
                  </w:rPr>
                  <w:t>4</w:t>
                </w: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w10:wrap type="non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209991pt;margin-top:797.955994pt;width:11.15pt;height:12pt;mso-position-horizontal-relative:page;mso-position-vertical-relative:page;z-index:-17206272" type="#_x0000_t202" id="docshape53" filled="false" stroked="false">
          <v:textbox inset="0,0,0,0">
            <w:txbxContent>
              <w:p>
                <w:pPr>
                  <w:spacing w:before="12"/>
                  <w:ind w:left="20" w:right="0" w:firstLine="0"/>
                  <w:jc w:val="left"/>
                  <w:rPr>
                    <w:rFonts w:ascii="Times New Roman"/>
                    <w:sz w:val="18"/>
                  </w:rPr>
                </w:pPr>
                <w:r>
                  <w:rPr>
                    <w:rFonts w:ascii="Times New Roman"/>
                    <w:spacing w:val="-5"/>
                    <w:sz w:val="18"/>
                  </w:rPr>
                  <w:t>50</w:t>
                </w:r>
              </w:p>
            </w:txbxContent>
          </v:textbox>
          <w10:wrap type="none"/>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209991pt;margin-top:797.955994pt;width:14.15pt;height:12pt;mso-position-horizontal-relative:page;mso-position-vertical-relative:page;z-index:-17205760" type="#_x0000_t202" id="docshape54" filled="false" stroked="false">
          <v:textbox inset="0,0,0,0">
            <w:txbxContent>
              <w:p>
                <w:pPr>
                  <w:spacing w:before="12"/>
                  <w:ind w:left="20" w:right="0" w:firstLine="0"/>
                  <w:jc w:val="left"/>
                  <w:rPr>
                    <w:rFonts w:ascii="Times New Roman"/>
                    <w:sz w:val="18"/>
                  </w:rPr>
                </w:pPr>
                <w:r>
                  <w:rPr>
                    <w:rFonts w:ascii="Times New Roman"/>
                    <w:spacing w:val="-5"/>
                    <w:sz w:val="18"/>
                  </w:rPr>
                  <w:t>5</w:t>
                </w: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8">
    <w:multiLevelType w:val="hybridMultilevel"/>
    <w:lvl w:ilvl="0">
      <w:start w:val="1"/>
      <w:numFmt w:val="decimal"/>
      <w:lvlText w:val="（%1）"/>
      <w:lvlJc w:val="left"/>
      <w:pPr>
        <w:ind w:left="988" w:hanging="721"/>
        <w:jc w:val="left"/>
      </w:pPr>
      <w:rPr>
        <w:rFonts w:hint="default" w:ascii="宋体" w:hAnsi="宋体" w:eastAsia="宋体" w:cs="宋体"/>
        <w:b/>
        <w:bCs/>
        <w:i w:val="0"/>
        <w:iCs w:val="0"/>
        <w:w w:val="99"/>
        <w:sz w:val="21"/>
        <w:szCs w:val="21"/>
        <w:lang w:val="en-US" w:eastAsia="zh-CN" w:bidi="ar-SA"/>
      </w:rPr>
    </w:lvl>
    <w:lvl w:ilvl="1">
      <w:start w:val="2"/>
      <w:numFmt w:val="decimal"/>
      <w:lvlText w:val="（%2）"/>
      <w:lvlJc w:val="left"/>
      <w:pPr>
        <w:ind w:left="3254" w:hanging="721"/>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806" w:hanging="721"/>
      </w:pPr>
      <w:rPr>
        <w:rFonts w:hint="default"/>
        <w:lang w:val="en-US" w:eastAsia="zh-CN" w:bidi="ar-SA"/>
      </w:rPr>
    </w:lvl>
    <w:lvl w:ilvl="3">
      <w:start w:val="0"/>
      <w:numFmt w:val="bullet"/>
      <w:lvlText w:val="•"/>
      <w:lvlJc w:val="left"/>
      <w:pPr>
        <w:ind w:left="4353" w:hanging="721"/>
      </w:pPr>
      <w:rPr>
        <w:rFonts w:hint="default"/>
        <w:lang w:val="en-US" w:eastAsia="zh-CN" w:bidi="ar-SA"/>
      </w:rPr>
    </w:lvl>
    <w:lvl w:ilvl="4">
      <w:start w:val="0"/>
      <w:numFmt w:val="bullet"/>
      <w:lvlText w:val="•"/>
      <w:lvlJc w:val="left"/>
      <w:pPr>
        <w:ind w:left="4900" w:hanging="721"/>
      </w:pPr>
      <w:rPr>
        <w:rFonts w:hint="default"/>
        <w:lang w:val="en-US" w:eastAsia="zh-CN" w:bidi="ar-SA"/>
      </w:rPr>
    </w:lvl>
    <w:lvl w:ilvl="5">
      <w:start w:val="0"/>
      <w:numFmt w:val="bullet"/>
      <w:lvlText w:val="•"/>
      <w:lvlJc w:val="left"/>
      <w:pPr>
        <w:ind w:left="5446" w:hanging="721"/>
      </w:pPr>
      <w:rPr>
        <w:rFonts w:hint="default"/>
        <w:lang w:val="en-US" w:eastAsia="zh-CN" w:bidi="ar-SA"/>
      </w:rPr>
    </w:lvl>
    <w:lvl w:ilvl="6">
      <w:start w:val="0"/>
      <w:numFmt w:val="bullet"/>
      <w:lvlText w:val="•"/>
      <w:lvlJc w:val="left"/>
      <w:pPr>
        <w:ind w:left="5993" w:hanging="721"/>
      </w:pPr>
      <w:rPr>
        <w:rFonts w:hint="default"/>
        <w:lang w:val="en-US" w:eastAsia="zh-CN" w:bidi="ar-SA"/>
      </w:rPr>
    </w:lvl>
    <w:lvl w:ilvl="7">
      <w:start w:val="0"/>
      <w:numFmt w:val="bullet"/>
      <w:lvlText w:val="•"/>
      <w:lvlJc w:val="left"/>
      <w:pPr>
        <w:ind w:left="6540" w:hanging="721"/>
      </w:pPr>
      <w:rPr>
        <w:rFonts w:hint="default"/>
        <w:lang w:val="en-US" w:eastAsia="zh-CN" w:bidi="ar-SA"/>
      </w:rPr>
    </w:lvl>
    <w:lvl w:ilvl="8">
      <w:start w:val="0"/>
      <w:numFmt w:val="bullet"/>
      <w:lvlText w:val="•"/>
      <w:lvlJc w:val="left"/>
      <w:pPr>
        <w:ind w:left="7086" w:hanging="721"/>
      </w:pPr>
      <w:rPr>
        <w:rFonts w:hint="default"/>
        <w:lang w:val="en-US" w:eastAsia="zh-CN" w:bidi="ar-SA"/>
      </w:rPr>
    </w:lvl>
  </w:abstractNum>
  <w:abstractNum w:abstractNumId="111">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10">
    <w:multiLevelType w:val="hybridMultilevel"/>
    <w:lvl w:ilvl="0">
      <w:start w:val="1"/>
      <w:numFmt w:val="decimal"/>
      <w:lvlText w:val="%1)"/>
      <w:lvlJc w:val="left"/>
      <w:pPr>
        <w:ind w:left="988"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00" w:hanging="721"/>
      </w:pPr>
      <w:rPr>
        <w:rFonts w:hint="default"/>
        <w:lang w:val="en-US" w:eastAsia="zh-CN" w:bidi="ar-SA"/>
      </w:rPr>
    </w:lvl>
    <w:lvl w:ilvl="2">
      <w:start w:val="0"/>
      <w:numFmt w:val="bullet"/>
      <w:lvlText w:val="•"/>
      <w:lvlJc w:val="left"/>
      <w:pPr>
        <w:ind w:left="2420" w:hanging="721"/>
      </w:pPr>
      <w:rPr>
        <w:rFonts w:hint="default"/>
        <w:lang w:val="en-US" w:eastAsia="zh-CN" w:bidi="ar-SA"/>
      </w:rPr>
    </w:lvl>
    <w:lvl w:ilvl="3">
      <w:start w:val="0"/>
      <w:numFmt w:val="bullet"/>
      <w:lvlText w:val="•"/>
      <w:lvlJc w:val="left"/>
      <w:pPr>
        <w:ind w:left="3140" w:hanging="721"/>
      </w:pPr>
      <w:rPr>
        <w:rFonts w:hint="default"/>
        <w:lang w:val="en-US" w:eastAsia="zh-CN" w:bidi="ar-SA"/>
      </w:rPr>
    </w:lvl>
    <w:lvl w:ilvl="4">
      <w:start w:val="0"/>
      <w:numFmt w:val="bullet"/>
      <w:lvlText w:val="•"/>
      <w:lvlJc w:val="left"/>
      <w:pPr>
        <w:ind w:left="3860" w:hanging="721"/>
      </w:pPr>
      <w:rPr>
        <w:rFonts w:hint="default"/>
        <w:lang w:val="en-US" w:eastAsia="zh-CN" w:bidi="ar-SA"/>
      </w:rPr>
    </w:lvl>
    <w:lvl w:ilvl="5">
      <w:start w:val="0"/>
      <w:numFmt w:val="bullet"/>
      <w:lvlText w:val="•"/>
      <w:lvlJc w:val="left"/>
      <w:pPr>
        <w:ind w:left="4580" w:hanging="721"/>
      </w:pPr>
      <w:rPr>
        <w:rFonts w:hint="default"/>
        <w:lang w:val="en-US" w:eastAsia="zh-CN" w:bidi="ar-SA"/>
      </w:rPr>
    </w:lvl>
    <w:lvl w:ilvl="6">
      <w:start w:val="0"/>
      <w:numFmt w:val="bullet"/>
      <w:lvlText w:val="•"/>
      <w:lvlJc w:val="left"/>
      <w:pPr>
        <w:ind w:left="5300" w:hanging="721"/>
      </w:pPr>
      <w:rPr>
        <w:rFonts w:hint="default"/>
        <w:lang w:val="en-US" w:eastAsia="zh-CN" w:bidi="ar-SA"/>
      </w:rPr>
    </w:lvl>
    <w:lvl w:ilvl="7">
      <w:start w:val="0"/>
      <w:numFmt w:val="bullet"/>
      <w:lvlText w:val="•"/>
      <w:lvlJc w:val="left"/>
      <w:pPr>
        <w:ind w:left="6020" w:hanging="721"/>
      </w:pPr>
      <w:rPr>
        <w:rFonts w:hint="default"/>
        <w:lang w:val="en-US" w:eastAsia="zh-CN" w:bidi="ar-SA"/>
      </w:rPr>
    </w:lvl>
    <w:lvl w:ilvl="8">
      <w:start w:val="0"/>
      <w:numFmt w:val="bullet"/>
      <w:lvlText w:val="•"/>
      <w:lvlJc w:val="left"/>
      <w:pPr>
        <w:ind w:left="6740" w:hanging="721"/>
      </w:pPr>
      <w:rPr>
        <w:rFonts w:hint="default"/>
        <w:lang w:val="en-US" w:eastAsia="zh-CN" w:bidi="ar-SA"/>
      </w:rPr>
    </w:lvl>
  </w:abstractNum>
  <w:abstractNum w:abstractNumId="109">
    <w:multiLevelType w:val="hybridMultilevel"/>
    <w:lvl w:ilvl="0">
      <w:start w:val="1"/>
      <w:numFmt w:val="decimal"/>
      <w:lvlText w:val="%1)"/>
      <w:lvlJc w:val="left"/>
      <w:pPr>
        <w:ind w:left="988"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00" w:hanging="721"/>
      </w:pPr>
      <w:rPr>
        <w:rFonts w:hint="default"/>
        <w:lang w:val="en-US" w:eastAsia="zh-CN" w:bidi="ar-SA"/>
      </w:rPr>
    </w:lvl>
    <w:lvl w:ilvl="2">
      <w:start w:val="0"/>
      <w:numFmt w:val="bullet"/>
      <w:lvlText w:val="•"/>
      <w:lvlJc w:val="left"/>
      <w:pPr>
        <w:ind w:left="2420" w:hanging="721"/>
      </w:pPr>
      <w:rPr>
        <w:rFonts w:hint="default"/>
        <w:lang w:val="en-US" w:eastAsia="zh-CN" w:bidi="ar-SA"/>
      </w:rPr>
    </w:lvl>
    <w:lvl w:ilvl="3">
      <w:start w:val="0"/>
      <w:numFmt w:val="bullet"/>
      <w:lvlText w:val="•"/>
      <w:lvlJc w:val="left"/>
      <w:pPr>
        <w:ind w:left="3140" w:hanging="721"/>
      </w:pPr>
      <w:rPr>
        <w:rFonts w:hint="default"/>
        <w:lang w:val="en-US" w:eastAsia="zh-CN" w:bidi="ar-SA"/>
      </w:rPr>
    </w:lvl>
    <w:lvl w:ilvl="4">
      <w:start w:val="0"/>
      <w:numFmt w:val="bullet"/>
      <w:lvlText w:val="•"/>
      <w:lvlJc w:val="left"/>
      <w:pPr>
        <w:ind w:left="3860" w:hanging="721"/>
      </w:pPr>
      <w:rPr>
        <w:rFonts w:hint="default"/>
        <w:lang w:val="en-US" w:eastAsia="zh-CN" w:bidi="ar-SA"/>
      </w:rPr>
    </w:lvl>
    <w:lvl w:ilvl="5">
      <w:start w:val="0"/>
      <w:numFmt w:val="bullet"/>
      <w:lvlText w:val="•"/>
      <w:lvlJc w:val="left"/>
      <w:pPr>
        <w:ind w:left="4580" w:hanging="721"/>
      </w:pPr>
      <w:rPr>
        <w:rFonts w:hint="default"/>
        <w:lang w:val="en-US" w:eastAsia="zh-CN" w:bidi="ar-SA"/>
      </w:rPr>
    </w:lvl>
    <w:lvl w:ilvl="6">
      <w:start w:val="0"/>
      <w:numFmt w:val="bullet"/>
      <w:lvlText w:val="•"/>
      <w:lvlJc w:val="left"/>
      <w:pPr>
        <w:ind w:left="5300" w:hanging="721"/>
      </w:pPr>
      <w:rPr>
        <w:rFonts w:hint="default"/>
        <w:lang w:val="en-US" w:eastAsia="zh-CN" w:bidi="ar-SA"/>
      </w:rPr>
    </w:lvl>
    <w:lvl w:ilvl="7">
      <w:start w:val="0"/>
      <w:numFmt w:val="bullet"/>
      <w:lvlText w:val="•"/>
      <w:lvlJc w:val="left"/>
      <w:pPr>
        <w:ind w:left="6020" w:hanging="721"/>
      </w:pPr>
      <w:rPr>
        <w:rFonts w:hint="default"/>
        <w:lang w:val="en-US" w:eastAsia="zh-CN" w:bidi="ar-SA"/>
      </w:rPr>
    </w:lvl>
    <w:lvl w:ilvl="8">
      <w:start w:val="0"/>
      <w:numFmt w:val="bullet"/>
      <w:lvlText w:val="•"/>
      <w:lvlJc w:val="left"/>
      <w:pPr>
        <w:ind w:left="6740" w:hanging="721"/>
      </w:pPr>
      <w:rPr>
        <w:rFonts w:hint="default"/>
        <w:lang w:val="en-US" w:eastAsia="zh-CN" w:bidi="ar-SA"/>
      </w:rPr>
    </w:lvl>
  </w:abstractNum>
  <w:abstractNum w:abstractNumId="107">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06">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05">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04">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03">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02">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01">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00">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99">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98">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97">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96">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95">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94">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1"/>
      <w:numFmt w:val="lowerLetter"/>
      <w:lvlText w:val="%2)"/>
      <w:lvlJc w:val="left"/>
      <w:pPr>
        <w:ind w:left="3674" w:hanging="4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431" w:hanging="420"/>
      </w:pPr>
      <w:rPr>
        <w:rFonts w:hint="default"/>
        <w:lang w:val="en-US" w:eastAsia="zh-CN" w:bidi="ar-SA"/>
      </w:rPr>
    </w:lvl>
    <w:lvl w:ilvl="3">
      <w:start w:val="0"/>
      <w:numFmt w:val="bullet"/>
      <w:lvlText w:val="•"/>
      <w:lvlJc w:val="left"/>
      <w:pPr>
        <w:ind w:left="5183" w:hanging="420"/>
      </w:pPr>
      <w:rPr>
        <w:rFonts w:hint="default"/>
        <w:lang w:val="en-US" w:eastAsia="zh-CN" w:bidi="ar-SA"/>
      </w:rPr>
    </w:lvl>
    <w:lvl w:ilvl="4">
      <w:start w:val="0"/>
      <w:numFmt w:val="bullet"/>
      <w:lvlText w:val="•"/>
      <w:lvlJc w:val="left"/>
      <w:pPr>
        <w:ind w:left="5935" w:hanging="420"/>
      </w:pPr>
      <w:rPr>
        <w:rFonts w:hint="default"/>
        <w:lang w:val="en-US" w:eastAsia="zh-CN" w:bidi="ar-SA"/>
      </w:rPr>
    </w:lvl>
    <w:lvl w:ilvl="5">
      <w:start w:val="0"/>
      <w:numFmt w:val="bullet"/>
      <w:lvlText w:val="•"/>
      <w:lvlJc w:val="left"/>
      <w:pPr>
        <w:ind w:left="6687" w:hanging="420"/>
      </w:pPr>
      <w:rPr>
        <w:rFonts w:hint="default"/>
        <w:lang w:val="en-US" w:eastAsia="zh-CN" w:bidi="ar-SA"/>
      </w:rPr>
    </w:lvl>
    <w:lvl w:ilvl="6">
      <w:start w:val="0"/>
      <w:numFmt w:val="bullet"/>
      <w:lvlText w:val="•"/>
      <w:lvlJc w:val="left"/>
      <w:pPr>
        <w:ind w:left="7439" w:hanging="420"/>
      </w:pPr>
      <w:rPr>
        <w:rFonts w:hint="default"/>
        <w:lang w:val="en-US" w:eastAsia="zh-CN" w:bidi="ar-SA"/>
      </w:rPr>
    </w:lvl>
    <w:lvl w:ilvl="7">
      <w:start w:val="0"/>
      <w:numFmt w:val="bullet"/>
      <w:lvlText w:val="•"/>
      <w:lvlJc w:val="left"/>
      <w:pPr>
        <w:ind w:left="8190" w:hanging="420"/>
      </w:pPr>
      <w:rPr>
        <w:rFonts w:hint="default"/>
        <w:lang w:val="en-US" w:eastAsia="zh-CN" w:bidi="ar-SA"/>
      </w:rPr>
    </w:lvl>
    <w:lvl w:ilvl="8">
      <w:start w:val="0"/>
      <w:numFmt w:val="bullet"/>
      <w:lvlText w:val="•"/>
      <w:lvlJc w:val="left"/>
      <w:pPr>
        <w:ind w:left="8942" w:hanging="420"/>
      </w:pPr>
      <w:rPr>
        <w:rFonts w:hint="default"/>
        <w:lang w:val="en-US" w:eastAsia="zh-CN" w:bidi="ar-SA"/>
      </w:rPr>
    </w:lvl>
  </w:abstractNum>
  <w:abstractNum w:abstractNumId="93">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1"/>
      <w:numFmt w:val="lowerLetter"/>
      <w:lvlText w:val="%2)"/>
      <w:lvlJc w:val="left"/>
      <w:pPr>
        <w:ind w:left="3674" w:hanging="4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431" w:hanging="420"/>
      </w:pPr>
      <w:rPr>
        <w:rFonts w:hint="default"/>
        <w:lang w:val="en-US" w:eastAsia="zh-CN" w:bidi="ar-SA"/>
      </w:rPr>
    </w:lvl>
    <w:lvl w:ilvl="3">
      <w:start w:val="0"/>
      <w:numFmt w:val="bullet"/>
      <w:lvlText w:val="•"/>
      <w:lvlJc w:val="left"/>
      <w:pPr>
        <w:ind w:left="5183" w:hanging="420"/>
      </w:pPr>
      <w:rPr>
        <w:rFonts w:hint="default"/>
        <w:lang w:val="en-US" w:eastAsia="zh-CN" w:bidi="ar-SA"/>
      </w:rPr>
    </w:lvl>
    <w:lvl w:ilvl="4">
      <w:start w:val="0"/>
      <w:numFmt w:val="bullet"/>
      <w:lvlText w:val="•"/>
      <w:lvlJc w:val="left"/>
      <w:pPr>
        <w:ind w:left="5935" w:hanging="420"/>
      </w:pPr>
      <w:rPr>
        <w:rFonts w:hint="default"/>
        <w:lang w:val="en-US" w:eastAsia="zh-CN" w:bidi="ar-SA"/>
      </w:rPr>
    </w:lvl>
    <w:lvl w:ilvl="5">
      <w:start w:val="0"/>
      <w:numFmt w:val="bullet"/>
      <w:lvlText w:val="•"/>
      <w:lvlJc w:val="left"/>
      <w:pPr>
        <w:ind w:left="6687" w:hanging="420"/>
      </w:pPr>
      <w:rPr>
        <w:rFonts w:hint="default"/>
        <w:lang w:val="en-US" w:eastAsia="zh-CN" w:bidi="ar-SA"/>
      </w:rPr>
    </w:lvl>
    <w:lvl w:ilvl="6">
      <w:start w:val="0"/>
      <w:numFmt w:val="bullet"/>
      <w:lvlText w:val="•"/>
      <w:lvlJc w:val="left"/>
      <w:pPr>
        <w:ind w:left="7439" w:hanging="420"/>
      </w:pPr>
      <w:rPr>
        <w:rFonts w:hint="default"/>
        <w:lang w:val="en-US" w:eastAsia="zh-CN" w:bidi="ar-SA"/>
      </w:rPr>
    </w:lvl>
    <w:lvl w:ilvl="7">
      <w:start w:val="0"/>
      <w:numFmt w:val="bullet"/>
      <w:lvlText w:val="•"/>
      <w:lvlJc w:val="left"/>
      <w:pPr>
        <w:ind w:left="8190" w:hanging="420"/>
      </w:pPr>
      <w:rPr>
        <w:rFonts w:hint="default"/>
        <w:lang w:val="en-US" w:eastAsia="zh-CN" w:bidi="ar-SA"/>
      </w:rPr>
    </w:lvl>
    <w:lvl w:ilvl="8">
      <w:start w:val="0"/>
      <w:numFmt w:val="bullet"/>
      <w:lvlText w:val="•"/>
      <w:lvlJc w:val="left"/>
      <w:pPr>
        <w:ind w:left="8942" w:hanging="420"/>
      </w:pPr>
      <w:rPr>
        <w:rFonts w:hint="default"/>
        <w:lang w:val="en-US" w:eastAsia="zh-CN" w:bidi="ar-SA"/>
      </w:rPr>
    </w:lvl>
  </w:abstractNum>
  <w:abstractNum w:abstractNumId="92">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91">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90">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89">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88">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87">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86">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85">
    <w:multiLevelType w:val="hybridMultilevel"/>
    <w:lvl w:ilvl="0">
      <w:start w:val="1"/>
      <w:numFmt w:val="lowerLetter"/>
      <w:lvlText w:val="%1."/>
      <w:lvlJc w:val="left"/>
      <w:pPr>
        <w:ind w:left="2534" w:hanging="213"/>
        <w:jc w:val="left"/>
      </w:pPr>
      <w:rPr>
        <w:rFonts w:hint="default" w:ascii="宋体" w:hAnsi="宋体" w:eastAsia="宋体" w:cs="宋体"/>
        <w:b w:val="0"/>
        <w:bCs w:val="0"/>
        <w:i w:val="0"/>
        <w:iCs w:val="0"/>
        <w:w w:val="100"/>
        <w:sz w:val="19"/>
        <w:szCs w:val="19"/>
        <w:shd w:fill="E4E4E4" w:color="auto" w:val="clear"/>
        <w:lang w:val="en-US" w:eastAsia="zh-CN" w:bidi="ar-SA"/>
      </w:rPr>
    </w:lvl>
    <w:lvl w:ilvl="1">
      <w:start w:val="0"/>
      <w:numFmt w:val="bullet"/>
      <w:lvlText w:val="•"/>
      <w:lvlJc w:val="left"/>
      <w:pPr>
        <w:ind w:left="3330" w:hanging="213"/>
      </w:pPr>
      <w:rPr>
        <w:rFonts w:hint="default"/>
        <w:lang w:val="en-US" w:eastAsia="zh-CN" w:bidi="ar-SA"/>
      </w:rPr>
    </w:lvl>
    <w:lvl w:ilvl="2">
      <w:start w:val="0"/>
      <w:numFmt w:val="bullet"/>
      <w:lvlText w:val="•"/>
      <w:lvlJc w:val="left"/>
      <w:pPr>
        <w:ind w:left="4121" w:hanging="213"/>
      </w:pPr>
      <w:rPr>
        <w:rFonts w:hint="default"/>
        <w:lang w:val="en-US" w:eastAsia="zh-CN" w:bidi="ar-SA"/>
      </w:rPr>
    </w:lvl>
    <w:lvl w:ilvl="3">
      <w:start w:val="0"/>
      <w:numFmt w:val="bullet"/>
      <w:lvlText w:val="•"/>
      <w:lvlJc w:val="left"/>
      <w:pPr>
        <w:ind w:left="4911" w:hanging="213"/>
      </w:pPr>
      <w:rPr>
        <w:rFonts w:hint="default"/>
        <w:lang w:val="en-US" w:eastAsia="zh-CN" w:bidi="ar-SA"/>
      </w:rPr>
    </w:lvl>
    <w:lvl w:ilvl="4">
      <w:start w:val="0"/>
      <w:numFmt w:val="bullet"/>
      <w:lvlText w:val="•"/>
      <w:lvlJc w:val="left"/>
      <w:pPr>
        <w:ind w:left="5702" w:hanging="213"/>
      </w:pPr>
      <w:rPr>
        <w:rFonts w:hint="default"/>
        <w:lang w:val="en-US" w:eastAsia="zh-CN" w:bidi="ar-SA"/>
      </w:rPr>
    </w:lvl>
    <w:lvl w:ilvl="5">
      <w:start w:val="0"/>
      <w:numFmt w:val="bullet"/>
      <w:lvlText w:val="•"/>
      <w:lvlJc w:val="left"/>
      <w:pPr>
        <w:ind w:left="6493" w:hanging="213"/>
      </w:pPr>
      <w:rPr>
        <w:rFonts w:hint="default"/>
        <w:lang w:val="en-US" w:eastAsia="zh-CN" w:bidi="ar-SA"/>
      </w:rPr>
    </w:lvl>
    <w:lvl w:ilvl="6">
      <w:start w:val="0"/>
      <w:numFmt w:val="bullet"/>
      <w:lvlText w:val="•"/>
      <w:lvlJc w:val="left"/>
      <w:pPr>
        <w:ind w:left="7283" w:hanging="213"/>
      </w:pPr>
      <w:rPr>
        <w:rFonts w:hint="default"/>
        <w:lang w:val="en-US" w:eastAsia="zh-CN" w:bidi="ar-SA"/>
      </w:rPr>
    </w:lvl>
    <w:lvl w:ilvl="7">
      <w:start w:val="0"/>
      <w:numFmt w:val="bullet"/>
      <w:lvlText w:val="•"/>
      <w:lvlJc w:val="left"/>
      <w:pPr>
        <w:ind w:left="8074" w:hanging="213"/>
      </w:pPr>
      <w:rPr>
        <w:rFonts w:hint="default"/>
        <w:lang w:val="en-US" w:eastAsia="zh-CN" w:bidi="ar-SA"/>
      </w:rPr>
    </w:lvl>
    <w:lvl w:ilvl="8">
      <w:start w:val="0"/>
      <w:numFmt w:val="bullet"/>
      <w:lvlText w:val="•"/>
      <w:lvlJc w:val="left"/>
      <w:pPr>
        <w:ind w:left="8865" w:hanging="213"/>
      </w:pPr>
      <w:rPr>
        <w:rFonts w:hint="default"/>
        <w:lang w:val="en-US" w:eastAsia="zh-CN" w:bidi="ar-SA"/>
      </w:rPr>
    </w:lvl>
  </w:abstractNum>
  <w:abstractNum w:abstractNumId="84">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83">
    <w:multiLevelType w:val="hybridMultilevel"/>
    <w:lvl w:ilvl="0">
      <w:start w:val="1"/>
      <w:numFmt w:val="decimal"/>
      <w:lvlText w:val="（%1）"/>
      <w:lvlJc w:val="left"/>
      <w:pPr>
        <w:ind w:left="3063"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537" w:hanging="529"/>
      </w:pPr>
      <w:rPr>
        <w:rFonts w:hint="default"/>
        <w:lang w:val="en-US" w:eastAsia="zh-CN" w:bidi="ar-SA"/>
      </w:rPr>
    </w:lvl>
    <w:lvl w:ilvl="3">
      <w:start w:val="0"/>
      <w:numFmt w:val="bullet"/>
      <w:lvlText w:val="•"/>
      <w:lvlJc w:val="left"/>
      <w:pPr>
        <w:ind w:left="5275" w:hanging="529"/>
      </w:pPr>
      <w:rPr>
        <w:rFonts w:hint="default"/>
        <w:lang w:val="en-US" w:eastAsia="zh-CN" w:bidi="ar-SA"/>
      </w:rPr>
    </w:lvl>
    <w:lvl w:ilvl="4">
      <w:start w:val="0"/>
      <w:numFmt w:val="bullet"/>
      <w:lvlText w:val="•"/>
      <w:lvlJc w:val="left"/>
      <w:pPr>
        <w:ind w:left="6014" w:hanging="529"/>
      </w:pPr>
      <w:rPr>
        <w:rFonts w:hint="default"/>
        <w:lang w:val="en-US" w:eastAsia="zh-CN" w:bidi="ar-SA"/>
      </w:rPr>
    </w:lvl>
    <w:lvl w:ilvl="5">
      <w:start w:val="0"/>
      <w:numFmt w:val="bullet"/>
      <w:lvlText w:val="•"/>
      <w:lvlJc w:val="left"/>
      <w:pPr>
        <w:ind w:left="6753" w:hanging="529"/>
      </w:pPr>
      <w:rPr>
        <w:rFonts w:hint="default"/>
        <w:lang w:val="en-US" w:eastAsia="zh-CN" w:bidi="ar-SA"/>
      </w:rPr>
    </w:lvl>
    <w:lvl w:ilvl="6">
      <w:start w:val="0"/>
      <w:numFmt w:val="bullet"/>
      <w:lvlText w:val="•"/>
      <w:lvlJc w:val="left"/>
      <w:pPr>
        <w:ind w:left="7491" w:hanging="529"/>
      </w:pPr>
      <w:rPr>
        <w:rFonts w:hint="default"/>
        <w:lang w:val="en-US" w:eastAsia="zh-CN" w:bidi="ar-SA"/>
      </w:rPr>
    </w:lvl>
    <w:lvl w:ilvl="7">
      <w:start w:val="0"/>
      <w:numFmt w:val="bullet"/>
      <w:lvlText w:val="•"/>
      <w:lvlJc w:val="left"/>
      <w:pPr>
        <w:ind w:left="8230" w:hanging="529"/>
      </w:pPr>
      <w:rPr>
        <w:rFonts w:hint="default"/>
        <w:lang w:val="en-US" w:eastAsia="zh-CN" w:bidi="ar-SA"/>
      </w:rPr>
    </w:lvl>
    <w:lvl w:ilvl="8">
      <w:start w:val="0"/>
      <w:numFmt w:val="bullet"/>
      <w:lvlText w:val="•"/>
      <w:lvlJc w:val="left"/>
      <w:pPr>
        <w:ind w:left="8969" w:hanging="529"/>
      </w:pPr>
      <w:rPr>
        <w:rFonts w:hint="default"/>
        <w:lang w:val="en-US" w:eastAsia="zh-CN" w:bidi="ar-SA"/>
      </w:rPr>
    </w:lvl>
  </w:abstractNum>
  <w:abstractNum w:abstractNumId="82">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81">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80">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79">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78">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77">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76">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75">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74">
    <w:multiLevelType w:val="hybridMultilevel"/>
    <w:lvl w:ilvl="0">
      <w:start w:val="1"/>
      <w:numFmt w:val="decimal"/>
      <w:lvlText w:val="（%1）"/>
      <w:lvlJc w:val="left"/>
      <w:pPr>
        <w:ind w:left="3063"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537" w:hanging="529"/>
      </w:pPr>
      <w:rPr>
        <w:rFonts w:hint="default"/>
        <w:lang w:val="en-US" w:eastAsia="zh-CN" w:bidi="ar-SA"/>
      </w:rPr>
    </w:lvl>
    <w:lvl w:ilvl="3">
      <w:start w:val="0"/>
      <w:numFmt w:val="bullet"/>
      <w:lvlText w:val="•"/>
      <w:lvlJc w:val="left"/>
      <w:pPr>
        <w:ind w:left="5275" w:hanging="529"/>
      </w:pPr>
      <w:rPr>
        <w:rFonts w:hint="default"/>
        <w:lang w:val="en-US" w:eastAsia="zh-CN" w:bidi="ar-SA"/>
      </w:rPr>
    </w:lvl>
    <w:lvl w:ilvl="4">
      <w:start w:val="0"/>
      <w:numFmt w:val="bullet"/>
      <w:lvlText w:val="•"/>
      <w:lvlJc w:val="left"/>
      <w:pPr>
        <w:ind w:left="6014" w:hanging="529"/>
      </w:pPr>
      <w:rPr>
        <w:rFonts w:hint="default"/>
        <w:lang w:val="en-US" w:eastAsia="zh-CN" w:bidi="ar-SA"/>
      </w:rPr>
    </w:lvl>
    <w:lvl w:ilvl="5">
      <w:start w:val="0"/>
      <w:numFmt w:val="bullet"/>
      <w:lvlText w:val="•"/>
      <w:lvlJc w:val="left"/>
      <w:pPr>
        <w:ind w:left="6753" w:hanging="529"/>
      </w:pPr>
      <w:rPr>
        <w:rFonts w:hint="default"/>
        <w:lang w:val="en-US" w:eastAsia="zh-CN" w:bidi="ar-SA"/>
      </w:rPr>
    </w:lvl>
    <w:lvl w:ilvl="6">
      <w:start w:val="0"/>
      <w:numFmt w:val="bullet"/>
      <w:lvlText w:val="•"/>
      <w:lvlJc w:val="left"/>
      <w:pPr>
        <w:ind w:left="7491" w:hanging="529"/>
      </w:pPr>
      <w:rPr>
        <w:rFonts w:hint="default"/>
        <w:lang w:val="en-US" w:eastAsia="zh-CN" w:bidi="ar-SA"/>
      </w:rPr>
    </w:lvl>
    <w:lvl w:ilvl="7">
      <w:start w:val="0"/>
      <w:numFmt w:val="bullet"/>
      <w:lvlText w:val="•"/>
      <w:lvlJc w:val="left"/>
      <w:pPr>
        <w:ind w:left="8230" w:hanging="529"/>
      </w:pPr>
      <w:rPr>
        <w:rFonts w:hint="default"/>
        <w:lang w:val="en-US" w:eastAsia="zh-CN" w:bidi="ar-SA"/>
      </w:rPr>
    </w:lvl>
    <w:lvl w:ilvl="8">
      <w:start w:val="0"/>
      <w:numFmt w:val="bullet"/>
      <w:lvlText w:val="•"/>
      <w:lvlJc w:val="left"/>
      <w:pPr>
        <w:ind w:left="8969" w:hanging="529"/>
      </w:pPr>
      <w:rPr>
        <w:rFonts w:hint="default"/>
        <w:lang w:val="en-US" w:eastAsia="zh-CN" w:bidi="ar-SA"/>
      </w:rPr>
    </w:lvl>
  </w:abstractNum>
  <w:abstractNum w:abstractNumId="73">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72">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71">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1"/>
      <w:numFmt w:val="lowerLetter"/>
      <w:lvlText w:val="%2)"/>
      <w:lvlJc w:val="left"/>
      <w:pPr>
        <w:ind w:left="3674" w:hanging="4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431" w:hanging="420"/>
      </w:pPr>
      <w:rPr>
        <w:rFonts w:hint="default"/>
        <w:lang w:val="en-US" w:eastAsia="zh-CN" w:bidi="ar-SA"/>
      </w:rPr>
    </w:lvl>
    <w:lvl w:ilvl="3">
      <w:start w:val="0"/>
      <w:numFmt w:val="bullet"/>
      <w:lvlText w:val="•"/>
      <w:lvlJc w:val="left"/>
      <w:pPr>
        <w:ind w:left="5183" w:hanging="420"/>
      </w:pPr>
      <w:rPr>
        <w:rFonts w:hint="default"/>
        <w:lang w:val="en-US" w:eastAsia="zh-CN" w:bidi="ar-SA"/>
      </w:rPr>
    </w:lvl>
    <w:lvl w:ilvl="4">
      <w:start w:val="0"/>
      <w:numFmt w:val="bullet"/>
      <w:lvlText w:val="•"/>
      <w:lvlJc w:val="left"/>
      <w:pPr>
        <w:ind w:left="5935" w:hanging="420"/>
      </w:pPr>
      <w:rPr>
        <w:rFonts w:hint="default"/>
        <w:lang w:val="en-US" w:eastAsia="zh-CN" w:bidi="ar-SA"/>
      </w:rPr>
    </w:lvl>
    <w:lvl w:ilvl="5">
      <w:start w:val="0"/>
      <w:numFmt w:val="bullet"/>
      <w:lvlText w:val="•"/>
      <w:lvlJc w:val="left"/>
      <w:pPr>
        <w:ind w:left="6687" w:hanging="420"/>
      </w:pPr>
      <w:rPr>
        <w:rFonts w:hint="default"/>
        <w:lang w:val="en-US" w:eastAsia="zh-CN" w:bidi="ar-SA"/>
      </w:rPr>
    </w:lvl>
    <w:lvl w:ilvl="6">
      <w:start w:val="0"/>
      <w:numFmt w:val="bullet"/>
      <w:lvlText w:val="•"/>
      <w:lvlJc w:val="left"/>
      <w:pPr>
        <w:ind w:left="7439" w:hanging="420"/>
      </w:pPr>
      <w:rPr>
        <w:rFonts w:hint="default"/>
        <w:lang w:val="en-US" w:eastAsia="zh-CN" w:bidi="ar-SA"/>
      </w:rPr>
    </w:lvl>
    <w:lvl w:ilvl="7">
      <w:start w:val="0"/>
      <w:numFmt w:val="bullet"/>
      <w:lvlText w:val="•"/>
      <w:lvlJc w:val="left"/>
      <w:pPr>
        <w:ind w:left="8190" w:hanging="420"/>
      </w:pPr>
      <w:rPr>
        <w:rFonts w:hint="default"/>
        <w:lang w:val="en-US" w:eastAsia="zh-CN" w:bidi="ar-SA"/>
      </w:rPr>
    </w:lvl>
    <w:lvl w:ilvl="8">
      <w:start w:val="0"/>
      <w:numFmt w:val="bullet"/>
      <w:lvlText w:val="•"/>
      <w:lvlJc w:val="left"/>
      <w:pPr>
        <w:ind w:left="8942" w:hanging="420"/>
      </w:pPr>
      <w:rPr>
        <w:rFonts w:hint="default"/>
        <w:lang w:val="en-US" w:eastAsia="zh-CN" w:bidi="ar-SA"/>
      </w:rPr>
    </w:lvl>
  </w:abstractNum>
  <w:abstractNum w:abstractNumId="70">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69">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68">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67">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66">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65">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64">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63">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62">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61">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60">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59">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58">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57">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56">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1"/>
      <w:numFmt w:val="lowerLetter"/>
      <w:lvlText w:val="%2)"/>
      <w:lvlJc w:val="left"/>
      <w:pPr>
        <w:ind w:left="3674" w:hanging="4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431" w:hanging="420"/>
      </w:pPr>
      <w:rPr>
        <w:rFonts w:hint="default"/>
        <w:lang w:val="en-US" w:eastAsia="zh-CN" w:bidi="ar-SA"/>
      </w:rPr>
    </w:lvl>
    <w:lvl w:ilvl="3">
      <w:start w:val="0"/>
      <w:numFmt w:val="bullet"/>
      <w:lvlText w:val="•"/>
      <w:lvlJc w:val="left"/>
      <w:pPr>
        <w:ind w:left="5183" w:hanging="420"/>
      </w:pPr>
      <w:rPr>
        <w:rFonts w:hint="default"/>
        <w:lang w:val="en-US" w:eastAsia="zh-CN" w:bidi="ar-SA"/>
      </w:rPr>
    </w:lvl>
    <w:lvl w:ilvl="4">
      <w:start w:val="0"/>
      <w:numFmt w:val="bullet"/>
      <w:lvlText w:val="•"/>
      <w:lvlJc w:val="left"/>
      <w:pPr>
        <w:ind w:left="5935" w:hanging="420"/>
      </w:pPr>
      <w:rPr>
        <w:rFonts w:hint="default"/>
        <w:lang w:val="en-US" w:eastAsia="zh-CN" w:bidi="ar-SA"/>
      </w:rPr>
    </w:lvl>
    <w:lvl w:ilvl="5">
      <w:start w:val="0"/>
      <w:numFmt w:val="bullet"/>
      <w:lvlText w:val="•"/>
      <w:lvlJc w:val="left"/>
      <w:pPr>
        <w:ind w:left="6687" w:hanging="420"/>
      </w:pPr>
      <w:rPr>
        <w:rFonts w:hint="default"/>
        <w:lang w:val="en-US" w:eastAsia="zh-CN" w:bidi="ar-SA"/>
      </w:rPr>
    </w:lvl>
    <w:lvl w:ilvl="6">
      <w:start w:val="0"/>
      <w:numFmt w:val="bullet"/>
      <w:lvlText w:val="•"/>
      <w:lvlJc w:val="left"/>
      <w:pPr>
        <w:ind w:left="7439" w:hanging="420"/>
      </w:pPr>
      <w:rPr>
        <w:rFonts w:hint="default"/>
        <w:lang w:val="en-US" w:eastAsia="zh-CN" w:bidi="ar-SA"/>
      </w:rPr>
    </w:lvl>
    <w:lvl w:ilvl="7">
      <w:start w:val="0"/>
      <w:numFmt w:val="bullet"/>
      <w:lvlText w:val="•"/>
      <w:lvlJc w:val="left"/>
      <w:pPr>
        <w:ind w:left="8190" w:hanging="420"/>
      </w:pPr>
      <w:rPr>
        <w:rFonts w:hint="default"/>
        <w:lang w:val="en-US" w:eastAsia="zh-CN" w:bidi="ar-SA"/>
      </w:rPr>
    </w:lvl>
    <w:lvl w:ilvl="8">
      <w:start w:val="0"/>
      <w:numFmt w:val="bullet"/>
      <w:lvlText w:val="•"/>
      <w:lvlJc w:val="left"/>
      <w:pPr>
        <w:ind w:left="8942" w:hanging="420"/>
      </w:pPr>
      <w:rPr>
        <w:rFonts w:hint="default"/>
        <w:lang w:val="en-US" w:eastAsia="zh-CN" w:bidi="ar-SA"/>
      </w:rPr>
    </w:lvl>
  </w:abstractNum>
  <w:abstractNum w:abstractNumId="55">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54">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53">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52">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51">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50">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49">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48">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47">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46">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45">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44">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43">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1"/>
      <w:numFmt w:val="lowerLetter"/>
      <w:lvlText w:val="%2)"/>
      <w:lvlJc w:val="left"/>
      <w:pPr>
        <w:ind w:left="3674" w:hanging="4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431" w:hanging="420"/>
      </w:pPr>
      <w:rPr>
        <w:rFonts w:hint="default"/>
        <w:lang w:val="en-US" w:eastAsia="zh-CN" w:bidi="ar-SA"/>
      </w:rPr>
    </w:lvl>
    <w:lvl w:ilvl="3">
      <w:start w:val="0"/>
      <w:numFmt w:val="bullet"/>
      <w:lvlText w:val="•"/>
      <w:lvlJc w:val="left"/>
      <w:pPr>
        <w:ind w:left="5183" w:hanging="420"/>
      </w:pPr>
      <w:rPr>
        <w:rFonts w:hint="default"/>
        <w:lang w:val="en-US" w:eastAsia="zh-CN" w:bidi="ar-SA"/>
      </w:rPr>
    </w:lvl>
    <w:lvl w:ilvl="4">
      <w:start w:val="0"/>
      <w:numFmt w:val="bullet"/>
      <w:lvlText w:val="•"/>
      <w:lvlJc w:val="left"/>
      <w:pPr>
        <w:ind w:left="5935" w:hanging="420"/>
      </w:pPr>
      <w:rPr>
        <w:rFonts w:hint="default"/>
        <w:lang w:val="en-US" w:eastAsia="zh-CN" w:bidi="ar-SA"/>
      </w:rPr>
    </w:lvl>
    <w:lvl w:ilvl="5">
      <w:start w:val="0"/>
      <w:numFmt w:val="bullet"/>
      <w:lvlText w:val="•"/>
      <w:lvlJc w:val="left"/>
      <w:pPr>
        <w:ind w:left="6687" w:hanging="420"/>
      </w:pPr>
      <w:rPr>
        <w:rFonts w:hint="default"/>
        <w:lang w:val="en-US" w:eastAsia="zh-CN" w:bidi="ar-SA"/>
      </w:rPr>
    </w:lvl>
    <w:lvl w:ilvl="6">
      <w:start w:val="0"/>
      <w:numFmt w:val="bullet"/>
      <w:lvlText w:val="•"/>
      <w:lvlJc w:val="left"/>
      <w:pPr>
        <w:ind w:left="7439" w:hanging="420"/>
      </w:pPr>
      <w:rPr>
        <w:rFonts w:hint="default"/>
        <w:lang w:val="en-US" w:eastAsia="zh-CN" w:bidi="ar-SA"/>
      </w:rPr>
    </w:lvl>
    <w:lvl w:ilvl="7">
      <w:start w:val="0"/>
      <w:numFmt w:val="bullet"/>
      <w:lvlText w:val="•"/>
      <w:lvlJc w:val="left"/>
      <w:pPr>
        <w:ind w:left="8190" w:hanging="420"/>
      </w:pPr>
      <w:rPr>
        <w:rFonts w:hint="default"/>
        <w:lang w:val="en-US" w:eastAsia="zh-CN" w:bidi="ar-SA"/>
      </w:rPr>
    </w:lvl>
    <w:lvl w:ilvl="8">
      <w:start w:val="0"/>
      <w:numFmt w:val="bullet"/>
      <w:lvlText w:val="•"/>
      <w:lvlJc w:val="left"/>
      <w:pPr>
        <w:ind w:left="8942" w:hanging="420"/>
      </w:pPr>
      <w:rPr>
        <w:rFonts w:hint="default"/>
        <w:lang w:val="en-US" w:eastAsia="zh-CN" w:bidi="ar-SA"/>
      </w:rPr>
    </w:lvl>
  </w:abstractNum>
  <w:abstractNum w:abstractNumId="42">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41">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40">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39">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38">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37">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36">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35">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34">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33">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32">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31">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30">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29">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28">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27">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26">
    <w:multiLevelType w:val="hybridMultilevel"/>
    <w:lvl w:ilvl="0">
      <w:start w:val="1"/>
      <w:numFmt w:val="upperRoman"/>
      <w:lvlText w:val="%1"/>
      <w:lvlJc w:val="left"/>
      <w:pPr>
        <w:ind w:left="296" w:hanging="137"/>
        <w:jc w:val="left"/>
      </w:pPr>
      <w:rPr>
        <w:rFonts w:hint="default" w:ascii="楷体" w:hAnsi="楷体" w:eastAsia="楷体" w:cs="楷体"/>
        <w:b w:val="0"/>
        <w:bCs w:val="0"/>
        <w:i w:val="0"/>
        <w:iCs w:val="0"/>
        <w:w w:val="100"/>
        <w:sz w:val="18"/>
        <w:szCs w:val="18"/>
        <w:lang w:val="en-US" w:eastAsia="zh-CN" w:bidi="ar-SA"/>
      </w:rPr>
    </w:lvl>
    <w:lvl w:ilvl="1">
      <w:start w:val="0"/>
      <w:numFmt w:val="bullet"/>
      <w:lvlText w:val="•"/>
      <w:lvlJc w:val="left"/>
      <w:pPr>
        <w:ind w:left="1314" w:hanging="137"/>
      </w:pPr>
      <w:rPr>
        <w:rFonts w:hint="default"/>
        <w:lang w:val="en-US" w:eastAsia="zh-CN" w:bidi="ar-SA"/>
      </w:rPr>
    </w:lvl>
    <w:lvl w:ilvl="2">
      <w:start w:val="0"/>
      <w:numFmt w:val="bullet"/>
      <w:lvlText w:val="•"/>
      <w:lvlJc w:val="left"/>
      <w:pPr>
        <w:ind w:left="2329" w:hanging="137"/>
      </w:pPr>
      <w:rPr>
        <w:rFonts w:hint="default"/>
        <w:lang w:val="en-US" w:eastAsia="zh-CN" w:bidi="ar-SA"/>
      </w:rPr>
    </w:lvl>
    <w:lvl w:ilvl="3">
      <w:start w:val="0"/>
      <w:numFmt w:val="bullet"/>
      <w:lvlText w:val="•"/>
      <w:lvlJc w:val="left"/>
      <w:pPr>
        <w:ind w:left="3343" w:hanging="137"/>
      </w:pPr>
      <w:rPr>
        <w:rFonts w:hint="default"/>
        <w:lang w:val="en-US" w:eastAsia="zh-CN" w:bidi="ar-SA"/>
      </w:rPr>
    </w:lvl>
    <w:lvl w:ilvl="4">
      <w:start w:val="0"/>
      <w:numFmt w:val="bullet"/>
      <w:lvlText w:val="•"/>
      <w:lvlJc w:val="left"/>
      <w:pPr>
        <w:ind w:left="4358" w:hanging="137"/>
      </w:pPr>
      <w:rPr>
        <w:rFonts w:hint="default"/>
        <w:lang w:val="en-US" w:eastAsia="zh-CN" w:bidi="ar-SA"/>
      </w:rPr>
    </w:lvl>
    <w:lvl w:ilvl="5">
      <w:start w:val="0"/>
      <w:numFmt w:val="bullet"/>
      <w:lvlText w:val="•"/>
      <w:lvlJc w:val="left"/>
      <w:pPr>
        <w:ind w:left="5373" w:hanging="137"/>
      </w:pPr>
      <w:rPr>
        <w:rFonts w:hint="default"/>
        <w:lang w:val="en-US" w:eastAsia="zh-CN" w:bidi="ar-SA"/>
      </w:rPr>
    </w:lvl>
    <w:lvl w:ilvl="6">
      <w:start w:val="0"/>
      <w:numFmt w:val="bullet"/>
      <w:lvlText w:val="•"/>
      <w:lvlJc w:val="left"/>
      <w:pPr>
        <w:ind w:left="6387" w:hanging="137"/>
      </w:pPr>
      <w:rPr>
        <w:rFonts w:hint="default"/>
        <w:lang w:val="en-US" w:eastAsia="zh-CN" w:bidi="ar-SA"/>
      </w:rPr>
    </w:lvl>
    <w:lvl w:ilvl="7">
      <w:start w:val="0"/>
      <w:numFmt w:val="bullet"/>
      <w:lvlText w:val="•"/>
      <w:lvlJc w:val="left"/>
      <w:pPr>
        <w:ind w:left="7402" w:hanging="137"/>
      </w:pPr>
      <w:rPr>
        <w:rFonts w:hint="default"/>
        <w:lang w:val="en-US" w:eastAsia="zh-CN" w:bidi="ar-SA"/>
      </w:rPr>
    </w:lvl>
    <w:lvl w:ilvl="8">
      <w:start w:val="0"/>
      <w:numFmt w:val="bullet"/>
      <w:lvlText w:val="•"/>
      <w:lvlJc w:val="left"/>
      <w:pPr>
        <w:ind w:left="8417" w:hanging="137"/>
      </w:pPr>
      <w:rPr>
        <w:rFonts w:hint="default"/>
        <w:lang w:val="en-US" w:eastAsia="zh-CN" w:bidi="ar-SA"/>
      </w:rPr>
    </w:lvl>
  </w:abstractNum>
  <w:abstractNum w:abstractNumId="25">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1"/>
      <w:numFmt w:val="lowerLetter"/>
      <w:lvlText w:val="%2)"/>
      <w:lvlJc w:val="left"/>
      <w:pPr>
        <w:ind w:left="3950" w:hanging="68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680" w:hanging="682"/>
      </w:pPr>
      <w:rPr>
        <w:rFonts w:hint="default"/>
        <w:lang w:val="en-US" w:eastAsia="zh-CN" w:bidi="ar-SA"/>
      </w:rPr>
    </w:lvl>
    <w:lvl w:ilvl="3">
      <w:start w:val="0"/>
      <w:numFmt w:val="bullet"/>
      <w:lvlText w:val="•"/>
      <w:lvlJc w:val="left"/>
      <w:pPr>
        <w:ind w:left="5401" w:hanging="682"/>
      </w:pPr>
      <w:rPr>
        <w:rFonts w:hint="default"/>
        <w:lang w:val="en-US" w:eastAsia="zh-CN" w:bidi="ar-SA"/>
      </w:rPr>
    </w:lvl>
    <w:lvl w:ilvl="4">
      <w:start w:val="0"/>
      <w:numFmt w:val="bullet"/>
      <w:lvlText w:val="•"/>
      <w:lvlJc w:val="left"/>
      <w:pPr>
        <w:ind w:left="6122" w:hanging="682"/>
      </w:pPr>
      <w:rPr>
        <w:rFonts w:hint="default"/>
        <w:lang w:val="en-US" w:eastAsia="zh-CN" w:bidi="ar-SA"/>
      </w:rPr>
    </w:lvl>
    <w:lvl w:ilvl="5">
      <w:start w:val="0"/>
      <w:numFmt w:val="bullet"/>
      <w:lvlText w:val="•"/>
      <w:lvlJc w:val="left"/>
      <w:pPr>
        <w:ind w:left="6842" w:hanging="682"/>
      </w:pPr>
      <w:rPr>
        <w:rFonts w:hint="default"/>
        <w:lang w:val="en-US" w:eastAsia="zh-CN" w:bidi="ar-SA"/>
      </w:rPr>
    </w:lvl>
    <w:lvl w:ilvl="6">
      <w:start w:val="0"/>
      <w:numFmt w:val="bullet"/>
      <w:lvlText w:val="•"/>
      <w:lvlJc w:val="left"/>
      <w:pPr>
        <w:ind w:left="7563" w:hanging="682"/>
      </w:pPr>
      <w:rPr>
        <w:rFonts w:hint="default"/>
        <w:lang w:val="en-US" w:eastAsia="zh-CN" w:bidi="ar-SA"/>
      </w:rPr>
    </w:lvl>
    <w:lvl w:ilvl="7">
      <w:start w:val="0"/>
      <w:numFmt w:val="bullet"/>
      <w:lvlText w:val="•"/>
      <w:lvlJc w:val="left"/>
      <w:pPr>
        <w:ind w:left="8284" w:hanging="682"/>
      </w:pPr>
      <w:rPr>
        <w:rFonts w:hint="default"/>
        <w:lang w:val="en-US" w:eastAsia="zh-CN" w:bidi="ar-SA"/>
      </w:rPr>
    </w:lvl>
    <w:lvl w:ilvl="8">
      <w:start w:val="0"/>
      <w:numFmt w:val="bullet"/>
      <w:lvlText w:val="•"/>
      <w:lvlJc w:val="left"/>
      <w:pPr>
        <w:ind w:left="9004" w:hanging="682"/>
      </w:pPr>
      <w:rPr>
        <w:rFonts w:hint="default"/>
        <w:lang w:val="en-US" w:eastAsia="zh-CN" w:bidi="ar-SA"/>
      </w:rPr>
    </w:lvl>
  </w:abstractNum>
  <w:abstractNum w:abstractNumId="24">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23">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22">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21">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20">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9">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8">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7">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6">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5">
    <w:multiLevelType w:val="hybridMultilevel"/>
    <w:lvl w:ilvl="0">
      <w:start w:val="0"/>
      <w:numFmt w:val="decimal"/>
      <w:lvlText w:val="%1"/>
      <w:lvlJc w:val="left"/>
      <w:pPr>
        <w:ind w:left="354" w:hanging="138"/>
        <w:jc w:val="left"/>
      </w:pPr>
      <w:rPr>
        <w:rFonts w:hint="default" w:ascii="楷体" w:hAnsi="楷体" w:eastAsia="楷体" w:cs="楷体"/>
        <w:b w:val="0"/>
        <w:bCs w:val="0"/>
        <w:i w:val="0"/>
        <w:iCs w:val="0"/>
        <w:w w:val="100"/>
        <w:sz w:val="18"/>
        <w:szCs w:val="18"/>
        <w:lang w:val="en-US" w:eastAsia="zh-CN" w:bidi="ar-SA"/>
      </w:rPr>
    </w:lvl>
    <w:lvl w:ilvl="1">
      <w:start w:val="0"/>
      <w:numFmt w:val="bullet"/>
      <w:lvlText w:val="•"/>
      <w:lvlJc w:val="left"/>
      <w:pPr>
        <w:ind w:left="1368" w:hanging="138"/>
      </w:pPr>
      <w:rPr>
        <w:rFonts w:hint="default"/>
        <w:lang w:val="en-US" w:eastAsia="zh-CN" w:bidi="ar-SA"/>
      </w:rPr>
    </w:lvl>
    <w:lvl w:ilvl="2">
      <w:start w:val="0"/>
      <w:numFmt w:val="bullet"/>
      <w:lvlText w:val="•"/>
      <w:lvlJc w:val="left"/>
      <w:pPr>
        <w:ind w:left="2377" w:hanging="138"/>
      </w:pPr>
      <w:rPr>
        <w:rFonts w:hint="default"/>
        <w:lang w:val="en-US" w:eastAsia="zh-CN" w:bidi="ar-SA"/>
      </w:rPr>
    </w:lvl>
    <w:lvl w:ilvl="3">
      <w:start w:val="0"/>
      <w:numFmt w:val="bullet"/>
      <w:lvlText w:val="•"/>
      <w:lvlJc w:val="left"/>
      <w:pPr>
        <w:ind w:left="3385" w:hanging="138"/>
      </w:pPr>
      <w:rPr>
        <w:rFonts w:hint="default"/>
        <w:lang w:val="en-US" w:eastAsia="zh-CN" w:bidi="ar-SA"/>
      </w:rPr>
    </w:lvl>
    <w:lvl w:ilvl="4">
      <w:start w:val="0"/>
      <w:numFmt w:val="bullet"/>
      <w:lvlText w:val="•"/>
      <w:lvlJc w:val="left"/>
      <w:pPr>
        <w:ind w:left="4394" w:hanging="138"/>
      </w:pPr>
      <w:rPr>
        <w:rFonts w:hint="default"/>
        <w:lang w:val="en-US" w:eastAsia="zh-CN" w:bidi="ar-SA"/>
      </w:rPr>
    </w:lvl>
    <w:lvl w:ilvl="5">
      <w:start w:val="0"/>
      <w:numFmt w:val="bullet"/>
      <w:lvlText w:val="•"/>
      <w:lvlJc w:val="left"/>
      <w:pPr>
        <w:ind w:left="5403" w:hanging="138"/>
      </w:pPr>
      <w:rPr>
        <w:rFonts w:hint="default"/>
        <w:lang w:val="en-US" w:eastAsia="zh-CN" w:bidi="ar-SA"/>
      </w:rPr>
    </w:lvl>
    <w:lvl w:ilvl="6">
      <w:start w:val="0"/>
      <w:numFmt w:val="bullet"/>
      <w:lvlText w:val="•"/>
      <w:lvlJc w:val="left"/>
      <w:pPr>
        <w:ind w:left="6411" w:hanging="138"/>
      </w:pPr>
      <w:rPr>
        <w:rFonts w:hint="default"/>
        <w:lang w:val="en-US" w:eastAsia="zh-CN" w:bidi="ar-SA"/>
      </w:rPr>
    </w:lvl>
    <w:lvl w:ilvl="7">
      <w:start w:val="0"/>
      <w:numFmt w:val="bullet"/>
      <w:lvlText w:val="•"/>
      <w:lvlJc w:val="left"/>
      <w:pPr>
        <w:ind w:left="7420" w:hanging="138"/>
      </w:pPr>
      <w:rPr>
        <w:rFonts w:hint="default"/>
        <w:lang w:val="en-US" w:eastAsia="zh-CN" w:bidi="ar-SA"/>
      </w:rPr>
    </w:lvl>
    <w:lvl w:ilvl="8">
      <w:start w:val="0"/>
      <w:numFmt w:val="bullet"/>
      <w:lvlText w:val="•"/>
      <w:lvlJc w:val="left"/>
      <w:pPr>
        <w:ind w:left="8429" w:hanging="138"/>
      </w:pPr>
      <w:rPr>
        <w:rFonts w:hint="default"/>
        <w:lang w:val="en-US" w:eastAsia="zh-CN" w:bidi="ar-SA"/>
      </w:rPr>
    </w:lvl>
  </w:abstractNum>
  <w:abstractNum w:abstractNumId="14">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3">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2">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78" w:hanging="721"/>
      </w:pPr>
      <w:rPr>
        <w:rFonts w:hint="default"/>
        <w:lang w:val="en-US" w:eastAsia="zh-CN" w:bidi="ar-SA"/>
      </w:rPr>
    </w:lvl>
    <w:lvl w:ilvl="2">
      <w:start w:val="0"/>
      <w:numFmt w:val="bullet"/>
      <w:lvlText w:val="•"/>
      <w:lvlJc w:val="left"/>
      <w:pPr>
        <w:ind w:left="4697" w:hanging="721"/>
      </w:pPr>
      <w:rPr>
        <w:rFonts w:hint="default"/>
        <w:lang w:val="en-US" w:eastAsia="zh-CN" w:bidi="ar-SA"/>
      </w:rPr>
    </w:lvl>
    <w:lvl w:ilvl="3">
      <w:start w:val="0"/>
      <w:numFmt w:val="bullet"/>
      <w:lvlText w:val="•"/>
      <w:lvlJc w:val="left"/>
      <w:pPr>
        <w:ind w:left="5415" w:hanging="721"/>
      </w:pPr>
      <w:rPr>
        <w:rFonts w:hint="default"/>
        <w:lang w:val="en-US" w:eastAsia="zh-CN" w:bidi="ar-SA"/>
      </w:rPr>
    </w:lvl>
    <w:lvl w:ilvl="4">
      <w:start w:val="0"/>
      <w:numFmt w:val="bullet"/>
      <w:lvlText w:val="•"/>
      <w:lvlJc w:val="left"/>
      <w:pPr>
        <w:ind w:left="6134" w:hanging="721"/>
      </w:pPr>
      <w:rPr>
        <w:rFonts w:hint="default"/>
        <w:lang w:val="en-US" w:eastAsia="zh-CN" w:bidi="ar-SA"/>
      </w:rPr>
    </w:lvl>
    <w:lvl w:ilvl="5">
      <w:start w:val="0"/>
      <w:numFmt w:val="bullet"/>
      <w:lvlText w:val="•"/>
      <w:lvlJc w:val="left"/>
      <w:pPr>
        <w:ind w:left="6853" w:hanging="721"/>
      </w:pPr>
      <w:rPr>
        <w:rFonts w:hint="default"/>
        <w:lang w:val="en-US" w:eastAsia="zh-CN" w:bidi="ar-SA"/>
      </w:rPr>
    </w:lvl>
    <w:lvl w:ilvl="6">
      <w:start w:val="0"/>
      <w:numFmt w:val="bullet"/>
      <w:lvlText w:val="•"/>
      <w:lvlJc w:val="left"/>
      <w:pPr>
        <w:ind w:left="7571" w:hanging="721"/>
      </w:pPr>
      <w:rPr>
        <w:rFonts w:hint="default"/>
        <w:lang w:val="en-US" w:eastAsia="zh-CN" w:bidi="ar-SA"/>
      </w:rPr>
    </w:lvl>
    <w:lvl w:ilvl="7">
      <w:start w:val="0"/>
      <w:numFmt w:val="bullet"/>
      <w:lvlText w:val="•"/>
      <w:lvlJc w:val="left"/>
      <w:pPr>
        <w:ind w:left="8290" w:hanging="721"/>
      </w:pPr>
      <w:rPr>
        <w:rFonts w:hint="default"/>
        <w:lang w:val="en-US" w:eastAsia="zh-CN" w:bidi="ar-SA"/>
      </w:rPr>
    </w:lvl>
    <w:lvl w:ilvl="8">
      <w:start w:val="0"/>
      <w:numFmt w:val="bullet"/>
      <w:lvlText w:val="•"/>
      <w:lvlJc w:val="left"/>
      <w:pPr>
        <w:ind w:left="9009" w:hanging="721"/>
      </w:pPr>
      <w:rPr>
        <w:rFonts w:hint="default"/>
        <w:lang w:val="en-US" w:eastAsia="zh-CN" w:bidi="ar-SA"/>
      </w:rPr>
    </w:lvl>
  </w:abstractNum>
  <w:abstractNum w:abstractNumId="11">
    <w:multiLevelType w:val="hybridMultilevel"/>
    <w:lvl w:ilvl="0">
      <w:start w:val="1"/>
      <w:numFmt w:val="decimal"/>
      <w:lvlText w:val="%1)"/>
      <w:lvlJc w:val="left"/>
      <w:pPr>
        <w:ind w:left="3254" w:hanging="721"/>
        <w:jc w:val="left"/>
      </w:pPr>
      <w:rPr>
        <w:rFonts w:hint="default" w:ascii="宋体" w:hAnsi="宋体" w:eastAsia="宋体" w:cs="宋体"/>
        <w:b w:val="0"/>
        <w:bCs w:val="0"/>
        <w:i w:val="0"/>
        <w:iCs w:val="0"/>
        <w:w w:val="100"/>
        <w:sz w:val="21"/>
        <w:szCs w:val="21"/>
        <w:lang w:val="en-US" w:eastAsia="zh-CN" w:bidi="ar-SA"/>
      </w:rPr>
    </w:lvl>
    <w:lvl w:ilvl="1">
      <w:start w:val="1"/>
      <w:numFmt w:val="lowerLetter"/>
      <w:lvlText w:val="%2."/>
      <w:lvlJc w:val="left"/>
      <w:pPr>
        <w:ind w:left="3254" w:hanging="213"/>
        <w:jc w:val="left"/>
      </w:pPr>
      <w:rPr>
        <w:rFonts w:hint="default" w:ascii="宋体" w:hAnsi="宋体" w:eastAsia="宋体" w:cs="宋体"/>
        <w:b w:val="0"/>
        <w:bCs w:val="0"/>
        <w:i w:val="0"/>
        <w:iCs w:val="0"/>
        <w:w w:val="100"/>
        <w:sz w:val="19"/>
        <w:szCs w:val="19"/>
        <w:shd w:fill="E4E4E4" w:color="auto" w:val="clear"/>
        <w:lang w:val="en-US" w:eastAsia="zh-CN" w:bidi="ar-SA"/>
      </w:rPr>
    </w:lvl>
    <w:lvl w:ilvl="2">
      <w:start w:val="0"/>
      <w:numFmt w:val="bullet"/>
      <w:lvlText w:val="•"/>
      <w:lvlJc w:val="left"/>
      <w:pPr>
        <w:ind w:left="4697" w:hanging="213"/>
      </w:pPr>
      <w:rPr>
        <w:rFonts w:hint="default"/>
        <w:lang w:val="en-US" w:eastAsia="zh-CN" w:bidi="ar-SA"/>
      </w:rPr>
    </w:lvl>
    <w:lvl w:ilvl="3">
      <w:start w:val="0"/>
      <w:numFmt w:val="bullet"/>
      <w:lvlText w:val="•"/>
      <w:lvlJc w:val="left"/>
      <w:pPr>
        <w:ind w:left="5415" w:hanging="213"/>
      </w:pPr>
      <w:rPr>
        <w:rFonts w:hint="default"/>
        <w:lang w:val="en-US" w:eastAsia="zh-CN" w:bidi="ar-SA"/>
      </w:rPr>
    </w:lvl>
    <w:lvl w:ilvl="4">
      <w:start w:val="0"/>
      <w:numFmt w:val="bullet"/>
      <w:lvlText w:val="•"/>
      <w:lvlJc w:val="left"/>
      <w:pPr>
        <w:ind w:left="6134" w:hanging="213"/>
      </w:pPr>
      <w:rPr>
        <w:rFonts w:hint="default"/>
        <w:lang w:val="en-US" w:eastAsia="zh-CN" w:bidi="ar-SA"/>
      </w:rPr>
    </w:lvl>
    <w:lvl w:ilvl="5">
      <w:start w:val="0"/>
      <w:numFmt w:val="bullet"/>
      <w:lvlText w:val="•"/>
      <w:lvlJc w:val="left"/>
      <w:pPr>
        <w:ind w:left="6853" w:hanging="213"/>
      </w:pPr>
      <w:rPr>
        <w:rFonts w:hint="default"/>
        <w:lang w:val="en-US" w:eastAsia="zh-CN" w:bidi="ar-SA"/>
      </w:rPr>
    </w:lvl>
    <w:lvl w:ilvl="6">
      <w:start w:val="0"/>
      <w:numFmt w:val="bullet"/>
      <w:lvlText w:val="•"/>
      <w:lvlJc w:val="left"/>
      <w:pPr>
        <w:ind w:left="7571" w:hanging="213"/>
      </w:pPr>
      <w:rPr>
        <w:rFonts w:hint="default"/>
        <w:lang w:val="en-US" w:eastAsia="zh-CN" w:bidi="ar-SA"/>
      </w:rPr>
    </w:lvl>
    <w:lvl w:ilvl="7">
      <w:start w:val="0"/>
      <w:numFmt w:val="bullet"/>
      <w:lvlText w:val="•"/>
      <w:lvlJc w:val="left"/>
      <w:pPr>
        <w:ind w:left="8290" w:hanging="213"/>
      </w:pPr>
      <w:rPr>
        <w:rFonts w:hint="default"/>
        <w:lang w:val="en-US" w:eastAsia="zh-CN" w:bidi="ar-SA"/>
      </w:rPr>
    </w:lvl>
    <w:lvl w:ilvl="8">
      <w:start w:val="0"/>
      <w:numFmt w:val="bullet"/>
      <w:lvlText w:val="•"/>
      <w:lvlJc w:val="left"/>
      <w:pPr>
        <w:ind w:left="9009" w:hanging="213"/>
      </w:pPr>
      <w:rPr>
        <w:rFonts w:hint="default"/>
        <w:lang w:val="en-US" w:eastAsia="zh-CN" w:bidi="ar-SA"/>
      </w:rPr>
    </w:lvl>
  </w:abstractNum>
  <w:abstractNum w:abstractNumId="10">
    <w:multiLevelType w:val="hybridMultilevel"/>
    <w:lvl w:ilvl="0">
      <w:start w:val="1"/>
      <w:numFmt w:val="decimal"/>
      <w:lvlText w:val="（%1）"/>
      <w:lvlJc w:val="left"/>
      <w:pPr>
        <w:ind w:left="3063"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3798" w:hanging="529"/>
      </w:pPr>
      <w:rPr>
        <w:rFonts w:hint="default"/>
        <w:lang w:val="en-US" w:eastAsia="zh-CN" w:bidi="ar-SA"/>
      </w:rPr>
    </w:lvl>
    <w:lvl w:ilvl="2">
      <w:start w:val="0"/>
      <w:numFmt w:val="bullet"/>
      <w:lvlText w:val="•"/>
      <w:lvlJc w:val="left"/>
      <w:pPr>
        <w:ind w:left="4537" w:hanging="529"/>
      </w:pPr>
      <w:rPr>
        <w:rFonts w:hint="default"/>
        <w:lang w:val="en-US" w:eastAsia="zh-CN" w:bidi="ar-SA"/>
      </w:rPr>
    </w:lvl>
    <w:lvl w:ilvl="3">
      <w:start w:val="0"/>
      <w:numFmt w:val="bullet"/>
      <w:lvlText w:val="•"/>
      <w:lvlJc w:val="left"/>
      <w:pPr>
        <w:ind w:left="5275" w:hanging="529"/>
      </w:pPr>
      <w:rPr>
        <w:rFonts w:hint="default"/>
        <w:lang w:val="en-US" w:eastAsia="zh-CN" w:bidi="ar-SA"/>
      </w:rPr>
    </w:lvl>
    <w:lvl w:ilvl="4">
      <w:start w:val="0"/>
      <w:numFmt w:val="bullet"/>
      <w:lvlText w:val="•"/>
      <w:lvlJc w:val="left"/>
      <w:pPr>
        <w:ind w:left="6014" w:hanging="529"/>
      </w:pPr>
      <w:rPr>
        <w:rFonts w:hint="default"/>
        <w:lang w:val="en-US" w:eastAsia="zh-CN" w:bidi="ar-SA"/>
      </w:rPr>
    </w:lvl>
    <w:lvl w:ilvl="5">
      <w:start w:val="0"/>
      <w:numFmt w:val="bullet"/>
      <w:lvlText w:val="•"/>
      <w:lvlJc w:val="left"/>
      <w:pPr>
        <w:ind w:left="6753" w:hanging="529"/>
      </w:pPr>
      <w:rPr>
        <w:rFonts w:hint="default"/>
        <w:lang w:val="en-US" w:eastAsia="zh-CN" w:bidi="ar-SA"/>
      </w:rPr>
    </w:lvl>
    <w:lvl w:ilvl="6">
      <w:start w:val="0"/>
      <w:numFmt w:val="bullet"/>
      <w:lvlText w:val="•"/>
      <w:lvlJc w:val="left"/>
      <w:pPr>
        <w:ind w:left="7491" w:hanging="529"/>
      </w:pPr>
      <w:rPr>
        <w:rFonts w:hint="default"/>
        <w:lang w:val="en-US" w:eastAsia="zh-CN" w:bidi="ar-SA"/>
      </w:rPr>
    </w:lvl>
    <w:lvl w:ilvl="7">
      <w:start w:val="0"/>
      <w:numFmt w:val="bullet"/>
      <w:lvlText w:val="•"/>
      <w:lvlJc w:val="left"/>
      <w:pPr>
        <w:ind w:left="8230" w:hanging="529"/>
      </w:pPr>
      <w:rPr>
        <w:rFonts w:hint="default"/>
        <w:lang w:val="en-US" w:eastAsia="zh-CN" w:bidi="ar-SA"/>
      </w:rPr>
    </w:lvl>
    <w:lvl w:ilvl="8">
      <w:start w:val="0"/>
      <w:numFmt w:val="bullet"/>
      <w:lvlText w:val="•"/>
      <w:lvlJc w:val="left"/>
      <w:pPr>
        <w:ind w:left="8969" w:hanging="529"/>
      </w:pPr>
      <w:rPr>
        <w:rFonts w:hint="default"/>
        <w:lang w:val="en-US" w:eastAsia="zh-CN" w:bidi="ar-SA"/>
      </w:rPr>
    </w:lvl>
  </w:abstractNum>
  <w:abstractNum w:abstractNumId="9">
    <w:multiLevelType w:val="hybridMultilevel"/>
    <w:lvl w:ilvl="0">
      <w:start w:val="1"/>
      <w:numFmt w:val="decimal"/>
      <w:lvlText w:val="（%1）"/>
      <w:lvlJc w:val="left"/>
      <w:pPr>
        <w:ind w:left="3792"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464" w:hanging="720"/>
      </w:pPr>
      <w:rPr>
        <w:rFonts w:hint="default"/>
        <w:lang w:val="en-US" w:eastAsia="zh-CN" w:bidi="ar-SA"/>
      </w:rPr>
    </w:lvl>
    <w:lvl w:ilvl="2">
      <w:start w:val="0"/>
      <w:numFmt w:val="bullet"/>
      <w:lvlText w:val="•"/>
      <w:lvlJc w:val="left"/>
      <w:pPr>
        <w:ind w:left="5129" w:hanging="720"/>
      </w:pPr>
      <w:rPr>
        <w:rFonts w:hint="default"/>
        <w:lang w:val="en-US" w:eastAsia="zh-CN" w:bidi="ar-SA"/>
      </w:rPr>
    </w:lvl>
    <w:lvl w:ilvl="3">
      <w:start w:val="0"/>
      <w:numFmt w:val="bullet"/>
      <w:lvlText w:val="•"/>
      <w:lvlJc w:val="left"/>
      <w:pPr>
        <w:ind w:left="5793" w:hanging="720"/>
      </w:pPr>
      <w:rPr>
        <w:rFonts w:hint="default"/>
        <w:lang w:val="en-US" w:eastAsia="zh-CN" w:bidi="ar-SA"/>
      </w:rPr>
    </w:lvl>
    <w:lvl w:ilvl="4">
      <w:start w:val="0"/>
      <w:numFmt w:val="bullet"/>
      <w:lvlText w:val="•"/>
      <w:lvlJc w:val="left"/>
      <w:pPr>
        <w:ind w:left="6458" w:hanging="720"/>
      </w:pPr>
      <w:rPr>
        <w:rFonts w:hint="default"/>
        <w:lang w:val="en-US" w:eastAsia="zh-CN" w:bidi="ar-SA"/>
      </w:rPr>
    </w:lvl>
    <w:lvl w:ilvl="5">
      <w:start w:val="0"/>
      <w:numFmt w:val="bullet"/>
      <w:lvlText w:val="•"/>
      <w:lvlJc w:val="left"/>
      <w:pPr>
        <w:ind w:left="7123" w:hanging="720"/>
      </w:pPr>
      <w:rPr>
        <w:rFonts w:hint="default"/>
        <w:lang w:val="en-US" w:eastAsia="zh-CN" w:bidi="ar-SA"/>
      </w:rPr>
    </w:lvl>
    <w:lvl w:ilvl="6">
      <w:start w:val="0"/>
      <w:numFmt w:val="bullet"/>
      <w:lvlText w:val="•"/>
      <w:lvlJc w:val="left"/>
      <w:pPr>
        <w:ind w:left="7787" w:hanging="720"/>
      </w:pPr>
      <w:rPr>
        <w:rFonts w:hint="default"/>
        <w:lang w:val="en-US" w:eastAsia="zh-CN" w:bidi="ar-SA"/>
      </w:rPr>
    </w:lvl>
    <w:lvl w:ilvl="7">
      <w:start w:val="0"/>
      <w:numFmt w:val="bullet"/>
      <w:lvlText w:val="•"/>
      <w:lvlJc w:val="left"/>
      <w:pPr>
        <w:ind w:left="8452" w:hanging="720"/>
      </w:pPr>
      <w:rPr>
        <w:rFonts w:hint="default"/>
        <w:lang w:val="en-US" w:eastAsia="zh-CN" w:bidi="ar-SA"/>
      </w:rPr>
    </w:lvl>
    <w:lvl w:ilvl="8">
      <w:start w:val="0"/>
      <w:numFmt w:val="bullet"/>
      <w:lvlText w:val="•"/>
      <w:lvlJc w:val="left"/>
      <w:pPr>
        <w:ind w:left="9117" w:hanging="720"/>
      </w:pPr>
      <w:rPr>
        <w:rFonts w:hint="default"/>
        <w:lang w:val="en-US" w:eastAsia="zh-CN" w:bidi="ar-SA"/>
      </w:rPr>
    </w:lvl>
  </w:abstractNum>
  <w:abstractNum w:abstractNumId="8">
    <w:multiLevelType w:val="hybridMultilevel"/>
    <w:lvl w:ilvl="0">
      <w:start w:val="8"/>
      <w:numFmt w:val="decimal"/>
      <w:lvlText w:val="%1"/>
      <w:lvlJc w:val="left"/>
      <w:pPr>
        <w:ind w:left="3072" w:hanging="1102"/>
        <w:jc w:val="left"/>
      </w:pPr>
      <w:rPr>
        <w:rFonts w:hint="default"/>
        <w:lang w:val="en-US" w:eastAsia="zh-CN" w:bidi="ar-SA"/>
      </w:rPr>
    </w:lvl>
    <w:lvl w:ilvl="1">
      <w:start w:val="3"/>
      <w:numFmt w:val="decimal"/>
      <w:lvlText w:val="%1.%2"/>
      <w:lvlJc w:val="left"/>
      <w:pPr>
        <w:ind w:left="3072" w:hanging="1102"/>
        <w:jc w:val="left"/>
      </w:pPr>
      <w:rPr>
        <w:rFonts w:hint="default" w:ascii="宋体" w:hAnsi="宋体" w:eastAsia="宋体" w:cs="宋体"/>
        <w:b/>
        <w:bCs/>
        <w:i w:val="0"/>
        <w:iCs w:val="0"/>
        <w:w w:val="99"/>
        <w:position w:val="1"/>
        <w:sz w:val="21"/>
        <w:szCs w:val="21"/>
        <w:lang w:val="en-US" w:eastAsia="zh-CN" w:bidi="ar-SA"/>
      </w:rPr>
    </w:lvl>
    <w:lvl w:ilvl="2">
      <w:start w:val="1"/>
      <w:numFmt w:val="decimal"/>
      <w:lvlText w:val="（%3）"/>
      <w:lvlJc w:val="left"/>
      <w:pPr>
        <w:ind w:left="3792" w:hanging="720"/>
        <w:jc w:val="left"/>
      </w:pPr>
      <w:rPr>
        <w:rFonts w:hint="default"/>
        <w:w w:val="100"/>
        <w:lang w:val="en-US" w:eastAsia="zh-CN" w:bidi="ar-SA"/>
      </w:rPr>
    </w:lvl>
    <w:lvl w:ilvl="3">
      <w:start w:val="0"/>
      <w:numFmt w:val="bullet"/>
      <w:lvlText w:val="•"/>
      <w:lvlJc w:val="left"/>
      <w:pPr>
        <w:ind w:left="5276" w:hanging="720"/>
      </w:pPr>
      <w:rPr>
        <w:rFonts w:hint="default"/>
        <w:lang w:val="en-US" w:eastAsia="zh-CN" w:bidi="ar-SA"/>
      </w:rPr>
    </w:lvl>
    <w:lvl w:ilvl="4">
      <w:start w:val="0"/>
      <w:numFmt w:val="bullet"/>
      <w:lvlText w:val="•"/>
      <w:lvlJc w:val="left"/>
      <w:pPr>
        <w:ind w:left="6015" w:hanging="720"/>
      </w:pPr>
      <w:rPr>
        <w:rFonts w:hint="default"/>
        <w:lang w:val="en-US" w:eastAsia="zh-CN" w:bidi="ar-SA"/>
      </w:rPr>
    </w:lvl>
    <w:lvl w:ilvl="5">
      <w:start w:val="0"/>
      <w:numFmt w:val="bullet"/>
      <w:lvlText w:val="•"/>
      <w:lvlJc w:val="left"/>
      <w:pPr>
        <w:ind w:left="6753" w:hanging="720"/>
      </w:pPr>
      <w:rPr>
        <w:rFonts w:hint="default"/>
        <w:lang w:val="en-US" w:eastAsia="zh-CN" w:bidi="ar-SA"/>
      </w:rPr>
    </w:lvl>
    <w:lvl w:ilvl="6">
      <w:start w:val="0"/>
      <w:numFmt w:val="bullet"/>
      <w:lvlText w:val="•"/>
      <w:lvlJc w:val="left"/>
      <w:pPr>
        <w:ind w:left="7492" w:hanging="720"/>
      </w:pPr>
      <w:rPr>
        <w:rFonts w:hint="default"/>
        <w:lang w:val="en-US" w:eastAsia="zh-CN" w:bidi="ar-SA"/>
      </w:rPr>
    </w:lvl>
    <w:lvl w:ilvl="7">
      <w:start w:val="0"/>
      <w:numFmt w:val="bullet"/>
      <w:lvlText w:val="•"/>
      <w:lvlJc w:val="left"/>
      <w:pPr>
        <w:ind w:left="8230" w:hanging="720"/>
      </w:pPr>
      <w:rPr>
        <w:rFonts w:hint="default"/>
        <w:lang w:val="en-US" w:eastAsia="zh-CN" w:bidi="ar-SA"/>
      </w:rPr>
    </w:lvl>
    <w:lvl w:ilvl="8">
      <w:start w:val="0"/>
      <w:numFmt w:val="bullet"/>
      <w:lvlText w:val="•"/>
      <w:lvlJc w:val="left"/>
      <w:pPr>
        <w:ind w:left="8969" w:hanging="720"/>
      </w:pPr>
      <w:rPr>
        <w:rFonts w:hint="default"/>
        <w:lang w:val="en-US" w:eastAsia="zh-CN" w:bidi="ar-SA"/>
      </w:rPr>
    </w:lvl>
  </w:abstractNum>
  <w:abstractNum w:abstractNumId="7">
    <w:multiLevelType w:val="hybridMultilevel"/>
    <w:lvl w:ilvl="0">
      <w:start w:val="1"/>
      <w:numFmt w:val="decimal"/>
      <w:lvlText w:val="（%1）"/>
      <w:lvlJc w:val="left"/>
      <w:pPr>
        <w:ind w:left="79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84" w:hanging="529"/>
      </w:pPr>
      <w:rPr>
        <w:rFonts w:hint="default"/>
        <w:lang w:val="en-US" w:eastAsia="zh-CN" w:bidi="ar-SA"/>
      </w:rPr>
    </w:lvl>
    <w:lvl w:ilvl="2">
      <w:start w:val="0"/>
      <w:numFmt w:val="bullet"/>
      <w:lvlText w:val="•"/>
      <w:lvlJc w:val="left"/>
      <w:pPr>
        <w:ind w:left="2168" w:hanging="529"/>
      </w:pPr>
      <w:rPr>
        <w:rFonts w:hint="default"/>
        <w:lang w:val="en-US" w:eastAsia="zh-CN" w:bidi="ar-SA"/>
      </w:rPr>
    </w:lvl>
    <w:lvl w:ilvl="3">
      <w:start w:val="0"/>
      <w:numFmt w:val="bullet"/>
      <w:lvlText w:val="•"/>
      <w:lvlJc w:val="left"/>
      <w:pPr>
        <w:ind w:left="2852" w:hanging="529"/>
      </w:pPr>
      <w:rPr>
        <w:rFonts w:hint="default"/>
        <w:lang w:val="en-US" w:eastAsia="zh-CN" w:bidi="ar-SA"/>
      </w:rPr>
    </w:lvl>
    <w:lvl w:ilvl="4">
      <w:start w:val="0"/>
      <w:numFmt w:val="bullet"/>
      <w:lvlText w:val="•"/>
      <w:lvlJc w:val="left"/>
      <w:pPr>
        <w:ind w:left="3536" w:hanging="529"/>
      </w:pPr>
      <w:rPr>
        <w:rFonts w:hint="default"/>
        <w:lang w:val="en-US" w:eastAsia="zh-CN" w:bidi="ar-SA"/>
      </w:rPr>
    </w:lvl>
    <w:lvl w:ilvl="5">
      <w:start w:val="0"/>
      <w:numFmt w:val="bullet"/>
      <w:lvlText w:val="•"/>
      <w:lvlJc w:val="left"/>
      <w:pPr>
        <w:ind w:left="4221" w:hanging="529"/>
      </w:pPr>
      <w:rPr>
        <w:rFonts w:hint="default"/>
        <w:lang w:val="en-US" w:eastAsia="zh-CN" w:bidi="ar-SA"/>
      </w:rPr>
    </w:lvl>
    <w:lvl w:ilvl="6">
      <w:start w:val="0"/>
      <w:numFmt w:val="bullet"/>
      <w:lvlText w:val="•"/>
      <w:lvlJc w:val="left"/>
      <w:pPr>
        <w:ind w:left="4905" w:hanging="529"/>
      </w:pPr>
      <w:rPr>
        <w:rFonts w:hint="default"/>
        <w:lang w:val="en-US" w:eastAsia="zh-CN" w:bidi="ar-SA"/>
      </w:rPr>
    </w:lvl>
    <w:lvl w:ilvl="7">
      <w:start w:val="0"/>
      <w:numFmt w:val="bullet"/>
      <w:lvlText w:val="•"/>
      <w:lvlJc w:val="left"/>
      <w:pPr>
        <w:ind w:left="5589" w:hanging="529"/>
      </w:pPr>
      <w:rPr>
        <w:rFonts w:hint="default"/>
        <w:lang w:val="en-US" w:eastAsia="zh-CN" w:bidi="ar-SA"/>
      </w:rPr>
    </w:lvl>
    <w:lvl w:ilvl="8">
      <w:start w:val="0"/>
      <w:numFmt w:val="bullet"/>
      <w:lvlText w:val="•"/>
      <w:lvlJc w:val="left"/>
      <w:pPr>
        <w:ind w:left="6273" w:hanging="529"/>
      </w:pPr>
      <w:rPr>
        <w:rFonts w:hint="default"/>
        <w:lang w:val="en-US" w:eastAsia="zh-CN" w:bidi="ar-SA"/>
      </w:rPr>
    </w:lvl>
  </w:abstractNum>
  <w:abstractNum w:abstractNumId="6">
    <w:multiLevelType w:val="hybridMultilevel"/>
    <w:lvl w:ilvl="0">
      <w:start w:val="1"/>
      <w:numFmt w:val="decimal"/>
      <w:lvlText w:val="（%1）"/>
      <w:lvlJc w:val="left"/>
      <w:pPr>
        <w:ind w:left="988" w:hanging="720"/>
        <w:jc w:val="left"/>
      </w:pPr>
      <w:rPr>
        <w:rFonts w:hint="default" w:ascii="宋体" w:hAnsi="宋体" w:eastAsia="宋体" w:cs="宋体"/>
        <w:b w:val="0"/>
        <w:bCs w:val="0"/>
        <w:i w:val="0"/>
        <w:iCs w:val="0"/>
        <w:w w:val="100"/>
        <w:sz w:val="21"/>
        <w:szCs w:val="21"/>
        <w:lang w:val="en-US" w:eastAsia="zh-CN" w:bidi="ar-SA"/>
      </w:rPr>
    </w:lvl>
    <w:lvl w:ilvl="1">
      <w:start w:val="2"/>
      <w:numFmt w:val="decimal"/>
      <w:lvlText w:val="（%2）"/>
      <w:lvlJc w:val="left"/>
      <w:pPr>
        <w:ind w:left="3792" w:hanging="7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226" w:hanging="720"/>
      </w:pPr>
      <w:rPr>
        <w:rFonts w:hint="default"/>
        <w:lang w:val="en-US" w:eastAsia="zh-CN" w:bidi="ar-SA"/>
      </w:rPr>
    </w:lvl>
    <w:lvl w:ilvl="3">
      <w:start w:val="0"/>
      <w:numFmt w:val="bullet"/>
      <w:lvlText w:val="•"/>
      <w:lvlJc w:val="left"/>
      <w:pPr>
        <w:ind w:left="4653" w:hanging="720"/>
      </w:pPr>
      <w:rPr>
        <w:rFonts w:hint="default"/>
        <w:lang w:val="en-US" w:eastAsia="zh-CN" w:bidi="ar-SA"/>
      </w:rPr>
    </w:lvl>
    <w:lvl w:ilvl="4">
      <w:start w:val="0"/>
      <w:numFmt w:val="bullet"/>
      <w:lvlText w:val="•"/>
      <w:lvlJc w:val="left"/>
      <w:pPr>
        <w:ind w:left="5080" w:hanging="720"/>
      </w:pPr>
      <w:rPr>
        <w:rFonts w:hint="default"/>
        <w:lang w:val="en-US" w:eastAsia="zh-CN" w:bidi="ar-SA"/>
      </w:rPr>
    </w:lvl>
    <w:lvl w:ilvl="5">
      <w:start w:val="0"/>
      <w:numFmt w:val="bullet"/>
      <w:lvlText w:val="•"/>
      <w:lvlJc w:val="left"/>
      <w:pPr>
        <w:ind w:left="5507" w:hanging="720"/>
      </w:pPr>
      <w:rPr>
        <w:rFonts w:hint="default"/>
        <w:lang w:val="en-US" w:eastAsia="zh-CN" w:bidi="ar-SA"/>
      </w:rPr>
    </w:lvl>
    <w:lvl w:ilvl="6">
      <w:start w:val="0"/>
      <w:numFmt w:val="bullet"/>
      <w:lvlText w:val="•"/>
      <w:lvlJc w:val="left"/>
      <w:pPr>
        <w:ind w:left="5934" w:hanging="720"/>
      </w:pPr>
      <w:rPr>
        <w:rFonts w:hint="default"/>
        <w:lang w:val="en-US" w:eastAsia="zh-CN" w:bidi="ar-SA"/>
      </w:rPr>
    </w:lvl>
    <w:lvl w:ilvl="7">
      <w:start w:val="0"/>
      <w:numFmt w:val="bullet"/>
      <w:lvlText w:val="•"/>
      <w:lvlJc w:val="left"/>
      <w:pPr>
        <w:ind w:left="6361" w:hanging="720"/>
      </w:pPr>
      <w:rPr>
        <w:rFonts w:hint="default"/>
        <w:lang w:val="en-US" w:eastAsia="zh-CN" w:bidi="ar-SA"/>
      </w:rPr>
    </w:lvl>
    <w:lvl w:ilvl="8">
      <w:start w:val="0"/>
      <w:numFmt w:val="bullet"/>
      <w:lvlText w:val="•"/>
      <w:lvlJc w:val="left"/>
      <w:pPr>
        <w:ind w:left="6788" w:hanging="720"/>
      </w:pPr>
      <w:rPr>
        <w:rFonts w:hint="default"/>
        <w:lang w:val="en-US" w:eastAsia="zh-CN" w:bidi="ar-SA"/>
      </w:rPr>
    </w:lvl>
  </w:abstractNum>
  <w:abstractNum w:abstractNumId="5">
    <w:multiLevelType w:val="hybridMultilevel"/>
    <w:lvl w:ilvl="0">
      <w:start w:val="1"/>
      <w:numFmt w:val="decimal"/>
      <w:lvlText w:val="（%1）"/>
      <w:lvlJc w:val="left"/>
      <w:pPr>
        <w:ind w:left="3792"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464" w:hanging="720"/>
      </w:pPr>
      <w:rPr>
        <w:rFonts w:hint="default"/>
        <w:lang w:val="en-US" w:eastAsia="zh-CN" w:bidi="ar-SA"/>
      </w:rPr>
    </w:lvl>
    <w:lvl w:ilvl="2">
      <w:start w:val="0"/>
      <w:numFmt w:val="bullet"/>
      <w:lvlText w:val="•"/>
      <w:lvlJc w:val="left"/>
      <w:pPr>
        <w:ind w:left="5129" w:hanging="720"/>
      </w:pPr>
      <w:rPr>
        <w:rFonts w:hint="default"/>
        <w:lang w:val="en-US" w:eastAsia="zh-CN" w:bidi="ar-SA"/>
      </w:rPr>
    </w:lvl>
    <w:lvl w:ilvl="3">
      <w:start w:val="0"/>
      <w:numFmt w:val="bullet"/>
      <w:lvlText w:val="•"/>
      <w:lvlJc w:val="left"/>
      <w:pPr>
        <w:ind w:left="5793" w:hanging="720"/>
      </w:pPr>
      <w:rPr>
        <w:rFonts w:hint="default"/>
        <w:lang w:val="en-US" w:eastAsia="zh-CN" w:bidi="ar-SA"/>
      </w:rPr>
    </w:lvl>
    <w:lvl w:ilvl="4">
      <w:start w:val="0"/>
      <w:numFmt w:val="bullet"/>
      <w:lvlText w:val="•"/>
      <w:lvlJc w:val="left"/>
      <w:pPr>
        <w:ind w:left="6458" w:hanging="720"/>
      </w:pPr>
      <w:rPr>
        <w:rFonts w:hint="default"/>
        <w:lang w:val="en-US" w:eastAsia="zh-CN" w:bidi="ar-SA"/>
      </w:rPr>
    </w:lvl>
    <w:lvl w:ilvl="5">
      <w:start w:val="0"/>
      <w:numFmt w:val="bullet"/>
      <w:lvlText w:val="•"/>
      <w:lvlJc w:val="left"/>
      <w:pPr>
        <w:ind w:left="7123" w:hanging="720"/>
      </w:pPr>
      <w:rPr>
        <w:rFonts w:hint="default"/>
        <w:lang w:val="en-US" w:eastAsia="zh-CN" w:bidi="ar-SA"/>
      </w:rPr>
    </w:lvl>
    <w:lvl w:ilvl="6">
      <w:start w:val="0"/>
      <w:numFmt w:val="bullet"/>
      <w:lvlText w:val="•"/>
      <w:lvlJc w:val="left"/>
      <w:pPr>
        <w:ind w:left="7787" w:hanging="720"/>
      </w:pPr>
      <w:rPr>
        <w:rFonts w:hint="default"/>
        <w:lang w:val="en-US" w:eastAsia="zh-CN" w:bidi="ar-SA"/>
      </w:rPr>
    </w:lvl>
    <w:lvl w:ilvl="7">
      <w:start w:val="0"/>
      <w:numFmt w:val="bullet"/>
      <w:lvlText w:val="•"/>
      <w:lvlJc w:val="left"/>
      <w:pPr>
        <w:ind w:left="8452" w:hanging="720"/>
      </w:pPr>
      <w:rPr>
        <w:rFonts w:hint="default"/>
        <w:lang w:val="en-US" w:eastAsia="zh-CN" w:bidi="ar-SA"/>
      </w:rPr>
    </w:lvl>
    <w:lvl w:ilvl="8">
      <w:start w:val="0"/>
      <w:numFmt w:val="bullet"/>
      <w:lvlText w:val="•"/>
      <w:lvlJc w:val="left"/>
      <w:pPr>
        <w:ind w:left="9117" w:hanging="720"/>
      </w:pPr>
      <w:rPr>
        <w:rFonts w:hint="default"/>
        <w:lang w:val="en-US" w:eastAsia="zh-CN" w:bidi="ar-SA"/>
      </w:rPr>
    </w:lvl>
  </w:abstractNum>
  <w:abstractNum w:abstractNumId="4">
    <w:multiLevelType w:val="hybridMultilevel"/>
    <w:lvl w:ilvl="0">
      <w:start w:val="1"/>
      <w:numFmt w:val="decimal"/>
      <w:lvlText w:val="（%1）"/>
      <w:lvlJc w:val="left"/>
      <w:pPr>
        <w:ind w:left="988" w:hanging="720"/>
        <w:jc w:val="left"/>
      </w:pPr>
      <w:rPr>
        <w:rFonts w:hint="default" w:ascii="宋体" w:hAnsi="宋体" w:eastAsia="宋体" w:cs="宋体"/>
        <w:b w:val="0"/>
        <w:bCs w:val="0"/>
        <w:i w:val="0"/>
        <w:iCs w:val="0"/>
        <w:w w:val="100"/>
        <w:sz w:val="21"/>
        <w:szCs w:val="21"/>
        <w:lang w:val="en-US" w:eastAsia="zh-CN" w:bidi="ar-SA"/>
      </w:rPr>
    </w:lvl>
    <w:lvl w:ilvl="1">
      <w:start w:val="2"/>
      <w:numFmt w:val="decimal"/>
      <w:lvlText w:val="（%2）"/>
      <w:lvlJc w:val="left"/>
      <w:pPr>
        <w:ind w:left="3792" w:hanging="7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226" w:hanging="720"/>
      </w:pPr>
      <w:rPr>
        <w:rFonts w:hint="default"/>
        <w:lang w:val="en-US" w:eastAsia="zh-CN" w:bidi="ar-SA"/>
      </w:rPr>
    </w:lvl>
    <w:lvl w:ilvl="3">
      <w:start w:val="0"/>
      <w:numFmt w:val="bullet"/>
      <w:lvlText w:val="•"/>
      <w:lvlJc w:val="left"/>
      <w:pPr>
        <w:ind w:left="4653" w:hanging="720"/>
      </w:pPr>
      <w:rPr>
        <w:rFonts w:hint="default"/>
        <w:lang w:val="en-US" w:eastAsia="zh-CN" w:bidi="ar-SA"/>
      </w:rPr>
    </w:lvl>
    <w:lvl w:ilvl="4">
      <w:start w:val="0"/>
      <w:numFmt w:val="bullet"/>
      <w:lvlText w:val="•"/>
      <w:lvlJc w:val="left"/>
      <w:pPr>
        <w:ind w:left="5080" w:hanging="720"/>
      </w:pPr>
      <w:rPr>
        <w:rFonts w:hint="default"/>
        <w:lang w:val="en-US" w:eastAsia="zh-CN" w:bidi="ar-SA"/>
      </w:rPr>
    </w:lvl>
    <w:lvl w:ilvl="5">
      <w:start w:val="0"/>
      <w:numFmt w:val="bullet"/>
      <w:lvlText w:val="•"/>
      <w:lvlJc w:val="left"/>
      <w:pPr>
        <w:ind w:left="5507" w:hanging="720"/>
      </w:pPr>
      <w:rPr>
        <w:rFonts w:hint="default"/>
        <w:lang w:val="en-US" w:eastAsia="zh-CN" w:bidi="ar-SA"/>
      </w:rPr>
    </w:lvl>
    <w:lvl w:ilvl="6">
      <w:start w:val="0"/>
      <w:numFmt w:val="bullet"/>
      <w:lvlText w:val="•"/>
      <w:lvlJc w:val="left"/>
      <w:pPr>
        <w:ind w:left="5934" w:hanging="720"/>
      </w:pPr>
      <w:rPr>
        <w:rFonts w:hint="default"/>
        <w:lang w:val="en-US" w:eastAsia="zh-CN" w:bidi="ar-SA"/>
      </w:rPr>
    </w:lvl>
    <w:lvl w:ilvl="7">
      <w:start w:val="0"/>
      <w:numFmt w:val="bullet"/>
      <w:lvlText w:val="•"/>
      <w:lvlJc w:val="left"/>
      <w:pPr>
        <w:ind w:left="6361" w:hanging="720"/>
      </w:pPr>
      <w:rPr>
        <w:rFonts w:hint="default"/>
        <w:lang w:val="en-US" w:eastAsia="zh-CN" w:bidi="ar-SA"/>
      </w:rPr>
    </w:lvl>
    <w:lvl w:ilvl="8">
      <w:start w:val="0"/>
      <w:numFmt w:val="bullet"/>
      <w:lvlText w:val="•"/>
      <w:lvlJc w:val="left"/>
      <w:pPr>
        <w:ind w:left="6788" w:hanging="720"/>
      </w:pPr>
      <w:rPr>
        <w:rFonts w:hint="default"/>
        <w:lang w:val="en-US" w:eastAsia="zh-CN" w:bidi="ar-SA"/>
      </w:rPr>
    </w:lvl>
  </w:abstractNum>
  <w:abstractNum w:abstractNumId="3">
    <w:multiLevelType w:val="hybridMultilevel"/>
    <w:lvl w:ilvl="0">
      <w:start w:val="1"/>
      <w:numFmt w:val="decimal"/>
      <w:lvlText w:val="（%1）"/>
      <w:lvlJc w:val="left"/>
      <w:pPr>
        <w:ind w:left="3792"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464" w:hanging="720"/>
      </w:pPr>
      <w:rPr>
        <w:rFonts w:hint="default"/>
        <w:lang w:val="en-US" w:eastAsia="zh-CN" w:bidi="ar-SA"/>
      </w:rPr>
    </w:lvl>
    <w:lvl w:ilvl="2">
      <w:start w:val="0"/>
      <w:numFmt w:val="bullet"/>
      <w:lvlText w:val="•"/>
      <w:lvlJc w:val="left"/>
      <w:pPr>
        <w:ind w:left="5129" w:hanging="720"/>
      </w:pPr>
      <w:rPr>
        <w:rFonts w:hint="default"/>
        <w:lang w:val="en-US" w:eastAsia="zh-CN" w:bidi="ar-SA"/>
      </w:rPr>
    </w:lvl>
    <w:lvl w:ilvl="3">
      <w:start w:val="0"/>
      <w:numFmt w:val="bullet"/>
      <w:lvlText w:val="•"/>
      <w:lvlJc w:val="left"/>
      <w:pPr>
        <w:ind w:left="5793" w:hanging="720"/>
      </w:pPr>
      <w:rPr>
        <w:rFonts w:hint="default"/>
        <w:lang w:val="en-US" w:eastAsia="zh-CN" w:bidi="ar-SA"/>
      </w:rPr>
    </w:lvl>
    <w:lvl w:ilvl="4">
      <w:start w:val="0"/>
      <w:numFmt w:val="bullet"/>
      <w:lvlText w:val="•"/>
      <w:lvlJc w:val="left"/>
      <w:pPr>
        <w:ind w:left="6458" w:hanging="720"/>
      </w:pPr>
      <w:rPr>
        <w:rFonts w:hint="default"/>
        <w:lang w:val="en-US" w:eastAsia="zh-CN" w:bidi="ar-SA"/>
      </w:rPr>
    </w:lvl>
    <w:lvl w:ilvl="5">
      <w:start w:val="0"/>
      <w:numFmt w:val="bullet"/>
      <w:lvlText w:val="•"/>
      <w:lvlJc w:val="left"/>
      <w:pPr>
        <w:ind w:left="7123" w:hanging="720"/>
      </w:pPr>
      <w:rPr>
        <w:rFonts w:hint="default"/>
        <w:lang w:val="en-US" w:eastAsia="zh-CN" w:bidi="ar-SA"/>
      </w:rPr>
    </w:lvl>
    <w:lvl w:ilvl="6">
      <w:start w:val="0"/>
      <w:numFmt w:val="bullet"/>
      <w:lvlText w:val="•"/>
      <w:lvlJc w:val="left"/>
      <w:pPr>
        <w:ind w:left="7787" w:hanging="720"/>
      </w:pPr>
      <w:rPr>
        <w:rFonts w:hint="default"/>
        <w:lang w:val="en-US" w:eastAsia="zh-CN" w:bidi="ar-SA"/>
      </w:rPr>
    </w:lvl>
    <w:lvl w:ilvl="7">
      <w:start w:val="0"/>
      <w:numFmt w:val="bullet"/>
      <w:lvlText w:val="•"/>
      <w:lvlJc w:val="left"/>
      <w:pPr>
        <w:ind w:left="8452" w:hanging="720"/>
      </w:pPr>
      <w:rPr>
        <w:rFonts w:hint="default"/>
        <w:lang w:val="en-US" w:eastAsia="zh-CN" w:bidi="ar-SA"/>
      </w:rPr>
    </w:lvl>
    <w:lvl w:ilvl="8">
      <w:start w:val="0"/>
      <w:numFmt w:val="bullet"/>
      <w:lvlText w:val="•"/>
      <w:lvlJc w:val="left"/>
      <w:pPr>
        <w:ind w:left="9117" w:hanging="720"/>
      </w:pPr>
      <w:rPr>
        <w:rFonts w:hint="default"/>
        <w:lang w:val="en-US" w:eastAsia="zh-CN" w:bidi="ar-SA"/>
      </w:rPr>
    </w:lvl>
  </w:abstractNum>
  <w:abstractNum w:abstractNumId="2">
    <w:multiLevelType w:val="hybridMultilevel"/>
    <w:lvl w:ilvl="0">
      <w:start w:val="1"/>
      <w:numFmt w:val="decimal"/>
      <w:lvlText w:val="（%1）"/>
      <w:lvlJc w:val="left"/>
      <w:pPr>
        <w:ind w:left="612" w:hanging="453"/>
        <w:jc w:val="left"/>
      </w:pPr>
      <w:rPr>
        <w:rFonts w:hint="default" w:ascii="楷体" w:hAnsi="楷体" w:eastAsia="楷体" w:cs="楷体"/>
        <w:b w:val="0"/>
        <w:bCs w:val="0"/>
        <w:i w:val="0"/>
        <w:iCs w:val="0"/>
        <w:w w:val="100"/>
        <w:sz w:val="16"/>
        <w:szCs w:val="16"/>
        <w:lang w:val="en-US" w:eastAsia="zh-CN" w:bidi="ar-SA"/>
      </w:rPr>
    </w:lvl>
    <w:lvl w:ilvl="1">
      <w:start w:val="1"/>
      <w:numFmt w:val="decimal"/>
      <w:lvlText w:val="（%2）"/>
      <w:lvlJc w:val="left"/>
      <w:pPr>
        <w:ind w:left="3792" w:hanging="7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538" w:hanging="720"/>
      </w:pPr>
      <w:rPr>
        <w:rFonts w:hint="default"/>
        <w:lang w:val="en-US" w:eastAsia="zh-CN" w:bidi="ar-SA"/>
      </w:rPr>
    </w:lvl>
    <w:lvl w:ilvl="3">
      <w:start w:val="0"/>
      <w:numFmt w:val="bullet"/>
      <w:lvlText w:val="•"/>
      <w:lvlJc w:val="left"/>
      <w:pPr>
        <w:ind w:left="5276" w:hanging="720"/>
      </w:pPr>
      <w:rPr>
        <w:rFonts w:hint="default"/>
        <w:lang w:val="en-US" w:eastAsia="zh-CN" w:bidi="ar-SA"/>
      </w:rPr>
    </w:lvl>
    <w:lvl w:ilvl="4">
      <w:start w:val="0"/>
      <w:numFmt w:val="bullet"/>
      <w:lvlText w:val="•"/>
      <w:lvlJc w:val="left"/>
      <w:pPr>
        <w:ind w:left="6015" w:hanging="720"/>
      </w:pPr>
      <w:rPr>
        <w:rFonts w:hint="default"/>
        <w:lang w:val="en-US" w:eastAsia="zh-CN" w:bidi="ar-SA"/>
      </w:rPr>
    </w:lvl>
    <w:lvl w:ilvl="5">
      <w:start w:val="0"/>
      <w:numFmt w:val="bullet"/>
      <w:lvlText w:val="•"/>
      <w:lvlJc w:val="left"/>
      <w:pPr>
        <w:ind w:left="6753" w:hanging="720"/>
      </w:pPr>
      <w:rPr>
        <w:rFonts w:hint="default"/>
        <w:lang w:val="en-US" w:eastAsia="zh-CN" w:bidi="ar-SA"/>
      </w:rPr>
    </w:lvl>
    <w:lvl w:ilvl="6">
      <w:start w:val="0"/>
      <w:numFmt w:val="bullet"/>
      <w:lvlText w:val="•"/>
      <w:lvlJc w:val="left"/>
      <w:pPr>
        <w:ind w:left="7492" w:hanging="720"/>
      </w:pPr>
      <w:rPr>
        <w:rFonts w:hint="default"/>
        <w:lang w:val="en-US" w:eastAsia="zh-CN" w:bidi="ar-SA"/>
      </w:rPr>
    </w:lvl>
    <w:lvl w:ilvl="7">
      <w:start w:val="0"/>
      <w:numFmt w:val="bullet"/>
      <w:lvlText w:val="•"/>
      <w:lvlJc w:val="left"/>
      <w:pPr>
        <w:ind w:left="8230" w:hanging="720"/>
      </w:pPr>
      <w:rPr>
        <w:rFonts w:hint="default"/>
        <w:lang w:val="en-US" w:eastAsia="zh-CN" w:bidi="ar-SA"/>
      </w:rPr>
    </w:lvl>
    <w:lvl w:ilvl="8">
      <w:start w:val="0"/>
      <w:numFmt w:val="bullet"/>
      <w:lvlText w:val="•"/>
      <w:lvlJc w:val="left"/>
      <w:pPr>
        <w:ind w:left="8969" w:hanging="720"/>
      </w:pPr>
      <w:rPr>
        <w:rFonts w:hint="default"/>
        <w:lang w:val="en-US" w:eastAsia="zh-CN" w:bidi="ar-SA"/>
      </w:rPr>
    </w:lvl>
  </w:abstractNum>
  <w:abstractNum w:abstractNumId="1">
    <w:multiLevelType w:val="hybridMultilevel"/>
    <w:lvl w:ilvl="0">
      <w:start w:val="1"/>
      <w:numFmt w:val="decimal"/>
      <w:lvlText w:val="%1"/>
      <w:lvlJc w:val="left"/>
      <w:pPr>
        <w:ind w:left="1370" w:hanging="1102"/>
        <w:jc w:val="left"/>
      </w:pPr>
      <w:rPr>
        <w:rFonts w:hint="default" w:ascii="宋体" w:hAnsi="宋体" w:eastAsia="宋体" w:cs="宋体"/>
        <w:b/>
        <w:bCs/>
        <w:i w:val="0"/>
        <w:iCs w:val="0"/>
        <w:w w:val="99"/>
        <w:position w:val="-6"/>
        <w:sz w:val="48"/>
        <w:szCs w:val="48"/>
        <w:lang w:val="en-US" w:eastAsia="zh-CN" w:bidi="ar-SA"/>
      </w:rPr>
    </w:lvl>
    <w:lvl w:ilvl="1">
      <w:start w:val="1"/>
      <w:numFmt w:val="decimal"/>
      <w:lvlText w:val="%1.%2"/>
      <w:lvlJc w:val="left"/>
      <w:pPr>
        <w:ind w:left="3072" w:hanging="1102"/>
        <w:jc w:val="left"/>
      </w:pPr>
      <w:rPr>
        <w:rFonts w:hint="default" w:ascii="宋体" w:hAnsi="宋体" w:eastAsia="宋体" w:cs="宋体"/>
        <w:b/>
        <w:bCs/>
        <w:i w:val="0"/>
        <w:iCs w:val="0"/>
        <w:w w:val="99"/>
        <w:position w:val="1"/>
        <w:sz w:val="21"/>
        <w:szCs w:val="21"/>
        <w:lang w:val="en-US" w:eastAsia="zh-CN" w:bidi="ar-SA"/>
      </w:rPr>
    </w:lvl>
    <w:lvl w:ilvl="2">
      <w:start w:val="1"/>
      <w:numFmt w:val="decimal"/>
      <w:lvlText w:val="%1.%2.%3"/>
      <w:lvlJc w:val="left"/>
      <w:pPr>
        <w:ind w:left="1370" w:hanging="1102"/>
        <w:jc w:val="left"/>
      </w:pPr>
      <w:rPr>
        <w:rFonts w:hint="default" w:ascii="宋体" w:hAnsi="宋体" w:eastAsia="宋体" w:cs="宋体"/>
        <w:b/>
        <w:bCs/>
        <w:i w:val="0"/>
        <w:iCs w:val="0"/>
        <w:w w:val="99"/>
        <w:sz w:val="21"/>
        <w:szCs w:val="21"/>
        <w:lang w:val="en-US" w:eastAsia="zh-CN" w:bidi="ar-SA"/>
      </w:rPr>
    </w:lvl>
    <w:lvl w:ilvl="3">
      <w:start w:val="1"/>
      <w:numFmt w:val="decimal"/>
      <w:lvlText w:val="%1.%2.%3.%4"/>
      <w:lvlJc w:val="left"/>
      <w:pPr>
        <w:ind w:left="1370" w:hanging="1102"/>
        <w:jc w:val="left"/>
      </w:pPr>
      <w:rPr>
        <w:rFonts w:hint="default" w:ascii="宋体" w:hAnsi="宋体" w:eastAsia="宋体" w:cs="宋体"/>
        <w:b/>
        <w:bCs/>
        <w:i w:val="0"/>
        <w:iCs w:val="0"/>
        <w:w w:val="99"/>
        <w:sz w:val="21"/>
        <w:szCs w:val="21"/>
        <w:lang w:val="en-US" w:eastAsia="zh-CN" w:bidi="ar-SA"/>
      </w:rPr>
    </w:lvl>
    <w:lvl w:ilvl="4">
      <w:start w:val="0"/>
      <w:numFmt w:val="bullet"/>
      <w:lvlText w:val="•"/>
      <w:lvlJc w:val="left"/>
      <w:pPr>
        <w:ind w:left="2945" w:hanging="1102"/>
      </w:pPr>
      <w:rPr>
        <w:rFonts w:hint="default"/>
        <w:lang w:val="en-US" w:eastAsia="zh-CN" w:bidi="ar-SA"/>
      </w:rPr>
    </w:lvl>
    <w:lvl w:ilvl="5">
      <w:start w:val="0"/>
      <w:numFmt w:val="bullet"/>
      <w:lvlText w:val="•"/>
      <w:lvlJc w:val="left"/>
      <w:pPr>
        <w:ind w:left="2900" w:hanging="1102"/>
      </w:pPr>
      <w:rPr>
        <w:rFonts w:hint="default"/>
        <w:lang w:val="en-US" w:eastAsia="zh-CN" w:bidi="ar-SA"/>
      </w:rPr>
    </w:lvl>
    <w:lvl w:ilvl="6">
      <w:start w:val="0"/>
      <w:numFmt w:val="bullet"/>
      <w:lvlText w:val="•"/>
      <w:lvlJc w:val="left"/>
      <w:pPr>
        <w:ind w:left="2856" w:hanging="1102"/>
      </w:pPr>
      <w:rPr>
        <w:rFonts w:hint="default"/>
        <w:lang w:val="en-US" w:eastAsia="zh-CN" w:bidi="ar-SA"/>
      </w:rPr>
    </w:lvl>
    <w:lvl w:ilvl="7">
      <w:start w:val="0"/>
      <w:numFmt w:val="bullet"/>
      <w:lvlText w:val="•"/>
      <w:lvlJc w:val="left"/>
      <w:pPr>
        <w:ind w:left="2811" w:hanging="1102"/>
      </w:pPr>
      <w:rPr>
        <w:rFonts w:hint="default"/>
        <w:lang w:val="en-US" w:eastAsia="zh-CN" w:bidi="ar-SA"/>
      </w:rPr>
    </w:lvl>
    <w:lvl w:ilvl="8">
      <w:start w:val="0"/>
      <w:numFmt w:val="bullet"/>
      <w:lvlText w:val="•"/>
      <w:lvlJc w:val="left"/>
      <w:pPr>
        <w:ind w:left="2766" w:hanging="1102"/>
      </w:pPr>
      <w:rPr>
        <w:rFonts w:hint="default"/>
        <w:lang w:val="en-US" w:eastAsia="zh-CN" w:bidi="ar-SA"/>
      </w:rPr>
    </w:lvl>
  </w:abstractNum>
  <w:abstractNum w:abstractNumId="0">
    <w:multiLevelType w:val="hybridMultilevel"/>
    <w:lvl w:ilvl="0">
      <w:start w:val="0"/>
      <w:numFmt w:val="bullet"/>
      <w:lvlText w:val=""/>
      <w:lvlJc w:val="left"/>
      <w:pPr>
        <w:ind w:left="1046" w:hanging="420"/>
      </w:pPr>
      <w:rPr>
        <w:rFonts w:hint="default" w:ascii="Wingdings" w:hAnsi="Wingdings" w:eastAsia="Wingdings" w:cs="Wingdings"/>
        <w:b w:val="0"/>
        <w:bCs w:val="0"/>
        <w:i w:val="0"/>
        <w:iCs w:val="0"/>
        <w:w w:val="100"/>
        <w:sz w:val="21"/>
        <w:szCs w:val="21"/>
        <w:lang w:val="en-US" w:eastAsia="zh-CN" w:bidi="ar-SA"/>
      </w:rPr>
    </w:lvl>
    <w:lvl w:ilvl="1">
      <w:start w:val="1"/>
      <w:numFmt w:val="decimal"/>
      <w:lvlText w:val="%2."/>
      <w:lvlJc w:val="left"/>
      <w:pPr>
        <w:ind w:left="2455" w:hanging="213"/>
        <w:jc w:val="right"/>
      </w:pPr>
      <w:rPr>
        <w:rFonts w:hint="default" w:ascii="宋体" w:hAnsi="宋体" w:eastAsia="宋体" w:cs="宋体"/>
        <w:b/>
        <w:bCs/>
        <w:i w:val="0"/>
        <w:iCs w:val="0"/>
        <w:w w:val="99"/>
        <w:sz w:val="19"/>
        <w:szCs w:val="19"/>
        <w:lang w:val="en-US" w:eastAsia="zh-CN" w:bidi="ar-SA"/>
      </w:rPr>
    </w:lvl>
    <w:lvl w:ilvl="2">
      <w:start w:val="1"/>
      <w:numFmt w:val="decimal"/>
      <w:lvlText w:val="%2.%3"/>
      <w:lvlJc w:val="left"/>
      <w:pPr>
        <w:ind w:left="2850" w:hanging="404"/>
        <w:jc w:val="left"/>
      </w:pPr>
      <w:rPr>
        <w:rFonts w:hint="default" w:ascii="宋体" w:hAnsi="宋体" w:eastAsia="宋体" w:cs="宋体"/>
        <w:b w:val="0"/>
        <w:bCs w:val="0"/>
        <w:i w:val="0"/>
        <w:iCs w:val="0"/>
        <w:spacing w:val="0"/>
        <w:w w:val="99"/>
        <w:sz w:val="20"/>
        <w:szCs w:val="20"/>
        <w:lang w:val="en-US" w:eastAsia="zh-CN" w:bidi="ar-SA"/>
      </w:rPr>
    </w:lvl>
    <w:lvl w:ilvl="3">
      <w:start w:val="0"/>
      <w:numFmt w:val="bullet"/>
      <w:lvlText w:val="•"/>
      <w:lvlJc w:val="left"/>
      <w:pPr>
        <w:ind w:left="2460" w:hanging="404"/>
      </w:pPr>
      <w:rPr>
        <w:rFonts w:hint="default"/>
        <w:lang w:val="en-US" w:eastAsia="zh-CN" w:bidi="ar-SA"/>
      </w:rPr>
    </w:lvl>
    <w:lvl w:ilvl="4">
      <w:start w:val="0"/>
      <w:numFmt w:val="bullet"/>
      <w:lvlText w:val="•"/>
      <w:lvlJc w:val="left"/>
      <w:pPr>
        <w:ind w:left="2840" w:hanging="404"/>
      </w:pPr>
      <w:rPr>
        <w:rFonts w:hint="default"/>
        <w:lang w:val="en-US" w:eastAsia="zh-CN" w:bidi="ar-SA"/>
      </w:rPr>
    </w:lvl>
    <w:lvl w:ilvl="5">
      <w:start w:val="0"/>
      <w:numFmt w:val="bullet"/>
      <w:lvlText w:val="•"/>
      <w:lvlJc w:val="left"/>
      <w:pPr>
        <w:ind w:left="2860" w:hanging="404"/>
      </w:pPr>
      <w:rPr>
        <w:rFonts w:hint="default"/>
        <w:lang w:val="en-US" w:eastAsia="zh-CN" w:bidi="ar-SA"/>
      </w:rPr>
    </w:lvl>
    <w:lvl w:ilvl="6">
      <w:start w:val="0"/>
      <w:numFmt w:val="bullet"/>
      <w:lvlText w:val="•"/>
      <w:lvlJc w:val="left"/>
      <w:pPr>
        <w:ind w:left="2280" w:hanging="404"/>
      </w:pPr>
      <w:rPr>
        <w:rFonts w:hint="default"/>
        <w:lang w:val="en-US" w:eastAsia="zh-CN" w:bidi="ar-SA"/>
      </w:rPr>
    </w:lvl>
    <w:lvl w:ilvl="7">
      <w:start w:val="0"/>
      <w:numFmt w:val="bullet"/>
      <w:lvlText w:val="•"/>
      <w:lvlJc w:val="left"/>
      <w:pPr>
        <w:ind w:left="1700" w:hanging="404"/>
      </w:pPr>
      <w:rPr>
        <w:rFonts w:hint="default"/>
        <w:lang w:val="en-US" w:eastAsia="zh-CN" w:bidi="ar-SA"/>
      </w:rPr>
    </w:lvl>
    <w:lvl w:ilvl="8">
      <w:start w:val="0"/>
      <w:numFmt w:val="bullet"/>
      <w:lvlText w:val="•"/>
      <w:lvlJc w:val="left"/>
      <w:pPr>
        <w:ind w:left="1120" w:hanging="404"/>
      </w:pPr>
      <w:rPr>
        <w:rFonts w:hint="default"/>
        <w:lang w:val="en-US" w:eastAsia="zh-CN" w:bidi="ar-SA"/>
      </w:rPr>
    </w:lvl>
  </w:abstractNum>
  <w:num w:numId="109">
    <w:abstractNumId w:val="108"/>
  </w:num>
  <w:num w:numId="112">
    <w:abstractNumId w:val="111"/>
  </w:num>
  <w:num w:numId="111">
    <w:abstractNumId w:val="110"/>
  </w:num>
  <w:num w:numId="110">
    <w:abstractNumId w:val="109"/>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31"/>
      <w:ind w:left="1370" w:hanging="1103"/>
      <w:outlineLvl w:val="1"/>
    </w:pPr>
    <w:rPr>
      <w:rFonts w:ascii="宋体" w:hAnsi="宋体" w:eastAsia="宋体" w:cs="宋体"/>
      <w:b/>
      <w:bCs/>
      <w:sz w:val="28"/>
      <w:szCs w:val="28"/>
      <w:lang w:val="en-US" w:eastAsia="zh-CN" w:bidi="ar-SA"/>
    </w:rPr>
  </w:style>
  <w:style w:styleId="Heading2" w:type="paragraph">
    <w:name w:val="Heading 2"/>
    <w:basedOn w:val="Normal"/>
    <w:uiPriority w:val="1"/>
    <w:qFormat/>
    <w:pPr>
      <w:spacing w:before="156"/>
      <w:ind w:left="3168" w:hanging="636"/>
      <w:outlineLvl w:val="2"/>
    </w:pPr>
    <w:rPr>
      <w:rFonts w:ascii="宋体" w:hAnsi="宋体" w:eastAsia="宋体" w:cs="宋体"/>
      <w:b/>
      <w:bCs/>
      <w:sz w:val="21"/>
      <w:szCs w:val="21"/>
      <w:lang w:val="en-US" w:eastAsia="zh-CN" w:bidi="ar-SA"/>
    </w:rPr>
  </w:style>
  <w:style w:styleId="Title" w:type="paragraph">
    <w:name w:val="Title"/>
    <w:basedOn w:val="Normal"/>
    <w:uiPriority w:val="1"/>
    <w:qFormat/>
    <w:pPr>
      <w:spacing w:before="37"/>
      <w:ind w:left="1631" w:right="2007"/>
      <w:jc w:val="center"/>
    </w:pPr>
    <w:rPr>
      <w:rFonts w:ascii="宋体" w:hAnsi="宋体" w:eastAsia="宋体" w:cs="宋体"/>
      <w:b/>
      <w:bCs/>
      <w:sz w:val="32"/>
      <w:szCs w:val="32"/>
      <w:lang w:val="en-US" w:eastAsia="zh-CN" w:bidi="ar-SA"/>
    </w:rPr>
  </w:style>
  <w:style w:styleId="ListParagraph" w:type="paragraph">
    <w:name w:val="List Paragraph"/>
    <w:basedOn w:val="Normal"/>
    <w:uiPriority w:val="1"/>
    <w:qFormat/>
    <w:pPr>
      <w:ind w:left="3254" w:hanging="722"/>
    </w:pPr>
    <w:rPr>
      <w:rFonts w:ascii="宋体" w:hAnsi="宋体" w:eastAsia="宋体" w:cs="宋体"/>
      <w:lang w:val="en-US" w:eastAsia="zh-CN" w:bidi="ar-SA"/>
    </w:rPr>
  </w:style>
  <w:style w:styleId="TableParagraph" w:type="paragraph">
    <w:name w:val="Table Paragraph"/>
    <w:basedOn w:val="Normal"/>
    <w:uiPriority w:val="1"/>
    <w:qFormat/>
    <w:pPr>
      <w:spacing w:before="22"/>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footer" Target="footer1.xml"/><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footer" Target="footer2.xml"/><Relationship Id="rId13" Type="http://schemas.openxmlformats.org/officeDocument/2006/relationships/image" Target="media/image7.png"/><Relationship Id="rId14" Type="http://schemas.openxmlformats.org/officeDocument/2006/relationships/footer" Target="footer3.xml"/><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footer" Target="footer4.xml"/><Relationship Id="rId19" Type="http://schemas.openxmlformats.org/officeDocument/2006/relationships/footer" Target="footer5.xml"/><Relationship Id="rId20" Type="http://schemas.openxmlformats.org/officeDocument/2006/relationships/image" Target="media/image11.png"/><Relationship Id="rId21" Type="http://schemas.openxmlformats.org/officeDocument/2006/relationships/footer" Target="footer6.xml"/><Relationship Id="rId22" Type="http://schemas.openxmlformats.org/officeDocument/2006/relationships/image" Target="media/image12.png"/><Relationship Id="rId23" Type="http://schemas.openxmlformats.org/officeDocument/2006/relationships/footer" Target="footer7.xml"/><Relationship Id="rId24" Type="http://schemas.openxmlformats.org/officeDocument/2006/relationships/footer" Target="footer8.xml"/><Relationship Id="rId25" Type="http://schemas.openxmlformats.org/officeDocument/2006/relationships/footer" Target="footer9.xml"/><Relationship Id="rId26" Type="http://schemas.openxmlformats.org/officeDocument/2006/relationships/footer" Target="footer10.xml"/><Relationship Id="rId27" Type="http://schemas.openxmlformats.org/officeDocument/2006/relationships/footer" Target="footer11.xml"/><Relationship Id="rId28" Type="http://schemas.openxmlformats.org/officeDocument/2006/relationships/footer" Target="footer12.xml"/><Relationship Id="rId29" Type="http://schemas.openxmlformats.org/officeDocument/2006/relationships/image" Target="media/image13.png"/><Relationship Id="rId30" Type="http://schemas.openxmlformats.org/officeDocument/2006/relationships/footer" Target="footer13.xml"/><Relationship Id="rId31" Type="http://schemas.openxmlformats.org/officeDocument/2006/relationships/footer" Target="footer14.xml"/><Relationship Id="rId3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2023-06-02T03:08:44Z</dcterms:created>
  <dcterms:modified xsi:type="dcterms:W3CDTF">2023-06-02T03:08:44Z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