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6"/>
        <w:ind w:left="0" w:right="114" w:firstLine="0"/>
        <w:jc w:val="right"/>
        <w:rPr>
          <w:sz w:val="17"/>
        </w:rPr>
      </w:pPr>
      <w:r>
        <w:rPr/>
        <w:drawing>
          <wp:anchor distT="0" distB="0" distL="0" distR="0" allowOverlap="1" layoutInCell="1" locked="0" behindDoc="0" simplePos="0" relativeHeight="0">
            <wp:simplePos x="0" y="0"/>
            <wp:positionH relativeFrom="page">
              <wp:posOffset>6362700</wp:posOffset>
            </wp:positionH>
            <wp:positionV relativeFrom="paragraph">
              <wp:posOffset>207391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color w:val="221715"/>
          <w:spacing w:val="-1"/>
          <w:sz w:val="17"/>
        </w:rPr>
        <w:t>德华安顾人寿 〔</w:t>
      </w:r>
      <w:r>
        <w:rPr>
          <w:color w:val="221715"/>
          <w:sz w:val="17"/>
        </w:rPr>
        <w:t>2022</w:t>
      </w:r>
      <w:r>
        <w:rPr>
          <w:color w:val="221715"/>
          <w:spacing w:val="-3"/>
          <w:sz w:val="17"/>
        </w:rPr>
        <w:t>〕疾病保险 </w:t>
      </w:r>
      <w:r>
        <w:rPr>
          <w:color w:val="221715"/>
          <w:sz w:val="17"/>
        </w:rPr>
        <w:t>001</w:t>
      </w:r>
      <w:r>
        <w:rPr>
          <w:color w:val="221715"/>
          <w:spacing w:val="-12"/>
          <w:sz w:val="17"/>
        </w:rPr>
        <w:t> 号</w:t>
      </w:r>
    </w:p>
    <w:p>
      <w:pPr>
        <w:spacing w:before="23"/>
        <w:ind w:left="0" w:right="112" w:firstLine="0"/>
        <w:jc w:val="right"/>
        <w:rPr>
          <w:sz w:val="17"/>
        </w:rPr>
      </w:pPr>
      <w:r>
        <w:rPr>
          <w:color w:val="221715"/>
          <w:spacing w:val="-3"/>
          <w:sz w:val="17"/>
        </w:rPr>
        <w:t>请扫描以查询验证条款</w:t>
      </w:r>
    </w:p>
    <w:p>
      <w:pPr>
        <w:pStyle w:val="BodyText"/>
        <w:ind w:left="0"/>
        <w:rPr>
          <w:sz w:val="20"/>
        </w:rPr>
      </w:pPr>
    </w:p>
    <w:p>
      <w:pPr>
        <w:pStyle w:val="Heading1"/>
        <w:spacing w:before="134"/>
        <w:ind w:left="1348" w:right="1809"/>
        <w:jc w:val="center"/>
      </w:pPr>
      <w:r>
        <w:rPr>
          <w:color w:val="221715"/>
          <w:w w:val="95"/>
        </w:rPr>
        <w:t>德</w:t>
      </w:r>
      <w:r>
        <w:rPr>
          <w:color w:val="221715"/>
          <w:w w:val="95"/>
        </w:rPr>
        <w:t>华</w:t>
      </w:r>
      <w:r>
        <w:rPr>
          <w:color w:val="221715"/>
          <w:w w:val="95"/>
        </w:rPr>
        <w:t>安</w:t>
      </w:r>
      <w:r>
        <w:rPr>
          <w:color w:val="221715"/>
          <w:w w:val="95"/>
        </w:rPr>
        <w:t>顾</w:t>
      </w:r>
      <w:r>
        <w:rPr>
          <w:color w:val="221715"/>
          <w:w w:val="95"/>
        </w:rPr>
        <w:t>孝</w:t>
      </w:r>
      <w:r>
        <w:rPr>
          <w:color w:val="221715"/>
          <w:w w:val="95"/>
        </w:rPr>
        <w:t>亲</w:t>
      </w:r>
      <w:r>
        <w:rPr>
          <w:color w:val="221715"/>
          <w:w w:val="95"/>
        </w:rPr>
        <w:t>宝</w:t>
      </w:r>
      <w:r>
        <w:rPr>
          <w:color w:val="221715"/>
          <w:w w:val="95"/>
        </w:rPr>
        <w:t>中</w:t>
      </w:r>
      <w:r>
        <w:rPr>
          <w:color w:val="221715"/>
          <w:w w:val="95"/>
        </w:rPr>
        <w:t>老</w:t>
      </w:r>
      <w:r>
        <w:rPr>
          <w:color w:val="221715"/>
          <w:w w:val="95"/>
        </w:rPr>
        <w:t>年</w:t>
      </w:r>
      <w:r>
        <w:rPr>
          <w:color w:val="221715"/>
          <w:w w:val="95"/>
        </w:rPr>
        <w:t>防</w:t>
      </w:r>
      <w:r>
        <w:rPr>
          <w:color w:val="221715"/>
          <w:w w:val="95"/>
        </w:rPr>
        <w:t>癌</w:t>
      </w:r>
      <w:r>
        <w:rPr>
          <w:color w:val="221715"/>
          <w:w w:val="95"/>
        </w:rPr>
        <w:t>疾</w:t>
      </w:r>
      <w:r>
        <w:rPr>
          <w:color w:val="221715"/>
          <w:w w:val="95"/>
        </w:rPr>
        <w:t>病</w:t>
      </w:r>
      <w:r>
        <w:rPr>
          <w:color w:val="221715"/>
          <w:w w:val="95"/>
        </w:rPr>
        <w:t>保</w:t>
      </w:r>
      <w:r>
        <w:rPr>
          <w:color w:val="221715"/>
          <w:w w:val="95"/>
        </w:rPr>
        <w:t>险</w:t>
      </w:r>
      <w:r>
        <w:rPr>
          <w:color w:val="221715"/>
          <w:w w:val="95"/>
        </w:rPr>
        <w:t>（互</w:t>
      </w:r>
      <w:r>
        <w:rPr>
          <w:color w:val="221715"/>
          <w:w w:val="95"/>
        </w:rPr>
        <w:t>联</w:t>
      </w:r>
      <w:r>
        <w:rPr>
          <w:color w:val="221715"/>
          <w:w w:val="95"/>
        </w:rPr>
        <w:t>网</w:t>
      </w:r>
      <w:r>
        <w:rPr>
          <w:color w:val="221715"/>
          <w:w w:val="95"/>
        </w:rPr>
        <w:t>）</w:t>
      </w:r>
      <w:r>
        <w:rPr>
          <w:color w:val="221715"/>
          <w:w w:val="95"/>
        </w:rPr>
        <w:t>条</w:t>
      </w:r>
      <w:r>
        <w:rPr>
          <w:color w:val="221715"/>
          <w:spacing w:val="-10"/>
          <w:w w:val="95"/>
        </w:rPr>
        <w:t>款</w:t>
      </w:r>
    </w:p>
    <w:p>
      <w:pPr>
        <w:spacing w:before="89"/>
        <w:ind w:left="1348" w:right="1804" w:firstLine="0"/>
        <w:jc w:val="center"/>
        <w:rPr>
          <w:rFonts w:ascii="PMingLiU" w:eastAsia="PMingLiU"/>
          <w:sz w:val="24"/>
        </w:rPr>
      </w:pPr>
      <w:r>
        <w:rPr>
          <w:rFonts w:ascii="PMingLiU" w:eastAsia="PMingLiU"/>
          <w:color w:val="221715"/>
          <w:spacing w:val="-1"/>
          <w:sz w:val="24"/>
        </w:rPr>
        <w:t>阅 读 指 引</w:t>
      </w:r>
    </w:p>
    <w:p>
      <w:pPr>
        <w:spacing w:before="21"/>
        <w:ind w:left="2208" w:right="2432" w:firstLine="0"/>
        <w:jc w:val="center"/>
        <w:rPr>
          <w:rFonts w:ascii="PMingLiU" w:eastAsia="PMingLiU"/>
          <w:sz w:val="20"/>
        </w:rPr>
      </w:pPr>
      <w:r>
        <w:rPr>
          <w:rFonts w:ascii="PMingLiU" w:eastAsia="PMingLiU"/>
          <w:color w:val="221715"/>
          <w:w w:val="95"/>
          <w:sz w:val="20"/>
        </w:rPr>
        <w:t>本</w:t>
      </w:r>
      <w:r>
        <w:rPr>
          <w:rFonts w:ascii="PMingLiU" w:eastAsia="PMingLiU"/>
          <w:color w:val="221715"/>
          <w:w w:val="95"/>
          <w:sz w:val="20"/>
        </w:rPr>
        <w:t>阅</w:t>
      </w:r>
      <w:r>
        <w:rPr>
          <w:rFonts w:ascii="PMingLiU" w:eastAsia="PMingLiU"/>
          <w:color w:val="221715"/>
          <w:w w:val="95"/>
          <w:sz w:val="20"/>
        </w:rPr>
        <w:t>读</w:t>
      </w:r>
      <w:r>
        <w:rPr>
          <w:rFonts w:ascii="PMingLiU" w:eastAsia="PMingLiU"/>
          <w:color w:val="221715"/>
          <w:w w:val="95"/>
          <w:sz w:val="20"/>
        </w:rPr>
        <w:t>指</w:t>
      </w:r>
      <w:r>
        <w:rPr>
          <w:rFonts w:ascii="PMingLiU" w:eastAsia="PMingLiU"/>
          <w:color w:val="221715"/>
          <w:w w:val="95"/>
          <w:sz w:val="20"/>
        </w:rPr>
        <w:t>引</w:t>
      </w:r>
      <w:r>
        <w:rPr>
          <w:rFonts w:ascii="PMingLiU" w:eastAsia="PMingLiU"/>
          <w:color w:val="221715"/>
          <w:w w:val="95"/>
          <w:sz w:val="20"/>
        </w:rPr>
        <w:t>有</w:t>
      </w:r>
      <w:r>
        <w:rPr>
          <w:rFonts w:ascii="PMingLiU" w:eastAsia="PMingLiU"/>
          <w:color w:val="221715"/>
          <w:w w:val="95"/>
          <w:sz w:val="20"/>
        </w:rPr>
        <w:t>助</w:t>
      </w:r>
      <w:r>
        <w:rPr>
          <w:rFonts w:ascii="PMingLiU" w:eastAsia="PMingLiU"/>
          <w:color w:val="221715"/>
          <w:w w:val="95"/>
          <w:sz w:val="20"/>
        </w:rPr>
        <w:t>于</w:t>
      </w:r>
      <w:r>
        <w:rPr>
          <w:rFonts w:ascii="PMingLiU" w:eastAsia="PMingLiU"/>
          <w:color w:val="221715"/>
          <w:w w:val="95"/>
          <w:sz w:val="20"/>
        </w:rPr>
        <w:t>您</w:t>
      </w:r>
      <w:r>
        <w:rPr>
          <w:rFonts w:ascii="PMingLiU" w:eastAsia="PMingLiU"/>
          <w:color w:val="221715"/>
          <w:w w:val="95"/>
          <w:sz w:val="20"/>
        </w:rPr>
        <w:t>理解条</w:t>
      </w:r>
      <w:r>
        <w:rPr>
          <w:rFonts w:ascii="PMingLiU" w:eastAsia="PMingLiU"/>
          <w:color w:val="221715"/>
          <w:w w:val="95"/>
          <w:sz w:val="20"/>
        </w:rPr>
        <w:t>款</w:t>
      </w:r>
      <w:r>
        <w:rPr>
          <w:rFonts w:ascii="PMingLiU" w:eastAsia="PMingLiU"/>
          <w:color w:val="221715"/>
          <w:w w:val="95"/>
          <w:sz w:val="20"/>
        </w:rPr>
        <w:t>，</w:t>
      </w:r>
      <w:r>
        <w:rPr>
          <w:rFonts w:ascii="PMingLiU" w:eastAsia="PMingLiU"/>
          <w:color w:val="221715"/>
          <w:w w:val="95"/>
          <w:sz w:val="20"/>
        </w:rPr>
        <w:t>对</w:t>
      </w:r>
      <w:r>
        <w:rPr>
          <w:rFonts w:ascii="PMingLiU" w:eastAsia="PMingLiU"/>
          <w:color w:val="221715"/>
          <w:w w:val="95"/>
          <w:sz w:val="20"/>
        </w:rPr>
        <w:t>本</w:t>
      </w:r>
      <w:r>
        <w:rPr>
          <w:rFonts w:ascii="PMingLiU" w:eastAsia="PMingLiU"/>
          <w:color w:val="221715"/>
          <w:w w:val="95"/>
          <w:sz w:val="20"/>
        </w:rPr>
        <w:t>合</w:t>
      </w:r>
      <w:r>
        <w:rPr>
          <w:rFonts w:ascii="PMingLiU" w:eastAsia="PMingLiU"/>
          <w:color w:val="221715"/>
          <w:w w:val="95"/>
          <w:sz w:val="20"/>
        </w:rPr>
        <w:t>同</w:t>
      </w:r>
      <w:r>
        <w:rPr>
          <w:rFonts w:ascii="PMingLiU" w:eastAsia="PMingLiU"/>
          <w:color w:val="221715"/>
          <w:w w:val="95"/>
          <w:sz w:val="20"/>
        </w:rPr>
        <w:t>内</w:t>
      </w:r>
      <w:r>
        <w:rPr>
          <w:rFonts w:ascii="PMingLiU" w:eastAsia="PMingLiU"/>
          <w:color w:val="221715"/>
          <w:w w:val="95"/>
          <w:sz w:val="20"/>
        </w:rPr>
        <w:t>容</w:t>
      </w:r>
      <w:r>
        <w:rPr>
          <w:rFonts w:ascii="PMingLiU" w:eastAsia="PMingLiU"/>
          <w:color w:val="221715"/>
          <w:w w:val="95"/>
          <w:sz w:val="20"/>
        </w:rPr>
        <w:t>的</w:t>
      </w:r>
      <w:r>
        <w:rPr>
          <w:rFonts w:ascii="PMingLiU" w:eastAsia="PMingLiU"/>
          <w:color w:val="221715"/>
          <w:w w:val="95"/>
          <w:sz w:val="20"/>
        </w:rPr>
        <w:t>解释以</w:t>
      </w:r>
      <w:r>
        <w:rPr>
          <w:rFonts w:ascii="PMingLiU" w:eastAsia="PMingLiU"/>
          <w:color w:val="221715"/>
          <w:w w:val="95"/>
          <w:sz w:val="20"/>
        </w:rPr>
        <w:t>条</w:t>
      </w:r>
      <w:r>
        <w:rPr>
          <w:rFonts w:ascii="PMingLiU" w:eastAsia="PMingLiU"/>
          <w:color w:val="221715"/>
          <w:w w:val="95"/>
          <w:sz w:val="20"/>
        </w:rPr>
        <w:t>款</w:t>
      </w:r>
      <w:r>
        <w:rPr>
          <w:rFonts w:ascii="PMingLiU" w:eastAsia="PMingLiU"/>
          <w:color w:val="221715"/>
          <w:w w:val="95"/>
          <w:sz w:val="20"/>
        </w:rPr>
        <w:t>为</w:t>
      </w:r>
      <w:r>
        <w:rPr>
          <w:rFonts w:ascii="PMingLiU" w:eastAsia="PMingLiU"/>
          <w:color w:val="221715"/>
          <w:spacing w:val="-5"/>
          <w:w w:val="95"/>
          <w:sz w:val="20"/>
        </w:rPr>
        <w:t>准。</w:t>
      </w:r>
    </w:p>
    <w:p>
      <w:pPr>
        <w:pStyle w:val="BodyText"/>
        <w:spacing w:before="10"/>
        <w:ind w:left="0"/>
        <w:rPr>
          <w:rFonts w:ascii="PMingLiU"/>
          <w:sz w:val="14"/>
        </w:rPr>
      </w:pPr>
      <w:r>
        <w:rPr/>
        <w:drawing>
          <wp:anchor distT="0" distB="0" distL="0" distR="0" allowOverlap="1" layoutInCell="1" locked="0" behindDoc="0" simplePos="0" relativeHeight="1">
            <wp:simplePos x="0" y="0"/>
            <wp:positionH relativeFrom="page">
              <wp:posOffset>806450</wp:posOffset>
            </wp:positionH>
            <wp:positionV relativeFrom="paragraph">
              <wp:posOffset>146129</wp:posOffset>
            </wp:positionV>
            <wp:extent cx="6204975" cy="6381"/>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04975" cy="6381"/>
                    </a:xfrm>
                    <a:prstGeom prst="rect">
                      <a:avLst/>
                    </a:prstGeom>
                  </pic:spPr>
                </pic:pic>
              </a:graphicData>
            </a:graphic>
          </wp:anchor>
        </w:drawing>
      </w:r>
    </w:p>
    <w:p>
      <w:pPr>
        <w:spacing w:line="273" w:lineRule="exact" w:before="51"/>
        <w:ind w:left="134" w:right="0" w:firstLine="0"/>
        <w:jc w:val="left"/>
        <w:rPr>
          <w:rFonts w:ascii="PMingLiU" w:eastAsia="PMingLiU"/>
          <w:sz w:val="21"/>
        </w:rPr>
      </w:pPr>
      <w:r>
        <w:rPr>
          <w:position w:val="-2"/>
        </w:rPr>
        <w:drawing>
          <wp:inline distT="0" distB="0" distL="0" distR="0">
            <wp:extent cx="88899" cy="131445"/>
            <wp:effectExtent l="0" t="0" r="0" b="0"/>
            <wp:docPr id="5" name="image3.jpeg"/>
            <wp:cNvGraphicFramePr>
              <a:graphicFrameLocks noChangeAspect="1"/>
            </wp:cNvGraphicFramePr>
            <a:graphic>
              <a:graphicData uri="http://schemas.openxmlformats.org/drawingml/2006/picture">
                <pic:pic>
                  <pic:nvPicPr>
                    <pic:cNvPr id="6" name="image3.jpeg"/>
                    <pic:cNvPicPr/>
                  </pic:nvPicPr>
                  <pic:blipFill>
                    <a:blip r:embed="rId7" cstate="print"/>
                    <a:stretch>
                      <a:fillRect/>
                    </a:stretch>
                  </pic:blipFill>
                  <pic:spPr>
                    <a:xfrm>
                      <a:off x="0" y="0"/>
                      <a:ext cx="88899" cy="131445"/>
                    </a:xfrm>
                    <a:prstGeom prst="rect">
                      <a:avLst/>
                    </a:prstGeom>
                  </pic:spPr>
                </pic:pic>
              </a:graphicData>
            </a:graphic>
          </wp:inline>
        </w:drawing>
      </w:r>
      <w:r>
        <w:rPr>
          <w:position w:val="-2"/>
        </w:rPr>
      </w:r>
      <w:r>
        <w:rPr>
          <w:rFonts w:ascii="Times New Roman" w:eastAsia="Times New Roman"/>
          <w:sz w:val="20"/>
        </w:rPr>
        <w:t> </w:t>
      </w:r>
      <w:r>
        <w:rPr>
          <w:rFonts w:ascii="PMingLiU" w:eastAsia="PMingLiU"/>
          <w:color w:val="221715"/>
          <w:spacing w:val="-2"/>
          <w:sz w:val="21"/>
        </w:rPr>
        <w:t>您拥有的重要权益</w:t>
      </w:r>
    </w:p>
    <w:p>
      <w:pPr>
        <w:spacing w:line="216" w:lineRule="auto" w:before="7"/>
        <w:ind w:left="138" w:right="311" w:firstLine="0"/>
        <w:jc w:val="both"/>
        <w:rPr>
          <w:sz w:val="21"/>
        </w:rPr>
      </w:pPr>
      <w:r>
        <w:rPr>
          <w:color w:val="221715"/>
          <w:spacing w:val="-2"/>
          <w:sz w:val="21"/>
        </w:rPr>
        <w:t>犹豫期内您可以要求全额退还保险费 </w:t>
      </w:r>
      <w:r>
        <w:rPr>
          <w:rFonts w:ascii="Malgun Gothic" w:eastAsia="Malgun Gothic"/>
          <w:color w:val="221715"/>
          <w:spacing w:val="-2"/>
          <w:sz w:val="21"/>
        </w:rPr>
        <w:t>ㆍㆍㆍㆍㆍㆍㆍㆍㆍㆍㆍㆍㆍㆍㆍㆍㆍㆍㆍㆍㆍㆍㆍㆍㆍㆍㆍ</w:t>
      </w:r>
      <w:r>
        <w:rPr>
          <w:color w:val="221715"/>
          <w:spacing w:val="-2"/>
          <w:sz w:val="21"/>
        </w:rPr>
        <w:t>第三条</w:t>
      </w:r>
      <w:r>
        <w:rPr>
          <w:color w:val="221715"/>
          <w:spacing w:val="-2"/>
          <w:sz w:val="21"/>
        </w:rPr>
        <w:t>被保险人享有本合同提供的保障利益 </w:t>
      </w:r>
      <w:r>
        <w:rPr>
          <w:rFonts w:ascii="Malgun Gothic" w:eastAsia="Malgun Gothic"/>
          <w:color w:val="221715"/>
          <w:spacing w:val="-2"/>
          <w:sz w:val="21"/>
        </w:rPr>
        <w:t>ㆍㆍㆍㆍㆍㆍㆍㆍㆍㆍㆍㆍㆍㆍㆍㆍㆍㆍㆍㆍㆍㆍㆍㆍㆍㆍㆍ</w:t>
      </w:r>
      <w:r>
        <w:rPr>
          <w:color w:val="221715"/>
          <w:spacing w:val="-2"/>
          <w:sz w:val="21"/>
        </w:rPr>
        <w:t>第六条</w:t>
      </w:r>
      <w:r>
        <w:rPr>
          <w:color w:val="221715"/>
          <w:spacing w:val="-4"/>
          <w:sz w:val="21"/>
        </w:rPr>
        <w:t>您享有解除本合同的权利 </w:t>
      </w:r>
      <w:r>
        <w:rPr>
          <w:rFonts w:ascii="Malgun Gothic" w:eastAsia="Malgun Gothic"/>
          <w:color w:val="221715"/>
          <w:spacing w:val="-2"/>
          <w:sz w:val="21"/>
        </w:rPr>
        <w:t>ㆍㆍㆍㆍㆍㆍㆍㆍㆍㆍㆍㆍㆍㆍㆍㆍㆍㆍㆍㆍㆍㆍㆍㆍㆍㆍㆍㆍㆍㆍㆍ</w:t>
      </w:r>
      <w:r>
        <w:rPr>
          <w:color w:val="221715"/>
          <w:spacing w:val="-4"/>
          <w:sz w:val="21"/>
        </w:rPr>
        <w:t>第二十条</w:t>
      </w:r>
    </w:p>
    <w:p>
      <w:pPr>
        <w:spacing w:line="284" w:lineRule="exact" w:before="43"/>
        <w:ind w:left="134" w:right="0" w:firstLine="0"/>
        <w:jc w:val="left"/>
        <w:rPr>
          <w:rFonts w:ascii="PMingLiU" w:eastAsia="PMingLiU"/>
          <w:sz w:val="21"/>
        </w:rPr>
      </w:pPr>
      <w:r>
        <w:rPr>
          <w:position w:val="-2"/>
        </w:rPr>
        <w:drawing>
          <wp:inline distT="0" distB="0" distL="0" distR="0">
            <wp:extent cx="88899" cy="131445"/>
            <wp:effectExtent l="0" t="0" r="0" b="0"/>
            <wp:docPr id="7" name="image3.jpeg"/>
            <wp:cNvGraphicFramePr>
              <a:graphicFrameLocks noChangeAspect="1"/>
            </wp:cNvGraphicFramePr>
            <a:graphic>
              <a:graphicData uri="http://schemas.openxmlformats.org/drawingml/2006/picture">
                <pic:pic>
                  <pic:nvPicPr>
                    <pic:cNvPr id="8" name="image3.jpeg"/>
                    <pic:cNvPicPr/>
                  </pic:nvPicPr>
                  <pic:blipFill>
                    <a:blip r:embed="rId7" cstate="print"/>
                    <a:stretch>
                      <a:fillRect/>
                    </a:stretch>
                  </pic:blipFill>
                  <pic:spPr>
                    <a:xfrm>
                      <a:off x="0" y="0"/>
                      <a:ext cx="88899" cy="131445"/>
                    </a:xfrm>
                    <a:prstGeom prst="rect">
                      <a:avLst/>
                    </a:prstGeom>
                  </pic:spPr>
                </pic:pic>
              </a:graphicData>
            </a:graphic>
          </wp:inline>
        </w:drawing>
      </w:r>
      <w:r>
        <w:rPr>
          <w:position w:val="-2"/>
        </w:rPr>
      </w:r>
      <w:r>
        <w:rPr>
          <w:rFonts w:ascii="Times New Roman" w:eastAsia="Times New Roman"/>
          <w:spacing w:val="54"/>
          <w:sz w:val="20"/>
        </w:rPr>
        <w:t> </w:t>
      </w:r>
      <w:r>
        <w:rPr>
          <w:rFonts w:ascii="PMingLiU" w:eastAsia="PMingLiU"/>
          <w:color w:val="221715"/>
          <w:spacing w:val="-2"/>
          <w:sz w:val="21"/>
        </w:rPr>
        <w:t>您应当特别注意的事项</w:t>
      </w:r>
    </w:p>
    <w:p>
      <w:pPr>
        <w:spacing w:line="211" w:lineRule="auto" w:before="24"/>
        <w:ind w:left="138" w:right="311" w:firstLine="0"/>
        <w:jc w:val="both"/>
        <w:rPr>
          <w:sz w:val="21"/>
        </w:rPr>
      </w:pPr>
      <w:r>
        <w:rPr/>
        <w:drawing>
          <wp:anchor distT="0" distB="0" distL="0" distR="0" allowOverlap="1" layoutInCell="1" locked="0" behindDoc="0" simplePos="0" relativeHeight="2">
            <wp:simplePos x="0" y="0"/>
            <wp:positionH relativeFrom="page">
              <wp:posOffset>793750</wp:posOffset>
            </wp:positionH>
            <wp:positionV relativeFrom="paragraph">
              <wp:posOffset>1936113</wp:posOffset>
            </wp:positionV>
            <wp:extent cx="6204975" cy="638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204975" cy="6381"/>
                    </a:xfrm>
                    <a:prstGeom prst="rect">
                      <a:avLst/>
                    </a:prstGeom>
                  </pic:spPr>
                </pic:pic>
              </a:graphicData>
            </a:graphic>
          </wp:anchor>
        </w:drawing>
      </w:r>
      <w:r>
        <w:rPr>
          <w:color w:val="221715"/>
          <w:spacing w:val="-6"/>
          <w:sz w:val="21"/>
        </w:rPr>
        <w:t>本合同有 </w:t>
      </w:r>
      <w:r>
        <w:rPr>
          <w:color w:val="221715"/>
          <w:sz w:val="21"/>
        </w:rPr>
        <w:t>180</w:t>
      </w:r>
      <w:r>
        <w:rPr>
          <w:color w:val="221715"/>
          <w:spacing w:val="-6"/>
          <w:sz w:val="21"/>
        </w:rPr>
        <w:t> 日等待期</w:t>
      </w:r>
      <w:r>
        <w:rPr>
          <w:rFonts w:ascii="Malgun Gothic" w:eastAsia="Malgun Gothic"/>
          <w:color w:val="221715"/>
          <w:sz w:val="21"/>
        </w:rPr>
        <w:t>ㆍㆍㆍㆍㆍㆍㆍㆍㆍㆍㆍㆍㆍㆍㆍㆍㆍㆍㆍㆍㆍㆍㆍㆍㆍㆍㆍㆍㆍㆍㆍㆍㆍ</w:t>
      </w:r>
      <w:r>
        <w:rPr>
          <w:color w:val="221715"/>
          <w:sz w:val="21"/>
        </w:rPr>
        <w:t>第六条</w:t>
      </w:r>
      <w:r>
        <w:rPr>
          <w:color w:val="221715"/>
          <w:spacing w:val="-2"/>
          <w:sz w:val="21"/>
        </w:rPr>
        <w:t>本合同对所保障的疾病有明确定义，请您仔细阅读 </w:t>
      </w:r>
      <w:r>
        <w:rPr>
          <w:rFonts w:ascii="Malgun Gothic" w:eastAsia="Malgun Gothic"/>
          <w:color w:val="221715"/>
          <w:spacing w:val="-2"/>
          <w:sz w:val="21"/>
        </w:rPr>
        <w:t>ㆍㆍㆍㆍㆍㆍㆍㆍㆍㆍㆍㆍㆍㆍㆍㆍㆍㆍㆍㆍㆍ</w:t>
      </w:r>
      <w:r>
        <w:rPr>
          <w:color w:val="221715"/>
          <w:spacing w:val="-2"/>
          <w:sz w:val="21"/>
        </w:rPr>
        <w:t>第七条</w:t>
      </w:r>
      <w:r>
        <w:rPr>
          <w:color w:val="221715"/>
          <w:spacing w:val="-2"/>
          <w:sz w:val="21"/>
        </w:rPr>
        <w:t>在某些情况下，我们不承担保险责任 </w:t>
      </w:r>
      <w:r>
        <w:rPr>
          <w:rFonts w:ascii="Malgun Gothic" w:eastAsia="Malgun Gothic"/>
          <w:color w:val="221715"/>
          <w:spacing w:val="-2"/>
          <w:sz w:val="21"/>
        </w:rPr>
        <w:t>ㆍㆍㆍㆍㆍㆍㆍㆍㆍㆍㆍㆍㆍㆍㆍㆍㆍㆍㆍㆍㆍㆍㆍㆍㆍㆍㆍ</w:t>
      </w:r>
      <w:r>
        <w:rPr>
          <w:color w:val="221715"/>
          <w:spacing w:val="-2"/>
          <w:sz w:val="21"/>
        </w:rPr>
        <w:t>第八条</w:t>
      </w:r>
      <w:r>
        <w:rPr>
          <w:color w:val="221715"/>
          <w:spacing w:val="-2"/>
          <w:sz w:val="21"/>
        </w:rPr>
        <w:t>您应当按时交纳保险费 </w:t>
      </w:r>
      <w:r>
        <w:rPr>
          <w:rFonts w:ascii="Malgun Gothic" w:eastAsia="Malgun Gothic"/>
          <w:color w:val="221715"/>
          <w:spacing w:val="-2"/>
          <w:sz w:val="21"/>
        </w:rPr>
        <w:t>ㆍㆍㆍㆍㆍㆍㆍㆍㆍㆍㆍㆍㆍㆍㆍㆍㆍㆍㆍㆍㆍㆍㆍㆍㆍㆍㆍㆍㆍㆍㆍ</w:t>
      </w:r>
      <w:r>
        <w:rPr>
          <w:color w:val="221715"/>
          <w:spacing w:val="-2"/>
          <w:sz w:val="21"/>
        </w:rPr>
        <w:t>第九、十条</w:t>
      </w:r>
      <w:r>
        <w:rPr>
          <w:color w:val="221715"/>
          <w:spacing w:val="-2"/>
          <w:sz w:val="21"/>
        </w:rPr>
        <w:t>某些情况将导致本合同效力中止 </w:t>
      </w:r>
      <w:r>
        <w:rPr>
          <w:rFonts w:ascii="Malgun Gothic" w:eastAsia="Malgun Gothic"/>
          <w:color w:val="221715"/>
          <w:spacing w:val="-2"/>
          <w:sz w:val="21"/>
        </w:rPr>
        <w:t>ㆍㆍㆍㆍㆍㆍㆍㆍㆍㆍㆍㆍㆍㆍㆍㆍㆍㆍㆍㆍㆍㆍㆍㆍㆍㆍㆍㆍ</w:t>
      </w:r>
      <w:r>
        <w:rPr>
          <w:color w:val="221715"/>
          <w:spacing w:val="-2"/>
          <w:sz w:val="21"/>
        </w:rPr>
        <w:t>第十一条</w:t>
      </w:r>
      <w:r>
        <w:rPr>
          <w:color w:val="221715"/>
          <w:spacing w:val="-2"/>
          <w:sz w:val="21"/>
        </w:rPr>
        <w:t>您应当及时向我们通知保险事故 </w:t>
      </w:r>
      <w:r>
        <w:rPr>
          <w:rFonts w:ascii="Malgun Gothic" w:eastAsia="Malgun Gothic"/>
          <w:color w:val="221715"/>
          <w:spacing w:val="-2"/>
          <w:sz w:val="21"/>
        </w:rPr>
        <w:t>ㆍㆍㆍㆍㆍㆍㆍㆍㆍㆍㆍㆍㆍㆍㆍㆍㆍㆍㆍㆍㆍㆍㆍㆍㆍㆍㆍㆍ</w:t>
      </w:r>
      <w:r>
        <w:rPr>
          <w:color w:val="221715"/>
          <w:spacing w:val="-2"/>
          <w:sz w:val="21"/>
        </w:rPr>
        <w:t>第十四条</w:t>
      </w:r>
      <w:r>
        <w:rPr>
          <w:color w:val="221715"/>
          <w:spacing w:val="-2"/>
          <w:sz w:val="21"/>
        </w:rPr>
        <w:t>如果您解除本合同会有一定的损失，请您慎重决策 </w:t>
      </w:r>
      <w:r>
        <w:rPr>
          <w:rFonts w:ascii="Malgun Gothic" w:eastAsia="Malgun Gothic"/>
          <w:color w:val="221715"/>
          <w:spacing w:val="-2"/>
          <w:sz w:val="21"/>
        </w:rPr>
        <w:t>ㆍㆍㆍㆍㆍㆍㆍㆍㆍㆍㆍㆍㆍㆍㆍㆍㆍㆍㆍㆍ</w:t>
      </w:r>
      <w:r>
        <w:rPr>
          <w:color w:val="221715"/>
          <w:spacing w:val="-2"/>
          <w:sz w:val="21"/>
        </w:rPr>
        <w:t>第二十条</w:t>
      </w:r>
      <w:r>
        <w:rPr>
          <w:color w:val="221715"/>
          <w:spacing w:val="-2"/>
          <w:sz w:val="21"/>
        </w:rPr>
        <w:t>您有如实告知的义务 </w:t>
      </w:r>
      <w:r>
        <w:rPr>
          <w:rFonts w:ascii="Malgun Gothic" w:eastAsia="Malgun Gothic"/>
          <w:color w:val="221715"/>
          <w:spacing w:val="-2"/>
          <w:sz w:val="21"/>
        </w:rPr>
        <w:t>ㆍㆍㆍㆍㆍㆍㆍㆍㆍㆍㆍㆍㆍㆍㆍㆍㆍㆍㆍㆍㆍㆍㆍㆍㆍㆍㆍㆍㆍㆍㆍㆍ</w:t>
      </w:r>
      <w:r>
        <w:rPr>
          <w:color w:val="221715"/>
          <w:spacing w:val="-2"/>
          <w:sz w:val="21"/>
        </w:rPr>
        <w:t>第二十一条</w:t>
      </w:r>
      <w:r>
        <w:rPr>
          <w:color w:val="221715"/>
          <w:spacing w:val="-3"/>
          <w:sz w:val="21"/>
        </w:rPr>
        <w:t>我们对一些重要术语进行了解释，并作了显著标志，请您关注 </w:t>
      </w:r>
      <w:r>
        <w:rPr>
          <w:rFonts w:ascii="Malgun Gothic" w:eastAsia="Malgun Gothic"/>
          <w:color w:val="221715"/>
          <w:spacing w:val="-2"/>
          <w:sz w:val="21"/>
        </w:rPr>
        <w:t>ㆍㆍㆍㆍㆍㆍㆍㆍㆍㆍㆍㆍㆍㆍ</w:t>
      </w:r>
      <w:r>
        <w:rPr>
          <w:color w:val="221715"/>
          <w:spacing w:val="-4"/>
          <w:sz w:val="21"/>
        </w:rPr>
        <w:t>第二十八条</w:t>
      </w:r>
    </w:p>
    <w:p>
      <w:pPr>
        <w:spacing w:before="69"/>
        <w:ind w:left="179" w:right="0" w:firstLine="0"/>
        <w:jc w:val="left"/>
        <w:rPr>
          <w:rFonts w:ascii="PMingLiU" w:eastAsia="PMingLiU"/>
          <w:sz w:val="18"/>
        </w:rPr>
      </w:pPr>
      <w:r>
        <w:rPr>
          <w:rFonts w:ascii="PMingLiU" w:eastAsia="PMingLiU"/>
          <w:color w:val="221715"/>
          <w:sz w:val="18"/>
        </w:rPr>
        <w:t>条款是保险合同的重要内容，是权利义务的重要依据。为充分保障您（投保人）的权益，请您（投保人）</w:t>
      </w:r>
      <w:r>
        <w:rPr>
          <w:rFonts w:ascii="PMingLiU" w:eastAsia="PMingLiU"/>
          <w:color w:val="221715"/>
          <w:spacing w:val="-2"/>
          <w:sz w:val="18"/>
        </w:rPr>
        <w:t>仔细阅读本条款。</w:t>
      </w:r>
    </w:p>
    <w:p>
      <w:pPr>
        <w:spacing w:before="32" w:after="47"/>
        <w:ind w:left="110" w:right="0" w:firstLine="0"/>
        <w:jc w:val="left"/>
        <w:rPr>
          <w:rFonts w:ascii="PMingLiU" w:eastAsia="PMingLiU"/>
          <w:sz w:val="21"/>
        </w:rPr>
      </w:pPr>
      <w:r>
        <w:rPr/>
        <w:drawing>
          <wp:inline distT="0" distB="0" distL="0" distR="0">
            <wp:extent cx="88900" cy="131445"/>
            <wp:effectExtent l="0" t="0" r="0" b="0"/>
            <wp:docPr id="11" name="image3.jpeg"/>
            <wp:cNvGraphicFramePr>
              <a:graphicFrameLocks noChangeAspect="1"/>
            </wp:cNvGraphicFramePr>
            <a:graphic>
              <a:graphicData uri="http://schemas.openxmlformats.org/drawingml/2006/picture">
                <pic:pic>
                  <pic:nvPicPr>
                    <pic:cNvPr id="12" name="image3.jpeg"/>
                    <pic:cNvPicPr/>
                  </pic:nvPicPr>
                  <pic:blipFill>
                    <a:blip r:embed="rId7" cstate="print"/>
                    <a:stretch>
                      <a:fillRect/>
                    </a:stretch>
                  </pic:blipFill>
                  <pic:spPr>
                    <a:xfrm>
                      <a:off x="0" y="0"/>
                      <a:ext cx="88900" cy="131445"/>
                    </a:xfrm>
                    <a:prstGeom prst="rect">
                      <a:avLst/>
                    </a:prstGeom>
                  </pic:spPr>
                </pic:pic>
              </a:graphicData>
            </a:graphic>
          </wp:inline>
        </w:drawing>
      </w:r>
      <w:r>
        <w:rPr/>
      </w:r>
      <w:r>
        <w:rPr>
          <w:rFonts w:ascii="Times New Roman" w:eastAsia="Times New Roman"/>
          <w:position w:val="1"/>
          <w:sz w:val="20"/>
        </w:rPr>
        <w:t> </w:t>
      </w:r>
      <w:r>
        <w:rPr>
          <w:rFonts w:ascii="PMingLiU" w:eastAsia="PMingLiU"/>
          <w:color w:val="221715"/>
          <w:position w:val="1"/>
          <w:sz w:val="21"/>
        </w:rPr>
        <w:t>条款目录</w:t>
      </w:r>
    </w:p>
    <w:tbl>
      <w:tblPr>
        <w:tblW w:w="0" w:type="auto"/>
        <w:jc w:val="left"/>
        <w:tblInd w:w="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6"/>
        <w:gridCol w:w="3335"/>
        <w:gridCol w:w="528"/>
        <w:gridCol w:w="1436"/>
        <w:gridCol w:w="3244"/>
      </w:tblGrid>
      <w:tr>
        <w:trPr>
          <w:trHeight w:val="312" w:hRule="atLeast"/>
        </w:trPr>
        <w:tc>
          <w:tcPr>
            <w:tcW w:w="1266" w:type="dxa"/>
            <w:shd w:val="clear" w:color="auto" w:fill="DCDDDD"/>
          </w:tcPr>
          <w:p>
            <w:pPr>
              <w:pStyle w:val="TableParagraph"/>
              <w:spacing w:line="274" w:lineRule="exact" w:before="18"/>
              <w:ind w:left="199"/>
              <w:rPr>
                <w:rFonts w:ascii="PMingLiU" w:eastAsia="PMingLiU"/>
                <w:sz w:val="21"/>
              </w:rPr>
            </w:pPr>
            <w:r>
              <w:rPr>
                <w:rFonts w:ascii="PMingLiU" w:eastAsia="PMingLiU"/>
                <w:color w:val="221715"/>
                <w:spacing w:val="-4"/>
                <w:sz w:val="21"/>
              </w:rPr>
              <w:t>第一部分</w:t>
            </w:r>
          </w:p>
        </w:tc>
        <w:tc>
          <w:tcPr>
            <w:tcW w:w="3335" w:type="dxa"/>
            <w:shd w:val="clear" w:color="auto" w:fill="DCDDDD"/>
          </w:tcPr>
          <w:p>
            <w:pPr>
              <w:pStyle w:val="TableParagraph"/>
              <w:spacing w:line="274" w:lineRule="exact" w:before="18"/>
              <w:ind w:left="202"/>
              <w:rPr>
                <w:rFonts w:ascii="PMingLiU" w:eastAsia="PMingLiU"/>
                <w:sz w:val="21"/>
              </w:rPr>
            </w:pPr>
            <w:r>
              <w:rPr>
                <w:rFonts w:ascii="PMingLiU" w:eastAsia="PMingLiU"/>
                <w:color w:val="221715"/>
                <w:spacing w:val="-3"/>
                <w:sz w:val="21"/>
              </w:rPr>
              <w:t>投保人与本公司订立的合同</w:t>
            </w:r>
          </w:p>
        </w:tc>
        <w:tc>
          <w:tcPr>
            <w:tcW w:w="528" w:type="dxa"/>
          </w:tcPr>
          <w:p>
            <w:pPr>
              <w:pStyle w:val="TableParagraph"/>
              <w:spacing w:before="0"/>
              <w:ind w:left="0"/>
              <w:rPr>
                <w:rFonts w:ascii="Times New Roman"/>
                <w:sz w:val="20"/>
              </w:rPr>
            </w:pPr>
          </w:p>
        </w:tc>
        <w:tc>
          <w:tcPr>
            <w:tcW w:w="1436" w:type="dxa"/>
          </w:tcPr>
          <w:p>
            <w:pPr>
              <w:pStyle w:val="TableParagraph"/>
              <w:spacing w:before="18"/>
              <w:ind w:left="199"/>
              <w:rPr>
                <w:sz w:val="21"/>
              </w:rPr>
            </w:pPr>
            <w:r>
              <w:rPr>
                <w:color w:val="221715"/>
                <w:spacing w:val="-4"/>
                <w:sz w:val="21"/>
              </w:rPr>
              <w:t>第十四条</w:t>
            </w:r>
          </w:p>
        </w:tc>
        <w:tc>
          <w:tcPr>
            <w:tcW w:w="3244" w:type="dxa"/>
          </w:tcPr>
          <w:p>
            <w:pPr>
              <w:pStyle w:val="TableParagraph"/>
              <w:spacing w:before="18"/>
              <w:ind w:left="163"/>
              <w:rPr>
                <w:sz w:val="21"/>
              </w:rPr>
            </w:pPr>
            <w:r>
              <w:rPr>
                <w:color w:val="221715"/>
                <w:spacing w:val="-4"/>
                <w:sz w:val="21"/>
              </w:rPr>
              <w:t>保险事故的通知</w:t>
            </w:r>
          </w:p>
        </w:tc>
      </w:tr>
      <w:tr>
        <w:trPr>
          <w:trHeight w:val="936" w:hRule="atLeast"/>
        </w:trPr>
        <w:tc>
          <w:tcPr>
            <w:tcW w:w="1266" w:type="dxa"/>
          </w:tcPr>
          <w:p>
            <w:pPr>
              <w:pStyle w:val="TableParagraph"/>
              <w:spacing w:line="278" w:lineRule="auto" w:before="18"/>
              <w:ind w:left="199" w:right="431"/>
              <w:rPr>
                <w:sz w:val="21"/>
              </w:rPr>
            </w:pPr>
            <w:r>
              <w:rPr>
                <w:color w:val="221715"/>
                <w:spacing w:val="-4"/>
                <w:sz w:val="21"/>
              </w:rPr>
              <w:t>第一条</w:t>
            </w:r>
            <w:r>
              <w:rPr>
                <w:color w:val="221715"/>
                <w:spacing w:val="-4"/>
                <w:sz w:val="21"/>
              </w:rPr>
              <w:t>第二条</w:t>
            </w:r>
          </w:p>
          <w:p>
            <w:pPr>
              <w:pStyle w:val="TableParagraph"/>
              <w:spacing w:line="269" w:lineRule="exact" w:before="0"/>
              <w:ind w:left="199"/>
              <w:rPr>
                <w:sz w:val="21"/>
              </w:rPr>
            </w:pPr>
            <w:r>
              <w:rPr>
                <w:color w:val="221715"/>
                <w:spacing w:val="-4"/>
                <w:sz w:val="21"/>
              </w:rPr>
              <w:t>第三条</w:t>
            </w:r>
          </w:p>
        </w:tc>
        <w:tc>
          <w:tcPr>
            <w:tcW w:w="3335" w:type="dxa"/>
          </w:tcPr>
          <w:p>
            <w:pPr>
              <w:pStyle w:val="TableParagraph"/>
              <w:spacing w:before="18"/>
              <w:ind w:left="221"/>
              <w:rPr>
                <w:sz w:val="21"/>
              </w:rPr>
            </w:pPr>
            <w:r>
              <w:rPr>
                <w:color w:val="221715"/>
                <w:spacing w:val="-4"/>
                <w:sz w:val="21"/>
              </w:rPr>
              <w:t>合同构成</w:t>
            </w:r>
          </w:p>
          <w:p>
            <w:pPr>
              <w:pStyle w:val="TableParagraph"/>
              <w:spacing w:line="310" w:lineRule="atLeast" w:before="2"/>
              <w:ind w:left="221" w:right="1637"/>
              <w:rPr>
                <w:sz w:val="21"/>
              </w:rPr>
            </w:pPr>
            <w:r>
              <w:rPr>
                <w:color w:val="221715"/>
                <w:spacing w:val="-2"/>
                <w:sz w:val="21"/>
              </w:rPr>
              <w:t>合同成立与生效</w:t>
            </w:r>
            <w:r>
              <w:rPr>
                <w:color w:val="221715"/>
                <w:spacing w:val="-4"/>
                <w:sz w:val="21"/>
              </w:rPr>
              <w:t>犹豫期</w:t>
            </w:r>
          </w:p>
        </w:tc>
        <w:tc>
          <w:tcPr>
            <w:tcW w:w="528" w:type="dxa"/>
          </w:tcPr>
          <w:p>
            <w:pPr>
              <w:pStyle w:val="TableParagraph"/>
              <w:spacing w:before="0"/>
              <w:ind w:left="0"/>
              <w:rPr>
                <w:rFonts w:ascii="Times New Roman"/>
                <w:sz w:val="20"/>
              </w:rPr>
            </w:pPr>
          </w:p>
        </w:tc>
        <w:tc>
          <w:tcPr>
            <w:tcW w:w="1436" w:type="dxa"/>
          </w:tcPr>
          <w:p>
            <w:pPr>
              <w:pStyle w:val="TableParagraph"/>
              <w:spacing w:line="278" w:lineRule="auto" w:before="18"/>
              <w:ind w:left="199" w:right="391"/>
              <w:rPr>
                <w:sz w:val="21"/>
              </w:rPr>
            </w:pPr>
            <w:r>
              <w:rPr>
                <w:color w:val="221715"/>
                <w:spacing w:val="-4"/>
                <w:sz w:val="21"/>
              </w:rPr>
              <w:t>第十五条</w:t>
            </w:r>
            <w:r>
              <w:rPr>
                <w:color w:val="221715"/>
                <w:spacing w:val="-4"/>
                <w:sz w:val="21"/>
              </w:rPr>
              <w:t>第十六条</w:t>
            </w:r>
          </w:p>
          <w:p>
            <w:pPr>
              <w:pStyle w:val="TableParagraph"/>
              <w:spacing w:line="269" w:lineRule="exact" w:before="0"/>
              <w:ind w:left="199"/>
              <w:rPr>
                <w:sz w:val="21"/>
              </w:rPr>
            </w:pPr>
            <w:r>
              <w:rPr>
                <w:color w:val="221715"/>
                <w:spacing w:val="-4"/>
                <w:sz w:val="21"/>
              </w:rPr>
              <w:t>第十七条</w:t>
            </w:r>
          </w:p>
        </w:tc>
        <w:tc>
          <w:tcPr>
            <w:tcW w:w="3244" w:type="dxa"/>
          </w:tcPr>
          <w:p>
            <w:pPr>
              <w:pStyle w:val="TableParagraph"/>
              <w:spacing w:line="278" w:lineRule="auto" w:before="18"/>
              <w:ind w:left="163" w:right="2025"/>
              <w:rPr>
                <w:sz w:val="21"/>
              </w:rPr>
            </w:pPr>
            <w:r>
              <w:rPr>
                <w:color w:val="221715"/>
                <w:spacing w:val="-2"/>
                <w:sz w:val="21"/>
              </w:rPr>
              <w:t>保险金申请</w:t>
            </w:r>
            <w:r>
              <w:rPr>
                <w:color w:val="221715"/>
                <w:spacing w:val="-4"/>
                <w:sz w:val="21"/>
              </w:rPr>
              <w:t>保险金给付</w:t>
            </w:r>
          </w:p>
          <w:p>
            <w:pPr>
              <w:pStyle w:val="TableParagraph"/>
              <w:spacing w:line="269" w:lineRule="exact" w:before="0"/>
              <w:ind w:left="163"/>
              <w:rPr>
                <w:sz w:val="21"/>
              </w:rPr>
            </w:pPr>
            <w:r>
              <w:rPr>
                <w:color w:val="221715"/>
                <w:spacing w:val="-4"/>
                <w:sz w:val="21"/>
              </w:rPr>
              <w:t>保险事故鉴定</w:t>
            </w:r>
          </w:p>
        </w:tc>
      </w:tr>
      <w:tr>
        <w:trPr>
          <w:trHeight w:val="311" w:hRule="atLeast"/>
        </w:trPr>
        <w:tc>
          <w:tcPr>
            <w:tcW w:w="1266" w:type="dxa"/>
            <w:shd w:val="clear" w:color="auto" w:fill="DCDDDD"/>
          </w:tcPr>
          <w:p>
            <w:pPr>
              <w:pStyle w:val="TableParagraph"/>
              <w:spacing w:line="274" w:lineRule="exact" w:before="18"/>
              <w:ind w:left="199"/>
              <w:rPr>
                <w:rFonts w:ascii="PMingLiU" w:eastAsia="PMingLiU"/>
                <w:sz w:val="21"/>
              </w:rPr>
            </w:pPr>
            <w:r>
              <w:rPr>
                <w:rFonts w:ascii="PMingLiU" w:eastAsia="PMingLiU"/>
                <w:color w:val="221715"/>
                <w:spacing w:val="-4"/>
                <w:sz w:val="21"/>
              </w:rPr>
              <w:t>第二部分</w:t>
            </w:r>
          </w:p>
        </w:tc>
        <w:tc>
          <w:tcPr>
            <w:tcW w:w="3335" w:type="dxa"/>
            <w:shd w:val="clear" w:color="auto" w:fill="DCDDDD"/>
          </w:tcPr>
          <w:p>
            <w:pPr>
              <w:pStyle w:val="TableParagraph"/>
              <w:spacing w:line="274" w:lineRule="exact" w:before="18"/>
              <w:ind w:left="202"/>
              <w:rPr>
                <w:rFonts w:ascii="PMingLiU" w:eastAsia="PMingLiU"/>
                <w:sz w:val="21"/>
              </w:rPr>
            </w:pPr>
            <w:r>
              <w:rPr>
                <w:rFonts w:ascii="PMingLiU" w:eastAsia="PMingLiU"/>
                <w:color w:val="221715"/>
                <w:spacing w:val="-4"/>
                <w:sz w:val="21"/>
              </w:rPr>
              <w:t>本合同提供的保障</w:t>
            </w:r>
          </w:p>
        </w:tc>
        <w:tc>
          <w:tcPr>
            <w:tcW w:w="528" w:type="dxa"/>
          </w:tcPr>
          <w:p>
            <w:pPr>
              <w:pStyle w:val="TableParagraph"/>
              <w:spacing w:before="0"/>
              <w:ind w:left="0"/>
              <w:rPr>
                <w:rFonts w:ascii="Times New Roman"/>
                <w:sz w:val="20"/>
              </w:rPr>
            </w:pPr>
          </w:p>
        </w:tc>
        <w:tc>
          <w:tcPr>
            <w:tcW w:w="1436" w:type="dxa"/>
          </w:tcPr>
          <w:p>
            <w:pPr>
              <w:pStyle w:val="TableParagraph"/>
              <w:spacing w:before="18"/>
              <w:ind w:left="199"/>
              <w:rPr>
                <w:sz w:val="21"/>
              </w:rPr>
            </w:pPr>
            <w:r>
              <w:rPr>
                <w:color w:val="221715"/>
                <w:spacing w:val="-4"/>
                <w:sz w:val="21"/>
              </w:rPr>
              <w:t>第十八条</w:t>
            </w:r>
          </w:p>
        </w:tc>
        <w:tc>
          <w:tcPr>
            <w:tcW w:w="3244" w:type="dxa"/>
          </w:tcPr>
          <w:p>
            <w:pPr>
              <w:pStyle w:val="TableParagraph"/>
              <w:spacing w:before="18"/>
              <w:ind w:left="163"/>
              <w:rPr>
                <w:sz w:val="21"/>
              </w:rPr>
            </w:pPr>
            <w:r>
              <w:rPr>
                <w:color w:val="221715"/>
                <w:spacing w:val="-4"/>
                <w:sz w:val="21"/>
              </w:rPr>
              <w:t>诉讼时效</w:t>
            </w:r>
          </w:p>
        </w:tc>
      </w:tr>
      <w:tr>
        <w:trPr>
          <w:trHeight w:val="312" w:hRule="atLeast"/>
        </w:trPr>
        <w:tc>
          <w:tcPr>
            <w:tcW w:w="1266" w:type="dxa"/>
          </w:tcPr>
          <w:p>
            <w:pPr>
              <w:pStyle w:val="TableParagraph"/>
              <w:spacing w:before="18"/>
              <w:ind w:left="199"/>
              <w:rPr>
                <w:sz w:val="21"/>
              </w:rPr>
            </w:pPr>
            <w:r>
              <w:rPr>
                <w:color w:val="221715"/>
                <w:spacing w:val="-4"/>
                <w:sz w:val="21"/>
              </w:rPr>
              <w:t>第四条</w:t>
            </w:r>
          </w:p>
        </w:tc>
        <w:tc>
          <w:tcPr>
            <w:tcW w:w="3335" w:type="dxa"/>
          </w:tcPr>
          <w:p>
            <w:pPr>
              <w:pStyle w:val="TableParagraph"/>
              <w:spacing w:before="18"/>
              <w:ind w:left="221"/>
              <w:rPr>
                <w:sz w:val="21"/>
              </w:rPr>
            </w:pPr>
            <w:r>
              <w:rPr>
                <w:color w:val="221715"/>
                <w:spacing w:val="-4"/>
                <w:sz w:val="21"/>
              </w:rPr>
              <w:t>基本保险金额</w:t>
            </w:r>
          </w:p>
        </w:tc>
        <w:tc>
          <w:tcPr>
            <w:tcW w:w="528" w:type="dxa"/>
          </w:tcPr>
          <w:p>
            <w:pPr>
              <w:pStyle w:val="TableParagraph"/>
              <w:spacing w:before="0"/>
              <w:ind w:left="0"/>
              <w:rPr>
                <w:rFonts w:ascii="Times New Roman"/>
                <w:sz w:val="20"/>
              </w:rPr>
            </w:pPr>
          </w:p>
        </w:tc>
        <w:tc>
          <w:tcPr>
            <w:tcW w:w="1436" w:type="dxa"/>
            <w:shd w:val="clear" w:color="auto" w:fill="DCDDDD"/>
          </w:tcPr>
          <w:p>
            <w:pPr>
              <w:pStyle w:val="TableParagraph"/>
              <w:spacing w:line="274" w:lineRule="exact" w:before="18"/>
              <w:ind w:left="221"/>
              <w:rPr>
                <w:rFonts w:ascii="PMingLiU" w:eastAsia="PMingLiU"/>
                <w:sz w:val="21"/>
              </w:rPr>
            </w:pPr>
            <w:r>
              <w:rPr>
                <w:rFonts w:ascii="PMingLiU" w:eastAsia="PMingLiU"/>
                <w:color w:val="221715"/>
                <w:spacing w:val="-4"/>
                <w:sz w:val="21"/>
              </w:rPr>
              <w:t>第六部分</w:t>
            </w:r>
          </w:p>
        </w:tc>
        <w:tc>
          <w:tcPr>
            <w:tcW w:w="3244" w:type="dxa"/>
            <w:shd w:val="clear" w:color="auto" w:fill="DCDDDD"/>
          </w:tcPr>
          <w:p>
            <w:pPr>
              <w:pStyle w:val="TableParagraph"/>
              <w:spacing w:line="274" w:lineRule="exact" w:before="18"/>
              <w:ind w:left="163"/>
              <w:rPr>
                <w:rFonts w:ascii="PMingLiU" w:eastAsia="PMingLiU"/>
                <w:sz w:val="21"/>
              </w:rPr>
            </w:pPr>
            <w:r>
              <w:rPr>
                <w:rFonts w:ascii="PMingLiU" w:eastAsia="PMingLiU"/>
                <w:color w:val="221715"/>
                <w:spacing w:val="-3"/>
                <w:sz w:val="21"/>
              </w:rPr>
              <w:t>投保人享有的其他权益</w:t>
            </w:r>
          </w:p>
        </w:tc>
      </w:tr>
      <w:tr>
        <w:trPr>
          <w:trHeight w:val="623" w:hRule="atLeast"/>
        </w:trPr>
        <w:tc>
          <w:tcPr>
            <w:tcW w:w="1266" w:type="dxa"/>
          </w:tcPr>
          <w:p>
            <w:pPr>
              <w:pStyle w:val="TableParagraph"/>
              <w:spacing w:before="18"/>
              <w:ind w:left="199"/>
              <w:rPr>
                <w:sz w:val="21"/>
              </w:rPr>
            </w:pPr>
            <w:r>
              <w:rPr>
                <w:color w:val="221715"/>
                <w:spacing w:val="-4"/>
                <w:sz w:val="21"/>
              </w:rPr>
              <w:t>第五条</w:t>
            </w:r>
          </w:p>
          <w:p>
            <w:pPr>
              <w:pStyle w:val="TableParagraph"/>
              <w:spacing w:before="43"/>
              <w:ind w:left="199"/>
              <w:rPr>
                <w:sz w:val="21"/>
              </w:rPr>
            </w:pPr>
            <w:r>
              <w:rPr>
                <w:color w:val="221715"/>
                <w:spacing w:val="-4"/>
                <w:sz w:val="21"/>
              </w:rPr>
              <w:t>第六条</w:t>
            </w:r>
          </w:p>
        </w:tc>
        <w:tc>
          <w:tcPr>
            <w:tcW w:w="3335" w:type="dxa"/>
          </w:tcPr>
          <w:p>
            <w:pPr>
              <w:pStyle w:val="TableParagraph"/>
              <w:spacing w:before="18"/>
              <w:ind w:left="202"/>
              <w:rPr>
                <w:sz w:val="21"/>
              </w:rPr>
            </w:pPr>
            <w:r>
              <w:rPr>
                <w:color w:val="221715"/>
                <w:spacing w:val="-4"/>
                <w:sz w:val="21"/>
              </w:rPr>
              <w:t>保险期间</w:t>
            </w:r>
          </w:p>
          <w:p>
            <w:pPr>
              <w:pStyle w:val="TableParagraph"/>
              <w:spacing w:before="43"/>
              <w:ind w:left="202"/>
              <w:rPr>
                <w:sz w:val="21"/>
              </w:rPr>
            </w:pPr>
            <w:r>
              <w:rPr>
                <w:color w:val="221715"/>
                <w:spacing w:val="-4"/>
                <w:sz w:val="21"/>
              </w:rPr>
              <w:t>保险责任</w:t>
            </w:r>
          </w:p>
        </w:tc>
        <w:tc>
          <w:tcPr>
            <w:tcW w:w="528" w:type="dxa"/>
          </w:tcPr>
          <w:p>
            <w:pPr>
              <w:pStyle w:val="TableParagraph"/>
              <w:spacing w:before="0"/>
              <w:ind w:left="0"/>
              <w:rPr>
                <w:rFonts w:ascii="Times New Roman"/>
                <w:sz w:val="20"/>
              </w:rPr>
            </w:pPr>
          </w:p>
        </w:tc>
        <w:tc>
          <w:tcPr>
            <w:tcW w:w="1436" w:type="dxa"/>
          </w:tcPr>
          <w:p>
            <w:pPr>
              <w:pStyle w:val="TableParagraph"/>
              <w:spacing w:before="18"/>
              <w:ind w:left="221"/>
              <w:rPr>
                <w:sz w:val="21"/>
              </w:rPr>
            </w:pPr>
            <w:r>
              <w:rPr>
                <w:color w:val="221715"/>
                <w:spacing w:val="-4"/>
                <w:sz w:val="21"/>
              </w:rPr>
              <w:t>第十九条</w:t>
            </w:r>
          </w:p>
          <w:p>
            <w:pPr>
              <w:pStyle w:val="TableParagraph"/>
              <w:spacing w:before="43"/>
              <w:ind w:left="221"/>
              <w:rPr>
                <w:sz w:val="21"/>
              </w:rPr>
            </w:pPr>
            <w:r>
              <w:rPr>
                <w:color w:val="221715"/>
                <w:spacing w:val="-4"/>
                <w:sz w:val="21"/>
              </w:rPr>
              <w:t>第二十条</w:t>
            </w:r>
          </w:p>
        </w:tc>
        <w:tc>
          <w:tcPr>
            <w:tcW w:w="3244" w:type="dxa"/>
          </w:tcPr>
          <w:p>
            <w:pPr>
              <w:pStyle w:val="TableParagraph"/>
              <w:spacing w:before="18"/>
              <w:ind w:left="163"/>
              <w:rPr>
                <w:sz w:val="21"/>
              </w:rPr>
            </w:pPr>
            <w:r>
              <w:rPr>
                <w:color w:val="221715"/>
                <w:spacing w:val="-4"/>
                <w:sz w:val="21"/>
              </w:rPr>
              <w:t>合同内容变更</w:t>
            </w:r>
          </w:p>
          <w:p>
            <w:pPr>
              <w:pStyle w:val="TableParagraph"/>
              <w:spacing w:before="43"/>
              <w:ind w:left="163"/>
              <w:rPr>
                <w:sz w:val="21"/>
              </w:rPr>
            </w:pPr>
            <w:r>
              <w:rPr>
                <w:color w:val="221715"/>
                <w:spacing w:val="-4"/>
                <w:sz w:val="21"/>
              </w:rPr>
              <w:t>解除合同</w:t>
            </w:r>
          </w:p>
        </w:tc>
      </w:tr>
      <w:tr>
        <w:trPr>
          <w:trHeight w:val="312" w:hRule="atLeast"/>
        </w:trPr>
        <w:tc>
          <w:tcPr>
            <w:tcW w:w="1266" w:type="dxa"/>
          </w:tcPr>
          <w:p>
            <w:pPr>
              <w:pStyle w:val="TableParagraph"/>
              <w:spacing w:before="18"/>
              <w:ind w:left="199"/>
              <w:rPr>
                <w:sz w:val="21"/>
              </w:rPr>
            </w:pPr>
            <w:r>
              <w:rPr>
                <w:color w:val="221715"/>
                <w:spacing w:val="-4"/>
                <w:sz w:val="21"/>
              </w:rPr>
              <w:t>第七条</w:t>
            </w:r>
          </w:p>
        </w:tc>
        <w:tc>
          <w:tcPr>
            <w:tcW w:w="3335" w:type="dxa"/>
          </w:tcPr>
          <w:p>
            <w:pPr>
              <w:pStyle w:val="TableParagraph"/>
              <w:spacing w:before="18"/>
              <w:ind w:left="202"/>
              <w:rPr>
                <w:sz w:val="21"/>
              </w:rPr>
            </w:pPr>
            <w:r>
              <w:rPr>
                <w:color w:val="221715"/>
                <w:spacing w:val="-4"/>
                <w:sz w:val="21"/>
              </w:rPr>
              <w:t>疾病定义</w:t>
            </w:r>
          </w:p>
        </w:tc>
        <w:tc>
          <w:tcPr>
            <w:tcW w:w="528" w:type="dxa"/>
          </w:tcPr>
          <w:p>
            <w:pPr>
              <w:pStyle w:val="TableParagraph"/>
              <w:spacing w:before="0"/>
              <w:ind w:left="0"/>
              <w:rPr>
                <w:rFonts w:ascii="Times New Roman"/>
                <w:sz w:val="20"/>
              </w:rPr>
            </w:pPr>
          </w:p>
        </w:tc>
        <w:tc>
          <w:tcPr>
            <w:tcW w:w="1436" w:type="dxa"/>
            <w:shd w:val="clear" w:color="auto" w:fill="DCDDDD"/>
          </w:tcPr>
          <w:p>
            <w:pPr>
              <w:pStyle w:val="TableParagraph"/>
              <w:spacing w:line="274" w:lineRule="exact" w:before="18"/>
              <w:ind w:left="221"/>
              <w:rPr>
                <w:rFonts w:ascii="PMingLiU" w:eastAsia="PMingLiU"/>
                <w:sz w:val="21"/>
              </w:rPr>
            </w:pPr>
            <w:r>
              <w:rPr>
                <w:rFonts w:ascii="PMingLiU" w:eastAsia="PMingLiU"/>
                <w:color w:val="221715"/>
                <w:spacing w:val="-4"/>
                <w:sz w:val="21"/>
              </w:rPr>
              <w:t>第七部分</w:t>
            </w:r>
          </w:p>
        </w:tc>
        <w:tc>
          <w:tcPr>
            <w:tcW w:w="3244" w:type="dxa"/>
            <w:shd w:val="clear" w:color="auto" w:fill="DCDDDD"/>
          </w:tcPr>
          <w:p>
            <w:pPr>
              <w:pStyle w:val="TableParagraph"/>
              <w:spacing w:line="274" w:lineRule="exact" w:before="18"/>
              <w:ind w:left="163"/>
              <w:rPr>
                <w:rFonts w:ascii="PMingLiU" w:eastAsia="PMingLiU"/>
                <w:sz w:val="21"/>
              </w:rPr>
            </w:pPr>
            <w:r>
              <w:rPr>
                <w:rFonts w:ascii="PMingLiU" w:eastAsia="PMingLiU"/>
                <w:color w:val="221715"/>
                <w:spacing w:val="-4"/>
                <w:sz w:val="21"/>
              </w:rPr>
              <w:t>其他相关重要事项</w:t>
            </w:r>
          </w:p>
        </w:tc>
      </w:tr>
      <w:tr>
        <w:trPr>
          <w:trHeight w:val="312" w:hRule="atLeast"/>
        </w:trPr>
        <w:tc>
          <w:tcPr>
            <w:tcW w:w="1266" w:type="dxa"/>
          </w:tcPr>
          <w:p>
            <w:pPr>
              <w:pStyle w:val="TableParagraph"/>
              <w:spacing w:before="18"/>
              <w:ind w:left="199"/>
              <w:rPr>
                <w:sz w:val="21"/>
              </w:rPr>
            </w:pPr>
            <w:r>
              <w:rPr>
                <w:color w:val="221715"/>
                <w:spacing w:val="-4"/>
                <w:sz w:val="21"/>
              </w:rPr>
              <w:t>第八条</w:t>
            </w:r>
          </w:p>
        </w:tc>
        <w:tc>
          <w:tcPr>
            <w:tcW w:w="3335" w:type="dxa"/>
          </w:tcPr>
          <w:p>
            <w:pPr>
              <w:pStyle w:val="TableParagraph"/>
              <w:spacing w:before="18"/>
              <w:ind w:left="202"/>
              <w:rPr>
                <w:sz w:val="21"/>
              </w:rPr>
            </w:pPr>
            <w:r>
              <w:rPr>
                <w:color w:val="221715"/>
                <w:spacing w:val="-4"/>
                <w:sz w:val="21"/>
              </w:rPr>
              <w:t>责任免除</w:t>
            </w:r>
          </w:p>
        </w:tc>
        <w:tc>
          <w:tcPr>
            <w:tcW w:w="528" w:type="dxa"/>
          </w:tcPr>
          <w:p>
            <w:pPr>
              <w:pStyle w:val="TableParagraph"/>
              <w:spacing w:before="0"/>
              <w:ind w:left="0"/>
              <w:rPr>
                <w:rFonts w:ascii="Times New Roman"/>
                <w:sz w:val="20"/>
              </w:rPr>
            </w:pPr>
          </w:p>
        </w:tc>
        <w:tc>
          <w:tcPr>
            <w:tcW w:w="1436" w:type="dxa"/>
          </w:tcPr>
          <w:p>
            <w:pPr>
              <w:pStyle w:val="TableParagraph"/>
              <w:spacing w:before="18"/>
              <w:ind w:left="221"/>
              <w:rPr>
                <w:sz w:val="21"/>
              </w:rPr>
            </w:pPr>
            <w:r>
              <w:rPr>
                <w:color w:val="221715"/>
                <w:spacing w:val="-4"/>
                <w:sz w:val="21"/>
              </w:rPr>
              <w:t>第二十一条</w:t>
            </w:r>
          </w:p>
        </w:tc>
        <w:tc>
          <w:tcPr>
            <w:tcW w:w="3244" w:type="dxa"/>
          </w:tcPr>
          <w:p>
            <w:pPr>
              <w:pStyle w:val="TableParagraph"/>
              <w:spacing w:before="18"/>
              <w:ind w:left="163"/>
              <w:rPr>
                <w:sz w:val="21"/>
              </w:rPr>
            </w:pPr>
            <w:r>
              <w:rPr>
                <w:spacing w:val="-3"/>
                <w:sz w:val="21"/>
              </w:rPr>
              <w:t>明确说明和如实告知</w:t>
            </w:r>
          </w:p>
        </w:tc>
      </w:tr>
      <w:tr>
        <w:trPr>
          <w:trHeight w:val="312" w:hRule="atLeast"/>
        </w:trPr>
        <w:tc>
          <w:tcPr>
            <w:tcW w:w="1266" w:type="dxa"/>
            <w:shd w:val="clear" w:color="auto" w:fill="DCDDDD"/>
          </w:tcPr>
          <w:p>
            <w:pPr>
              <w:pStyle w:val="TableParagraph"/>
              <w:spacing w:line="274" w:lineRule="exact" w:before="18"/>
              <w:ind w:left="199"/>
              <w:rPr>
                <w:rFonts w:ascii="PMingLiU" w:eastAsia="PMingLiU"/>
                <w:sz w:val="21"/>
              </w:rPr>
            </w:pPr>
            <w:r>
              <w:rPr>
                <w:rFonts w:ascii="PMingLiU" w:eastAsia="PMingLiU"/>
                <w:color w:val="221715"/>
                <w:spacing w:val="-4"/>
                <w:sz w:val="21"/>
              </w:rPr>
              <w:t>第三部分</w:t>
            </w:r>
          </w:p>
        </w:tc>
        <w:tc>
          <w:tcPr>
            <w:tcW w:w="3335" w:type="dxa"/>
            <w:shd w:val="clear" w:color="auto" w:fill="DCDDDD"/>
          </w:tcPr>
          <w:p>
            <w:pPr>
              <w:pStyle w:val="TableParagraph"/>
              <w:spacing w:line="274" w:lineRule="exact" w:before="18"/>
              <w:ind w:left="202"/>
              <w:rPr>
                <w:rFonts w:ascii="PMingLiU" w:eastAsia="PMingLiU"/>
                <w:sz w:val="21"/>
              </w:rPr>
            </w:pPr>
            <w:r>
              <w:rPr>
                <w:rFonts w:ascii="PMingLiU" w:eastAsia="PMingLiU"/>
                <w:color w:val="221715"/>
                <w:spacing w:val="-4"/>
                <w:sz w:val="21"/>
              </w:rPr>
              <w:t>保险费的交纳</w:t>
            </w:r>
          </w:p>
        </w:tc>
        <w:tc>
          <w:tcPr>
            <w:tcW w:w="528" w:type="dxa"/>
          </w:tcPr>
          <w:p>
            <w:pPr>
              <w:pStyle w:val="TableParagraph"/>
              <w:spacing w:before="0"/>
              <w:ind w:left="0"/>
              <w:rPr>
                <w:rFonts w:ascii="Times New Roman"/>
                <w:sz w:val="20"/>
              </w:rPr>
            </w:pPr>
          </w:p>
        </w:tc>
        <w:tc>
          <w:tcPr>
            <w:tcW w:w="1436" w:type="dxa"/>
          </w:tcPr>
          <w:p>
            <w:pPr>
              <w:pStyle w:val="TableParagraph"/>
              <w:spacing w:before="18"/>
              <w:ind w:left="221"/>
              <w:rPr>
                <w:sz w:val="21"/>
              </w:rPr>
            </w:pPr>
            <w:r>
              <w:rPr>
                <w:color w:val="221715"/>
                <w:spacing w:val="-4"/>
                <w:sz w:val="21"/>
              </w:rPr>
              <w:t>第二十二条</w:t>
            </w:r>
          </w:p>
        </w:tc>
        <w:tc>
          <w:tcPr>
            <w:tcW w:w="3244" w:type="dxa"/>
          </w:tcPr>
          <w:p>
            <w:pPr>
              <w:pStyle w:val="TableParagraph"/>
              <w:spacing w:before="18"/>
              <w:ind w:left="163"/>
              <w:rPr>
                <w:sz w:val="21"/>
              </w:rPr>
            </w:pPr>
            <w:r>
              <w:rPr>
                <w:color w:val="221715"/>
                <w:spacing w:val="-3"/>
                <w:sz w:val="21"/>
              </w:rPr>
              <w:t>本公司合同解除权的限制</w:t>
            </w:r>
          </w:p>
        </w:tc>
      </w:tr>
      <w:tr>
        <w:trPr>
          <w:trHeight w:val="623" w:hRule="atLeast"/>
        </w:trPr>
        <w:tc>
          <w:tcPr>
            <w:tcW w:w="1266" w:type="dxa"/>
          </w:tcPr>
          <w:p>
            <w:pPr>
              <w:pStyle w:val="TableParagraph"/>
              <w:spacing w:before="18"/>
              <w:ind w:left="199"/>
              <w:rPr>
                <w:sz w:val="21"/>
              </w:rPr>
            </w:pPr>
            <w:r>
              <w:rPr>
                <w:color w:val="221715"/>
                <w:spacing w:val="-4"/>
                <w:sz w:val="21"/>
              </w:rPr>
              <w:t>第九条</w:t>
            </w:r>
          </w:p>
          <w:p>
            <w:pPr>
              <w:pStyle w:val="TableParagraph"/>
              <w:spacing w:before="43"/>
              <w:ind w:left="199"/>
              <w:rPr>
                <w:sz w:val="21"/>
              </w:rPr>
            </w:pPr>
            <w:r>
              <w:rPr>
                <w:color w:val="221715"/>
                <w:spacing w:val="-4"/>
                <w:sz w:val="21"/>
              </w:rPr>
              <w:t>第十条</w:t>
            </w:r>
          </w:p>
        </w:tc>
        <w:tc>
          <w:tcPr>
            <w:tcW w:w="3335" w:type="dxa"/>
          </w:tcPr>
          <w:p>
            <w:pPr>
              <w:pStyle w:val="TableParagraph"/>
              <w:spacing w:before="18"/>
              <w:ind w:left="202"/>
              <w:rPr>
                <w:sz w:val="21"/>
              </w:rPr>
            </w:pPr>
            <w:r>
              <w:rPr>
                <w:color w:val="221715"/>
                <w:spacing w:val="-4"/>
                <w:sz w:val="21"/>
              </w:rPr>
              <w:t>保险费交纳</w:t>
            </w:r>
          </w:p>
          <w:p>
            <w:pPr>
              <w:pStyle w:val="TableParagraph"/>
              <w:spacing w:before="43"/>
              <w:ind w:left="202"/>
              <w:rPr>
                <w:sz w:val="21"/>
              </w:rPr>
            </w:pPr>
            <w:r>
              <w:rPr>
                <w:color w:val="221715"/>
                <w:spacing w:val="-4"/>
                <w:sz w:val="21"/>
              </w:rPr>
              <w:t>宽限期</w:t>
            </w:r>
          </w:p>
        </w:tc>
        <w:tc>
          <w:tcPr>
            <w:tcW w:w="528" w:type="dxa"/>
          </w:tcPr>
          <w:p>
            <w:pPr>
              <w:pStyle w:val="TableParagraph"/>
              <w:spacing w:before="0"/>
              <w:ind w:left="0"/>
              <w:rPr>
                <w:rFonts w:ascii="Times New Roman"/>
                <w:sz w:val="20"/>
              </w:rPr>
            </w:pPr>
          </w:p>
        </w:tc>
        <w:tc>
          <w:tcPr>
            <w:tcW w:w="1436" w:type="dxa"/>
          </w:tcPr>
          <w:p>
            <w:pPr>
              <w:pStyle w:val="TableParagraph"/>
              <w:spacing w:before="18"/>
              <w:ind w:left="221"/>
              <w:rPr>
                <w:sz w:val="21"/>
              </w:rPr>
            </w:pPr>
            <w:r>
              <w:rPr>
                <w:color w:val="221715"/>
                <w:spacing w:val="-4"/>
                <w:sz w:val="21"/>
              </w:rPr>
              <w:t>第二十三条</w:t>
            </w:r>
          </w:p>
          <w:p>
            <w:pPr>
              <w:pStyle w:val="TableParagraph"/>
              <w:spacing w:before="43"/>
              <w:ind w:left="221"/>
              <w:rPr>
                <w:sz w:val="21"/>
              </w:rPr>
            </w:pPr>
            <w:r>
              <w:rPr>
                <w:color w:val="221715"/>
                <w:spacing w:val="-4"/>
                <w:sz w:val="21"/>
              </w:rPr>
              <w:t>第二十四条</w:t>
            </w:r>
          </w:p>
        </w:tc>
        <w:tc>
          <w:tcPr>
            <w:tcW w:w="3244" w:type="dxa"/>
          </w:tcPr>
          <w:p>
            <w:pPr>
              <w:pStyle w:val="TableParagraph"/>
              <w:spacing w:before="18"/>
              <w:ind w:left="163"/>
              <w:rPr>
                <w:sz w:val="21"/>
              </w:rPr>
            </w:pPr>
            <w:r>
              <w:rPr>
                <w:color w:val="221715"/>
                <w:spacing w:val="-4"/>
                <w:sz w:val="21"/>
              </w:rPr>
              <w:t>年龄性别错误</w:t>
            </w:r>
          </w:p>
          <w:p>
            <w:pPr>
              <w:pStyle w:val="TableParagraph"/>
              <w:spacing w:before="43"/>
              <w:ind w:left="163"/>
              <w:rPr>
                <w:sz w:val="21"/>
              </w:rPr>
            </w:pPr>
            <w:r>
              <w:rPr>
                <w:color w:val="221715"/>
                <w:spacing w:val="-4"/>
                <w:sz w:val="21"/>
              </w:rPr>
              <w:t>未还款项</w:t>
            </w:r>
          </w:p>
        </w:tc>
      </w:tr>
      <w:tr>
        <w:trPr>
          <w:trHeight w:val="312" w:hRule="atLeast"/>
        </w:trPr>
        <w:tc>
          <w:tcPr>
            <w:tcW w:w="1266" w:type="dxa"/>
            <w:shd w:val="clear" w:color="auto" w:fill="D9D9D9"/>
          </w:tcPr>
          <w:p>
            <w:pPr>
              <w:pStyle w:val="TableParagraph"/>
              <w:spacing w:line="274" w:lineRule="exact" w:before="18"/>
              <w:ind w:left="199"/>
              <w:rPr>
                <w:rFonts w:ascii="PMingLiU" w:eastAsia="PMingLiU"/>
                <w:sz w:val="21"/>
              </w:rPr>
            </w:pPr>
            <w:r>
              <w:rPr>
                <w:rFonts w:ascii="PMingLiU" w:eastAsia="PMingLiU"/>
                <w:color w:val="221715"/>
                <w:spacing w:val="-4"/>
                <w:sz w:val="21"/>
              </w:rPr>
              <w:t>第四部分</w:t>
            </w:r>
          </w:p>
        </w:tc>
        <w:tc>
          <w:tcPr>
            <w:tcW w:w="3335" w:type="dxa"/>
            <w:shd w:val="clear" w:color="auto" w:fill="D9D9D9"/>
          </w:tcPr>
          <w:p>
            <w:pPr>
              <w:pStyle w:val="TableParagraph"/>
              <w:spacing w:line="274" w:lineRule="exact" w:before="18"/>
              <w:ind w:left="202"/>
              <w:rPr>
                <w:rFonts w:ascii="PMingLiU" w:eastAsia="PMingLiU"/>
                <w:sz w:val="21"/>
              </w:rPr>
            </w:pPr>
            <w:r>
              <w:rPr>
                <w:rFonts w:ascii="PMingLiU" w:eastAsia="PMingLiU"/>
                <w:color w:val="221715"/>
                <w:spacing w:val="-3"/>
                <w:sz w:val="21"/>
              </w:rPr>
              <w:t>合同效力中止与恢复</w:t>
            </w:r>
          </w:p>
        </w:tc>
        <w:tc>
          <w:tcPr>
            <w:tcW w:w="528" w:type="dxa"/>
          </w:tcPr>
          <w:p>
            <w:pPr>
              <w:pStyle w:val="TableParagraph"/>
              <w:spacing w:before="0"/>
              <w:ind w:left="0"/>
              <w:rPr>
                <w:rFonts w:ascii="Times New Roman"/>
                <w:sz w:val="20"/>
              </w:rPr>
            </w:pPr>
          </w:p>
        </w:tc>
        <w:tc>
          <w:tcPr>
            <w:tcW w:w="1436" w:type="dxa"/>
          </w:tcPr>
          <w:p>
            <w:pPr>
              <w:pStyle w:val="TableParagraph"/>
              <w:spacing w:before="18"/>
              <w:ind w:left="211"/>
              <w:rPr>
                <w:sz w:val="21"/>
              </w:rPr>
            </w:pPr>
            <w:r>
              <w:rPr>
                <w:color w:val="221715"/>
                <w:spacing w:val="-4"/>
                <w:sz w:val="21"/>
              </w:rPr>
              <w:t>第二十五条</w:t>
            </w:r>
          </w:p>
        </w:tc>
        <w:tc>
          <w:tcPr>
            <w:tcW w:w="3244" w:type="dxa"/>
          </w:tcPr>
          <w:p>
            <w:pPr>
              <w:pStyle w:val="TableParagraph"/>
              <w:spacing w:before="18"/>
              <w:ind w:left="163"/>
              <w:rPr>
                <w:sz w:val="21"/>
              </w:rPr>
            </w:pPr>
            <w:r>
              <w:rPr>
                <w:color w:val="221715"/>
                <w:spacing w:val="-4"/>
                <w:sz w:val="21"/>
              </w:rPr>
              <w:t>合同效力终止</w:t>
            </w:r>
          </w:p>
        </w:tc>
      </w:tr>
      <w:tr>
        <w:trPr>
          <w:trHeight w:val="623" w:hRule="atLeast"/>
        </w:trPr>
        <w:tc>
          <w:tcPr>
            <w:tcW w:w="1266" w:type="dxa"/>
          </w:tcPr>
          <w:p>
            <w:pPr>
              <w:pStyle w:val="TableParagraph"/>
              <w:spacing w:before="18"/>
              <w:ind w:left="199"/>
              <w:rPr>
                <w:sz w:val="21"/>
              </w:rPr>
            </w:pPr>
            <w:r>
              <w:rPr>
                <w:color w:val="221715"/>
                <w:spacing w:val="-4"/>
                <w:sz w:val="21"/>
              </w:rPr>
              <w:t>第十一条</w:t>
            </w:r>
          </w:p>
          <w:p>
            <w:pPr>
              <w:pStyle w:val="TableParagraph"/>
              <w:spacing w:before="43"/>
              <w:ind w:left="199"/>
              <w:rPr>
                <w:sz w:val="21"/>
              </w:rPr>
            </w:pPr>
            <w:r>
              <w:rPr>
                <w:color w:val="221715"/>
                <w:spacing w:val="-4"/>
                <w:sz w:val="21"/>
              </w:rPr>
              <w:t>第十二条</w:t>
            </w:r>
          </w:p>
        </w:tc>
        <w:tc>
          <w:tcPr>
            <w:tcW w:w="3335" w:type="dxa"/>
          </w:tcPr>
          <w:p>
            <w:pPr>
              <w:pStyle w:val="TableParagraph"/>
              <w:spacing w:before="18"/>
              <w:ind w:left="202"/>
              <w:rPr>
                <w:sz w:val="21"/>
              </w:rPr>
            </w:pPr>
            <w:r>
              <w:rPr>
                <w:color w:val="221715"/>
                <w:spacing w:val="-4"/>
                <w:sz w:val="21"/>
              </w:rPr>
              <w:t>合同效力中止</w:t>
            </w:r>
          </w:p>
          <w:p>
            <w:pPr>
              <w:pStyle w:val="TableParagraph"/>
              <w:spacing w:before="43"/>
              <w:ind w:left="202"/>
              <w:rPr>
                <w:sz w:val="21"/>
              </w:rPr>
            </w:pPr>
            <w:r>
              <w:rPr>
                <w:color w:val="221715"/>
                <w:spacing w:val="-4"/>
                <w:sz w:val="21"/>
              </w:rPr>
              <w:t>合同效力恢复</w:t>
            </w:r>
          </w:p>
        </w:tc>
        <w:tc>
          <w:tcPr>
            <w:tcW w:w="528" w:type="dxa"/>
          </w:tcPr>
          <w:p>
            <w:pPr>
              <w:pStyle w:val="TableParagraph"/>
              <w:spacing w:before="0"/>
              <w:ind w:left="0"/>
              <w:rPr>
                <w:rFonts w:ascii="Times New Roman"/>
                <w:sz w:val="20"/>
              </w:rPr>
            </w:pPr>
          </w:p>
        </w:tc>
        <w:tc>
          <w:tcPr>
            <w:tcW w:w="1436" w:type="dxa"/>
          </w:tcPr>
          <w:p>
            <w:pPr>
              <w:pStyle w:val="TableParagraph"/>
              <w:spacing w:before="18"/>
              <w:ind w:left="221"/>
              <w:rPr>
                <w:sz w:val="21"/>
              </w:rPr>
            </w:pPr>
            <w:r>
              <w:rPr>
                <w:spacing w:val="-4"/>
                <w:sz w:val="21"/>
              </w:rPr>
              <w:t>第二十六条</w:t>
            </w:r>
          </w:p>
          <w:p>
            <w:pPr>
              <w:pStyle w:val="TableParagraph"/>
              <w:spacing w:before="43"/>
              <w:ind w:left="221"/>
              <w:rPr>
                <w:sz w:val="21"/>
              </w:rPr>
            </w:pPr>
            <w:r>
              <w:rPr>
                <w:spacing w:val="-4"/>
                <w:sz w:val="21"/>
              </w:rPr>
              <w:t>第二十七条</w:t>
            </w:r>
          </w:p>
        </w:tc>
        <w:tc>
          <w:tcPr>
            <w:tcW w:w="3244" w:type="dxa"/>
          </w:tcPr>
          <w:p>
            <w:pPr>
              <w:pStyle w:val="TableParagraph"/>
              <w:spacing w:before="18"/>
              <w:ind w:left="163"/>
              <w:rPr>
                <w:sz w:val="21"/>
              </w:rPr>
            </w:pPr>
            <w:r>
              <w:rPr>
                <w:color w:val="221715"/>
                <w:spacing w:val="-4"/>
                <w:sz w:val="21"/>
              </w:rPr>
              <w:t>联系方式变更</w:t>
            </w:r>
          </w:p>
          <w:p>
            <w:pPr>
              <w:pStyle w:val="TableParagraph"/>
              <w:spacing w:before="43"/>
              <w:ind w:left="163"/>
              <w:rPr>
                <w:sz w:val="21"/>
              </w:rPr>
            </w:pPr>
            <w:r>
              <w:rPr>
                <w:color w:val="221715"/>
                <w:spacing w:val="-4"/>
                <w:sz w:val="21"/>
              </w:rPr>
              <w:t>争议处理</w:t>
            </w:r>
          </w:p>
        </w:tc>
      </w:tr>
      <w:tr>
        <w:trPr>
          <w:trHeight w:val="311" w:hRule="atLeast"/>
        </w:trPr>
        <w:tc>
          <w:tcPr>
            <w:tcW w:w="1266" w:type="dxa"/>
            <w:shd w:val="clear" w:color="auto" w:fill="D9D9D9"/>
          </w:tcPr>
          <w:p>
            <w:pPr>
              <w:pStyle w:val="TableParagraph"/>
              <w:spacing w:line="274" w:lineRule="exact" w:before="18"/>
              <w:ind w:left="220"/>
              <w:rPr>
                <w:rFonts w:ascii="PMingLiU" w:eastAsia="PMingLiU"/>
                <w:sz w:val="21"/>
              </w:rPr>
            </w:pPr>
            <w:r>
              <w:rPr>
                <w:rFonts w:ascii="PMingLiU" w:eastAsia="PMingLiU"/>
                <w:color w:val="221715"/>
                <w:spacing w:val="-4"/>
                <w:sz w:val="21"/>
              </w:rPr>
              <w:t>第五部分</w:t>
            </w:r>
          </w:p>
        </w:tc>
        <w:tc>
          <w:tcPr>
            <w:tcW w:w="3335" w:type="dxa"/>
            <w:shd w:val="clear" w:color="auto" w:fill="D9D9D9"/>
          </w:tcPr>
          <w:p>
            <w:pPr>
              <w:pStyle w:val="TableParagraph"/>
              <w:spacing w:line="274" w:lineRule="exact" w:before="18"/>
              <w:ind w:left="205"/>
              <w:rPr>
                <w:rFonts w:ascii="PMingLiU" w:eastAsia="PMingLiU"/>
                <w:sz w:val="21"/>
              </w:rPr>
            </w:pPr>
            <w:r>
              <w:rPr>
                <w:rFonts w:ascii="PMingLiU" w:eastAsia="PMingLiU"/>
                <w:color w:val="221715"/>
                <w:spacing w:val="-4"/>
                <w:sz w:val="21"/>
              </w:rPr>
              <w:t>申请保险金</w:t>
            </w:r>
          </w:p>
        </w:tc>
        <w:tc>
          <w:tcPr>
            <w:tcW w:w="528" w:type="dxa"/>
          </w:tcPr>
          <w:p>
            <w:pPr>
              <w:pStyle w:val="TableParagraph"/>
              <w:spacing w:before="0"/>
              <w:ind w:left="0"/>
              <w:rPr>
                <w:rFonts w:ascii="Times New Roman"/>
                <w:sz w:val="20"/>
              </w:rPr>
            </w:pPr>
          </w:p>
        </w:tc>
        <w:tc>
          <w:tcPr>
            <w:tcW w:w="1436" w:type="dxa"/>
            <w:shd w:val="clear" w:color="auto" w:fill="DCDDDD"/>
          </w:tcPr>
          <w:p>
            <w:pPr>
              <w:pStyle w:val="TableParagraph"/>
              <w:spacing w:line="274" w:lineRule="exact" w:before="18"/>
              <w:ind w:left="221"/>
              <w:rPr>
                <w:rFonts w:ascii="PMingLiU" w:eastAsia="PMingLiU"/>
                <w:sz w:val="21"/>
              </w:rPr>
            </w:pPr>
            <w:r>
              <w:rPr>
                <w:rFonts w:ascii="PMingLiU" w:eastAsia="PMingLiU"/>
                <w:spacing w:val="-4"/>
                <w:sz w:val="21"/>
              </w:rPr>
              <w:t>第八部分</w:t>
            </w:r>
          </w:p>
        </w:tc>
        <w:tc>
          <w:tcPr>
            <w:tcW w:w="3244" w:type="dxa"/>
            <w:shd w:val="clear" w:color="auto" w:fill="DCDDDD"/>
          </w:tcPr>
          <w:p>
            <w:pPr>
              <w:pStyle w:val="TableParagraph"/>
              <w:spacing w:line="274" w:lineRule="exact" w:before="18"/>
              <w:ind w:left="163"/>
              <w:rPr>
                <w:rFonts w:ascii="PMingLiU" w:eastAsia="PMingLiU"/>
                <w:sz w:val="21"/>
              </w:rPr>
            </w:pPr>
            <w:r>
              <w:rPr>
                <w:rFonts w:ascii="PMingLiU" w:eastAsia="PMingLiU"/>
                <w:color w:val="221715"/>
                <w:spacing w:val="-5"/>
                <w:sz w:val="21"/>
              </w:rPr>
              <w:t>释义</w:t>
            </w:r>
          </w:p>
        </w:tc>
      </w:tr>
      <w:tr>
        <w:trPr>
          <w:trHeight w:val="285" w:hRule="atLeast"/>
        </w:trPr>
        <w:tc>
          <w:tcPr>
            <w:tcW w:w="1266" w:type="dxa"/>
          </w:tcPr>
          <w:p>
            <w:pPr>
              <w:pStyle w:val="TableParagraph"/>
              <w:spacing w:line="247" w:lineRule="exact" w:before="18"/>
              <w:ind w:left="199"/>
              <w:rPr>
                <w:sz w:val="21"/>
              </w:rPr>
            </w:pPr>
            <w:r>
              <w:rPr>
                <w:color w:val="221715"/>
                <w:spacing w:val="-4"/>
                <w:sz w:val="21"/>
              </w:rPr>
              <w:t>第十三条</w:t>
            </w:r>
          </w:p>
        </w:tc>
        <w:tc>
          <w:tcPr>
            <w:tcW w:w="3335" w:type="dxa"/>
          </w:tcPr>
          <w:p>
            <w:pPr>
              <w:pStyle w:val="TableParagraph"/>
              <w:spacing w:line="247" w:lineRule="exact" w:before="18"/>
              <w:ind w:left="205"/>
              <w:rPr>
                <w:sz w:val="21"/>
              </w:rPr>
            </w:pPr>
            <w:r>
              <w:rPr>
                <w:color w:val="221715"/>
                <w:spacing w:val="-4"/>
                <w:sz w:val="21"/>
              </w:rPr>
              <w:t>受益人</w:t>
            </w:r>
          </w:p>
        </w:tc>
        <w:tc>
          <w:tcPr>
            <w:tcW w:w="528" w:type="dxa"/>
          </w:tcPr>
          <w:p>
            <w:pPr>
              <w:pStyle w:val="TableParagraph"/>
              <w:spacing w:before="0"/>
              <w:ind w:left="0"/>
              <w:rPr>
                <w:rFonts w:ascii="Times New Roman"/>
                <w:sz w:val="20"/>
              </w:rPr>
            </w:pPr>
          </w:p>
        </w:tc>
        <w:tc>
          <w:tcPr>
            <w:tcW w:w="1436" w:type="dxa"/>
          </w:tcPr>
          <w:p>
            <w:pPr>
              <w:pStyle w:val="TableParagraph"/>
              <w:spacing w:line="247" w:lineRule="exact" w:before="18"/>
              <w:ind w:left="221"/>
              <w:rPr>
                <w:sz w:val="21"/>
              </w:rPr>
            </w:pPr>
            <w:r>
              <w:rPr>
                <w:spacing w:val="-4"/>
                <w:sz w:val="21"/>
              </w:rPr>
              <w:t>第二十八条</w:t>
            </w:r>
          </w:p>
        </w:tc>
        <w:tc>
          <w:tcPr>
            <w:tcW w:w="3244" w:type="dxa"/>
          </w:tcPr>
          <w:p>
            <w:pPr>
              <w:pStyle w:val="TableParagraph"/>
              <w:spacing w:line="247" w:lineRule="exact" w:before="18"/>
              <w:ind w:left="163"/>
              <w:rPr>
                <w:sz w:val="21"/>
              </w:rPr>
            </w:pPr>
            <w:r>
              <w:rPr>
                <w:color w:val="221715"/>
                <w:spacing w:val="-5"/>
                <w:sz w:val="21"/>
              </w:rPr>
              <w:t>释义</w:t>
            </w:r>
          </w:p>
        </w:tc>
      </w:tr>
    </w:tbl>
    <w:p>
      <w:pPr>
        <w:spacing w:after="0" w:line="247" w:lineRule="exact"/>
        <w:rPr>
          <w:sz w:val="21"/>
        </w:rPr>
        <w:sectPr>
          <w:type w:val="continuous"/>
          <w:pgSz w:w="11900" w:h="16840"/>
          <w:pgMar w:top="660" w:bottom="280" w:left="1100" w:right="620"/>
        </w:sectPr>
      </w:pPr>
    </w:p>
    <w:p>
      <w:pPr>
        <w:pStyle w:val="BodyText"/>
        <w:spacing w:line="352" w:lineRule="auto" w:before="62"/>
        <w:ind w:right="330" w:firstLine="439"/>
      </w:pPr>
      <w:r>
        <w:rPr>
          <w:spacing w:val="-2"/>
        </w:rPr>
        <w:t>在本条款中，“您”指投保人，“我们”、“本公司”均指在保险单上签章的德华安顾人</w:t>
      </w:r>
      <w:r>
        <w:rPr>
          <w:spacing w:val="-1"/>
        </w:rPr>
        <w:t>寿保险有限公司，“本合同”指您与我们之间订立的“德华安顾孝亲宝中老年防癌疾病保险</w:t>
      </w:r>
    </w:p>
    <w:p>
      <w:pPr>
        <w:pStyle w:val="BodyText"/>
        <w:spacing w:line="350" w:lineRule="auto"/>
        <w:ind w:right="337"/>
      </w:pPr>
      <w:r>
        <w:rPr>
          <w:spacing w:val="-2"/>
        </w:rPr>
        <w:t>（互联网）合同”，“被保险人”指本合同的被保险人，投保人、被保险人的姓名在保险单上</w:t>
      </w:r>
      <w:r>
        <w:rPr>
          <w:spacing w:val="-4"/>
        </w:rPr>
        <w:t>载明。</w:t>
      </w:r>
    </w:p>
    <w:p>
      <w:pPr>
        <w:pStyle w:val="BodyText"/>
        <w:spacing w:before="8"/>
        <w:ind w:left="0"/>
        <w:rPr>
          <w:sz w:val="32"/>
        </w:rPr>
      </w:pPr>
    </w:p>
    <w:p>
      <w:pPr>
        <w:pStyle w:val="Heading1"/>
      </w:pPr>
      <w:r>
        <w:rPr>
          <w:w w:val="95"/>
        </w:rPr>
        <w:t>德</w:t>
      </w:r>
      <w:r>
        <w:rPr>
          <w:w w:val="95"/>
        </w:rPr>
        <w:t>华</w:t>
      </w:r>
      <w:r>
        <w:rPr>
          <w:w w:val="95"/>
        </w:rPr>
        <w:t>安</w:t>
      </w:r>
      <w:r>
        <w:rPr>
          <w:w w:val="95"/>
        </w:rPr>
        <w:t>顾</w:t>
      </w:r>
      <w:r>
        <w:rPr>
          <w:w w:val="95"/>
        </w:rPr>
        <w:t>孝</w:t>
      </w:r>
      <w:r>
        <w:rPr>
          <w:w w:val="95"/>
        </w:rPr>
        <w:t>亲</w:t>
      </w:r>
      <w:r>
        <w:rPr>
          <w:w w:val="95"/>
        </w:rPr>
        <w:t>宝</w:t>
      </w:r>
      <w:r>
        <w:rPr>
          <w:w w:val="95"/>
        </w:rPr>
        <w:t>中</w:t>
      </w:r>
      <w:r>
        <w:rPr>
          <w:w w:val="95"/>
        </w:rPr>
        <w:t>老</w:t>
      </w:r>
      <w:r>
        <w:rPr>
          <w:w w:val="95"/>
        </w:rPr>
        <w:t>年</w:t>
      </w:r>
      <w:r>
        <w:rPr>
          <w:w w:val="95"/>
        </w:rPr>
        <w:t>防</w:t>
      </w:r>
      <w:r>
        <w:rPr>
          <w:w w:val="95"/>
        </w:rPr>
        <w:t>癌</w:t>
      </w:r>
      <w:r>
        <w:rPr>
          <w:w w:val="95"/>
        </w:rPr>
        <w:t>疾</w:t>
      </w:r>
      <w:r>
        <w:rPr>
          <w:w w:val="95"/>
        </w:rPr>
        <w:t>病</w:t>
      </w:r>
      <w:r>
        <w:rPr>
          <w:w w:val="95"/>
        </w:rPr>
        <w:t>保</w:t>
      </w:r>
      <w:r>
        <w:rPr>
          <w:w w:val="95"/>
        </w:rPr>
        <w:t>险</w:t>
      </w:r>
      <w:r>
        <w:rPr>
          <w:w w:val="95"/>
        </w:rPr>
        <w:t>（互</w:t>
      </w:r>
      <w:r>
        <w:rPr>
          <w:w w:val="95"/>
        </w:rPr>
        <w:t>联</w:t>
      </w:r>
      <w:r>
        <w:rPr>
          <w:w w:val="95"/>
        </w:rPr>
        <w:t>网</w:t>
      </w:r>
      <w:r>
        <w:rPr>
          <w:w w:val="95"/>
        </w:rPr>
        <w:t>）</w:t>
      </w:r>
      <w:r>
        <w:rPr>
          <w:w w:val="95"/>
        </w:rPr>
        <w:t>条</w:t>
      </w:r>
      <w:r>
        <w:rPr>
          <w:spacing w:val="-10"/>
          <w:w w:val="95"/>
        </w:rPr>
        <w:t>款</w:t>
      </w:r>
    </w:p>
    <w:p>
      <w:pPr>
        <w:pStyle w:val="BodyText"/>
        <w:spacing w:before="4"/>
        <w:ind w:left="0"/>
        <w:rPr>
          <w:rFonts w:ascii="PMingLiU"/>
          <w:sz w:val="15"/>
        </w:rPr>
      </w:pPr>
    </w:p>
    <w:p>
      <w:pPr>
        <w:spacing w:before="5"/>
        <w:ind w:left="551" w:right="767" w:firstLine="0"/>
        <w:jc w:val="center"/>
        <w:rPr>
          <w:rFonts w:ascii="Microsoft JhengHei" w:eastAsia="Microsoft JhengHei"/>
          <w:b/>
          <w:sz w:val="22"/>
        </w:rPr>
      </w:pPr>
      <w:r>
        <w:rPr>
          <w:rFonts w:ascii="Microsoft JhengHei" w:eastAsia="Microsoft JhengHei"/>
          <w:b/>
          <w:spacing w:val="-1"/>
          <w:sz w:val="22"/>
        </w:rPr>
        <w:t>第一部分 投保人与本公司订立的合同</w:t>
      </w:r>
    </w:p>
    <w:p>
      <w:pPr>
        <w:spacing w:before="90"/>
        <w:ind w:left="115" w:right="6860" w:firstLine="0"/>
        <w:jc w:val="center"/>
        <w:rPr>
          <w:rFonts w:ascii="Microsoft JhengHei" w:eastAsia="Microsoft JhengHei"/>
          <w:b/>
          <w:sz w:val="22"/>
        </w:rPr>
      </w:pPr>
      <w:r>
        <w:rPr>
          <w:rFonts w:ascii="Microsoft JhengHei" w:eastAsia="Microsoft JhengHei"/>
          <w:b/>
          <w:spacing w:val="5"/>
          <w:sz w:val="22"/>
        </w:rPr>
        <w:t>第一条 合同构成</w:t>
      </w:r>
    </w:p>
    <w:p>
      <w:pPr>
        <w:pStyle w:val="BodyText"/>
        <w:spacing w:line="420" w:lineRule="auto" w:before="160"/>
        <w:ind w:right="333" w:firstLine="439"/>
        <w:jc w:val="both"/>
      </w:pPr>
      <w:r>
        <w:rPr>
          <w:spacing w:val="-2"/>
        </w:rPr>
        <w:t>本保险合同（以下简称本合同）由以下几个部分构成：本保险条款、保险单（包括电子保险单）或其他保险凭证、投保单（复印件或电子影像件与正本具有同等效力）、与本合同有关的投保文件、现金价值表、合法有效的声明、批注、批单，以及投保人与本公司认可的、与本</w:t>
      </w:r>
      <w:r>
        <w:rPr>
          <w:spacing w:val="-2"/>
        </w:rPr>
        <w:t>合同有关的其它书面或电子协议。</w:t>
      </w:r>
    </w:p>
    <w:p>
      <w:pPr>
        <w:spacing w:line="339" w:lineRule="exact" w:before="0"/>
        <w:ind w:left="555" w:right="0" w:firstLine="0"/>
        <w:jc w:val="both"/>
        <w:rPr>
          <w:rFonts w:ascii="Microsoft JhengHei" w:eastAsia="Microsoft JhengHei"/>
          <w:b/>
          <w:sz w:val="22"/>
        </w:rPr>
      </w:pPr>
      <w:r>
        <w:rPr>
          <w:rFonts w:ascii="Microsoft JhengHei" w:eastAsia="Microsoft JhengHei"/>
          <w:b/>
          <w:spacing w:val="3"/>
          <w:sz w:val="22"/>
        </w:rPr>
        <w:t>第二条 合同成立与生效</w:t>
      </w:r>
    </w:p>
    <w:p>
      <w:pPr>
        <w:pStyle w:val="BodyText"/>
        <w:spacing w:line="420" w:lineRule="auto" w:before="157"/>
        <w:ind w:right="333" w:firstLine="439"/>
        <w:jc w:val="both"/>
      </w:pPr>
      <w:r>
        <w:rPr>
          <w:spacing w:val="-2"/>
        </w:rPr>
        <w:t>投保人向本公司提出投保申请，经本公司同意承保，本合同成立。自本合同成立、本公司收取首期保险费并签发保险单的次日零时起，本合同生效。合同成立日期和生效日期以保险单</w:t>
      </w:r>
      <w:r>
        <w:rPr>
          <w:spacing w:val="-2"/>
        </w:rPr>
        <w:t>上载明的为准。本公司自本合同生效之日起开始承担保险责任。</w:t>
      </w:r>
    </w:p>
    <w:p>
      <w:pPr>
        <w:spacing w:line="337" w:lineRule="exact" w:before="0"/>
        <w:ind w:left="555" w:right="0" w:firstLine="0"/>
        <w:jc w:val="both"/>
        <w:rPr>
          <w:sz w:val="22"/>
        </w:rPr>
      </w:pPr>
      <w:r>
        <w:rPr>
          <w:rFonts w:ascii="微软雅黑" w:eastAsia="微软雅黑"/>
          <w:b/>
          <w:sz w:val="22"/>
        </w:rPr>
        <w:t>保单年度</w:t>
      </w:r>
      <w:r>
        <w:rPr>
          <w:sz w:val="22"/>
        </w:rPr>
        <w:t>（</w:t>
      </w:r>
      <w:r>
        <w:rPr>
          <w:spacing w:val="2"/>
          <w:sz w:val="22"/>
        </w:rPr>
        <w:t>见释义 </w:t>
      </w:r>
      <w:r>
        <w:rPr>
          <w:sz w:val="22"/>
        </w:rPr>
        <w:t>1）、</w:t>
      </w:r>
      <w:r>
        <w:rPr>
          <w:rFonts w:ascii="微软雅黑" w:eastAsia="微软雅黑"/>
          <w:b/>
          <w:sz w:val="22"/>
        </w:rPr>
        <w:t>保险费约定交纳日</w:t>
      </w:r>
      <w:r>
        <w:rPr>
          <w:sz w:val="22"/>
        </w:rPr>
        <w:t>（</w:t>
      </w:r>
      <w:r>
        <w:rPr>
          <w:spacing w:val="2"/>
          <w:sz w:val="22"/>
        </w:rPr>
        <w:t>见释义 </w:t>
      </w:r>
      <w:r>
        <w:rPr>
          <w:sz w:val="22"/>
        </w:rPr>
        <w:t>2）</w:t>
      </w:r>
      <w:r>
        <w:rPr>
          <w:spacing w:val="-1"/>
          <w:sz w:val="22"/>
        </w:rPr>
        <w:t>和保险合同期满日均以保险单上</w:t>
      </w:r>
    </w:p>
    <w:p>
      <w:pPr>
        <w:pStyle w:val="BodyText"/>
        <w:spacing w:before="160"/>
      </w:pPr>
      <w:r>
        <w:rPr>
          <w:spacing w:val="-3"/>
        </w:rPr>
        <w:t>载明的保险合同生效日期为计算依据。</w:t>
      </w:r>
    </w:p>
    <w:p>
      <w:pPr>
        <w:spacing w:before="144"/>
        <w:ind w:left="555" w:right="0" w:firstLine="0"/>
        <w:jc w:val="both"/>
        <w:rPr>
          <w:rFonts w:ascii="Microsoft JhengHei" w:eastAsia="Microsoft JhengHei"/>
          <w:b/>
          <w:sz w:val="22"/>
        </w:rPr>
      </w:pPr>
      <w:r>
        <w:rPr>
          <w:rFonts w:ascii="Microsoft JhengHei" w:eastAsia="Microsoft JhengHei"/>
          <w:b/>
          <w:spacing w:val="7"/>
          <w:sz w:val="22"/>
        </w:rPr>
        <w:t>第三条 犹豫期</w:t>
      </w:r>
    </w:p>
    <w:p>
      <w:pPr>
        <w:pStyle w:val="BodyText"/>
        <w:spacing w:line="420" w:lineRule="auto" w:before="158"/>
        <w:ind w:right="337" w:firstLine="439"/>
      </w:pPr>
      <w:r>
        <w:rPr/>
        <w:t>自投保人签收保险单（包括电子保险单）当日（含当日）起 15 日为犹豫期。犹豫期内投</w:t>
      </w:r>
      <w:r>
        <w:rPr>
          <w:spacing w:val="-2"/>
        </w:rPr>
        <w:t>保人要求解除本合同的，本公司将无息退还已收取的全部保险费。</w:t>
      </w:r>
    </w:p>
    <w:p>
      <w:pPr>
        <w:pStyle w:val="BodyText"/>
        <w:spacing w:line="420" w:lineRule="auto" w:before="2"/>
        <w:ind w:left="555" w:right="1257"/>
      </w:pPr>
      <w:r>
        <w:rPr>
          <w:spacing w:val="-2"/>
        </w:rPr>
        <w:t>犹豫期内投保人解除本合同的，需提出解除合同申请并向本公司提供下列资料： 1、保险合同；</w:t>
      </w:r>
    </w:p>
    <w:p>
      <w:pPr>
        <w:spacing w:line="335" w:lineRule="exact" w:before="0"/>
        <w:ind w:left="555" w:right="0" w:firstLine="0"/>
        <w:jc w:val="left"/>
        <w:rPr>
          <w:sz w:val="22"/>
        </w:rPr>
      </w:pPr>
      <w:r>
        <w:rPr>
          <w:sz w:val="22"/>
        </w:rPr>
        <w:t>2</w:t>
      </w:r>
      <w:r>
        <w:rPr>
          <w:sz w:val="22"/>
        </w:rPr>
        <w:t>、投保人的</w:t>
      </w:r>
      <w:r>
        <w:rPr>
          <w:rFonts w:ascii="微软雅黑" w:eastAsia="微软雅黑"/>
          <w:b/>
          <w:sz w:val="22"/>
        </w:rPr>
        <w:t>有效身份证件</w:t>
      </w:r>
      <w:r>
        <w:rPr>
          <w:sz w:val="22"/>
        </w:rPr>
        <w:t>（</w:t>
      </w:r>
      <w:r>
        <w:rPr>
          <w:spacing w:val="-12"/>
          <w:sz w:val="22"/>
        </w:rPr>
        <w:t>见释义 </w:t>
      </w:r>
      <w:r>
        <w:rPr>
          <w:spacing w:val="-5"/>
          <w:sz w:val="22"/>
        </w:rPr>
        <w:t>3）；</w:t>
      </w:r>
    </w:p>
    <w:p>
      <w:pPr>
        <w:pStyle w:val="BodyText"/>
        <w:spacing w:before="160"/>
        <w:ind w:left="555"/>
      </w:pPr>
      <w:r>
        <w:rPr/>
        <w:t>3</w:t>
      </w:r>
      <w:r>
        <w:rPr>
          <w:spacing w:val="-2"/>
        </w:rPr>
        <w:t>、保险费发票。</w:t>
      </w:r>
    </w:p>
    <w:p>
      <w:pPr>
        <w:spacing w:line="292" w:lineRule="auto" w:before="140"/>
        <w:ind w:left="116" w:right="335" w:firstLine="439"/>
        <w:jc w:val="left"/>
        <w:rPr>
          <w:rFonts w:ascii="微软雅黑" w:eastAsia="微软雅黑"/>
          <w:b/>
          <w:sz w:val="22"/>
        </w:rPr>
      </w:pPr>
      <w:r>
        <w:rPr>
          <w:rFonts w:ascii="微软雅黑" w:eastAsia="微软雅黑"/>
          <w:b/>
          <w:spacing w:val="-2"/>
          <w:sz w:val="22"/>
        </w:rPr>
        <w:t>自本公司收到解除合同申请及上述资料之日起，本合同解除，合同解除前发生的保险事故</w:t>
      </w:r>
      <w:r>
        <w:rPr>
          <w:rFonts w:ascii="微软雅黑" w:eastAsia="微软雅黑"/>
          <w:b/>
          <w:spacing w:val="-2"/>
          <w:sz w:val="22"/>
        </w:rPr>
        <w:t>本公司不承担给付保险金的责任。</w:t>
      </w:r>
    </w:p>
    <w:p>
      <w:pPr>
        <w:spacing w:after="0" w:line="292" w:lineRule="auto"/>
        <w:jc w:val="left"/>
        <w:rPr>
          <w:rFonts w:ascii="微软雅黑" w:eastAsia="微软雅黑"/>
          <w:sz w:val="22"/>
        </w:rPr>
        <w:sectPr>
          <w:pgSz w:w="11910" w:h="16840"/>
          <w:pgMar w:top="1000" w:bottom="280" w:left="1300" w:right="1080"/>
        </w:sectPr>
      </w:pPr>
    </w:p>
    <w:p>
      <w:pPr>
        <w:spacing w:line="399" w:lineRule="exact" w:before="0"/>
        <w:ind w:left="551" w:right="771" w:firstLine="0"/>
        <w:jc w:val="center"/>
        <w:rPr>
          <w:rFonts w:ascii="Microsoft JhengHei" w:eastAsia="Microsoft JhengHei"/>
          <w:b/>
          <w:sz w:val="22"/>
        </w:rPr>
      </w:pPr>
      <w:r>
        <w:rPr>
          <w:rFonts w:ascii="Microsoft JhengHei" w:eastAsia="Microsoft JhengHei"/>
          <w:b/>
          <w:spacing w:val="1"/>
          <w:sz w:val="22"/>
        </w:rPr>
        <w:t>第二部分 本合同提供的保障</w:t>
      </w:r>
    </w:p>
    <w:p>
      <w:pPr>
        <w:spacing w:before="92"/>
        <w:ind w:left="551" w:right="6856" w:firstLine="0"/>
        <w:jc w:val="center"/>
        <w:rPr>
          <w:rFonts w:ascii="Microsoft JhengHei" w:eastAsia="Microsoft JhengHei"/>
          <w:b/>
          <w:sz w:val="22"/>
        </w:rPr>
      </w:pPr>
      <w:r>
        <w:rPr>
          <w:rFonts w:ascii="Microsoft JhengHei" w:eastAsia="Microsoft JhengHei"/>
          <w:b/>
          <w:spacing w:val="4"/>
          <w:sz w:val="22"/>
        </w:rPr>
        <w:t>第四条 基本保险金额</w:t>
      </w:r>
    </w:p>
    <w:p>
      <w:pPr>
        <w:pStyle w:val="BodyText"/>
        <w:spacing w:line="420" w:lineRule="auto" w:before="158"/>
        <w:ind w:right="333" w:firstLine="439"/>
      </w:pPr>
      <w:r>
        <w:rPr>
          <w:spacing w:val="-2"/>
        </w:rPr>
        <w:t>本合同的基本保险金额由投保人和本公司约定，并在保险单或批单上载明。如果该金额发</w:t>
      </w:r>
      <w:r>
        <w:rPr>
          <w:spacing w:val="-2"/>
        </w:rPr>
        <w:t>生变更，则以变更后的金额为基本保险金额。</w:t>
      </w:r>
    </w:p>
    <w:p>
      <w:pPr>
        <w:spacing w:line="339" w:lineRule="exact" w:before="0"/>
        <w:ind w:left="555" w:right="0" w:firstLine="0"/>
        <w:jc w:val="left"/>
        <w:rPr>
          <w:rFonts w:ascii="Microsoft JhengHei" w:eastAsia="Microsoft JhengHei"/>
          <w:b/>
          <w:sz w:val="22"/>
        </w:rPr>
      </w:pPr>
      <w:r>
        <w:rPr>
          <w:rFonts w:ascii="Microsoft JhengHei" w:eastAsia="Microsoft JhengHei"/>
          <w:b/>
          <w:spacing w:val="5"/>
          <w:sz w:val="22"/>
        </w:rPr>
        <w:t>第五条 保险期间</w:t>
      </w:r>
    </w:p>
    <w:p>
      <w:pPr>
        <w:pStyle w:val="BodyText"/>
        <w:spacing w:before="158"/>
        <w:ind w:left="555"/>
      </w:pPr>
      <w:r>
        <w:rPr>
          <w:spacing w:val="-3"/>
        </w:rPr>
        <w:t>本合同的保险期间由投保人在投保时与本公司约定，并在保险单上载明。</w:t>
      </w:r>
    </w:p>
    <w:p>
      <w:pPr>
        <w:spacing w:before="144"/>
        <w:ind w:left="555" w:right="0" w:firstLine="0"/>
        <w:jc w:val="left"/>
        <w:rPr>
          <w:rFonts w:ascii="Microsoft JhengHei" w:eastAsia="Microsoft JhengHei"/>
          <w:b/>
          <w:sz w:val="22"/>
        </w:rPr>
      </w:pPr>
      <w:r>
        <w:rPr>
          <w:rFonts w:ascii="Microsoft JhengHei" w:eastAsia="Microsoft JhengHei"/>
          <w:b/>
          <w:spacing w:val="5"/>
          <w:sz w:val="22"/>
        </w:rPr>
        <w:t>第六条 保险责任</w:t>
      </w:r>
    </w:p>
    <w:p>
      <w:pPr>
        <w:spacing w:line="292" w:lineRule="auto" w:before="88"/>
        <w:ind w:left="555" w:right="3904" w:firstLine="0"/>
        <w:jc w:val="left"/>
        <w:rPr>
          <w:rFonts w:ascii="微软雅黑" w:eastAsia="微软雅黑"/>
          <w:b/>
          <w:sz w:val="22"/>
        </w:rPr>
      </w:pPr>
      <w:r>
        <w:rPr>
          <w:rFonts w:ascii="微软雅黑" w:eastAsia="微软雅黑"/>
          <w:b/>
          <w:spacing w:val="-2"/>
          <w:sz w:val="22"/>
        </w:rPr>
        <w:t>在本合同保险期间内，本公司将承担下列保险责任：</w:t>
      </w:r>
      <w:r>
        <w:rPr>
          <w:rFonts w:ascii="微软雅黑" w:eastAsia="微软雅黑"/>
          <w:b/>
          <w:spacing w:val="-2"/>
          <w:sz w:val="22"/>
        </w:rPr>
        <w:t>一、等待期</w:t>
      </w:r>
    </w:p>
    <w:p>
      <w:pPr>
        <w:spacing w:before="0"/>
        <w:ind w:left="555" w:right="0" w:firstLine="0"/>
        <w:jc w:val="left"/>
        <w:rPr>
          <w:rFonts w:ascii="微软雅黑" w:eastAsia="微软雅黑"/>
          <w:b/>
          <w:sz w:val="22"/>
        </w:rPr>
      </w:pPr>
      <w:r>
        <w:rPr>
          <w:rFonts w:ascii="微软雅黑" w:eastAsia="微软雅黑"/>
          <w:b/>
          <w:w w:val="95"/>
          <w:sz w:val="22"/>
        </w:rPr>
        <w:t>本</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生</w:t>
      </w:r>
      <w:r>
        <w:rPr>
          <w:rFonts w:ascii="微软雅黑" w:eastAsia="微软雅黑"/>
          <w:b/>
          <w:w w:val="95"/>
          <w:sz w:val="22"/>
        </w:rPr>
        <w:t>效</w:t>
      </w:r>
      <w:r>
        <w:rPr>
          <w:rFonts w:ascii="微软雅黑" w:eastAsia="微软雅黑"/>
          <w:b/>
          <w:w w:val="95"/>
          <w:sz w:val="22"/>
        </w:rPr>
        <w:t>或</w:t>
      </w:r>
      <w:r>
        <w:rPr>
          <w:rFonts w:ascii="微软雅黑" w:eastAsia="微软雅黑"/>
          <w:b/>
          <w:w w:val="95"/>
          <w:sz w:val="22"/>
        </w:rPr>
        <w:t>复</w:t>
      </w:r>
      <w:r>
        <w:rPr>
          <w:rFonts w:ascii="微软雅黑" w:eastAsia="微软雅黑"/>
          <w:b/>
          <w:w w:val="95"/>
          <w:sz w:val="22"/>
        </w:rPr>
        <w:t>效</w:t>
      </w:r>
      <w:r>
        <w:rPr>
          <w:rFonts w:ascii="微软雅黑" w:eastAsia="微软雅黑"/>
          <w:b/>
          <w:w w:val="95"/>
          <w:sz w:val="22"/>
        </w:rPr>
        <w:t>之</w:t>
      </w:r>
      <w:r>
        <w:rPr>
          <w:rFonts w:ascii="微软雅黑" w:eastAsia="微软雅黑"/>
          <w:b/>
          <w:w w:val="95"/>
          <w:sz w:val="22"/>
        </w:rPr>
        <w:t>日起</w:t>
      </w:r>
      <w:r>
        <w:rPr>
          <w:rFonts w:ascii="微软雅黑" w:eastAsia="微软雅黑"/>
          <w:b/>
          <w:spacing w:val="51"/>
          <w:sz w:val="22"/>
        </w:rPr>
        <w:t>  </w:t>
      </w:r>
      <w:r>
        <w:rPr>
          <w:rFonts w:ascii="微软雅黑" w:eastAsia="微软雅黑"/>
          <w:b/>
          <w:w w:val="95"/>
          <w:sz w:val="22"/>
        </w:rPr>
        <w:t>180</w:t>
      </w:r>
      <w:r>
        <w:rPr>
          <w:rFonts w:ascii="微软雅黑" w:eastAsia="微软雅黑"/>
          <w:b/>
          <w:spacing w:val="50"/>
          <w:sz w:val="22"/>
        </w:rPr>
        <w:t>  </w:t>
      </w:r>
      <w:r>
        <w:rPr>
          <w:rFonts w:ascii="微软雅黑" w:eastAsia="微软雅黑"/>
          <w:b/>
          <w:w w:val="95"/>
          <w:sz w:val="22"/>
        </w:rPr>
        <w:t>日</w:t>
      </w:r>
      <w:r>
        <w:rPr>
          <w:rFonts w:ascii="微软雅黑" w:eastAsia="微软雅黑"/>
          <w:b/>
          <w:w w:val="95"/>
          <w:sz w:val="22"/>
        </w:rPr>
        <w:t>为</w:t>
      </w:r>
      <w:r>
        <w:rPr>
          <w:rFonts w:ascii="微软雅黑" w:eastAsia="微软雅黑"/>
          <w:b/>
          <w:w w:val="95"/>
          <w:sz w:val="22"/>
        </w:rPr>
        <w:t>等</w:t>
      </w:r>
      <w:r>
        <w:rPr>
          <w:rFonts w:ascii="微软雅黑" w:eastAsia="微软雅黑"/>
          <w:b/>
          <w:w w:val="95"/>
          <w:sz w:val="22"/>
        </w:rPr>
        <w:t>待</w:t>
      </w:r>
      <w:r>
        <w:rPr>
          <w:rFonts w:ascii="微软雅黑" w:eastAsia="微软雅黑"/>
          <w:b/>
          <w:w w:val="95"/>
          <w:sz w:val="22"/>
        </w:rPr>
        <w:t>期</w:t>
      </w:r>
      <w:r>
        <w:rPr>
          <w:rFonts w:ascii="微软雅黑" w:eastAsia="微软雅黑"/>
          <w:b/>
          <w:w w:val="95"/>
          <w:sz w:val="22"/>
        </w:rPr>
        <w:t>，如</w:t>
      </w:r>
      <w:r>
        <w:rPr>
          <w:rFonts w:ascii="微软雅黑" w:eastAsia="微软雅黑"/>
          <w:b/>
          <w:w w:val="95"/>
          <w:sz w:val="22"/>
        </w:rPr>
        <w:t>本</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多</w:t>
      </w:r>
      <w:r>
        <w:rPr>
          <w:rFonts w:ascii="微软雅黑" w:eastAsia="微软雅黑"/>
          <w:b/>
          <w:w w:val="95"/>
          <w:sz w:val="22"/>
        </w:rPr>
        <w:t>次</w:t>
      </w:r>
      <w:r>
        <w:rPr>
          <w:rFonts w:ascii="微软雅黑" w:eastAsia="微软雅黑"/>
          <w:b/>
          <w:w w:val="95"/>
          <w:sz w:val="22"/>
        </w:rPr>
        <w:t>复</w:t>
      </w:r>
      <w:r>
        <w:rPr>
          <w:rFonts w:ascii="微软雅黑" w:eastAsia="微软雅黑"/>
          <w:b/>
          <w:w w:val="95"/>
          <w:sz w:val="22"/>
        </w:rPr>
        <w:t>效</w:t>
      </w:r>
      <w:r>
        <w:rPr>
          <w:rFonts w:ascii="微软雅黑" w:eastAsia="微软雅黑"/>
          <w:b/>
          <w:w w:val="95"/>
          <w:sz w:val="22"/>
        </w:rPr>
        <w:t>，</w:t>
      </w:r>
      <w:r>
        <w:rPr>
          <w:rFonts w:ascii="微软雅黑" w:eastAsia="微软雅黑"/>
          <w:b/>
          <w:w w:val="95"/>
          <w:sz w:val="22"/>
        </w:rPr>
        <w:t>则</w:t>
      </w:r>
      <w:r>
        <w:rPr>
          <w:rFonts w:ascii="微软雅黑" w:eastAsia="微软雅黑"/>
          <w:b/>
          <w:w w:val="95"/>
          <w:sz w:val="22"/>
        </w:rPr>
        <w:t>每</w:t>
      </w:r>
      <w:r>
        <w:rPr>
          <w:rFonts w:ascii="微软雅黑" w:eastAsia="微软雅黑"/>
          <w:b/>
          <w:w w:val="95"/>
          <w:sz w:val="22"/>
        </w:rPr>
        <w:t>次</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效</w:t>
      </w:r>
      <w:r>
        <w:rPr>
          <w:rFonts w:ascii="微软雅黑" w:eastAsia="微软雅黑"/>
          <w:b/>
          <w:w w:val="95"/>
          <w:sz w:val="22"/>
        </w:rPr>
        <w:t>力</w:t>
      </w:r>
      <w:r>
        <w:rPr>
          <w:rFonts w:ascii="微软雅黑" w:eastAsia="微软雅黑"/>
          <w:b/>
          <w:w w:val="95"/>
          <w:sz w:val="22"/>
        </w:rPr>
        <w:t>恢</w:t>
      </w:r>
      <w:r>
        <w:rPr>
          <w:rFonts w:ascii="微软雅黑" w:eastAsia="微软雅黑"/>
          <w:b/>
          <w:w w:val="95"/>
          <w:sz w:val="22"/>
        </w:rPr>
        <w:t>复</w:t>
      </w:r>
      <w:r>
        <w:rPr>
          <w:rFonts w:ascii="微软雅黑" w:eastAsia="微软雅黑"/>
          <w:b/>
          <w:w w:val="95"/>
          <w:sz w:val="22"/>
        </w:rPr>
        <w:t>之</w:t>
      </w:r>
      <w:r>
        <w:rPr>
          <w:rFonts w:ascii="微软雅黑" w:eastAsia="微软雅黑"/>
          <w:b/>
          <w:spacing w:val="-10"/>
          <w:w w:val="95"/>
          <w:sz w:val="22"/>
        </w:rPr>
        <w:t>日</w:t>
      </w:r>
    </w:p>
    <w:p>
      <w:pPr>
        <w:spacing w:before="86"/>
        <w:ind w:left="116" w:right="0" w:firstLine="0"/>
        <w:jc w:val="left"/>
        <w:rPr>
          <w:rFonts w:ascii="微软雅黑" w:eastAsia="微软雅黑"/>
          <w:b/>
          <w:sz w:val="22"/>
        </w:rPr>
      </w:pPr>
      <w:r>
        <w:rPr>
          <w:rFonts w:ascii="微软雅黑" w:eastAsia="微软雅黑"/>
          <w:b/>
          <w:w w:val="95"/>
          <w:sz w:val="22"/>
        </w:rPr>
        <w:t>起</w:t>
      </w:r>
      <w:r>
        <w:rPr>
          <w:rFonts w:ascii="微软雅黑" w:eastAsia="微软雅黑"/>
          <w:b/>
          <w:spacing w:val="20"/>
          <w:sz w:val="22"/>
        </w:rPr>
        <w:t> </w:t>
      </w:r>
      <w:r>
        <w:rPr>
          <w:rFonts w:ascii="微软雅黑" w:eastAsia="微软雅黑"/>
          <w:b/>
          <w:w w:val="95"/>
          <w:sz w:val="22"/>
        </w:rPr>
        <w:t>180</w:t>
      </w:r>
      <w:r>
        <w:rPr>
          <w:rFonts w:ascii="微软雅黑" w:eastAsia="微软雅黑"/>
          <w:b/>
          <w:spacing w:val="21"/>
          <w:sz w:val="22"/>
        </w:rPr>
        <w:t> </w:t>
      </w:r>
      <w:r>
        <w:rPr>
          <w:rFonts w:ascii="微软雅黑" w:eastAsia="微软雅黑"/>
          <w:b/>
          <w:w w:val="95"/>
          <w:sz w:val="22"/>
        </w:rPr>
        <w:t>日</w:t>
      </w:r>
      <w:r>
        <w:rPr>
          <w:rFonts w:ascii="微软雅黑" w:eastAsia="微软雅黑"/>
          <w:b/>
          <w:w w:val="95"/>
          <w:sz w:val="22"/>
        </w:rPr>
        <w:t>均</w:t>
      </w:r>
      <w:r>
        <w:rPr>
          <w:rFonts w:ascii="微软雅黑" w:eastAsia="微软雅黑"/>
          <w:b/>
          <w:w w:val="95"/>
          <w:sz w:val="22"/>
        </w:rPr>
        <w:t>为</w:t>
      </w:r>
      <w:r>
        <w:rPr>
          <w:rFonts w:ascii="微软雅黑" w:eastAsia="微软雅黑"/>
          <w:b/>
          <w:w w:val="95"/>
          <w:sz w:val="22"/>
        </w:rPr>
        <w:t>等</w:t>
      </w:r>
      <w:r>
        <w:rPr>
          <w:rFonts w:ascii="微软雅黑" w:eastAsia="微软雅黑"/>
          <w:b/>
          <w:w w:val="95"/>
          <w:sz w:val="22"/>
        </w:rPr>
        <w:t>待</w:t>
      </w:r>
      <w:r>
        <w:rPr>
          <w:rFonts w:ascii="微软雅黑" w:eastAsia="微软雅黑"/>
          <w:b/>
          <w:w w:val="95"/>
          <w:sz w:val="22"/>
        </w:rPr>
        <w:t>期</w:t>
      </w:r>
      <w:r>
        <w:rPr>
          <w:rFonts w:ascii="微软雅黑" w:eastAsia="微软雅黑"/>
          <w:b/>
          <w:spacing w:val="-10"/>
          <w:w w:val="95"/>
          <w:sz w:val="22"/>
        </w:rPr>
        <w:t>。</w:t>
      </w:r>
    </w:p>
    <w:p>
      <w:pPr>
        <w:spacing w:line="292" w:lineRule="auto" w:before="89"/>
        <w:ind w:left="116" w:right="332" w:firstLine="439"/>
        <w:jc w:val="both"/>
        <w:rPr>
          <w:rFonts w:ascii="微软雅黑" w:hAnsi="微软雅黑" w:eastAsia="微软雅黑"/>
          <w:b/>
          <w:sz w:val="22"/>
        </w:rPr>
      </w:pPr>
      <w:r>
        <w:rPr>
          <w:rFonts w:ascii="微软雅黑" w:hAnsi="微软雅黑" w:eastAsia="微软雅黑"/>
          <w:b/>
          <w:sz w:val="22"/>
        </w:rPr>
        <w:t>在本合同有效期内，被保险人在等待期内经二级或二级以上公立医院（见释义 4）专科医</w:t>
      </w:r>
      <w:r>
        <w:rPr>
          <w:rFonts w:ascii="微软雅黑" w:hAnsi="微软雅黑" w:eastAsia="微软雅黑"/>
          <w:b/>
          <w:sz w:val="22"/>
        </w:rPr>
        <w:t>生（见释义 5）初次确诊（见释义 6）患本合同所约定的恶性肿瘤——</w:t>
      </w:r>
      <w:r>
        <w:rPr>
          <w:rFonts w:ascii="微软雅黑" w:hAnsi="微软雅黑" w:eastAsia="微软雅黑"/>
          <w:b/>
          <w:sz w:val="22"/>
        </w:rPr>
        <w:t>重度的，本公司按照本</w:t>
      </w:r>
      <w:r>
        <w:rPr>
          <w:rFonts w:ascii="微软雅黑" w:hAnsi="微软雅黑" w:eastAsia="微软雅黑"/>
          <w:b/>
          <w:spacing w:val="-2"/>
          <w:sz w:val="22"/>
        </w:rPr>
        <w:t>合同累计已交保险费（不计利息）给付重度恶性肿瘤保险金，本合同终止。</w:t>
      </w:r>
    </w:p>
    <w:p>
      <w:pPr>
        <w:spacing w:line="292" w:lineRule="auto" w:before="0"/>
        <w:ind w:left="116" w:right="335" w:firstLine="439"/>
        <w:jc w:val="both"/>
        <w:rPr>
          <w:rFonts w:ascii="微软雅黑" w:hAnsi="微软雅黑" w:eastAsia="微软雅黑"/>
          <w:b/>
          <w:sz w:val="22"/>
        </w:rPr>
      </w:pPr>
      <w:r>
        <w:rPr>
          <w:rFonts w:ascii="微软雅黑" w:hAnsi="微软雅黑" w:eastAsia="微软雅黑"/>
          <w:b/>
          <w:spacing w:val="-2"/>
          <w:sz w:val="22"/>
        </w:rPr>
        <w:t>在本合同有效期内，被保险人在等待期内经二级或二级以上公立医院专科医生初次确诊患本合同所约定的恶性肿瘤——</w:t>
      </w:r>
      <w:r>
        <w:rPr>
          <w:rFonts w:ascii="微软雅黑" w:hAnsi="微软雅黑" w:eastAsia="微软雅黑"/>
          <w:b/>
          <w:spacing w:val="-2"/>
          <w:sz w:val="22"/>
        </w:rPr>
        <w:t>轻度的，本公司按照本合同累计已交保险费（不计利息）给付轻</w:t>
      </w:r>
      <w:r>
        <w:rPr>
          <w:rFonts w:ascii="微软雅黑" w:hAnsi="微软雅黑" w:eastAsia="微软雅黑"/>
          <w:b/>
          <w:spacing w:val="-2"/>
          <w:sz w:val="22"/>
        </w:rPr>
        <w:t>度恶性肿瘤保险金，本合同终止。</w:t>
      </w:r>
    </w:p>
    <w:p>
      <w:pPr>
        <w:spacing w:line="292" w:lineRule="auto" w:before="0"/>
        <w:ind w:left="116" w:right="116" w:firstLine="439"/>
        <w:jc w:val="left"/>
        <w:rPr>
          <w:rFonts w:ascii="微软雅黑" w:eastAsia="微软雅黑"/>
          <w:b/>
          <w:sz w:val="22"/>
        </w:rPr>
      </w:pPr>
      <w:r>
        <w:rPr>
          <w:rFonts w:ascii="微软雅黑" w:eastAsia="微软雅黑"/>
          <w:b/>
          <w:spacing w:val="-2"/>
          <w:sz w:val="22"/>
        </w:rPr>
        <w:t>在本合同有效期内，被保险人在等待期内经二级或二级以上公立医院专科医生初次确诊患</w:t>
      </w:r>
      <w:r>
        <w:rPr>
          <w:rFonts w:ascii="微软雅黑" w:eastAsia="微软雅黑"/>
          <w:b/>
          <w:spacing w:val="40"/>
          <w:sz w:val="22"/>
        </w:rPr>
        <w:t>  </w:t>
      </w:r>
      <w:r>
        <w:rPr>
          <w:rFonts w:ascii="微软雅黑" w:eastAsia="微软雅黑"/>
          <w:b/>
          <w:spacing w:val="-2"/>
          <w:sz w:val="22"/>
        </w:rPr>
        <w:t>本合同所约定的原位癌的，本公司按照本合同累计已交保险费（不计利息）给付原位癌保险金，</w:t>
      </w:r>
      <w:r>
        <w:rPr>
          <w:rFonts w:ascii="微软雅黑" w:eastAsia="微软雅黑"/>
          <w:b/>
          <w:spacing w:val="-2"/>
          <w:sz w:val="22"/>
        </w:rPr>
        <w:t>本合同终止。</w:t>
      </w:r>
    </w:p>
    <w:p>
      <w:pPr>
        <w:spacing w:line="402" w:lineRule="exact" w:before="0"/>
        <w:ind w:left="555" w:right="0" w:firstLine="0"/>
        <w:jc w:val="left"/>
        <w:rPr>
          <w:rFonts w:ascii="微软雅黑" w:eastAsia="微软雅黑"/>
          <w:b/>
          <w:sz w:val="22"/>
        </w:rPr>
      </w:pPr>
      <w:r>
        <w:rPr>
          <w:rFonts w:ascii="微软雅黑" w:eastAsia="微软雅黑"/>
          <w:b/>
          <w:spacing w:val="-3"/>
          <w:sz w:val="22"/>
        </w:rPr>
        <w:t>二、重度恶性肿瘤保险金</w:t>
      </w:r>
    </w:p>
    <w:p>
      <w:pPr>
        <w:spacing w:line="292" w:lineRule="auto" w:before="82"/>
        <w:ind w:left="116" w:right="115" w:firstLine="439"/>
        <w:jc w:val="left"/>
        <w:rPr>
          <w:rFonts w:ascii="微软雅黑" w:hAnsi="微软雅黑" w:eastAsia="微软雅黑"/>
          <w:b/>
          <w:sz w:val="22"/>
        </w:rPr>
      </w:pPr>
      <w:r>
        <w:rPr>
          <w:rFonts w:ascii="微软雅黑" w:hAnsi="微软雅黑" w:eastAsia="微软雅黑"/>
          <w:b/>
          <w:spacing w:val="-2"/>
          <w:sz w:val="22"/>
        </w:rPr>
        <w:t>在本合同有效期内，被保险人在等待期后经二级或二级以上公立医院专科医生初次确诊患</w:t>
      </w:r>
      <w:r>
        <w:rPr>
          <w:rFonts w:ascii="微软雅黑" w:hAnsi="微软雅黑" w:eastAsia="微软雅黑"/>
          <w:b/>
          <w:spacing w:val="40"/>
          <w:sz w:val="22"/>
        </w:rPr>
        <w:t>  </w:t>
      </w:r>
      <w:r>
        <w:rPr>
          <w:rFonts w:ascii="微软雅黑" w:hAnsi="微软雅黑" w:eastAsia="微软雅黑"/>
          <w:b/>
          <w:spacing w:val="-2"/>
          <w:sz w:val="22"/>
        </w:rPr>
        <w:t>本合同所约定的恶性肿瘤——</w:t>
      </w:r>
      <w:r>
        <w:rPr>
          <w:rFonts w:ascii="微软雅黑" w:hAnsi="微软雅黑" w:eastAsia="微软雅黑"/>
          <w:b/>
          <w:spacing w:val="-2"/>
          <w:sz w:val="22"/>
        </w:rPr>
        <w:t>重度的，本公司按本合同基本保险金额给付重度恶性肿瘤保险金，</w:t>
      </w:r>
      <w:r>
        <w:rPr>
          <w:rFonts w:ascii="微软雅黑" w:hAnsi="微软雅黑" w:eastAsia="微软雅黑"/>
          <w:b/>
          <w:spacing w:val="-2"/>
          <w:sz w:val="22"/>
        </w:rPr>
        <w:t>本合同终止。</w:t>
      </w:r>
    </w:p>
    <w:p>
      <w:pPr>
        <w:spacing w:line="292" w:lineRule="auto" w:before="0"/>
        <w:ind w:left="555" w:right="1482" w:firstLine="0"/>
        <w:jc w:val="left"/>
        <w:rPr>
          <w:rFonts w:ascii="微软雅黑" w:hAnsi="微软雅黑" w:eastAsia="微软雅黑"/>
          <w:b/>
          <w:sz w:val="22"/>
        </w:rPr>
      </w:pPr>
      <w:r>
        <w:rPr>
          <w:rFonts w:ascii="微软雅黑" w:hAnsi="微软雅黑" w:eastAsia="微软雅黑"/>
          <w:b/>
          <w:spacing w:val="-2"/>
          <w:sz w:val="22"/>
        </w:rPr>
        <w:t>本合同所约定的恶性肿瘤——</w:t>
      </w:r>
      <w:r>
        <w:rPr>
          <w:rFonts w:ascii="微软雅黑" w:hAnsi="微软雅黑" w:eastAsia="微软雅黑"/>
          <w:b/>
          <w:spacing w:val="-2"/>
          <w:sz w:val="22"/>
        </w:rPr>
        <w:t>重度定义载明于本合同第七条“疾病定义”中。</w:t>
      </w:r>
      <w:r>
        <w:rPr>
          <w:rFonts w:ascii="微软雅黑" w:hAnsi="微软雅黑" w:eastAsia="微软雅黑"/>
          <w:b/>
          <w:spacing w:val="-2"/>
          <w:sz w:val="22"/>
        </w:rPr>
        <w:t>三、轻度恶性肿瘤保险金</w:t>
      </w:r>
    </w:p>
    <w:p>
      <w:pPr>
        <w:spacing w:line="292" w:lineRule="auto" w:before="0"/>
        <w:ind w:left="116" w:right="330" w:firstLine="439"/>
        <w:jc w:val="both"/>
        <w:rPr>
          <w:rFonts w:ascii="微软雅黑" w:hAnsi="微软雅黑" w:eastAsia="微软雅黑"/>
          <w:b/>
          <w:sz w:val="22"/>
        </w:rPr>
      </w:pPr>
      <w:r>
        <w:rPr>
          <w:rFonts w:ascii="微软雅黑" w:hAnsi="微软雅黑" w:eastAsia="微软雅黑"/>
          <w:b/>
          <w:spacing w:val="-2"/>
          <w:sz w:val="22"/>
        </w:rPr>
        <w:t>在本合同有效期内，被保险人在等待期后经二级或二级以上公立医院专科医生初次确诊患</w:t>
      </w:r>
      <w:r>
        <w:rPr>
          <w:rFonts w:ascii="微软雅黑" w:hAnsi="微软雅黑" w:eastAsia="微软雅黑"/>
          <w:b/>
          <w:sz w:val="22"/>
        </w:rPr>
        <w:t>本合同所约定的恶性肿瘤——</w:t>
      </w:r>
      <w:r>
        <w:rPr>
          <w:rFonts w:ascii="微软雅黑" w:hAnsi="微软雅黑" w:eastAsia="微软雅黑"/>
          <w:b/>
          <w:sz w:val="22"/>
        </w:rPr>
        <w:t>轻度的，本公司按本合同基本保险金额的 30%</w:t>
      </w:r>
      <w:r>
        <w:rPr>
          <w:rFonts w:ascii="微软雅黑" w:hAnsi="微软雅黑" w:eastAsia="微软雅黑"/>
          <w:b/>
          <w:sz w:val="22"/>
        </w:rPr>
        <w:t>给付轻度恶性肿</w:t>
      </w:r>
      <w:r>
        <w:rPr>
          <w:rFonts w:ascii="微软雅黑" w:hAnsi="微软雅黑" w:eastAsia="微软雅黑"/>
          <w:b/>
          <w:spacing w:val="-2"/>
          <w:sz w:val="22"/>
        </w:rPr>
        <w:t>瘤保险金，本项保险责任终止，本合同继续有效。</w:t>
      </w:r>
    </w:p>
    <w:p>
      <w:pPr>
        <w:spacing w:after="0" w:line="292" w:lineRule="auto"/>
        <w:jc w:val="both"/>
        <w:rPr>
          <w:rFonts w:ascii="微软雅黑" w:hAnsi="微软雅黑" w:eastAsia="微软雅黑"/>
          <w:sz w:val="22"/>
        </w:rPr>
        <w:sectPr>
          <w:pgSz w:w="11910" w:h="16840"/>
          <w:pgMar w:top="1000" w:bottom="280" w:left="1300" w:right="1080"/>
        </w:sectPr>
      </w:pPr>
    </w:p>
    <w:p>
      <w:pPr>
        <w:spacing w:line="292" w:lineRule="auto" w:before="0"/>
        <w:ind w:left="555" w:right="1482" w:firstLine="0"/>
        <w:jc w:val="left"/>
        <w:rPr>
          <w:rFonts w:ascii="微软雅黑" w:hAnsi="微软雅黑" w:eastAsia="微软雅黑"/>
          <w:b/>
          <w:sz w:val="22"/>
        </w:rPr>
      </w:pPr>
      <w:r>
        <w:rPr>
          <w:rFonts w:ascii="微软雅黑" w:hAnsi="微软雅黑" w:eastAsia="微软雅黑"/>
          <w:b/>
          <w:spacing w:val="-2"/>
          <w:sz w:val="22"/>
        </w:rPr>
        <w:t>本合同所约定的恶性肿瘤——</w:t>
      </w:r>
      <w:r>
        <w:rPr>
          <w:rFonts w:ascii="微软雅黑" w:hAnsi="微软雅黑" w:eastAsia="微软雅黑"/>
          <w:b/>
          <w:spacing w:val="-2"/>
          <w:sz w:val="22"/>
        </w:rPr>
        <w:t>轻度定义载明于本合同第七条“疾病定义”中。</w:t>
      </w:r>
      <w:r>
        <w:rPr>
          <w:rFonts w:ascii="微软雅黑" w:hAnsi="微软雅黑" w:eastAsia="微软雅黑"/>
          <w:b/>
          <w:spacing w:val="-2"/>
          <w:sz w:val="22"/>
        </w:rPr>
        <w:t>四、原位癌保险金</w:t>
      </w:r>
    </w:p>
    <w:p>
      <w:pPr>
        <w:spacing w:line="292" w:lineRule="auto" w:before="0"/>
        <w:ind w:left="116" w:right="332" w:firstLine="439"/>
        <w:jc w:val="both"/>
        <w:rPr>
          <w:rFonts w:ascii="微软雅黑" w:eastAsia="微软雅黑"/>
          <w:b/>
          <w:sz w:val="22"/>
        </w:rPr>
      </w:pPr>
      <w:r>
        <w:rPr>
          <w:rFonts w:ascii="微软雅黑" w:eastAsia="微软雅黑"/>
          <w:b/>
          <w:spacing w:val="-2"/>
          <w:sz w:val="22"/>
        </w:rPr>
        <w:t>在本合同有效期内，被保险人在等待期后经二级或二级以上公立医院专科医生初次确诊患</w:t>
      </w:r>
      <w:r>
        <w:rPr>
          <w:rFonts w:ascii="微软雅黑" w:eastAsia="微软雅黑"/>
          <w:b/>
          <w:sz w:val="22"/>
        </w:rPr>
        <w:t>本合同所约定的原位癌的，本公司按本合同基本保险金额的 20%</w:t>
      </w:r>
      <w:r>
        <w:rPr>
          <w:rFonts w:ascii="微软雅黑" w:eastAsia="微软雅黑"/>
          <w:b/>
          <w:sz w:val="22"/>
        </w:rPr>
        <w:t>给付原位癌保险金，本项保</w:t>
      </w:r>
      <w:r>
        <w:rPr>
          <w:rFonts w:ascii="微软雅黑" w:eastAsia="微软雅黑"/>
          <w:b/>
          <w:spacing w:val="-2"/>
          <w:sz w:val="22"/>
        </w:rPr>
        <w:t>险责任终止，本合同继续有效。</w:t>
      </w:r>
    </w:p>
    <w:p>
      <w:pPr>
        <w:spacing w:line="402" w:lineRule="exact" w:before="0"/>
        <w:ind w:left="555" w:right="0" w:firstLine="0"/>
        <w:jc w:val="left"/>
        <w:rPr>
          <w:rFonts w:ascii="微软雅黑" w:hAnsi="微软雅黑" w:eastAsia="微软雅黑"/>
          <w:b/>
          <w:sz w:val="22"/>
        </w:rPr>
      </w:pPr>
      <w:r>
        <w:rPr>
          <w:rFonts w:ascii="微软雅黑" w:hAnsi="微软雅黑" w:eastAsia="微软雅黑"/>
          <w:b/>
          <w:spacing w:val="-3"/>
          <w:sz w:val="22"/>
        </w:rPr>
        <w:t>本合同所约定的原位癌定义载明于本合同第七条“疾病定义”中。</w:t>
      </w:r>
    </w:p>
    <w:p>
      <w:pPr>
        <w:spacing w:line="292" w:lineRule="auto" w:before="78"/>
        <w:ind w:left="116" w:right="332" w:firstLine="439"/>
        <w:jc w:val="left"/>
        <w:rPr>
          <w:rFonts w:ascii="微软雅黑" w:hAnsi="微软雅黑" w:eastAsia="微软雅黑"/>
          <w:b/>
          <w:sz w:val="22"/>
        </w:rPr>
      </w:pPr>
      <w:r>
        <w:rPr>
          <w:rFonts w:ascii="微软雅黑" w:hAnsi="微软雅黑" w:eastAsia="微软雅黑"/>
          <w:b/>
          <w:spacing w:val="-2"/>
          <w:sz w:val="22"/>
        </w:rPr>
        <w:t>被保险人因同一原因导致同时符合本合同约定的原位癌和恶性肿瘤——轻度的，本公司仅</w:t>
      </w:r>
      <w:r>
        <w:rPr>
          <w:rFonts w:ascii="微软雅黑" w:hAnsi="微软雅黑" w:eastAsia="微软雅黑"/>
          <w:b/>
          <w:spacing w:val="-2"/>
          <w:sz w:val="22"/>
        </w:rPr>
        <w:t>承担给付轻度恶性肿瘤保险金的责任。</w:t>
      </w:r>
    </w:p>
    <w:p>
      <w:pPr>
        <w:spacing w:line="292" w:lineRule="auto" w:before="0"/>
        <w:ind w:left="116" w:right="111" w:firstLine="439"/>
        <w:jc w:val="left"/>
        <w:rPr>
          <w:rFonts w:ascii="微软雅黑" w:hAnsi="微软雅黑" w:eastAsia="微软雅黑"/>
          <w:b/>
          <w:sz w:val="22"/>
        </w:rPr>
      </w:pPr>
      <w:r>
        <w:rPr>
          <w:rFonts w:ascii="微软雅黑" w:hAnsi="微软雅黑" w:eastAsia="微软雅黑"/>
          <w:b/>
          <w:w w:val="100"/>
          <w:sz w:val="22"/>
        </w:rPr>
        <w:t>被保险人因同一原因导致同时符合本合同约定的恶性肿瘤</w:t>
      </w:r>
      <w:r>
        <w:rPr>
          <w:rFonts w:ascii="微软雅黑" w:hAnsi="微软雅黑" w:eastAsia="微软雅黑"/>
          <w:b/>
          <w:w w:val="92"/>
          <w:sz w:val="22"/>
        </w:rPr>
        <w:t>——</w:t>
      </w:r>
      <w:r>
        <w:rPr>
          <w:rFonts w:ascii="微软雅黑" w:hAnsi="微软雅黑" w:eastAsia="微软雅黑"/>
          <w:b/>
          <w:w w:val="100"/>
          <w:sz w:val="22"/>
        </w:rPr>
        <w:t>轻度和恶性肿瘤</w:t>
      </w:r>
      <w:r>
        <w:rPr>
          <w:rFonts w:ascii="微软雅黑" w:hAnsi="微软雅黑" w:eastAsia="微软雅黑"/>
          <w:b/>
          <w:spacing w:val="1"/>
          <w:w w:val="92"/>
          <w:sz w:val="22"/>
        </w:rPr>
        <w:t>——</w:t>
      </w:r>
      <w:r>
        <w:rPr>
          <w:rFonts w:ascii="微软雅黑" w:hAnsi="微软雅黑" w:eastAsia="微软雅黑"/>
          <w:b/>
          <w:spacing w:val="-4"/>
          <w:w w:val="100"/>
          <w:sz w:val="22"/>
        </w:rPr>
        <w:t>重度的，</w:t>
      </w:r>
      <w:r>
        <w:rPr>
          <w:rFonts w:ascii="微软雅黑" w:hAnsi="微软雅黑" w:eastAsia="微软雅黑"/>
          <w:b/>
          <w:w w:val="100"/>
          <w:sz w:val="22"/>
        </w:rPr>
        <w:t>或者同时符合本合同约定的原位癌和恶性肿瘤</w:t>
      </w:r>
      <w:r>
        <w:rPr>
          <w:rFonts w:ascii="微软雅黑" w:hAnsi="微软雅黑" w:eastAsia="微软雅黑"/>
          <w:b/>
          <w:w w:val="92"/>
          <w:sz w:val="22"/>
        </w:rPr>
        <w:t>——</w:t>
      </w:r>
      <w:r>
        <w:rPr>
          <w:rFonts w:ascii="微软雅黑" w:hAnsi="微软雅黑" w:eastAsia="微软雅黑"/>
          <w:b/>
          <w:w w:val="100"/>
          <w:sz w:val="22"/>
        </w:rPr>
        <w:t>重度的，本公司仅承担给付重度恶性肿瘤保 险金的责任。</w:t>
      </w:r>
    </w:p>
    <w:p>
      <w:pPr>
        <w:spacing w:line="404" w:lineRule="exact" w:before="0"/>
        <w:ind w:left="555" w:right="0" w:firstLine="0"/>
        <w:jc w:val="left"/>
        <w:rPr>
          <w:rFonts w:ascii="Microsoft JhengHei" w:eastAsia="Microsoft JhengHei"/>
          <w:b/>
          <w:sz w:val="22"/>
        </w:rPr>
      </w:pPr>
      <w:r>
        <w:rPr>
          <w:rFonts w:ascii="Microsoft JhengHei" w:eastAsia="Microsoft JhengHei"/>
          <w:b/>
          <w:spacing w:val="5"/>
          <w:sz w:val="22"/>
        </w:rPr>
        <w:t>第七条 疾病定义</w:t>
      </w:r>
    </w:p>
    <w:p>
      <w:pPr>
        <w:pStyle w:val="BodyText"/>
        <w:spacing w:before="157"/>
        <w:ind w:left="555"/>
      </w:pPr>
      <w:r>
        <w:rPr>
          <w:spacing w:val="-3"/>
        </w:rPr>
        <w:t>本合同所约定的疾病名称及定义如下：</w:t>
      </w:r>
    </w:p>
    <w:p>
      <w:pPr>
        <w:pStyle w:val="BodyText"/>
        <w:spacing w:line="312" w:lineRule="auto" w:before="142"/>
        <w:ind w:right="329" w:firstLine="439"/>
        <w:jc w:val="both"/>
      </w:pPr>
      <w:r>
        <w:rPr>
          <w:rFonts w:ascii="微软雅黑" w:hAnsi="微软雅黑" w:eastAsia="微软雅黑"/>
          <w:b/>
          <w:spacing w:val="-2"/>
        </w:rPr>
        <w:t>（一）恶性肿瘤——</w:t>
      </w:r>
      <w:r>
        <w:rPr>
          <w:rFonts w:ascii="微软雅黑" w:hAnsi="微软雅黑" w:eastAsia="微软雅黑"/>
          <w:b/>
          <w:spacing w:val="-2"/>
        </w:rPr>
        <w:t>重度：</w:t>
      </w:r>
      <w:r>
        <w:rPr>
          <w:spacing w:val="-2"/>
        </w:rPr>
        <w:t>指恶性细胞不受控制的进行性增长和扩散，浸润和破坏周围正</w:t>
      </w:r>
      <w:r>
        <w:rPr>
          <w:spacing w:val="-2"/>
        </w:rPr>
        <w:t>常组织，可以经血管、淋巴管和体腔扩散转移到身体其他部位，病灶经</w:t>
      </w:r>
      <w:r>
        <w:rPr>
          <w:rFonts w:ascii="微软雅黑" w:hAnsi="微软雅黑" w:eastAsia="微软雅黑"/>
          <w:b/>
          <w:spacing w:val="-2"/>
        </w:rPr>
        <w:t>组织病理学检查</w:t>
      </w:r>
      <w:r>
        <w:rPr>
          <w:spacing w:val="-2"/>
        </w:rPr>
        <w:t>（见释</w:t>
      </w:r>
      <w:r>
        <w:rPr>
          <w:spacing w:val="41"/>
        </w:rPr>
        <w:t>义   </w:t>
      </w:r>
      <w:r>
        <w:rPr/>
        <w:t>7）（涵盖骨髓病理学检查）结果明确诊断，临床诊断属于世界卫生组织</w:t>
      </w:r>
      <w:r>
        <w:rPr>
          <w:spacing w:val="7"/>
          <w:w w:val="69"/>
        </w:rPr>
        <w:t>（</w:t>
      </w:r>
      <w:r>
        <w:rPr>
          <w:spacing w:val="-6"/>
          <w:w w:val="177"/>
        </w:rPr>
        <w:t>W</w:t>
      </w:r>
      <w:r>
        <w:rPr>
          <w:spacing w:val="-6"/>
          <w:w w:val="127"/>
        </w:rPr>
        <w:t>H</w:t>
      </w:r>
      <w:r>
        <w:rPr>
          <w:spacing w:val="-1"/>
          <w:w w:val="141"/>
        </w:rPr>
        <w:t>O</w:t>
      </w:r>
      <w:r>
        <w:rPr>
          <w:w w:val="69"/>
        </w:rPr>
        <w:t>，</w:t>
      </w:r>
      <w:r>
        <w:rPr>
          <w:spacing w:val="-6"/>
          <w:w w:val="177"/>
        </w:rPr>
        <w:t>W</w:t>
      </w:r>
      <w:r>
        <w:rPr>
          <w:spacing w:val="-4"/>
          <w:w w:val="58"/>
        </w:rPr>
        <w:t>orld</w:t>
      </w:r>
    </w:p>
    <w:p>
      <w:pPr>
        <w:spacing w:before="61"/>
        <w:ind w:left="116" w:right="0" w:firstLine="0"/>
        <w:jc w:val="left"/>
        <w:rPr>
          <w:rFonts w:ascii="微软雅黑" w:eastAsia="微软雅黑"/>
          <w:b/>
          <w:sz w:val="22"/>
        </w:rPr>
      </w:pPr>
      <w:r>
        <w:rPr>
          <w:w w:val="154"/>
          <w:sz w:val="22"/>
        </w:rPr>
        <w:t>H</w:t>
      </w:r>
      <w:r>
        <w:rPr>
          <w:spacing w:val="-1"/>
          <w:w w:val="118"/>
          <w:sz w:val="22"/>
        </w:rPr>
        <w:t>e</w:t>
      </w:r>
      <w:r>
        <w:rPr>
          <w:spacing w:val="-1"/>
          <w:w w:val="119"/>
          <w:sz w:val="22"/>
        </w:rPr>
        <w:t>a</w:t>
      </w:r>
      <w:r>
        <w:rPr>
          <w:spacing w:val="-1"/>
          <w:w w:val="35"/>
          <w:sz w:val="22"/>
        </w:rPr>
        <w:t>l</w:t>
      </w:r>
      <w:r>
        <w:rPr>
          <w:w w:val="87"/>
          <w:sz w:val="22"/>
        </w:rPr>
        <w:t>th</w:t>
      </w:r>
      <w:r>
        <w:rPr>
          <w:spacing w:val="33"/>
          <w:w w:val="150"/>
          <w:sz w:val="22"/>
        </w:rPr>
        <w:t>  </w:t>
      </w:r>
      <w:r>
        <w:rPr>
          <w:spacing w:val="-3"/>
          <w:w w:val="169"/>
          <w:sz w:val="22"/>
        </w:rPr>
        <w:t>O</w:t>
      </w:r>
      <w:r>
        <w:rPr>
          <w:spacing w:val="-1"/>
          <w:w w:val="70"/>
          <w:sz w:val="22"/>
        </w:rPr>
        <w:t>r</w:t>
      </w:r>
      <w:r>
        <w:rPr>
          <w:spacing w:val="-2"/>
          <w:w w:val="119"/>
          <w:sz w:val="22"/>
        </w:rPr>
        <w:t>g</w:t>
      </w:r>
      <w:r>
        <w:rPr>
          <w:spacing w:val="-2"/>
          <w:w w:val="120"/>
          <w:sz w:val="22"/>
        </w:rPr>
        <w:t>a</w:t>
      </w:r>
      <w:r>
        <w:rPr>
          <w:spacing w:val="-2"/>
          <w:w w:val="119"/>
          <w:sz w:val="22"/>
        </w:rPr>
        <w:t>n</w:t>
      </w:r>
      <w:r>
        <w:rPr>
          <w:spacing w:val="-2"/>
          <w:w w:val="37"/>
          <w:sz w:val="22"/>
        </w:rPr>
        <w:t>i</w:t>
      </w:r>
      <w:r>
        <w:rPr>
          <w:spacing w:val="-2"/>
          <w:w w:val="106"/>
          <w:sz w:val="22"/>
        </w:rPr>
        <w:t>z</w:t>
      </w:r>
      <w:r>
        <w:rPr>
          <w:spacing w:val="-2"/>
          <w:w w:val="120"/>
          <w:sz w:val="22"/>
        </w:rPr>
        <w:t>a</w:t>
      </w:r>
      <w:r>
        <w:rPr>
          <w:spacing w:val="-1"/>
          <w:w w:val="71"/>
          <w:sz w:val="22"/>
        </w:rPr>
        <w:t>ti</w:t>
      </w:r>
      <w:r>
        <w:rPr>
          <w:spacing w:val="-2"/>
          <w:w w:val="71"/>
          <w:sz w:val="22"/>
        </w:rPr>
        <w:t>o</w:t>
      </w:r>
      <w:r>
        <w:rPr>
          <w:spacing w:val="5"/>
          <w:w w:val="119"/>
          <w:sz w:val="22"/>
        </w:rPr>
        <w:t>n</w:t>
      </w:r>
      <w:r>
        <w:rPr>
          <w:spacing w:val="6"/>
          <w:w w:val="97"/>
          <w:sz w:val="22"/>
        </w:rPr>
        <w:t>）</w:t>
      </w:r>
      <w:r>
        <w:rPr>
          <w:rFonts w:ascii="微软雅黑" w:eastAsia="微软雅黑"/>
          <w:b/>
          <w:sz w:val="22"/>
        </w:rPr>
        <w:t>《疾病和有关健康问题的国际统计分类》第十次修订版（ICD-</w:t>
      </w:r>
      <w:r>
        <w:rPr>
          <w:rFonts w:ascii="微软雅黑" w:eastAsia="微软雅黑"/>
          <w:b/>
          <w:spacing w:val="-5"/>
          <w:sz w:val="22"/>
        </w:rPr>
        <w:t>10）</w:t>
      </w:r>
    </w:p>
    <w:p>
      <w:pPr>
        <w:pStyle w:val="BodyText"/>
        <w:spacing w:line="420" w:lineRule="auto" w:before="159"/>
        <w:ind w:right="327"/>
      </w:pPr>
      <w:r>
        <w:rPr/>
        <w:t>（</w:t>
      </w:r>
      <w:r>
        <w:rPr>
          <w:spacing w:val="17"/>
        </w:rPr>
        <w:t>见释义  </w:t>
      </w:r>
      <w:r>
        <w:rPr/>
        <w:t>8）的恶性肿瘤类别及《国际疾病分类肿瘤学专辑》第三版</w:t>
      </w:r>
      <w:r>
        <w:rPr>
          <w:spacing w:val="7"/>
          <w:w w:val="81"/>
        </w:rPr>
        <w:t>（</w:t>
      </w:r>
      <w:r>
        <w:rPr>
          <w:spacing w:val="-1"/>
          <w:w w:val="32"/>
        </w:rPr>
        <w:t>I</w:t>
      </w:r>
      <w:r>
        <w:rPr>
          <w:spacing w:val="-1"/>
          <w:w w:val="140"/>
        </w:rPr>
        <w:t>CD</w:t>
      </w:r>
      <w:r>
        <w:rPr>
          <w:spacing w:val="-4"/>
          <w:w w:val="105"/>
        </w:rPr>
        <w:t>-</w:t>
      </w:r>
      <w:r>
        <w:rPr/>
        <w:t>O-3）的肿瘤形</w:t>
      </w:r>
      <w:r>
        <w:rPr>
          <w:w w:val="105"/>
        </w:rPr>
        <w:t>态</w:t>
      </w:r>
      <w:r>
        <w:rPr>
          <w:w w:val="105"/>
        </w:rPr>
        <w:t>学</w:t>
      </w:r>
      <w:r>
        <w:rPr>
          <w:w w:val="105"/>
        </w:rPr>
        <w:t>编</w:t>
      </w:r>
      <w:r>
        <w:rPr>
          <w:w w:val="105"/>
        </w:rPr>
        <w:t>码</w:t>
      </w:r>
      <w:r>
        <w:rPr>
          <w:w w:val="105"/>
        </w:rPr>
        <w:t>属</w:t>
      </w:r>
      <w:r>
        <w:rPr>
          <w:w w:val="105"/>
        </w:rPr>
        <w:t>于</w:t>
      </w:r>
      <w:r>
        <w:rPr>
          <w:spacing w:val="-61"/>
          <w:w w:val="105"/>
        </w:rPr>
        <w:t> </w:t>
      </w:r>
      <w:r>
        <w:rPr>
          <w:w w:val="105"/>
        </w:rPr>
        <w:t>3、6、9（</w:t>
      </w:r>
      <w:r>
        <w:rPr>
          <w:w w:val="105"/>
        </w:rPr>
        <w:t>恶</w:t>
      </w:r>
      <w:r>
        <w:rPr>
          <w:w w:val="105"/>
        </w:rPr>
        <w:t>性</w:t>
      </w:r>
      <w:r>
        <w:rPr>
          <w:w w:val="105"/>
        </w:rPr>
        <w:t>肿</w:t>
      </w:r>
      <w:r>
        <w:rPr>
          <w:w w:val="105"/>
        </w:rPr>
        <w:t>瘤）</w:t>
      </w:r>
      <w:r>
        <w:rPr>
          <w:w w:val="105"/>
        </w:rPr>
        <w:t>范</w:t>
      </w:r>
      <w:r>
        <w:rPr>
          <w:w w:val="105"/>
        </w:rPr>
        <w:t>畴</w:t>
      </w:r>
      <w:r>
        <w:rPr>
          <w:w w:val="105"/>
        </w:rPr>
        <w:t>的</w:t>
      </w:r>
      <w:r>
        <w:rPr>
          <w:w w:val="105"/>
        </w:rPr>
        <w:t>疾</w:t>
      </w:r>
      <w:r>
        <w:rPr>
          <w:w w:val="105"/>
        </w:rPr>
        <w:t>病。</w:t>
      </w:r>
    </w:p>
    <w:p>
      <w:pPr>
        <w:spacing w:line="335" w:lineRule="exact" w:before="0"/>
        <w:ind w:left="555" w:right="0" w:firstLine="0"/>
        <w:jc w:val="left"/>
        <w:rPr>
          <w:rFonts w:ascii="微软雅黑" w:hAnsi="微软雅黑" w:eastAsia="微软雅黑"/>
          <w:b/>
          <w:sz w:val="22"/>
        </w:rPr>
      </w:pPr>
      <w:r>
        <w:rPr>
          <w:rFonts w:ascii="微软雅黑" w:hAnsi="微软雅黑" w:eastAsia="微软雅黑"/>
          <w:b/>
          <w:w w:val="95"/>
          <w:sz w:val="22"/>
        </w:rPr>
        <w:t>下</w:t>
      </w:r>
      <w:r>
        <w:rPr>
          <w:rFonts w:ascii="微软雅黑" w:hAnsi="微软雅黑" w:eastAsia="微软雅黑"/>
          <w:b/>
          <w:w w:val="95"/>
          <w:sz w:val="22"/>
        </w:rPr>
        <w:t>列</w:t>
      </w:r>
      <w:r>
        <w:rPr>
          <w:rFonts w:ascii="微软雅黑" w:hAnsi="微软雅黑" w:eastAsia="微软雅黑"/>
          <w:b/>
          <w:w w:val="95"/>
          <w:sz w:val="22"/>
        </w:rPr>
        <w:t>疾</w:t>
      </w:r>
      <w:r>
        <w:rPr>
          <w:rFonts w:ascii="微软雅黑" w:hAnsi="微软雅黑" w:eastAsia="微软雅黑"/>
          <w:b/>
          <w:w w:val="95"/>
          <w:sz w:val="22"/>
        </w:rPr>
        <w:t>病</w:t>
      </w:r>
      <w:r>
        <w:rPr>
          <w:rFonts w:ascii="微软雅黑" w:hAnsi="微软雅黑" w:eastAsia="微软雅黑"/>
          <w:b/>
          <w:w w:val="95"/>
          <w:sz w:val="22"/>
        </w:rPr>
        <w:t>不</w:t>
      </w:r>
      <w:r>
        <w:rPr>
          <w:rFonts w:ascii="微软雅黑" w:hAnsi="微软雅黑" w:eastAsia="微软雅黑"/>
          <w:b/>
          <w:w w:val="95"/>
          <w:sz w:val="22"/>
        </w:rPr>
        <w:t>属</w:t>
      </w:r>
      <w:r>
        <w:rPr>
          <w:rFonts w:ascii="微软雅黑" w:hAnsi="微软雅黑" w:eastAsia="微软雅黑"/>
          <w:b/>
          <w:w w:val="95"/>
          <w:sz w:val="22"/>
        </w:rPr>
        <w:t>于</w:t>
      </w:r>
      <w:r>
        <w:rPr>
          <w:rFonts w:ascii="微软雅黑" w:hAnsi="微软雅黑" w:eastAsia="微软雅黑"/>
          <w:b/>
          <w:w w:val="95"/>
          <w:sz w:val="22"/>
        </w:rPr>
        <w:t>“</w:t>
      </w:r>
      <w:r>
        <w:rPr>
          <w:rFonts w:ascii="微软雅黑" w:hAnsi="微软雅黑" w:eastAsia="微软雅黑"/>
          <w:b/>
          <w:w w:val="95"/>
          <w:sz w:val="22"/>
        </w:rPr>
        <w:t>恶</w:t>
      </w:r>
      <w:r>
        <w:rPr>
          <w:rFonts w:ascii="微软雅黑" w:hAnsi="微软雅黑" w:eastAsia="微软雅黑"/>
          <w:b/>
          <w:w w:val="95"/>
          <w:sz w:val="22"/>
        </w:rPr>
        <w:t>性</w:t>
      </w:r>
      <w:r>
        <w:rPr>
          <w:rFonts w:ascii="微软雅黑" w:hAnsi="微软雅黑" w:eastAsia="微软雅黑"/>
          <w:b/>
          <w:w w:val="95"/>
          <w:sz w:val="22"/>
        </w:rPr>
        <w:t>肿</w:t>
      </w:r>
      <w:r>
        <w:rPr>
          <w:rFonts w:ascii="微软雅黑" w:hAnsi="微软雅黑" w:eastAsia="微软雅黑"/>
          <w:b/>
          <w:w w:val="95"/>
          <w:sz w:val="22"/>
        </w:rPr>
        <w:t>瘤——</w:t>
      </w:r>
      <w:r>
        <w:rPr>
          <w:rFonts w:ascii="微软雅黑" w:hAnsi="微软雅黑" w:eastAsia="微软雅黑"/>
          <w:b/>
          <w:w w:val="95"/>
          <w:sz w:val="22"/>
        </w:rPr>
        <w:t>重</w:t>
      </w:r>
      <w:r>
        <w:rPr>
          <w:rFonts w:ascii="微软雅黑" w:hAnsi="微软雅黑" w:eastAsia="微软雅黑"/>
          <w:b/>
          <w:w w:val="95"/>
          <w:sz w:val="22"/>
        </w:rPr>
        <w:t>度</w:t>
      </w:r>
      <w:r>
        <w:rPr>
          <w:rFonts w:ascii="微软雅黑" w:hAnsi="微软雅黑" w:eastAsia="微软雅黑"/>
          <w:b/>
          <w:w w:val="95"/>
          <w:sz w:val="22"/>
        </w:rPr>
        <w:t>”，</w:t>
      </w:r>
      <w:r>
        <w:rPr>
          <w:rFonts w:ascii="微软雅黑" w:hAnsi="微软雅黑" w:eastAsia="微软雅黑"/>
          <w:b/>
          <w:w w:val="95"/>
          <w:sz w:val="22"/>
        </w:rPr>
        <w:t>不</w:t>
      </w:r>
      <w:r>
        <w:rPr>
          <w:rFonts w:ascii="微软雅黑" w:hAnsi="微软雅黑" w:eastAsia="微软雅黑"/>
          <w:b/>
          <w:w w:val="95"/>
          <w:sz w:val="22"/>
        </w:rPr>
        <w:t>在</w:t>
      </w:r>
      <w:r>
        <w:rPr>
          <w:rFonts w:ascii="微软雅黑" w:hAnsi="微软雅黑" w:eastAsia="微软雅黑"/>
          <w:b/>
          <w:w w:val="95"/>
          <w:sz w:val="22"/>
        </w:rPr>
        <w:t>保</w:t>
      </w:r>
      <w:r>
        <w:rPr>
          <w:rFonts w:ascii="微软雅黑" w:hAnsi="微软雅黑" w:eastAsia="微软雅黑"/>
          <w:b/>
          <w:w w:val="95"/>
          <w:sz w:val="22"/>
        </w:rPr>
        <w:t>障</w:t>
      </w:r>
      <w:r>
        <w:rPr>
          <w:rFonts w:ascii="微软雅黑" w:hAnsi="微软雅黑" w:eastAsia="微软雅黑"/>
          <w:b/>
          <w:w w:val="95"/>
          <w:sz w:val="22"/>
        </w:rPr>
        <w:t>范</w:t>
      </w:r>
      <w:r>
        <w:rPr>
          <w:rFonts w:ascii="微软雅黑" w:hAnsi="微软雅黑" w:eastAsia="微软雅黑"/>
          <w:b/>
          <w:w w:val="95"/>
          <w:sz w:val="22"/>
        </w:rPr>
        <w:t>围</w:t>
      </w:r>
      <w:r>
        <w:rPr>
          <w:rFonts w:ascii="微软雅黑" w:hAnsi="微软雅黑" w:eastAsia="微软雅黑"/>
          <w:b/>
          <w:w w:val="95"/>
          <w:sz w:val="22"/>
        </w:rPr>
        <w:t>内</w:t>
      </w:r>
      <w:r>
        <w:rPr>
          <w:rFonts w:ascii="微软雅黑" w:hAnsi="微软雅黑" w:eastAsia="微软雅黑"/>
          <w:b/>
          <w:spacing w:val="-10"/>
          <w:w w:val="95"/>
          <w:sz w:val="22"/>
        </w:rPr>
        <w:t>：</w:t>
      </w:r>
    </w:p>
    <w:p>
      <w:pPr>
        <w:pStyle w:val="ListParagraph"/>
        <w:numPr>
          <w:ilvl w:val="0"/>
          <w:numId w:val="1"/>
        </w:numPr>
        <w:tabs>
          <w:tab w:pos="1107" w:val="left" w:leader="none"/>
        </w:tabs>
        <w:spacing w:line="292" w:lineRule="auto" w:before="89" w:after="0"/>
        <w:ind w:left="116" w:right="332" w:firstLine="439"/>
        <w:jc w:val="left"/>
        <w:rPr>
          <w:b/>
          <w:sz w:val="22"/>
        </w:rPr>
      </w:pPr>
      <w:r>
        <w:rPr>
          <w:b/>
          <w:sz w:val="22"/>
        </w:rPr>
        <w:t>ICD-O-3 肿瘤形态学编码属于 0（良性肿瘤）、1（动态未定性肿瘤）、2（原位癌</w:t>
      </w:r>
      <w:r>
        <w:rPr>
          <w:b/>
          <w:spacing w:val="-2"/>
          <w:sz w:val="22"/>
        </w:rPr>
        <w:t>和非侵袭性癌）范畴的疾病，如：</w:t>
      </w:r>
    </w:p>
    <w:p>
      <w:pPr>
        <w:pStyle w:val="ListParagraph"/>
        <w:numPr>
          <w:ilvl w:val="0"/>
          <w:numId w:val="2"/>
        </w:numPr>
        <w:tabs>
          <w:tab w:pos="758" w:val="left" w:leader="none"/>
        </w:tabs>
        <w:spacing w:line="292" w:lineRule="auto" w:before="0" w:after="0"/>
        <w:ind w:left="116" w:right="339" w:firstLine="439"/>
        <w:jc w:val="left"/>
        <w:rPr>
          <w:b/>
          <w:sz w:val="22"/>
        </w:rPr>
      </w:pPr>
      <w:r>
        <w:rPr>
          <w:b/>
          <w:spacing w:val="-2"/>
          <w:sz w:val="22"/>
        </w:rPr>
        <w:t>原位癌，癌前病变，非浸润性癌，非侵袭性癌，肿瘤细胞未侵犯基底层，上皮内瘤变，</w:t>
      </w:r>
      <w:r>
        <w:rPr>
          <w:b/>
          <w:spacing w:val="-2"/>
          <w:sz w:val="22"/>
        </w:rPr>
        <w:t>细胞不典型性增生等；</w:t>
      </w:r>
    </w:p>
    <w:p>
      <w:pPr>
        <w:pStyle w:val="ListParagraph"/>
        <w:numPr>
          <w:ilvl w:val="0"/>
          <w:numId w:val="2"/>
        </w:numPr>
        <w:tabs>
          <w:tab w:pos="756" w:val="left" w:leader="none"/>
        </w:tabs>
        <w:spacing w:line="240" w:lineRule="auto" w:before="0" w:after="0"/>
        <w:ind w:left="755" w:right="0" w:hanging="201"/>
        <w:jc w:val="left"/>
        <w:rPr>
          <w:b/>
          <w:sz w:val="22"/>
        </w:rPr>
      </w:pPr>
      <w:r>
        <w:rPr>
          <w:b/>
          <w:spacing w:val="-3"/>
          <w:sz w:val="22"/>
        </w:rPr>
        <w:t>交界性肿瘤，交界恶性肿瘤，肿瘤低度恶性潜能，潜在低度恶性肿瘤等；</w:t>
      </w:r>
    </w:p>
    <w:p>
      <w:pPr>
        <w:pStyle w:val="ListParagraph"/>
        <w:numPr>
          <w:ilvl w:val="0"/>
          <w:numId w:val="1"/>
        </w:numPr>
        <w:tabs>
          <w:tab w:pos="1131" w:val="left" w:leader="none"/>
        </w:tabs>
        <w:spacing w:line="240" w:lineRule="auto" w:before="83" w:after="0"/>
        <w:ind w:left="1130" w:right="0" w:hanging="576"/>
        <w:jc w:val="left"/>
        <w:rPr>
          <w:b/>
          <w:sz w:val="22"/>
        </w:rPr>
      </w:pPr>
      <w:r>
        <w:rPr>
          <w:b/>
          <w:w w:val="95"/>
          <w:sz w:val="22"/>
        </w:rPr>
        <w:t>TNM</w:t>
      </w:r>
      <w:r>
        <w:rPr>
          <w:b/>
          <w:spacing w:val="60"/>
          <w:w w:val="150"/>
          <w:sz w:val="22"/>
        </w:rPr>
        <w:t> </w:t>
      </w:r>
      <w:r>
        <w:rPr>
          <w:b/>
          <w:w w:val="95"/>
          <w:sz w:val="22"/>
        </w:rPr>
        <w:t>分</w:t>
      </w:r>
      <w:r>
        <w:rPr>
          <w:b/>
          <w:w w:val="95"/>
          <w:sz w:val="22"/>
        </w:rPr>
        <w:t>期</w:t>
      </w:r>
      <w:r>
        <w:rPr>
          <w:b/>
          <w:w w:val="95"/>
          <w:sz w:val="22"/>
        </w:rPr>
        <w:t>（见释义</w:t>
      </w:r>
      <w:r>
        <w:rPr>
          <w:b/>
          <w:spacing w:val="64"/>
          <w:w w:val="150"/>
          <w:sz w:val="22"/>
        </w:rPr>
        <w:t> </w:t>
      </w:r>
      <w:r>
        <w:rPr>
          <w:b/>
          <w:w w:val="95"/>
          <w:sz w:val="22"/>
        </w:rPr>
        <w:t>9）</w:t>
      </w:r>
      <w:r>
        <w:rPr>
          <w:b/>
          <w:w w:val="95"/>
          <w:sz w:val="22"/>
        </w:rPr>
        <w:t>为</w:t>
      </w:r>
      <w:r>
        <w:rPr>
          <w:b/>
          <w:w w:val="95"/>
          <w:sz w:val="22"/>
        </w:rPr>
        <w:t>Ⅰ</w:t>
      </w:r>
      <w:r>
        <w:rPr>
          <w:b/>
          <w:w w:val="95"/>
          <w:sz w:val="22"/>
        </w:rPr>
        <w:t>期</w:t>
      </w:r>
      <w:r>
        <w:rPr>
          <w:b/>
          <w:w w:val="95"/>
          <w:sz w:val="22"/>
        </w:rPr>
        <w:t>或</w:t>
      </w:r>
      <w:r>
        <w:rPr>
          <w:b/>
          <w:w w:val="95"/>
          <w:sz w:val="22"/>
        </w:rPr>
        <w:t>更</w:t>
      </w:r>
      <w:r>
        <w:rPr>
          <w:b/>
          <w:w w:val="95"/>
          <w:sz w:val="22"/>
        </w:rPr>
        <w:t>轻分期</w:t>
      </w:r>
      <w:r>
        <w:rPr>
          <w:b/>
          <w:w w:val="95"/>
          <w:sz w:val="22"/>
        </w:rPr>
        <w:t>的</w:t>
      </w:r>
      <w:r>
        <w:rPr>
          <w:b/>
          <w:w w:val="95"/>
          <w:sz w:val="22"/>
        </w:rPr>
        <w:t>甲</w:t>
      </w:r>
      <w:r>
        <w:rPr>
          <w:b/>
          <w:w w:val="95"/>
          <w:sz w:val="22"/>
        </w:rPr>
        <w:t>状</w:t>
      </w:r>
      <w:r>
        <w:rPr>
          <w:b/>
          <w:w w:val="95"/>
          <w:sz w:val="22"/>
        </w:rPr>
        <w:t>腺</w:t>
      </w:r>
      <w:r>
        <w:rPr>
          <w:b/>
          <w:w w:val="95"/>
          <w:sz w:val="22"/>
        </w:rPr>
        <w:t>癌</w:t>
      </w:r>
      <w:r>
        <w:rPr>
          <w:b/>
          <w:spacing w:val="-10"/>
          <w:w w:val="95"/>
          <w:sz w:val="22"/>
        </w:rPr>
        <w:t>；</w:t>
      </w:r>
    </w:p>
    <w:p>
      <w:pPr>
        <w:pStyle w:val="ListParagraph"/>
        <w:numPr>
          <w:ilvl w:val="0"/>
          <w:numId w:val="1"/>
        </w:numPr>
        <w:tabs>
          <w:tab w:pos="1133" w:val="left" w:leader="none"/>
        </w:tabs>
        <w:spacing w:line="240" w:lineRule="auto" w:before="89" w:after="0"/>
        <w:ind w:left="1132" w:right="0" w:hanging="578"/>
        <w:jc w:val="left"/>
        <w:rPr>
          <w:b/>
          <w:sz w:val="22"/>
        </w:rPr>
      </w:pPr>
      <w:r>
        <w:rPr>
          <w:b/>
          <w:w w:val="95"/>
          <w:position w:val="1"/>
          <w:sz w:val="22"/>
        </w:rPr>
        <w:t>TNM</w:t>
      </w:r>
      <w:r>
        <w:rPr>
          <w:b/>
          <w:spacing w:val="44"/>
          <w:position w:val="1"/>
          <w:sz w:val="22"/>
        </w:rPr>
        <w:t> </w:t>
      </w:r>
      <w:r>
        <w:rPr>
          <w:b/>
          <w:w w:val="95"/>
          <w:position w:val="1"/>
          <w:sz w:val="22"/>
        </w:rPr>
        <w:t>分期为</w:t>
      </w:r>
      <w:r>
        <w:rPr>
          <w:b/>
          <w:spacing w:val="43"/>
          <w:position w:val="1"/>
          <w:sz w:val="22"/>
        </w:rPr>
        <w:t> </w:t>
      </w:r>
      <w:r>
        <w:rPr>
          <w:b/>
          <w:w w:val="95"/>
          <w:position w:val="1"/>
          <w:sz w:val="22"/>
        </w:rPr>
        <w:t>T</w:t>
      </w:r>
      <w:r>
        <w:rPr>
          <w:b/>
          <w:w w:val="95"/>
          <w:sz w:val="11"/>
        </w:rPr>
        <w:t>1</w:t>
      </w:r>
      <w:r>
        <w:rPr>
          <w:b/>
          <w:w w:val="95"/>
          <w:position w:val="1"/>
          <w:sz w:val="22"/>
        </w:rPr>
        <w:t>N</w:t>
      </w:r>
      <w:r>
        <w:rPr>
          <w:b/>
          <w:w w:val="95"/>
          <w:sz w:val="11"/>
        </w:rPr>
        <w:t>0</w:t>
      </w:r>
      <w:r>
        <w:rPr>
          <w:b/>
          <w:w w:val="95"/>
          <w:position w:val="1"/>
          <w:sz w:val="22"/>
        </w:rPr>
        <w:t>M</w:t>
      </w:r>
      <w:r>
        <w:rPr>
          <w:b/>
          <w:w w:val="95"/>
          <w:sz w:val="11"/>
        </w:rPr>
        <w:t>0</w:t>
      </w:r>
      <w:r>
        <w:rPr>
          <w:b/>
          <w:spacing w:val="18"/>
          <w:sz w:val="11"/>
        </w:rPr>
        <w:t> </w:t>
      </w:r>
      <w:r>
        <w:rPr>
          <w:b/>
          <w:w w:val="95"/>
          <w:position w:val="1"/>
          <w:sz w:val="22"/>
        </w:rPr>
        <w:t>期</w:t>
      </w:r>
      <w:r>
        <w:rPr>
          <w:b/>
          <w:w w:val="95"/>
          <w:position w:val="1"/>
          <w:sz w:val="22"/>
        </w:rPr>
        <w:t>或</w:t>
      </w:r>
      <w:r>
        <w:rPr>
          <w:b/>
          <w:w w:val="95"/>
          <w:position w:val="1"/>
          <w:sz w:val="22"/>
        </w:rPr>
        <w:t>更</w:t>
      </w:r>
      <w:r>
        <w:rPr>
          <w:b/>
          <w:w w:val="95"/>
          <w:position w:val="1"/>
          <w:sz w:val="22"/>
        </w:rPr>
        <w:t>轻</w:t>
      </w:r>
      <w:r>
        <w:rPr>
          <w:b/>
          <w:w w:val="95"/>
          <w:position w:val="1"/>
          <w:sz w:val="22"/>
        </w:rPr>
        <w:t>分</w:t>
      </w:r>
      <w:r>
        <w:rPr>
          <w:b/>
          <w:w w:val="95"/>
          <w:position w:val="1"/>
          <w:sz w:val="22"/>
        </w:rPr>
        <w:t>期</w:t>
      </w:r>
      <w:r>
        <w:rPr>
          <w:b/>
          <w:w w:val="95"/>
          <w:position w:val="1"/>
          <w:sz w:val="22"/>
        </w:rPr>
        <w:t>的</w:t>
      </w:r>
      <w:r>
        <w:rPr>
          <w:b/>
          <w:w w:val="95"/>
          <w:position w:val="1"/>
          <w:sz w:val="22"/>
        </w:rPr>
        <w:t>前</w:t>
      </w:r>
      <w:r>
        <w:rPr>
          <w:b/>
          <w:w w:val="95"/>
          <w:position w:val="1"/>
          <w:sz w:val="22"/>
        </w:rPr>
        <w:t>列</w:t>
      </w:r>
      <w:r>
        <w:rPr>
          <w:b/>
          <w:w w:val="95"/>
          <w:position w:val="1"/>
          <w:sz w:val="22"/>
        </w:rPr>
        <w:t>腺</w:t>
      </w:r>
      <w:r>
        <w:rPr>
          <w:b/>
          <w:w w:val="95"/>
          <w:position w:val="1"/>
          <w:sz w:val="22"/>
        </w:rPr>
        <w:t>癌</w:t>
      </w:r>
      <w:r>
        <w:rPr>
          <w:b/>
          <w:spacing w:val="-10"/>
          <w:w w:val="95"/>
          <w:position w:val="1"/>
          <w:sz w:val="22"/>
        </w:rPr>
        <w:t>；</w:t>
      </w:r>
    </w:p>
    <w:p>
      <w:pPr>
        <w:pStyle w:val="ListParagraph"/>
        <w:numPr>
          <w:ilvl w:val="0"/>
          <w:numId w:val="1"/>
        </w:numPr>
        <w:tabs>
          <w:tab w:pos="1133" w:val="left" w:leader="none"/>
        </w:tabs>
        <w:spacing w:line="240" w:lineRule="auto" w:before="89" w:after="0"/>
        <w:ind w:left="1132" w:right="0" w:hanging="578"/>
        <w:jc w:val="left"/>
        <w:rPr>
          <w:b/>
          <w:sz w:val="22"/>
        </w:rPr>
      </w:pPr>
      <w:r>
        <w:rPr>
          <w:b/>
          <w:spacing w:val="-3"/>
          <w:sz w:val="22"/>
        </w:rPr>
        <w:t>黑色素瘤以外的未发生淋巴结和远处转移的皮肤恶性肿瘤；</w:t>
      </w:r>
    </w:p>
    <w:p>
      <w:pPr>
        <w:pStyle w:val="ListParagraph"/>
        <w:numPr>
          <w:ilvl w:val="0"/>
          <w:numId w:val="1"/>
        </w:numPr>
        <w:tabs>
          <w:tab w:pos="1133" w:val="left" w:leader="none"/>
        </w:tabs>
        <w:spacing w:line="240" w:lineRule="auto" w:before="89" w:after="0"/>
        <w:ind w:left="1132" w:right="0" w:hanging="578"/>
        <w:jc w:val="left"/>
        <w:rPr>
          <w:b/>
          <w:sz w:val="22"/>
        </w:rPr>
      </w:pPr>
      <w:r>
        <w:rPr>
          <w:b/>
          <w:w w:val="95"/>
          <w:sz w:val="22"/>
        </w:rPr>
        <w:t>相</w:t>
      </w:r>
      <w:r>
        <w:rPr>
          <w:b/>
          <w:w w:val="95"/>
          <w:sz w:val="22"/>
        </w:rPr>
        <w:t>当</w:t>
      </w:r>
      <w:r>
        <w:rPr>
          <w:b/>
          <w:w w:val="95"/>
          <w:sz w:val="22"/>
        </w:rPr>
        <w:t>于</w:t>
      </w:r>
      <w:r>
        <w:rPr>
          <w:b/>
          <w:spacing w:val="37"/>
          <w:sz w:val="22"/>
        </w:rPr>
        <w:t> </w:t>
      </w:r>
      <w:r>
        <w:rPr>
          <w:b/>
          <w:w w:val="95"/>
          <w:sz w:val="22"/>
        </w:rPr>
        <w:t>Binet</w:t>
      </w:r>
      <w:r>
        <w:rPr>
          <w:b/>
          <w:spacing w:val="40"/>
          <w:sz w:val="22"/>
        </w:rPr>
        <w:t> </w:t>
      </w:r>
      <w:r>
        <w:rPr>
          <w:b/>
          <w:w w:val="95"/>
          <w:sz w:val="22"/>
        </w:rPr>
        <w:t>分期</w:t>
      </w:r>
      <w:r>
        <w:rPr>
          <w:b/>
          <w:w w:val="95"/>
          <w:sz w:val="22"/>
        </w:rPr>
        <w:t>方</w:t>
      </w:r>
      <w:r>
        <w:rPr>
          <w:b/>
          <w:w w:val="95"/>
          <w:sz w:val="22"/>
        </w:rPr>
        <w:t>案</w:t>
      </w:r>
      <w:r>
        <w:rPr>
          <w:b/>
          <w:spacing w:val="39"/>
          <w:sz w:val="22"/>
        </w:rPr>
        <w:t> </w:t>
      </w:r>
      <w:r>
        <w:rPr>
          <w:b/>
          <w:w w:val="95"/>
          <w:sz w:val="22"/>
        </w:rPr>
        <w:t>A</w:t>
      </w:r>
      <w:r>
        <w:rPr>
          <w:b/>
          <w:spacing w:val="40"/>
          <w:sz w:val="22"/>
        </w:rPr>
        <w:t> </w:t>
      </w:r>
      <w:r>
        <w:rPr>
          <w:b/>
          <w:w w:val="95"/>
          <w:sz w:val="22"/>
        </w:rPr>
        <w:t>期程</w:t>
      </w:r>
      <w:r>
        <w:rPr>
          <w:b/>
          <w:w w:val="95"/>
          <w:sz w:val="22"/>
        </w:rPr>
        <w:t>度</w:t>
      </w:r>
      <w:r>
        <w:rPr>
          <w:b/>
          <w:w w:val="95"/>
          <w:sz w:val="22"/>
        </w:rPr>
        <w:t>的</w:t>
      </w:r>
      <w:r>
        <w:rPr>
          <w:b/>
          <w:w w:val="95"/>
          <w:sz w:val="22"/>
        </w:rPr>
        <w:t>慢</w:t>
      </w:r>
      <w:r>
        <w:rPr>
          <w:b/>
          <w:w w:val="95"/>
          <w:sz w:val="22"/>
        </w:rPr>
        <w:t>性淋</w:t>
      </w:r>
      <w:r>
        <w:rPr>
          <w:b/>
          <w:w w:val="95"/>
          <w:sz w:val="22"/>
        </w:rPr>
        <w:t>巴</w:t>
      </w:r>
      <w:r>
        <w:rPr>
          <w:b/>
          <w:w w:val="95"/>
          <w:sz w:val="22"/>
        </w:rPr>
        <w:t>细</w:t>
      </w:r>
      <w:r>
        <w:rPr>
          <w:b/>
          <w:w w:val="95"/>
          <w:sz w:val="22"/>
        </w:rPr>
        <w:t>胞</w:t>
      </w:r>
      <w:r>
        <w:rPr>
          <w:b/>
          <w:w w:val="95"/>
          <w:sz w:val="22"/>
        </w:rPr>
        <w:t>白</w:t>
      </w:r>
      <w:r>
        <w:rPr>
          <w:b/>
          <w:w w:val="95"/>
          <w:sz w:val="22"/>
        </w:rPr>
        <w:t>血</w:t>
      </w:r>
      <w:r>
        <w:rPr>
          <w:b/>
          <w:spacing w:val="-5"/>
          <w:w w:val="95"/>
          <w:sz w:val="22"/>
        </w:rPr>
        <w:t>病；</w:t>
      </w:r>
    </w:p>
    <w:p>
      <w:pPr>
        <w:spacing w:after="0" w:line="240" w:lineRule="auto"/>
        <w:jc w:val="left"/>
        <w:rPr>
          <w:sz w:val="22"/>
        </w:rPr>
        <w:sectPr>
          <w:pgSz w:w="11910" w:h="16840"/>
          <w:pgMar w:top="1000" w:bottom="280" w:left="1300" w:right="1080"/>
        </w:sectPr>
      </w:pPr>
    </w:p>
    <w:p>
      <w:pPr>
        <w:pStyle w:val="ListParagraph"/>
        <w:numPr>
          <w:ilvl w:val="0"/>
          <w:numId w:val="1"/>
        </w:numPr>
        <w:tabs>
          <w:tab w:pos="1133" w:val="left" w:leader="none"/>
        </w:tabs>
        <w:spacing w:line="398" w:lineRule="exact" w:before="0" w:after="0"/>
        <w:ind w:left="1132" w:right="0" w:hanging="578"/>
        <w:jc w:val="left"/>
        <w:rPr>
          <w:b/>
          <w:sz w:val="22"/>
        </w:rPr>
      </w:pPr>
      <w:r>
        <w:rPr>
          <w:b/>
          <w:w w:val="95"/>
          <w:sz w:val="22"/>
        </w:rPr>
        <w:t>相</w:t>
      </w:r>
      <w:r>
        <w:rPr>
          <w:b/>
          <w:w w:val="95"/>
          <w:sz w:val="22"/>
        </w:rPr>
        <w:t>当</w:t>
      </w:r>
      <w:r>
        <w:rPr>
          <w:b/>
          <w:w w:val="95"/>
          <w:sz w:val="22"/>
        </w:rPr>
        <w:t>于</w:t>
      </w:r>
      <w:r>
        <w:rPr>
          <w:b/>
          <w:spacing w:val="39"/>
          <w:sz w:val="22"/>
        </w:rPr>
        <w:t> </w:t>
      </w:r>
      <w:r>
        <w:rPr>
          <w:b/>
          <w:w w:val="95"/>
          <w:sz w:val="22"/>
        </w:rPr>
        <w:t>Ann</w:t>
      </w:r>
      <w:r>
        <w:rPr>
          <w:b/>
          <w:spacing w:val="48"/>
          <w:sz w:val="22"/>
        </w:rPr>
        <w:t> </w:t>
      </w:r>
      <w:r>
        <w:rPr>
          <w:b/>
          <w:w w:val="95"/>
          <w:sz w:val="22"/>
        </w:rPr>
        <w:t>Arbor</w:t>
      </w:r>
      <w:r>
        <w:rPr>
          <w:b/>
          <w:spacing w:val="38"/>
          <w:sz w:val="22"/>
        </w:rPr>
        <w:t> </w:t>
      </w:r>
      <w:r>
        <w:rPr>
          <w:b/>
          <w:w w:val="95"/>
          <w:sz w:val="22"/>
        </w:rPr>
        <w:t>分</w:t>
      </w:r>
      <w:r>
        <w:rPr>
          <w:b/>
          <w:w w:val="95"/>
          <w:sz w:val="22"/>
        </w:rPr>
        <w:t>期</w:t>
      </w:r>
      <w:r>
        <w:rPr>
          <w:b/>
          <w:w w:val="95"/>
          <w:sz w:val="22"/>
        </w:rPr>
        <w:t>方</w:t>
      </w:r>
      <w:r>
        <w:rPr>
          <w:b/>
          <w:w w:val="95"/>
          <w:sz w:val="22"/>
        </w:rPr>
        <w:t>案</w:t>
      </w:r>
      <w:r>
        <w:rPr>
          <w:b/>
          <w:w w:val="95"/>
          <w:sz w:val="22"/>
        </w:rPr>
        <w:t>Ⅰ期</w:t>
      </w:r>
      <w:r>
        <w:rPr>
          <w:b/>
          <w:w w:val="95"/>
          <w:sz w:val="22"/>
        </w:rPr>
        <w:t>程</w:t>
      </w:r>
      <w:r>
        <w:rPr>
          <w:b/>
          <w:w w:val="95"/>
          <w:sz w:val="22"/>
        </w:rPr>
        <w:t>度</w:t>
      </w:r>
      <w:r>
        <w:rPr>
          <w:b/>
          <w:w w:val="95"/>
          <w:sz w:val="22"/>
        </w:rPr>
        <w:t>的</w:t>
      </w:r>
      <w:r>
        <w:rPr>
          <w:b/>
          <w:w w:val="95"/>
          <w:sz w:val="22"/>
        </w:rPr>
        <w:t>何杰</w:t>
      </w:r>
      <w:r>
        <w:rPr>
          <w:b/>
          <w:w w:val="95"/>
          <w:sz w:val="22"/>
        </w:rPr>
        <w:t>金</w:t>
      </w:r>
      <w:r>
        <w:rPr>
          <w:b/>
          <w:w w:val="95"/>
          <w:sz w:val="22"/>
        </w:rPr>
        <w:t>氏</w:t>
      </w:r>
      <w:r>
        <w:rPr>
          <w:b/>
          <w:w w:val="95"/>
          <w:sz w:val="22"/>
        </w:rPr>
        <w:t>病</w:t>
      </w:r>
      <w:r>
        <w:rPr>
          <w:b/>
          <w:spacing w:val="-12"/>
          <w:w w:val="95"/>
          <w:sz w:val="22"/>
        </w:rPr>
        <w:t>；</w:t>
      </w:r>
    </w:p>
    <w:p>
      <w:pPr>
        <w:pStyle w:val="ListParagraph"/>
        <w:numPr>
          <w:ilvl w:val="0"/>
          <w:numId w:val="1"/>
        </w:numPr>
        <w:tabs>
          <w:tab w:pos="1133" w:val="left" w:leader="none"/>
        </w:tabs>
        <w:spacing w:line="240" w:lineRule="auto" w:before="89" w:after="0"/>
        <w:ind w:left="1132" w:right="0" w:hanging="578"/>
        <w:jc w:val="left"/>
        <w:rPr>
          <w:b/>
          <w:sz w:val="22"/>
        </w:rPr>
      </w:pPr>
      <w:r>
        <w:rPr>
          <w:b/>
          <w:w w:val="95"/>
          <w:sz w:val="22"/>
        </w:rPr>
        <w:t>未</w:t>
      </w:r>
      <w:r>
        <w:rPr>
          <w:b/>
          <w:w w:val="95"/>
          <w:sz w:val="22"/>
        </w:rPr>
        <w:t>发</w:t>
      </w:r>
      <w:r>
        <w:rPr>
          <w:b/>
          <w:w w:val="95"/>
          <w:sz w:val="22"/>
        </w:rPr>
        <w:t>生</w:t>
      </w:r>
      <w:r>
        <w:rPr>
          <w:b/>
          <w:w w:val="95"/>
          <w:sz w:val="22"/>
        </w:rPr>
        <w:t>淋</w:t>
      </w:r>
      <w:r>
        <w:rPr>
          <w:b/>
          <w:w w:val="95"/>
          <w:sz w:val="22"/>
        </w:rPr>
        <w:t>巴</w:t>
      </w:r>
      <w:r>
        <w:rPr>
          <w:b/>
          <w:w w:val="95"/>
          <w:sz w:val="22"/>
        </w:rPr>
        <w:t>结</w:t>
      </w:r>
      <w:r>
        <w:rPr>
          <w:b/>
          <w:w w:val="95"/>
          <w:sz w:val="22"/>
        </w:rPr>
        <w:t>和</w:t>
      </w:r>
      <w:r>
        <w:rPr>
          <w:b/>
          <w:w w:val="95"/>
          <w:sz w:val="22"/>
        </w:rPr>
        <w:t>远</w:t>
      </w:r>
      <w:r>
        <w:rPr>
          <w:b/>
          <w:w w:val="95"/>
          <w:sz w:val="22"/>
        </w:rPr>
        <w:t>处</w:t>
      </w:r>
      <w:r>
        <w:rPr>
          <w:b/>
          <w:w w:val="95"/>
          <w:sz w:val="22"/>
        </w:rPr>
        <w:t>转</w:t>
      </w:r>
      <w:r>
        <w:rPr>
          <w:b/>
          <w:w w:val="95"/>
          <w:sz w:val="22"/>
        </w:rPr>
        <w:t>移</w:t>
      </w:r>
      <w:r>
        <w:rPr>
          <w:b/>
          <w:spacing w:val="48"/>
          <w:w w:val="95"/>
          <w:sz w:val="22"/>
        </w:rPr>
        <w:t>且</w:t>
      </w:r>
      <w:r>
        <w:rPr>
          <w:b/>
          <w:w w:val="95"/>
          <w:sz w:val="22"/>
        </w:rPr>
        <w:t>WHO</w:t>
      </w:r>
      <w:r>
        <w:rPr>
          <w:b/>
          <w:spacing w:val="37"/>
          <w:sz w:val="22"/>
        </w:rPr>
        <w:t> </w:t>
      </w:r>
      <w:r>
        <w:rPr>
          <w:b/>
          <w:w w:val="95"/>
          <w:sz w:val="22"/>
        </w:rPr>
        <w:t>分级为</w:t>
      </w:r>
      <w:r>
        <w:rPr>
          <w:b/>
          <w:spacing w:val="33"/>
          <w:sz w:val="22"/>
        </w:rPr>
        <w:t> </w:t>
      </w:r>
      <w:r>
        <w:rPr>
          <w:b/>
          <w:w w:val="95"/>
          <w:sz w:val="22"/>
        </w:rPr>
        <w:t>G1</w:t>
      </w:r>
      <w:r>
        <w:rPr>
          <w:b/>
          <w:spacing w:val="40"/>
          <w:sz w:val="22"/>
        </w:rPr>
        <w:t> </w:t>
      </w:r>
      <w:r>
        <w:rPr>
          <w:b/>
          <w:w w:val="95"/>
          <w:sz w:val="22"/>
        </w:rPr>
        <w:t>级</w:t>
      </w:r>
      <w:r>
        <w:rPr>
          <w:b/>
          <w:w w:val="95"/>
          <w:sz w:val="22"/>
        </w:rPr>
        <w:t>别</w:t>
      </w:r>
      <w:r>
        <w:rPr>
          <w:b/>
          <w:w w:val="95"/>
          <w:sz w:val="22"/>
        </w:rPr>
        <w:t>（核</w:t>
      </w:r>
      <w:r>
        <w:rPr>
          <w:b/>
          <w:w w:val="95"/>
          <w:sz w:val="22"/>
        </w:rPr>
        <w:t>分</w:t>
      </w:r>
      <w:r>
        <w:rPr>
          <w:b/>
          <w:w w:val="95"/>
          <w:sz w:val="22"/>
        </w:rPr>
        <w:t>裂</w:t>
      </w:r>
      <w:r>
        <w:rPr>
          <w:b/>
          <w:w w:val="95"/>
          <w:sz w:val="22"/>
        </w:rPr>
        <w:t>像</w:t>
      </w:r>
      <w:r>
        <w:rPr>
          <w:b/>
          <w:w w:val="95"/>
          <w:sz w:val="22"/>
        </w:rPr>
        <w:t>&lt;10/50</w:t>
      </w:r>
      <w:r>
        <w:rPr>
          <w:b/>
          <w:spacing w:val="35"/>
          <w:sz w:val="22"/>
        </w:rPr>
        <w:t> </w:t>
      </w:r>
      <w:r>
        <w:rPr>
          <w:b/>
          <w:w w:val="95"/>
          <w:sz w:val="22"/>
        </w:rPr>
        <w:t>HPF</w:t>
      </w:r>
      <w:r>
        <w:rPr>
          <w:b/>
          <w:spacing w:val="42"/>
          <w:sz w:val="22"/>
        </w:rPr>
        <w:t> </w:t>
      </w:r>
      <w:r>
        <w:rPr>
          <w:b/>
          <w:spacing w:val="45"/>
          <w:w w:val="95"/>
          <w:sz w:val="22"/>
        </w:rPr>
        <w:t>和</w:t>
      </w:r>
      <w:r>
        <w:rPr>
          <w:b/>
          <w:w w:val="95"/>
          <w:sz w:val="22"/>
        </w:rPr>
        <w:t>ki-</w:t>
      </w:r>
      <w:r>
        <w:rPr>
          <w:b/>
          <w:spacing w:val="-5"/>
          <w:w w:val="95"/>
          <w:sz w:val="22"/>
        </w:rPr>
        <w:t>67</w:t>
      </w:r>
    </w:p>
    <w:p>
      <w:pPr>
        <w:spacing w:before="89"/>
        <w:ind w:left="116" w:right="0" w:firstLine="0"/>
        <w:jc w:val="left"/>
        <w:rPr>
          <w:rFonts w:ascii="微软雅黑" w:hAnsi="微软雅黑" w:eastAsia="微软雅黑"/>
          <w:b/>
          <w:sz w:val="22"/>
        </w:rPr>
      </w:pPr>
      <w:r>
        <w:rPr>
          <w:rFonts w:ascii="微软雅黑" w:hAnsi="微软雅黑" w:eastAsia="微软雅黑"/>
          <w:b/>
          <w:sz w:val="22"/>
        </w:rPr>
        <w:t>≤2%）</w:t>
      </w:r>
      <w:r>
        <w:rPr>
          <w:rFonts w:ascii="微软雅黑" w:hAnsi="微软雅黑" w:eastAsia="微软雅黑"/>
          <w:b/>
          <w:spacing w:val="-1"/>
          <w:sz w:val="22"/>
        </w:rPr>
        <w:t>或更轻分级的神经内分泌肿瘤。</w:t>
      </w:r>
    </w:p>
    <w:p>
      <w:pPr>
        <w:spacing w:line="292" w:lineRule="auto" w:before="86"/>
        <w:ind w:left="116" w:right="332" w:firstLine="439"/>
        <w:jc w:val="left"/>
        <w:rPr>
          <w:sz w:val="22"/>
        </w:rPr>
      </w:pPr>
      <w:r>
        <w:rPr>
          <w:rFonts w:ascii="微软雅黑" w:hAnsi="微软雅黑" w:eastAsia="微软雅黑"/>
          <w:b/>
          <w:spacing w:val="-2"/>
          <w:sz w:val="22"/>
        </w:rPr>
        <w:t>（二）恶性肿瘤——</w:t>
      </w:r>
      <w:r>
        <w:rPr>
          <w:rFonts w:ascii="微软雅黑" w:hAnsi="微软雅黑" w:eastAsia="微软雅黑"/>
          <w:b/>
          <w:spacing w:val="-2"/>
          <w:sz w:val="22"/>
        </w:rPr>
        <w:t>轻度：</w:t>
      </w:r>
      <w:r>
        <w:rPr>
          <w:spacing w:val="-2"/>
          <w:sz w:val="22"/>
        </w:rPr>
        <w:t>指恶性细胞不受控制的进行性增长和扩散，浸润和破坏周围正</w:t>
      </w:r>
      <w:r>
        <w:rPr>
          <w:sz w:val="22"/>
        </w:rPr>
        <w:t>常组织，可以经血管、淋巴管和体腔扩散转移到身体其他部位，病灶经</w:t>
      </w:r>
      <w:r>
        <w:rPr>
          <w:rFonts w:ascii="微软雅黑" w:hAnsi="微软雅黑" w:eastAsia="微软雅黑"/>
          <w:b/>
          <w:sz w:val="22"/>
        </w:rPr>
        <w:t>组织病理学检查</w:t>
      </w:r>
      <w:r>
        <w:rPr>
          <w:sz w:val="22"/>
        </w:rPr>
        <w:t>（</w:t>
      </w:r>
      <w:r>
        <w:rPr>
          <w:spacing w:val="-5"/>
          <w:sz w:val="22"/>
        </w:rPr>
        <w:t>涵盖</w:t>
      </w:r>
    </w:p>
    <w:p>
      <w:pPr>
        <w:spacing w:line="345" w:lineRule="auto" w:before="70"/>
        <w:ind w:left="116" w:right="332" w:firstLine="0"/>
        <w:jc w:val="both"/>
        <w:rPr>
          <w:sz w:val="22"/>
        </w:rPr>
      </w:pPr>
      <w:r>
        <w:rPr>
          <w:spacing w:val="21"/>
          <w:w w:val="100"/>
          <w:sz w:val="22"/>
        </w:rPr>
        <w:t>骨髓病理学检查）结果明确诊断，临床诊断属于世界卫生组织</w:t>
      </w:r>
      <w:r>
        <w:rPr>
          <w:w w:val="100"/>
          <w:sz w:val="22"/>
        </w:rPr>
        <w:t>（</w:t>
      </w:r>
      <w:r>
        <w:rPr>
          <w:spacing w:val="-87"/>
          <w:sz w:val="22"/>
        </w:rPr>
        <w:t> </w:t>
      </w:r>
      <w:r>
        <w:rPr>
          <w:spacing w:val="-2"/>
          <w:w w:val="208"/>
          <w:sz w:val="22"/>
        </w:rPr>
        <w:t>W</w:t>
      </w:r>
      <w:r>
        <w:rPr>
          <w:spacing w:val="3"/>
          <w:w w:val="158"/>
          <w:sz w:val="22"/>
        </w:rPr>
        <w:t>H</w:t>
      </w:r>
      <w:r>
        <w:rPr>
          <w:spacing w:val="22"/>
          <w:w w:val="172"/>
          <w:sz w:val="22"/>
        </w:rPr>
        <w:t>O</w:t>
      </w:r>
      <w:r>
        <w:rPr>
          <w:w w:val="100"/>
          <w:sz w:val="22"/>
        </w:rPr>
        <w:t>，</w:t>
      </w:r>
      <w:r>
        <w:rPr>
          <w:spacing w:val="-88"/>
          <w:sz w:val="22"/>
        </w:rPr>
        <w:t> </w:t>
      </w:r>
      <w:r>
        <w:rPr>
          <w:spacing w:val="-2"/>
          <w:w w:val="208"/>
          <w:sz w:val="22"/>
        </w:rPr>
        <w:t>W</w:t>
      </w:r>
      <w:r>
        <w:rPr>
          <w:w w:val="89"/>
          <w:sz w:val="22"/>
        </w:rPr>
        <w:t>orld</w:t>
      </w:r>
      <w:r>
        <w:rPr>
          <w:sz w:val="22"/>
        </w:rPr>
        <w:t> </w:t>
      </w:r>
      <w:r>
        <w:rPr>
          <w:w w:val="158"/>
          <w:sz w:val="22"/>
        </w:rPr>
        <w:t>H</w:t>
      </w:r>
      <w:r>
        <w:rPr>
          <w:spacing w:val="-1"/>
          <w:w w:val="122"/>
          <w:sz w:val="22"/>
        </w:rPr>
        <w:t>e</w:t>
      </w:r>
      <w:r>
        <w:rPr>
          <w:spacing w:val="-1"/>
          <w:w w:val="123"/>
          <w:sz w:val="22"/>
        </w:rPr>
        <w:t>a</w:t>
      </w:r>
      <w:r>
        <w:rPr>
          <w:spacing w:val="-1"/>
          <w:w w:val="39"/>
          <w:sz w:val="22"/>
        </w:rPr>
        <w:t>l</w:t>
      </w:r>
      <w:r>
        <w:rPr>
          <w:spacing w:val="-2"/>
          <w:w w:val="60"/>
          <w:sz w:val="22"/>
        </w:rPr>
        <w:t>t</w:t>
      </w:r>
      <w:r>
        <w:rPr>
          <w:w w:val="122"/>
          <w:sz w:val="22"/>
        </w:rPr>
        <w:t>h </w:t>
      </w:r>
      <w:r>
        <w:rPr>
          <w:w w:val="122"/>
          <w:sz w:val="22"/>
        </w:rPr>
        <w:t>Or</w:t>
      </w:r>
      <w:r>
        <w:rPr>
          <w:spacing w:val="-1"/>
          <w:w w:val="122"/>
          <w:sz w:val="22"/>
        </w:rPr>
        <w:t>g</w:t>
      </w:r>
      <w:r>
        <w:rPr>
          <w:spacing w:val="-1"/>
          <w:w w:val="123"/>
          <w:sz w:val="22"/>
        </w:rPr>
        <w:t>a</w:t>
      </w:r>
      <w:r>
        <w:rPr>
          <w:spacing w:val="-1"/>
          <w:w w:val="122"/>
          <w:sz w:val="22"/>
        </w:rPr>
        <w:t>n</w:t>
      </w:r>
      <w:r>
        <w:rPr>
          <w:spacing w:val="-1"/>
          <w:w w:val="40"/>
          <w:sz w:val="22"/>
        </w:rPr>
        <w:t>i</w:t>
      </w:r>
      <w:r>
        <w:rPr>
          <w:spacing w:val="-1"/>
          <w:w w:val="109"/>
          <w:sz w:val="22"/>
        </w:rPr>
        <w:t>z</w:t>
      </w:r>
      <w:r>
        <w:rPr>
          <w:spacing w:val="-1"/>
          <w:w w:val="123"/>
          <w:sz w:val="22"/>
        </w:rPr>
        <w:t>a</w:t>
      </w:r>
      <w:r>
        <w:rPr>
          <w:w w:val="74"/>
          <w:sz w:val="22"/>
        </w:rPr>
        <w:t>ti</w:t>
      </w:r>
      <w:r>
        <w:rPr>
          <w:spacing w:val="-1"/>
          <w:w w:val="74"/>
          <w:sz w:val="22"/>
        </w:rPr>
        <w:t>o</w:t>
      </w:r>
      <w:r>
        <w:rPr>
          <w:spacing w:val="1"/>
          <w:w w:val="122"/>
          <w:sz w:val="22"/>
        </w:rPr>
        <w:t>n</w:t>
      </w:r>
      <w:r>
        <w:rPr>
          <w:spacing w:val="2"/>
          <w:w w:val="100"/>
          <w:sz w:val="22"/>
        </w:rPr>
        <w:t>）</w:t>
      </w:r>
      <w:r>
        <w:rPr>
          <w:rFonts w:ascii="微软雅黑" w:eastAsia="微软雅黑"/>
          <w:b/>
          <w:spacing w:val="2"/>
          <w:w w:val="100"/>
          <w:sz w:val="22"/>
        </w:rPr>
        <w:t>《疾病和有关健康问题的国际统计分类》第十次修订版</w:t>
      </w:r>
      <w:r>
        <w:rPr>
          <w:rFonts w:ascii="微软雅黑" w:eastAsia="微软雅黑"/>
          <w:b/>
          <w:spacing w:val="7"/>
          <w:w w:val="100"/>
          <w:sz w:val="22"/>
        </w:rPr>
        <w:t>（</w:t>
      </w:r>
      <w:r>
        <w:rPr>
          <w:rFonts w:ascii="微软雅黑" w:eastAsia="微软雅黑"/>
          <w:b/>
          <w:w w:val="76"/>
          <w:sz w:val="22"/>
        </w:rPr>
        <w:t>I</w:t>
      </w:r>
      <w:r>
        <w:rPr>
          <w:rFonts w:ascii="微软雅黑" w:eastAsia="微软雅黑"/>
          <w:b/>
          <w:w w:val="108"/>
          <w:sz w:val="22"/>
        </w:rPr>
        <w:t>CD</w:t>
      </w:r>
      <w:r>
        <w:rPr>
          <w:rFonts w:ascii="微软雅黑" w:eastAsia="微软雅黑"/>
          <w:b/>
          <w:w w:val="142"/>
          <w:sz w:val="22"/>
        </w:rPr>
        <w:t>-</w:t>
      </w:r>
      <w:r>
        <w:rPr>
          <w:rFonts w:ascii="微软雅黑" w:eastAsia="微软雅黑"/>
          <w:b/>
          <w:w w:val="89"/>
          <w:sz w:val="22"/>
        </w:rPr>
        <w:t>1</w:t>
      </w:r>
      <w:r>
        <w:rPr>
          <w:rFonts w:ascii="微软雅黑" w:eastAsia="微软雅黑"/>
          <w:b/>
          <w:spacing w:val="1"/>
          <w:w w:val="89"/>
          <w:sz w:val="22"/>
        </w:rPr>
        <w:t>0</w:t>
      </w:r>
      <w:r>
        <w:rPr>
          <w:rFonts w:ascii="微软雅黑" w:eastAsia="微软雅黑"/>
          <w:b/>
          <w:spacing w:val="4"/>
          <w:w w:val="100"/>
          <w:sz w:val="22"/>
        </w:rPr>
        <w:t>）</w:t>
      </w:r>
      <w:r>
        <w:rPr>
          <w:spacing w:val="1"/>
          <w:w w:val="100"/>
          <w:sz w:val="22"/>
        </w:rPr>
        <w:t>的恶性肿</w:t>
      </w:r>
      <w:r>
        <w:rPr>
          <w:spacing w:val="2"/>
          <w:w w:val="100"/>
          <w:sz w:val="22"/>
        </w:rPr>
        <w:t>瘤类别及《国际疾病分类肿瘤学专辑》第三版</w:t>
      </w:r>
      <w:r>
        <w:rPr>
          <w:spacing w:val="8"/>
          <w:w w:val="100"/>
          <w:sz w:val="22"/>
        </w:rPr>
        <w:t>（</w:t>
      </w:r>
      <w:r>
        <w:rPr>
          <w:w w:val="51"/>
          <w:sz w:val="22"/>
        </w:rPr>
        <w:t>I</w:t>
      </w:r>
      <w:r>
        <w:rPr>
          <w:spacing w:val="-3"/>
          <w:w w:val="159"/>
          <w:sz w:val="22"/>
        </w:rPr>
        <w:t>C</w:t>
      </w:r>
      <w:r>
        <w:rPr>
          <w:spacing w:val="1"/>
          <w:w w:val="158"/>
          <w:sz w:val="22"/>
        </w:rPr>
        <w:t>D</w:t>
      </w:r>
      <w:r>
        <w:rPr>
          <w:w w:val="124"/>
          <w:sz w:val="22"/>
        </w:rPr>
        <w:t>-</w:t>
      </w:r>
      <w:r>
        <w:rPr>
          <w:spacing w:val="-3"/>
          <w:w w:val="172"/>
          <w:sz w:val="22"/>
        </w:rPr>
        <w:t>O</w:t>
      </w:r>
      <w:r>
        <w:rPr>
          <w:w w:val="124"/>
          <w:sz w:val="22"/>
        </w:rPr>
        <w:t>-</w:t>
      </w:r>
      <w:r>
        <w:rPr>
          <w:spacing w:val="2"/>
          <w:w w:val="121"/>
          <w:sz w:val="22"/>
        </w:rPr>
        <w:t>3</w:t>
      </w:r>
      <w:r>
        <w:rPr>
          <w:spacing w:val="4"/>
          <w:w w:val="100"/>
          <w:sz w:val="22"/>
        </w:rPr>
        <w:t>）</w:t>
      </w:r>
      <w:r>
        <w:rPr>
          <w:spacing w:val="2"/>
          <w:w w:val="100"/>
          <w:sz w:val="22"/>
        </w:rPr>
        <w:t>的肿瘤形态学编码属（以下简称</w:t>
      </w:r>
    </w:p>
    <w:p>
      <w:pPr>
        <w:pStyle w:val="BodyText"/>
        <w:spacing w:line="420" w:lineRule="auto" w:before="85"/>
        <w:ind w:right="332"/>
        <w:jc w:val="both"/>
      </w:pPr>
      <w:r>
        <w:rPr/>
        <w:t>国际疾病分类码）于 3、6、9（恶性肿瘤）范畴，但不在“恶性肿瘤——重度”保障范围的疾</w:t>
      </w:r>
      <w:r>
        <w:rPr>
          <w:spacing w:val="-2"/>
        </w:rPr>
        <w:t>病。且特指下列六项之一：</w:t>
      </w:r>
    </w:p>
    <w:p>
      <w:pPr>
        <w:pStyle w:val="ListParagraph"/>
        <w:numPr>
          <w:ilvl w:val="0"/>
          <w:numId w:val="3"/>
        </w:numPr>
        <w:tabs>
          <w:tab w:pos="1107" w:val="left" w:leader="none"/>
        </w:tabs>
        <w:spacing w:line="336" w:lineRule="exact" w:before="0" w:after="0"/>
        <w:ind w:left="1106" w:right="0" w:hanging="552"/>
        <w:jc w:val="left"/>
        <w:rPr>
          <w:rFonts w:ascii="宋体" w:hAnsi="宋体" w:eastAsia="宋体"/>
          <w:sz w:val="22"/>
        </w:rPr>
      </w:pPr>
      <w:r>
        <w:rPr>
          <w:b/>
          <w:w w:val="95"/>
          <w:sz w:val="22"/>
        </w:rPr>
        <w:t>TNM</w:t>
      </w:r>
      <w:r>
        <w:rPr>
          <w:b/>
          <w:spacing w:val="57"/>
          <w:w w:val="150"/>
          <w:sz w:val="22"/>
        </w:rPr>
        <w:t> </w:t>
      </w:r>
      <w:r>
        <w:rPr>
          <w:b/>
          <w:w w:val="95"/>
          <w:sz w:val="22"/>
        </w:rPr>
        <w:t>分</w:t>
      </w:r>
      <w:r>
        <w:rPr>
          <w:b/>
          <w:w w:val="95"/>
          <w:sz w:val="22"/>
        </w:rPr>
        <w:t>期</w:t>
      </w:r>
      <w:r>
        <w:rPr>
          <w:rFonts w:ascii="宋体" w:hAnsi="宋体" w:eastAsia="宋体"/>
          <w:w w:val="95"/>
          <w:sz w:val="22"/>
        </w:rPr>
        <w:t>为Ⅰ期的</w:t>
      </w:r>
      <w:r>
        <w:rPr>
          <w:rFonts w:ascii="宋体" w:hAnsi="宋体" w:eastAsia="宋体"/>
          <w:w w:val="95"/>
          <w:sz w:val="22"/>
        </w:rPr>
        <w:t>甲</w:t>
      </w:r>
      <w:r>
        <w:rPr>
          <w:rFonts w:ascii="宋体" w:hAnsi="宋体" w:eastAsia="宋体"/>
          <w:w w:val="95"/>
          <w:sz w:val="22"/>
        </w:rPr>
        <w:t>状</w:t>
      </w:r>
      <w:r>
        <w:rPr>
          <w:rFonts w:ascii="宋体" w:hAnsi="宋体" w:eastAsia="宋体"/>
          <w:w w:val="95"/>
          <w:sz w:val="22"/>
        </w:rPr>
        <w:t>腺</w:t>
      </w:r>
      <w:r>
        <w:rPr>
          <w:rFonts w:ascii="宋体" w:hAnsi="宋体" w:eastAsia="宋体"/>
          <w:spacing w:val="-5"/>
          <w:w w:val="95"/>
          <w:sz w:val="22"/>
        </w:rPr>
        <w:t>癌；</w:t>
      </w:r>
    </w:p>
    <w:p>
      <w:pPr>
        <w:pStyle w:val="ListParagraph"/>
        <w:numPr>
          <w:ilvl w:val="0"/>
          <w:numId w:val="3"/>
        </w:numPr>
        <w:tabs>
          <w:tab w:pos="1131" w:val="left" w:leader="none"/>
        </w:tabs>
        <w:spacing w:line="240" w:lineRule="auto" w:before="89" w:after="0"/>
        <w:ind w:left="1130" w:right="0" w:hanging="576"/>
        <w:jc w:val="left"/>
        <w:rPr>
          <w:rFonts w:ascii="宋体" w:eastAsia="宋体"/>
          <w:sz w:val="22"/>
        </w:rPr>
      </w:pPr>
      <w:r>
        <w:rPr>
          <w:b/>
          <w:w w:val="105"/>
          <w:position w:val="1"/>
          <w:sz w:val="22"/>
        </w:rPr>
        <w:t>TNM</w:t>
      </w:r>
      <w:r>
        <w:rPr>
          <w:b/>
          <w:spacing w:val="-10"/>
          <w:w w:val="105"/>
          <w:position w:val="1"/>
          <w:sz w:val="22"/>
        </w:rPr>
        <w:t> </w:t>
      </w:r>
      <w:r>
        <w:rPr>
          <w:b/>
          <w:w w:val="105"/>
          <w:position w:val="1"/>
          <w:sz w:val="22"/>
        </w:rPr>
        <w:t>分</w:t>
      </w:r>
      <w:r>
        <w:rPr>
          <w:b/>
          <w:w w:val="105"/>
          <w:position w:val="1"/>
          <w:sz w:val="22"/>
        </w:rPr>
        <w:t>期</w:t>
      </w:r>
      <w:r>
        <w:rPr>
          <w:rFonts w:ascii="宋体" w:eastAsia="宋体"/>
          <w:spacing w:val="52"/>
          <w:w w:val="105"/>
          <w:position w:val="1"/>
          <w:sz w:val="22"/>
        </w:rPr>
        <w:t>为</w:t>
      </w:r>
      <w:r>
        <w:rPr>
          <w:rFonts w:ascii="宋体" w:eastAsia="宋体"/>
          <w:w w:val="110"/>
          <w:position w:val="1"/>
          <w:sz w:val="22"/>
        </w:rPr>
        <w:t>T</w:t>
      </w:r>
      <w:r>
        <w:rPr>
          <w:rFonts w:ascii="宋体" w:eastAsia="宋体"/>
          <w:w w:val="110"/>
          <w:sz w:val="11"/>
        </w:rPr>
        <w:t>1</w:t>
      </w:r>
      <w:r>
        <w:rPr>
          <w:rFonts w:ascii="宋体" w:eastAsia="宋体"/>
          <w:w w:val="110"/>
          <w:position w:val="1"/>
          <w:sz w:val="22"/>
        </w:rPr>
        <w:t>N</w:t>
      </w:r>
      <w:r>
        <w:rPr>
          <w:rFonts w:ascii="宋体" w:eastAsia="宋体"/>
          <w:w w:val="110"/>
          <w:sz w:val="11"/>
        </w:rPr>
        <w:t>0</w:t>
      </w:r>
      <w:r>
        <w:rPr>
          <w:rFonts w:ascii="宋体" w:eastAsia="宋体"/>
          <w:w w:val="110"/>
          <w:position w:val="1"/>
          <w:sz w:val="22"/>
        </w:rPr>
        <w:t>M</w:t>
      </w:r>
      <w:r>
        <w:rPr>
          <w:rFonts w:ascii="宋体" w:eastAsia="宋体"/>
          <w:w w:val="110"/>
          <w:sz w:val="11"/>
        </w:rPr>
        <w:t>0</w:t>
      </w:r>
      <w:r>
        <w:rPr>
          <w:rFonts w:ascii="宋体" w:eastAsia="宋体"/>
          <w:spacing w:val="-33"/>
          <w:w w:val="110"/>
          <w:sz w:val="11"/>
        </w:rPr>
        <w:t> </w:t>
      </w:r>
      <w:r>
        <w:rPr>
          <w:rFonts w:ascii="宋体" w:eastAsia="宋体"/>
          <w:w w:val="105"/>
          <w:position w:val="1"/>
          <w:sz w:val="22"/>
        </w:rPr>
        <w:t>期</w:t>
      </w:r>
      <w:r>
        <w:rPr>
          <w:rFonts w:ascii="宋体" w:eastAsia="宋体"/>
          <w:w w:val="105"/>
          <w:position w:val="1"/>
          <w:sz w:val="22"/>
        </w:rPr>
        <w:t>的</w:t>
      </w:r>
      <w:r>
        <w:rPr>
          <w:rFonts w:ascii="宋体" w:eastAsia="宋体"/>
          <w:w w:val="105"/>
          <w:position w:val="1"/>
          <w:sz w:val="22"/>
        </w:rPr>
        <w:t>前</w:t>
      </w:r>
      <w:r>
        <w:rPr>
          <w:rFonts w:ascii="宋体" w:eastAsia="宋体"/>
          <w:w w:val="105"/>
          <w:position w:val="1"/>
          <w:sz w:val="22"/>
        </w:rPr>
        <w:t>列</w:t>
      </w:r>
      <w:r>
        <w:rPr>
          <w:rFonts w:ascii="宋体" w:eastAsia="宋体"/>
          <w:w w:val="105"/>
          <w:position w:val="1"/>
          <w:sz w:val="22"/>
        </w:rPr>
        <w:t>腺</w:t>
      </w:r>
      <w:r>
        <w:rPr>
          <w:rFonts w:ascii="宋体" w:eastAsia="宋体"/>
          <w:spacing w:val="-5"/>
          <w:w w:val="105"/>
          <w:position w:val="1"/>
          <w:sz w:val="22"/>
        </w:rPr>
        <w:t>癌；</w:t>
      </w:r>
    </w:p>
    <w:p>
      <w:pPr>
        <w:pStyle w:val="ListParagraph"/>
        <w:numPr>
          <w:ilvl w:val="0"/>
          <w:numId w:val="3"/>
        </w:numPr>
        <w:tabs>
          <w:tab w:pos="1133" w:val="left" w:leader="none"/>
        </w:tabs>
        <w:spacing w:line="240" w:lineRule="auto" w:before="159" w:after="0"/>
        <w:ind w:left="1132" w:right="0" w:hanging="578"/>
        <w:jc w:val="left"/>
        <w:rPr>
          <w:rFonts w:ascii="宋体" w:eastAsia="宋体"/>
          <w:sz w:val="22"/>
        </w:rPr>
      </w:pPr>
      <w:r>
        <w:rPr>
          <w:rFonts w:ascii="宋体" w:eastAsia="宋体"/>
          <w:spacing w:val="-3"/>
          <w:sz w:val="22"/>
        </w:rPr>
        <w:t>黑色素瘤以外的未发生淋巴结和远处转移的皮肤恶性肿瘤；</w:t>
      </w:r>
    </w:p>
    <w:p>
      <w:pPr>
        <w:pStyle w:val="ListParagraph"/>
        <w:numPr>
          <w:ilvl w:val="0"/>
          <w:numId w:val="3"/>
        </w:numPr>
        <w:tabs>
          <w:tab w:pos="1133" w:val="left" w:leader="none"/>
        </w:tabs>
        <w:spacing w:line="240" w:lineRule="auto" w:before="210" w:after="0"/>
        <w:ind w:left="1132" w:right="0" w:hanging="578"/>
        <w:jc w:val="left"/>
        <w:rPr>
          <w:rFonts w:ascii="宋体" w:eastAsia="宋体"/>
          <w:sz w:val="22"/>
        </w:rPr>
      </w:pPr>
      <w:r>
        <w:rPr>
          <w:rFonts w:ascii="宋体" w:eastAsia="宋体"/>
          <w:spacing w:val="-13"/>
          <w:sz w:val="22"/>
        </w:rPr>
        <w:t>相当于 </w:t>
      </w:r>
      <w:r>
        <w:rPr>
          <w:rFonts w:ascii="宋体" w:eastAsia="宋体"/>
          <w:spacing w:val="-2"/>
          <w:w w:val="95"/>
          <w:sz w:val="22"/>
        </w:rPr>
        <w:t>Bi</w:t>
      </w:r>
      <w:r>
        <w:rPr>
          <w:rFonts w:ascii="宋体" w:eastAsia="宋体"/>
          <w:spacing w:val="-2"/>
          <w:w w:val="124"/>
          <w:sz w:val="22"/>
        </w:rPr>
        <w:t>ne</w:t>
      </w:r>
      <w:r>
        <w:rPr>
          <w:rFonts w:ascii="宋体" w:eastAsia="宋体"/>
          <w:spacing w:val="-2"/>
          <w:w w:val="62"/>
          <w:sz w:val="22"/>
        </w:rPr>
        <w:t>t</w:t>
      </w:r>
      <w:r>
        <w:rPr>
          <w:rFonts w:ascii="宋体" w:eastAsia="宋体"/>
          <w:spacing w:val="-17"/>
          <w:sz w:val="22"/>
        </w:rPr>
        <w:t> 分期方案 </w:t>
      </w:r>
      <w:r>
        <w:rPr>
          <w:rFonts w:ascii="宋体" w:eastAsia="宋体"/>
          <w:spacing w:val="-2"/>
          <w:w w:val="120"/>
          <w:sz w:val="22"/>
        </w:rPr>
        <w:t>A</w:t>
      </w:r>
      <w:r>
        <w:rPr>
          <w:rFonts w:ascii="宋体" w:eastAsia="宋体"/>
          <w:spacing w:val="-67"/>
          <w:w w:val="120"/>
          <w:sz w:val="22"/>
        </w:rPr>
        <w:t> </w:t>
      </w:r>
      <w:r>
        <w:rPr>
          <w:rFonts w:ascii="宋体" w:eastAsia="宋体"/>
          <w:spacing w:val="-3"/>
          <w:sz w:val="22"/>
        </w:rPr>
        <w:t>期程度的慢性淋巴细胞白血病；</w:t>
      </w:r>
    </w:p>
    <w:p>
      <w:pPr>
        <w:pStyle w:val="ListParagraph"/>
        <w:numPr>
          <w:ilvl w:val="0"/>
          <w:numId w:val="3"/>
        </w:numPr>
        <w:tabs>
          <w:tab w:pos="1133" w:val="left" w:leader="none"/>
        </w:tabs>
        <w:spacing w:line="240" w:lineRule="auto" w:before="213" w:after="0"/>
        <w:ind w:left="1132" w:right="0" w:hanging="578"/>
        <w:jc w:val="left"/>
        <w:rPr>
          <w:rFonts w:ascii="宋体" w:hAnsi="宋体" w:eastAsia="宋体"/>
          <w:sz w:val="22"/>
        </w:rPr>
      </w:pPr>
      <w:r>
        <w:rPr>
          <w:rFonts w:ascii="宋体" w:hAnsi="宋体" w:eastAsia="宋体"/>
          <w:spacing w:val="-4"/>
          <w:sz w:val="22"/>
        </w:rPr>
        <w:t>相当于 </w:t>
      </w:r>
      <w:r>
        <w:rPr>
          <w:rFonts w:ascii="宋体" w:hAnsi="宋体" w:eastAsia="宋体"/>
          <w:sz w:val="22"/>
        </w:rPr>
        <w:t>Ann</w:t>
      </w:r>
      <w:r>
        <w:rPr>
          <w:rFonts w:ascii="宋体" w:hAnsi="宋体" w:eastAsia="宋体"/>
          <w:spacing w:val="-7"/>
          <w:sz w:val="22"/>
        </w:rPr>
        <w:t> </w:t>
      </w:r>
      <w:r>
        <w:rPr>
          <w:rFonts w:ascii="宋体" w:hAnsi="宋体" w:eastAsia="宋体"/>
          <w:sz w:val="22"/>
        </w:rPr>
        <w:t>Arbor</w:t>
      </w:r>
      <w:r>
        <w:rPr>
          <w:rFonts w:ascii="宋体" w:hAnsi="宋体" w:eastAsia="宋体"/>
          <w:spacing w:val="-5"/>
          <w:sz w:val="22"/>
        </w:rPr>
        <w:t> 分期方案Ⅰ期程度的何杰金氏病；</w:t>
      </w:r>
    </w:p>
    <w:p>
      <w:pPr>
        <w:pStyle w:val="ListParagraph"/>
        <w:numPr>
          <w:ilvl w:val="0"/>
          <w:numId w:val="3"/>
        </w:numPr>
        <w:tabs>
          <w:tab w:pos="1133" w:val="left" w:leader="none"/>
        </w:tabs>
        <w:spacing w:line="420" w:lineRule="auto" w:before="212" w:after="0"/>
        <w:ind w:left="116" w:right="332" w:firstLine="439"/>
        <w:jc w:val="left"/>
        <w:rPr>
          <w:rFonts w:ascii="宋体" w:hAnsi="宋体" w:eastAsia="宋体"/>
          <w:sz w:val="22"/>
        </w:rPr>
      </w:pPr>
      <w:r>
        <w:rPr>
          <w:rFonts w:ascii="宋体" w:hAnsi="宋体" w:eastAsia="宋体"/>
          <w:spacing w:val="-1"/>
          <w:sz w:val="22"/>
        </w:rPr>
        <w:t>未发生淋巴结和远处转移且 </w:t>
      </w:r>
      <w:r>
        <w:rPr>
          <w:rFonts w:ascii="宋体" w:hAnsi="宋体" w:eastAsia="宋体"/>
          <w:w w:val="160"/>
          <w:sz w:val="22"/>
        </w:rPr>
        <w:t>WHO</w:t>
      </w:r>
      <w:r>
        <w:rPr>
          <w:rFonts w:ascii="宋体" w:hAnsi="宋体" w:eastAsia="宋体"/>
          <w:spacing w:val="-81"/>
          <w:w w:val="160"/>
          <w:sz w:val="22"/>
        </w:rPr>
        <w:t> </w:t>
      </w:r>
      <w:r>
        <w:rPr>
          <w:rFonts w:ascii="宋体" w:hAnsi="宋体" w:eastAsia="宋体"/>
          <w:spacing w:val="-4"/>
          <w:sz w:val="22"/>
        </w:rPr>
        <w:t>分级为 </w:t>
      </w:r>
      <w:r>
        <w:rPr>
          <w:rFonts w:ascii="宋体" w:hAnsi="宋体" w:eastAsia="宋体"/>
          <w:w w:val="115"/>
          <w:sz w:val="22"/>
        </w:rPr>
        <w:t>G1</w:t>
      </w:r>
      <w:r>
        <w:rPr>
          <w:rFonts w:ascii="宋体" w:hAnsi="宋体" w:eastAsia="宋体"/>
          <w:spacing w:val="-28"/>
          <w:w w:val="115"/>
          <w:sz w:val="22"/>
        </w:rPr>
        <w:t> </w:t>
      </w:r>
      <w:r>
        <w:rPr>
          <w:rFonts w:ascii="宋体" w:hAnsi="宋体" w:eastAsia="宋体"/>
          <w:sz w:val="22"/>
        </w:rPr>
        <w:t>级别（核分裂像</w:t>
      </w:r>
      <w:r>
        <w:rPr>
          <w:rFonts w:ascii="宋体" w:hAnsi="宋体" w:eastAsia="宋体"/>
          <w:spacing w:val="-1"/>
          <w:w w:val="137"/>
          <w:sz w:val="22"/>
        </w:rPr>
        <w:t>&lt;</w:t>
      </w:r>
      <w:r>
        <w:rPr>
          <w:rFonts w:ascii="宋体" w:hAnsi="宋体" w:eastAsia="宋体"/>
          <w:w w:val="103"/>
          <w:sz w:val="22"/>
        </w:rPr>
        <w:t>1</w:t>
      </w:r>
      <w:r>
        <w:rPr>
          <w:rFonts w:ascii="宋体" w:hAnsi="宋体" w:eastAsia="宋体"/>
          <w:spacing w:val="-1"/>
          <w:w w:val="128"/>
          <w:sz w:val="22"/>
        </w:rPr>
        <w:t>0</w:t>
      </w:r>
      <w:r>
        <w:rPr>
          <w:rFonts w:ascii="宋体" w:hAnsi="宋体" w:eastAsia="宋体"/>
          <w:spacing w:val="-3"/>
          <w:w w:val="65"/>
          <w:sz w:val="22"/>
        </w:rPr>
        <w:t>/</w:t>
      </w:r>
      <w:r>
        <w:rPr>
          <w:rFonts w:ascii="宋体" w:hAnsi="宋体" w:eastAsia="宋体"/>
          <w:w w:val="128"/>
          <w:sz w:val="22"/>
        </w:rPr>
        <w:t>50</w:t>
      </w:r>
      <w:r>
        <w:rPr>
          <w:rFonts w:ascii="宋体" w:hAnsi="宋体" w:eastAsia="宋体"/>
          <w:spacing w:val="-21"/>
          <w:w w:val="114"/>
          <w:sz w:val="22"/>
        </w:rPr>
        <w:t> </w:t>
      </w:r>
      <w:r>
        <w:rPr>
          <w:rFonts w:ascii="宋体" w:hAnsi="宋体" w:eastAsia="宋体"/>
          <w:w w:val="125"/>
          <w:sz w:val="22"/>
        </w:rPr>
        <w:t>HPF</w:t>
      </w:r>
      <w:r>
        <w:rPr>
          <w:rFonts w:ascii="宋体" w:hAnsi="宋体" w:eastAsia="宋体"/>
          <w:spacing w:val="-38"/>
          <w:w w:val="125"/>
          <w:sz w:val="22"/>
        </w:rPr>
        <w:t> </w:t>
      </w:r>
      <w:r>
        <w:rPr>
          <w:rFonts w:ascii="宋体" w:hAnsi="宋体" w:eastAsia="宋体"/>
          <w:spacing w:val="-8"/>
          <w:sz w:val="22"/>
        </w:rPr>
        <w:t>和 </w:t>
      </w:r>
      <w:r>
        <w:rPr>
          <w:rFonts w:ascii="宋体" w:hAnsi="宋体" w:eastAsia="宋体"/>
          <w:sz w:val="22"/>
        </w:rPr>
        <w:t>ki- </w:t>
      </w:r>
      <w:r>
        <w:rPr>
          <w:rFonts w:ascii="宋体" w:hAnsi="宋体" w:eastAsia="宋体"/>
          <w:spacing w:val="-2"/>
          <w:w w:val="115"/>
          <w:sz w:val="22"/>
        </w:rPr>
        <w:t>67≤2%）</w:t>
      </w:r>
      <w:r>
        <w:rPr>
          <w:rFonts w:ascii="宋体" w:hAnsi="宋体" w:eastAsia="宋体"/>
          <w:spacing w:val="-2"/>
          <w:sz w:val="22"/>
        </w:rPr>
        <w:t>的神经内分泌肿瘤。</w:t>
      </w:r>
    </w:p>
    <w:p>
      <w:pPr>
        <w:spacing w:line="335" w:lineRule="exact" w:before="0"/>
        <w:ind w:left="555" w:right="0" w:firstLine="0"/>
        <w:jc w:val="left"/>
        <w:rPr>
          <w:rFonts w:ascii="微软雅黑" w:hAnsi="微软雅黑" w:eastAsia="微软雅黑"/>
          <w:b/>
          <w:sz w:val="22"/>
        </w:rPr>
      </w:pPr>
      <w:r>
        <w:rPr>
          <w:rFonts w:ascii="微软雅黑" w:hAnsi="微软雅黑" w:eastAsia="微软雅黑"/>
          <w:b/>
          <w:w w:val="95"/>
          <w:sz w:val="22"/>
        </w:rPr>
        <w:t>下</w:t>
      </w:r>
      <w:r>
        <w:rPr>
          <w:rFonts w:ascii="微软雅黑" w:hAnsi="微软雅黑" w:eastAsia="微软雅黑"/>
          <w:b/>
          <w:w w:val="95"/>
          <w:sz w:val="22"/>
        </w:rPr>
        <w:t>列</w:t>
      </w:r>
      <w:r>
        <w:rPr>
          <w:rFonts w:ascii="微软雅黑" w:hAnsi="微软雅黑" w:eastAsia="微软雅黑"/>
          <w:b/>
          <w:w w:val="95"/>
          <w:sz w:val="22"/>
        </w:rPr>
        <w:t>疾</w:t>
      </w:r>
      <w:r>
        <w:rPr>
          <w:rFonts w:ascii="微软雅黑" w:hAnsi="微软雅黑" w:eastAsia="微软雅黑"/>
          <w:b/>
          <w:w w:val="95"/>
          <w:sz w:val="22"/>
        </w:rPr>
        <w:t>病</w:t>
      </w:r>
      <w:r>
        <w:rPr>
          <w:rFonts w:ascii="微软雅黑" w:hAnsi="微软雅黑" w:eastAsia="微软雅黑"/>
          <w:b/>
          <w:w w:val="95"/>
          <w:sz w:val="22"/>
        </w:rPr>
        <w:t>不</w:t>
      </w:r>
      <w:r>
        <w:rPr>
          <w:rFonts w:ascii="微软雅黑" w:hAnsi="微软雅黑" w:eastAsia="微软雅黑"/>
          <w:b/>
          <w:w w:val="95"/>
          <w:sz w:val="22"/>
        </w:rPr>
        <w:t>属</w:t>
      </w:r>
      <w:r>
        <w:rPr>
          <w:rFonts w:ascii="微软雅黑" w:hAnsi="微软雅黑" w:eastAsia="微软雅黑"/>
          <w:b/>
          <w:w w:val="95"/>
          <w:sz w:val="22"/>
        </w:rPr>
        <w:t>于</w:t>
      </w:r>
      <w:r>
        <w:rPr>
          <w:rFonts w:ascii="微软雅黑" w:hAnsi="微软雅黑" w:eastAsia="微软雅黑"/>
          <w:b/>
          <w:w w:val="95"/>
          <w:sz w:val="22"/>
        </w:rPr>
        <w:t>“</w:t>
      </w:r>
      <w:r>
        <w:rPr>
          <w:rFonts w:ascii="微软雅黑" w:hAnsi="微软雅黑" w:eastAsia="微软雅黑"/>
          <w:b/>
          <w:w w:val="95"/>
          <w:sz w:val="22"/>
        </w:rPr>
        <w:t>恶</w:t>
      </w:r>
      <w:r>
        <w:rPr>
          <w:rFonts w:ascii="微软雅黑" w:hAnsi="微软雅黑" w:eastAsia="微软雅黑"/>
          <w:b/>
          <w:w w:val="95"/>
          <w:sz w:val="22"/>
        </w:rPr>
        <w:t>性</w:t>
      </w:r>
      <w:r>
        <w:rPr>
          <w:rFonts w:ascii="微软雅黑" w:hAnsi="微软雅黑" w:eastAsia="微软雅黑"/>
          <w:b/>
          <w:w w:val="95"/>
          <w:sz w:val="22"/>
        </w:rPr>
        <w:t>肿</w:t>
      </w:r>
      <w:r>
        <w:rPr>
          <w:rFonts w:ascii="微软雅黑" w:hAnsi="微软雅黑" w:eastAsia="微软雅黑"/>
          <w:b/>
          <w:w w:val="95"/>
          <w:sz w:val="22"/>
        </w:rPr>
        <w:t>瘤——</w:t>
      </w:r>
      <w:r>
        <w:rPr>
          <w:rFonts w:ascii="微软雅黑" w:hAnsi="微软雅黑" w:eastAsia="微软雅黑"/>
          <w:b/>
          <w:w w:val="95"/>
          <w:sz w:val="22"/>
        </w:rPr>
        <w:t>轻</w:t>
      </w:r>
      <w:r>
        <w:rPr>
          <w:rFonts w:ascii="微软雅黑" w:hAnsi="微软雅黑" w:eastAsia="微软雅黑"/>
          <w:b/>
          <w:w w:val="95"/>
          <w:sz w:val="22"/>
        </w:rPr>
        <w:t>度</w:t>
      </w:r>
      <w:r>
        <w:rPr>
          <w:rFonts w:ascii="微软雅黑" w:hAnsi="微软雅黑" w:eastAsia="微软雅黑"/>
          <w:b/>
          <w:w w:val="95"/>
          <w:sz w:val="22"/>
        </w:rPr>
        <w:t>”，</w:t>
      </w:r>
      <w:r>
        <w:rPr>
          <w:rFonts w:ascii="微软雅黑" w:hAnsi="微软雅黑" w:eastAsia="微软雅黑"/>
          <w:b/>
          <w:w w:val="95"/>
          <w:sz w:val="22"/>
        </w:rPr>
        <w:t>不</w:t>
      </w:r>
      <w:r>
        <w:rPr>
          <w:rFonts w:ascii="微软雅黑" w:hAnsi="微软雅黑" w:eastAsia="微软雅黑"/>
          <w:b/>
          <w:w w:val="95"/>
          <w:sz w:val="22"/>
        </w:rPr>
        <w:t>在</w:t>
      </w:r>
      <w:r>
        <w:rPr>
          <w:rFonts w:ascii="微软雅黑" w:hAnsi="微软雅黑" w:eastAsia="微软雅黑"/>
          <w:b/>
          <w:w w:val="95"/>
          <w:sz w:val="22"/>
        </w:rPr>
        <w:t>保</w:t>
      </w:r>
      <w:r>
        <w:rPr>
          <w:rFonts w:ascii="微软雅黑" w:hAnsi="微软雅黑" w:eastAsia="微软雅黑"/>
          <w:b/>
          <w:w w:val="95"/>
          <w:sz w:val="22"/>
        </w:rPr>
        <w:t>障</w:t>
      </w:r>
      <w:r>
        <w:rPr>
          <w:rFonts w:ascii="微软雅黑" w:hAnsi="微软雅黑" w:eastAsia="微软雅黑"/>
          <w:b/>
          <w:w w:val="95"/>
          <w:sz w:val="22"/>
        </w:rPr>
        <w:t>范</w:t>
      </w:r>
      <w:r>
        <w:rPr>
          <w:rFonts w:ascii="微软雅黑" w:hAnsi="微软雅黑" w:eastAsia="微软雅黑"/>
          <w:b/>
          <w:w w:val="95"/>
          <w:sz w:val="22"/>
        </w:rPr>
        <w:t>围</w:t>
      </w:r>
      <w:r>
        <w:rPr>
          <w:rFonts w:ascii="微软雅黑" w:hAnsi="微软雅黑" w:eastAsia="微软雅黑"/>
          <w:b/>
          <w:w w:val="95"/>
          <w:sz w:val="22"/>
        </w:rPr>
        <w:t>内</w:t>
      </w:r>
      <w:r>
        <w:rPr>
          <w:rFonts w:ascii="微软雅黑" w:hAnsi="微软雅黑" w:eastAsia="微软雅黑"/>
          <w:b/>
          <w:spacing w:val="-10"/>
          <w:w w:val="95"/>
          <w:sz w:val="22"/>
        </w:rPr>
        <w:t>：</w:t>
      </w:r>
    </w:p>
    <w:p>
      <w:pPr>
        <w:spacing w:line="290" w:lineRule="auto" w:before="89"/>
        <w:ind w:left="116" w:right="332" w:firstLine="439"/>
        <w:jc w:val="left"/>
        <w:rPr>
          <w:rFonts w:ascii="微软雅黑" w:eastAsia="微软雅黑"/>
          <w:b/>
          <w:sz w:val="22"/>
        </w:rPr>
      </w:pPr>
      <w:r>
        <w:rPr>
          <w:rFonts w:ascii="微软雅黑" w:eastAsia="微软雅黑"/>
          <w:b/>
          <w:sz w:val="22"/>
        </w:rPr>
        <w:t>ICD-O-3</w:t>
      </w:r>
      <w:r>
        <w:rPr>
          <w:rFonts w:ascii="微软雅黑" w:eastAsia="微软雅黑"/>
          <w:b/>
          <w:spacing w:val="4"/>
          <w:sz w:val="22"/>
        </w:rPr>
        <w:t> 肿瘤形态学编码属于 </w:t>
      </w:r>
      <w:r>
        <w:rPr>
          <w:rFonts w:ascii="微软雅黑" w:eastAsia="微软雅黑"/>
          <w:b/>
          <w:sz w:val="22"/>
        </w:rPr>
        <w:t>0（良性肿瘤）、1（动态未定性肿瘤）、2（原位癌和非</w:t>
      </w:r>
      <w:r>
        <w:rPr>
          <w:rFonts w:ascii="微软雅黑" w:eastAsia="微软雅黑"/>
          <w:b/>
          <w:spacing w:val="-2"/>
          <w:sz w:val="22"/>
        </w:rPr>
        <w:t>侵袭性癌）范畴的疾病，如：</w:t>
      </w:r>
    </w:p>
    <w:p>
      <w:pPr>
        <w:pStyle w:val="ListParagraph"/>
        <w:numPr>
          <w:ilvl w:val="0"/>
          <w:numId w:val="4"/>
        </w:numPr>
        <w:tabs>
          <w:tab w:pos="758" w:val="left" w:leader="none"/>
        </w:tabs>
        <w:spacing w:line="292" w:lineRule="auto" w:before="5" w:after="0"/>
        <w:ind w:left="116" w:right="339" w:firstLine="439"/>
        <w:jc w:val="left"/>
        <w:rPr>
          <w:b/>
          <w:sz w:val="22"/>
        </w:rPr>
      </w:pPr>
      <w:r>
        <w:rPr>
          <w:b/>
          <w:spacing w:val="-2"/>
          <w:sz w:val="22"/>
        </w:rPr>
        <w:t>原位癌，癌前病变，非浸润性癌，非侵袭性癌，肿瘤细胞未侵犯基底层，上皮内瘤变，</w:t>
      </w:r>
      <w:r>
        <w:rPr>
          <w:b/>
          <w:spacing w:val="-2"/>
          <w:sz w:val="22"/>
        </w:rPr>
        <w:t>细胞不典型性增生等；</w:t>
      </w:r>
    </w:p>
    <w:p>
      <w:pPr>
        <w:pStyle w:val="ListParagraph"/>
        <w:numPr>
          <w:ilvl w:val="0"/>
          <w:numId w:val="4"/>
        </w:numPr>
        <w:tabs>
          <w:tab w:pos="756" w:val="left" w:leader="none"/>
        </w:tabs>
        <w:spacing w:line="405" w:lineRule="exact" w:before="0" w:after="0"/>
        <w:ind w:left="755" w:right="0" w:hanging="201"/>
        <w:jc w:val="left"/>
        <w:rPr>
          <w:b/>
          <w:sz w:val="22"/>
        </w:rPr>
      </w:pPr>
      <w:r>
        <w:rPr>
          <w:b/>
          <w:spacing w:val="-3"/>
          <w:sz w:val="22"/>
        </w:rPr>
        <w:t>交界性肿瘤，交界恶性肿瘤，肿瘤低度恶性潜能，潜在低度恶性肿瘤等。</w:t>
      </w:r>
    </w:p>
    <w:p>
      <w:pPr>
        <w:pStyle w:val="BodyText"/>
        <w:spacing w:line="333" w:lineRule="auto" w:before="87"/>
        <w:ind w:right="270" w:firstLine="439"/>
      </w:pPr>
      <w:r>
        <w:rPr>
          <w:rFonts w:ascii="微软雅黑" w:eastAsia="微软雅黑"/>
          <w:b/>
          <w:spacing w:val="-2"/>
        </w:rPr>
        <w:t>（三）原位癌：</w:t>
      </w:r>
      <w:r>
        <w:rPr>
          <w:spacing w:val="-2"/>
        </w:rPr>
        <w:t>恶性细胞局限于上皮内尚未穿破基底膜浸润周围正常组织的癌细胞新生物</w:t>
      </w:r>
      <w:r>
        <w:rPr>
          <w:spacing w:val="-2"/>
          <w:w w:val="90"/>
        </w:rPr>
        <w:t>,</w:t>
      </w:r>
      <w:r>
        <w:rPr>
          <w:spacing w:val="-2"/>
        </w:rPr>
        <w:t>且须满足以下两个条件：</w:t>
      </w:r>
    </w:p>
    <w:p>
      <w:pPr>
        <w:pStyle w:val="ListParagraph"/>
        <w:numPr>
          <w:ilvl w:val="0"/>
          <w:numId w:val="5"/>
        </w:numPr>
        <w:tabs>
          <w:tab w:pos="1113" w:val="left" w:leader="none"/>
        </w:tabs>
        <w:spacing w:line="290" w:lineRule="auto" w:before="34" w:after="0"/>
        <w:ind w:left="116" w:right="327" w:firstLine="439"/>
        <w:jc w:val="left"/>
        <w:rPr>
          <w:rFonts w:ascii="宋体" w:eastAsia="宋体"/>
          <w:sz w:val="22"/>
        </w:rPr>
      </w:pPr>
      <w:r>
        <w:rPr>
          <w:rFonts w:ascii="宋体" w:eastAsia="宋体"/>
          <w:w w:val="100"/>
          <w:sz w:val="22"/>
        </w:rPr>
        <w:t>必须经对固定活组织的</w:t>
      </w:r>
      <w:r>
        <w:rPr>
          <w:b/>
          <w:spacing w:val="2"/>
          <w:w w:val="100"/>
          <w:sz w:val="22"/>
        </w:rPr>
        <w:t>组织病理学检查</w:t>
      </w:r>
      <w:r>
        <w:rPr>
          <w:rFonts w:ascii="宋体" w:eastAsia="宋体"/>
          <w:spacing w:val="1"/>
          <w:w w:val="100"/>
          <w:sz w:val="22"/>
        </w:rPr>
        <w:t>明确诊断</w:t>
      </w:r>
      <w:r>
        <w:rPr>
          <w:rFonts w:ascii="宋体" w:eastAsia="宋体"/>
          <w:spacing w:val="2"/>
          <w:w w:val="58"/>
          <w:sz w:val="22"/>
        </w:rPr>
        <w:t>,</w:t>
      </w:r>
      <w:r>
        <w:rPr>
          <w:rFonts w:ascii="宋体" w:eastAsia="宋体"/>
          <w:w w:val="100"/>
          <w:sz w:val="22"/>
        </w:rPr>
        <w:t>属于世界卫生组织</w:t>
      </w:r>
      <w:r>
        <w:rPr>
          <w:b/>
          <w:spacing w:val="2"/>
          <w:w w:val="100"/>
          <w:sz w:val="22"/>
        </w:rPr>
        <w:t>《疾病和有关健</w:t>
      </w:r>
      <w:r>
        <w:rPr>
          <w:b/>
          <w:spacing w:val="-3"/>
          <w:w w:val="100"/>
          <w:sz w:val="22"/>
        </w:rPr>
        <w:t>康问题的国际统计分类》第十次修订版</w:t>
      </w:r>
      <w:r>
        <w:rPr>
          <w:b/>
          <w:w w:val="100"/>
          <w:sz w:val="22"/>
        </w:rPr>
        <w:t>（</w:t>
      </w:r>
      <w:r>
        <w:rPr>
          <w:b/>
          <w:w w:val="76"/>
          <w:sz w:val="22"/>
        </w:rPr>
        <w:t>I</w:t>
      </w:r>
      <w:r>
        <w:rPr>
          <w:b/>
          <w:spacing w:val="-3"/>
          <w:w w:val="118"/>
          <w:sz w:val="22"/>
        </w:rPr>
        <w:t>C</w:t>
      </w:r>
      <w:r>
        <w:rPr>
          <w:b/>
          <w:w w:val="100"/>
          <w:sz w:val="22"/>
        </w:rPr>
        <w:t>D</w:t>
      </w:r>
      <w:r>
        <w:rPr>
          <w:b/>
          <w:w w:val="142"/>
          <w:sz w:val="22"/>
        </w:rPr>
        <w:t>-</w:t>
      </w:r>
      <w:r>
        <w:rPr>
          <w:b/>
          <w:w w:val="89"/>
          <w:sz w:val="22"/>
        </w:rPr>
        <w:t>1</w:t>
      </w:r>
      <w:r>
        <w:rPr>
          <w:b/>
          <w:spacing w:val="-4"/>
          <w:w w:val="89"/>
          <w:sz w:val="22"/>
        </w:rPr>
        <w:t>0</w:t>
      </w:r>
      <w:r>
        <w:rPr>
          <w:b/>
          <w:w w:val="100"/>
          <w:sz w:val="22"/>
        </w:rPr>
        <w:t>）</w:t>
      </w:r>
      <w:r>
        <w:rPr>
          <w:rFonts w:ascii="宋体" w:eastAsia="宋体"/>
          <w:spacing w:val="-2"/>
          <w:w w:val="100"/>
          <w:sz w:val="22"/>
        </w:rPr>
        <w:t>的原位癌范畴</w:t>
      </w:r>
      <w:r>
        <w:rPr>
          <w:rFonts w:ascii="宋体" w:eastAsia="宋体"/>
          <w:w w:val="100"/>
          <w:sz w:val="22"/>
        </w:rPr>
        <w:t>（</w:t>
      </w:r>
      <w:r>
        <w:rPr>
          <w:rFonts w:ascii="宋体" w:eastAsia="宋体"/>
          <w:w w:val="158"/>
          <w:sz w:val="22"/>
        </w:rPr>
        <w:t>D</w:t>
      </w:r>
      <w:r>
        <w:rPr>
          <w:rFonts w:ascii="宋体" w:eastAsia="宋体"/>
          <w:spacing w:val="-1"/>
          <w:w w:val="122"/>
          <w:sz w:val="22"/>
        </w:rPr>
        <w:t>00</w:t>
      </w:r>
      <w:r>
        <w:rPr>
          <w:rFonts w:ascii="宋体" w:eastAsia="宋体"/>
          <w:spacing w:val="-3"/>
          <w:w w:val="124"/>
          <w:sz w:val="22"/>
        </w:rPr>
        <w:t>-</w:t>
      </w:r>
      <w:r>
        <w:rPr>
          <w:rFonts w:ascii="宋体" w:eastAsia="宋体"/>
          <w:w w:val="158"/>
          <w:sz w:val="22"/>
        </w:rPr>
        <w:t>D</w:t>
      </w:r>
      <w:r>
        <w:rPr>
          <w:rFonts w:ascii="宋体" w:eastAsia="宋体"/>
          <w:spacing w:val="-1"/>
          <w:w w:val="122"/>
          <w:sz w:val="22"/>
        </w:rPr>
        <w:t>0</w:t>
      </w:r>
      <w:r>
        <w:rPr>
          <w:rFonts w:ascii="宋体" w:eastAsia="宋体"/>
          <w:spacing w:val="1"/>
          <w:w w:val="123"/>
          <w:sz w:val="22"/>
        </w:rPr>
        <w:t>9</w:t>
      </w:r>
      <w:r>
        <w:rPr>
          <w:rFonts w:ascii="宋体" w:eastAsia="宋体"/>
          <w:spacing w:val="-2"/>
          <w:w w:val="100"/>
          <w:sz w:val="22"/>
        </w:rPr>
        <w:t>）</w:t>
      </w:r>
      <w:r>
        <w:rPr>
          <w:rFonts w:ascii="宋体" w:eastAsia="宋体"/>
          <w:w w:val="58"/>
          <w:sz w:val="22"/>
        </w:rPr>
        <w:t>;</w:t>
      </w:r>
    </w:p>
    <w:p>
      <w:pPr>
        <w:pStyle w:val="ListParagraph"/>
        <w:numPr>
          <w:ilvl w:val="0"/>
          <w:numId w:val="5"/>
        </w:numPr>
        <w:tabs>
          <w:tab w:pos="1131" w:val="left" w:leader="none"/>
        </w:tabs>
        <w:spacing w:line="240" w:lineRule="auto" w:before="75" w:after="0"/>
        <w:ind w:left="1130" w:right="0" w:hanging="576"/>
        <w:jc w:val="left"/>
        <w:rPr>
          <w:rFonts w:ascii="宋体" w:eastAsia="宋体"/>
          <w:sz w:val="22"/>
        </w:rPr>
      </w:pPr>
      <w:r>
        <w:rPr>
          <w:rFonts w:ascii="宋体" w:eastAsia="宋体"/>
          <w:spacing w:val="-3"/>
          <w:sz w:val="22"/>
        </w:rPr>
        <w:t>被保险人必须己经接受了针对原位癌病灶的手术治疗。</w:t>
      </w:r>
    </w:p>
    <w:p>
      <w:pPr>
        <w:spacing w:after="0" w:line="240" w:lineRule="auto"/>
        <w:jc w:val="left"/>
        <w:rPr>
          <w:rFonts w:ascii="宋体" w:eastAsia="宋体"/>
          <w:sz w:val="22"/>
        </w:rPr>
        <w:sectPr>
          <w:pgSz w:w="11910" w:h="16840"/>
          <w:pgMar w:top="1000" w:bottom="280" w:left="1300" w:right="1080"/>
        </w:sectPr>
      </w:pPr>
    </w:p>
    <w:p>
      <w:pPr>
        <w:spacing w:line="399" w:lineRule="exact" w:before="0"/>
        <w:ind w:left="555" w:right="0" w:firstLine="0"/>
        <w:jc w:val="left"/>
        <w:rPr>
          <w:rFonts w:ascii="Microsoft JhengHei" w:eastAsia="Microsoft JhengHei"/>
          <w:b/>
          <w:sz w:val="22"/>
        </w:rPr>
      </w:pPr>
      <w:r>
        <w:rPr>
          <w:rFonts w:ascii="Microsoft JhengHei" w:eastAsia="Microsoft JhengHei"/>
          <w:b/>
          <w:spacing w:val="5"/>
          <w:sz w:val="22"/>
        </w:rPr>
        <w:t>第八条 责任免除</w:t>
      </w:r>
    </w:p>
    <w:p>
      <w:pPr>
        <w:spacing w:line="290" w:lineRule="auto" w:before="90"/>
        <w:ind w:left="116" w:right="332" w:firstLine="439"/>
        <w:jc w:val="left"/>
        <w:rPr>
          <w:rFonts w:ascii="微软雅黑" w:hAnsi="微软雅黑" w:eastAsia="微软雅黑"/>
          <w:b/>
          <w:sz w:val="22"/>
        </w:rPr>
      </w:pPr>
      <w:r>
        <w:rPr>
          <w:rFonts w:ascii="微软雅黑" w:hAnsi="微软雅黑" w:eastAsia="微软雅黑"/>
          <w:b/>
          <w:spacing w:val="-2"/>
          <w:sz w:val="22"/>
        </w:rPr>
        <w:t>因下列情形之一，直接或间接导致被保险人发生本合同所定义的恶性肿瘤——重度、恶性</w:t>
      </w:r>
      <w:r>
        <w:rPr>
          <w:rFonts w:ascii="微软雅黑" w:hAnsi="微软雅黑" w:eastAsia="微软雅黑"/>
          <w:b/>
          <w:spacing w:val="-2"/>
          <w:sz w:val="22"/>
        </w:rPr>
        <w:t>肿瘤——轻度或原位癌的，本公司不承担给付保险金的责任：</w:t>
      </w:r>
    </w:p>
    <w:p>
      <w:pPr>
        <w:spacing w:line="292" w:lineRule="auto" w:before="5"/>
        <w:ind w:left="116" w:right="332" w:firstLine="439"/>
        <w:jc w:val="left"/>
        <w:rPr>
          <w:rFonts w:ascii="微软雅黑" w:eastAsia="微软雅黑"/>
          <w:b/>
          <w:sz w:val="22"/>
        </w:rPr>
      </w:pPr>
      <w:r>
        <w:rPr>
          <w:rFonts w:ascii="微软雅黑" w:eastAsia="微软雅黑"/>
          <w:b/>
          <w:sz w:val="22"/>
        </w:rPr>
        <w:t>一、被保险人服用、吸食或注射毒品（</w:t>
      </w:r>
      <w:r>
        <w:rPr>
          <w:rFonts w:ascii="微软雅黑" w:eastAsia="微软雅黑"/>
          <w:b/>
          <w:spacing w:val="10"/>
          <w:sz w:val="22"/>
        </w:rPr>
        <w:t>见释义 </w:t>
      </w:r>
      <w:r>
        <w:rPr>
          <w:rFonts w:ascii="微软雅黑" w:eastAsia="微软雅黑"/>
          <w:b/>
          <w:sz w:val="22"/>
        </w:rPr>
        <w:t>10），被保险人感染艾滋病病毒或患艾滋病（</w:t>
      </w:r>
      <w:r>
        <w:rPr>
          <w:rFonts w:ascii="微软雅黑" w:eastAsia="微软雅黑"/>
          <w:b/>
          <w:spacing w:val="-1"/>
          <w:sz w:val="22"/>
        </w:rPr>
        <w:t>见释义 </w:t>
      </w:r>
      <w:r>
        <w:rPr>
          <w:rFonts w:ascii="微软雅黑" w:eastAsia="微软雅黑"/>
          <w:b/>
          <w:sz w:val="22"/>
        </w:rPr>
        <w:t>11）；</w:t>
      </w:r>
    </w:p>
    <w:p>
      <w:pPr>
        <w:spacing w:line="292" w:lineRule="auto" w:before="0"/>
        <w:ind w:left="116" w:right="332" w:firstLine="439"/>
        <w:jc w:val="left"/>
        <w:rPr>
          <w:rFonts w:ascii="微软雅黑" w:eastAsia="微软雅黑"/>
          <w:b/>
          <w:sz w:val="22"/>
        </w:rPr>
      </w:pPr>
      <w:r>
        <w:rPr>
          <w:rFonts w:ascii="微软雅黑" w:eastAsia="微软雅黑"/>
          <w:b/>
          <w:spacing w:val="-2"/>
          <w:sz w:val="22"/>
        </w:rPr>
        <w:t>二、战争（</w:t>
      </w:r>
      <w:r>
        <w:rPr>
          <w:rFonts w:ascii="微软雅黑" w:eastAsia="微软雅黑"/>
          <w:b/>
          <w:spacing w:val="-4"/>
          <w:sz w:val="22"/>
        </w:rPr>
        <w:t>见释义 </w:t>
      </w:r>
      <w:r>
        <w:rPr>
          <w:rFonts w:ascii="微软雅黑" w:eastAsia="微软雅黑"/>
          <w:b/>
          <w:spacing w:val="-2"/>
          <w:sz w:val="22"/>
        </w:rPr>
        <w:t>12）、军事冲突（</w:t>
      </w:r>
      <w:r>
        <w:rPr>
          <w:rFonts w:ascii="微软雅黑" w:eastAsia="微软雅黑"/>
          <w:b/>
          <w:spacing w:val="-4"/>
          <w:sz w:val="22"/>
        </w:rPr>
        <w:t>见释义 </w:t>
      </w:r>
      <w:r>
        <w:rPr>
          <w:rFonts w:ascii="微软雅黑" w:eastAsia="微软雅黑"/>
          <w:b/>
          <w:spacing w:val="-2"/>
          <w:sz w:val="22"/>
        </w:rPr>
        <w:t>13）、暴乱（</w:t>
      </w:r>
      <w:r>
        <w:rPr>
          <w:rFonts w:ascii="微软雅黑" w:eastAsia="微软雅黑"/>
          <w:b/>
          <w:spacing w:val="-4"/>
          <w:sz w:val="22"/>
        </w:rPr>
        <w:t>见释义 </w:t>
      </w:r>
      <w:r>
        <w:rPr>
          <w:rFonts w:ascii="微软雅黑" w:eastAsia="微软雅黑"/>
          <w:b/>
          <w:spacing w:val="-2"/>
          <w:sz w:val="22"/>
        </w:rPr>
        <w:t>14）或武装叛乱，核爆</w:t>
      </w:r>
      <w:r>
        <w:rPr>
          <w:rFonts w:ascii="微软雅黑" w:eastAsia="微软雅黑"/>
          <w:b/>
          <w:spacing w:val="-2"/>
          <w:sz w:val="22"/>
        </w:rPr>
        <w:t>炸、核辐射或核污染；</w:t>
      </w:r>
    </w:p>
    <w:p>
      <w:pPr>
        <w:spacing w:line="405" w:lineRule="exact" w:before="0"/>
        <w:ind w:left="555" w:right="0" w:firstLine="0"/>
        <w:jc w:val="left"/>
        <w:rPr>
          <w:rFonts w:ascii="微软雅黑" w:eastAsia="微软雅黑"/>
          <w:b/>
          <w:sz w:val="22"/>
        </w:rPr>
      </w:pPr>
      <w:r>
        <w:rPr>
          <w:rFonts w:ascii="微软雅黑" w:eastAsia="微软雅黑"/>
          <w:b/>
          <w:w w:val="95"/>
          <w:sz w:val="22"/>
        </w:rPr>
        <w:t>三、</w:t>
      </w:r>
      <w:r>
        <w:rPr>
          <w:rFonts w:ascii="微软雅黑" w:eastAsia="微软雅黑"/>
          <w:b/>
          <w:w w:val="95"/>
          <w:sz w:val="22"/>
        </w:rPr>
        <w:t>遗</w:t>
      </w:r>
      <w:r>
        <w:rPr>
          <w:rFonts w:ascii="微软雅黑" w:eastAsia="微软雅黑"/>
          <w:b/>
          <w:w w:val="95"/>
          <w:sz w:val="22"/>
        </w:rPr>
        <w:t>传</w:t>
      </w:r>
      <w:r>
        <w:rPr>
          <w:rFonts w:ascii="微软雅黑" w:eastAsia="微软雅黑"/>
          <w:b/>
          <w:w w:val="95"/>
          <w:sz w:val="22"/>
        </w:rPr>
        <w:t>性</w:t>
      </w:r>
      <w:r>
        <w:rPr>
          <w:rFonts w:ascii="微软雅黑" w:eastAsia="微软雅黑"/>
          <w:b/>
          <w:w w:val="95"/>
          <w:sz w:val="22"/>
        </w:rPr>
        <w:t>疾</w:t>
      </w:r>
      <w:r>
        <w:rPr>
          <w:rFonts w:ascii="微软雅黑" w:eastAsia="微软雅黑"/>
          <w:b/>
          <w:w w:val="95"/>
          <w:sz w:val="22"/>
        </w:rPr>
        <w:t>病</w:t>
      </w:r>
      <w:r>
        <w:rPr>
          <w:rFonts w:ascii="微软雅黑" w:eastAsia="微软雅黑"/>
          <w:b/>
          <w:w w:val="95"/>
          <w:sz w:val="22"/>
        </w:rPr>
        <w:t>（</w:t>
      </w:r>
      <w:r>
        <w:rPr>
          <w:rFonts w:ascii="微软雅黑" w:eastAsia="微软雅黑"/>
          <w:b/>
          <w:w w:val="95"/>
          <w:sz w:val="22"/>
        </w:rPr>
        <w:t>见</w:t>
      </w:r>
      <w:r>
        <w:rPr>
          <w:rFonts w:ascii="微软雅黑" w:eastAsia="微软雅黑"/>
          <w:b/>
          <w:w w:val="95"/>
          <w:sz w:val="22"/>
        </w:rPr>
        <w:t>释义</w:t>
      </w:r>
      <w:r>
        <w:rPr>
          <w:rFonts w:ascii="微软雅黑" w:eastAsia="微软雅黑"/>
          <w:b/>
          <w:spacing w:val="35"/>
          <w:sz w:val="22"/>
        </w:rPr>
        <w:t>  </w:t>
      </w:r>
      <w:r>
        <w:rPr>
          <w:rFonts w:ascii="微软雅黑" w:eastAsia="微软雅黑"/>
          <w:b/>
          <w:w w:val="95"/>
          <w:sz w:val="22"/>
        </w:rPr>
        <w:t>15），先</w:t>
      </w:r>
      <w:r>
        <w:rPr>
          <w:rFonts w:ascii="微软雅黑" w:eastAsia="微软雅黑"/>
          <w:b/>
          <w:w w:val="95"/>
          <w:sz w:val="22"/>
        </w:rPr>
        <w:t>天</w:t>
      </w:r>
      <w:r>
        <w:rPr>
          <w:rFonts w:ascii="微软雅黑" w:eastAsia="微软雅黑"/>
          <w:b/>
          <w:w w:val="95"/>
          <w:sz w:val="22"/>
        </w:rPr>
        <w:t>性</w:t>
      </w:r>
      <w:r>
        <w:rPr>
          <w:rFonts w:ascii="微软雅黑" w:eastAsia="微软雅黑"/>
          <w:b/>
          <w:w w:val="95"/>
          <w:sz w:val="22"/>
        </w:rPr>
        <w:t>畸</w:t>
      </w:r>
      <w:r>
        <w:rPr>
          <w:rFonts w:ascii="微软雅黑" w:eastAsia="微软雅黑"/>
          <w:b/>
          <w:w w:val="95"/>
          <w:sz w:val="22"/>
        </w:rPr>
        <w:t>形</w:t>
      </w:r>
      <w:r>
        <w:rPr>
          <w:rFonts w:ascii="微软雅黑" w:eastAsia="微软雅黑"/>
          <w:b/>
          <w:w w:val="95"/>
          <w:sz w:val="22"/>
        </w:rPr>
        <w:t>、</w:t>
      </w:r>
      <w:r>
        <w:rPr>
          <w:rFonts w:ascii="微软雅黑" w:eastAsia="微软雅黑"/>
          <w:b/>
          <w:w w:val="95"/>
          <w:sz w:val="22"/>
        </w:rPr>
        <w:t>变</w:t>
      </w:r>
      <w:r>
        <w:rPr>
          <w:rFonts w:ascii="微软雅黑" w:eastAsia="微软雅黑"/>
          <w:b/>
          <w:w w:val="95"/>
          <w:sz w:val="22"/>
        </w:rPr>
        <w:t>形</w:t>
      </w:r>
      <w:r>
        <w:rPr>
          <w:rFonts w:ascii="微软雅黑" w:eastAsia="微软雅黑"/>
          <w:b/>
          <w:w w:val="95"/>
          <w:sz w:val="22"/>
        </w:rPr>
        <w:t>或</w:t>
      </w:r>
      <w:r>
        <w:rPr>
          <w:rFonts w:ascii="微软雅黑" w:eastAsia="微软雅黑"/>
          <w:b/>
          <w:w w:val="95"/>
          <w:sz w:val="22"/>
        </w:rPr>
        <w:t>染</w:t>
      </w:r>
      <w:r>
        <w:rPr>
          <w:rFonts w:ascii="微软雅黑" w:eastAsia="微软雅黑"/>
          <w:b/>
          <w:w w:val="95"/>
          <w:sz w:val="22"/>
        </w:rPr>
        <w:t>色</w:t>
      </w:r>
      <w:r>
        <w:rPr>
          <w:rFonts w:ascii="微软雅黑" w:eastAsia="微软雅黑"/>
          <w:b/>
          <w:w w:val="95"/>
          <w:sz w:val="22"/>
        </w:rPr>
        <w:t>体</w:t>
      </w:r>
      <w:r>
        <w:rPr>
          <w:rFonts w:ascii="微软雅黑" w:eastAsia="微软雅黑"/>
          <w:b/>
          <w:w w:val="95"/>
          <w:sz w:val="22"/>
        </w:rPr>
        <w:t>异</w:t>
      </w:r>
      <w:r>
        <w:rPr>
          <w:rFonts w:ascii="微软雅黑" w:eastAsia="微软雅黑"/>
          <w:b/>
          <w:w w:val="95"/>
          <w:sz w:val="22"/>
        </w:rPr>
        <w:t>常</w:t>
      </w:r>
      <w:r>
        <w:rPr>
          <w:rFonts w:ascii="微软雅黑" w:eastAsia="微软雅黑"/>
          <w:b/>
          <w:w w:val="95"/>
          <w:sz w:val="22"/>
        </w:rPr>
        <w:t>（</w:t>
      </w:r>
      <w:r>
        <w:rPr>
          <w:rFonts w:ascii="微软雅黑" w:eastAsia="微软雅黑"/>
          <w:b/>
          <w:w w:val="95"/>
          <w:sz w:val="22"/>
        </w:rPr>
        <w:t>见</w:t>
      </w:r>
      <w:r>
        <w:rPr>
          <w:rFonts w:ascii="微软雅黑" w:eastAsia="微软雅黑"/>
          <w:b/>
          <w:w w:val="95"/>
          <w:sz w:val="22"/>
        </w:rPr>
        <w:t>释</w:t>
      </w:r>
      <w:r>
        <w:rPr>
          <w:rFonts w:ascii="微软雅黑" w:eastAsia="微软雅黑"/>
          <w:b/>
          <w:w w:val="95"/>
          <w:sz w:val="22"/>
        </w:rPr>
        <w:t>义</w:t>
      </w:r>
      <w:r>
        <w:rPr>
          <w:rFonts w:ascii="微软雅黑" w:eastAsia="微软雅黑"/>
          <w:b/>
          <w:spacing w:val="33"/>
          <w:sz w:val="22"/>
        </w:rPr>
        <w:t>  </w:t>
      </w:r>
      <w:r>
        <w:rPr>
          <w:rFonts w:ascii="微软雅黑" w:eastAsia="微软雅黑"/>
          <w:b/>
          <w:w w:val="95"/>
          <w:sz w:val="22"/>
        </w:rPr>
        <w:t>16）</w:t>
      </w:r>
      <w:r>
        <w:rPr>
          <w:rFonts w:ascii="微软雅黑" w:eastAsia="微软雅黑"/>
          <w:b/>
          <w:spacing w:val="-10"/>
          <w:w w:val="95"/>
          <w:sz w:val="22"/>
        </w:rPr>
        <w:t>。</w:t>
      </w:r>
    </w:p>
    <w:p>
      <w:pPr>
        <w:pStyle w:val="BodyText"/>
        <w:spacing w:before="15"/>
        <w:ind w:left="0"/>
        <w:rPr>
          <w:rFonts w:ascii="微软雅黑"/>
          <w:b/>
          <w:sz w:val="29"/>
        </w:rPr>
      </w:pPr>
    </w:p>
    <w:p>
      <w:pPr>
        <w:spacing w:before="5"/>
        <w:ind w:left="551" w:right="769" w:firstLine="0"/>
        <w:jc w:val="center"/>
        <w:rPr>
          <w:rFonts w:ascii="Microsoft JhengHei" w:eastAsia="Microsoft JhengHei"/>
          <w:b/>
          <w:sz w:val="22"/>
        </w:rPr>
      </w:pPr>
      <w:r>
        <w:rPr>
          <w:rFonts w:ascii="Microsoft JhengHei" w:eastAsia="Microsoft JhengHei"/>
          <w:b/>
          <w:spacing w:val="3"/>
          <w:sz w:val="22"/>
        </w:rPr>
        <w:t>第三部分 保险费的交纳</w:t>
      </w:r>
    </w:p>
    <w:p>
      <w:pPr>
        <w:spacing w:before="92"/>
        <w:ind w:left="334" w:right="6860" w:firstLine="0"/>
        <w:jc w:val="center"/>
        <w:rPr>
          <w:rFonts w:ascii="Microsoft JhengHei" w:eastAsia="Microsoft JhengHei"/>
          <w:b/>
          <w:sz w:val="22"/>
        </w:rPr>
      </w:pPr>
      <w:r>
        <w:rPr>
          <w:rFonts w:ascii="Microsoft JhengHei" w:eastAsia="Microsoft JhengHei"/>
          <w:b/>
          <w:spacing w:val="5"/>
          <w:sz w:val="22"/>
        </w:rPr>
        <w:t>第九条 保险费交纳</w:t>
      </w:r>
    </w:p>
    <w:p>
      <w:pPr>
        <w:pStyle w:val="BodyText"/>
        <w:spacing w:before="158"/>
        <w:ind w:left="555"/>
      </w:pPr>
      <w:r>
        <w:rPr>
          <w:spacing w:val="-3"/>
        </w:rPr>
        <w:t>本合同的交费方式和交费期间在保险单上载明。</w:t>
      </w:r>
    </w:p>
    <w:p>
      <w:pPr>
        <w:pStyle w:val="BodyText"/>
        <w:spacing w:line="420" w:lineRule="auto" w:before="212"/>
        <w:ind w:right="333" w:firstLine="439"/>
      </w:pPr>
      <w:r>
        <w:rPr>
          <w:spacing w:val="-2"/>
        </w:rPr>
        <w:t>分期交纳保险费的，投保人在交纳首期保险费后，应按照保险费约定交纳日交纳其余各期</w:t>
      </w:r>
      <w:r>
        <w:rPr>
          <w:spacing w:val="-2"/>
        </w:rPr>
        <w:t>的保险费，直至保险单上载明的交费期间届满为止。</w:t>
      </w:r>
    </w:p>
    <w:p>
      <w:pPr>
        <w:spacing w:line="337" w:lineRule="exact" w:before="0"/>
        <w:ind w:left="555" w:right="0" w:firstLine="0"/>
        <w:jc w:val="left"/>
        <w:rPr>
          <w:rFonts w:ascii="Microsoft JhengHei" w:eastAsia="Microsoft JhengHei"/>
          <w:b/>
          <w:sz w:val="22"/>
        </w:rPr>
      </w:pPr>
      <w:r>
        <w:rPr>
          <w:rFonts w:ascii="Microsoft JhengHei" w:eastAsia="Microsoft JhengHei"/>
          <w:b/>
          <w:spacing w:val="7"/>
          <w:sz w:val="22"/>
        </w:rPr>
        <w:t>第十条 宽限期</w:t>
      </w:r>
    </w:p>
    <w:p>
      <w:pPr>
        <w:pStyle w:val="BodyText"/>
        <w:spacing w:line="420" w:lineRule="auto" w:before="160"/>
        <w:ind w:right="330" w:firstLine="439"/>
        <w:jc w:val="both"/>
      </w:pPr>
      <w:r>
        <w:rPr>
          <w:spacing w:val="-2"/>
        </w:rPr>
        <w:t>分期交纳保险费的，投保人交纳首期保险费后，除本合同另有约定外，如果投保人到期未</w:t>
      </w:r>
      <w:r>
        <w:rPr/>
        <w:t>交纳保险费的，自保险费约定交纳日的次日零时起 60 日为宽限期。在宽限期内发生保险事故</w:t>
      </w:r>
      <w:r>
        <w:rPr>
          <w:spacing w:val="-2"/>
        </w:rPr>
        <w:t>的，本公司仍承担保险责任，但给付保险金时本公司将扣除应交而未交的保险费。超过宽限期</w:t>
      </w:r>
      <w:r>
        <w:rPr>
          <w:spacing w:val="-1"/>
        </w:rPr>
        <w:t>仍未交纳保险费的，则本合同自宽限期届满日的 </w:t>
      </w:r>
      <w:r>
        <w:rPr/>
        <w:t>24</w:t>
      </w:r>
      <w:r>
        <w:rPr>
          <w:spacing w:val="-5"/>
        </w:rPr>
        <w:t> 时效力中止。</w:t>
      </w:r>
    </w:p>
    <w:p>
      <w:pPr>
        <w:pStyle w:val="BodyText"/>
        <w:spacing w:before="11"/>
        <w:ind w:left="0"/>
        <w:rPr>
          <w:sz w:val="18"/>
        </w:rPr>
      </w:pPr>
    </w:p>
    <w:p>
      <w:pPr>
        <w:spacing w:before="5"/>
        <w:ind w:left="551" w:right="767" w:firstLine="0"/>
        <w:jc w:val="center"/>
        <w:rPr>
          <w:rFonts w:ascii="Microsoft JhengHei" w:eastAsia="Microsoft JhengHei"/>
          <w:b/>
          <w:sz w:val="22"/>
        </w:rPr>
      </w:pPr>
      <w:r>
        <w:rPr>
          <w:rFonts w:ascii="Microsoft JhengHei" w:eastAsia="Microsoft JhengHei"/>
          <w:b/>
          <w:sz w:val="22"/>
        </w:rPr>
        <w:t>第四部分 合同效力中止与恢复</w:t>
      </w:r>
    </w:p>
    <w:p>
      <w:pPr>
        <w:spacing w:before="90"/>
        <w:ind w:left="551" w:right="6636" w:firstLine="0"/>
        <w:jc w:val="center"/>
        <w:rPr>
          <w:rFonts w:ascii="Microsoft JhengHei" w:eastAsia="Microsoft JhengHei"/>
          <w:b/>
          <w:sz w:val="22"/>
        </w:rPr>
      </w:pPr>
      <w:r>
        <w:rPr>
          <w:rFonts w:ascii="Microsoft JhengHei" w:eastAsia="Microsoft JhengHei"/>
          <w:b/>
          <w:spacing w:val="3"/>
          <w:sz w:val="22"/>
        </w:rPr>
        <w:t>第十一条 合同效力中止</w:t>
      </w:r>
    </w:p>
    <w:p>
      <w:pPr>
        <w:spacing w:before="90"/>
        <w:ind w:left="555" w:right="0" w:firstLine="0"/>
        <w:jc w:val="left"/>
        <w:rPr>
          <w:rFonts w:ascii="微软雅黑" w:eastAsia="微软雅黑"/>
          <w:b/>
          <w:sz w:val="22"/>
        </w:rPr>
      </w:pPr>
      <w:r>
        <w:rPr>
          <w:rFonts w:ascii="微软雅黑" w:eastAsia="微软雅黑"/>
          <w:b/>
          <w:spacing w:val="-3"/>
          <w:sz w:val="22"/>
        </w:rPr>
        <w:t>合同效力中止期间，本公司不承担任何保险责任。</w:t>
      </w:r>
    </w:p>
    <w:p>
      <w:pPr>
        <w:spacing w:before="89"/>
        <w:ind w:left="555" w:right="0" w:firstLine="0"/>
        <w:jc w:val="left"/>
        <w:rPr>
          <w:rFonts w:ascii="Microsoft JhengHei" w:eastAsia="Microsoft JhengHei"/>
          <w:b/>
          <w:sz w:val="22"/>
        </w:rPr>
      </w:pPr>
      <w:r>
        <w:rPr>
          <w:rFonts w:ascii="Microsoft JhengHei" w:eastAsia="Microsoft JhengHei"/>
          <w:b/>
          <w:spacing w:val="3"/>
          <w:sz w:val="22"/>
        </w:rPr>
        <w:t>第十二条 合同效力恢复</w:t>
      </w:r>
    </w:p>
    <w:p>
      <w:pPr>
        <w:pStyle w:val="BodyText"/>
        <w:spacing w:line="420" w:lineRule="auto" w:before="161"/>
        <w:ind w:right="333" w:firstLine="439"/>
        <w:jc w:val="both"/>
      </w:pPr>
      <w:r>
        <w:rPr>
          <w:spacing w:val="-3"/>
        </w:rPr>
        <w:t>本合同效力中止之日起 </w:t>
      </w:r>
      <w:r>
        <w:rPr>
          <w:spacing w:val="-2"/>
        </w:rPr>
        <w:t>2</w:t>
      </w:r>
      <w:r>
        <w:rPr>
          <w:spacing w:val="-4"/>
        </w:rPr>
        <w:t> 年内，如果投保人申请恢复合同效力，应向本公司提出复效申请</w:t>
      </w:r>
      <w:r>
        <w:rPr>
          <w:spacing w:val="-2"/>
        </w:rPr>
        <w:t>及被保险人的健康证明，经本公司与投保人协商并达成协议，在投保人补交欠交的保险费及利</w:t>
      </w:r>
      <w:r>
        <w:rPr>
          <w:spacing w:val="-2"/>
        </w:rPr>
        <w:t>息之日起，本合同效力恢复。</w:t>
      </w:r>
    </w:p>
    <w:p>
      <w:pPr>
        <w:pStyle w:val="BodyText"/>
        <w:spacing w:line="360" w:lineRule="auto" w:before="1"/>
        <w:ind w:right="335" w:firstLine="439"/>
        <w:jc w:val="both"/>
      </w:pPr>
      <w:r>
        <w:rPr>
          <w:spacing w:val="-3"/>
        </w:rPr>
        <w:t>自本合同效力中止之日起满 </w:t>
      </w:r>
      <w:r>
        <w:rPr>
          <w:spacing w:val="-2"/>
        </w:rPr>
        <w:t>2</w:t>
      </w:r>
      <w:r>
        <w:rPr>
          <w:spacing w:val="-4"/>
        </w:rPr>
        <w:t> 年，投保人与本公司未达成复效协议的，本公司有权解除本</w:t>
      </w:r>
      <w:r>
        <w:rPr/>
        <w:t>合同，并向投保人退还本合同的</w:t>
      </w:r>
      <w:r>
        <w:rPr>
          <w:rFonts w:ascii="微软雅黑" w:eastAsia="微软雅黑"/>
          <w:b/>
        </w:rPr>
        <w:t>现金价值</w:t>
      </w:r>
      <w:r>
        <w:rPr/>
        <w:t>（</w:t>
      </w:r>
      <w:r>
        <w:rPr>
          <w:spacing w:val="-11"/>
        </w:rPr>
        <w:t>见释义 </w:t>
      </w:r>
      <w:r>
        <w:rPr/>
        <w:t>17）。</w:t>
      </w:r>
    </w:p>
    <w:p>
      <w:pPr>
        <w:spacing w:after="0" w:line="360" w:lineRule="auto"/>
        <w:jc w:val="both"/>
        <w:sectPr>
          <w:pgSz w:w="11910" w:h="16840"/>
          <w:pgMar w:top="1000" w:bottom="280" w:left="1300" w:right="1080"/>
        </w:sectPr>
      </w:pPr>
    </w:p>
    <w:p>
      <w:pPr>
        <w:spacing w:line="399" w:lineRule="exact" w:before="0"/>
        <w:ind w:left="551" w:right="769" w:firstLine="0"/>
        <w:jc w:val="center"/>
        <w:rPr>
          <w:rFonts w:ascii="Microsoft JhengHei" w:eastAsia="Microsoft JhengHei"/>
          <w:b/>
          <w:sz w:val="22"/>
        </w:rPr>
      </w:pPr>
      <w:r>
        <w:rPr>
          <w:rFonts w:ascii="Microsoft JhengHei" w:eastAsia="Microsoft JhengHei"/>
          <w:b/>
          <w:spacing w:val="4"/>
          <w:sz w:val="22"/>
        </w:rPr>
        <w:t>第五部分 申请保险金</w:t>
      </w:r>
    </w:p>
    <w:p>
      <w:pPr>
        <w:spacing w:before="92"/>
        <w:ind w:left="115" w:right="6860" w:firstLine="0"/>
        <w:jc w:val="center"/>
        <w:rPr>
          <w:rFonts w:ascii="Microsoft JhengHei" w:eastAsia="Microsoft JhengHei"/>
          <w:b/>
          <w:sz w:val="22"/>
        </w:rPr>
      </w:pPr>
      <w:r>
        <w:rPr>
          <w:rFonts w:ascii="Microsoft JhengHei" w:eastAsia="Microsoft JhengHei"/>
          <w:b/>
          <w:spacing w:val="5"/>
          <w:sz w:val="22"/>
        </w:rPr>
        <w:t>第十三条 受益人</w:t>
      </w:r>
    </w:p>
    <w:p>
      <w:pPr>
        <w:pStyle w:val="BodyText"/>
        <w:spacing w:line="420" w:lineRule="auto" w:before="158"/>
        <w:ind w:right="333" w:firstLine="439"/>
      </w:pPr>
      <w:r>
        <w:rPr>
          <w:spacing w:val="-2"/>
        </w:rPr>
        <w:t>除另有约定外，本合同中约定的重度恶性肿瘤保险金、轻度恶性肿瘤保险金、原位癌保险</w:t>
      </w:r>
      <w:r>
        <w:rPr>
          <w:spacing w:val="-2"/>
        </w:rPr>
        <w:t>金的受益人为被保险人本人。</w:t>
      </w:r>
    </w:p>
    <w:p>
      <w:pPr>
        <w:spacing w:line="339" w:lineRule="exact" w:before="0"/>
        <w:ind w:left="555" w:right="0" w:firstLine="0"/>
        <w:jc w:val="left"/>
        <w:rPr>
          <w:rFonts w:ascii="Microsoft JhengHei" w:eastAsia="Microsoft JhengHei"/>
          <w:b/>
          <w:sz w:val="22"/>
        </w:rPr>
      </w:pPr>
      <w:r>
        <w:rPr>
          <w:rFonts w:ascii="Microsoft JhengHei" w:eastAsia="Microsoft JhengHei"/>
          <w:b/>
          <w:spacing w:val="1"/>
          <w:sz w:val="22"/>
        </w:rPr>
        <w:t>第十四条 保险事故的通知</w:t>
      </w:r>
    </w:p>
    <w:p>
      <w:pPr>
        <w:pStyle w:val="BodyText"/>
        <w:spacing w:before="158"/>
        <w:ind w:left="555"/>
      </w:pPr>
      <w:r>
        <w:rPr>
          <w:spacing w:val="-3"/>
        </w:rPr>
        <w:t>投保人、被保险人或受益人应当在知道保险事故发生后及时通知本公司。</w:t>
      </w:r>
    </w:p>
    <w:p>
      <w:pPr>
        <w:spacing w:line="312" w:lineRule="auto" w:before="142"/>
        <w:ind w:left="116" w:right="334" w:firstLine="439"/>
        <w:jc w:val="both"/>
        <w:rPr>
          <w:sz w:val="22"/>
        </w:rPr>
      </w:pPr>
      <w:r>
        <w:rPr>
          <w:rFonts w:ascii="微软雅黑" w:eastAsia="微软雅黑"/>
          <w:b/>
          <w:spacing w:val="-2"/>
          <w:sz w:val="22"/>
        </w:rPr>
        <w:t>如果投保人、被保险人或受益人故意或者因重大过失未及时通知，致使保险事故的性质、原因、损失程度等难以确定的，本公司对无法确定的部分，不承担给付保险金的责任，</w:t>
      </w:r>
      <w:r>
        <w:rPr>
          <w:spacing w:val="-2"/>
          <w:sz w:val="22"/>
        </w:rPr>
        <w:t>但本公</w:t>
      </w:r>
      <w:r>
        <w:rPr>
          <w:spacing w:val="-1"/>
          <w:sz w:val="22"/>
        </w:rPr>
        <w:t>司通过其他途径已经及时知道或者应当及时知道保险事故发生或者虽未及时通知但不影响本公</w:t>
      </w:r>
    </w:p>
    <w:p>
      <w:pPr>
        <w:pStyle w:val="BodyText"/>
        <w:spacing w:before="131"/>
      </w:pPr>
      <w:r>
        <w:rPr>
          <w:spacing w:val="-3"/>
        </w:rPr>
        <w:t>司确定保险事故的性质、原因、损失程度的除外。</w:t>
      </w:r>
    </w:p>
    <w:p>
      <w:pPr>
        <w:spacing w:before="145"/>
        <w:ind w:left="555" w:right="0" w:firstLine="0"/>
        <w:jc w:val="left"/>
        <w:rPr>
          <w:rFonts w:ascii="Microsoft JhengHei" w:eastAsia="Microsoft JhengHei"/>
          <w:b/>
          <w:sz w:val="22"/>
        </w:rPr>
      </w:pPr>
      <w:r>
        <w:rPr>
          <w:rFonts w:ascii="Microsoft JhengHei" w:eastAsia="Microsoft JhengHei"/>
          <w:b/>
          <w:spacing w:val="4"/>
          <w:sz w:val="22"/>
        </w:rPr>
        <w:t>第十五条 保险金申请</w:t>
      </w:r>
    </w:p>
    <w:p>
      <w:pPr>
        <w:pStyle w:val="BodyText"/>
        <w:spacing w:line="420" w:lineRule="auto" w:before="157"/>
        <w:ind w:left="555" w:right="3437"/>
      </w:pPr>
      <w:r>
        <w:rPr>
          <w:spacing w:val="-2"/>
        </w:rPr>
        <w:t>申请人填写保险金理赔申请书，并提供下列证明和资料： 1、保险合同；</w:t>
      </w:r>
    </w:p>
    <w:p>
      <w:pPr>
        <w:spacing w:line="337" w:lineRule="exact" w:before="0"/>
        <w:ind w:left="555" w:right="0" w:firstLine="0"/>
        <w:jc w:val="left"/>
        <w:rPr>
          <w:sz w:val="22"/>
        </w:rPr>
      </w:pPr>
      <w:r>
        <w:rPr>
          <w:sz w:val="22"/>
        </w:rPr>
        <w:t>2</w:t>
      </w:r>
      <w:r>
        <w:rPr>
          <w:sz w:val="22"/>
        </w:rPr>
        <w:t>、被保险人的</w:t>
      </w:r>
      <w:r>
        <w:rPr>
          <w:rFonts w:ascii="微软雅黑" w:eastAsia="微软雅黑"/>
          <w:b/>
          <w:sz w:val="22"/>
        </w:rPr>
        <w:t>有效身份证件</w:t>
      </w:r>
      <w:r>
        <w:rPr>
          <w:spacing w:val="-10"/>
          <w:sz w:val="22"/>
        </w:rPr>
        <w:t>；</w:t>
      </w:r>
    </w:p>
    <w:p>
      <w:pPr>
        <w:pStyle w:val="BodyText"/>
        <w:spacing w:line="333" w:lineRule="auto" w:before="87"/>
        <w:ind w:right="336" w:firstLine="439"/>
      </w:pPr>
      <w:r>
        <w:rPr>
          <w:spacing w:val="2"/>
          <w:w w:val="121"/>
        </w:rPr>
        <w:t>3</w:t>
      </w:r>
      <w:r>
        <w:rPr>
          <w:spacing w:val="2"/>
          <w:w w:val="100"/>
        </w:rPr>
        <w:t>、由二级或二级以上公立</w:t>
      </w:r>
      <w:r>
        <w:rPr>
          <w:rFonts w:ascii="微软雅黑" w:eastAsia="微软雅黑"/>
          <w:b/>
          <w:spacing w:val="2"/>
          <w:w w:val="100"/>
        </w:rPr>
        <w:t>医院专科医生</w:t>
      </w:r>
      <w:r>
        <w:rPr>
          <w:w w:val="100"/>
        </w:rPr>
        <w:t>出具的被保险人的疾病诊断证明书、病历，及由</w:t>
      </w:r>
      <w:r>
        <w:rPr>
          <w:spacing w:val="-3"/>
          <w:w w:val="100"/>
        </w:rPr>
        <w:t>医院出具的与该疾病诊断证明相关的病理显微镜检查、血液检验及其他科学方法检验报告等；</w:t>
      </w:r>
    </w:p>
    <w:p>
      <w:pPr>
        <w:pStyle w:val="BodyText"/>
        <w:spacing w:before="104"/>
        <w:ind w:left="555"/>
      </w:pPr>
      <w:r>
        <w:rPr>
          <w:spacing w:val="-2"/>
        </w:rPr>
        <w:t>4</w:t>
      </w:r>
      <w:r>
        <w:rPr>
          <w:spacing w:val="-3"/>
        </w:rPr>
        <w:t>、与确认保险事故的性质、原因等有关的其他证明和资料。</w:t>
      </w:r>
    </w:p>
    <w:p>
      <w:pPr>
        <w:pStyle w:val="BodyText"/>
        <w:spacing w:line="360" w:lineRule="auto" w:before="210"/>
        <w:ind w:right="333" w:firstLine="439"/>
      </w:pPr>
      <w:r>
        <w:rPr>
          <w:spacing w:val="-2"/>
        </w:rPr>
        <w:t>如果委托他人代为申请理赔保险金，除上述证明和资料外，还须提供授权委托书、受托人</w:t>
      </w:r>
      <w:r>
        <w:rPr>
          <w:rFonts w:ascii="微软雅黑" w:eastAsia="微软雅黑"/>
          <w:b/>
          <w:spacing w:val="-2"/>
        </w:rPr>
        <w:t>有效身份证件</w:t>
      </w:r>
      <w:r>
        <w:rPr>
          <w:spacing w:val="-2"/>
        </w:rPr>
        <w:t>等相关证明文件。</w:t>
      </w:r>
    </w:p>
    <w:p>
      <w:pPr>
        <w:pStyle w:val="BodyText"/>
        <w:spacing w:line="240" w:lineRule="exact"/>
        <w:ind w:left="555"/>
      </w:pPr>
      <w:r>
        <w:rPr>
          <w:spacing w:val="-1"/>
        </w:rPr>
        <w:t>受益人为无民事行为能力人或限制民事行为能力人时，由其监护人代表其申请领取保险金，</w:t>
      </w:r>
    </w:p>
    <w:p>
      <w:pPr>
        <w:pStyle w:val="BodyText"/>
        <w:spacing w:line="420" w:lineRule="auto" w:before="210"/>
        <w:ind w:right="337"/>
      </w:pPr>
      <w:r>
        <w:rPr>
          <w:spacing w:val="-2"/>
        </w:rPr>
        <w:t>监护人必须提供受益人为无民事行为能力人或限制民事行为能力人的证明和监护人享有合法监</w:t>
      </w:r>
      <w:r>
        <w:rPr>
          <w:spacing w:val="-2"/>
        </w:rPr>
        <w:t>护权的证明。</w:t>
      </w:r>
    </w:p>
    <w:p>
      <w:pPr>
        <w:pStyle w:val="BodyText"/>
        <w:spacing w:before="2"/>
        <w:ind w:left="555"/>
      </w:pPr>
      <w:r>
        <w:rPr>
          <w:w w:val="95"/>
        </w:rPr>
        <w:t>本</w:t>
      </w:r>
      <w:r>
        <w:rPr>
          <w:w w:val="95"/>
        </w:rPr>
        <w:t>公</w:t>
      </w:r>
      <w:r>
        <w:rPr>
          <w:w w:val="95"/>
        </w:rPr>
        <w:t>司</w:t>
      </w:r>
      <w:r>
        <w:rPr>
          <w:w w:val="95"/>
        </w:rPr>
        <w:t>在</w:t>
      </w:r>
      <w:r>
        <w:rPr>
          <w:w w:val="95"/>
        </w:rPr>
        <w:t>收</w:t>
      </w:r>
      <w:r>
        <w:rPr>
          <w:w w:val="95"/>
        </w:rPr>
        <w:t>到</w:t>
      </w:r>
      <w:r>
        <w:rPr>
          <w:w w:val="95"/>
        </w:rPr>
        <w:t>申</w:t>
      </w:r>
      <w:r>
        <w:rPr>
          <w:w w:val="95"/>
        </w:rPr>
        <w:t>请</w:t>
      </w:r>
      <w:r>
        <w:rPr>
          <w:w w:val="95"/>
        </w:rPr>
        <w:t>人</w:t>
      </w:r>
      <w:r>
        <w:rPr>
          <w:w w:val="95"/>
        </w:rPr>
        <w:t>保</w:t>
      </w:r>
      <w:r>
        <w:rPr>
          <w:w w:val="95"/>
        </w:rPr>
        <w:t>险</w:t>
      </w:r>
      <w:r>
        <w:rPr>
          <w:w w:val="95"/>
        </w:rPr>
        <w:t>事</w:t>
      </w:r>
      <w:r>
        <w:rPr>
          <w:w w:val="95"/>
        </w:rPr>
        <w:t>故</w:t>
      </w:r>
      <w:r>
        <w:rPr>
          <w:w w:val="95"/>
        </w:rPr>
        <w:t>通</w:t>
      </w:r>
      <w:r>
        <w:rPr>
          <w:w w:val="95"/>
        </w:rPr>
        <w:t>知</w:t>
      </w:r>
      <w:r>
        <w:rPr>
          <w:w w:val="95"/>
        </w:rPr>
        <w:t>后</w:t>
      </w:r>
      <w:r>
        <w:rPr>
          <w:w w:val="95"/>
        </w:rPr>
        <w:t>，</w:t>
      </w:r>
      <w:r>
        <w:rPr>
          <w:w w:val="95"/>
        </w:rPr>
        <w:t>会</w:t>
      </w:r>
      <w:r>
        <w:rPr>
          <w:w w:val="95"/>
        </w:rPr>
        <w:t>在</w:t>
      </w:r>
      <w:r>
        <w:rPr>
          <w:spacing w:val="26"/>
        </w:rPr>
        <w:t>  </w:t>
      </w:r>
      <w:r>
        <w:rPr>
          <w:w w:val="95"/>
        </w:rPr>
        <w:t>1</w:t>
      </w:r>
      <w:r>
        <w:rPr>
          <w:spacing w:val="23"/>
        </w:rPr>
        <w:t>  </w:t>
      </w:r>
      <w:r>
        <w:rPr>
          <w:w w:val="95"/>
        </w:rPr>
        <w:t>个</w:t>
      </w:r>
      <w:r>
        <w:rPr>
          <w:w w:val="95"/>
        </w:rPr>
        <w:t>工</w:t>
      </w:r>
      <w:r>
        <w:rPr>
          <w:w w:val="95"/>
        </w:rPr>
        <w:t>作</w:t>
      </w:r>
      <w:r>
        <w:rPr>
          <w:w w:val="95"/>
        </w:rPr>
        <w:t>日</w:t>
      </w:r>
      <w:r>
        <w:rPr>
          <w:w w:val="95"/>
        </w:rPr>
        <w:t>内</w:t>
      </w:r>
      <w:r>
        <w:rPr>
          <w:w w:val="95"/>
        </w:rPr>
        <w:t>一</w:t>
      </w:r>
      <w:r>
        <w:rPr>
          <w:w w:val="95"/>
        </w:rPr>
        <w:t>次</w:t>
      </w:r>
      <w:r>
        <w:rPr>
          <w:w w:val="95"/>
        </w:rPr>
        <w:t>性</w:t>
      </w:r>
      <w:r>
        <w:rPr>
          <w:w w:val="95"/>
        </w:rPr>
        <w:t>给</w:t>
      </w:r>
      <w:r>
        <w:rPr>
          <w:w w:val="95"/>
        </w:rPr>
        <w:t>予</w:t>
      </w:r>
      <w:r>
        <w:rPr>
          <w:w w:val="95"/>
        </w:rPr>
        <w:t>理</w:t>
      </w:r>
      <w:r>
        <w:rPr>
          <w:w w:val="95"/>
        </w:rPr>
        <w:t>赔</w:t>
      </w:r>
      <w:r>
        <w:rPr>
          <w:w w:val="95"/>
        </w:rPr>
        <w:t>指</w:t>
      </w:r>
      <w:r>
        <w:rPr>
          <w:w w:val="95"/>
        </w:rPr>
        <w:t>导</w:t>
      </w:r>
      <w:r>
        <w:rPr>
          <w:w w:val="95"/>
        </w:rPr>
        <w:t>；上</w:t>
      </w:r>
      <w:r>
        <w:rPr>
          <w:w w:val="95"/>
        </w:rPr>
        <w:t>述</w:t>
      </w:r>
      <w:r>
        <w:rPr>
          <w:w w:val="95"/>
        </w:rPr>
        <w:t>证</w:t>
      </w:r>
      <w:r>
        <w:rPr>
          <w:spacing w:val="-10"/>
          <w:w w:val="95"/>
        </w:rPr>
        <w:t>明</w:t>
      </w:r>
    </w:p>
    <w:p>
      <w:pPr>
        <w:pStyle w:val="BodyText"/>
        <w:spacing w:before="213"/>
      </w:pPr>
      <w:r>
        <w:rPr>
          <w:spacing w:val="-4"/>
        </w:rPr>
        <w:t>和资料不完整的，本公司将于 </w:t>
      </w:r>
      <w:r>
        <w:rPr>
          <w:spacing w:val="-2"/>
        </w:rPr>
        <w:t>2</w:t>
      </w:r>
      <w:r>
        <w:rPr>
          <w:spacing w:val="-8"/>
        </w:rPr>
        <w:t> 个工作日内一次性通知申请人补充提供有关证明和资料。</w:t>
      </w:r>
    </w:p>
    <w:p>
      <w:pPr>
        <w:spacing w:before="143"/>
        <w:ind w:left="555" w:right="0" w:firstLine="0"/>
        <w:jc w:val="left"/>
        <w:rPr>
          <w:rFonts w:ascii="Microsoft JhengHei" w:eastAsia="Microsoft JhengHei"/>
          <w:b/>
          <w:sz w:val="22"/>
        </w:rPr>
      </w:pPr>
      <w:r>
        <w:rPr>
          <w:rFonts w:ascii="Microsoft JhengHei" w:eastAsia="Microsoft JhengHei"/>
          <w:b/>
          <w:spacing w:val="4"/>
          <w:sz w:val="22"/>
        </w:rPr>
        <w:t>第十六条 保险金给付</w:t>
      </w:r>
    </w:p>
    <w:p>
      <w:pPr>
        <w:pStyle w:val="BodyText"/>
        <w:spacing w:before="160"/>
        <w:ind w:left="555"/>
      </w:pPr>
      <w:r>
        <w:rPr>
          <w:spacing w:val="-3"/>
        </w:rPr>
        <w:t>本公司在收到保险金理赔申请书及合同约定的证明和资料后，会在 </w:t>
      </w:r>
      <w:r>
        <w:rPr>
          <w:spacing w:val="-2"/>
        </w:rPr>
        <w:t>5</w:t>
      </w:r>
      <w:r>
        <w:rPr>
          <w:spacing w:val="-6"/>
        </w:rPr>
        <w:t> 个工作日内作出核定；</w:t>
      </w:r>
    </w:p>
    <w:p>
      <w:pPr>
        <w:pStyle w:val="BodyText"/>
        <w:spacing w:before="210"/>
      </w:pPr>
      <w:r>
        <w:rPr>
          <w:spacing w:val="-4"/>
        </w:rPr>
        <w:t>情形复杂的，在 </w:t>
      </w:r>
      <w:r>
        <w:rPr/>
        <w:t>30</w:t>
      </w:r>
      <w:r>
        <w:rPr>
          <w:spacing w:val="-7"/>
        </w:rPr>
        <w:t> 日内作出核定，并于作出核定后 </w:t>
      </w:r>
      <w:r>
        <w:rPr/>
        <w:t>1</w:t>
      </w:r>
      <w:r>
        <w:rPr>
          <w:spacing w:val="-6"/>
        </w:rPr>
        <w:t> 个工作日通知申请人。对属于保险责任</w:t>
      </w:r>
    </w:p>
    <w:p>
      <w:pPr>
        <w:pStyle w:val="BodyText"/>
        <w:spacing w:before="212"/>
      </w:pPr>
      <w:r>
        <w:rPr/>
        <w:t>的，本公司在与被保险人或者受益人达成给付保险金的协议后 10</w:t>
      </w:r>
      <w:r>
        <w:rPr>
          <w:spacing w:val="-1"/>
        </w:rPr>
        <w:t> 日内，履行给付保险金义务。</w:t>
      </w:r>
    </w:p>
    <w:p>
      <w:pPr>
        <w:spacing w:after="0"/>
        <w:sectPr>
          <w:pgSz w:w="11910" w:h="16840"/>
          <w:pgMar w:top="1000" w:bottom="280" w:left="1300" w:right="1080"/>
        </w:sectPr>
      </w:pPr>
    </w:p>
    <w:p>
      <w:pPr>
        <w:pStyle w:val="BodyText"/>
        <w:spacing w:line="422" w:lineRule="auto" w:before="62"/>
        <w:ind w:right="332"/>
      </w:pPr>
      <w:r>
        <w:rPr>
          <w:spacing w:val="-2"/>
        </w:rPr>
        <w:t>对不属于保险责任的，本公司自作出核定之日起 </w:t>
      </w:r>
      <w:r>
        <w:rPr/>
        <w:t>1</w:t>
      </w:r>
      <w:r>
        <w:rPr>
          <w:spacing w:val="-6"/>
        </w:rPr>
        <w:t> 个工作日内向被保险人或者受益人发出拒绝</w:t>
      </w:r>
      <w:r>
        <w:rPr>
          <w:spacing w:val="-2"/>
        </w:rPr>
        <w:t>给付保险金通知书并说明理由。</w:t>
      </w:r>
    </w:p>
    <w:p>
      <w:pPr>
        <w:spacing w:line="334" w:lineRule="exact" w:before="0"/>
        <w:ind w:left="555" w:right="0" w:firstLine="0"/>
        <w:jc w:val="left"/>
        <w:rPr>
          <w:rFonts w:ascii="Microsoft JhengHei" w:eastAsia="Microsoft JhengHei"/>
          <w:b/>
          <w:sz w:val="22"/>
        </w:rPr>
      </w:pPr>
      <w:r>
        <w:rPr>
          <w:rFonts w:ascii="Microsoft JhengHei" w:eastAsia="Microsoft JhengHei"/>
          <w:b/>
          <w:spacing w:val="3"/>
          <w:sz w:val="22"/>
        </w:rPr>
        <w:t>第十七条 保险事故鉴定</w:t>
      </w:r>
    </w:p>
    <w:p>
      <w:pPr>
        <w:pStyle w:val="BodyText"/>
        <w:spacing w:line="420" w:lineRule="auto" w:before="158"/>
        <w:ind w:right="333" w:firstLine="439"/>
      </w:pPr>
      <w:r>
        <w:rPr>
          <w:spacing w:val="-2"/>
        </w:rPr>
        <w:t>除法律禁止的情况外，本公司有权要求对保险事故的性质、原因、结果、损伤程度等进行</w:t>
      </w:r>
      <w:r>
        <w:rPr>
          <w:spacing w:val="-2"/>
        </w:rPr>
        <w:t>评估和鉴定。</w:t>
      </w:r>
    </w:p>
    <w:p>
      <w:pPr>
        <w:spacing w:line="337" w:lineRule="exact" w:before="0"/>
        <w:ind w:left="555" w:right="0" w:firstLine="0"/>
        <w:jc w:val="left"/>
        <w:rPr>
          <w:rFonts w:ascii="Microsoft JhengHei" w:eastAsia="Microsoft JhengHei"/>
          <w:b/>
          <w:sz w:val="22"/>
        </w:rPr>
      </w:pPr>
      <w:r>
        <w:rPr>
          <w:rFonts w:ascii="Microsoft JhengHei" w:eastAsia="Microsoft JhengHei"/>
          <w:b/>
          <w:spacing w:val="5"/>
          <w:sz w:val="22"/>
        </w:rPr>
        <w:t>第十八条 诉讼时效</w:t>
      </w:r>
    </w:p>
    <w:p>
      <w:pPr>
        <w:pStyle w:val="BodyText"/>
        <w:spacing w:line="420" w:lineRule="auto" w:before="160"/>
        <w:ind w:right="333" w:firstLine="439"/>
      </w:pPr>
      <w:r>
        <w:rPr>
          <w:spacing w:val="-2"/>
        </w:rPr>
        <w:t>人寿保险以外的其他保险的被保险人或者受益人，向保险人请求赔偿或者给付保险金的诉</w:t>
      </w:r>
      <w:r>
        <w:rPr>
          <w:spacing w:val="-2"/>
        </w:rPr>
        <w:t>讼时效期间为二年，自其知道或者应当知道保险事故发生之日起计算。</w:t>
      </w:r>
    </w:p>
    <w:p>
      <w:pPr>
        <w:pStyle w:val="BodyText"/>
        <w:spacing w:line="422" w:lineRule="auto"/>
        <w:ind w:right="333" w:firstLine="439"/>
      </w:pPr>
      <w:r>
        <w:rPr>
          <w:spacing w:val="-2"/>
        </w:rPr>
        <w:t>人寿保险的被保险人或者受益人向保险人请求给付保险金的诉讼时效期间为五年，自其知</w:t>
      </w:r>
      <w:r>
        <w:rPr>
          <w:spacing w:val="-2"/>
        </w:rPr>
        <w:t>道或者应当知道保险事故发生之日起计算。</w:t>
      </w:r>
    </w:p>
    <w:p>
      <w:pPr>
        <w:pStyle w:val="BodyText"/>
        <w:spacing w:before="5"/>
        <w:ind w:left="0"/>
        <w:rPr>
          <w:sz w:val="18"/>
        </w:rPr>
      </w:pPr>
    </w:p>
    <w:p>
      <w:pPr>
        <w:spacing w:before="5"/>
        <w:ind w:left="551" w:right="767" w:firstLine="0"/>
        <w:jc w:val="center"/>
        <w:rPr>
          <w:rFonts w:ascii="Microsoft JhengHei" w:eastAsia="Microsoft JhengHei"/>
          <w:b/>
          <w:sz w:val="22"/>
        </w:rPr>
      </w:pPr>
      <w:r>
        <w:rPr>
          <w:rFonts w:ascii="Microsoft JhengHei" w:eastAsia="Microsoft JhengHei"/>
          <w:b/>
          <w:spacing w:val="-1"/>
          <w:sz w:val="22"/>
        </w:rPr>
        <w:t>第六部分 投保人享有的其他权益</w:t>
      </w:r>
    </w:p>
    <w:p>
      <w:pPr>
        <w:spacing w:before="90"/>
        <w:ind w:left="551" w:right="6636" w:firstLine="0"/>
        <w:jc w:val="center"/>
        <w:rPr>
          <w:rFonts w:ascii="Microsoft JhengHei" w:eastAsia="Microsoft JhengHei"/>
          <w:b/>
          <w:sz w:val="22"/>
        </w:rPr>
      </w:pPr>
      <w:r>
        <w:rPr>
          <w:rFonts w:ascii="Microsoft JhengHei" w:eastAsia="Microsoft JhengHei"/>
          <w:b/>
          <w:spacing w:val="3"/>
          <w:sz w:val="22"/>
        </w:rPr>
        <w:t>第十九条 合同内容变更</w:t>
      </w:r>
    </w:p>
    <w:p>
      <w:pPr>
        <w:pStyle w:val="BodyText"/>
        <w:spacing w:line="420" w:lineRule="auto" w:before="160"/>
        <w:ind w:right="333" w:firstLine="439"/>
      </w:pPr>
      <w:r>
        <w:rPr>
          <w:spacing w:val="-2"/>
        </w:rPr>
        <w:t>在本合同有效期内，投保人和本公司协商一致，可以变更本合同的有关内容。变更的内容</w:t>
      </w:r>
      <w:r>
        <w:rPr>
          <w:spacing w:val="-2"/>
        </w:rPr>
        <w:t>由本公司在保险单或其他保险凭证上批注或者附贴批单，或者签订书面或电子的变更协议。</w:t>
      </w:r>
    </w:p>
    <w:p>
      <w:pPr>
        <w:pStyle w:val="BodyText"/>
        <w:spacing w:line="420" w:lineRule="auto"/>
        <w:ind w:right="333" w:firstLine="439"/>
        <w:jc w:val="both"/>
      </w:pPr>
      <w:r>
        <w:rPr>
          <w:spacing w:val="-2"/>
        </w:rPr>
        <w:t>投保人通过本公司同意或者认可的网站等互联网渠道提出对本合同进行变更，视为投保人的书面申请，投保人向本公司在线提交的电子信息与投保人向本公司提交的书面文件具有相同</w:t>
      </w:r>
      <w:r>
        <w:rPr>
          <w:spacing w:val="-2"/>
        </w:rPr>
        <w:t>的法律效力。</w:t>
      </w:r>
    </w:p>
    <w:p>
      <w:pPr>
        <w:spacing w:line="338" w:lineRule="exact" w:before="0"/>
        <w:ind w:left="555" w:right="0" w:firstLine="0"/>
        <w:jc w:val="left"/>
        <w:rPr>
          <w:rFonts w:ascii="Microsoft JhengHei" w:eastAsia="Microsoft JhengHei"/>
          <w:b/>
          <w:sz w:val="22"/>
        </w:rPr>
      </w:pPr>
      <w:r>
        <w:rPr>
          <w:rFonts w:ascii="Microsoft JhengHei" w:eastAsia="Microsoft JhengHei"/>
          <w:b/>
          <w:spacing w:val="5"/>
          <w:sz w:val="22"/>
        </w:rPr>
        <w:t>第二十条 解除合同</w:t>
      </w:r>
    </w:p>
    <w:p>
      <w:pPr>
        <w:pStyle w:val="BodyText"/>
        <w:spacing w:line="420" w:lineRule="auto" w:before="160"/>
        <w:ind w:left="555" w:right="603"/>
      </w:pPr>
      <w:r>
        <w:rPr>
          <w:spacing w:val="-2"/>
        </w:rPr>
        <w:t>投保人在犹豫期满后可以解除本合同，需提出解除合同申请并向本公司提供下列资料： 1、保险合同；</w:t>
      </w:r>
    </w:p>
    <w:p>
      <w:pPr>
        <w:spacing w:line="335" w:lineRule="exact" w:before="0"/>
        <w:ind w:left="555" w:right="0" w:firstLine="0"/>
        <w:jc w:val="left"/>
        <w:rPr>
          <w:sz w:val="22"/>
        </w:rPr>
      </w:pPr>
      <w:r>
        <w:rPr>
          <w:sz w:val="22"/>
        </w:rPr>
        <w:t>2</w:t>
      </w:r>
      <w:r>
        <w:rPr>
          <w:sz w:val="22"/>
        </w:rPr>
        <w:t>、投保人的</w:t>
      </w:r>
      <w:r>
        <w:rPr>
          <w:rFonts w:ascii="微软雅黑" w:eastAsia="微软雅黑"/>
          <w:b/>
          <w:sz w:val="22"/>
        </w:rPr>
        <w:t>有效身份证件</w:t>
      </w:r>
      <w:r>
        <w:rPr>
          <w:spacing w:val="-10"/>
          <w:sz w:val="22"/>
        </w:rPr>
        <w:t>。</w:t>
      </w:r>
    </w:p>
    <w:p>
      <w:pPr>
        <w:pStyle w:val="BodyText"/>
        <w:spacing w:line="360" w:lineRule="auto" w:before="159"/>
        <w:ind w:right="333" w:firstLine="439"/>
      </w:pPr>
      <w:r>
        <w:rPr>
          <w:spacing w:val="-2"/>
        </w:rPr>
        <w:t>自本公司收到解除合同申请及上述资料之日起，本合同终止。本公司自收到解除合同申请</w:t>
      </w:r>
      <w:r>
        <w:rPr>
          <w:w w:val="105"/>
        </w:rPr>
        <w:t>之</w:t>
      </w:r>
      <w:r>
        <w:rPr>
          <w:w w:val="105"/>
        </w:rPr>
        <w:t>日</w:t>
      </w:r>
      <w:r>
        <w:rPr>
          <w:w w:val="105"/>
        </w:rPr>
        <w:t>起</w:t>
      </w:r>
      <w:r>
        <w:rPr>
          <w:spacing w:val="-61"/>
          <w:w w:val="105"/>
        </w:rPr>
        <w:t> </w:t>
      </w:r>
      <w:r>
        <w:rPr>
          <w:w w:val="105"/>
        </w:rPr>
        <w:t>30</w:t>
      </w:r>
      <w:r>
        <w:rPr>
          <w:spacing w:val="-63"/>
          <w:w w:val="105"/>
        </w:rPr>
        <w:t> </w:t>
      </w:r>
      <w:r>
        <w:rPr>
          <w:w w:val="105"/>
        </w:rPr>
        <w:t>日</w:t>
      </w:r>
      <w:r>
        <w:rPr>
          <w:w w:val="105"/>
        </w:rPr>
        <w:t>内</w:t>
      </w:r>
      <w:r>
        <w:rPr>
          <w:w w:val="105"/>
        </w:rPr>
        <w:t>向</w:t>
      </w:r>
      <w:r>
        <w:rPr>
          <w:w w:val="105"/>
        </w:rPr>
        <w:t>投</w:t>
      </w:r>
      <w:r>
        <w:rPr>
          <w:w w:val="105"/>
        </w:rPr>
        <w:t>保</w:t>
      </w:r>
      <w:r>
        <w:rPr>
          <w:w w:val="105"/>
        </w:rPr>
        <w:t>人</w:t>
      </w:r>
      <w:r>
        <w:rPr>
          <w:w w:val="105"/>
        </w:rPr>
        <w:t>退</w:t>
      </w:r>
      <w:r>
        <w:rPr>
          <w:w w:val="105"/>
        </w:rPr>
        <w:t>还</w:t>
      </w:r>
      <w:r>
        <w:rPr>
          <w:w w:val="105"/>
        </w:rPr>
        <w:t>本</w:t>
      </w:r>
      <w:r>
        <w:rPr>
          <w:w w:val="105"/>
        </w:rPr>
        <w:t>合同的</w:t>
      </w:r>
      <w:r>
        <w:rPr>
          <w:rFonts w:ascii="微软雅黑" w:eastAsia="微软雅黑"/>
          <w:b/>
          <w:w w:val="105"/>
        </w:rPr>
        <w:t>现</w:t>
      </w:r>
      <w:r>
        <w:rPr>
          <w:rFonts w:ascii="微软雅黑" w:eastAsia="微软雅黑"/>
          <w:b/>
          <w:w w:val="105"/>
        </w:rPr>
        <w:t>金</w:t>
      </w:r>
      <w:r>
        <w:rPr>
          <w:rFonts w:ascii="微软雅黑" w:eastAsia="微软雅黑"/>
          <w:b/>
          <w:w w:val="105"/>
        </w:rPr>
        <w:t>价</w:t>
      </w:r>
      <w:r>
        <w:rPr>
          <w:rFonts w:ascii="微软雅黑" w:eastAsia="微软雅黑"/>
          <w:b/>
          <w:w w:val="105"/>
        </w:rPr>
        <w:t>值</w:t>
      </w:r>
      <w:r>
        <w:rPr>
          <w:w w:val="105"/>
        </w:rPr>
        <w:t>。</w:t>
      </w:r>
    </w:p>
    <w:p>
      <w:pPr>
        <w:spacing w:line="291" w:lineRule="exact" w:before="0"/>
        <w:ind w:left="596" w:right="0" w:firstLine="0"/>
        <w:jc w:val="left"/>
        <w:rPr>
          <w:rFonts w:ascii="微软雅黑" w:eastAsia="微软雅黑"/>
          <w:b/>
          <w:sz w:val="22"/>
        </w:rPr>
      </w:pPr>
      <w:r>
        <w:rPr>
          <w:rFonts w:ascii="微软雅黑" w:eastAsia="微软雅黑"/>
          <w:b/>
          <w:spacing w:val="-3"/>
          <w:sz w:val="22"/>
        </w:rPr>
        <w:t>投保人在犹豫期后解除合同会遭受一定损失。</w:t>
      </w:r>
    </w:p>
    <w:p>
      <w:pPr>
        <w:spacing w:after="0" w:line="291" w:lineRule="exact"/>
        <w:jc w:val="left"/>
        <w:rPr>
          <w:rFonts w:ascii="微软雅黑" w:eastAsia="微软雅黑"/>
          <w:sz w:val="22"/>
        </w:rPr>
        <w:sectPr>
          <w:pgSz w:w="11910" w:h="16840"/>
          <w:pgMar w:top="1000" w:bottom="280" w:left="1300" w:right="1080"/>
        </w:sectPr>
      </w:pPr>
    </w:p>
    <w:p>
      <w:pPr>
        <w:spacing w:line="295" w:lineRule="auto" w:before="0"/>
        <w:ind w:left="555" w:right="3489" w:firstLine="2712"/>
        <w:jc w:val="left"/>
        <w:rPr>
          <w:rFonts w:ascii="Microsoft JhengHei" w:eastAsia="Microsoft JhengHei"/>
          <w:b/>
          <w:sz w:val="22"/>
        </w:rPr>
      </w:pPr>
      <w:r>
        <w:rPr>
          <w:rFonts w:ascii="Microsoft JhengHei" w:eastAsia="Microsoft JhengHei"/>
          <w:b/>
          <w:sz w:val="22"/>
        </w:rPr>
        <w:t>第七部分 其他相关重要事项</w:t>
      </w:r>
      <w:r>
        <w:rPr>
          <w:rFonts w:ascii="Microsoft JhengHei" w:eastAsia="Microsoft JhengHei"/>
          <w:b/>
          <w:sz w:val="22"/>
        </w:rPr>
        <w:t>第二十一条 明确说明和如实告知</w:t>
      </w:r>
    </w:p>
    <w:p>
      <w:pPr>
        <w:pStyle w:val="BodyText"/>
        <w:spacing w:line="420" w:lineRule="auto" w:before="59"/>
        <w:ind w:right="333" w:firstLine="439"/>
        <w:jc w:val="both"/>
      </w:pPr>
      <w:r>
        <w:rPr>
          <w:spacing w:val="-2"/>
        </w:rPr>
        <w:t>订立本合同时，本公司应当向投保人明确说明本合同的内容。对于保险合同中免除本公司责任的条款，本公司在订立合同时应当在投保单、保险单或者其他保险凭证上作出足以引起投</w:t>
      </w:r>
      <w:r>
        <w:rPr>
          <w:spacing w:val="-2"/>
        </w:rPr>
        <w:t>保人注意的提示，并对该条款的内容以书面或者口头形式向投保人作出明确说明。</w:t>
      </w:r>
    </w:p>
    <w:p>
      <w:pPr>
        <w:pStyle w:val="BodyText"/>
        <w:spacing w:line="420" w:lineRule="auto"/>
        <w:ind w:right="333" w:firstLine="439"/>
      </w:pPr>
      <w:r>
        <w:rPr>
          <w:spacing w:val="-2"/>
        </w:rPr>
        <w:t>根据《中华人民共和国保险法》规定，本公司就投保人或者被保险人的有关情况提出询问</w:t>
      </w:r>
      <w:r>
        <w:rPr>
          <w:spacing w:val="-2"/>
        </w:rPr>
        <w:t>的，投保人应当如实告知，并承担未如实告知的法律后果。</w:t>
      </w:r>
    </w:p>
    <w:p>
      <w:pPr>
        <w:spacing w:line="337" w:lineRule="exact" w:before="0"/>
        <w:ind w:left="555" w:right="0" w:firstLine="0"/>
        <w:jc w:val="left"/>
        <w:rPr>
          <w:rFonts w:ascii="微软雅黑" w:eastAsia="微软雅黑"/>
          <w:b/>
          <w:sz w:val="22"/>
        </w:rPr>
      </w:pPr>
      <w:r>
        <w:rPr>
          <w:rFonts w:ascii="微软雅黑" w:eastAsia="微软雅黑"/>
          <w:b/>
          <w:spacing w:val="-1"/>
          <w:sz w:val="22"/>
        </w:rPr>
        <w:t>投保人故意或者因重大过失未履行前款规定的如实告知义务，足以影响本公司决定是否同</w:t>
      </w:r>
    </w:p>
    <w:p>
      <w:pPr>
        <w:spacing w:before="87"/>
        <w:ind w:left="116" w:right="0" w:firstLine="0"/>
        <w:jc w:val="left"/>
        <w:rPr>
          <w:rFonts w:ascii="微软雅黑" w:eastAsia="微软雅黑"/>
          <w:b/>
          <w:sz w:val="22"/>
        </w:rPr>
      </w:pPr>
      <w:r>
        <w:rPr>
          <w:rFonts w:ascii="微软雅黑" w:eastAsia="微软雅黑"/>
          <w:b/>
          <w:spacing w:val="-3"/>
          <w:sz w:val="22"/>
        </w:rPr>
        <w:t>意承保或者提高保险费率的，本公司有权解除合同。</w:t>
      </w:r>
    </w:p>
    <w:p>
      <w:pPr>
        <w:spacing w:line="292" w:lineRule="auto" w:before="89"/>
        <w:ind w:left="116" w:right="335" w:firstLine="439"/>
        <w:jc w:val="left"/>
        <w:rPr>
          <w:rFonts w:ascii="微软雅黑" w:eastAsia="微软雅黑"/>
          <w:b/>
          <w:sz w:val="22"/>
        </w:rPr>
      </w:pPr>
      <w:r>
        <w:rPr>
          <w:rFonts w:ascii="微软雅黑" w:eastAsia="微软雅黑"/>
          <w:b/>
          <w:spacing w:val="-2"/>
          <w:sz w:val="22"/>
        </w:rPr>
        <w:t>投保人故意不履行如实告知义务的，本公司对于合同解除前发生的保险事故，不承担给付</w:t>
      </w:r>
      <w:r>
        <w:rPr>
          <w:rFonts w:ascii="微软雅黑" w:eastAsia="微软雅黑"/>
          <w:b/>
          <w:spacing w:val="-2"/>
          <w:sz w:val="22"/>
        </w:rPr>
        <w:t>保险金的责任，并不退还保险费。</w:t>
      </w:r>
    </w:p>
    <w:p>
      <w:pPr>
        <w:spacing w:line="292" w:lineRule="auto" w:before="0"/>
        <w:ind w:left="116" w:right="335" w:firstLine="439"/>
        <w:jc w:val="left"/>
        <w:rPr>
          <w:rFonts w:ascii="微软雅黑" w:eastAsia="微软雅黑"/>
          <w:b/>
          <w:sz w:val="22"/>
        </w:rPr>
      </w:pPr>
      <w:r>
        <w:rPr>
          <w:rFonts w:ascii="微软雅黑" w:eastAsia="微软雅黑"/>
          <w:b/>
          <w:spacing w:val="-2"/>
          <w:sz w:val="22"/>
        </w:rPr>
        <w:t>投保人因重大过失未履行如实告知义务，对保险事故的发生有严重影响的，本公司对于合</w:t>
      </w:r>
      <w:r>
        <w:rPr>
          <w:rFonts w:ascii="微软雅黑" w:eastAsia="微软雅黑"/>
          <w:b/>
          <w:spacing w:val="-2"/>
          <w:sz w:val="22"/>
        </w:rPr>
        <w:t>同解除前发生的保险事故，不承担给付保险金的责任，但应当退还保险费。</w:t>
      </w:r>
    </w:p>
    <w:p>
      <w:pPr>
        <w:pStyle w:val="BodyText"/>
        <w:spacing w:line="420" w:lineRule="auto" w:before="67"/>
        <w:ind w:right="333" w:firstLine="439"/>
      </w:pPr>
      <w:r>
        <w:rPr>
          <w:spacing w:val="-2"/>
        </w:rPr>
        <w:t>本公司在合同订立时已经知道投保人未如实告知的情况的，本公司不得解除合同；发生保</w:t>
      </w:r>
      <w:r>
        <w:rPr>
          <w:spacing w:val="-2"/>
        </w:rPr>
        <w:t>险事故的，本公司应当承担给付保险金的责任。</w:t>
      </w:r>
    </w:p>
    <w:p>
      <w:pPr>
        <w:spacing w:line="337" w:lineRule="exact" w:before="0"/>
        <w:ind w:left="555" w:right="0" w:firstLine="0"/>
        <w:jc w:val="left"/>
        <w:rPr>
          <w:rFonts w:ascii="Microsoft JhengHei" w:eastAsia="Microsoft JhengHei"/>
          <w:b/>
          <w:sz w:val="22"/>
        </w:rPr>
      </w:pPr>
      <w:r>
        <w:rPr>
          <w:rFonts w:ascii="Microsoft JhengHei" w:eastAsia="Microsoft JhengHei"/>
          <w:b/>
          <w:spacing w:val="-1"/>
          <w:sz w:val="22"/>
        </w:rPr>
        <w:t>第二十二条 本公司合同解除权的限制</w:t>
      </w:r>
    </w:p>
    <w:p>
      <w:pPr>
        <w:pStyle w:val="BodyText"/>
        <w:spacing w:before="161"/>
        <w:ind w:left="555"/>
      </w:pPr>
      <w:r>
        <w:rPr/>
        <w:t>前条规定的合同解除权，自本公司知道有解除事由之日起，超过 30</w:t>
      </w:r>
      <w:r>
        <w:rPr>
          <w:spacing w:val="-1"/>
        </w:rPr>
        <w:t> 日不行使而消灭。自</w:t>
      </w:r>
    </w:p>
    <w:p>
      <w:pPr>
        <w:pStyle w:val="BodyText"/>
        <w:spacing w:line="420" w:lineRule="auto" w:before="212"/>
        <w:ind w:right="333"/>
      </w:pPr>
      <w:r>
        <w:rPr>
          <w:spacing w:val="-4"/>
        </w:rPr>
        <w:t>本合同成立之日起超过 </w:t>
      </w:r>
      <w:r>
        <w:rPr/>
        <w:t>2</w:t>
      </w:r>
      <w:r>
        <w:rPr>
          <w:spacing w:val="-7"/>
        </w:rPr>
        <w:t> 年的，本公司不得解除合同；发生保险事故的，本公司承担给付保险</w:t>
      </w:r>
      <w:r>
        <w:rPr>
          <w:spacing w:val="-2"/>
        </w:rPr>
        <w:t>金的责任。</w:t>
      </w:r>
    </w:p>
    <w:p>
      <w:pPr>
        <w:spacing w:line="337" w:lineRule="exact" w:before="0"/>
        <w:ind w:left="555" w:right="0" w:firstLine="0"/>
        <w:jc w:val="left"/>
        <w:rPr>
          <w:rFonts w:ascii="Microsoft JhengHei" w:eastAsia="Microsoft JhengHei"/>
          <w:b/>
          <w:sz w:val="22"/>
        </w:rPr>
      </w:pPr>
      <w:r>
        <w:rPr>
          <w:rFonts w:ascii="Microsoft JhengHei" w:eastAsia="Microsoft JhengHei"/>
          <w:b/>
          <w:spacing w:val="1"/>
          <w:sz w:val="22"/>
        </w:rPr>
        <w:t>第二十三条 年龄性别错误</w:t>
      </w:r>
    </w:p>
    <w:p>
      <w:pPr>
        <w:pStyle w:val="BodyText"/>
        <w:spacing w:line="420" w:lineRule="auto" w:before="158"/>
        <w:ind w:right="333" w:firstLine="439"/>
      </w:pPr>
      <w:r>
        <w:rPr>
          <w:spacing w:val="-2"/>
        </w:rPr>
        <w:t>投保人在申请投保时，应在投保单上如实填写被保险人的出生日期和性别，如果发生错误</w:t>
      </w:r>
      <w:r>
        <w:rPr>
          <w:spacing w:val="-2"/>
        </w:rPr>
        <w:t>按照下列方式处理：</w:t>
      </w:r>
    </w:p>
    <w:p>
      <w:pPr>
        <w:spacing w:line="337" w:lineRule="exact" w:before="0"/>
        <w:ind w:left="555" w:right="0" w:firstLine="0"/>
        <w:jc w:val="left"/>
        <w:rPr>
          <w:rFonts w:ascii="微软雅黑" w:eastAsia="微软雅黑"/>
          <w:b/>
          <w:sz w:val="22"/>
        </w:rPr>
      </w:pPr>
      <w:r>
        <w:rPr>
          <w:rFonts w:ascii="微软雅黑" w:eastAsia="微软雅黑"/>
          <w:b/>
          <w:spacing w:val="-1"/>
          <w:sz w:val="22"/>
        </w:rPr>
        <w:t>一、投保人申报的被保险人的年龄不真实，并且其真实年龄不符合本合同投保年龄限制的，</w:t>
      </w:r>
    </w:p>
    <w:p>
      <w:pPr>
        <w:spacing w:line="290" w:lineRule="auto" w:before="89"/>
        <w:ind w:left="116" w:right="116" w:firstLine="0"/>
        <w:jc w:val="left"/>
        <w:rPr>
          <w:sz w:val="22"/>
        </w:rPr>
      </w:pPr>
      <w:r>
        <w:rPr>
          <w:rFonts w:ascii="微软雅黑" w:eastAsia="微软雅黑"/>
          <w:b/>
          <w:spacing w:val="-2"/>
          <w:sz w:val="22"/>
        </w:rPr>
        <w:t>本公司可以解除合同，并向投保人退还本合同的现金价值，对于本合同解除前发生的保险事故，</w:t>
      </w:r>
      <w:r>
        <w:rPr>
          <w:rFonts w:ascii="微软雅黑" w:eastAsia="微软雅黑"/>
          <w:b/>
          <w:spacing w:val="-2"/>
          <w:sz w:val="22"/>
        </w:rPr>
        <w:t>本公司不承担给付保险金的责任。</w:t>
      </w:r>
      <w:r>
        <w:rPr>
          <w:spacing w:val="-2"/>
          <w:sz w:val="22"/>
        </w:rPr>
        <w:t>本公司行使合同解除权适用第二十二条的规定。</w:t>
      </w:r>
    </w:p>
    <w:p>
      <w:pPr>
        <w:pStyle w:val="BodyText"/>
        <w:spacing w:before="76"/>
        <w:ind w:left="555"/>
      </w:pPr>
      <w:r>
        <w:rPr>
          <w:spacing w:val="-1"/>
        </w:rPr>
        <w:t>二、投保人申报的被保险人年龄或性别不真实，致使投保人实交保险费少于应交保险费的，</w:t>
      </w:r>
    </w:p>
    <w:p>
      <w:pPr>
        <w:spacing w:line="290" w:lineRule="auto" w:before="142"/>
        <w:ind w:left="116" w:right="334" w:firstLine="0"/>
        <w:jc w:val="left"/>
        <w:rPr>
          <w:rFonts w:ascii="微软雅黑" w:eastAsia="微软雅黑"/>
          <w:b/>
          <w:sz w:val="22"/>
        </w:rPr>
      </w:pPr>
      <w:r>
        <w:rPr>
          <w:spacing w:val="-2"/>
          <w:sz w:val="22"/>
        </w:rPr>
        <w:t>本公司有权更正并要求投保人补交保险费。</w:t>
      </w:r>
      <w:r>
        <w:rPr>
          <w:rFonts w:ascii="微软雅黑" w:eastAsia="微软雅黑"/>
          <w:b/>
          <w:spacing w:val="-2"/>
          <w:sz w:val="22"/>
        </w:rPr>
        <w:t>已经发生保险事故的，在给付保险金时按实交保险</w:t>
      </w:r>
      <w:r>
        <w:rPr>
          <w:rFonts w:ascii="微软雅黑" w:eastAsia="微软雅黑"/>
          <w:b/>
          <w:spacing w:val="-2"/>
          <w:sz w:val="22"/>
        </w:rPr>
        <w:t>费和应交保险费的比例给付。</w:t>
      </w:r>
    </w:p>
    <w:p>
      <w:pPr>
        <w:spacing w:after="0" w:line="290" w:lineRule="auto"/>
        <w:jc w:val="left"/>
        <w:rPr>
          <w:rFonts w:ascii="微软雅黑" w:eastAsia="微软雅黑"/>
          <w:sz w:val="22"/>
        </w:rPr>
        <w:sectPr>
          <w:pgSz w:w="11910" w:h="16840"/>
          <w:pgMar w:top="1000" w:bottom="280" w:left="1300" w:right="1080"/>
        </w:sectPr>
      </w:pPr>
    </w:p>
    <w:p>
      <w:pPr>
        <w:pStyle w:val="BodyText"/>
        <w:spacing w:line="422" w:lineRule="auto" w:before="62"/>
        <w:ind w:right="114" w:firstLine="439"/>
      </w:pPr>
      <w:r>
        <w:rPr>
          <w:spacing w:val="-2"/>
        </w:rPr>
        <w:t>三、投保人申报的被保险人年龄或性别不真实，致使投保人实交保险费多于应交保险费的，</w:t>
      </w:r>
      <w:r>
        <w:rPr>
          <w:spacing w:val="-2"/>
        </w:rPr>
        <w:t>本公司将多收的保险费无息退还给投保人。</w:t>
      </w:r>
    </w:p>
    <w:p>
      <w:pPr>
        <w:spacing w:line="334" w:lineRule="exact" w:before="0"/>
        <w:ind w:left="555" w:right="0" w:firstLine="0"/>
        <w:jc w:val="left"/>
        <w:rPr>
          <w:rFonts w:ascii="Microsoft JhengHei" w:eastAsia="Microsoft JhengHei"/>
          <w:b/>
          <w:sz w:val="22"/>
        </w:rPr>
      </w:pPr>
      <w:r>
        <w:rPr>
          <w:rFonts w:ascii="Microsoft JhengHei" w:eastAsia="Microsoft JhengHei"/>
          <w:b/>
          <w:spacing w:val="4"/>
          <w:sz w:val="22"/>
        </w:rPr>
        <w:t>第二十四条 未还款项</w:t>
      </w:r>
    </w:p>
    <w:p>
      <w:pPr>
        <w:pStyle w:val="BodyText"/>
        <w:spacing w:line="333" w:lineRule="auto" w:before="87"/>
        <w:ind w:right="331" w:firstLine="439"/>
      </w:pPr>
      <w:r>
        <w:rPr>
          <w:spacing w:val="-2"/>
        </w:rPr>
        <w:t>本公司在给付各项保险金、退还</w:t>
      </w:r>
      <w:r>
        <w:rPr>
          <w:rFonts w:ascii="微软雅黑" w:eastAsia="微软雅黑"/>
          <w:b/>
          <w:spacing w:val="-2"/>
        </w:rPr>
        <w:t>现金价值</w:t>
      </w:r>
      <w:r>
        <w:rPr>
          <w:spacing w:val="-2"/>
        </w:rPr>
        <w:t>或返还保险费时，如果投保人有欠交的保险费或</w:t>
      </w:r>
      <w:r>
        <w:rPr>
          <w:spacing w:val="-2"/>
        </w:rPr>
        <w:t>其他未还清款项的，本公司有权扣除上述款项及利息后给付。</w:t>
      </w:r>
    </w:p>
    <w:p>
      <w:pPr>
        <w:pStyle w:val="BodyText"/>
        <w:ind w:left="0"/>
        <w:rPr>
          <w:sz w:val="24"/>
        </w:rPr>
      </w:pPr>
    </w:p>
    <w:p>
      <w:pPr>
        <w:pStyle w:val="BodyText"/>
        <w:spacing w:before="3"/>
        <w:ind w:left="0"/>
        <w:rPr>
          <w:sz w:val="17"/>
        </w:rPr>
      </w:pPr>
    </w:p>
    <w:p>
      <w:pPr>
        <w:spacing w:before="0"/>
        <w:ind w:left="555" w:right="0" w:firstLine="0"/>
        <w:jc w:val="left"/>
        <w:rPr>
          <w:rFonts w:ascii="Microsoft JhengHei" w:eastAsia="Microsoft JhengHei"/>
          <w:b/>
          <w:sz w:val="22"/>
        </w:rPr>
      </w:pPr>
      <w:r>
        <w:rPr>
          <w:rFonts w:ascii="Microsoft JhengHei" w:eastAsia="Microsoft JhengHei"/>
          <w:b/>
          <w:spacing w:val="1"/>
          <w:sz w:val="22"/>
        </w:rPr>
        <w:t>第二十五条 合同效力终止</w:t>
      </w:r>
    </w:p>
    <w:p>
      <w:pPr>
        <w:spacing w:line="333" w:lineRule="auto" w:before="90"/>
        <w:ind w:left="555" w:right="4963" w:firstLine="0"/>
        <w:jc w:val="left"/>
        <w:rPr>
          <w:sz w:val="22"/>
        </w:rPr>
      </w:pPr>
      <w:r>
        <w:rPr>
          <w:rFonts w:ascii="微软雅黑" w:eastAsia="微软雅黑"/>
          <w:b/>
          <w:spacing w:val="-2"/>
          <w:sz w:val="22"/>
        </w:rPr>
        <w:t>发生下列情形之一时，本合同效力终止： </w:t>
      </w:r>
      <w:r>
        <w:rPr>
          <w:spacing w:val="-2"/>
          <w:sz w:val="22"/>
        </w:rPr>
        <w:t>1、投保人解除本合同的；</w:t>
      </w:r>
    </w:p>
    <w:p>
      <w:pPr>
        <w:pStyle w:val="BodyText"/>
        <w:spacing w:before="102"/>
        <w:ind w:left="555"/>
      </w:pPr>
      <w:r>
        <w:rPr/>
        <w:t>2</w:t>
      </w:r>
      <w:r>
        <w:rPr>
          <w:spacing w:val="-1"/>
        </w:rPr>
        <w:t>、本公司给付重度恶性肿瘤保险金的；</w:t>
      </w:r>
    </w:p>
    <w:p>
      <w:pPr>
        <w:pStyle w:val="BodyText"/>
        <w:spacing w:before="212"/>
        <w:ind w:left="555"/>
      </w:pPr>
      <w:r>
        <w:rPr/>
        <w:t>3</w:t>
      </w:r>
      <w:r>
        <w:rPr>
          <w:spacing w:val="-1"/>
        </w:rPr>
        <w:t>、在合同有效期内被保险人身故的；</w:t>
      </w:r>
    </w:p>
    <w:p>
      <w:pPr>
        <w:pStyle w:val="BodyText"/>
        <w:spacing w:before="210"/>
        <w:ind w:left="555"/>
      </w:pPr>
      <w:r>
        <w:rPr/>
        <w:t>4</w:t>
      </w:r>
      <w:r>
        <w:rPr>
          <w:spacing w:val="-1"/>
        </w:rPr>
        <w:t>、本合同保险期间届满的；</w:t>
      </w:r>
    </w:p>
    <w:p>
      <w:pPr>
        <w:pStyle w:val="BodyText"/>
        <w:spacing w:before="213"/>
        <w:ind w:left="555"/>
      </w:pPr>
      <w:r>
        <w:rPr>
          <w:spacing w:val="-2"/>
        </w:rPr>
        <w:t>5</w:t>
      </w:r>
      <w:r>
        <w:rPr>
          <w:spacing w:val="-3"/>
        </w:rPr>
        <w:t>、本合同效力中止且未能按照本合同第十二条办理复效的；</w:t>
      </w:r>
    </w:p>
    <w:p>
      <w:pPr>
        <w:pStyle w:val="BodyText"/>
        <w:spacing w:before="212"/>
        <w:ind w:left="555"/>
      </w:pPr>
      <w:r>
        <w:rPr/>
        <w:t>6</w:t>
      </w:r>
      <w:r>
        <w:rPr>
          <w:spacing w:val="-1"/>
        </w:rPr>
        <w:t>、法律法规规定或本合同约定的其他效力终止的情形。</w:t>
      </w:r>
    </w:p>
    <w:p>
      <w:pPr>
        <w:spacing w:before="145"/>
        <w:ind w:left="555" w:right="0" w:firstLine="0"/>
        <w:jc w:val="left"/>
        <w:rPr>
          <w:rFonts w:ascii="Microsoft JhengHei" w:eastAsia="Microsoft JhengHei"/>
          <w:b/>
          <w:sz w:val="22"/>
        </w:rPr>
      </w:pPr>
      <w:r>
        <w:rPr>
          <w:rFonts w:ascii="Microsoft JhengHei" w:eastAsia="Microsoft JhengHei"/>
          <w:b/>
          <w:spacing w:val="1"/>
          <w:sz w:val="22"/>
        </w:rPr>
        <w:t>第二十六条 联系方式变更</w:t>
      </w:r>
    </w:p>
    <w:p>
      <w:pPr>
        <w:pStyle w:val="BodyText"/>
        <w:spacing w:line="420" w:lineRule="auto" w:before="158"/>
        <w:ind w:right="333" w:firstLine="439"/>
        <w:jc w:val="both"/>
      </w:pPr>
      <w:r>
        <w:rPr>
          <w:spacing w:val="-2"/>
        </w:rPr>
        <w:t>为保障投保人的权益，投保人的通信地址、电话或者电子邮箱等联系方式发生变更时须及时通知本公司。否则，本公司将按照本合同载明的最后住所或通信地址发送有关通知，并视为</w:t>
      </w:r>
      <w:r>
        <w:rPr>
          <w:spacing w:val="-2"/>
        </w:rPr>
        <w:t>已送达投保人。</w:t>
      </w:r>
    </w:p>
    <w:p>
      <w:pPr>
        <w:spacing w:line="338" w:lineRule="exact" w:before="0"/>
        <w:ind w:left="555" w:right="0" w:firstLine="0"/>
        <w:jc w:val="left"/>
        <w:rPr>
          <w:rFonts w:ascii="Microsoft JhengHei" w:eastAsia="Microsoft JhengHei"/>
          <w:b/>
          <w:sz w:val="22"/>
        </w:rPr>
      </w:pPr>
      <w:r>
        <w:rPr>
          <w:rFonts w:ascii="Microsoft JhengHei" w:eastAsia="Microsoft JhengHei"/>
          <w:b/>
          <w:spacing w:val="4"/>
          <w:sz w:val="22"/>
        </w:rPr>
        <w:t>第二十七条 争议处理</w:t>
      </w:r>
    </w:p>
    <w:p>
      <w:pPr>
        <w:pStyle w:val="BodyText"/>
        <w:spacing w:before="160"/>
        <w:ind w:left="555"/>
      </w:pPr>
      <w:r>
        <w:rPr>
          <w:spacing w:val="-3"/>
        </w:rPr>
        <w:t>合同履行过程中发生争议的，由双方协商解决，协商不成的，依法向人民法院起诉。</w:t>
      </w:r>
    </w:p>
    <w:p>
      <w:pPr>
        <w:pStyle w:val="BodyText"/>
        <w:ind w:left="0"/>
        <w:rPr>
          <w:sz w:val="20"/>
        </w:rPr>
      </w:pPr>
    </w:p>
    <w:p>
      <w:pPr>
        <w:pStyle w:val="BodyText"/>
        <w:ind w:left="0"/>
        <w:rPr>
          <w:sz w:val="15"/>
        </w:rPr>
      </w:pPr>
    </w:p>
    <w:p>
      <w:pPr>
        <w:spacing w:before="6"/>
        <w:ind w:left="551" w:right="767" w:firstLine="0"/>
        <w:jc w:val="center"/>
        <w:rPr>
          <w:rFonts w:ascii="Microsoft JhengHei" w:eastAsia="Microsoft JhengHei"/>
          <w:b/>
          <w:sz w:val="22"/>
        </w:rPr>
      </w:pPr>
      <w:r>
        <w:rPr>
          <w:rFonts w:ascii="Microsoft JhengHei" w:eastAsia="Microsoft JhengHei"/>
          <w:b/>
          <w:spacing w:val="7"/>
          <w:sz w:val="22"/>
        </w:rPr>
        <w:t>第八部分 释义</w:t>
      </w:r>
    </w:p>
    <w:p>
      <w:pPr>
        <w:spacing w:before="92"/>
        <w:ind w:left="115" w:right="6860" w:firstLine="0"/>
        <w:jc w:val="center"/>
        <w:rPr>
          <w:rFonts w:ascii="Microsoft JhengHei" w:eastAsia="Microsoft JhengHei"/>
          <w:b/>
          <w:sz w:val="22"/>
        </w:rPr>
      </w:pPr>
      <w:r>
        <w:rPr>
          <w:rFonts w:ascii="Microsoft JhengHei" w:eastAsia="Microsoft JhengHei"/>
          <w:b/>
          <w:spacing w:val="6"/>
          <w:sz w:val="22"/>
        </w:rPr>
        <w:t>第二十八条 释义</w:t>
      </w:r>
    </w:p>
    <w:p>
      <w:pPr>
        <w:pStyle w:val="BodyText"/>
        <w:spacing w:line="422" w:lineRule="auto" w:before="157"/>
        <w:ind w:right="340" w:firstLine="439"/>
      </w:pPr>
      <w:r>
        <w:rPr>
          <w:spacing w:val="5"/>
          <w:w w:val="97"/>
        </w:rPr>
        <w:t>1</w:t>
      </w:r>
      <w:r>
        <w:rPr>
          <w:spacing w:val="1"/>
          <w:w w:val="100"/>
        </w:rPr>
        <w:t>、保单年度：指保险合同生效日或者生效对应日零时起至下一保险合同生效对应日零时</w:t>
      </w:r>
      <w:r>
        <w:rPr>
          <w:spacing w:val="-3"/>
          <w:w w:val="100"/>
        </w:rPr>
        <w:t>为止的期间为一个保单年度。如果当月无对应的同一日的，则以该月最后一日作为对应日。</w:t>
      </w:r>
    </w:p>
    <w:p>
      <w:pPr>
        <w:pStyle w:val="BodyText"/>
        <w:spacing w:line="420" w:lineRule="auto"/>
        <w:ind w:right="336" w:firstLine="439"/>
      </w:pPr>
      <w:r>
        <w:rPr>
          <w:spacing w:val="3"/>
          <w:w w:val="120"/>
        </w:rPr>
        <w:t>2</w:t>
      </w:r>
      <w:r>
        <w:rPr>
          <w:spacing w:val="1"/>
          <w:w w:val="100"/>
        </w:rPr>
        <w:t>、保险费约定交纳日：为保险合同生效日依据投保人选择的交费方式所对应的日期。当</w:t>
      </w:r>
      <w:r>
        <w:rPr>
          <w:spacing w:val="-3"/>
          <w:w w:val="100"/>
        </w:rPr>
        <w:t>月无对应日期的，以该月的最后一日为保险费应交日。</w:t>
      </w:r>
    </w:p>
    <w:p>
      <w:pPr>
        <w:pStyle w:val="BodyText"/>
        <w:spacing w:line="420" w:lineRule="auto"/>
        <w:ind w:right="340" w:firstLine="439"/>
      </w:pPr>
      <w:r>
        <w:rPr>
          <w:spacing w:val="2"/>
          <w:w w:val="121"/>
        </w:rPr>
        <w:t>3</w:t>
      </w:r>
      <w:r>
        <w:rPr>
          <w:spacing w:val="1"/>
          <w:w w:val="100"/>
        </w:rPr>
        <w:t>、有效身份证件：指身份证、护照、军人证、警官证、户口簿等政府主管部门规定的可</w:t>
      </w:r>
      <w:r>
        <w:rPr>
          <w:spacing w:val="-3"/>
          <w:w w:val="100"/>
        </w:rPr>
        <w:t>证明身份的有效证件。户口簿的使用仅限于</w:t>
      </w:r>
      <w:r>
        <w:rPr>
          <w:spacing w:val="-55"/>
        </w:rPr>
        <w:t> </w:t>
      </w:r>
      <w:r>
        <w:rPr>
          <w:w w:val="110"/>
        </w:rPr>
        <w:t>16</w:t>
      </w:r>
      <w:r>
        <w:rPr>
          <w:spacing w:val="-56"/>
        </w:rPr>
        <w:t> </w:t>
      </w:r>
      <w:r>
        <w:rPr>
          <w:spacing w:val="-3"/>
          <w:w w:val="100"/>
        </w:rPr>
        <w:t>周岁以下尚未申领身份证的未成年人。</w:t>
      </w:r>
    </w:p>
    <w:p>
      <w:pPr>
        <w:spacing w:after="0" w:line="420" w:lineRule="auto"/>
        <w:sectPr>
          <w:pgSz w:w="11910" w:h="16840"/>
          <w:pgMar w:top="1000" w:bottom="280" w:left="1300" w:right="1080"/>
        </w:sectPr>
      </w:pPr>
    </w:p>
    <w:p>
      <w:pPr>
        <w:spacing w:line="292" w:lineRule="auto" w:before="0"/>
        <w:ind w:left="116" w:right="333" w:firstLine="439"/>
        <w:jc w:val="left"/>
        <w:rPr>
          <w:rFonts w:ascii="微软雅黑" w:eastAsia="微软雅黑"/>
          <w:b/>
          <w:sz w:val="22"/>
        </w:rPr>
      </w:pPr>
      <w:r>
        <w:rPr>
          <w:sz w:val="22"/>
        </w:rPr>
        <w:t>4</w:t>
      </w:r>
      <w:r>
        <w:rPr>
          <w:sz w:val="22"/>
        </w:rPr>
        <w:t>、医院：是指国家卫生行政部门审定的二级或二级以上的公立医院。</w:t>
      </w:r>
      <w:r>
        <w:rPr>
          <w:rFonts w:ascii="微软雅黑" w:eastAsia="微软雅黑"/>
          <w:b/>
          <w:sz w:val="22"/>
        </w:rPr>
        <w:t>但不包括主要作为</w:t>
      </w:r>
      <w:r>
        <w:rPr>
          <w:rFonts w:ascii="微软雅黑" w:eastAsia="微软雅黑"/>
          <w:b/>
          <w:spacing w:val="-2"/>
          <w:sz w:val="22"/>
        </w:rPr>
        <w:t>康复、护理、联合病房、家庭病床、疗养或戒酒、戒毒等相类似的医疗机构。</w:t>
      </w:r>
    </w:p>
    <w:p>
      <w:pPr>
        <w:spacing w:line="290" w:lineRule="auto" w:before="0"/>
        <w:ind w:left="116" w:right="332" w:firstLine="439"/>
        <w:jc w:val="left"/>
        <w:rPr>
          <w:sz w:val="22"/>
        </w:rPr>
      </w:pPr>
      <w:r>
        <w:rPr>
          <w:spacing w:val="2"/>
          <w:w w:val="122"/>
          <w:sz w:val="22"/>
        </w:rPr>
        <w:t>5</w:t>
      </w:r>
      <w:r>
        <w:rPr>
          <w:spacing w:val="2"/>
          <w:w w:val="100"/>
          <w:sz w:val="22"/>
        </w:rPr>
        <w:t>、专科医生：指具有专业资格认证和诊断处方权，且正在医院执业的医师，</w:t>
      </w:r>
      <w:r>
        <w:rPr>
          <w:rFonts w:ascii="微软雅黑" w:eastAsia="微软雅黑"/>
          <w:b/>
          <w:spacing w:val="1"/>
          <w:w w:val="100"/>
          <w:sz w:val="22"/>
        </w:rPr>
        <w:t>但被保险人</w:t>
      </w:r>
      <w:r>
        <w:rPr>
          <w:rFonts w:ascii="微软雅黑" w:eastAsia="微软雅黑"/>
          <w:b/>
          <w:spacing w:val="-1"/>
          <w:w w:val="100"/>
          <w:sz w:val="22"/>
        </w:rPr>
        <w:t>本人及其直系亲属除外</w:t>
      </w:r>
      <w:r>
        <w:rPr>
          <w:spacing w:val="-3"/>
          <w:w w:val="100"/>
          <w:sz w:val="22"/>
        </w:rPr>
        <w:t>，专科医生应当同时满足以下四项资格条件：</w:t>
      </w:r>
    </w:p>
    <w:p>
      <w:pPr>
        <w:pStyle w:val="ListParagraph"/>
        <w:numPr>
          <w:ilvl w:val="0"/>
          <w:numId w:val="6"/>
        </w:numPr>
        <w:tabs>
          <w:tab w:pos="1107" w:val="left" w:leader="none"/>
        </w:tabs>
        <w:spacing w:line="240" w:lineRule="auto" w:before="67" w:after="0"/>
        <w:ind w:left="1106" w:right="0" w:hanging="552"/>
        <w:jc w:val="left"/>
        <w:rPr>
          <w:rFonts w:ascii="宋体" w:eastAsia="宋体"/>
          <w:sz w:val="22"/>
        </w:rPr>
      </w:pPr>
      <w:r>
        <w:rPr>
          <w:rFonts w:ascii="宋体" w:eastAsia="宋体"/>
          <w:spacing w:val="-3"/>
          <w:sz w:val="22"/>
        </w:rPr>
        <w:t>具有有效的中华人民共和国《医师资格证书》；</w:t>
      </w:r>
    </w:p>
    <w:p>
      <w:pPr>
        <w:pStyle w:val="ListParagraph"/>
        <w:numPr>
          <w:ilvl w:val="0"/>
          <w:numId w:val="6"/>
        </w:numPr>
        <w:tabs>
          <w:tab w:pos="1131" w:val="left" w:leader="none"/>
        </w:tabs>
        <w:spacing w:line="240" w:lineRule="auto" w:before="212" w:after="0"/>
        <w:ind w:left="1130" w:right="0" w:hanging="576"/>
        <w:jc w:val="left"/>
        <w:rPr>
          <w:rFonts w:ascii="宋体" w:eastAsia="宋体"/>
          <w:sz w:val="22"/>
        </w:rPr>
      </w:pPr>
      <w:r>
        <w:rPr>
          <w:rFonts w:ascii="宋体" w:eastAsia="宋体"/>
          <w:spacing w:val="-3"/>
          <w:sz w:val="22"/>
        </w:rPr>
        <w:t>具有有效的中华人民共和国《医师执业证书》，并按期到相关部门登记注册；</w:t>
      </w:r>
    </w:p>
    <w:p>
      <w:pPr>
        <w:pStyle w:val="ListParagraph"/>
        <w:numPr>
          <w:ilvl w:val="0"/>
          <w:numId w:val="6"/>
        </w:numPr>
        <w:tabs>
          <w:tab w:pos="1133" w:val="left" w:leader="none"/>
        </w:tabs>
        <w:spacing w:line="240" w:lineRule="auto" w:before="211" w:after="0"/>
        <w:ind w:left="1132" w:right="0" w:hanging="578"/>
        <w:jc w:val="left"/>
        <w:rPr>
          <w:rFonts w:ascii="宋体" w:eastAsia="宋体"/>
          <w:sz w:val="22"/>
        </w:rPr>
      </w:pPr>
      <w:r>
        <w:rPr>
          <w:rFonts w:ascii="宋体" w:eastAsia="宋体"/>
          <w:spacing w:val="-3"/>
          <w:sz w:val="22"/>
        </w:rPr>
        <w:t>具有有效的中华人民共和国主治医师或主治医师以上职称的《医师职称证书》；</w:t>
      </w:r>
    </w:p>
    <w:p>
      <w:pPr>
        <w:pStyle w:val="ListParagraph"/>
        <w:numPr>
          <w:ilvl w:val="0"/>
          <w:numId w:val="6"/>
        </w:numPr>
        <w:tabs>
          <w:tab w:pos="1141" w:val="left" w:leader="none"/>
        </w:tabs>
        <w:spacing w:line="420" w:lineRule="auto" w:before="212" w:after="0"/>
        <w:ind w:left="116" w:right="337" w:firstLine="439"/>
        <w:jc w:val="left"/>
        <w:rPr>
          <w:rFonts w:ascii="宋体" w:eastAsia="宋体"/>
          <w:sz w:val="22"/>
        </w:rPr>
      </w:pPr>
      <w:r>
        <w:rPr>
          <w:rFonts w:ascii="宋体" w:eastAsia="宋体"/>
          <w:spacing w:val="-2"/>
          <w:sz w:val="22"/>
        </w:rPr>
        <w:t>在国家《医院分级管理标准》二级或二级以上医院的相应科室从事临床工作三年以</w:t>
      </w:r>
      <w:r>
        <w:rPr>
          <w:rFonts w:ascii="宋体" w:eastAsia="宋体"/>
          <w:spacing w:val="-6"/>
          <w:sz w:val="22"/>
        </w:rPr>
        <w:t>上。</w:t>
      </w:r>
    </w:p>
    <w:p>
      <w:pPr>
        <w:pStyle w:val="BodyText"/>
        <w:spacing w:line="420" w:lineRule="auto"/>
        <w:ind w:right="337" w:firstLine="439"/>
      </w:pPr>
      <w:r>
        <w:rPr>
          <w:spacing w:val="1"/>
          <w:w w:val="123"/>
        </w:rPr>
        <w:t>6</w:t>
      </w:r>
      <w:r>
        <w:rPr>
          <w:spacing w:val="1"/>
          <w:w w:val="100"/>
        </w:rPr>
        <w:t>、初次确诊：指自被保险人出生之日起第一次经医院确诊患有某种疾病，而不是指自本</w:t>
      </w:r>
      <w:r>
        <w:rPr>
          <w:spacing w:val="-3"/>
          <w:w w:val="100"/>
        </w:rPr>
        <w:t>合同生效后第一次经医院确诊患有某种疾病。</w:t>
      </w:r>
    </w:p>
    <w:p>
      <w:pPr>
        <w:pStyle w:val="BodyText"/>
        <w:spacing w:line="420" w:lineRule="auto" w:before="3"/>
        <w:ind w:right="340" w:firstLine="439"/>
      </w:pPr>
      <w:r>
        <w:rPr>
          <w:spacing w:val="4"/>
          <w:w w:val="122"/>
        </w:rPr>
        <w:t>7</w:t>
      </w:r>
      <w:r>
        <w:rPr>
          <w:spacing w:val="1"/>
          <w:w w:val="100"/>
        </w:rPr>
        <w:t>、组织病理学检查：是通过局部切除、钳取、穿刺等手术方法，从患者机体采取病变组</w:t>
      </w:r>
      <w:r>
        <w:rPr>
          <w:spacing w:val="-3"/>
          <w:w w:val="100"/>
        </w:rPr>
        <w:t>织块，经过包埋、切片后，进行病理检查的方法。</w:t>
      </w:r>
    </w:p>
    <w:p>
      <w:pPr>
        <w:spacing w:line="335" w:lineRule="exact" w:before="0"/>
        <w:ind w:left="555" w:right="0" w:firstLine="0"/>
        <w:jc w:val="left"/>
        <w:rPr>
          <w:rFonts w:ascii="微软雅黑" w:eastAsia="微软雅黑"/>
          <w:b/>
          <w:sz w:val="22"/>
        </w:rPr>
      </w:pPr>
      <w:r>
        <w:rPr>
          <w:rFonts w:ascii="微软雅黑" w:eastAsia="微软雅黑"/>
          <w:b/>
          <w:spacing w:val="-1"/>
          <w:sz w:val="22"/>
        </w:rPr>
        <w:t>通过采集病变部位脱落细胞、细针吸取病变部位细胞、体腔积液分离病变细胞等方式获取</w:t>
      </w:r>
    </w:p>
    <w:p>
      <w:pPr>
        <w:spacing w:line="333" w:lineRule="auto" w:before="89"/>
        <w:ind w:left="555" w:right="332" w:hanging="440"/>
        <w:jc w:val="left"/>
        <w:rPr>
          <w:sz w:val="22"/>
        </w:rPr>
      </w:pPr>
      <w:r>
        <w:rPr>
          <w:rFonts w:ascii="微软雅黑" w:eastAsia="微软雅黑"/>
          <w:b/>
          <w:spacing w:val="-2"/>
          <w:sz w:val="22"/>
        </w:rPr>
        <w:t>病变细胞，制成涂片，进行病理检查的方法，属于细胞病理学检查，不属于组织病理学检查。</w:t>
      </w:r>
      <w:r>
        <w:rPr>
          <w:rFonts w:ascii="微软雅黑" w:eastAsia="微软雅黑"/>
          <w:b/>
          <w:spacing w:val="40"/>
          <w:sz w:val="22"/>
        </w:rPr>
        <w:t> </w:t>
      </w:r>
      <w:r>
        <w:rPr>
          <w:sz w:val="22"/>
        </w:rPr>
        <w:t>8</w:t>
      </w:r>
      <w:r>
        <w:rPr>
          <w:sz w:val="22"/>
        </w:rPr>
        <w:t>、《疾病和有关健康问题的国际统计分类》第十次修订版</w:t>
      </w:r>
      <w:r>
        <w:rPr>
          <w:spacing w:val="1"/>
          <w:w w:val="81"/>
          <w:sz w:val="22"/>
        </w:rPr>
        <w:t>（</w:t>
      </w:r>
      <w:r>
        <w:rPr>
          <w:spacing w:val="-2"/>
          <w:w w:val="32"/>
          <w:sz w:val="22"/>
        </w:rPr>
        <w:t>I</w:t>
      </w:r>
      <w:r>
        <w:rPr>
          <w:w w:val="140"/>
          <w:sz w:val="22"/>
        </w:rPr>
        <w:t>CD</w:t>
      </w:r>
      <w:r>
        <w:rPr>
          <w:spacing w:val="-3"/>
          <w:w w:val="105"/>
          <w:sz w:val="22"/>
        </w:rPr>
        <w:t>-</w:t>
      </w:r>
      <w:r>
        <w:rPr>
          <w:sz w:val="22"/>
        </w:rPr>
        <w:t>10）</w:t>
      </w:r>
      <w:r>
        <w:rPr>
          <w:spacing w:val="-2"/>
          <w:sz w:val="22"/>
        </w:rPr>
        <w:t>：是世界卫生组织</w:t>
      </w:r>
    </w:p>
    <w:p>
      <w:pPr>
        <w:pStyle w:val="BodyText"/>
        <w:spacing w:line="420" w:lineRule="auto" w:before="101"/>
        <w:ind w:right="329"/>
        <w:jc w:val="both"/>
      </w:pPr>
      <w:r>
        <w:rPr>
          <w:w w:val="57"/>
        </w:rPr>
        <w:t>（</w:t>
      </w:r>
      <w:r>
        <w:rPr>
          <w:spacing w:val="-6"/>
          <w:w w:val="165"/>
        </w:rPr>
        <w:t>W</w:t>
      </w:r>
      <w:r>
        <w:rPr>
          <w:spacing w:val="-6"/>
          <w:w w:val="115"/>
        </w:rPr>
        <w:t>H</w:t>
      </w:r>
      <w:r>
        <w:rPr>
          <w:spacing w:val="-2"/>
          <w:w w:val="129"/>
        </w:rPr>
        <w:t>O</w:t>
      </w:r>
      <w:r>
        <w:rPr>
          <w:w w:val="57"/>
        </w:rPr>
        <w:t>）</w:t>
      </w:r>
      <w:r>
        <w:rPr>
          <w:spacing w:val="-2"/>
          <w:w w:val="105"/>
        </w:rPr>
        <w:t>发</w:t>
      </w:r>
      <w:r>
        <w:rPr>
          <w:spacing w:val="-2"/>
          <w:w w:val="105"/>
        </w:rPr>
        <w:t>布</w:t>
      </w:r>
      <w:r>
        <w:rPr>
          <w:spacing w:val="-2"/>
          <w:w w:val="105"/>
        </w:rPr>
        <w:t>的</w:t>
      </w:r>
      <w:r>
        <w:rPr>
          <w:spacing w:val="-2"/>
          <w:w w:val="105"/>
        </w:rPr>
        <w:t>国</w:t>
      </w:r>
      <w:r>
        <w:rPr>
          <w:spacing w:val="-2"/>
          <w:w w:val="105"/>
        </w:rPr>
        <w:t>际</w:t>
      </w:r>
      <w:r>
        <w:rPr>
          <w:spacing w:val="-2"/>
          <w:w w:val="105"/>
        </w:rPr>
        <w:t>通</w:t>
      </w:r>
      <w:r>
        <w:rPr>
          <w:spacing w:val="-2"/>
          <w:w w:val="105"/>
        </w:rPr>
        <w:t>用</w:t>
      </w:r>
      <w:r>
        <w:rPr>
          <w:spacing w:val="-2"/>
          <w:w w:val="105"/>
        </w:rPr>
        <w:t>的</w:t>
      </w:r>
      <w:r>
        <w:rPr>
          <w:spacing w:val="-2"/>
          <w:w w:val="105"/>
        </w:rPr>
        <w:t>疾</w:t>
      </w:r>
      <w:r>
        <w:rPr>
          <w:spacing w:val="-2"/>
          <w:w w:val="105"/>
        </w:rPr>
        <w:t>病</w:t>
      </w:r>
      <w:r>
        <w:rPr>
          <w:spacing w:val="-2"/>
          <w:w w:val="105"/>
        </w:rPr>
        <w:t>分</w:t>
      </w:r>
      <w:r>
        <w:rPr>
          <w:spacing w:val="-2"/>
          <w:w w:val="105"/>
        </w:rPr>
        <w:t>类</w:t>
      </w:r>
      <w:r>
        <w:rPr>
          <w:spacing w:val="-2"/>
          <w:w w:val="105"/>
        </w:rPr>
        <w:t>方</w:t>
      </w:r>
      <w:r>
        <w:rPr>
          <w:spacing w:val="-2"/>
          <w:w w:val="105"/>
        </w:rPr>
        <w:t>法</w:t>
      </w:r>
      <w:r>
        <w:rPr>
          <w:spacing w:val="-2"/>
          <w:w w:val="105"/>
        </w:rPr>
        <w:t>。</w:t>
      </w:r>
      <w:r>
        <w:rPr>
          <w:spacing w:val="-2"/>
          <w:w w:val="105"/>
        </w:rPr>
        <w:t>《</w:t>
      </w:r>
      <w:r>
        <w:rPr>
          <w:spacing w:val="-2"/>
          <w:w w:val="105"/>
        </w:rPr>
        <w:t>国</w:t>
      </w:r>
      <w:r>
        <w:rPr>
          <w:spacing w:val="-2"/>
          <w:w w:val="105"/>
        </w:rPr>
        <w:t>际</w:t>
      </w:r>
      <w:r>
        <w:rPr>
          <w:spacing w:val="-2"/>
          <w:w w:val="105"/>
        </w:rPr>
        <w:t>疾</w:t>
      </w:r>
      <w:r>
        <w:rPr>
          <w:spacing w:val="-2"/>
          <w:w w:val="105"/>
        </w:rPr>
        <w:t>病</w:t>
      </w:r>
      <w:r>
        <w:rPr>
          <w:spacing w:val="-2"/>
          <w:w w:val="105"/>
        </w:rPr>
        <w:t>分</w:t>
      </w:r>
      <w:r>
        <w:rPr>
          <w:spacing w:val="-2"/>
          <w:w w:val="105"/>
        </w:rPr>
        <w:t>类</w:t>
      </w:r>
      <w:r>
        <w:rPr>
          <w:spacing w:val="-2"/>
          <w:w w:val="105"/>
        </w:rPr>
        <w:t>肿</w:t>
      </w:r>
      <w:r>
        <w:rPr>
          <w:spacing w:val="-2"/>
          <w:w w:val="105"/>
        </w:rPr>
        <w:t>瘤</w:t>
      </w:r>
      <w:r>
        <w:rPr>
          <w:spacing w:val="-2"/>
          <w:w w:val="105"/>
        </w:rPr>
        <w:t>学</w:t>
      </w:r>
      <w:r>
        <w:rPr>
          <w:spacing w:val="-2"/>
          <w:w w:val="105"/>
        </w:rPr>
        <w:t>专</w:t>
      </w:r>
      <w:r>
        <w:rPr>
          <w:spacing w:val="-2"/>
          <w:w w:val="105"/>
        </w:rPr>
        <w:t>辑</w:t>
      </w:r>
      <w:r>
        <w:rPr>
          <w:spacing w:val="-2"/>
          <w:w w:val="105"/>
        </w:rPr>
        <w:t>》</w:t>
      </w:r>
      <w:r>
        <w:rPr>
          <w:spacing w:val="-2"/>
          <w:w w:val="105"/>
        </w:rPr>
        <w:t>第</w:t>
      </w:r>
      <w:r>
        <w:rPr>
          <w:spacing w:val="-2"/>
          <w:w w:val="105"/>
        </w:rPr>
        <w:t>三</w:t>
      </w:r>
      <w:r>
        <w:rPr>
          <w:spacing w:val="-2"/>
          <w:w w:val="105"/>
        </w:rPr>
        <w:t>版</w:t>
      </w:r>
      <w:r>
        <w:rPr>
          <w:spacing w:val="5"/>
          <w:w w:val="86"/>
        </w:rPr>
        <w:t>（</w:t>
      </w:r>
      <w:r>
        <w:rPr>
          <w:spacing w:val="-4"/>
          <w:w w:val="37"/>
        </w:rPr>
        <w:t>I</w:t>
      </w:r>
      <w:r>
        <w:rPr>
          <w:spacing w:val="-4"/>
          <w:w w:val="145"/>
        </w:rPr>
        <w:t>C</w:t>
      </w:r>
      <w:r>
        <w:rPr>
          <w:spacing w:val="-6"/>
          <w:w w:val="145"/>
        </w:rPr>
        <w:t>D</w:t>
      </w:r>
      <w:r>
        <w:rPr>
          <w:spacing w:val="-4"/>
          <w:w w:val="110"/>
        </w:rPr>
        <w:t>-</w:t>
      </w:r>
      <w:r>
        <w:rPr>
          <w:spacing w:val="-2"/>
          <w:w w:val="105"/>
        </w:rPr>
        <w:t>O- </w:t>
      </w:r>
      <w:r>
        <w:rPr/>
        <w:t>3），是 WHO</w:t>
      </w:r>
      <w:r>
        <w:rPr>
          <w:spacing w:val="4"/>
        </w:rPr>
        <w:t> 发布的针对 </w:t>
      </w:r>
      <w:r>
        <w:rPr>
          <w:spacing w:val="1"/>
          <w:w w:val="28"/>
        </w:rPr>
        <w:t>I</w:t>
      </w:r>
      <w:r>
        <w:rPr>
          <w:spacing w:val="-2"/>
          <w:w w:val="136"/>
        </w:rPr>
        <w:t>C</w:t>
      </w:r>
      <w:r>
        <w:rPr>
          <w:spacing w:val="1"/>
          <w:w w:val="135"/>
        </w:rPr>
        <w:t>D</w:t>
      </w:r>
      <w:r>
        <w:rPr>
          <w:w w:val="99"/>
        </w:rPr>
        <w:t> </w:t>
      </w:r>
      <w:r>
        <w:rPr/>
        <w:t>中肿瘤形态学组织学细胞类型、动态、分化程度的补充编码。</w:t>
      </w:r>
      <w:r>
        <w:rPr>
          <w:w w:val="95"/>
        </w:rPr>
        <w:t>其</w:t>
      </w:r>
      <w:r>
        <w:rPr>
          <w:w w:val="95"/>
        </w:rPr>
        <w:t>中</w:t>
      </w:r>
      <w:r>
        <w:rPr>
          <w:w w:val="95"/>
        </w:rPr>
        <w:t>形</w:t>
      </w:r>
      <w:r>
        <w:rPr>
          <w:w w:val="95"/>
        </w:rPr>
        <w:t>态</w:t>
      </w:r>
      <w:r>
        <w:rPr>
          <w:w w:val="95"/>
        </w:rPr>
        <w:t>学</w:t>
      </w:r>
      <w:r>
        <w:rPr>
          <w:w w:val="95"/>
        </w:rPr>
        <w:t>编</w:t>
      </w:r>
      <w:r>
        <w:rPr>
          <w:w w:val="95"/>
        </w:rPr>
        <w:t>码：0</w:t>
      </w:r>
      <w:r>
        <w:rPr>
          <w:spacing w:val="40"/>
        </w:rPr>
        <w:t> </w:t>
      </w:r>
      <w:r>
        <w:rPr>
          <w:w w:val="95"/>
        </w:rPr>
        <w:t>代表</w:t>
      </w:r>
      <w:r>
        <w:rPr>
          <w:w w:val="95"/>
        </w:rPr>
        <w:t>良</w:t>
      </w:r>
      <w:r>
        <w:rPr>
          <w:w w:val="95"/>
        </w:rPr>
        <w:t>性</w:t>
      </w:r>
      <w:r>
        <w:rPr>
          <w:w w:val="95"/>
        </w:rPr>
        <w:t>肿</w:t>
      </w:r>
      <w:r>
        <w:rPr>
          <w:w w:val="95"/>
        </w:rPr>
        <w:t>瘤；1</w:t>
      </w:r>
      <w:r>
        <w:rPr>
          <w:spacing w:val="40"/>
        </w:rPr>
        <w:t> </w:t>
      </w:r>
      <w:r>
        <w:rPr>
          <w:w w:val="95"/>
        </w:rPr>
        <w:t>代表</w:t>
      </w:r>
      <w:r>
        <w:rPr>
          <w:w w:val="95"/>
        </w:rPr>
        <w:t>动</w:t>
      </w:r>
      <w:r>
        <w:rPr>
          <w:w w:val="95"/>
        </w:rPr>
        <w:t>态</w:t>
      </w:r>
      <w:r>
        <w:rPr>
          <w:w w:val="95"/>
        </w:rPr>
        <w:t>未</w:t>
      </w:r>
      <w:r>
        <w:rPr>
          <w:w w:val="95"/>
        </w:rPr>
        <w:t>定</w:t>
      </w:r>
      <w:r>
        <w:rPr>
          <w:w w:val="95"/>
        </w:rPr>
        <w:t>性</w:t>
      </w:r>
      <w:r>
        <w:rPr>
          <w:w w:val="95"/>
        </w:rPr>
        <w:t>肿</w:t>
      </w:r>
      <w:r>
        <w:rPr>
          <w:w w:val="95"/>
        </w:rPr>
        <w:t>瘤；2</w:t>
      </w:r>
      <w:r>
        <w:rPr>
          <w:spacing w:val="40"/>
        </w:rPr>
        <w:t> </w:t>
      </w:r>
      <w:r>
        <w:rPr>
          <w:w w:val="95"/>
        </w:rPr>
        <w:t>代</w:t>
      </w:r>
      <w:r>
        <w:rPr>
          <w:w w:val="95"/>
        </w:rPr>
        <w:t>表</w:t>
      </w:r>
      <w:r>
        <w:rPr>
          <w:w w:val="95"/>
        </w:rPr>
        <w:t>原</w:t>
      </w:r>
      <w:r>
        <w:rPr>
          <w:w w:val="95"/>
        </w:rPr>
        <w:t>位</w:t>
      </w:r>
      <w:r>
        <w:rPr>
          <w:w w:val="95"/>
        </w:rPr>
        <w:t>癌</w:t>
      </w:r>
      <w:r>
        <w:rPr>
          <w:w w:val="95"/>
        </w:rPr>
        <w:t>和</w:t>
      </w:r>
      <w:r>
        <w:rPr>
          <w:w w:val="95"/>
        </w:rPr>
        <w:t>非</w:t>
      </w:r>
      <w:r>
        <w:rPr>
          <w:w w:val="95"/>
        </w:rPr>
        <w:t>侵</w:t>
      </w:r>
      <w:r>
        <w:rPr>
          <w:w w:val="95"/>
        </w:rPr>
        <w:t>袭</w:t>
      </w:r>
      <w:r>
        <w:rPr>
          <w:w w:val="95"/>
        </w:rPr>
        <w:t>性</w:t>
      </w:r>
      <w:r>
        <w:rPr>
          <w:w w:val="95"/>
        </w:rPr>
        <w:t>癌</w:t>
      </w:r>
      <w:r>
        <w:rPr>
          <w:w w:val="95"/>
        </w:rPr>
        <w:t>；3</w:t>
      </w:r>
      <w:r>
        <w:rPr>
          <w:spacing w:val="40"/>
        </w:rPr>
        <w:t> </w:t>
      </w:r>
      <w:r>
        <w:rPr>
          <w:w w:val="95"/>
        </w:rPr>
        <w:t>代</w:t>
      </w:r>
      <w:r>
        <w:rPr/>
        <w:t>表恶性肿瘤（原发性）；6 代表恶性肿瘤（转移性）；9 代表恶性肿瘤（原发性或转移性未肯</w:t>
      </w:r>
      <w:r>
        <w:rPr>
          <w:w w:val="110"/>
        </w:rPr>
        <w:t>定</w:t>
      </w:r>
      <w:r>
        <w:rPr>
          <w:w w:val="110"/>
        </w:rPr>
        <w:t>）</w:t>
      </w:r>
      <w:r>
        <w:rPr>
          <w:w w:val="110"/>
        </w:rPr>
        <w:t>。</w:t>
      </w:r>
      <w:r>
        <w:rPr>
          <w:w w:val="110"/>
        </w:rPr>
        <w:t>如</w:t>
      </w:r>
      <w:r>
        <w:rPr>
          <w:w w:val="110"/>
        </w:rPr>
        <w:t>果</w:t>
      </w:r>
      <w:r>
        <w:rPr>
          <w:w w:val="110"/>
        </w:rPr>
        <w:t>出</w:t>
      </w:r>
      <w:r>
        <w:rPr>
          <w:w w:val="110"/>
        </w:rPr>
        <w:t>现</w:t>
      </w:r>
      <w:r>
        <w:rPr>
          <w:spacing w:val="-62"/>
          <w:w w:val="110"/>
        </w:rPr>
        <w:t> </w:t>
      </w:r>
      <w:r>
        <w:rPr>
          <w:spacing w:val="1"/>
          <w:w w:val="38"/>
        </w:rPr>
        <w:t>I</w:t>
      </w:r>
      <w:r>
        <w:rPr>
          <w:spacing w:val="-2"/>
          <w:w w:val="146"/>
        </w:rPr>
        <w:t>C</w:t>
      </w:r>
      <w:r>
        <w:rPr>
          <w:spacing w:val="1"/>
          <w:w w:val="145"/>
        </w:rPr>
        <w:t>D</w:t>
      </w:r>
      <w:r>
        <w:rPr>
          <w:spacing w:val="-2"/>
          <w:w w:val="111"/>
        </w:rPr>
        <w:t>-</w:t>
      </w:r>
      <w:r>
        <w:rPr>
          <w:w w:val="110"/>
        </w:rPr>
        <w:t>10</w:t>
      </w:r>
      <w:r>
        <w:rPr>
          <w:spacing w:val="-46"/>
          <w:w w:val="110"/>
        </w:rPr>
        <w:t> 与 </w:t>
      </w:r>
      <w:r>
        <w:rPr>
          <w:w w:val="38"/>
        </w:rPr>
        <w:t>I</w:t>
      </w:r>
      <w:r>
        <w:rPr>
          <w:spacing w:val="-3"/>
          <w:w w:val="146"/>
        </w:rPr>
        <w:t>C</w:t>
      </w:r>
      <w:r>
        <w:rPr>
          <w:w w:val="145"/>
        </w:rPr>
        <w:t>D</w:t>
      </w:r>
      <w:r>
        <w:rPr>
          <w:w w:val="111"/>
        </w:rPr>
        <w:t>-</w:t>
      </w:r>
      <w:r>
        <w:rPr>
          <w:w w:val="135"/>
        </w:rPr>
        <w:t>O-</w:t>
      </w:r>
      <w:r>
        <w:rPr>
          <w:w w:val="110"/>
        </w:rPr>
        <w:t>3</w:t>
      </w:r>
      <w:r>
        <w:rPr>
          <w:spacing w:val="-33"/>
          <w:w w:val="110"/>
        </w:rPr>
        <w:t> 不</w:t>
      </w:r>
      <w:r>
        <w:rPr>
          <w:w w:val="110"/>
        </w:rPr>
        <w:t>一</w:t>
      </w:r>
      <w:r>
        <w:rPr>
          <w:w w:val="110"/>
        </w:rPr>
        <w:t>致</w:t>
      </w:r>
      <w:r>
        <w:rPr>
          <w:w w:val="110"/>
        </w:rPr>
        <w:t>的</w:t>
      </w:r>
      <w:r>
        <w:rPr>
          <w:w w:val="110"/>
        </w:rPr>
        <w:t>情</w:t>
      </w:r>
      <w:r>
        <w:rPr>
          <w:w w:val="110"/>
        </w:rPr>
        <w:t>况</w:t>
      </w:r>
      <w:r>
        <w:rPr>
          <w:spacing w:val="26"/>
          <w:w w:val="110"/>
        </w:rPr>
        <w:t>，以</w:t>
      </w:r>
      <w:r>
        <w:rPr>
          <w:w w:val="37"/>
        </w:rPr>
        <w:t>I</w:t>
      </w:r>
      <w:r>
        <w:rPr>
          <w:w w:val="145"/>
        </w:rPr>
        <w:t>C</w:t>
      </w:r>
      <w:r>
        <w:rPr>
          <w:spacing w:val="-2"/>
          <w:w w:val="145"/>
        </w:rPr>
        <w:t>D</w:t>
      </w:r>
      <w:r>
        <w:rPr>
          <w:w w:val="110"/>
        </w:rPr>
        <w:t>-</w:t>
      </w:r>
      <w:r>
        <w:rPr>
          <w:w w:val="135"/>
        </w:rPr>
        <w:t>O-</w:t>
      </w:r>
      <w:r>
        <w:rPr>
          <w:w w:val="110"/>
        </w:rPr>
        <w:t>3</w:t>
      </w:r>
      <w:r>
        <w:rPr>
          <w:spacing w:val="-17"/>
          <w:w w:val="110"/>
        </w:rPr>
        <w:t> 为准。</w:t>
      </w:r>
    </w:p>
    <w:p>
      <w:pPr>
        <w:pStyle w:val="BodyText"/>
        <w:spacing w:line="420" w:lineRule="auto" w:before="3"/>
        <w:ind w:right="333" w:firstLine="439"/>
        <w:jc w:val="both"/>
      </w:pPr>
      <w:r>
        <w:rPr>
          <w:w w:val="110"/>
        </w:rPr>
        <w:t>9</w:t>
      </w:r>
      <w:r>
        <w:rPr>
          <w:w w:val="105"/>
        </w:rPr>
        <w:t>、</w:t>
      </w:r>
      <w:r>
        <w:rPr>
          <w:w w:val="110"/>
        </w:rPr>
        <w:t>TNM</w:t>
      </w:r>
      <w:r>
        <w:rPr>
          <w:spacing w:val="-31"/>
          <w:w w:val="110"/>
        </w:rPr>
        <w:t> </w:t>
      </w:r>
      <w:r>
        <w:rPr>
          <w:spacing w:val="-5"/>
          <w:w w:val="105"/>
        </w:rPr>
        <w:t>分期：采用 </w:t>
      </w:r>
      <w:r>
        <w:rPr>
          <w:w w:val="110"/>
        </w:rPr>
        <w:t>AJCC</w:t>
      </w:r>
      <w:r>
        <w:rPr>
          <w:spacing w:val="-30"/>
          <w:w w:val="110"/>
        </w:rPr>
        <w:t> </w:t>
      </w:r>
      <w:r>
        <w:rPr>
          <w:w w:val="105"/>
        </w:rPr>
        <w:t>癌</w:t>
      </w:r>
      <w:r>
        <w:rPr>
          <w:w w:val="105"/>
        </w:rPr>
        <w:t>症</w:t>
      </w:r>
      <w:r>
        <w:rPr>
          <w:w w:val="105"/>
        </w:rPr>
        <w:t>分</w:t>
      </w:r>
      <w:r>
        <w:rPr>
          <w:w w:val="105"/>
        </w:rPr>
        <w:t>期</w:t>
      </w:r>
      <w:r>
        <w:rPr>
          <w:w w:val="105"/>
        </w:rPr>
        <w:t>手</w:t>
      </w:r>
      <w:r>
        <w:rPr>
          <w:w w:val="105"/>
        </w:rPr>
        <w:t>册标准</w:t>
      </w:r>
      <w:r>
        <w:rPr>
          <w:w w:val="105"/>
        </w:rPr>
        <w:t>。</w:t>
      </w:r>
      <w:r>
        <w:rPr>
          <w:w w:val="105"/>
        </w:rPr>
        <w:t>该</w:t>
      </w:r>
      <w:r>
        <w:rPr>
          <w:w w:val="105"/>
        </w:rPr>
        <w:t>标</w:t>
      </w:r>
      <w:r>
        <w:rPr>
          <w:w w:val="105"/>
        </w:rPr>
        <w:t>准</w:t>
      </w:r>
      <w:r>
        <w:rPr>
          <w:w w:val="105"/>
        </w:rPr>
        <w:t>由</w:t>
      </w:r>
      <w:r>
        <w:rPr>
          <w:w w:val="105"/>
        </w:rPr>
        <w:t>美</w:t>
      </w:r>
      <w:r>
        <w:rPr>
          <w:w w:val="105"/>
        </w:rPr>
        <w:t>国</w:t>
      </w:r>
      <w:r>
        <w:rPr>
          <w:w w:val="105"/>
        </w:rPr>
        <w:t>癌</w:t>
      </w:r>
      <w:r>
        <w:rPr>
          <w:w w:val="105"/>
        </w:rPr>
        <w:t>症</w:t>
      </w:r>
      <w:r>
        <w:rPr>
          <w:w w:val="105"/>
        </w:rPr>
        <w:t>联</w:t>
      </w:r>
      <w:r>
        <w:rPr>
          <w:w w:val="105"/>
        </w:rPr>
        <w:t>合</w:t>
      </w:r>
      <w:r>
        <w:rPr>
          <w:w w:val="105"/>
        </w:rPr>
        <w:t>委</w:t>
      </w:r>
      <w:r>
        <w:rPr>
          <w:w w:val="105"/>
        </w:rPr>
        <w:t>员</w:t>
      </w:r>
      <w:r>
        <w:rPr>
          <w:w w:val="105"/>
        </w:rPr>
        <w:t>会</w:t>
      </w:r>
      <w:r>
        <w:rPr>
          <w:w w:val="105"/>
        </w:rPr>
        <w:t>与</w:t>
      </w:r>
      <w:r>
        <w:rPr>
          <w:w w:val="105"/>
        </w:rPr>
        <w:t>国</w:t>
      </w:r>
      <w:r>
        <w:rPr>
          <w:w w:val="105"/>
        </w:rPr>
        <w:t>际</w:t>
      </w:r>
      <w:r>
        <w:rPr>
          <w:w w:val="105"/>
        </w:rPr>
        <w:t>抗</w:t>
      </w:r>
      <w:r>
        <w:rPr/>
        <w:t>癌联合委员会 TNM 委员会联合制定，是目前肿瘤医学分期的国际通用标准。T 指原发肿瘤的</w:t>
      </w:r>
      <w:r>
        <w:rPr>
          <w:spacing w:val="-2"/>
          <w:w w:val="105"/>
        </w:rPr>
        <w:t>大</w:t>
      </w:r>
      <w:r>
        <w:rPr>
          <w:spacing w:val="-2"/>
          <w:w w:val="105"/>
        </w:rPr>
        <w:t>小</w:t>
      </w:r>
      <w:r>
        <w:rPr>
          <w:spacing w:val="-2"/>
          <w:w w:val="105"/>
        </w:rPr>
        <w:t>、</w:t>
      </w:r>
      <w:r>
        <w:rPr>
          <w:spacing w:val="-2"/>
          <w:w w:val="105"/>
        </w:rPr>
        <w:t>形</w:t>
      </w:r>
      <w:r>
        <w:rPr>
          <w:spacing w:val="-2"/>
          <w:w w:val="105"/>
        </w:rPr>
        <w:t>态</w:t>
      </w:r>
      <w:r>
        <w:rPr>
          <w:spacing w:val="-2"/>
          <w:w w:val="105"/>
        </w:rPr>
        <w:t>等</w:t>
      </w:r>
      <w:r>
        <w:rPr>
          <w:spacing w:val="-2"/>
          <w:w w:val="110"/>
        </w:rPr>
        <w:t>；N</w:t>
      </w:r>
      <w:r>
        <w:rPr>
          <w:spacing w:val="-66"/>
          <w:w w:val="110"/>
        </w:rPr>
        <w:t> </w:t>
      </w:r>
      <w:r>
        <w:rPr>
          <w:spacing w:val="-2"/>
          <w:w w:val="105"/>
        </w:rPr>
        <w:t>指</w:t>
      </w:r>
      <w:r>
        <w:rPr>
          <w:spacing w:val="-2"/>
          <w:w w:val="105"/>
        </w:rPr>
        <w:t>淋</w:t>
      </w:r>
      <w:r>
        <w:rPr>
          <w:spacing w:val="-2"/>
          <w:w w:val="105"/>
        </w:rPr>
        <w:t>巴</w:t>
      </w:r>
      <w:r>
        <w:rPr>
          <w:spacing w:val="-2"/>
          <w:w w:val="105"/>
        </w:rPr>
        <w:t>结</w:t>
      </w:r>
      <w:r>
        <w:rPr>
          <w:spacing w:val="-2"/>
          <w:w w:val="105"/>
        </w:rPr>
        <w:t>的</w:t>
      </w:r>
      <w:r>
        <w:rPr>
          <w:spacing w:val="-2"/>
          <w:w w:val="105"/>
        </w:rPr>
        <w:t>转</w:t>
      </w:r>
      <w:r>
        <w:rPr>
          <w:spacing w:val="-2"/>
          <w:w w:val="105"/>
        </w:rPr>
        <w:t>移</w:t>
      </w:r>
      <w:r>
        <w:rPr>
          <w:spacing w:val="-2"/>
          <w:w w:val="105"/>
        </w:rPr>
        <w:t>情</w:t>
      </w:r>
      <w:r>
        <w:rPr>
          <w:spacing w:val="-2"/>
          <w:w w:val="105"/>
        </w:rPr>
        <w:t>况</w:t>
      </w:r>
      <w:r>
        <w:rPr>
          <w:spacing w:val="-2"/>
          <w:w w:val="110"/>
        </w:rPr>
        <w:t>；M</w:t>
      </w:r>
      <w:r>
        <w:rPr>
          <w:spacing w:val="-65"/>
          <w:w w:val="110"/>
        </w:rPr>
        <w:t> </w:t>
      </w:r>
      <w:r>
        <w:rPr>
          <w:spacing w:val="-2"/>
          <w:w w:val="105"/>
        </w:rPr>
        <w:t>指</w:t>
      </w:r>
      <w:r>
        <w:rPr>
          <w:spacing w:val="-2"/>
          <w:w w:val="105"/>
        </w:rPr>
        <w:t>有</w:t>
      </w:r>
      <w:r>
        <w:rPr>
          <w:spacing w:val="-2"/>
          <w:w w:val="105"/>
        </w:rPr>
        <w:t>无</w:t>
      </w:r>
      <w:r>
        <w:rPr>
          <w:spacing w:val="-2"/>
          <w:w w:val="105"/>
        </w:rPr>
        <w:t>其</w:t>
      </w:r>
      <w:r>
        <w:rPr>
          <w:spacing w:val="-2"/>
          <w:w w:val="105"/>
        </w:rPr>
        <w:t>他</w:t>
      </w:r>
      <w:r>
        <w:rPr>
          <w:spacing w:val="-2"/>
          <w:w w:val="105"/>
        </w:rPr>
        <w:t>脏</w:t>
      </w:r>
      <w:r>
        <w:rPr>
          <w:spacing w:val="-2"/>
          <w:w w:val="105"/>
        </w:rPr>
        <w:t>器</w:t>
      </w:r>
      <w:r>
        <w:rPr>
          <w:spacing w:val="-2"/>
          <w:w w:val="105"/>
        </w:rPr>
        <w:t>的</w:t>
      </w:r>
      <w:r>
        <w:rPr>
          <w:spacing w:val="-2"/>
          <w:w w:val="105"/>
        </w:rPr>
        <w:t>转</w:t>
      </w:r>
      <w:r>
        <w:rPr>
          <w:spacing w:val="-2"/>
          <w:w w:val="105"/>
        </w:rPr>
        <w:t>移</w:t>
      </w:r>
      <w:r>
        <w:rPr>
          <w:spacing w:val="-2"/>
          <w:w w:val="105"/>
        </w:rPr>
        <w:t>情</w:t>
      </w:r>
      <w:r>
        <w:rPr>
          <w:spacing w:val="-2"/>
          <w:w w:val="105"/>
        </w:rPr>
        <w:t>况。</w:t>
      </w:r>
    </w:p>
    <w:p>
      <w:pPr>
        <w:pStyle w:val="BodyText"/>
        <w:spacing w:line="420" w:lineRule="auto" w:before="2"/>
        <w:ind w:right="332" w:firstLine="439"/>
        <w:jc w:val="both"/>
      </w:pPr>
      <w:r>
        <w:rPr>
          <w:spacing w:val="10"/>
        </w:rPr>
        <w:t>甲状腺癌的</w:t>
      </w:r>
      <w:r>
        <w:rPr/>
        <w:t>TNM</w:t>
      </w:r>
      <w:r>
        <w:rPr>
          <w:spacing w:val="5"/>
        </w:rPr>
        <w:t> 分期：采用目前现行的</w:t>
      </w:r>
      <w:r>
        <w:rPr/>
        <w:t>AJCC 第八版定义标准，我国国家卫生健康委员</w:t>
      </w:r>
      <w:r>
        <w:rPr>
          <w:spacing w:val="-7"/>
        </w:rPr>
        <w:t>会 </w:t>
      </w:r>
      <w:r>
        <w:rPr/>
        <w:t>2018</w:t>
      </w:r>
      <w:r>
        <w:rPr>
          <w:spacing w:val="-4"/>
        </w:rPr>
        <w:t> 年发布的《甲状腺癌诊疗规范</w:t>
      </w:r>
      <w:r>
        <w:rPr/>
        <w:t>（2018</w:t>
      </w:r>
      <w:r>
        <w:rPr>
          <w:spacing w:val="-6"/>
        </w:rPr>
        <w:t> 年版</w:t>
      </w:r>
      <w:r>
        <w:rPr/>
        <w:t>）》也采用此定义标准，具体见下：</w:t>
      </w:r>
    </w:p>
    <w:p>
      <w:pPr>
        <w:pStyle w:val="BodyText"/>
        <w:spacing w:line="420" w:lineRule="auto"/>
        <w:ind w:left="555" w:right="2557"/>
      </w:pPr>
      <w:r>
        <w:rPr/>
        <w:t>甲状腺乳头状癌、滤泡癌、低分化癌、Hürthle</w:t>
      </w:r>
      <w:r>
        <w:rPr>
          <w:spacing w:val="-7"/>
        </w:rPr>
        <w:t> 细胞癌和未分化癌</w:t>
      </w:r>
      <w:r>
        <w:rPr/>
        <w:t> </w:t>
      </w:r>
      <w:r>
        <w:rPr>
          <w:spacing w:val="-2"/>
          <w:w w:val="105"/>
          <w:position w:val="1"/>
        </w:rPr>
        <w:t>pT</w:t>
      </w:r>
      <w:r>
        <w:rPr>
          <w:spacing w:val="-2"/>
          <w:w w:val="105"/>
          <w:sz w:val="11"/>
        </w:rPr>
        <w:t>X</w:t>
      </w:r>
      <w:r>
        <w:rPr>
          <w:spacing w:val="-2"/>
          <w:w w:val="105"/>
          <w:position w:val="1"/>
        </w:rPr>
        <w:t>：原</w:t>
      </w:r>
      <w:r>
        <w:rPr>
          <w:spacing w:val="-2"/>
          <w:w w:val="105"/>
          <w:position w:val="1"/>
        </w:rPr>
        <w:t>发</w:t>
      </w:r>
      <w:r>
        <w:rPr>
          <w:spacing w:val="-2"/>
          <w:w w:val="105"/>
          <w:position w:val="1"/>
        </w:rPr>
        <w:t>肿</w:t>
      </w:r>
      <w:r>
        <w:rPr>
          <w:spacing w:val="-2"/>
          <w:w w:val="105"/>
          <w:position w:val="1"/>
        </w:rPr>
        <w:t>瘤</w:t>
      </w:r>
      <w:r>
        <w:rPr>
          <w:spacing w:val="-2"/>
          <w:w w:val="105"/>
          <w:position w:val="1"/>
        </w:rPr>
        <w:t>不</w:t>
      </w:r>
      <w:r>
        <w:rPr>
          <w:spacing w:val="-2"/>
          <w:w w:val="105"/>
          <w:position w:val="1"/>
        </w:rPr>
        <w:t>能</w:t>
      </w:r>
      <w:r>
        <w:rPr>
          <w:spacing w:val="-2"/>
          <w:w w:val="105"/>
          <w:position w:val="1"/>
        </w:rPr>
        <w:t>评估</w:t>
      </w:r>
    </w:p>
    <w:p>
      <w:pPr>
        <w:pStyle w:val="BodyText"/>
        <w:spacing w:before="2"/>
        <w:ind w:left="555"/>
      </w:pPr>
      <w:r>
        <w:rPr>
          <w:spacing w:val="-2"/>
          <w:w w:val="105"/>
          <w:position w:val="1"/>
        </w:rPr>
        <w:t>pT</w:t>
      </w:r>
      <w:r>
        <w:rPr>
          <w:spacing w:val="-2"/>
          <w:w w:val="105"/>
          <w:sz w:val="11"/>
        </w:rPr>
        <w:t>0</w:t>
      </w:r>
      <w:r>
        <w:rPr>
          <w:spacing w:val="-2"/>
          <w:w w:val="105"/>
          <w:position w:val="1"/>
        </w:rPr>
        <w:t>：</w:t>
      </w:r>
      <w:r>
        <w:rPr>
          <w:spacing w:val="-2"/>
          <w:w w:val="105"/>
          <w:position w:val="1"/>
        </w:rPr>
        <w:t>无</w:t>
      </w:r>
      <w:r>
        <w:rPr>
          <w:spacing w:val="-2"/>
          <w:w w:val="105"/>
          <w:position w:val="1"/>
        </w:rPr>
        <w:t>肿</w:t>
      </w:r>
      <w:r>
        <w:rPr>
          <w:spacing w:val="-2"/>
          <w:w w:val="105"/>
          <w:position w:val="1"/>
        </w:rPr>
        <w:t>瘤</w:t>
      </w:r>
      <w:r>
        <w:rPr>
          <w:spacing w:val="-2"/>
          <w:w w:val="105"/>
          <w:position w:val="1"/>
        </w:rPr>
        <w:t>证</w:t>
      </w:r>
      <w:r>
        <w:rPr>
          <w:spacing w:val="-10"/>
          <w:w w:val="105"/>
          <w:position w:val="1"/>
        </w:rPr>
        <w:t>据</w:t>
      </w:r>
    </w:p>
    <w:p>
      <w:pPr>
        <w:spacing w:after="0"/>
        <w:sectPr>
          <w:pgSz w:w="11910" w:h="16840"/>
          <w:pgMar w:top="1000" w:bottom="280" w:left="1300" w:right="1080"/>
        </w:sectPr>
      </w:pPr>
    </w:p>
    <w:p>
      <w:pPr>
        <w:pStyle w:val="BodyText"/>
        <w:spacing w:line="422" w:lineRule="auto" w:before="62"/>
        <w:ind w:left="802" w:right="4695" w:hanging="248"/>
      </w:pPr>
      <w:r>
        <w:rPr>
          <w:spacing w:val="-2"/>
          <w:w w:val="105"/>
          <w:position w:val="1"/>
        </w:rPr>
        <w:t>pT</w:t>
      </w:r>
      <w:r>
        <w:rPr>
          <w:spacing w:val="-2"/>
          <w:w w:val="105"/>
          <w:sz w:val="11"/>
        </w:rPr>
        <w:t>1</w:t>
      </w:r>
      <w:r>
        <w:rPr>
          <w:spacing w:val="-2"/>
          <w:w w:val="105"/>
          <w:position w:val="1"/>
        </w:rPr>
        <w:t>：</w:t>
      </w:r>
      <w:r>
        <w:rPr>
          <w:spacing w:val="-2"/>
          <w:w w:val="105"/>
          <w:position w:val="1"/>
        </w:rPr>
        <w:t>肿</w:t>
      </w:r>
      <w:r>
        <w:rPr>
          <w:spacing w:val="-2"/>
          <w:w w:val="105"/>
          <w:position w:val="1"/>
        </w:rPr>
        <w:t>瘤</w:t>
      </w:r>
      <w:r>
        <w:rPr>
          <w:spacing w:val="-2"/>
          <w:w w:val="105"/>
          <w:position w:val="1"/>
        </w:rPr>
        <w:t>局</w:t>
      </w:r>
      <w:r>
        <w:rPr>
          <w:spacing w:val="-2"/>
          <w:w w:val="105"/>
          <w:position w:val="1"/>
        </w:rPr>
        <w:t>限</w:t>
      </w:r>
      <w:r>
        <w:rPr>
          <w:spacing w:val="-2"/>
          <w:w w:val="105"/>
          <w:position w:val="1"/>
        </w:rPr>
        <w:t>在</w:t>
      </w:r>
      <w:r>
        <w:rPr>
          <w:spacing w:val="-2"/>
          <w:w w:val="105"/>
          <w:position w:val="1"/>
        </w:rPr>
        <w:t>甲</w:t>
      </w:r>
      <w:r>
        <w:rPr>
          <w:spacing w:val="-2"/>
          <w:w w:val="105"/>
          <w:position w:val="1"/>
        </w:rPr>
        <w:t>状</w:t>
      </w:r>
      <w:r>
        <w:rPr>
          <w:spacing w:val="-2"/>
          <w:w w:val="105"/>
          <w:position w:val="1"/>
        </w:rPr>
        <w:t>腺</w:t>
      </w:r>
      <w:r>
        <w:rPr>
          <w:spacing w:val="-2"/>
          <w:w w:val="105"/>
          <w:position w:val="1"/>
        </w:rPr>
        <w:t>内</w:t>
      </w:r>
      <w:r>
        <w:rPr>
          <w:spacing w:val="-2"/>
          <w:w w:val="105"/>
          <w:position w:val="1"/>
        </w:rPr>
        <w:t>，</w:t>
      </w:r>
      <w:r>
        <w:rPr>
          <w:spacing w:val="-2"/>
          <w:w w:val="105"/>
          <w:position w:val="1"/>
        </w:rPr>
        <w:t>最</w:t>
      </w:r>
      <w:r>
        <w:rPr>
          <w:spacing w:val="-2"/>
          <w:w w:val="105"/>
          <w:position w:val="1"/>
        </w:rPr>
        <w:t>大径≤2cm </w:t>
      </w:r>
      <w:r>
        <w:rPr>
          <w:w w:val="110"/>
          <w:position w:val="1"/>
        </w:rPr>
        <w:t>T</w:t>
      </w:r>
      <w:r>
        <w:rPr>
          <w:w w:val="110"/>
          <w:sz w:val="11"/>
        </w:rPr>
        <w:t>1a</w:t>
      </w:r>
      <w:r>
        <w:rPr>
          <w:spacing w:val="-36"/>
          <w:w w:val="110"/>
          <w:sz w:val="11"/>
        </w:rPr>
        <w:t> </w:t>
      </w:r>
      <w:r>
        <w:rPr>
          <w:w w:val="110"/>
          <w:position w:val="1"/>
        </w:rPr>
        <w:t>肿</w:t>
      </w:r>
      <w:r>
        <w:rPr>
          <w:w w:val="110"/>
          <w:position w:val="1"/>
        </w:rPr>
        <w:t>瘤</w:t>
      </w:r>
      <w:r>
        <w:rPr>
          <w:w w:val="110"/>
          <w:position w:val="1"/>
        </w:rPr>
        <w:t>最</w:t>
      </w:r>
      <w:r>
        <w:rPr>
          <w:w w:val="110"/>
          <w:position w:val="1"/>
        </w:rPr>
        <w:t>大</w:t>
      </w:r>
      <w:r>
        <w:rPr>
          <w:w w:val="110"/>
          <w:position w:val="1"/>
        </w:rPr>
        <w:t>径</w:t>
      </w:r>
      <w:r>
        <w:rPr>
          <w:w w:val="110"/>
          <w:position w:val="1"/>
        </w:rPr>
        <w:t>≤1cm</w:t>
      </w:r>
    </w:p>
    <w:p>
      <w:pPr>
        <w:pStyle w:val="BodyText"/>
        <w:spacing w:line="420" w:lineRule="auto"/>
        <w:ind w:left="555" w:right="5778" w:firstLine="247"/>
      </w:pPr>
      <w:r>
        <w:rPr>
          <w:w w:val="110"/>
          <w:position w:val="1"/>
        </w:rPr>
        <w:t>T</w:t>
      </w:r>
      <w:r>
        <w:rPr>
          <w:w w:val="110"/>
          <w:sz w:val="11"/>
        </w:rPr>
        <w:t>1b</w:t>
      </w:r>
      <w:r>
        <w:rPr>
          <w:spacing w:val="-35"/>
          <w:w w:val="110"/>
          <w:sz w:val="11"/>
        </w:rPr>
        <w:t> </w:t>
      </w:r>
      <w:r>
        <w:rPr>
          <w:w w:val="110"/>
          <w:position w:val="1"/>
        </w:rPr>
        <w:t>肿瘤</w:t>
      </w:r>
      <w:r>
        <w:rPr>
          <w:w w:val="110"/>
          <w:position w:val="1"/>
        </w:rPr>
        <w:t>最</w:t>
      </w:r>
      <w:r>
        <w:rPr>
          <w:w w:val="110"/>
          <w:position w:val="1"/>
        </w:rPr>
        <w:t>大</w:t>
      </w:r>
      <w:r>
        <w:rPr>
          <w:w w:val="110"/>
          <w:position w:val="1"/>
        </w:rPr>
        <w:t>径＞1cm，≤2c</w:t>
      </w:r>
      <w:r>
        <w:rPr>
          <w:w w:val="110"/>
          <w:position w:val="1"/>
        </w:rPr>
        <w:t>m pT</w:t>
      </w:r>
      <w:r>
        <w:rPr>
          <w:w w:val="110"/>
          <w:sz w:val="11"/>
        </w:rPr>
        <w:t>2</w:t>
      </w:r>
      <w:r>
        <w:rPr>
          <w:w w:val="110"/>
          <w:position w:val="1"/>
        </w:rPr>
        <w:t>：</w:t>
      </w:r>
      <w:r>
        <w:rPr>
          <w:w w:val="110"/>
          <w:position w:val="1"/>
        </w:rPr>
        <w:t>肿</w:t>
      </w:r>
      <w:r>
        <w:rPr>
          <w:w w:val="110"/>
          <w:position w:val="1"/>
        </w:rPr>
        <w:t>瘤</w:t>
      </w:r>
      <w:r>
        <w:rPr>
          <w:spacing w:val="-38"/>
          <w:w w:val="110"/>
          <w:position w:val="1"/>
        </w:rPr>
        <w:t> </w:t>
      </w:r>
      <w:r>
        <w:rPr>
          <w:w w:val="110"/>
          <w:position w:val="1"/>
        </w:rPr>
        <w:t>2～4cm</w:t>
      </w:r>
    </w:p>
    <w:p>
      <w:pPr>
        <w:pStyle w:val="BodyText"/>
        <w:spacing w:line="420" w:lineRule="auto"/>
        <w:ind w:left="555" w:right="2959"/>
      </w:pPr>
      <w:r>
        <w:rPr>
          <w:spacing w:val="-2"/>
          <w:position w:val="1"/>
        </w:rPr>
        <w:t>pT</w:t>
      </w:r>
      <w:r>
        <w:rPr>
          <w:spacing w:val="-2"/>
          <w:sz w:val="11"/>
        </w:rPr>
        <w:t>3</w:t>
      </w:r>
      <w:r>
        <w:rPr>
          <w:spacing w:val="-2"/>
          <w:position w:val="1"/>
        </w:rPr>
        <w:t>：肿瘤&gt;4cm，局限于甲状腺内或大体侵犯甲状腺外带状肌</w:t>
      </w:r>
      <w:r>
        <w:rPr>
          <w:spacing w:val="40"/>
          <w:w w:val="110"/>
          <w:position w:val="1"/>
        </w:rPr>
        <w:t> </w:t>
      </w:r>
      <w:r>
        <w:rPr>
          <w:spacing w:val="-2"/>
          <w:w w:val="110"/>
          <w:position w:val="1"/>
        </w:rPr>
        <w:t>pT</w:t>
      </w:r>
      <w:r>
        <w:rPr>
          <w:spacing w:val="-2"/>
          <w:w w:val="110"/>
          <w:sz w:val="11"/>
        </w:rPr>
        <w:t>3a</w:t>
      </w:r>
      <w:r>
        <w:rPr>
          <w:spacing w:val="-2"/>
          <w:w w:val="110"/>
          <w:position w:val="1"/>
        </w:rPr>
        <w:t>：肿瘤&gt;4cm，</w:t>
      </w:r>
      <w:r>
        <w:rPr>
          <w:spacing w:val="-2"/>
          <w:w w:val="110"/>
          <w:position w:val="1"/>
        </w:rPr>
        <w:t>局</w:t>
      </w:r>
      <w:r>
        <w:rPr>
          <w:spacing w:val="-2"/>
          <w:w w:val="110"/>
          <w:position w:val="1"/>
        </w:rPr>
        <w:t>限</w:t>
      </w:r>
      <w:r>
        <w:rPr>
          <w:spacing w:val="-2"/>
          <w:w w:val="110"/>
          <w:position w:val="1"/>
        </w:rPr>
        <w:t>于</w:t>
      </w:r>
      <w:r>
        <w:rPr>
          <w:spacing w:val="-2"/>
          <w:w w:val="110"/>
          <w:position w:val="1"/>
        </w:rPr>
        <w:t>甲</w:t>
      </w:r>
      <w:r>
        <w:rPr>
          <w:spacing w:val="-2"/>
          <w:w w:val="110"/>
          <w:position w:val="1"/>
        </w:rPr>
        <w:t>状</w:t>
      </w:r>
      <w:r>
        <w:rPr>
          <w:spacing w:val="-2"/>
          <w:w w:val="110"/>
          <w:position w:val="1"/>
        </w:rPr>
        <w:t>腺内</w:t>
      </w:r>
    </w:p>
    <w:p>
      <w:pPr>
        <w:pStyle w:val="BodyText"/>
        <w:ind w:left="555"/>
      </w:pPr>
      <w:r>
        <w:rPr>
          <w:position w:val="1"/>
        </w:rPr>
        <w:t>pT</w:t>
      </w:r>
      <w:r>
        <w:rPr>
          <w:sz w:val="11"/>
        </w:rPr>
        <w:t>3b</w:t>
      </w:r>
      <w:r>
        <w:rPr>
          <w:spacing w:val="-1"/>
          <w:position w:val="1"/>
        </w:rPr>
        <w:t>：大体侵犯甲状腺外带状肌，无论肿瘤大小</w:t>
      </w:r>
    </w:p>
    <w:p>
      <w:pPr>
        <w:pStyle w:val="BodyText"/>
        <w:spacing w:line="420" w:lineRule="auto" w:before="209"/>
        <w:ind w:left="555" w:right="2282" w:firstLine="307"/>
      </w:pPr>
      <w:r>
        <w:rPr>
          <w:spacing w:val="-2"/>
        </w:rPr>
        <w:t>带状肌包括：胸骨舌骨肌、胸骨甲状肌、甲状舌骨肌、肩胛舌骨肌 </w:t>
      </w:r>
      <w:r>
        <w:rPr>
          <w:spacing w:val="-2"/>
          <w:position w:val="1"/>
        </w:rPr>
        <w:t>pT</w:t>
      </w:r>
      <w:r>
        <w:rPr>
          <w:spacing w:val="-2"/>
          <w:sz w:val="11"/>
        </w:rPr>
        <w:t>4</w:t>
      </w:r>
      <w:r>
        <w:rPr>
          <w:spacing w:val="-2"/>
          <w:position w:val="1"/>
        </w:rPr>
        <w:t>：大体侵犯甲状腺外带状肌外</w:t>
      </w:r>
    </w:p>
    <w:p>
      <w:pPr>
        <w:pStyle w:val="BodyText"/>
        <w:spacing w:line="420" w:lineRule="auto"/>
        <w:ind w:left="555" w:right="3931"/>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BodyText"/>
        <w:spacing w:before="3"/>
        <w:ind w:left="555"/>
      </w:pPr>
      <w:r>
        <w:rPr>
          <w:spacing w:val="-4"/>
        </w:rPr>
        <w:t>甲状腺髓样癌</w:t>
      </w:r>
    </w:p>
    <w:p>
      <w:pPr>
        <w:pStyle w:val="BodyText"/>
        <w:spacing w:line="420" w:lineRule="auto" w:before="212"/>
        <w:ind w:left="555" w:right="6624"/>
      </w:pPr>
      <w:r>
        <w:rPr>
          <w:spacing w:val="-4"/>
          <w:w w:val="105"/>
          <w:position w:val="1"/>
        </w:rPr>
        <w:t>pT</w:t>
      </w:r>
      <w:r>
        <w:rPr>
          <w:spacing w:val="-4"/>
          <w:w w:val="105"/>
          <w:sz w:val="11"/>
        </w:rPr>
        <w:t>X</w:t>
      </w:r>
      <w:r>
        <w:rPr>
          <w:spacing w:val="-4"/>
          <w:w w:val="105"/>
          <w:position w:val="1"/>
        </w:rPr>
        <w:t>：原</w:t>
      </w:r>
      <w:r>
        <w:rPr>
          <w:spacing w:val="-4"/>
          <w:w w:val="105"/>
          <w:position w:val="1"/>
        </w:rPr>
        <w:t>发</w:t>
      </w:r>
      <w:r>
        <w:rPr>
          <w:spacing w:val="-4"/>
          <w:w w:val="105"/>
          <w:position w:val="1"/>
        </w:rPr>
        <w:t>肿</w:t>
      </w:r>
      <w:r>
        <w:rPr>
          <w:spacing w:val="-4"/>
          <w:w w:val="105"/>
          <w:position w:val="1"/>
        </w:rPr>
        <w:t>瘤</w:t>
      </w:r>
      <w:r>
        <w:rPr>
          <w:spacing w:val="-4"/>
          <w:w w:val="105"/>
          <w:position w:val="1"/>
        </w:rPr>
        <w:t>不</w:t>
      </w:r>
      <w:r>
        <w:rPr>
          <w:spacing w:val="-4"/>
          <w:w w:val="105"/>
          <w:position w:val="1"/>
        </w:rPr>
        <w:t>能</w:t>
      </w:r>
      <w:r>
        <w:rPr>
          <w:spacing w:val="-4"/>
          <w:w w:val="105"/>
          <w:position w:val="1"/>
        </w:rPr>
        <w:t>评估 </w:t>
      </w:r>
      <w:r>
        <w:rPr>
          <w:spacing w:val="-2"/>
          <w:w w:val="105"/>
          <w:position w:val="1"/>
        </w:rPr>
        <w:t>pT</w:t>
      </w:r>
      <w:r>
        <w:rPr>
          <w:spacing w:val="-2"/>
          <w:w w:val="105"/>
          <w:sz w:val="11"/>
        </w:rPr>
        <w:t>0</w:t>
      </w:r>
      <w:r>
        <w:rPr>
          <w:spacing w:val="-2"/>
          <w:w w:val="105"/>
          <w:position w:val="1"/>
        </w:rPr>
        <w:t>：</w:t>
      </w:r>
      <w:r>
        <w:rPr>
          <w:spacing w:val="-2"/>
          <w:w w:val="105"/>
          <w:position w:val="1"/>
        </w:rPr>
        <w:t>无</w:t>
      </w:r>
      <w:r>
        <w:rPr>
          <w:spacing w:val="-2"/>
          <w:w w:val="105"/>
          <w:position w:val="1"/>
        </w:rPr>
        <w:t>肿</w:t>
      </w:r>
      <w:r>
        <w:rPr>
          <w:spacing w:val="-2"/>
          <w:w w:val="105"/>
          <w:position w:val="1"/>
        </w:rPr>
        <w:t>瘤</w:t>
      </w:r>
      <w:r>
        <w:rPr>
          <w:spacing w:val="-2"/>
          <w:w w:val="105"/>
          <w:position w:val="1"/>
        </w:rPr>
        <w:t>证</w:t>
      </w:r>
      <w:r>
        <w:rPr>
          <w:spacing w:val="-2"/>
          <w:w w:val="105"/>
          <w:position w:val="1"/>
        </w:rPr>
        <w:t>据</w:t>
      </w:r>
    </w:p>
    <w:p>
      <w:pPr>
        <w:pStyle w:val="BodyText"/>
        <w:spacing w:line="420" w:lineRule="auto"/>
        <w:ind w:left="802" w:right="4695" w:hanging="248"/>
      </w:pPr>
      <w:r>
        <w:rPr>
          <w:spacing w:val="-2"/>
          <w:w w:val="105"/>
          <w:position w:val="1"/>
        </w:rPr>
        <w:t>pT</w:t>
      </w:r>
      <w:r>
        <w:rPr>
          <w:spacing w:val="-2"/>
          <w:w w:val="105"/>
          <w:sz w:val="11"/>
        </w:rPr>
        <w:t>1</w:t>
      </w:r>
      <w:r>
        <w:rPr>
          <w:spacing w:val="-2"/>
          <w:w w:val="105"/>
          <w:position w:val="1"/>
        </w:rPr>
        <w:t>：</w:t>
      </w:r>
      <w:r>
        <w:rPr>
          <w:spacing w:val="-2"/>
          <w:w w:val="105"/>
          <w:position w:val="1"/>
        </w:rPr>
        <w:t>肿</w:t>
      </w:r>
      <w:r>
        <w:rPr>
          <w:spacing w:val="-2"/>
          <w:w w:val="105"/>
          <w:position w:val="1"/>
        </w:rPr>
        <w:t>瘤</w:t>
      </w:r>
      <w:r>
        <w:rPr>
          <w:spacing w:val="-2"/>
          <w:w w:val="105"/>
          <w:position w:val="1"/>
        </w:rPr>
        <w:t>局</w:t>
      </w:r>
      <w:r>
        <w:rPr>
          <w:spacing w:val="-2"/>
          <w:w w:val="105"/>
          <w:position w:val="1"/>
        </w:rPr>
        <w:t>限</w:t>
      </w:r>
      <w:r>
        <w:rPr>
          <w:spacing w:val="-2"/>
          <w:w w:val="105"/>
          <w:position w:val="1"/>
        </w:rPr>
        <w:t>在</w:t>
      </w:r>
      <w:r>
        <w:rPr>
          <w:spacing w:val="-2"/>
          <w:w w:val="105"/>
          <w:position w:val="1"/>
        </w:rPr>
        <w:t>甲</w:t>
      </w:r>
      <w:r>
        <w:rPr>
          <w:spacing w:val="-2"/>
          <w:w w:val="105"/>
          <w:position w:val="1"/>
        </w:rPr>
        <w:t>状</w:t>
      </w:r>
      <w:r>
        <w:rPr>
          <w:spacing w:val="-2"/>
          <w:w w:val="105"/>
          <w:position w:val="1"/>
        </w:rPr>
        <w:t>腺</w:t>
      </w:r>
      <w:r>
        <w:rPr>
          <w:spacing w:val="-2"/>
          <w:w w:val="105"/>
          <w:position w:val="1"/>
        </w:rPr>
        <w:t>内</w:t>
      </w:r>
      <w:r>
        <w:rPr>
          <w:spacing w:val="-2"/>
          <w:w w:val="105"/>
          <w:position w:val="1"/>
        </w:rPr>
        <w:t>，</w:t>
      </w:r>
      <w:r>
        <w:rPr>
          <w:spacing w:val="-2"/>
          <w:w w:val="105"/>
          <w:position w:val="1"/>
        </w:rPr>
        <w:t>最</w:t>
      </w:r>
      <w:r>
        <w:rPr>
          <w:spacing w:val="-2"/>
          <w:w w:val="105"/>
          <w:position w:val="1"/>
        </w:rPr>
        <w:t>大径≤2cm </w:t>
      </w:r>
      <w:r>
        <w:rPr>
          <w:w w:val="110"/>
          <w:position w:val="1"/>
        </w:rPr>
        <w:t>T</w:t>
      </w:r>
      <w:r>
        <w:rPr>
          <w:w w:val="110"/>
          <w:sz w:val="11"/>
        </w:rPr>
        <w:t>1a</w:t>
      </w:r>
      <w:r>
        <w:rPr>
          <w:spacing w:val="-36"/>
          <w:w w:val="110"/>
          <w:sz w:val="11"/>
        </w:rPr>
        <w:t> </w:t>
      </w:r>
      <w:r>
        <w:rPr>
          <w:w w:val="110"/>
          <w:position w:val="1"/>
        </w:rPr>
        <w:t>肿</w:t>
      </w:r>
      <w:r>
        <w:rPr>
          <w:w w:val="110"/>
          <w:position w:val="1"/>
        </w:rPr>
        <w:t>瘤</w:t>
      </w:r>
      <w:r>
        <w:rPr>
          <w:w w:val="110"/>
          <w:position w:val="1"/>
        </w:rPr>
        <w:t>最</w:t>
      </w:r>
      <w:r>
        <w:rPr>
          <w:w w:val="110"/>
          <w:position w:val="1"/>
        </w:rPr>
        <w:t>大</w:t>
      </w:r>
      <w:r>
        <w:rPr>
          <w:w w:val="110"/>
          <w:position w:val="1"/>
        </w:rPr>
        <w:t>径</w:t>
      </w:r>
      <w:r>
        <w:rPr>
          <w:w w:val="110"/>
          <w:position w:val="1"/>
        </w:rPr>
        <w:t>≤1cm</w:t>
      </w:r>
    </w:p>
    <w:p>
      <w:pPr>
        <w:pStyle w:val="BodyText"/>
        <w:spacing w:line="420" w:lineRule="auto"/>
        <w:ind w:left="555" w:right="5778" w:firstLine="247"/>
      </w:pPr>
      <w:r>
        <w:rPr>
          <w:w w:val="110"/>
          <w:position w:val="1"/>
        </w:rPr>
        <w:t>T</w:t>
      </w:r>
      <w:r>
        <w:rPr>
          <w:w w:val="110"/>
          <w:sz w:val="11"/>
        </w:rPr>
        <w:t>1b</w:t>
      </w:r>
      <w:r>
        <w:rPr>
          <w:spacing w:val="-35"/>
          <w:w w:val="110"/>
          <w:sz w:val="11"/>
        </w:rPr>
        <w:t> </w:t>
      </w:r>
      <w:r>
        <w:rPr>
          <w:w w:val="110"/>
          <w:position w:val="1"/>
        </w:rPr>
        <w:t>肿瘤</w:t>
      </w:r>
      <w:r>
        <w:rPr>
          <w:w w:val="110"/>
          <w:position w:val="1"/>
        </w:rPr>
        <w:t>最</w:t>
      </w:r>
      <w:r>
        <w:rPr>
          <w:w w:val="110"/>
          <w:position w:val="1"/>
        </w:rPr>
        <w:t>大</w:t>
      </w:r>
      <w:r>
        <w:rPr>
          <w:w w:val="110"/>
          <w:position w:val="1"/>
        </w:rPr>
        <w:t>径＞1cm，≤2c</w:t>
      </w:r>
      <w:r>
        <w:rPr>
          <w:w w:val="110"/>
          <w:position w:val="1"/>
        </w:rPr>
        <w:t>m pT</w:t>
      </w:r>
      <w:r>
        <w:rPr>
          <w:w w:val="110"/>
          <w:sz w:val="11"/>
        </w:rPr>
        <w:t>2</w:t>
      </w:r>
      <w:r>
        <w:rPr>
          <w:w w:val="110"/>
          <w:position w:val="1"/>
        </w:rPr>
        <w:t>：</w:t>
      </w:r>
      <w:r>
        <w:rPr>
          <w:w w:val="110"/>
          <w:position w:val="1"/>
        </w:rPr>
        <w:t>肿</w:t>
      </w:r>
      <w:r>
        <w:rPr>
          <w:w w:val="110"/>
          <w:position w:val="1"/>
        </w:rPr>
        <w:t>瘤</w:t>
      </w:r>
      <w:r>
        <w:rPr>
          <w:spacing w:val="-38"/>
          <w:w w:val="110"/>
          <w:position w:val="1"/>
        </w:rPr>
        <w:t> </w:t>
      </w:r>
      <w:r>
        <w:rPr>
          <w:w w:val="110"/>
          <w:position w:val="1"/>
        </w:rPr>
        <w:t>2～4cm</w:t>
      </w:r>
    </w:p>
    <w:p>
      <w:pPr>
        <w:pStyle w:val="BodyText"/>
        <w:spacing w:line="420" w:lineRule="auto" w:before="2"/>
        <w:ind w:left="555" w:right="2959"/>
      </w:pPr>
      <w:r>
        <w:rPr>
          <w:spacing w:val="-2"/>
          <w:position w:val="1"/>
        </w:rPr>
        <w:t>pT</w:t>
      </w:r>
      <w:r>
        <w:rPr>
          <w:spacing w:val="-2"/>
          <w:sz w:val="11"/>
        </w:rPr>
        <w:t>3</w:t>
      </w:r>
      <w:r>
        <w:rPr>
          <w:spacing w:val="-2"/>
          <w:position w:val="1"/>
        </w:rPr>
        <w:t>：肿瘤&gt;4cm，局限于甲状腺内或大体侵犯甲状腺外带状肌</w:t>
      </w:r>
      <w:r>
        <w:rPr>
          <w:spacing w:val="40"/>
          <w:w w:val="110"/>
          <w:position w:val="1"/>
        </w:rPr>
        <w:t> </w:t>
      </w:r>
      <w:r>
        <w:rPr>
          <w:spacing w:val="-2"/>
          <w:w w:val="110"/>
          <w:position w:val="1"/>
        </w:rPr>
        <w:t>pT</w:t>
      </w:r>
      <w:r>
        <w:rPr>
          <w:spacing w:val="-2"/>
          <w:w w:val="110"/>
          <w:sz w:val="11"/>
        </w:rPr>
        <w:t>3a</w:t>
      </w:r>
      <w:r>
        <w:rPr>
          <w:spacing w:val="-2"/>
          <w:w w:val="110"/>
          <w:position w:val="1"/>
        </w:rPr>
        <w:t>：肿瘤&gt;4cm，</w:t>
      </w:r>
      <w:r>
        <w:rPr>
          <w:spacing w:val="-2"/>
          <w:w w:val="110"/>
          <w:position w:val="1"/>
        </w:rPr>
        <w:t>局</w:t>
      </w:r>
      <w:r>
        <w:rPr>
          <w:spacing w:val="-2"/>
          <w:w w:val="110"/>
          <w:position w:val="1"/>
        </w:rPr>
        <w:t>限</w:t>
      </w:r>
      <w:r>
        <w:rPr>
          <w:spacing w:val="-2"/>
          <w:w w:val="110"/>
          <w:position w:val="1"/>
        </w:rPr>
        <w:t>于</w:t>
      </w:r>
      <w:r>
        <w:rPr>
          <w:spacing w:val="-2"/>
          <w:w w:val="110"/>
          <w:position w:val="1"/>
        </w:rPr>
        <w:t>甲</w:t>
      </w:r>
      <w:r>
        <w:rPr>
          <w:spacing w:val="-2"/>
          <w:w w:val="110"/>
          <w:position w:val="1"/>
        </w:rPr>
        <w:t>状</w:t>
      </w:r>
      <w:r>
        <w:rPr>
          <w:spacing w:val="-2"/>
          <w:w w:val="110"/>
          <w:position w:val="1"/>
        </w:rPr>
        <w:t>腺内</w:t>
      </w:r>
    </w:p>
    <w:p>
      <w:pPr>
        <w:pStyle w:val="BodyText"/>
        <w:ind w:left="555"/>
      </w:pPr>
      <w:r>
        <w:rPr>
          <w:position w:val="1"/>
        </w:rPr>
        <w:t>pT</w:t>
      </w:r>
      <w:r>
        <w:rPr>
          <w:sz w:val="11"/>
        </w:rPr>
        <w:t>3b</w:t>
      </w:r>
      <w:r>
        <w:rPr>
          <w:spacing w:val="-1"/>
          <w:position w:val="1"/>
        </w:rPr>
        <w:t>：大体侵犯甲状腺外带状肌，无论肿瘤大小</w:t>
      </w:r>
    </w:p>
    <w:p>
      <w:pPr>
        <w:pStyle w:val="BodyText"/>
        <w:spacing w:line="420" w:lineRule="auto" w:before="213"/>
        <w:ind w:left="555" w:right="2282" w:firstLine="307"/>
      </w:pPr>
      <w:r>
        <w:rPr>
          <w:spacing w:val="-2"/>
        </w:rPr>
        <w:t>带状肌包括：胸骨舌骨肌、胸骨甲状肌、甲状舌骨肌、肩胛舌骨肌 </w:t>
      </w:r>
      <w:r>
        <w:rPr>
          <w:spacing w:val="-2"/>
          <w:position w:val="1"/>
        </w:rPr>
        <w:t>pT</w:t>
      </w:r>
      <w:r>
        <w:rPr>
          <w:spacing w:val="-2"/>
          <w:sz w:val="11"/>
        </w:rPr>
        <w:t>4</w:t>
      </w:r>
      <w:r>
        <w:rPr>
          <w:spacing w:val="-2"/>
          <w:position w:val="1"/>
        </w:rPr>
        <w:t>：进展期病变</w:t>
      </w:r>
    </w:p>
    <w:p>
      <w:pPr>
        <w:pStyle w:val="BodyText"/>
        <w:spacing w:line="422" w:lineRule="auto"/>
        <w:ind w:right="337" w:firstLine="439"/>
      </w:pPr>
      <w:r>
        <w:rPr>
          <w:w w:val="128"/>
          <w:position w:val="1"/>
        </w:rPr>
        <w:t>p</w:t>
      </w:r>
      <w:r>
        <w:rPr>
          <w:spacing w:val="-1"/>
          <w:w w:val="128"/>
          <w:position w:val="1"/>
        </w:rPr>
        <w:t>T</w:t>
      </w:r>
      <w:r>
        <w:rPr>
          <w:spacing w:val="-1"/>
          <w:w w:val="123"/>
          <w:sz w:val="11"/>
        </w:rPr>
        <w:t>4a</w:t>
      </w:r>
      <w:r>
        <w:rPr>
          <w:spacing w:val="-1"/>
          <w:w w:val="100"/>
          <w:position w:val="1"/>
        </w:rPr>
        <w:t>：中度进展，任何大小的肿瘤，侵犯甲状腺外颈部周围器官和软组织，如喉、气管、</w:t>
      </w:r>
      <w:r>
        <w:rPr>
          <w:spacing w:val="-3"/>
          <w:w w:val="100"/>
        </w:rPr>
        <w:t>食管、喉反神经及皮下软组织</w:t>
      </w:r>
    </w:p>
    <w:p>
      <w:pPr>
        <w:pStyle w:val="BodyText"/>
        <w:spacing w:line="420" w:lineRule="auto"/>
        <w:ind w:left="555" w:right="1512"/>
      </w:pPr>
      <w:r>
        <w:rPr>
          <w:spacing w:val="-2"/>
          <w:position w:val="1"/>
        </w:rPr>
        <w:t>pT</w:t>
      </w:r>
      <w:r>
        <w:rPr>
          <w:spacing w:val="-2"/>
          <w:sz w:val="11"/>
        </w:rPr>
        <w:t>4b</w:t>
      </w:r>
      <w:r>
        <w:rPr>
          <w:spacing w:val="-2"/>
          <w:position w:val="1"/>
        </w:rPr>
        <w:t>：重度进展，任何大小的肿瘤，侵犯椎前筋膜，或包裹颈动脉、纵隔血管</w:t>
      </w:r>
      <w:r>
        <w:rPr>
          <w:spacing w:val="-2"/>
        </w:rPr>
        <w:t>区域淋巴结：适用于所有甲状腺癌</w:t>
      </w:r>
    </w:p>
    <w:p>
      <w:pPr>
        <w:pStyle w:val="BodyText"/>
        <w:spacing w:line="420" w:lineRule="auto"/>
        <w:ind w:left="555" w:right="6400"/>
      </w:pPr>
      <w:r>
        <w:rPr>
          <w:spacing w:val="-4"/>
          <w:w w:val="105"/>
          <w:position w:val="1"/>
        </w:rPr>
        <w:t>pN</w:t>
      </w:r>
      <w:r>
        <w:rPr>
          <w:spacing w:val="-4"/>
          <w:w w:val="105"/>
          <w:sz w:val="11"/>
        </w:rPr>
        <w:t>x</w:t>
      </w:r>
      <w:r>
        <w:rPr>
          <w:spacing w:val="-4"/>
          <w:w w:val="105"/>
          <w:position w:val="1"/>
        </w:rPr>
        <w:t>：区</w:t>
      </w:r>
      <w:r>
        <w:rPr>
          <w:spacing w:val="-4"/>
          <w:w w:val="105"/>
          <w:position w:val="1"/>
        </w:rPr>
        <w:t>域</w:t>
      </w:r>
      <w:r>
        <w:rPr>
          <w:spacing w:val="-4"/>
          <w:w w:val="105"/>
          <w:position w:val="1"/>
        </w:rPr>
        <w:t>淋</w:t>
      </w:r>
      <w:r>
        <w:rPr>
          <w:spacing w:val="-4"/>
          <w:w w:val="105"/>
          <w:position w:val="1"/>
        </w:rPr>
        <w:t>巴</w:t>
      </w:r>
      <w:r>
        <w:rPr>
          <w:spacing w:val="-4"/>
          <w:w w:val="105"/>
          <w:position w:val="1"/>
        </w:rPr>
        <w:t>结</w:t>
      </w:r>
      <w:r>
        <w:rPr>
          <w:spacing w:val="-4"/>
          <w:w w:val="105"/>
          <w:position w:val="1"/>
        </w:rPr>
        <w:t>无</w:t>
      </w:r>
      <w:r>
        <w:rPr>
          <w:spacing w:val="-4"/>
          <w:w w:val="105"/>
          <w:position w:val="1"/>
        </w:rPr>
        <w:t>法</w:t>
      </w:r>
      <w:r>
        <w:rPr>
          <w:spacing w:val="-4"/>
          <w:w w:val="105"/>
          <w:position w:val="1"/>
        </w:rPr>
        <w:t>评</w:t>
      </w:r>
      <w:r>
        <w:rPr>
          <w:spacing w:val="-4"/>
          <w:w w:val="105"/>
          <w:position w:val="1"/>
        </w:rPr>
        <w:t>估 </w:t>
      </w:r>
      <w:r>
        <w:rPr>
          <w:spacing w:val="-2"/>
          <w:w w:val="105"/>
          <w:position w:val="1"/>
        </w:rPr>
        <w:t>pN</w:t>
      </w:r>
      <w:r>
        <w:rPr>
          <w:spacing w:val="-2"/>
          <w:w w:val="105"/>
          <w:sz w:val="11"/>
        </w:rPr>
        <w:t>0</w:t>
      </w:r>
      <w:r>
        <w:rPr>
          <w:spacing w:val="-2"/>
          <w:w w:val="105"/>
          <w:position w:val="1"/>
        </w:rPr>
        <w:t>：无</w:t>
      </w:r>
      <w:r>
        <w:rPr>
          <w:spacing w:val="-2"/>
          <w:w w:val="105"/>
          <w:position w:val="1"/>
        </w:rPr>
        <w:t>淋</w:t>
      </w:r>
      <w:r>
        <w:rPr>
          <w:spacing w:val="-2"/>
          <w:w w:val="105"/>
          <w:position w:val="1"/>
        </w:rPr>
        <w:t>巴</w:t>
      </w:r>
      <w:r>
        <w:rPr>
          <w:spacing w:val="-2"/>
          <w:w w:val="105"/>
          <w:position w:val="1"/>
        </w:rPr>
        <w:t>结</w:t>
      </w:r>
      <w:r>
        <w:rPr>
          <w:spacing w:val="-2"/>
          <w:w w:val="105"/>
          <w:position w:val="1"/>
        </w:rPr>
        <w:t>转</w:t>
      </w:r>
      <w:r>
        <w:rPr>
          <w:spacing w:val="-2"/>
          <w:w w:val="105"/>
          <w:position w:val="1"/>
        </w:rPr>
        <w:t>移</w:t>
      </w:r>
      <w:r>
        <w:rPr>
          <w:spacing w:val="-2"/>
          <w:w w:val="105"/>
          <w:position w:val="1"/>
        </w:rPr>
        <w:t>证据</w:t>
      </w:r>
    </w:p>
    <w:p>
      <w:pPr>
        <w:spacing w:after="0" w:line="420" w:lineRule="auto"/>
        <w:sectPr>
          <w:pgSz w:w="11910" w:h="16840"/>
          <w:pgMar w:top="1000" w:bottom="280" w:left="1300" w:right="1080"/>
        </w:sectPr>
      </w:pPr>
    </w:p>
    <w:p>
      <w:pPr>
        <w:pStyle w:val="BodyText"/>
        <w:spacing w:before="62"/>
        <w:ind w:left="555"/>
      </w:pPr>
      <w:r>
        <w:rPr>
          <w:position w:val="1"/>
        </w:rPr>
        <w:t>pN</w:t>
      </w:r>
      <w:r>
        <w:rPr>
          <w:sz w:val="11"/>
        </w:rPr>
        <w:t>1</w:t>
      </w:r>
      <w:r>
        <w:rPr>
          <w:spacing w:val="-2"/>
          <w:position w:val="1"/>
        </w:rPr>
        <w:t>：区域淋巴结转移</w:t>
      </w:r>
    </w:p>
    <w:p>
      <w:pPr>
        <w:pStyle w:val="BodyText"/>
        <w:spacing w:line="422" w:lineRule="auto" w:before="213"/>
        <w:ind w:right="333" w:firstLine="439"/>
      </w:pPr>
      <w:r>
        <w:rPr>
          <w:position w:val="1"/>
        </w:rPr>
        <w:t>pN</w:t>
      </w:r>
      <w:r>
        <w:rPr>
          <w:sz w:val="11"/>
        </w:rPr>
        <w:t>1a</w:t>
      </w:r>
      <w:r>
        <w:rPr>
          <w:position w:val="1"/>
        </w:rPr>
        <w:t>：转移至Ⅵ、Ⅶ区（包括气管旁、气管前、喉前/Delphian 或上纵隔）淋巴结，可以</w:t>
      </w:r>
      <w:r>
        <w:rPr>
          <w:spacing w:val="-2"/>
        </w:rPr>
        <w:t>为单侧或双侧。</w:t>
      </w:r>
    </w:p>
    <w:p>
      <w:pPr>
        <w:pStyle w:val="BodyText"/>
        <w:spacing w:line="422" w:lineRule="auto"/>
        <w:ind w:right="338" w:firstLine="439"/>
      </w:pPr>
      <w:r>
        <w:rPr>
          <w:w w:val="140"/>
          <w:position w:val="1"/>
        </w:rPr>
        <w:t>pN</w:t>
      </w:r>
      <w:r>
        <w:rPr>
          <w:spacing w:val="-1"/>
          <w:w w:val="109"/>
          <w:sz w:val="11"/>
        </w:rPr>
        <w:t>1b</w:t>
      </w:r>
      <w:r>
        <w:rPr>
          <w:w w:val="100"/>
          <w:position w:val="1"/>
        </w:rPr>
        <w:t>：单侧、双侧或对侧颈淋巴结转移（包括Ⅰ、Ⅱ、Ⅲ、Ⅳ或Ⅴ区）</w:t>
      </w:r>
      <w:r>
        <w:rPr>
          <w:spacing w:val="-2"/>
          <w:w w:val="100"/>
          <w:position w:val="1"/>
        </w:rPr>
        <w:t>淋巴结或咽后淋巴</w:t>
      </w:r>
      <w:r>
        <w:rPr>
          <w:w w:val="100"/>
        </w:rPr>
        <w:t>结转移。</w:t>
      </w:r>
    </w:p>
    <w:p>
      <w:pPr>
        <w:pStyle w:val="BodyText"/>
        <w:spacing w:line="417" w:lineRule="auto"/>
        <w:ind w:left="555" w:right="5887"/>
      </w:pPr>
      <w:r>
        <w:rPr>
          <w:spacing w:val="-2"/>
        </w:rPr>
        <w:t>远处转移：适用于所有甲状腺癌 </w:t>
      </w:r>
      <w:r>
        <w:rPr>
          <w:spacing w:val="-2"/>
          <w:w w:val="115"/>
          <w:position w:val="1"/>
        </w:rPr>
        <w:t>M</w:t>
      </w:r>
      <w:r>
        <w:rPr>
          <w:spacing w:val="-2"/>
          <w:w w:val="115"/>
          <w:sz w:val="11"/>
        </w:rPr>
        <w:t>0</w:t>
      </w:r>
      <w:r>
        <w:rPr>
          <w:spacing w:val="-2"/>
          <w:w w:val="115"/>
          <w:position w:val="1"/>
        </w:rPr>
        <w:t>：</w:t>
      </w:r>
      <w:r>
        <w:rPr>
          <w:spacing w:val="-2"/>
          <w:position w:val="1"/>
        </w:rPr>
        <w:t>无远处转移</w:t>
      </w:r>
    </w:p>
    <w:p>
      <w:pPr>
        <w:pStyle w:val="BodyText"/>
        <w:ind w:left="555"/>
      </w:pPr>
      <w:r>
        <w:rPr>
          <w:w w:val="105"/>
          <w:position w:val="1"/>
        </w:rPr>
        <w:t>M</w:t>
      </w:r>
      <w:r>
        <w:rPr>
          <w:w w:val="105"/>
          <w:sz w:val="11"/>
        </w:rPr>
        <w:t>1</w:t>
      </w:r>
      <w:r>
        <w:rPr>
          <w:w w:val="105"/>
          <w:position w:val="1"/>
        </w:rPr>
        <w:t>：有</w:t>
      </w:r>
      <w:r>
        <w:rPr>
          <w:w w:val="105"/>
          <w:position w:val="1"/>
        </w:rPr>
        <w:t>远</w:t>
      </w:r>
      <w:r>
        <w:rPr>
          <w:w w:val="105"/>
          <w:position w:val="1"/>
        </w:rPr>
        <w:t>处</w:t>
      </w:r>
      <w:r>
        <w:rPr>
          <w:w w:val="105"/>
          <w:position w:val="1"/>
        </w:rPr>
        <w:t>转</w:t>
      </w:r>
      <w:r>
        <w:rPr>
          <w:spacing w:val="-10"/>
          <w:w w:val="105"/>
          <w:position w:val="1"/>
        </w:rPr>
        <w:t>移</w:t>
      </w:r>
    </w:p>
    <w:p>
      <w:pPr>
        <w:pStyle w:val="BodyText"/>
        <w:spacing w:before="209"/>
        <w:ind w:left="555"/>
      </w:pPr>
      <w:r>
        <w:rPr>
          <w:spacing w:val="-2"/>
        </w:rPr>
        <w:t>乳头状或滤泡状癌（分化型</w:t>
      </w:r>
      <w:r>
        <w:rPr>
          <w:spacing w:val="-10"/>
        </w:rPr>
        <w:t>）</w:t>
      </w:r>
    </w:p>
    <w:p>
      <w:pPr>
        <w:pStyle w:val="BodyText"/>
        <w:spacing w:before="8"/>
        <w:ind w:left="0"/>
        <w:rPr>
          <w:sz w:val="15"/>
        </w:rPr>
      </w:pPr>
    </w:p>
    <w:tbl>
      <w:tblPr>
        <w:tblW w:w="0" w:type="auto"/>
        <w:jc w:val="left"/>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79"/>
        <w:gridCol w:w="1702"/>
        <w:gridCol w:w="1694"/>
        <w:gridCol w:w="1702"/>
      </w:tblGrid>
      <w:tr>
        <w:trPr>
          <w:trHeight w:val="412" w:hRule="atLeast"/>
        </w:trPr>
        <w:tc>
          <w:tcPr>
            <w:tcW w:w="8077" w:type="dxa"/>
            <w:gridSpan w:val="4"/>
          </w:tcPr>
          <w:p>
            <w:pPr>
              <w:pStyle w:val="TableParagraph"/>
              <w:spacing w:before="12"/>
              <w:rPr>
                <w:sz w:val="22"/>
              </w:rPr>
            </w:pPr>
            <w:r>
              <w:rPr>
                <w:spacing w:val="-2"/>
                <w:sz w:val="22"/>
              </w:rPr>
              <w:t>乳头状或滤泡状癌（分化型</w:t>
            </w:r>
            <w:r>
              <w:rPr>
                <w:spacing w:val="-10"/>
                <w:sz w:val="22"/>
              </w:rPr>
              <w:t>）</w:t>
            </w:r>
          </w:p>
        </w:tc>
      </w:tr>
      <w:tr>
        <w:trPr>
          <w:trHeight w:val="412" w:hRule="atLeast"/>
        </w:trPr>
        <w:tc>
          <w:tcPr>
            <w:tcW w:w="2979" w:type="dxa"/>
          </w:tcPr>
          <w:p>
            <w:pPr>
              <w:pStyle w:val="TableParagraph"/>
              <w:rPr>
                <w:sz w:val="22"/>
              </w:rPr>
            </w:pPr>
            <w:r>
              <w:rPr>
                <w:w w:val="110"/>
                <w:sz w:val="22"/>
              </w:rPr>
              <w:t>年</w:t>
            </w:r>
            <w:r>
              <w:rPr>
                <w:w w:val="110"/>
                <w:sz w:val="22"/>
              </w:rPr>
              <w:t>龄</w:t>
            </w:r>
            <w:r>
              <w:rPr>
                <w:w w:val="110"/>
                <w:sz w:val="22"/>
              </w:rPr>
              <w:t>&lt;55</w:t>
            </w:r>
            <w:r>
              <w:rPr>
                <w:spacing w:val="-37"/>
                <w:w w:val="110"/>
                <w:sz w:val="22"/>
              </w:rPr>
              <w:t> 岁</w:t>
            </w:r>
          </w:p>
        </w:tc>
        <w:tc>
          <w:tcPr>
            <w:tcW w:w="1702" w:type="dxa"/>
          </w:tcPr>
          <w:p>
            <w:pPr>
              <w:pStyle w:val="TableParagraph"/>
              <w:spacing w:before="0"/>
              <w:ind w:left="0"/>
              <w:rPr>
                <w:rFonts w:ascii="Times New Roman"/>
                <w:sz w:val="20"/>
              </w:rPr>
            </w:pPr>
          </w:p>
        </w:tc>
        <w:tc>
          <w:tcPr>
            <w:tcW w:w="1694" w:type="dxa"/>
          </w:tcPr>
          <w:p>
            <w:pPr>
              <w:pStyle w:val="TableParagraph"/>
              <w:spacing w:before="0"/>
              <w:ind w:left="0"/>
              <w:rPr>
                <w:rFonts w:ascii="Times New Roman"/>
                <w:sz w:val="20"/>
              </w:rPr>
            </w:pPr>
          </w:p>
        </w:tc>
        <w:tc>
          <w:tcPr>
            <w:tcW w:w="1702" w:type="dxa"/>
          </w:tcPr>
          <w:p>
            <w:pPr>
              <w:pStyle w:val="TableParagraph"/>
              <w:spacing w:before="0"/>
              <w:ind w:left="0"/>
              <w:rPr>
                <w:rFonts w:ascii="Times New Roman"/>
                <w:sz w:val="20"/>
              </w:rPr>
            </w:pPr>
          </w:p>
        </w:tc>
      </w:tr>
      <w:tr>
        <w:trPr>
          <w:trHeight w:val="410" w:hRule="atLeast"/>
        </w:trPr>
        <w:tc>
          <w:tcPr>
            <w:tcW w:w="2979" w:type="dxa"/>
          </w:tcPr>
          <w:p>
            <w:pPr>
              <w:pStyle w:val="TableParagraph"/>
              <w:spacing w:before="0"/>
              <w:ind w:left="0"/>
              <w:rPr>
                <w:rFonts w:ascii="Times New Roman"/>
                <w:sz w:val="20"/>
              </w:rPr>
            </w:pPr>
          </w:p>
        </w:tc>
        <w:tc>
          <w:tcPr>
            <w:tcW w:w="1702" w:type="dxa"/>
          </w:tcPr>
          <w:p>
            <w:pPr>
              <w:pStyle w:val="TableParagraph"/>
              <w:rPr>
                <w:sz w:val="22"/>
              </w:rPr>
            </w:pPr>
            <w:r>
              <w:rPr>
                <w:w w:val="135"/>
                <w:sz w:val="22"/>
              </w:rPr>
              <w:t>T</w:t>
            </w:r>
          </w:p>
        </w:tc>
        <w:tc>
          <w:tcPr>
            <w:tcW w:w="1694" w:type="dxa"/>
          </w:tcPr>
          <w:p>
            <w:pPr>
              <w:pStyle w:val="TableParagraph"/>
              <w:rPr>
                <w:sz w:val="22"/>
              </w:rPr>
            </w:pPr>
            <w:r>
              <w:rPr>
                <w:w w:val="158"/>
                <w:sz w:val="22"/>
              </w:rPr>
              <w:t>N</w:t>
            </w:r>
          </w:p>
        </w:tc>
        <w:tc>
          <w:tcPr>
            <w:tcW w:w="1702" w:type="dxa"/>
          </w:tcPr>
          <w:p>
            <w:pPr>
              <w:pStyle w:val="TableParagraph"/>
              <w:ind w:left="108"/>
              <w:rPr>
                <w:sz w:val="22"/>
              </w:rPr>
            </w:pPr>
            <w:r>
              <w:rPr>
                <w:w w:val="184"/>
                <w:sz w:val="22"/>
              </w:rPr>
              <w:t>M</w:t>
            </w:r>
          </w:p>
        </w:tc>
      </w:tr>
      <w:tr>
        <w:trPr>
          <w:trHeight w:val="412" w:hRule="atLeast"/>
        </w:trPr>
        <w:tc>
          <w:tcPr>
            <w:tcW w:w="2979" w:type="dxa"/>
          </w:tcPr>
          <w:p>
            <w:pPr>
              <w:pStyle w:val="TableParagraph"/>
              <w:rPr>
                <w:sz w:val="22"/>
              </w:rPr>
            </w:pPr>
            <w:r>
              <w:rPr>
                <w:spacing w:val="-5"/>
                <w:sz w:val="22"/>
              </w:rPr>
              <w:t>Ⅰ期</w:t>
            </w:r>
          </w:p>
        </w:tc>
        <w:tc>
          <w:tcPr>
            <w:tcW w:w="1702" w:type="dxa"/>
          </w:tcPr>
          <w:p>
            <w:pPr>
              <w:pStyle w:val="TableParagraph"/>
              <w:rPr>
                <w:sz w:val="22"/>
              </w:rPr>
            </w:pPr>
            <w:r>
              <w:rPr>
                <w:spacing w:val="-5"/>
                <w:sz w:val="22"/>
              </w:rPr>
              <w:t>任何</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122"/>
                <w:sz w:val="22"/>
              </w:rPr>
              <w:t>0</w:t>
            </w:r>
          </w:p>
        </w:tc>
      </w:tr>
      <w:tr>
        <w:trPr>
          <w:trHeight w:val="410" w:hRule="atLeast"/>
        </w:trPr>
        <w:tc>
          <w:tcPr>
            <w:tcW w:w="2979" w:type="dxa"/>
          </w:tcPr>
          <w:p>
            <w:pPr>
              <w:pStyle w:val="TableParagraph"/>
              <w:rPr>
                <w:sz w:val="22"/>
              </w:rPr>
            </w:pPr>
            <w:r>
              <w:rPr>
                <w:spacing w:val="-5"/>
                <w:sz w:val="22"/>
              </w:rPr>
              <w:t>Ⅱ期</w:t>
            </w:r>
          </w:p>
        </w:tc>
        <w:tc>
          <w:tcPr>
            <w:tcW w:w="1702" w:type="dxa"/>
          </w:tcPr>
          <w:p>
            <w:pPr>
              <w:pStyle w:val="TableParagraph"/>
              <w:rPr>
                <w:sz w:val="22"/>
              </w:rPr>
            </w:pPr>
            <w:r>
              <w:rPr>
                <w:spacing w:val="-5"/>
                <w:sz w:val="22"/>
              </w:rPr>
              <w:t>任何</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97"/>
                <w:sz w:val="22"/>
              </w:rPr>
              <w:t>1</w:t>
            </w:r>
          </w:p>
        </w:tc>
      </w:tr>
      <w:tr>
        <w:trPr>
          <w:trHeight w:val="412" w:hRule="atLeast"/>
        </w:trPr>
        <w:tc>
          <w:tcPr>
            <w:tcW w:w="8077" w:type="dxa"/>
            <w:gridSpan w:val="4"/>
          </w:tcPr>
          <w:p>
            <w:pPr>
              <w:pStyle w:val="TableParagraph"/>
              <w:spacing w:before="12"/>
              <w:rPr>
                <w:sz w:val="22"/>
              </w:rPr>
            </w:pPr>
            <w:r>
              <w:rPr>
                <w:w w:val="105"/>
                <w:sz w:val="22"/>
              </w:rPr>
              <w:t>年</w:t>
            </w:r>
            <w:r>
              <w:rPr>
                <w:w w:val="105"/>
                <w:sz w:val="22"/>
              </w:rPr>
              <w:t>龄</w:t>
            </w:r>
            <w:r>
              <w:rPr>
                <w:w w:val="105"/>
                <w:sz w:val="22"/>
              </w:rPr>
              <w:t>≥55</w:t>
            </w:r>
            <w:r>
              <w:rPr>
                <w:spacing w:val="-37"/>
                <w:w w:val="105"/>
                <w:sz w:val="22"/>
              </w:rPr>
              <w:t> 岁</w:t>
            </w:r>
          </w:p>
        </w:tc>
      </w:tr>
      <w:tr>
        <w:trPr>
          <w:trHeight w:val="412" w:hRule="atLeast"/>
        </w:trPr>
        <w:tc>
          <w:tcPr>
            <w:tcW w:w="2979" w:type="dxa"/>
            <w:vMerge w:val="restart"/>
          </w:tcPr>
          <w:p>
            <w:pPr>
              <w:pStyle w:val="TableParagraph"/>
              <w:spacing w:before="3"/>
              <w:ind w:left="0"/>
              <w:rPr>
                <w:sz w:val="17"/>
              </w:rPr>
            </w:pPr>
          </w:p>
          <w:p>
            <w:pPr>
              <w:pStyle w:val="TableParagraph"/>
              <w:spacing w:before="0"/>
              <w:rPr>
                <w:sz w:val="22"/>
              </w:rPr>
            </w:pPr>
            <w:r>
              <w:rPr>
                <w:spacing w:val="-5"/>
                <w:sz w:val="22"/>
              </w:rPr>
              <w:t>Ⅰ期</w:t>
            </w:r>
          </w:p>
        </w:tc>
        <w:tc>
          <w:tcPr>
            <w:tcW w:w="1702" w:type="dxa"/>
          </w:tcPr>
          <w:p>
            <w:pPr>
              <w:pStyle w:val="TableParagraph"/>
              <w:rPr>
                <w:sz w:val="22"/>
              </w:rPr>
            </w:pPr>
            <w:r>
              <w:rPr>
                <w:w w:val="97"/>
                <w:sz w:val="22"/>
              </w:rPr>
              <w:t>1</w:t>
            </w:r>
          </w:p>
        </w:tc>
        <w:tc>
          <w:tcPr>
            <w:tcW w:w="1694" w:type="dxa"/>
          </w:tcPr>
          <w:p>
            <w:pPr>
              <w:pStyle w:val="TableParagraph"/>
              <w:rPr>
                <w:sz w:val="22"/>
              </w:rPr>
            </w:pPr>
            <w:r>
              <w:rPr>
                <w:spacing w:val="-5"/>
                <w:sz w:val="22"/>
              </w:rPr>
              <w:t>0/x</w:t>
            </w:r>
          </w:p>
        </w:tc>
        <w:tc>
          <w:tcPr>
            <w:tcW w:w="1702" w:type="dxa"/>
          </w:tcPr>
          <w:p>
            <w:pPr>
              <w:pStyle w:val="TableParagraph"/>
              <w:ind w:left="108"/>
              <w:rPr>
                <w:sz w:val="22"/>
              </w:rPr>
            </w:pPr>
            <w:r>
              <w:rPr>
                <w:w w:val="122"/>
                <w:sz w:val="22"/>
              </w:rPr>
              <w:t>0</w:t>
            </w:r>
          </w:p>
        </w:tc>
      </w:tr>
      <w:tr>
        <w:trPr>
          <w:trHeight w:val="410" w:hRule="atLeast"/>
        </w:trPr>
        <w:tc>
          <w:tcPr>
            <w:tcW w:w="2979" w:type="dxa"/>
            <w:vMerge/>
            <w:tcBorders>
              <w:top w:val="nil"/>
            </w:tcBorders>
          </w:tcPr>
          <w:p>
            <w:pPr>
              <w:rPr>
                <w:sz w:val="2"/>
                <w:szCs w:val="2"/>
              </w:rPr>
            </w:pPr>
          </w:p>
        </w:tc>
        <w:tc>
          <w:tcPr>
            <w:tcW w:w="1702" w:type="dxa"/>
          </w:tcPr>
          <w:p>
            <w:pPr>
              <w:pStyle w:val="TableParagraph"/>
              <w:rPr>
                <w:sz w:val="22"/>
              </w:rPr>
            </w:pPr>
            <w:r>
              <w:rPr>
                <w:w w:val="120"/>
                <w:sz w:val="22"/>
              </w:rPr>
              <w:t>2</w:t>
            </w:r>
          </w:p>
        </w:tc>
        <w:tc>
          <w:tcPr>
            <w:tcW w:w="1694" w:type="dxa"/>
          </w:tcPr>
          <w:p>
            <w:pPr>
              <w:pStyle w:val="TableParagraph"/>
              <w:rPr>
                <w:sz w:val="22"/>
              </w:rPr>
            </w:pPr>
            <w:r>
              <w:rPr>
                <w:spacing w:val="-5"/>
                <w:sz w:val="22"/>
              </w:rPr>
              <w:t>0/x</w:t>
            </w:r>
          </w:p>
        </w:tc>
        <w:tc>
          <w:tcPr>
            <w:tcW w:w="1702" w:type="dxa"/>
          </w:tcPr>
          <w:p>
            <w:pPr>
              <w:pStyle w:val="TableParagraph"/>
              <w:ind w:left="108"/>
              <w:rPr>
                <w:sz w:val="22"/>
              </w:rPr>
            </w:pPr>
            <w:r>
              <w:rPr>
                <w:w w:val="122"/>
                <w:sz w:val="22"/>
              </w:rPr>
              <w:t>0</w:t>
            </w:r>
          </w:p>
        </w:tc>
      </w:tr>
      <w:tr>
        <w:trPr>
          <w:trHeight w:val="412" w:hRule="atLeast"/>
        </w:trPr>
        <w:tc>
          <w:tcPr>
            <w:tcW w:w="2979" w:type="dxa"/>
            <w:vMerge w:val="restart"/>
          </w:tcPr>
          <w:p>
            <w:pPr>
              <w:pStyle w:val="TableParagraph"/>
              <w:spacing w:before="3"/>
              <w:ind w:left="0"/>
              <w:rPr>
                <w:sz w:val="17"/>
              </w:rPr>
            </w:pPr>
          </w:p>
          <w:p>
            <w:pPr>
              <w:pStyle w:val="TableParagraph"/>
              <w:spacing w:before="1"/>
              <w:rPr>
                <w:sz w:val="22"/>
              </w:rPr>
            </w:pPr>
            <w:r>
              <w:rPr>
                <w:spacing w:val="-5"/>
                <w:sz w:val="22"/>
              </w:rPr>
              <w:t>Ⅱ期</w:t>
            </w:r>
          </w:p>
        </w:tc>
        <w:tc>
          <w:tcPr>
            <w:tcW w:w="1702" w:type="dxa"/>
          </w:tcPr>
          <w:p>
            <w:pPr>
              <w:pStyle w:val="TableParagraph"/>
              <w:rPr>
                <w:sz w:val="22"/>
              </w:rPr>
            </w:pPr>
            <w:r>
              <w:rPr>
                <w:spacing w:val="-5"/>
                <w:w w:val="115"/>
                <w:sz w:val="22"/>
              </w:rPr>
              <w:t>1~2</w:t>
            </w:r>
          </w:p>
        </w:tc>
        <w:tc>
          <w:tcPr>
            <w:tcW w:w="1694" w:type="dxa"/>
          </w:tcPr>
          <w:p>
            <w:pPr>
              <w:pStyle w:val="TableParagraph"/>
              <w:rPr>
                <w:sz w:val="22"/>
              </w:rPr>
            </w:pPr>
            <w:r>
              <w:rPr>
                <w:w w:val="97"/>
                <w:sz w:val="22"/>
              </w:rPr>
              <w:t>1</w:t>
            </w:r>
          </w:p>
        </w:tc>
        <w:tc>
          <w:tcPr>
            <w:tcW w:w="1702" w:type="dxa"/>
          </w:tcPr>
          <w:p>
            <w:pPr>
              <w:pStyle w:val="TableParagraph"/>
              <w:ind w:left="108"/>
              <w:rPr>
                <w:sz w:val="22"/>
              </w:rPr>
            </w:pPr>
            <w:r>
              <w:rPr>
                <w:w w:val="122"/>
                <w:sz w:val="22"/>
              </w:rPr>
              <w:t>0</w:t>
            </w:r>
          </w:p>
        </w:tc>
      </w:tr>
      <w:tr>
        <w:trPr>
          <w:trHeight w:val="410" w:hRule="atLeast"/>
        </w:trPr>
        <w:tc>
          <w:tcPr>
            <w:tcW w:w="2979" w:type="dxa"/>
            <w:vMerge/>
            <w:tcBorders>
              <w:top w:val="nil"/>
            </w:tcBorders>
          </w:tcPr>
          <w:p>
            <w:pPr>
              <w:rPr>
                <w:sz w:val="2"/>
                <w:szCs w:val="2"/>
              </w:rPr>
            </w:pPr>
          </w:p>
        </w:tc>
        <w:tc>
          <w:tcPr>
            <w:tcW w:w="1702" w:type="dxa"/>
          </w:tcPr>
          <w:p>
            <w:pPr>
              <w:pStyle w:val="TableParagraph"/>
              <w:rPr>
                <w:sz w:val="22"/>
              </w:rPr>
            </w:pPr>
            <w:r>
              <w:rPr>
                <w:spacing w:val="-2"/>
                <w:w w:val="125"/>
                <w:sz w:val="22"/>
              </w:rPr>
              <w:t>3a~3b</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122"/>
                <w:sz w:val="22"/>
              </w:rPr>
              <w:t>0</w:t>
            </w:r>
          </w:p>
        </w:tc>
      </w:tr>
      <w:tr>
        <w:trPr>
          <w:trHeight w:val="412" w:hRule="atLeast"/>
        </w:trPr>
        <w:tc>
          <w:tcPr>
            <w:tcW w:w="2979" w:type="dxa"/>
          </w:tcPr>
          <w:p>
            <w:pPr>
              <w:pStyle w:val="TableParagraph"/>
              <w:rPr>
                <w:sz w:val="22"/>
              </w:rPr>
            </w:pPr>
            <w:r>
              <w:rPr>
                <w:spacing w:val="-5"/>
                <w:sz w:val="22"/>
              </w:rPr>
              <w:t>Ⅲ期</w:t>
            </w:r>
          </w:p>
        </w:tc>
        <w:tc>
          <w:tcPr>
            <w:tcW w:w="1702" w:type="dxa"/>
          </w:tcPr>
          <w:p>
            <w:pPr>
              <w:pStyle w:val="TableParagraph"/>
              <w:rPr>
                <w:sz w:val="22"/>
              </w:rPr>
            </w:pPr>
            <w:r>
              <w:rPr>
                <w:spacing w:val="-5"/>
                <w:w w:val="125"/>
                <w:sz w:val="22"/>
              </w:rPr>
              <w:t>4a</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122"/>
                <w:sz w:val="22"/>
              </w:rPr>
              <w:t>0</w:t>
            </w:r>
          </w:p>
        </w:tc>
      </w:tr>
      <w:tr>
        <w:trPr>
          <w:trHeight w:val="410" w:hRule="atLeast"/>
        </w:trPr>
        <w:tc>
          <w:tcPr>
            <w:tcW w:w="2979" w:type="dxa"/>
          </w:tcPr>
          <w:p>
            <w:pPr>
              <w:pStyle w:val="TableParagraph"/>
              <w:rPr>
                <w:sz w:val="22"/>
              </w:rPr>
            </w:pPr>
            <w:r>
              <w:rPr>
                <w:w w:val="115"/>
                <w:sz w:val="22"/>
              </w:rPr>
              <w:t>ⅣA</w:t>
            </w:r>
            <w:r>
              <w:rPr>
                <w:spacing w:val="-40"/>
                <w:w w:val="115"/>
                <w:sz w:val="22"/>
              </w:rPr>
              <w:t> 期</w:t>
            </w:r>
          </w:p>
        </w:tc>
        <w:tc>
          <w:tcPr>
            <w:tcW w:w="1702" w:type="dxa"/>
          </w:tcPr>
          <w:p>
            <w:pPr>
              <w:pStyle w:val="TableParagraph"/>
              <w:rPr>
                <w:sz w:val="22"/>
              </w:rPr>
            </w:pPr>
            <w:r>
              <w:rPr>
                <w:spacing w:val="-5"/>
                <w:w w:val="120"/>
                <w:sz w:val="22"/>
              </w:rPr>
              <w:t>4b</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122"/>
                <w:sz w:val="22"/>
              </w:rPr>
              <w:t>0</w:t>
            </w:r>
          </w:p>
        </w:tc>
      </w:tr>
      <w:tr>
        <w:trPr>
          <w:trHeight w:val="412" w:hRule="atLeast"/>
        </w:trPr>
        <w:tc>
          <w:tcPr>
            <w:tcW w:w="2979" w:type="dxa"/>
          </w:tcPr>
          <w:p>
            <w:pPr>
              <w:pStyle w:val="TableParagraph"/>
              <w:spacing w:before="12"/>
              <w:rPr>
                <w:sz w:val="22"/>
              </w:rPr>
            </w:pPr>
            <w:r>
              <w:rPr>
                <w:w w:val="115"/>
                <w:sz w:val="22"/>
              </w:rPr>
              <w:t>ⅣB</w:t>
            </w:r>
            <w:r>
              <w:rPr>
                <w:spacing w:val="-42"/>
                <w:w w:val="115"/>
                <w:sz w:val="22"/>
              </w:rPr>
              <w:t> 期</w:t>
            </w:r>
          </w:p>
        </w:tc>
        <w:tc>
          <w:tcPr>
            <w:tcW w:w="1702" w:type="dxa"/>
          </w:tcPr>
          <w:p>
            <w:pPr>
              <w:pStyle w:val="TableParagraph"/>
              <w:spacing w:before="12"/>
              <w:rPr>
                <w:sz w:val="22"/>
              </w:rPr>
            </w:pPr>
            <w:r>
              <w:rPr>
                <w:spacing w:val="-5"/>
                <w:sz w:val="22"/>
              </w:rPr>
              <w:t>任何</w:t>
            </w:r>
          </w:p>
        </w:tc>
        <w:tc>
          <w:tcPr>
            <w:tcW w:w="1694" w:type="dxa"/>
          </w:tcPr>
          <w:p>
            <w:pPr>
              <w:pStyle w:val="TableParagraph"/>
              <w:spacing w:before="12"/>
              <w:rPr>
                <w:sz w:val="22"/>
              </w:rPr>
            </w:pPr>
            <w:r>
              <w:rPr>
                <w:spacing w:val="-5"/>
                <w:sz w:val="22"/>
              </w:rPr>
              <w:t>任何</w:t>
            </w:r>
          </w:p>
        </w:tc>
        <w:tc>
          <w:tcPr>
            <w:tcW w:w="1702" w:type="dxa"/>
          </w:tcPr>
          <w:p>
            <w:pPr>
              <w:pStyle w:val="TableParagraph"/>
              <w:spacing w:before="12"/>
              <w:ind w:left="108"/>
              <w:rPr>
                <w:sz w:val="22"/>
              </w:rPr>
            </w:pPr>
            <w:r>
              <w:rPr>
                <w:w w:val="97"/>
                <w:sz w:val="22"/>
              </w:rPr>
              <w:t>1</w:t>
            </w:r>
          </w:p>
        </w:tc>
      </w:tr>
      <w:tr>
        <w:trPr>
          <w:trHeight w:val="412" w:hRule="atLeast"/>
        </w:trPr>
        <w:tc>
          <w:tcPr>
            <w:tcW w:w="8077" w:type="dxa"/>
            <w:gridSpan w:val="4"/>
          </w:tcPr>
          <w:p>
            <w:pPr>
              <w:pStyle w:val="TableParagraph"/>
              <w:rPr>
                <w:sz w:val="22"/>
              </w:rPr>
            </w:pPr>
            <w:r>
              <w:rPr>
                <w:spacing w:val="-2"/>
                <w:sz w:val="22"/>
              </w:rPr>
              <w:t>髓样癌（所有年龄组</w:t>
            </w:r>
            <w:r>
              <w:rPr>
                <w:spacing w:val="-10"/>
                <w:sz w:val="22"/>
              </w:rPr>
              <w:t>）</w:t>
            </w:r>
          </w:p>
        </w:tc>
      </w:tr>
      <w:tr>
        <w:trPr>
          <w:trHeight w:val="409" w:hRule="atLeast"/>
        </w:trPr>
        <w:tc>
          <w:tcPr>
            <w:tcW w:w="2979" w:type="dxa"/>
          </w:tcPr>
          <w:p>
            <w:pPr>
              <w:pStyle w:val="TableParagraph"/>
              <w:rPr>
                <w:sz w:val="22"/>
              </w:rPr>
            </w:pPr>
            <w:r>
              <w:rPr>
                <w:spacing w:val="-5"/>
                <w:sz w:val="22"/>
              </w:rPr>
              <w:t>Ⅰ期</w:t>
            </w:r>
          </w:p>
        </w:tc>
        <w:tc>
          <w:tcPr>
            <w:tcW w:w="1702" w:type="dxa"/>
          </w:tcPr>
          <w:p>
            <w:pPr>
              <w:pStyle w:val="TableParagraph"/>
              <w:rPr>
                <w:sz w:val="22"/>
              </w:rPr>
            </w:pPr>
            <w:r>
              <w:rPr>
                <w:w w:val="97"/>
                <w:sz w:val="22"/>
              </w:rPr>
              <w:t>1</w:t>
            </w:r>
          </w:p>
        </w:tc>
        <w:tc>
          <w:tcPr>
            <w:tcW w:w="1694" w:type="dxa"/>
          </w:tcPr>
          <w:p>
            <w:pPr>
              <w:pStyle w:val="TableParagraph"/>
              <w:rPr>
                <w:sz w:val="22"/>
              </w:rPr>
            </w:pPr>
            <w:r>
              <w:rPr>
                <w:w w:val="122"/>
                <w:sz w:val="22"/>
              </w:rPr>
              <w:t>0</w:t>
            </w:r>
          </w:p>
        </w:tc>
        <w:tc>
          <w:tcPr>
            <w:tcW w:w="1702" w:type="dxa"/>
          </w:tcPr>
          <w:p>
            <w:pPr>
              <w:pStyle w:val="TableParagraph"/>
              <w:ind w:left="108"/>
              <w:rPr>
                <w:sz w:val="22"/>
              </w:rPr>
            </w:pPr>
            <w:r>
              <w:rPr>
                <w:w w:val="122"/>
                <w:sz w:val="22"/>
              </w:rPr>
              <w:t>0</w:t>
            </w:r>
          </w:p>
        </w:tc>
      </w:tr>
      <w:tr>
        <w:trPr>
          <w:trHeight w:val="412" w:hRule="atLeast"/>
        </w:trPr>
        <w:tc>
          <w:tcPr>
            <w:tcW w:w="2979" w:type="dxa"/>
          </w:tcPr>
          <w:p>
            <w:pPr>
              <w:pStyle w:val="TableParagraph"/>
              <w:rPr>
                <w:sz w:val="22"/>
              </w:rPr>
            </w:pPr>
            <w:r>
              <w:rPr>
                <w:spacing w:val="-5"/>
                <w:sz w:val="22"/>
              </w:rPr>
              <w:t>Ⅱ期</w:t>
            </w:r>
          </w:p>
        </w:tc>
        <w:tc>
          <w:tcPr>
            <w:tcW w:w="1702" w:type="dxa"/>
          </w:tcPr>
          <w:p>
            <w:pPr>
              <w:pStyle w:val="TableParagraph"/>
              <w:rPr>
                <w:sz w:val="22"/>
              </w:rPr>
            </w:pPr>
            <w:r>
              <w:rPr>
                <w:spacing w:val="-5"/>
                <w:w w:val="125"/>
                <w:sz w:val="22"/>
              </w:rPr>
              <w:t>2~3</w:t>
            </w:r>
          </w:p>
        </w:tc>
        <w:tc>
          <w:tcPr>
            <w:tcW w:w="1694" w:type="dxa"/>
          </w:tcPr>
          <w:p>
            <w:pPr>
              <w:pStyle w:val="TableParagraph"/>
              <w:rPr>
                <w:sz w:val="22"/>
              </w:rPr>
            </w:pPr>
            <w:r>
              <w:rPr>
                <w:w w:val="122"/>
                <w:sz w:val="22"/>
              </w:rPr>
              <w:t>0</w:t>
            </w:r>
          </w:p>
        </w:tc>
        <w:tc>
          <w:tcPr>
            <w:tcW w:w="1702" w:type="dxa"/>
          </w:tcPr>
          <w:p>
            <w:pPr>
              <w:pStyle w:val="TableParagraph"/>
              <w:ind w:left="108"/>
              <w:rPr>
                <w:sz w:val="22"/>
              </w:rPr>
            </w:pPr>
            <w:r>
              <w:rPr>
                <w:w w:val="122"/>
                <w:sz w:val="22"/>
              </w:rPr>
              <w:t>0</w:t>
            </w:r>
          </w:p>
        </w:tc>
      </w:tr>
      <w:tr>
        <w:trPr>
          <w:trHeight w:val="410" w:hRule="atLeast"/>
        </w:trPr>
        <w:tc>
          <w:tcPr>
            <w:tcW w:w="2979" w:type="dxa"/>
          </w:tcPr>
          <w:p>
            <w:pPr>
              <w:pStyle w:val="TableParagraph"/>
              <w:rPr>
                <w:sz w:val="22"/>
              </w:rPr>
            </w:pPr>
            <w:r>
              <w:rPr>
                <w:spacing w:val="-5"/>
                <w:sz w:val="22"/>
              </w:rPr>
              <w:t>Ⅲ期</w:t>
            </w:r>
          </w:p>
        </w:tc>
        <w:tc>
          <w:tcPr>
            <w:tcW w:w="1702" w:type="dxa"/>
          </w:tcPr>
          <w:p>
            <w:pPr>
              <w:pStyle w:val="TableParagraph"/>
              <w:rPr>
                <w:sz w:val="22"/>
              </w:rPr>
            </w:pPr>
            <w:r>
              <w:rPr>
                <w:spacing w:val="-5"/>
                <w:w w:val="115"/>
                <w:sz w:val="22"/>
              </w:rPr>
              <w:t>1~3</w:t>
            </w:r>
          </w:p>
        </w:tc>
        <w:tc>
          <w:tcPr>
            <w:tcW w:w="1694" w:type="dxa"/>
          </w:tcPr>
          <w:p>
            <w:pPr>
              <w:pStyle w:val="TableParagraph"/>
              <w:rPr>
                <w:sz w:val="22"/>
              </w:rPr>
            </w:pPr>
            <w:r>
              <w:rPr>
                <w:spacing w:val="-5"/>
                <w:w w:val="110"/>
                <w:sz w:val="22"/>
              </w:rPr>
              <w:t>1a</w:t>
            </w:r>
          </w:p>
        </w:tc>
        <w:tc>
          <w:tcPr>
            <w:tcW w:w="1702" w:type="dxa"/>
          </w:tcPr>
          <w:p>
            <w:pPr>
              <w:pStyle w:val="TableParagraph"/>
              <w:ind w:left="108"/>
              <w:rPr>
                <w:sz w:val="22"/>
              </w:rPr>
            </w:pPr>
            <w:r>
              <w:rPr>
                <w:w w:val="122"/>
                <w:sz w:val="22"/>
              </w:rPr>
              <w:t>0</w:t>
            </w:r>
          </w:p>
        </w:tc>
      </w:tr>
      <w:tr>
        <w:trPr>
          <w:trHeight w:val="412" w:hRule="atLeast"/>
        </w:trPr>
        <w:tc>
          <w:tcPr>
            <w:tcW w:w="2979" w:type="dxa"/>
            <w:vMerge w:val="restart"/>
          </w:tcPr>
          <w:p>
            <w:pPr>
              <w:pStyle w:val="TableParagraph"/>
              <w:spacing w:before="3"/>
              <w:ind w:left="0"/>
              <w:rPr>
                <w:sz w:val="17"/>
              </w:rPr>
            </w:pPr>
          </w:p>
          <w:p>
            <w:pPr>
              <w:pStyle w:val="TableParagraph"/>
              <w:spacing w:before="0"/>
              <w:rPr>
                <w:sz w:val="22"/>
              </w:rPr>
            </w:pPr>
            <w:r>
              <w:rPr>
                <w:w w:val="115"/>
                <w:sz w:val="22"/>
              </w:rPr>
              <w:t>ⅣA</w:t>
            </w:r>
            <w:r>
              <w:rPr>
                <w:spacing w:val="-40"/>
                <w:w w:val="115"/>
                <w:sz w:val="22"/>
              </w:rPr>
              <w:t> 期</w:t>
            </w:r>
          </w:p>
        </w:tc>
        <w:tc>
          <w:tcPr>
            <w:tcW w:w="1702" w:type="dxa"/>
          </w:tcPr>
          <w:p>
            <w:pPr>
              <w:pStyle w:val="TableParagraph"/>
              <w:spacing w:before="12"/>
              <w:rPr>
                <w:sz w:val="22"/>
              </w:rPr>
            </w:pPr>
            <w:r>
              <w:rPr>
                <w:spacing w:val="-5"/>
                <w:w w:val="125"/>
                <w:sz w:val="22"/>
              </w:rPr>
              <w:t>4a</w:t>
            </w:r>
          </w:p>
        </w:tc>
        <w:tc>
          <w:tcPr>
            <w:tcW w:w="1694" w:type="dxa"/>
          </w:tcPr>
          <w:p>
            <w:pPr>
              <w:pStyle w:val="TableParagraph"/>
              <w:spacing w:before="12"/>
              <w:rPr>
                <w:sz w:val="22"/>
              </w:rPr>
            </w:pPr>
            <w:r>
              <w:rPr>
                <w:spacing w:val="-5"/>
                <w:sz w:val="22"/>
              </w:rPr>
              <w:t>任何</w:t>
            </w:r>
          </w:p>
        </w:tc>
        <w:tc>
          <w:tcPr>
            <w:tcW w:w="1702" w:type="dxa"/>
          </w:tcPr>
          <w:p>
            <w:pPr>
              <w:pStyle w:val="TableParagraph"/>
              <w:spacing w:before="12"/>
              <w:ind w:left="108"/>
              <w:rPr>
                <w:sz w:val="22"/>
              </w:rPr>
            </w:pPr>
            <w:r>
              <w:rPr>
                <w:w w:val="122"/>
                <w:sz w:val="22"/>
              </w:rPr>
              <w:t>0</w:t>
            </w:r>
          </w:p>
        </w:tc>
      </w:tr>
      <w:tr>
        <w:trPr>
          <w:trHeight w:val="412" w:hRule="atLeast"/>
        </w:trPr>
        <w:tc>
          <w:tcPr>
            <w:tcW w:w="2979" w:type="dxa"/>
            <w:vMerge/>
            <w:tcBorders>
              <w:top w:val="nil"/>
            </w:tcBorders>
          </w:tcPr>
          <w:p>
            <w:pPr>
              <w:rPr>
                <w:sz w:val="2"/>
                <w:szCs w:val="2"/>
              </w:rPr>
            </w:pPr>
          </w:p>
        </w:tc>
        <w:tc>
          <w:tcPr>
            <w:tcW w:w="1702" w:type="dxa"/>
          </w:tcPr>
          <w:p>
            <w:pPr>
              <w:pStyle w:val="TableParagraph"/>
              <w:rPr>
                <w:sz w:val="22"/>
              </w:rPr>
            </w:pPr>
            <w:r>
              <w:rPr>
                <w:spacing w:val="-5"/>
                <w:w w:val="115"/>
                <w:sz w:val="22"/>
              </w:rPr>
              <w:t>1~3</w:t>
            </w:r>
          </w:p>
        </w:tc>
        <w:tc>
          <w:tcPr>
            <w:tcW w:w="1694" w:type="dxa"/>
          </w:tcPr>
          <w:p>
            <w:pPr>
              <w:pStyle w:val="TableParagraph"/>
              <w:rPr>
                <w:sz w:val="22"/>
              </w:rPr>
            </w:pPr>
            <w:r>
              <w:rPr>
                <w:spacing w:val="-5"/>
                <w:w w:val="110"/>
                <w:sz w:val="22"/>
              </w:rPr>
              <w:t>1b</w:t>
            </w:r>
          </w:p>
        </w:tc>
        <w:tc>
          <w:tcPr>
            <w:tcW w:w="1702" w:type="dxa"/>
          </w:tcPr>
          <w:p>
            <w:pPr>
              <w:pStyle w:val="TableParagraph"/>
              <w:ind w:left="108"/>
              <w:rPr>
                <w:sz w:val="22"/>
              </w:rPr>
            </w:pPr>
            <w:r>
              <w:rPr>
                <w:w w:val="122"/>
                <w:sz w:val="22"/>
              </w:rPr>
              <w:t>0</w:t>
            </w:r>
          </w:p>
        </w:tc>
      </w:tr>
      <w:tr>
        <w:trPr>
          <w:trHeight w:val="410" w:hRule="atLeast"/>
        </w:trPr>
        <w:tc>
          <w:tcPr>
            <w:tcW w:w="2979" w:type="dxa"/>
          </w:tcPr>
          <w:p>
            <w:pPr>
              <w:pStyle w:val="TableParagraph"/>
              <w:rPr>
                <w:sz w:val="22"/>
              </w:rPr>
            </w:pPr>
            <w:r>
              <w:rPr>
                <w:w w:val="115"/>
                <w:sz w:val="22"/>
              </w:rPr>
              <w:t>ⅣB</w:t>
            </w:r>
            <w:r>
              <w:rPr>
                <w:spacing w:val="-42"/>
                <w:w w:val="115"/>
                <w:sz w:val="22"/>
              </w:rPr>
              <w:t> 期</w:t>
            </w:r>
          </w:p>
        </w:tc>
        <w:tc>
          <w:tcPr>
            <w:tcW w:w="1702" w:type="dxa"/>
          </w:tcPr>
          <w:p>
            <w:pPr>
              <w:pStyle w:val="TableParagraph"/>
              <w:rPr>
                <w:sz w:val="22"/>
              </w:rPr>
            </w:pPr>
            <w:r>
              <w:rPr>
                <w:spacing w:val="-5"/>
                <w:w w:val="120"/>
                <w:sz w:val="22"/>
              </w:rPr>
              <w:t>4b</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122"/>
                <w:sz w:val="22"/>
              </w:rPr>
              <w:t>0</w:t>
            </w:r>
          </w:p>
        </w:tc>
      </w:tr>
      <w:tr>
        <w:trPr>
          <w:trHeight w:val="412" w:hRule="atLeast"/>
        </w:trPr>
        <w:tc>
          <w:tcPr>
            <w:tcW w:w="2979" w:type="dxa"/>
          </w:tcPr>
          <w:p>
            <w:pPr>
              <w:pStyle w:val="TableParagraph"/>
              <w:rPr>
                <w:sz w:val="22"/>
              </w:rPr>
            </w:pPr>
            <w:r>
              <w:rPr>
                <w:w w:val="115"/>
                <w:sz w:val="22"/>
              </w:rPr>
              <w:t>ⅣC</w:t>
            </w:r>
            <w:r>
              <w:rPr>
                <w:spacing w:val="-34"/>
                <w:w w:val="115"/>
                <w:sz w:val="22"/>
              </w:rPr>
              <w:t> 期</w:t>
            </w:r>
          </w:p>
        </w:tc>
        <w:tc>
          <w:tcPr>
            <w:tcW w:w="1702" w:type="dxa"/>
          </w:tcPr>
          <w:p>
            <w:pPr>
              <w:pStyle w:val="TableParagraph"/>
              <w:rPr>
                <w:sz w:val="22"/>
              </w:rPr>
            </w:pPr>
            <w:r>
              <w:rPr>
                <w:spacing w:val="-5"/>
                <w:sz w:val="22"/>
              </w:rPr>
              <w:t>任何</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97"/>
                <w:sz w:val="22"/>
              </w:rPr>
              <w:t>1</w:t>
            </w:r>
          </w:p>
        </w:tc>
      </w:tr>
      <w:tr>
        <w:trPr>
          <w:trHeight w:val="410" w:hRule="atLeast"/>
        </w:trPr>
        <w:tc>
          <w:tcPr>
            <w:tcW w:w="8077" w:type="dxa"/>
            <w:gridSpan w:val="4"/>
          </w:tcPr>
          <w:p>
            <w:pPr>
              <w:pStyle w:val="TableParagraph"/>
              <w:rPr>
                <w:sz w:val="22"/>
              </w:rPr>
            </w:pPr>
            <w:r>
              <w:rPr>
                <w:spacing w:val="-2"/>
                <w:sz w:val="22"/>
              </w:rPr>
              <w:t>未分化癌（所有年龄组</w:t>
            </w:r>
            <w:r>
              <w:rPr>
                <w:spacing w:val="-10"/>
                <w:sz w:val="22"/>
              </w:rPr>
              <w:t>）</w:t>
            </w:r>
          </w:p>
        </w:tc>
      </w:tr>
      <w:tr>
        <w:trPr>
          <w:trHeight w:val="412" w:hRule="atLeast"/>
        </w:trPr>
        <w:tc>
          <w:tcPr>
            <w:tcW w:w="2979" w:type="dxa"/>
          </w:tcPr>
          <w:p>
            <w:pPr>
              <w:pStyle w:val="TableParagraph"/>
              <w:rPr>
                <w:sz w:val="22"/>
              </w:rPr>
            </w:pPr>
            <w:r>
              <w:rPr>
                <w:w w:val="115"/>
                <w:sz w:val="22"/>
              </w:rPr>
              <w:t>ⅣA</w:t>
            </w:r>
            <w:r>
              <w:rPr>
                <w:spacing w:val="-40"/>
                <w:w w:val="115"/>
                <w:sz w:val="22"/>
              </w:rPr>
              <w:t> 期</w:t>
            </w:r>
          </w:p>
        </w:tc>
        <w:tc>
          <w:tcPr>
            <w:tcW w:w="1702" w:type="dxa"/>
          </w:tcPr>
          <w:p>
            <w:pPr>
              <w:pStyle w:val="TableParagraph"/>
              <w:rPr>
                <w:sz w:val="22"/>
              </w:rPr>
            </w:pPr>
            <w:r>
              <w:rPr>
                <w:spacing w:val="-4"/>
                <w:w w:val="115"/>
                <w:sz w:val="22"/>
              </w:rPr>
              <w:t>1~3a</w:t>
            </w:r>
          </w:p>
        </w:tc>
        <w:tc>
          <w:tcPr>
            <w:tcW w:w="1694" w:type="dxa"/>
          </w:tcPr>
          <w:p>
            <w:pPr>
              <w:pStyle w:val="TableParagraph"/>
              <w:rPr>
                <w:sz w:val="22"/>
              </w:rPr>
            </w:pPr>
            <w:r>
              <w:rPr>
                <w:spacing w:val="-5"/>
                <w:sz w:val="22"/>
              </w:rPr>
              <w:t>0/x</w:t>
            </w:r>
          </w:p>
        </w:tc>
        <w:tc>
          <w:tcPr>
            <w:tcW w:w="1702" w:type="dxa"/>
          </w:tcPr>
          <w:p>
            <w:pPr>
              <w:pStyle w:val="TableParagraph"/>
              <w:ind w:left="108"/>
              <w:rPr>
                <w:sz w:val="22"/>
              </w:rPr>
            </w:pPr>
            <w:r>
              <w:rPr>
                <w:w w:val="122"/>
                <w:sz w:val="22"/>
              </w:rPr>
              <w:t>0</w:t>
            </w:r>
          </w:p>
        </w:tc>
      </w:tr>
    </w:tbl>
    <w:p>
      <w:pPr>
        <w:spacing w:after="0"/>
        <w:rPr>
          <w:sz w:val="22"/>
        </w:rPr>
        <w:sectPr>
          <w:pgSz w:w="11910" w:h="16840"/>
          <w:pgMar w:top="1000" w:bottom="1441" w:left="1300" w:right="1080"/>
        </w:sectPr>
      </w:pPr>
    </w:p>
    <w:tbl>
      <w:tblPr>
        <w:tblW w:w="0" w:type="auto"/>
        <w:jc w:val="left"/>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79"/>
        <w:gridCol w:w="1702"/>
        <w:gridCol w:w="1694"/>
        <w:gridCol w:w="1702"/>
      </w:tblGrid>
      <w:tr>
        <w:trPr>
          <w:trHeight w:val="412" w:hRule="atLeast"/>
        </w:trPr>
        <w:tc>
          <w:tcPr>
            <w:tcW w:w="2979" w:type="dxa"/>
            <w:vMerge w:val="restart"/>
            <w:tcBorders>
              <w:top w:val="nil"/>
            </w:tcBorders>
          </w:tcPr>
          <w:p>
            <w:pPr>
              <w:pStyle w:val="TableParagraph"/>
              <w:spacing w:before="3"/>
              <w:ind w:left="0"/>
              <w:rPr>
                <w:sz w:val="17"/>
              </w:rPr>
            </w:pPr>
          </w:p>
          <w:p>
            <w:pPr>
              <w:pStyle w:val="TableParagraph"/>
              <w:spacing w:before="0"/>
              <w:rPr>
                <w:sz w:val="22"/>
              </w:rPr>
            </w:pPr>
            <w:r>
              <w:rPr>
                <w:w w:val="115"/>
                <w:sz w:val="22"/>
              </w:rPr>
              <w:t>ⅣB</w:t>
            </w:r>
            <w:r>
              <w:rPr>
                <w:spacing w:val="-42"/>
                <w:w w:val="115"/>
                <w:sz w:val="22"/>
              </w:rPr>
              <w:t> 期</w:t>
            </w:r>
          </w:p>
        </w:tc>
        <w:tc>
          <w:tcPr>
            <w:tcW w:w="1702" w:type="dxa"/>
            <w:tcBorders>
              <w:top w:val="nil"/>
            </w:tcBorders>
          </w:tcPr>
          <w:p>
            <w:pPr>
              <w:pStyle w:val="TableParagraph"/>
              <w:rPr>
                <w:sz w:val="22"/>
              </w:rPr>
            </w:pPr>
            <w:r>
              <w:rPr>
                <w:spacing w:val="-4"/>
                <w:w w:val="115"/>
                <w:sz w:val="22"/>
              </w:rPr>
              <w:t>1~3a</w:t>
            </w:r>
          </w:p>
        </w:tc>
        <w:tc>
          <w:tcPr>
            <w:tcW w:w="1694" w:type="dxa"/>
            <w:tcBorders>
              <w:top w:val="nil"/>
            </w:tcBorders>
          </w:tcPr>
          <w:p>
            <w:pPr>
              <w:pStyle w:val="TableParagraph"/>
              <w:rPr>
                <w:sz w:val="22"/>
              </w:rPr>
            </w:pPr>
            <w:r>
              <w:rPr>
                <w:w w:val="97"/>
                <w:sz w:val="22"/>
              </w:rPr>
              <w:t>1</w:t>
            </w:r>
          </w:p>
        </w:tc>
        <w:tc>
          <w:tcPr>
            <w:tcW w:w="1702" w:type="dxa"/>
            <w:tcBorders>
              <w:top w:val="nil"/>
            </w:tcBorders>
          </w:tcPr>
          <w:p>
            <w:pPr>
              <w:pStyle w:val="TableParagraph"/>
              <w:ind w:left="108"/>
              <w:rPr>
                <w:sz w:val="22"/>
              </w:rPr>
            </w:pPr>
            <w:r>
              <w:rPr>
                <w:w w:val="122"/>
                <w:sz w:val="22"/>
              </w:rPr>
              <w:t>0</w:t>
            </w:r>
          </w:p>
        </w:tc>
      </w:tr>
      <w:tr>
        <w:trPr>
          <w:trHeight w:val="410" w:hRule="atLeast"/>
        </w:trPr>
        <w:tc>
          <w:tcPr>
            <w:tcW w:w="2979" w:type="dxa"/>
            <w:vMerge/>
            <w:tcBorders>
              <w:top w:val="nil"/>
            </w:tcBorders>
          </w:tcPr>
          <w:p>
            <w:pPr>
              <w:rPr>
                <w:sz w:val="2"/>
                <w:szCs w:val="2"/>
              </w:rPr>
            </w:pPr>
          </w:p>
        </w:tc>
        <w:tc>
          <w:tcPr>
            <w:tcW w:w="1702" w:type="dxa"/>
          </w:tcPr>
          <w:p>
            <w:pPr>
              <w:pStyle w:val="TableParagraph"/>
              <w:rPr>
                <w:sz w:val="22"/>
              </w:rPr>
            </w:pPr>
            <w:r>
              <w:rPr>
                <w:spacing w:val="-4"/>
                <w:w w:val="125"/>
                <w:sz w:val="22"/>
              </w:rPr>
              <w:t>3b~4</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122"/>
                <w:sz w:val="22"/>
              </w:rPr>
              <w:t>0</w:t>
            </w:r>
          </w:p>
        </w:tc>
      </w:tr>
      <w:tr>
        <w:trPr>
          <w:trHeight w:val="412" w:hRule="atLeast"/>
        </w:trPr>
        <w:tc>
          <w:tcPr>
            <w:tcW w:w="2979" w:type="dxa"/>
          </w:tcPr>
          <w:p>
            <w:pPr>
              <w:pStyle w:val="TableParagraph"/>
              <w:rPr>
                <w:sz w:val="22"/>
              </w:rPr>
            </w:pPr>
            <w:r>
              <w:rPr>
                <w:w w:val="115"/>
                <w:sz w:val="22"/>
              </w:rPr>
              <w:t>ⅣC</w:t>
            </w:r>
            <w:r>
              <w:rPr>
                <w:spacing w:val="-34"/>
                <w:w w:val="115"/>
                <w:sz w:val="22"/>
              </w:rPr>
              <w:t> 期</w:t>
            </w:r>
          </w:p>
        </w:tc>
        <w:tc>
          <w:tcPr>
            <w:tcW w:w="1702" w:type="dxa"/>
          </w:tcPr>
          <w:p>
            <w:pPr>
              <w:pStyle w:val="TableParagraph"/>
              <w:rPr>
                <w:sz w:val="22"/>
              </w:rPr>
            </w:pPr>
            <w:r>
              <w:rPr>
                <w:spacing w:val="-5"/>
                <w:sz w:val="22"/>
              </w:rPr>
              <w:t>任何</w:t>
            </w:r>
          </w:p>
        </w:tc>
        <w:tc>
          <w:tcPr>
            <w:tcW w:w="1694" w:type="dxa"/>
          </w:tcPr>
          <w:p>
            <w:pPr>
              <w:pStyle w:val="TableParagraph"/>
              <w:rPr>
                <w:sz w:val="22"/>
              </w:rPr>
            </w:pPr>
            <w:r>
              <w:rPr>
                <w:spacing w:val="-5"/>
                <w:sz w:val="22"/>
              </w:rPr>
              <w:t>任何</w:t>
            </w:r>
          </w:p>
        </w:tc>
        <w:tc>
          <w:tcPr>
            <w:tcW w:w="1702" w:type="dxa"/>
          </w:tcPr>
          <w:p>
            <w:pPr>
              <w:pStyle w:val="TableParagraph"/>
              <w:ind w:left="108"/>
              <w:rPr>
                <w:sz w:val="22"/>
              </w:rPr>
            </w:pPr>
            <w:r>
              <w:rPr>
                <w:w w:val="97"/>
                <w:sz w:val="22"/>
              </w:rPr>
              <w:t>1</w:t>
            </w:r>
          </w:p>
        </w:tc>
      </w:tr>
    </w:tbl>
    <w:p>
      <w:pPr>
        <w:pStyle w:val="BodyText"/>
        <w:spacing w:before="23"/>
        <w:ind w:left="555"/>
      </w:pPr>
      <w:r>
        <w:rPr>
          <w:spacing w:val="-3"/>
        </w:rPr>
        <w:t>注：以上表格中“年龄”指患者病理组织标本获取日期时的年龄。</w:t>
      </w:r>
    </w:p>
    <w:p>
      <w:pPr>
        <w:pStyle w:val="BodyText"/>
        <w:spacing w:line="420" w:lineRule="auto" w:before="213"/>
        <w:ind w:right="337" w:firstLine="439"/>
        <w:jc w:val="both"/>
      </w:pPr>
      <w:r>
        <w:rPr>
          <w:spacing w:val="-2"/>
        </w:rPr>
        <w:t>10</w:t>
      </w:r>
      <w:r>
        <w:rPr>
          <w:spacing w:val="-2"/>
        </w:rPr>
        <w:t>、毒品：指中华人民共和国刑法规定的鸦片、海洛因、甲基苯丙胺（冰毒）、吗啡、大麻、可卡因以及国家规定管制的其他能够使人形成瘾癖的麻醉药品和精神药品，但不包括由医</w:t>
      </w:r>
      <w:r>
        <w:rPr>
          <w:spacing w:val="-2"/>
        </w:rPr>
        <w:t>生开具并遵医嘱使用的用于治疗疾病但含有毒品成分的处方药品。</w:t>
      </w:r>
    </w:p>
    <w:p>
      <w:pPr>
        <w:pStyle w:val="BodyText"/>
        <w:spacing w:line="420" w:lineRule="auto" w:before="1"/>
        <w:ind w:right="336" w:firstLine="439"/>
        <w:jc w:val="both"/>
      </w:pPr>
      <w:r>
        <w:rPr/>
        <w:t>11、感染艾滋病病毒或患艾滋病：艾滋病病毒指人类免疫缺陷病毒，英文缩写为 </w:t>
      </w:r>
      <w:r>
        <w:rPr>
          <w:w w:val="138"/>
        </w:rPr>
        <w:t>H</w:t>
      </w:r>
      <w:r>
        <w:rPr>
          <w:spacing w:val="-2"/>
          <w:w w:val="31"/>
        </w:rPr>
        <w:t>I</w:t>
      </w:r>
      <w:r>
        <w:rPr>
          <w:spacing w:val="1"/>
          <w:w w:val="129"/>
        </w:rPr>
        <w:t>V</w:t>
      </w:r>
      <w:r>
        <w:rPr/>
        <w:t>。艾</w:t>
      </w:r>
      <w:r>
        <w:rPr>
          <w:spacing w:val="-2"/>
        </w:rPr>
        <w:t>滋病指人类免疫缺陷病毒引起的获得性免疫缺陷综合征，英文缩写为 </w:t>
      </w:r>
      <w:r>
        <w:rPr>
          <w:spacing w:val="-1"/>
          <w:w w:val="121"/>
        </w:rPr>
        <w:t>A</w:t>
      </w:r>
      <w:r>
        <w:rPr>
          <w:spacing w:val="1"/>
          <w:w w:val="25"/>
        </w:rPr>
        <w:t>I</w:t>
      </w:r>
      <w:r>
        <w:rPr>
          <w:spacing w:val="1"/>
          <w:w w:val="132"/>
        </w:rPr>
        <w:t>D</w:t>
      </w:r>
      <w:r>
        <w:rPr>
          <w:spacing w:val="-2"/>
          <w:w w:val="120"/>
        </w:rPr>
        <w:t>S</w:t>
      </w:r>
      <w:r>
        <w:rPr/>
        <w:t>。</w:t>
      </w:r>
    </w:p>
    <w:p>
      <w:pPr>
        <w:pStyle w:val="BodyText"/>
        <w:spacing w:line="420" w:lineRule="auto"/>
        <w:ind w:right="114" w:firstLine="439"/>
      </w:pPr>
      <w:r>
        <w:rPr>
          <w:spacing w:val="-2"/>
        </w:rPr>
        <w:t>在人体血液或其它样本中检测到艾滋病病毒或其抗体呈阳性，没有出现临床症状或体征的，</w:t>
      </w:r>
      <w:r>
        <w:rPr>
          <w:spacing w:val="-2"/>
        </w:rPr>
        <w:t>为感染艾滋病病毒；如果同时出现了明显临床症状或体征的，为患艾滋病。</w:t>
      </w:r>
    </w:p>
    <w:p>
      <w:pPr>
        <w:pStyle w:val="BodyText"/>
        <w:spacing w:line="420" w:lineRule="auto"/>
        <w:ind w:right="338" w:firstLine="439"/>
      </w:pPr>
      <w:r>
        <w:rPr>
          <w:spacing w:val="-2"/>
        </w:rPr>
        <w:t>12</w:t>
      </w:r>
      <w:r>
        <w:rPr>
          <w:spacing w:val="-2"/>
        </w:rPr>
        <w:t>、战争：指国家与国家、民族与民族、政治集团与政治集团之间为了一定的政治、经济</w:t>
      </w:r>
      <w:r>
        <w:rPr>
          <w:spacing w:val="-2"/>
        </w:rPr>
        <w:t>目的而进行的武装斗争，以政府宣布为准。</w:t>
      </w:r>
    </w:p>
    <w:p>
      <w:pPr>
        <w:pStyle w:val="BodyText"/>
        <w:spacing w:before="2"/>
        <w:ind w:left="555"/>
      </w:pPr>
      <w:r>
        <w:rPr>
          <w:spacing w:val="-2"/>
        </w:rPr>
        <w:t>13</w:t>
      </w:r>
      <w:r>
        <w:rPr>
          <w:spacing w:val="-3"/>
        </w:rPr>
        <w:t>、军事冲突：指国家或民族之间在一定范围内的武装对抗，以政府宣布为准。</w:t>
      </w:r>
    </w:p>
    <w:p>
      <w:pPr>
        <w:pStyle w:val="BodyText"/>
        <w:spacing w:before="213"/>
        <w:ind w:left="555"/>
      </w:pPr>
      <w:r>
        <w:rPr>
          <w:spacing w:val="-2"/>
        </w:rPr>
        <w:t>14</w:t>
      </w:r>
      <w:r>
        <w:rPr>
          <w:spacing w:val="-3"/>
        </w:rPr>
        <w:t>、暴乱：指破坏社会秩序的武装骚动，以政府宣布为准。</w:t>
      </w:r>
    </w:p>
    <w:p>
      <w:pPr>
        <w:pStyle w:val="BodyText"/>
        <w:spacing w:line="420" w:lineRule="auto" w:before="210"/>
        <w:ind w:right="337" w:firstLine="439"/>
      </w:pPr>
      <w:r>
        <w:rPr>
          <w:spacing w:val="-2"/>
        </w:rPr>
        <w:t>15</w:t>
      </w:r>
      <w:r>
        <w:rPr>
          <w:spacing w:val="-2"/>
        </w:rPr>
        <w:t>、遗传性疾病：指生殖细胞或受精卵的遗传物质（染色体和基因）发生突变或畸变所引</w:t>
      </w:r>
      <w:r>
        <w:rPr>
          <w:spacing w:val="-2"/>
        </w:rPr>
        <w:t>起的疾病，通常具有由亲代传至后代的垂直传递的特征。</w:t>
      </w:r>
    </w:p>
    <w:p>
      <w:pPr>
        <w:pStyle w:val="BodyText"/>
        <w:spacing w:line="420" w:lineRule="auto" w:before="3"/>
        <w:ind w:right="116" w:firstLine="439"/>
      </w:pPr>
      <w:r>
        <w:rPr>
          <w:spacing w:val="-2"/>
        </w:rPr>
        <w:t>16</w:t>
      </w:r>
      <w:r>
        <w:rPr>
          <w:spacing w:val="-2"/>
        </w:rPr>
        <w:t>、先天性畸形、变形或染色体异常：指被保险人出生时就具有的畸形、变形或染色体异</w:t>
      </w:r>
      <w:r>
        <w:rPr>
          <w:spacing w:val="80"/>
        </w:rPr>
        <w:t> </w:t>
      </w:r>
      <w:r>
        <w:rPr>
          <w:spacing w:val="-2"/>
        </w:rPr>
        <w:t>常。先天性畸形、变形和染色体异常依照世界卫生组织《疾病和有关健康问题的国际统计分类》</w:t>
      </w:r>
      <w:r>
        <w:rPr>
          <w:spacing w:val="-2"/>
          <w:w w:val="105"/>
        </w:rPr>
        <w:t>第</w:t>
      </w:r>
      <w:r>
        <w:rPr>
          <w:spacing w:val="-2"/>
          <w:w w:val="105"/>
        </w:rPr>
        <w:t>十</w:t>
      </w:r>
      <w:r>
        <w:rPr>
          <w:spacing w:val="-2"/>
          <w:w w:val="105"/>
        </w:rPr>
        <w:t>次</w:t>
      </w:r>
      <w:r>
        <w:rPr>
          <w:spacing w:val="-2"/>
          <w:w w:val="105"/>
        </w:rPr>
        <w:t>修</w:t>
      </w:r>
      <w:r>
        <w:rPr>
          <w:spacing w:val="-2"/>
          <w:w w:val="105"/>
        </w:rPr>
        <w:t>订</w:t>
      </w:r>
      <w:r>
        <w:rPr>
          <w:spacing w:val="-2"/>
          <w:w w:val="105"/>
        </w:rPr>
        <w:t>版</w:t>
      </w:r>
      <w:r>
        <w:rPr>
          <w:spacing w:val="-4"/>
          <w:w w:val="86"/>
        </w:rPr>
        <w:t>（</w:t>
      </w:r>
      <w:r>
        <w:rPr>
          <w:spacing w:val="-1"/>
          <w:w w:val="37"/>
        </w:rPr>
        <w:t>I</w:t>
      </w:r>
      <w:r>
        <w:rPr>
          <w:spacing w:val="-4"/>
          <w:w w:val="145"/>
        </w:rPr>
        <w:t>C</w:t>
      </w:r>
      <w:r>
        <w:rPr>
          <w:spacing w:val="-1"/>
          <w:w w:val="144"/>
        </w:rPr>
        <w:t>D</w:t>
      </w:r>
      <w:r>
        <w:rPr>
          <w:spacing w:val="-1"/>
          <w:w w:val="110"/>
        </w:rPr>
        <w:t>-</w:t>
      </w:r>
      <w:r>
        <w:rPr>
          <w:spacing w:val="-2"/>
          <w:w w:val="105"/>
        </w:rPr>
        <w:t>10）</w:t>
      </w:r>
      <w:r>
        <w:rPr>
          <w:spacing w:val="-2"/>
          <w:w w:val="105"/>
        </w:rPr>
        <w:t>确</w:t>
      </w:r>
      <w:r>
        <w:rPr>
          <w:spacing w:val="-2"/>
          <w:w w:val="105"/>
        </w:rPr>
        <w:t>定</w:t>
      </w:r>
      <w:r>
        <w:rPr>
          <w:spacing w:val="-2"/>
          <w:w w:val="105"/>
        </w:rPr>
        <w:t>。</w:t>
      </w:r>
    </w:p>
    <w:p>
      <w:pPr>
        <w:pStyle w:val="BodyText"/>
        <w:spacing w:line="420" w:lineRule="auto" w:before="1"/>
        <w:ind w:right="337" w:firstLine="439"/>
      </w:pPr>
      <w:r>
        <w:rPr>
          <w:spacing w:val="-2"/>
        </w:rPr>
        <w:t>17</w:t>
      </w:r>
      <w:r>
        <w:rPr>
          <w:spacing w:val="-2"/>
        </w:rPr>
        <w:t>、现金价值：指保险合同所具有的价值，通常是按照精算原理计算的。本合同保单年度</w:t>
      </w:r>
      <w:r>
        <w:rPr>
          <w:spacing w:val="-2"/>
        </w:rPr>
        <w:t>末的现金价值已在现金价值表上列明。</w:t>
      </w:r>
    </w:p>
    <w:sectPr>
      <w:type w:val="continuous"/>
      <w:pgSz w:w="11910" w:h="16840"/>
      <w:pgMar w:top="1040" w:bottom="280" w:left="130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PMingLiU">
    <w:altName w:val="PMingLiU"/>
    <w:charset w:val="0"/>
    <w:family w:val="roman"/>
    <w:pitch w:val="variable"/>
  </w:font>
  <w:font w:name="Malgun Gothic">
    <w:altName w:val="Malgun Gothic"/>
    <w:charset w:val="0"/>
    <w:family w:val="swiss"/>
    <w:pitch w:val="variable"/>
  </w:font>
  <w:font w:name="Microsoft JhengHei">
    <w:altName w:val="Microsoft JhengHei"/>
    <w:charset w:val="0"/>
    <w:family w:val="swiss"/>
    <w:pitch w:val="variable"/>
  </w:font>
  <w:font w:name="微软雅黑">
    <w:altName w:val="微软雅黑"/>
    <w:charset w:val="86"/>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1106" w:hanging="551"/>
        <w:jc w:val="left"/>
      </w:pPr>
      <w:rPr>
        <w:rFonts w:hint="default" w:ascii="宋体" w:hAnsi="宋体" w:eastAsia="宋体" w:cs="宋体"/>
        <w:b w:val="0"/>
        <w:bCs w:val="0"/>
        <w:i w:val="0"/>
        <w:iCs w:val="0"/>
        <w:spacing w:val="-3"/>
        <w:w w:val="97"/>
        <w:sz w:val="20"/>
        <w:szCs w:val="20"/>
        <w:lang w:val="en-US" w:eastAsia="zh-CN" w:bidi="ar-SA"/>
      </w:rPr>
    </w:lvl>
    <w:lvl w:ilvl="1">
      <w:start w:val="0"/>
      <w:numFmt w:val="bullet"/>
      <w:lvlText w:val="•"/>
      <w:lvlJc w:val="left"/>
      <w:pPr>
        <w:ind w:left="1942" w:hanging="551"/>
      </w:pPr>
      <w:rPr>
        <w:rFonts w:hint="default"/>
        <w:lang w:val="en-US" w:eastAsia="zh-CN" w:bidi="ar-SA"/>
      </w:rPr>
    </w:lvl>
    <w:lvl w:ilvl="2">
      <w:start w:val="0"/>
      <w:numFmt w:val="bullet"/>
      <w:lvlText w:val="•"/>
      <w:lvlJc w:val="left"/>
      <w:pPr>
        <w:ind w:left="2785" w:hanging="551"/>
      </w:pPr>
      <w:rPr>
        <w:rFonts w:hint="default"/>
        <w:lang w:val="en-US" w:eastAsia="zh-CN" w:bidi="ar-SA"/>
      </w:rPr>
    </w:lvl>
    <w:lvl w:ilvl="3">
      <w:start w:val="0"/>
      <w:numFmt w:val="bullet"/>
      <w:lvlText w:val="•"/>
      <w:lvlJc w:val="left"/>
      <w:pPr>
        <w:ind w:left="3627" w:hanging="551"/>
      </w:pPr>
      <w:rPr>
        <w:rFonts w:hint="default"/>
        <w:lang w:val="en-US" w:eastAsia="zh-CN" w:bidi="ar-SA"/>
      </w:rPr>
    </w:lvl>
    <w:lvl w:ilvl="4">
      <w:start w:val="0"/>
      <w:numFmt w:val="bullet"/>
      <w:lvlText w:val="•"/>
      <w:lvlJc w:val="left"/>
      <w:pPr>
        <w:ind w:left="4470" w:hanging="551"/>
      </w:pPr>
      <w:rPr>
        <w:rFonts w:hint="default"/>
        <w:lang w:val="en-US" w:eastAsia="zh-CN" w:bidi="ar-SA"/>
      </w:rPr>
    </w:lvl>
    <w:lvl w:ilvl="5">
      <w:start w:val="0"/>
      <w:numFmt w:val="bullet"/>
      <w:lvlText w:val="•"/>
      <w:lvlJc w:val="left"/>
      <w:pPr>
        <w:ind w:left="5313" w:hanging="551"/>
      </w:pPr>
      <w:rPr>
        <w:rFonts w:hint="default"/>
        <w:lang w:val="en-US" w:eastAsia="zh-CN" w:bidi="ar-SA"/>
      </w:rPr>
    </w:lvl>
    <w:lvl w:ilvl="6">
      <w:start w:val="0"/>
      <w:numFmt w:val="bullet"/>
      <w:lvlText w:val="•"/>
      <w:lvlJc w:val="left"/>
      <w:pPr>
        <w:ind w:left="6155" w:hanging="551"/>
      </w:pPr>
      <w:rPr>
        <w:rFonts w:hint="default"/>
        <w:lang w:val="en-US" w:eastAsia="zh-CN" w:bidi="ar-SA"/>
      </w:rPr>
    </w:lvl>
    <w:lvl w:ilvl="7">
      <w:start w:val="0"/>
      <w:numFmt w:val="bullet"/>
      <w:lvlText w:val="•"/>
      <w:lvlJc w:val="left"/>
      <w:pPr>
        <w:ind w:left="6998" w:hanging="551"/>
      </w:pPr>
      <w:rPr>
        <w:rFonts w:hint="default"/>
        <w:lang w:val="en-US" w:eastAsia="zh-CN" w:bidi="ar-SA"/>
      </w:rPr>
    </w:lvl>
    <w:lvl w:ilvl="8">
      <w:start w:val="0"/>
      <w:numFmt w:val="bullet"/>
      <w:lvlText w:val="•"/>
      <w:lvlJc w:val="left"/>
      <w:pPr>
        <w:ind w:left="7841" w:hanging="551"/>
      </w:pPr>
      <w:rPr>
        <w:rFonts w:hint="default"/>
        <w:lang w:val="en-US" w:eastAsia="zh-CN" w:bidi="ar-SA"/>
      </w:rPr>
    </w:lvl>
  </w:abstractNum>
  <w:abstractNum w:abstractNumId="4">
    <w:multiLevelType w:val="hybridMultilevel"/>
    <w:lvl w:ilvl="0">
      <w:start w:val="1"/>
      <w:numFmt w:val="decimal"/>
      <w:lvlText w:val="（%1）"/>
      <w:lvlJc w:val="left"/>
      <w:pPr>
        <w:ind w:left="116" w:hanging="557"/>
        <w:jc w:val="left"/>
      </w:pPr>
      <w:rPr>
        <w:rFonts w:hint="default" w:ascii="宋体" w:hAnsi="宋体" w:eastAsia="宋体" w:cs="宋体"/>
        <w:b w:val="0"/>
        <w:bCs w:val="0"/>
        <w:i w:val="0"/>
        <w:iCs w:val="0"/>
        <w:spacing w:val="2"/>
        <w:w w:val="97"/>
        <w:sz w:val="20"/>
        <w:szCs w:val="20"/>
        <w:lang w:val="en-US" w:eastAsia="zh-CN" w:bidi="ar-SA"/>
      </w:rPr>
    </w:lvl>
    <w:lvl w:ilvl="1">
      <w:start w:val="0"/>
      <w:numFmt w:val="bullet"/>
      <w:lvlText w:val="•"/>
      <w:lvlJc w:val="left"/>
      <w:pPr>
        <w:ind w:left="1060" w:hanging="557"/>
      </w:pPr>
      <w:rPr>
        <w:rFonts w:hint="default"/>
        <w:lang w:val="en-US" w:eastAsia="zh-CN" w:bidi="ar-SA"/>
      </w:rPr>
    </w:lvl>
    <w:lvl w:ilvl="2">
      <w:start w:val="0"/>
      <w:numFmt w:val="bullet"/>
      <w:lvlText w:val="•"/>
      <w:lvlJc w:val="left"/>
      <w:pPr>
        <w:ind w:left="2001" w:hanging="557"/>
      </w:pPr>
      <w:rPr>
        <w:rFonts w:hint="default"/>
        <w:lang w:val="en-US" w:eastAsia="zh-CN" w:bidi="ar-SA"/>
      </w:rPr>
    </w:lvl>
    <w:lvl w:ilvl="3">
      <w:start w:val="0"/>
      <w:numFmt w:val="bullet"/>
      <w:lvlText w:val="•"/>
      <w:lvlJc w:val="left"/>
      <w:pPr>
        <w:ind w:left="2941" w:hanging="557"/>
      </w:pPr>
      <w:rPr>
        <w:rFonts w:hint="default"/>
        <w:lang w:val="en-US" w:eastAsia="zh-CN" w:bidi="ar-SA"/>
      </w:rPr>
    </w:lvl>
    <w:lvl w:ilvl="4">
      <w:start w:val="0"/>
      <w:numFmt w:val="bullet"/>
      <w:lvlText w:val="•"/>
      <w:lvlJc w:val="left"/>
      <w:pPr>
        <w:ind w:left="3882" w:hanging="557"/>
      </w:pPr>
      <w:rPr>
        <w:rFonts w:hint="default"/>
        <w:lang w:val="en-US" w:eastAsia="zh-CN" w:bidi="ar-SA"/>
      </w:rPr>
    </w:lvl>
    <w:lvl w:ilvl="5">
      <w:start w:val="0"/>
      <w:numFmt w:val="bullet"/>
      <w:lvlText w:val="•"/>
      <w:lvlJc w:val="left"/>
      <w:pPr>
        <w:ind w:left="4823" w:hanging="557"/>
      </w:pPr>
      <w:rPr>
        <w:rFonts w:hint="default"/>
        <w:lang w:val="en-US" w:eastAsia="zh-CN" w:bidi="ar-SA"/>
      </w:rPr>
    </w:lvl>
    <w:lvl w:ilvl="6">
      <w:start w:val="0"/>
      <w:numFmt w:val="bullet"/>
      <w:lvlText w:val="•"/>
      <w:lvlJc w:val="left"/>
      <w:pPr>
        <w:ind w:left="5763" w:hanging="557"/>
      </w:pPr>
      <w:rPr>
        <w:rFonts w:hint="default"/>
        <w:lang w:val="en-US" w:eastAsia="zh-CN" w:bidi="ar-SA"/>
      </w:rPr>
    </w:lvl>
    <w:lvl w:ilvl="7">
      <w:start w:val="0"/>
      <w:numFmt w:val="bullet"/>
      <w:lvlText w:val="•"/>
      <w:lvlJc w:val="left"/>
      <w:pPr>
        <w:ind w:left="6704" w:hanging="557"/>
      </w:pPr>
      <w:rPr>
        <w:rFonts w:hint="default"/>
        <w:lang w:val="en-US" w:eastAsia="zh-CN" w:bidi="ar-SA"/>
      </w:rPr>
    </w:lvl>
    <w:lvl w:ilvl="8">
      <w:start w:val="0"/>
      <w:numFmt w:val="bullet"/>
      <w:lvlText w:val="•"/>
      <w:lvlJc w:val="left"/>
      <w:pPr>
        <w:ind w:left="7645" w:hanging="557"/>
      </w:pPr>
      <w:rPr>
        <w:rFonts w:hint="default"/>
        <w:lang w:val="en-US" w:eastAsia="zh-CN" w:bidi="ar-SA"/>
      </w:rPr>
    </w:lvl>
  </w:abstractNum>
  <w:abstractNum w:abstractNumId="3">
    <w:multiLevelType w:val="hybridMultilevel"/>
    <w:lvl w:ilvl="0">
      <w:start w:val="1"/>
      <w:numFmt w:val="lowerLetter"/>
      <w:lvlText w:val="%1."/>
      <w:lvlJc w:val="left"/>
      <w:pPr>
        <w:ind w:left="116" w:hanging="202"/>
        <w:jc w:val="left"/>
      </w:pPr>
      <w:rPr>
        <w:rFonts w:hint="default" w:ascii="微软雅黑" w:hAnsi="微软雅黑" w:eastAsia="微软雅黑" w:cs="微软雅黑"/>
        <w:b/>
        <w:bCs/>
        <w:i w:val="0"/>
        <w:iCs w:val="0"/>
        <w:spacing w:val="-1"/>
        <w:w w:val="104"/>
        <w:sz w:val="20"/>
        <w:szCs w:val="20"/>
        <w:lang w:val="en-US" w:eastAsia="zh-CN" w:bidi="ar-SA"/>
      </w:rPr>
    </w:lvl>
    <w:lvl w:ilvl="1">
      <w:start w:val="0"/>
      <w:numFmt w:val="bullet"/>
      <w:lvlText w:val="•"/>
      <w:lvlJc w:val="left"/>
      <w:pPr>
        <w:ind w:left="1060" w:hanging="202"/>
      </w:pPr>
      <w:rPr>
        <w:rFonts w:hint="default"/>
        <w:lang w:val="en-US" w:eastAsia="zh-CN" w:bidi="ar-SA"/>
      </w:rPr>
    </w:lvl>
    <w:lvl w:ilvl="2">
      <w:start w:val="0"/>
      <w:numFmt w:val="bullet"/>
      <w:lvlText w:val="•"/>
      <w:lvlJc w:val="left"/>
      <w:pPr>
        <w:ind w:left="2001" w:hanging="202"/>
      </w:pPr>
      <w:rPr>
        <w:rFonts w:hint="default"/>
        <w:lang w:val="en-US" w:eastAsia="zh-CN" w:bidi="ar-SA"/>
      </w:rPr>
    </w:lvl>
    <w:lvl w:ilvl="3">
      <w:start w:val="0"/>
      <w:numFmt w:val="bullet"/>
      <w:lvlText w:val="•"/>
      <w:lvlJc w:val="left"/>
      <w:pPr>
        <w:ind w:left="2941" w:hanging="202"/>
      </w:pPr>
      <w:rPr>
        <w:rFonts w:hint="default"/>
        <w:lang w:val="en-US" w:eastAsia="zh-CN" w:bidi="ar-SA"/>
      </w:rPr>
    </w:lvl>
    <w:lvl w:ilvl="4">
      <w:start w:val="0"/>
      <w:numFmt w:val="bullet"/>
      <w:lvlText w:val="•"/>
      <w:lvlJc w:val="left"/>
      <w:pPr>
        <w:ind w:left="3882" w:hanging="202"/>
      </w:pPr>
      <w:rPr>
        <w:rFonts w:hint="default"/>
        <w:lang w:val="en-US" w:eastAsia="zh-CN" w:bidi="ar-SA"/>
      </w:rPr>
    </w:lvl>
    <w:lvl w:ilvl="5">
      <w:start w:val="0"/>
      <w:numFmt w:val="bullet"/>
      <w:lvlText w:val="•"/>
      <w:lvlJc w:val="left"/>
      <w:pPr>
        <w:ind w:left="4823" w:hanging="202"/>
      </w:pPr>
      <w:rPr>
        <w:rFonts w:hint="default"/>
        <w:lang w:val="en-US" w:eastAsia="zh-CN" w:bidi="ar-SA"/>
      </w:rPr>
    </w:lvl>
    <w:lvl w:ilvl="6">
      <w:start w:val="0"/>
      <w:numFmt w:val="bullet"/>
      <w:lvlText w:val="•"/>
      <w:lvlJc w:val="left"/>
      <w:pPr>
        <w:ind w:left="5763" w:hanging="202"/>
      </w:pPr>
      <w:rPr>
        <w:rFonts w:hint="default"/>
        <w:lang w:val="en-US" w:eastAsia="zh-CN" w:bidi="ar-SA"/>
      </w:rPr>
    </w:lvl>
    <w:lvl w:ilvl="7">
      <w:start w:val="0"/>
      <w:numFmt w:val="bullet"/>
      <w:lvlText w:val="•"/>
      <w:lvlJc w:val="left"/>
      <w:pPr>
        <w:ind w:left="6704" w:hanging="202"/>
      </w:pPr>
      <w:rPr>
        <w:rFonts w:hint="default"/>
        <w:lang w:val="en-US" w:eastAsia="zh-CN" w:bidi="ar-SA"/>
      </w:rPr>
    </w:lvl>
    <w:lvl w:ilvl="8">
      <w:start w:val="0"/>
      <w:numFmt w:val="bullet"/>
      <w:lvlText w:val="•"/>
      <w:lvlJc w:val="left"/>
      <w:pPr>
        <w:ind w:left="7645" w:hanging="202"/>
      </w:pPr>
      <w:rPr>
        <w:rFonts w:hint="default"/>
        <w:lang w:val="en-US" w:eastAsia="zh-CN" w:bidi="ar-SA"/>
      </w:rPr>
    </w:lvl>
  </w:abstractNum>
  <w:abstractNum w:abstractNumId="2">
    <w:multiLevelType w:val="hybridMultilevel"/>
    <w:lvl w:ilvl="0">
      <w:start w:val="1"/>
      <w:numFmt w:val="decimal"/>
      <w:lvlText w:val="（%1）"/>
      <w:lvlJc w:val="left"/>
      <w:pPr>
        <w:ind w:left="1106" w:hanging="551"/>
        <w:jc w:val="left"/>
      </w:pPr>
      <w:rPr>
        <w:rFonts w:hint="default" w:ascii="宋体" w:hAnsi="宋体" w:eastAsia="宋体" w:cs="宋体"/>
        <w:b w:val="0"/>
        <w:bCs w:val="0"/>
        <w:i w:val="0"/>
        <w:iCs w:val="0"/>
        <w:spacing w:val="-3"/>
        <w:w w:val="97"/>
        <w:sz w:val="20"/>
        <w:szCs w:val="20"/>
        <w:lang w:val="en-US" w:eastAsia="zh-CN" w:bidi="ar-SA"/>
      </w:rPr>
    </w:lvl>
    <w:lvl w:ilvl="1">
      <w:start w:val="0"/>
      <w:numFmt w:val="bullet"/>
      <w:lvlText w:val="•"/>
      <w:lvlJc w:val="left"/>
      <w:pPr>
        <w:ind w:left="1942" w:hanging="551"/>
      </w:pPr>
      <w:rPr>
        <w:rFonts w:hint="default"/>
        <w:lang w:val="en-US" w:eastAsia="zh-CN" w:bidi="ar-SA"/>
      </w:rPr>
    </w:lvl>
    <w:lvl w:ilvl="2">
      <w:start w:val="0"/>
      <w:numFmt w:val="bullet"/>
      <w:lvlText w:val="•"/>
      <w:lvlJc w:val="left"/>
      <w:pPr>
        <w:ind w:left="2785" w:hanging="551"/>
      </w:pPr>
      <w:rPr>
        <w:rFonts w:hint="default"/>
        <w:lang w:val="en-US" w:eastAsia="zh-CN" w:bidi="ar-SA"/>
      </w:rPr>
    </w:lvl>
    <w:lvl w:ilvl="3">
      <w:start w:val="0"/>
      <w:numFmt w:val="bullet"/>
      <w:lvlText w:val="•"/>
      <w:lvlJc w:val="left"/>
      <w:pPr>
        <w:ind w:left="3627" w:hanging="551"/>
      </w:pPr>
      <w:rPr>
        <w:rFonts w:hint="default"/>
        <w:lang w:val="en-US" w:eastAsia="zh-CN" w:bidi="ar-SA"/>
      </w:rPr>
    </w:lvl>
    <w:lvl w:ilvl="4">
      <w:start w:val="0"/>
      <w:numFmt w:val="bullet"/>
      <w:lvlText w:val="•"/>
      <w:lvlJc w:val="left"/>
      <w:pPr>
        <w:ind w:left="4470" w:hanging="551"/>
      </w:pPr>
      <w:rPr>
        <w:rFonts w:hint="default"/>
        <w:lang w:val="en-US" w:eastAsia="zh-CN" w:bidi="ar-SA"/>
      </w:rPr>
    </w:lvl>
    <w:lvl w:ilvl="5">
      <w:start w:val="0"/>
      <w:numFmt w:val="bullet"/>
      <w:lvlText w:val="•"/>
      <w:lvlJc w:val="left"/>
      <w:pPr>
        <w:ind w:left="5313" w:hanging="551"/>
      </w:pPr>
      <w:rPr>
        <w:rFonts w:hint="default"/>
        <w:lang w:val="en-US" w:eastAsia="zh-CN" w:bidi="ar-SA"/>
      </w:rPr>
    </w:lvl>
    <w:lvl w:ilvl="6">
      <w:start w:val="0"/>
      <w:numFmt w:val="bullet"/>
      <w:lvlText w:val="•"/>
      <w:lvlJc w:val="left"/>
      <w:pPr>
        <w:ind w:left="6155" w:hanging="551"/>
      </w:pPr>
      <w:rPr>
        <w:rFonts w:hint="default"/>
        <w:lang w:val="en-US" w:eastAsia="zh-CN" w:bidi="ar-SA"/>
      </w:rPr>
    </w:lvl>
    <w:lvl w:ilvl="7">
      <w:start w:val="0"/>
      <w:numFmt w:val="bullet"/>
      <w:lvlText w:val="•"/>
      <w:lvlJc w:val="left"/>
      <w:pPr>
        <w:ind w:left="6998" w:hanging="551"/>
      </w:pPr>
      <w:rPr>
        <w:rFonts w:hint="default"/>
        <w:lang w:val="en-US" w:eastAsia="zh-CN" w:bidi="ar-SA"/>
      </w:rPr>
    </w:lvl>
    <w:lvl w:ilvl="8">
      <w:start w:val="0"/>
      <w:numFmt w:val="bullet"/>
      <w:lvlText w:val="•"/>
      <w:lvlJc w:val="left"/>
      <w:pPr>
        <w:ind w:left="7841" w:hanging="551"/>
      </w:pPr>
      <w:rPr>
        <w:rFonts w:hint="default"/>
        <w:lang w:val="en-US" w:eastAsia="zh-CN" w:bidi="ar-SA"/>
      </w:rPr>
    </w:lvl>
  </w:abstractNum>
  <w:abstractNum w:abstractNumId="1">
    <w:multiLevelType w:val="hybridMultilevel"/>
    <w:lvl w:ilvl="0">
      <w:start w:val="1"/>
      <w:numFmt w:val="lowerLetter"/>
      <w:lvlText w:val="%1."/>
      <w:lvlJc w:val="left"/>
      <w:pPr>
        <w:ind w:left="116" w:hanging="202"/>
        <w:jc w:val="left"/>
      </w:pPr>
      <w:rPr>
        <w:rFonts w:hint="default" w:ascii="微软雅黑" w:hAnsi="微软雅黑" w:eastAsia="微软雅黑" w:cs="微软雅黑"/>
        <w:b/>
        <w:bCs/>
        <w:i w:val="0"/>
        <w:iCs w:val="0"/>
        <w:spacing w:val="-1"/>
        <w:w w:val="104"/>
        <w:sz w:val="20"/>
        <w:szCs w:val="20"/>
        <w:lang w:val="en-US" w:eastAsia="zh-CN" w:bidi="ar-SA"/>
      </w:rPr>
    </w:lvl>
    <w:lvl w:ilvl="1">
      <w:start w:val="0"/>
      <w:numFmt w:val="bullet"/>
      <w:lvlText w:val="•"/>
      <w:lvlJc w:val="left"/>
      <w:pPr>
        <w:ind w:left="1060" w:hanging="202"/>
      </w:pPr>
      <w:rPr>
        <w:rFonts w:hint="default"/>
        <w:lang w:val="en-US" w:eastAsia="zh-CN" w:bidi="ar-SA"/>
      </w:rPr>
    </w:lvl>
    <w:lvl w:ilvl="2">
      <w:start w:val="0"/>
      <w:numFmt w:val="bullet"/>
      <w:lvlText w:val="•"/>
      <w:lvlJc w:val="left"/>
      <w:pPr>
        <w:ind w:left="2001" w:hanging="202"/>
      </w:pPr>
      <w:rPr>
        <w:rFonts w:hint="default"/>
        <w:lang w:val="en-US" w:eastAsia="zh-CN" w:bidi="ar-SA"/>
      </w:rPr>
    </w:lvl>
    <w:lvl w:ilvl="3">
      <w:start w:val="0"/>
      <w:numFmt w:val="bullet"/>
      <w:lvlText w:val="•"/>
      <w:lvlJc w:val="left"/>
      <w:pPr>
        <w:ind w:left="2941" w:hanging="202"/>
      </w:pPr>
      <w:rPr>
        <w:rFonts w:hint="default"/>
        <w:lang w:val="en-US" w:eastAsia="zh-CN" w:bidi="ar-SA"/>
      </w:rPr>
    </w:lvl>
    <w:lvl w:ilvl="4">
      <w:start w:val="0"/>
      <w:numFmt w:val="bullet"/>
      <w:lvlText w:val="•"/>
      <w:lvlJc w:val="left"/>
      <w:pPr>
        <w:ind w:left="3882" w:hanging="202"/>
      </w:pPr>
      <w:rPr>
        <w:rFonts w:hint="default"/>
        <w:lang w:val="en-US" w:eastAsia="zh-CN" w:bidi="ar-SA"/>
      </w:rPr>
    </w:lvl>
    <w:lvl w:ilvl="5">
      <w:start w:val="0"/>
      <w:numFmt w:val="bullet"/>
      <w:lvlText w:val="•"/>
      <w:lvlJc w:val="left"/>
      <w:pPr>
        <w:ind w:left="4823" w:hanging="202"/>
      </w:pPr>
      <w:rPr>
        <w:rFonts w:hint="default"/>
        <w:lang w:val="en-US" w:eastAsia="zh-CN" w:bidi="ar-SA"/>
      </w:rPr>
    </w:lvl>
    <w:lvl w:ilvl="6">
      <w:start w:val="0"/>
      <w:numFmt w:val="bullet"/>
      <w:lvlText w:val="•"/>
      <w:lvlJc w:val="left"/>
      <w:pPr>
        <w:ind w:left="5763" w:hanging="202"/>
      </w:pPr>
      <w:rPr>
        <w:rFonts w:hint="default"/>
        <w:lang w:val="en-US" w:eastAsia="zh-CN" w:bidi="ar-SA"/>
      </w:rPr>
    </w:lvl>
    <w:lvl w:ilvl="7">
      <w:start w:val="0"/>
      <w:numFmt w:val="bullet"/>
      <w:lvlText w:val="•"/>
      <w:lvlJc w:val="left"/>
      <w:pPr>
        <w:ind w:left="6704" w:hanging="202"/>
      </w:pPr>
      <w:rPr>
        <w:rFonts w:hint="default"/>
        <w:lang w:val="en-US" w:eastAsia="zh-CN" w:bidi="ar-SA"/>
      </w:rPr>
    </w:lvl>
    <w:lvl w:ilvl="8">
      <w:start w:val="0"/>
      <w:numFmt w:val="bullet"/>
      <w:lvlText w:val="•"/>
      <w:lvlJc w:val="left"/>
      <w:pPr>
        <w:ind w:left="7645" w:hanging="202"/>
      </w:pPr>
      <w:rPr>
        <w:rFonts w:hint="default"/>
        <w:lang w:val="en-US" w:eastAsia="zh-CN" w:bidi="ar-SA"/>
      </w:rPr>
    </w:lvl>
  </w:abstractNum>
  <w:abstractNum w:abstractNumId="0">
    <w:multiLevelType w:val="hybridMultilevel"/>
    <w:lvl w:ilvl="0">
      <w:start w:val="1"/>
      <w:numFmt w:val="decimal"/>
      <w:lvlText w:val="（%1）"/>
      <w:lvlJc w:val="left"/>
      <w:pPr>
        <w:ind w:left="116" w:hanging="551"/>
        <w:jc w:val="left"/>
      </w:pPr>
      <w:rPr>
        <w:rFonts w:hint="default" w:ascii="微软雅黑" w:hAnsi="微软雅黑" w:eastAsia="微软雅黑" w:cs="微软雅黑"/>
        <w:b/>
        <w:bCs/>
        <w:i w:val="0"/>
        <w:iCs w:val="0"/>
        <w:spacing w:val="-1"/>
        <w:w w:val="78"/>
        <w:sz w:val="20"/>
        <w:szCs w:val="20"/>
        <w:lang w:val="en-US" w:eastAsia="zh-CN" w:bidi="ar-SA"/>
      </w:rPr>
    </w:lvl>
    <w:lvl w:ilvl="1">
      <w:start w:val="0"/>
      <w:numFmt w:val="bullet"/>
      <w:lvlText w:val="•"/>
      <w:lvlJc w:val="left"/>
      <w:pPr>
        <w:ind w:left="1060" w:hanging="551"/>
      </w:pPr>
      <w:rPr>
        <w:rFonts w:hint="default"/>
        <w:lang w:val="en-US" w:eastAsia="zh-CN" w:bidi="ar-SA"/>
      </w:rPr>
    </w:lvl>
    <w:lvl w:ilvl="2">
      <w:start w:val="0"/>
      <w:numFmt w:val="bullet"/>
      <w:lvlText w:val="•"/>
      <w:lvlJc w:val="left"/>
      <w:pPr>
        <w:ind w:left="2001" w:hanging="551"/>
      </w:pPr>
      <w:rPr>
        <w:rFonts w:hint="default"/>
        <w:lang w:val="en-US" w:eastAsia="zh-CN" w:bidi="ar-SA"/>
      </w:rPr>
    </w:lvl>
    <w:lvl w:ilvl="3">
      <w:start w:val="0"/>
      <w:numFmt w:val="bullet"/>
      <w:lvlText w:val="•"/>
      <w:lvlJc w:val="left"/>
      <w:pPr>
        <w:ind w:left="2941" w:hanging="551"/>
      </w:pPr>
      <w:rPr>
        <w:rFonts w:hint="default"/>
        <w:lang w:val="en-US" w:eastAsia="zh-CN" w:bidi="ar-SA"/>
      </w:rPr>
    </w:lvl>
    <w:lvl w:ilvl="4">
      <w:start w:val="0"/>
      <w:numFmt w:val="bullet"/>
      <w:lvlText w:val="•"/>
      <w:lvlJc w:val="left"/>
      <w:pPr>
        <w:ind w:left="3882" w:hanging="551"/>
      </w:pPr>
      <w:rPr>
        <w:rFonts w:hint="default"/>
        <w:lang w:val="en-US" w:eastAsia="zh-CN" w:bidi="ar-SA"/>
      </w:rPr>
    </w:lvl>
    <w:lvl w:ilvl="5">
      <w:start w:val="0"/>
      <w:numFmt w:val="bullet"/>
      <w:lvlText w:val="•"/>
      <w:lvlJc w:val="left"/>
      <w:pPr>
        <w:ind w:left="4823" w:hanging="551"/>
      </w:pPr>
      <w:rPr>
        <w:rFonts w:hint="default"/>
        <w:lang w:val="en-US" w:eastAsia="zh-CN" w:bidi="ar-SA"/>
      </w:rPr>
    </w:lvl>
    <w:lvl w:ilvl="6">
      <w:start w:val="0"/>
      <w:numFmt w:val="bullet"/>
      <w:lvlText w:val="•"/>
      <w:lvlJc w:val="left"/>
      <w:pPr>
        <w:ind w:left="5763" w:hanging="551"/>
      </w:pPr>
      <w:rPr>
        <w:rFonts w:hint="default"/>
        <w:lang w:val="en-US" w:eastAsia="zh-CN" w:bidi="ar-SA"/>
      </w:rPr>
    </w:lvl>
    <w:lvl w:ilvl="7">
      <w:start w:val="0"/>
      <w:numFmt w:val="bullet"/>
      <w:lvlText w:val="•"/>
      <w:lvlJc w:val="left"/>
      <w:pPr>
        <w:ind w:left="6704" w:hanging="551"/>
      </w:pPr>
      <w:rPr>
        <w:rFonts w:hint="default"/>
        <w:lang w:val="en-US" w:eastAsia="zh-CN" w:bidi="ar-SA"/>
      </w:rPr>
    </w:lvl>
    <w:lvl w:ilvl="8">
      <w:start w:val="0"/>
      <w:numFmt w:val="bullet"/>
      <w:lvlText w:val="•"/>
      <w:lvlJc w:val="left"/>
      <w:pPr>
        <w:ind w:left="7645" w:hanging="551"/>
      </w:pPr>
      <w:rPr>
        <w:rFonts w:hint="default"/>
        <w:lang w:val="en-US" w:eastAsia="zh-CN"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116"/>
    </w:pPr>
    <w:rPr>
      <w:rFonts w:ascii="宋体" w:hAnsi="宋体" w:eastAsia="宋体" w:cs="宋体"/>
      <w:sz w:val="22"/>
      <w:szCs w:val="22"/>
      <w:lang w:val="en-US" w:eastAsia="zh-CN" w:bidi="ar-SA"/>
    </w:rPr>
  </w:style>
  <w:style w:styleId="Heading1" w:type="paragraph">
    <w:name w:val="Heading 1"/>
    <w:basedOn w:val="Normal"/>
    <w:uiPriority w:val="1"/>
    <w:qFormat/>
    <w:pPr>
      <w:ind w:left="973"/>
      <w:outlineLvl w:val="1"/>
    </w:pPr>
    <w:rPr>
      <w:rFonts w:ascii="PMingLiU" w:hAnsi="PMingLiU" w:eastAsia="PMingLiU" w:cs="PMingLiU"/>
      <w:sz w:val="32"/>
      <w:szCs w:val="32"/>
      <w:lang w:val="en-US" w:eastAsia="zh-CN" w:bidi="ar-SA"/>
    </w:rPr>
  </w:style>
  <w:style w:styleId="ListParagraph" w:type="paragraph">
    <w:name w:val="List Paragraph"/>
    <w:basedOn w:val="Normal"/>
    <w:uiPriority w:val="1"/>
    <w:qFormat/>
    <w:pPr>
      <w:spacing w:before="89"/>
      <w:ind w:left="1132" w:hanging="578"/>
    </w:pPr>
    <w:rPr>
      <w:rFonts w:ascii="微软雅黑" w:hAnsi="微软雅黑" w:eastAsia="微软雅黑" w:cs="微软雅黑"/>
      <w:lang w:val="en-US" w:eastAsia="zh-CN" w:bidi="ar-SA"/>
    </w:rPr>
  </w:style>
  <w:style w:styleId="TableParagraph" w:type="paragraph">
    <w:name w:val="Table Paragraph"/>
    <w:basedOn w:val="Normal"/>
    <w:uiPriority w:val="1"/>
    <w:qFormat/>
    <w:pPr>
      <w:spacing w:before="10"/>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2023-06-05T08:17:45Z</dcterms:created>
  <dcterms:modified xsi:type="dcterms:W3CDTF">2023-06-05T08:17:45Z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