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6" w:after="4"/>
        <w:ind w:left="6627" w:right="0" w:firstLine="0"/>
        <w:jc w:val="left"/>
        <w:rPr>
          <w:sz w:val="20"/>
        </w:rPr>
      </w:pPr>
      <w:r>
        <w:rPr>
          <w:w w:val="95"/>
          <w:sz w:val="20"/>
        </w:rPr>
        <w:t>恒</w:t>
      </w:r>
      <w:r>
        <w:rPr>
          <w:w w:val="95"/>
          <w:sz w:val="20"/>
        </w:rPr>
        <w:t>安</w:t>
      </w:r>
      <w:r>
        <w:rPr>
          <w:w w:val="95"/>
          <w:sz w:val="20"/>
        </w:rPr>
        <w:t>标</w:t>
      </w:r>
      <w:r>
        <w:rPr>
          <w:w w:val="95"/>
          <w:sz w:val="20"/>
        </w:rPr>
        <w:t>准</w:t>
      </w:r>
      <w:r>
        <w:rPr>
          <w:w w:val="95"/>
          <w:sz w:val="20"/>
        </w:rPr>
        <w:t>人</w:t>
      </w:r>
      <w:r>
        <w:rPr>
          <w:w w:val="95"/>
          <w:sz w:val="20"/>
        </w:rPr>
        <w:t>寿</w:t>
      </w:r>
      <w:r>
        <w:rPr>
          <w:rFonts w:ascii="Times New Roman" w:eastAsia="Times New Roman"/>
          <w:w w:val="95"/>
          <w:sz w:val="20"/>
        </w:rPr>
        <w:t>[2022]</w:t>
      </w:r>
      <w:r>
        <w:rPr>
          <w:w w:val="95"/>
          <w:sz w:val="20"/>
        </w:rPr>
        <w:t>年</w:t>
      </w:r>
      <w:r>
        <w:rPr>
          <w:w w:val="95"/>
          <w:sz w:val="20"/>
        </w:rPr>
        <w:t>金</w:t>
      </w:r>
      <w:r>
        <w:rPr>
          <w:w w:val="95"/>
          <w:sz w:val="20"/>
        </w:rPr>
        <w:t>保</w:t>
      </w:r>
      <w:r>
        <w:rPr>
          <w:w w:val="95"/>
          <w:sz w:val="20"/>
        </w:rPr>
        <w:t>险</w:t>
      </w:r>
      <w:r>
        <w:rPr>
          <w:spacing w:val="7"/>
          <w:sz w:val="20"/>
        </w:rPr>
        <w:t> </w:t>
      </w:r>
      <w:r>
        <w:rPr>
          <w:rFonts w:ascii="Times New Roman" w:eastAsia="Times New Roman"/>
          <w:w w:val="95"/>
          <w:sz w:val="20"/>
        </w:rPr>
        <w:t>011</w:t>
      </w:r>
      <w:r>
        <w:rPr>
          <w:rFonts w:ascii="Times New Roman" w:eastAsia="Times New Roman"/>
          <w:spacing w:val="59"/>
          <w:sz w:val="20"/>
        </w:rPr>
        <w:t> </w:t>
      </w:r>
      <w:r>
        <w:rPr>
          <w:spacing w:val="-10"/>
          <w:w w:val="95"/>
          <w:sz w:val="20"/>
        </w:rPr>
        <w:t>号</w:t>
      </w:r>
    </w:p>
    <w:p>
      <w:pPr>
        <w:pStyle w:val="BodyText"/>
        <w:spacing w:before="0"/>
        <w:ind w:left="8612"/>
        <w:rPr>
          <w:sz w:val="20"/>
        </w:rPr>
      </w:pPr>
      <w:r>
        <w:rPr>
          <w:sz w:val="20"/>
        </w:rPr>
        <w:drawing>
          <wp:inline distT="0" distB="0" distL="0" distR="0">
            <wp:extent cx="724535"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4535" cy="723900"/>
                    </a:xfrm>
                    <a:prstGeom prst="rect">
                      <a:avLst/>
                    </a:prstGeom>
                  </pic:spPr>
                </pic:pic>
              </a:graphicData>
            </a:graphic>
          </wp:inline>
        </w:drawing>
      </w:r>
      <w:r>
        <w:rPr>
          <w:sz w:val="20"/>
        </w:rPr>
      </w:r>
    </w:p>
    <w:p>
      <w:pPr>
        <w:spacing w:before="2"/>
        <w:ind w:left="0" w:right="334" w:firstLine="0"/>
        <w:jc w:val="righ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pStyle w:val="Title"/>
      </w:pPr>
      <w:r>
        <w:rPr>
          <w:spacing w:val="-5"/>
        </w:rPr>
        <w:t>恒 安 标 准 人 寿 保 险 有 限 公 司</w:t>
      </w:r>
    </w:p>
    <w:p>
      <w:pPr>
        <w:spacing w:before="27"/>
        <w:ind w:left="0" w:right="208" w:firstLine="0"/>
        <w:jc w:val="center"/>
        <w:rPr>
          <w:rFonts w:ascii="Times New Roman"/>
          <w:sz w:val="24"/>
        </w:rPr>
      </w:pPr>
      <w:r>
        <w:rPr>
          <w:rFonts w:ascii="Times New Roman"/>
          <w:sz w:val="24"/>
        </w:rPr>
        <w:t>Heng</w:t>
      </w:r>
      <w:r>
        <w:rPr>
          <w:rFonts w:ascii="Times New Roman"/>
          <w:spacing w:val="-17"/>
          <w:sz w:val="24"/>
        </w:rPr>
        <w:t> </w:t>
      </w:r>
      <w:r>
        <w:rPr>
          <w:rFonts w:ascii="Times New Roman"/>
          <w:sz w:val="24"/>
        </w:rPr>
        <w:t>An</w:t>
      </w:r>
      <w:r>
        <w:rPr>
          <w:rFonts w:ascii="Times New Roman"/>
          <w:spacing w:val="-4"/>
          <w:sz w:val="24"/>
        </w:rPr>
        <w:t> </w:t>
      </w:r>
      <w:r>
        <w:rPr>
          <w:rFonts w:ascii="Times New Roman"/>
          <w:sz w:val="24"/>
        </w:rPr>
        <w:t>Standard</w:t>
      </w:r>
      <w:r>
        <w:rPr>
          <w:rFonts w:ascii="Times New Roman"/>
          <w:spacing w:val="-1"/>
          <w:sz w:val="24"/>
        </w:rPr>
        <w:t> </w:t>
      </w:r>
      <w:r>
        <w:rPr>
          <w:rFonts w:ascii="Times New Roman"/>
          <w:sz w:val="24"/>
        </w:rPr>
        <w:t>Life</w:t>
      </w:r>
      <w:r>
        <w:rPr>
          <w:rFonts w:ascii="Times New Roman"/>
          <w:spacing w:val="1"/>
          <w:sz w:val="24"/>
        </w:rPr>
        <w:t> </w:t>
      </w:r>
      <w:r>
        <w:rPr>
          <w:rFonts w:ascii="Times New Roman"/>
          <w:sz w:val="24"/>
        </w:rPr>
        <w:t>Insurance</w:t>
      </w:r>
      <w:r>
        <w:rPr>
          <w:rFonts w:ascii="Times New Roman"/>
          <w:spacing w:val="-2"/>
          <w:sz w:val="24"/>
        </w:rPr>
        <w:t> </w:t>
      </w:r>
      <w:r>
        <w:rPr>
          <w:rFonts w:ascii="Times New Roman"/>
          <w:sz w:val="24"/>
        </w:rPr>
        <w:t>Company</w:t>
      </w:r>
      <w:r>
        <w:rPr>
          <w:rFonts w:ascii="Times New Roman"/>
          <w:spacing w:val="-5"/>
          <w:sz w:val="24"/>
        </w:rPr>
        <w:t> </w:t>
      </w:r>
      <w:r>
        <w:rPr>
          <w:rFonts w:ascii="Times New Roman"/>
          <w:spacing w:val="-2"/>
          <w:sz w:val="24"/>
        </w:rPr>
        <w:t>Limited</w:t>
      </w:r>
    </w:p>
    <w:p>
      <w:pPr>
        <w:pStyle w:val="BodyText"/>
        <w:spacing w:before="6"/>
        <w:ind w:left="0"/>
        <w:rPr>
          <w:rFonts w:ascii="Times New Roman"/>
          <w:sz w:val="5"/>
        </w:rPr>
      </w:pPr>
      <w:r>
        <w:rPr/>
        <w:drawing>
          <wp:anchor distT="0" distB="0" distL="0" distR="0" allowOverlap="1" layoutInCell="1" locked="0" behindDoc="0" simplePos="0" relativeHeight="0">
            <wp:simplePos x="0" y="0"/>
            <wp:positionH relativeFrom="page">
              <wp:posOffset>1390650</wp:posOffset>
            </wp:positionH>
            <wp:positionV relativeFrom="paragraph">
              <wp:posOffset>55990</wp:posOffset>
            </wp:positionV>
            <wp:extent cx="5045689" cy="58293"/>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5045689" cy="58293"/>
                    </a:xfrm>
                    <a:prstGeom prst="rect">
                      <a:avLst/>
                    </a:prstGeom>
                  </pic:spPr>
                </pic:pic>
              </a:graphicData>
            </a:graphic>
          </wp:anchor>
        </w:drawing>
      </w:r>
    </w:p>
    <w:p>
      <w:pPr>
        <w:pStyle w:val="BodyText"/>
        <w:spacing w:before="0"/>
        <w:ind w:left="0"/>
        <w:rPr>
          <w:rFonts w:ascii="Times New Roman"/>
          <w:sz w:val="26"/>
        </w:rPr>
      </w:pPr>
    </w:p>
    <w:p>
      <w:pPr>
        <w:spacing w:before="194"/>
        <w:ind w:left="0" w:right="221" w:firstLine="0"/>
        <w:jc w:val="center"/>
        <w:rPr>
          <w:rFonts w:ascii="黑体" w:eastAsia="黑体"/>
          <w:sz w:val="30"/>
        </w:rPr>
      </w:pPr>
      <w:r>
        <w:rPr>
          <w:rFonts w:ascii="黑体" w:eastAsia="黑体"/>
          <w:spacing w:val="-1"/>
          <w:sz w:val="30"/>
        </w:rPr>
        <w:t>恒安标准筑梦未来领航版年金保险条款</w:t>
      </w:r>
    </w:p>
    <w:p>
      <w:pPr>
        <w:pStyle w:val="BodyText"/>
        <w:spacing w:before="0"/>
        <w:ind w:left="0"/>
        <w:rPr>
          <w:rFonts w:ascii="黑体"/>
          <w:sz w:val="20"/>
        </w:rPr>
      </w:pPr>
    </w:p>
    <w:p>
      <w:pPr>
        <w:pStyle w:val="BodyText"/>
        <w:spacing w:before="7"/>
        <w:ind w:left="0"/>
        <w:rPr>
          <w:rFonts w:ascii="黑体"/>
          <w:sz w:val="18"/>
        </w:rPr>
      </w:pPr>
    </w:p>
    <w:p>
      <w:pPr>
        <w:tabs>
          <w:tab w:pos="599" w:val="left" w:leader="none"/>
        </w:tabs>
        <w:spacing w:before="58"/>
        <w:ind w:left="0" w:right="220" w:firstLine="0"/>
        <w:jc w:val="center"/>
        <w:rPr>
          <w:rFonts w:ascii="黑体" w:eastAsia="黑体"/>
          <w:sz w:val="30"/>
        </w:rPr>
      </w:pPr>
      <w:r>
        <w:rPr>
          <w:rFonts w:ascii="黑体" w:eastAsia="黑体"/>
          <w:spacing w:val="-10"/>
          <w:sz w:val="30"/>
        </w:rPr>
        <w:t>目</w:t>
      </w:r>
      <w:r>
        <w:rPr>
          <w:rFonts w:ascii="黑体" w:eastAsia="黑体"/>
          <w:sz w:val="30"/>
        </w:rPr>
        <w:tab/>
      </w:r>
      <w:r>
        <w:rPr>
          <w:rFonts w:ascii="黑体" w:eastAsia="黑体"/>
          <w:spacing w:val="-10"/>
          <w:sz w:val="30"/>
        </w:rPr>
        <w:t>录</w:t>
      </w:r>
    </w:p>
    <w:sdt>
      <w:sdtPr>
        <w:docPartObj>
          <w:docPartGallery w:val="Table of Contents"/>
          <w:docPartUnique/>
        </w:docPartObj>
      </w:sdtPr>
      <w:sdtEndPr/>
      <w:sdtContent>
        <w:p>
          <w:pPr>
            <w:pStyle w:val="TOC1"/>
            <w:numPr>
              <w:ilvl w:val="0"/>
              <w:numId w:val="1"/>
            </w:numPr>
            <w:tabs>
              <w:tab w:pos="396" w:val="left" w:leader="none"/>
              <w:tab w:pos="510" w:val="left" w:leader="none"/>
              <w:tab w:pos="9510" w:val="left" w:leader="dot"/>
            </w:tabs>
            <w:spacing w:line="240" w:lineRule="auto" w:before="153" w:after="0"/>
            <w:ind w:left="509" w:right="228" w:hanging="510"/>
            <w:jc w:val="left"/>
            <w:rPr>
              <w:rFonts w:ascii="Times New Roman" w:eastAsia="Times New Roman"/>
            </w:rPr>
          </w:pPr>
          <w:r>
            <w:fldChar w:fldCharType="begin"/>
          </w:r>
          <w:r>
            <w:instrText>TOC \o "1-2" \h \z \u </w:instrText>
          </w:r>
          <w:r>
            <w:fldChar w:fldCharType="separate"/>
          </w:r>
          <w:hyperlink w:history="true" w:anchor="_bookmark0">
            <w:r>
              <w:rPr>
                <w:w w:val="95"/>
              </w:rPr>
              <w:t>您与我</w:t>
            </w:r>
            <w:r>
              <w:rPr>
                <w:w w:val="95"/>
              </w:rPr>
              <w:t>们</w:t>
            </w:r>
            <w:r>
              <w:rPr>
                <w:w w:val="95"/>
              </w:rPr>
              <w:t>订</w:t>
            </w:r>
            <w:r>
              <w:rPr>
                <w:w w:val="95"/>
              </w:rPr>
              <w:t>立合同</w:t>
            </w:r>
            <w:r>
              <w:rPr>
                <w:w w:val="95"/>
              </w:rPr>
              <w:t>时</w:t>
            </w:r>
            <w:r>
              <w:rPr>
                <w:w w:val="95"/>
              </w:rPr>
              <w:t>需</w:t>
            </w:r>
            <w:r>
              <w:rPr>
                <w:w w:val="95"/>
              </w:rPr>
              <w:t>要了解</w:t>
            </w:r>
            <w:r>
              <w:rPr>
                <w:w w:val="95"/>
              </w:rPr>
              <w:t>的</w:t>
            </w:r>
            <w:r>
              <w:rPr>
                <w:w w:val="95"/>
              </w:rPr>
              <w:t>内</w:t>
            </w:r>
            <w:r>
              <w:rPr>
                <w:spacing w:val="-10"/>
                <w:w w:val="95"/>
              </w:rPr>
              <w:t>容</w:t>
            </w:r>
            <w:r>
              <w:rPr>
                <w:rFonts w:ascii="Times New Roman" w:eastAsia="Times New Roman"/>
                <w:b w:val="0"/>
              </w:rPr>
              <w:tab/>
            </w:r>
            <w:r>
              <w:rPr>
                <w:rFonts w:ascii="Times New Roman" w:eastAsia="Times New Roman"/>
                <w:spacing w:val="-10"/>
              </w:rPr>
              <w:t>2</w:t>
            </w:r>
          </w:hyperlink>
        </w:p>
        <w:p>
          <w:pPr>
            <w:pStyle w:val="TOC2"/>
            <w:numPr>
              <w:ilvl w:val="1"/>
              <w:numId w:val="1"/>
            </w:numPr>
            <w:tabs>
              <w:tab w:pos="1164" w:val="left" w:leader="none"/>
              <w:tab w:pos="1165" w:val="left" w:leader="none"/>
              <w:tab w:pos="9637" w:val="left" w:leader="dot"/>
            </w:tabs>
            <w:spacing w:line="240" w:lineRule="auto" w:before="28" w:after="0"/>
            <w:ind w:left="1164" w:right="0" w:hanging="656"/>
            <w:jc w:val="left"/>
            <w:rPr>
              <w:rFonts w:ascii="Times New Roman" w:eastAsia="Times New Roman"/>
            </w:rPr>
          </w:pPr>
          <w:hyperlink w:history="true" w:anchor="_bookmark1">
            <w:r>
              <w:rPr>
                <w:spacing w:val="-2"/>
              </w:rPr>
              <w:t>合</w:t>
            </w:r>
            <w:r>
              <w:rPr>
                <w:spacing w:val="-2"/>
              </w:rPr>
              <w:t>同</w:t>
            </w:r>
            <w:r>
              <w:rPr>
                <w:spacing w:val="-2"/>
              </w:rPr>
              <w:t>的种类及构</w:t>
            </w:r>
            <w:r>
              <w:rPr>
                <w:spacing w:val="-10"/>
              </w:rPr>
              <w:t>成</w:t>
            </w:r>
            <w:r>
              <w:rPr>
                <w:rFonts w:ascii="Times New Roman" w:eastAsia="Times New Roman"/>
              </w:rPr>
              <w:tab/>
            </w:r>
            <w:r>
              <w:rPr>
                <w:rFonts w:ascii="Times New Roman" w:eastAsia="Times New Roman"/>
                <w:spacing w:val="-10"/>
              </w:rPr>
              <w:t>2</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2">
            <w:r>
              <w:rPr>
                <w:spacing w:val="-2"/>
              </w:rPr>
              <w:t>投</w:t>
            </w:r>
            <w:r>
              <w:rPr>
                <w:spacing w:val="-2"/>
              </w:rPr>
              <w:t>保</w:t>
            </w:r>
            <w:r>
              <w:rPr>
                <w:spacing w:val="-2"/>
              </w:rPr>
              <w:t>条</w:t>
            </w:r>
            <w:r>
              <w:rPr>
                <w:spacing w:val="-10"/>
              </w:rPr>
              <w:t>件</w:t>
            </w:r>
            <w:r>
              <w:rPr>
                <w:rFonts w:ascii="Times New Roman" w:eastAsia="Times New Roman"/>
              </w:rPr>
              <w:tab/>
            </w:r>
            <w:r>
              <w:rPr>
                <w:rFonts w:ascii="Times New Roman" w:eastAsia="Times New Roman"/>
                <w:spacing w:val="-10"/>
              </w:rPr>
              <w:t>2</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3">
            <w:r>
              <w:rPr>
                <w:spacing w:val="-2"/>
              </w:rPr>
              <w:t>保</w:t>
            </w:r>
            <w:r>
              <w:rPr>
                <w:spacing w:val="-2"/>
              </w:rPr>
              <w:t>险</w:t>
            </w:r>
            <w:r>
              <w:rPr>
                <w:spacing w:val="-2"/>
              </w:rPr>
              <w:t>期</w:t>
            </w:r>
            <w:r>
              <w:rPr>
                <w:spacing w:val="-10"/>
              </w:rPr>
              <w:t>间</w:t>
            </w:r>
            <w:r>
              <w:rPr>
                <w:rFonts w:ascii="Times New Roman" w:eastAsia="Times New Roman"/>
              </w:rPr>
              <w:tab/>
            </w:r>
            <w:r>
              <w:rPr>
                <w:rFonts w:ascii="Times New Roman" w:eastAsia="Times New Roman"/>
                <w:spacing w:val="-10"/>
              </w:rPr>
              <w:t>2</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4">
            <w:r>
              <w:rPr>
                <w:spacing w:val="-2"/>
              </w:rPr>
              <w:t>保</w:t>
            </w:r>
            <w:r>
              <w:rPr>
                <w:spacing w:val="-2"/>
              </w:rPr>
              <w:t>险</w:t>
            </w:r>
            <w:r>
              <w:rPr>
                <w:spacing w:val="-2"/>
              </w:rPr>
              <w:t>责任的开始和终</w:t>
            </w:r>
            <w:r>
              <w:rPr>
                <w:spacing w:val="-10"/>
              </w:rPr>
              <w:t>止</w:t>
            </w:r>
            <w:r>
              <w:rPr>
                <w:rFonts w:ascii="Times New Roman" w:eastAsia="Times New Roman"/>
              </w:rPr>
              <w:tab/>
            </w:r>
            <w:r>
              <w:rPr>
                <w:rFonts w:ascii="Times New Roman" w:eastAsia="Times New Roman"/>
                <w:spacing w:val="-10"/>
              </w:rPr>
              <w:t>2</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5">
            <w:r>
              <w:rPr/>
              <w:t>犹豫</w:t>
            </w:r>
            <w:r>
              <w:rPr>
                <w:spacing w:val="-10"/>
              </w:rPr>
              <w:t>期</w:t>
            </w:r>
            <w:r>
              <w:rPr>
                <w:rFonts w:ascii="Times New Roman" w:eastAsia="Times New Roman"/>
              </w:rPr>
              <w:tab/>
            </w:r>
            <w:r>
              <w:rPr>
                <w:rFonts w:ascii="Times New Roman" w:eastAsia="Times New Roman"/>
                <w:spacing w:val="-10"/>
              </w:rPr>
              <w:t>2</w:t>
            </w:r>
          </w:hyperlink>
        </w:p>
        <w:p>
          <w:pPr>
            <w:pStyle w:val="TOC2"/>
            <w:numPr>
              <w:ilvl w:val="1"/>
              <w:numId w:val="1"/>
            </w:numPr>
            <w:tabs>
              <w:tab w:pos="1164" w:val="left" w:leader="none"/>
              <w:tab w:pos="1165" w:val="left" w:leader="none"/>
              <w:tab w:pos="9637" w:val="left" w:leader="dot"/>
            </w:tabs>
            <w:spacing w:line="240" w:lineRule="auto" w:before="42" w:after="0"/>
            <w:ind w:left="1164" w:right="0" w:hanging="656"/>
            <w:jc w:val="left"/>
            <w:rPr>
              <w:rFonts w:ascii="Times New Roman" w:eastAsia="Times New Roman"/>
            </w:rPr>
          </w:pPr>
          <w:hyperlink w:history="true" w:anchor="_bookmark6">
            <w:r>
              <w:rPr>
                <w:spacing w:val="-2"/>
              </w:rPr>
              <w:t>明</w:t>
            </w:r>
            <w:r>
              <w:rPr>
                <w:spacing w:val="-2"/>
              </w:rPr>
              <w:t>确</w:t>
            </w:r>
            <w:r>
              <w:rPr>
                <w:spacing w:val="-2"/>
              </w:rPr>
              <w:t>说明与如实</w:t>
            </w:r>
            <w:r>
              <w:rPr>
                <w:spacing w:val="-2"/>
              </w:rPr>
              <w:t>告</w:t>
            </w:r>
            <w:r>
              <w:rPr>
                <w:spacing w:val="-10"/>
              </w:rPr>
              <w:t>知</w:t>
            </w:r>
            <w:r>
              <w:rPr>
                <w:rFonts w:ascii="Times New Roman" w:eastAsia="Times New Roman"/>
              </w:rPr>
              <w:tab/>
            </w:r>
            <w:r>
              <w:rPr>
                <w:rFonts w:ascii="Times New Roman" w:eastAsia="Times New Roman"/>
                <w:spacing w:val="-10"/>
              </w:rPr>
              <w:t>2</w:t>
            </w:r>
          </w:hyperlink>
        </w:p>
        <w:p>
          <w:pPr>
            <w:pStyle w:val="TOC1"/>
            <w:numPr>
              <w:ilvl w:val="0"/>
              <w:numId w:val="1"/>
            </w:numPr>
            <w:tabs>
              <w:tab w:pos="396" w:val="left" w:leader="none"/>
              <w:tab w:pos="510" w:val="left" w:leader="none"/>
              <w:tab w:pos="9510" w:val="left" w:leader="dot"/>
            </w:tabs>
            <w:spacing w:line="240" w:lineRule="auto" w:before="21" w:after="0"/>
            <w:ind w:left="509" w:right="228" w:hanging="510"/>
            <w:jc w:val="left"/>
            <w:rPr>
              <w:rFonts w:ascii="Times New Roman" w:eastAsia="Times New Roman"/>
            </w:rPr>
          </w:pPr>
          <w:hyperlink w:history="true" w:anchor="_bookmark7">
            <w:r>
              <w:rPr>
                <w:w w:val="95"/>
              </w:rPr>
              <w:t>合同项</w:t>
            </w:r>
            <w:r>
              <w:rPr>
                <w:w w:val="95"/>
              </w:rPr>
              <w:t>下</w:t>
            </w:r>
            <w:r>
              <w:rPr>
                <w:w w:val="95"/>
              </w:rPr>
              <w:t>的</w:t>
            </w:r>
            <w:r>
              <w:rPr>
                <w:w w:val="95"/>
              </w:rPr>
              <w:t>保障和</w:t>
            </w:r>
            <w:r>
              <w:rPr>
                <w:w w:val="95"/>
              </w:rPr>
              <w:t>利</w:t>
            </w:r>
            <w:r>
              <w:rPr>
                <w:spacing w:val="-10"/>
                <w:w w:val="95"/>
              </w:rPr>
              <w:t>益</w:t>
            </w:r>
            <w:r>
              <w:rPr>
                <w:rFonts w:ascii="Times New Roman" w:eastAsia="Times New Roman"/>
                <w:b w:val="0"/>
              </w:rPr>
              <w:tab/>
            </w:r>
            <w:r>
              <w:rPr>
                <w:rFonts w:ascii="Times New Roman" w:eastAsia="Times New Roman"/>
                <w:spacing w:val="-10"/>
              </w:rPr>
              <w:t>3</w:t>
            </w:r>
          </w:hyperlink>
        </w:p>
        <w:p>
          <w:pPr>
            <w:pStyle w:val="TOC2"/>
            <w:numPr>
              <w:ilvl w:val="1"/>
              <w:numId w:val="1"/>
            </w:numPr>
            <w:tabs>
              <w:tab w:pos="1164" w:val="left" w:leader="none"/>
              <w:tab w:pos="1165" w:val="left" w:leader="none"/>
              <w:tab w:pos="9637" w:val="left" w:leader="dot"/>
            </w:tabs>
            <w:spacing w:line="240" w:lineRule="auto" w:before="27" w:after="0"/>
            <w:ind w:left="1164" w:right="0" w:hanging="656"/>
            <w:jc w:val="left"/>
            <w:rPr>
              <w:rFonts w:ascii="Times New Roman" w:eastAsia="Times New Roman"/>
            </w:rPr>
          </w:pPr>
          <w:hyperlink w:history="true" w:anchor="_bookmark8">
            <w:r>
              <w:rPr>
                <w:spacing w:val="-2"/>
              </w:rPr>
              <w:t>基</w:t>
            </w:r>
            <w:r>
              <w:rPr>
                <w:spacing w:val="-2"/>
              </w:rPr>
              <w:t>本</w:t>
            </w:r>
            <w:r>
              <w:rPr>
                <w:spacing w:val="-2"/>
              </w:rPr>
              <w:t>保险金</w:t>
            </w:r>
            <w:r>
              <w:rPr>
                <w:spacing w:val="-10"/>
              </w:rPr>
              <w:t>额</w:t>
            </w:r>
            <w:r>
              <w:rPr>
                <w:rFonts w:ascii="Times New Roman" w:eastAsia="Times New Roman"/>
              </w:rPr>
              <w:tab/>
            </w:r>
            <w:r>
              <w:rPr>
                <w:rFonts w:ascii="Times New Roman" w:eastAsia="Times New Roman"/>
                <w:spacing w:val="-10"/>
              </w:rPr>
              <w:t>3</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9">
            <w:r>
              <w:rPr>
                <w:spacing w:val="-2"/>
              </w:rPr>
              <w:t>我</w:t>
            </w:r>
            <w:r>
              <w:rPr>
                <w:spacing w:val="-2"/>
              </w:rPr>
              <w:t>们</w:t>
            </w:r>
            <w:r>
              <w:rPr>
                <w:spacing w:val="-2"/>
              </w:rPr>
              <w:t>提供的</w:t>
            </w:r>
            <w:r>
              <w:rPr>
                <w:spacing w:val="-2"/>
              </w:rPr>
              <w:t>保</w:t>
            </w:r>
            <w:r>
              <w:rPr>
                <w:spacing w:val="-12"/>
              </w:rPr>
              <w:t>障</w:t>
            </w:r>
            <w:r>
              <w:rPr>
                <w:rFonts w:ascii="Times New Roman" w:eastAsia="Times New Roman"/>
              </w:rPr>
              <w:tab/>
            </w:r>
            <w:r>
              <w:rPr>
                <w:rFonts w:ascii="Times New Roman" w:eastAsia="Times New Roman"/>
                <w:spacing w:val="-10"/>
              </w:rPr>
              <w:t>3</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10">
            <w:r>
              <w:rPr>
                <w:spacing w:val="-2"/>
              </w:rPr>
              <w:t>我</w:t>
            </w:r>
            <w:r>
              <w:rPr>
                <w:spacing w:val="-2"/>
              </w:rPr>
              <w:t>们</w:t>
            </w:r>
            <w:r>
              <w:rPr>
                <w:spacing w:val="-2"/>
              </w:rPr>
              <w:t>不承担的责</w:t>
            </w:r>
            <w:r>
              <w:rPr>
                <w:spacing w:val="-10"/>
              </w:rPr>
              <w:t>任</w:t>
            </w:r>
            <w:r>
              <w:rPr>
                <w:rFonts w:ascii="Times New Roman" w:eastAsia="Times New Roman"/>
              </w:rPr>
              <w:tab/>
            </w:r>
            <w:r>
              <w:rPr>
                <w:rFonts w:ascii="Times New Roman" w:eastAsia="Times New Roman"/>
                <w:spacing w:val="-10"/>
              </w:rPr>
              <w:t>3</w:t>
            </w:r>
          </w:hyperlink>
        </w:p>
        <w:p>
          <w:pPr>
            <w:pStyle w:val="TOC1"/>
            <w:numPr>
              <w:ilvl w:val="0"/>
              <w:numId w:val="1"/>
            </w:numPr>
            <w:tabs>
              <w:tab w:pos="396" w:val="left" w:leader="none"/>
              <w:tab w:pos="510" w:val="left" w:leader="none"/>
              <w:tab w:pos="9510" w:val="left" w:leader="dot"/>
            </w:tabs>
            <w:spacing w:line="240" w:lineRule="auto" w:before="20" w:after="0"/>
            <w:ind w:left="509" w:right="228" w:hanging="510"/>
            <w:jc w:val="left"/>
            <w:rPr>
              <w:rFonts w:ascii="Times New Roman" w:eastAsia="Times New Roman"/>
            </w:rPr>
          </w:pPr>
          <w:hyperlink w:history="true" w:anchor="_bookmark11">
            <w:r>
              <w:rPr>
                <w:w w:val="95"/>
              </w:rPr>
              <w:t>您在合</w:t>
            </w:r>
            <w:r>
              <w:rPr>
                <w:w w:val="95"/>
              </w:rPr>
              <w:t>同</w:t>
            </w:r>
            <w:r>
              <w:rPr>
                <w:w w:val="95"/>
              </w:rPr>
              <w:t>项</w:t>
            </w:r>
            <w:r>
              <w:rPr>
                <w:w w:val="95"/>
              </w:rPr>
              <w:t>下的权</w:t>
            </w:r>
            <w:r>
              <w:rPr>
                <w:w w:val="95"/>
              </w:rPr>
              <w:t>利</w:t>
            </w:r>
            <w:r>
              <w:rPr>
                <w:w w:val="95"/>
              </w:rPr>
              <w:t>和</w:t>
            </w:r>
            <w:r>
              <w:rPr>
                <w:w w:val="95"/>
              </w:rPr>
              <w:t>义</w:t>
            </w:r>
            <w:r>
              <w:rPr>
                <w:spacing w:val="-10"/>
                <w:w w:val="95"/>
              </w:rPr>
              <w:t>务</w:t>
            </w:r>
            <w:r>
              <w:rPr>
                <w:rFonts w:ascii="Times New Roman" w:eastAsia="Times New Roman"/>
                <w:b w:val="0"/>
              </w:rPr>
              <w:tab/>
            </w:r>
            <w:r>
              <w:rPr>
                <w:rFonts w:ascii="Times New Roman" w:eastAsia="Times New Roman"/>
                <w:spacing w:val="-10"/>
              </w:rPr>
              <w:t>3</w:t>
            </w:r>
          </w:hyperlink>
        </w:p>
        <w:p>
          <w:pPr>
            <w:pStyle w:val="TOC2"/>
            <w:numPr>
              <w:ilvl w:val="1"/>
              <w:numId w:val="1"/>
            </w:numPr>
            <w:tabs>
              <w:tab w:pos="1164" w:val="left" w:leader="none"/>
              <w:tab w:pos="1165" w:val="left" w:leader="none"/>
              <w:tab w:pos="9637" w:val="left" w:leader="dot"/>
            </w:tabs>
            <w:spacing w:line="240" w:lineRule="auto" w:before="28" w:after="0"/>
            <w:ind w:left="1164" w:right="0" w:hanging="656"/>
            <w:jc w:val="left"/>
            <w:rPr>
              <w:rFonts w:ascii="Times New Roman" w:eastAsia="Times New Roman"/>
            </w:rPr>
          </w:pPr>
          <w:hyperlink w:history="true" w:anchor="_bookmark12">
            <w:r>
              <w:rPr>
                <w:spacing w:val="-2"/>
              </w:rPr>
              <w:t>保</w:t>
            </w:r>
            <w:r>
              <w:rPr>
                <w:spacing w:val="-2"/>
              </w:rPr>
              <w:t>险</w:t>
            </w:r>
            <w:r>
              <w:rPr>
                <w:spacing w:val="-2"/>
              </w:rPr>
              <w:t>费的交</w:t>
            </w:r>
            <w:r>
              <w:rPr>
                <w:spacing w:val="-10"/>
              </w:rPr>
              <w:t>付</w:t>
            </w:r>
            <w:r>
              <w:rPr>
                <w:rFonts w:ascii="Times New Roman" w:eastAsia="Times New Roman"/>
              </w:rPr>
              <w:tab/>
            </w:r>
            <w:r>
              <w:rPr>
                <w:rFonts w:ascii="Times New Roman" w:eastAsia="Times New Roman"/>
                <w:spacing w:val="-10"/>
              </w:rPr>
              <w:t>3</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13">
            <w:r>
              <w:rPr/>
              <w:t>宽限</w:t>
            </w:r>
            <w:r>
              <w:rPr>
                <w:spacing w:val="-10"/>
              </w:rPr>
              <w:t>期</w:t>
            </w:r>
            <w:r>
              <w:rPr>
                <w:rFonts w:ascii="Times New Roman" w:eastAsia="Times New Roman"/>
              </w:rPr>
              <w:tab/>
            </w:r>
            <w:r>
              <w:rPr>
                <w:rFonts w:ascii="Times New Roman" w:eastAsia="Times New Roman"/>
                <w:spacing w:val="-10"/>
              </w:rPr>
              <w:t>4</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14">
            <w:r>
              <w:rPr>
                <w:spacing w:val="-2"/>
              </w:rPr>
              <w:t>合</w:t>
            </w:r>
            <w:r>
              <w:rPr>
                <w:spacing w:val="-2"/>
              </w:rPr>
              <w:t>同</w:t>
            </w:r>
            <w:r>
              <w:rPr>
                <w:spacing w:val="-2"/>
              </w:rPr>
              <w:t>效力的中止和恢</w:t>
            </w:r>
            <w:r>
              <w:rPr>
                <w:spacing w:val="-10"/>
              </w:rPr>
              <w:t>复</w:t>
            </w:r>
            <w:r>
              <w:rPr>
                <w:rFonts w:ascii="Times New Roman" w:eastAsia="Times New Roman"/>
              </w:rPr>
              <w:tab/>
            </w:r>
            <w:r>
              <w:rPr>
                <w:rFonts w:ascii="Times New Roman" w:eastAsia="Times New Roman"/>
                <w:spacing w:val="-10"/>
              </w:rPr>
              <w:t>4</w:t>
            </w:r>
          </w:hyperlink>
        </w:p>
        <w:p>
          <w:pPr>
            <w:pStyle w:val="TOC2"/>
            <w:numPr>
              <w:ilvl w:val="1"/>
              <w:numId w:val="1"/>
            </w:numPr>
            <w:tabs>
              <w:tab w:pos="1164" w:val="left" w:leader="none"/>
              <w:tab w:pos="1165" w:val="left" w:leader="none"/>
              <w:tab w:pos="9637" w:val="left" w:leader="dot"/>
            </w:tabs>
            <w:spacing w:line="240" w:lineRule="auto" w:before="42" w:after="0"/>
            <w:ind w:left="1164" w:right="0" w:hanging="656"/>
            <w:jc w:val="left"/>
            <w:rPr>
              <w:rFonts w:ascii="Times New Roman" w:eastAsia="Times New Roman"/>
            </w:rPr>
          </w:pPr>
          <w:hyperlink w:history="true" w:anchor="_bookmark15">
            <w:r>
              <w:rPr>
                <w:spacing w:val="-2"/>
              </w:rPr>
              <w:t>犹</w:t>
            </w:r>
            <w:r>
              <w:rPr>
                <w:spacing w:val="-2"/>
              </w:rPr>
              <w:t>豫</w:t>
            </w:r>
            <w:r>
              <w:rPr>
                <w:spacing w:val="-2"/>
              </w:rPr>
              <w:t>期后解除合同的</w:t>
            </w:r>
            <w:r>
              <w:rPr>
                <w:spacing w:val="-2"/>
              </w:rPr>
              <w:t>处</w:t>
            </w:r>
            <w:r>
              <w:rPr>
                <w:spacing w:val="-10"/>
              </w:rPr>
              <w:t>理</w:t>
            </w:r>
            <w:r>
              <w:rPr>
                <w:rFonts w:ascii="Times New Roman" w:eastAsia="Times New Roman"/>
              </w:rPr>
              <w:tab/>
            </w:r>
            <w:r>
              <w:rPr>
                <w:rFonts w:ascii="Times New Roman" w:eastAsia="Times New Roman"/>
                <w:spacing w:val="-10"/>
              </w:rPr>
              <w:t>4</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16">
            <w:r>
              <w:rPr>
                <w:spacing w:val="-2"/>
              </w:rPr>
              <w:t>合</w:t>
            </w:r>
            <w:r>
              <w:rPr>
                <w:spacing w:val="-2"/>
              </w:rPr>
              <w:t>同</w:t>
            </w:r>
            <w:r>
              <w:rPr>
                <w:spacing w:val="-2"/>
              </w:rPr>
              <w:t>内容的</w:t>
            </w:r>
            <w:r>
              <w:rPr>
                <w:spacing w:val="-2"/>
              </w:rPr>
              <w:t>变</w:t>
            </w:r>
            <w:r>
              <w:rPr>
                <w:spacing w:val="-12"/>
              </w:rPr>
              <w:t>更</w:t>
            </w:r>
            <w:r>
              <w:rPr>
                <w:rFonts w:ascii="Times New Roman" w:eastAsia="Times New Roman"/>
              </w:rPr>
              <w:tab/>
            </w:r>
            <w:r>
              <w:rPr>
                <w:rFonts w:ascii="Times New Roman" w:eastAsia="Times New Roman"/>
                <w:spacing w:val="-10"/>
              </w:rPr>
              <w:t>4</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17">
            <w:r>
              <w:rPr>
                <w:spacing w:val="-2"/>
              </w:rPr>
              <w:t>现</w:t>
            </w:r>
            <w:r>
              <w:rPr>
                <w:spacing w:val="-2"/>
              </w:rPr>
              <w:t>金</w:t>
            </w:r>
            <w:r>
              <w:rPr>
                <w:spacing w:val="-2"/>
              </w:rPr>
              <w:t>价值权</w:t>
            </w:r>
            <w:r>
              <w:rPr>
                <w:spacing w:val="-10"/>
              </w:rPr>
              <w:t>益</w:t>
            </w:r>
            <w:r>
              <w:rPr>
                <w:rFonts w:ascii="Times New Roman" w:eastAsia="Times New Roman"/>
              </w:rPr>
              <w:tab/>
            </w:r>
            <w:r>
              <w:rPr>
                <w:rFonts w:ascii="Times New Roman" w:eastAsia="Times New Roman"/>
                <w:spacing w:val="-10"/>
              </w:rPr>
              <w:t>4</w:t>
            </w:r>
          </w:hyperlink>
        </w:p>
        <w:p>
          <w:pPr>
            <w:pStyle w:val="TOC1"/>
            <w:numPr>
              <w:ilvl w:val="0"/>
              <w:numId w:val="1"/>
            </w:numPr>
            <w:tabs>
              <w:tab w:pos="396" w:val="left" w:leader="none"/>
              <w:tab w:pos="510" w:val="left" w:leader="none"/>
              <w:tab w:pos="9510" w:val="left" w:leader="dot"/>
            </w:tabs>
            <w:spacing w:line="240" w:lineRule="auto" w:before="21" w:after="0"/>
            <w:ind w:left="509" w:right="228" w:hanging="510"/>
            <w:jc w:val="left"/>
            <w:rPr>
              <w:rFonts w:ascii="Times New Roman" w:eastAsia="Times New Roman"/>
            </w:rPr>
          </w:pPr>
          <w:hyperlink w:history="true" w:anchor="_bookmark18">
            <w:r>
              <w:rPr>
                <w:w w:val="95"/>
              </w:rPr>
              <w:t>如何申</w:t>
            </w:r>
            <w:r>
              <w:rPr>
                <w:w w:val="95"/>
              </w:rPr>
              <w:t>请</w:t>
            </w:r>
            <w:r>
              <w:rPr>
                <w:w w:val="95"/>
              </w:rPr>
              <w:t>领</w:t>
            </w:r>
            <w:r>
              <w:rPr>
                <w:w w:val="95"/>
              </w:rPr>
              <w:t>取保险</w:t>
            </w:r>
            <w:r>
              <w:rPr>
                <w:spacing w:val="-10"/>
                <w:w w:val="95"/>
              </w:rPr>
              <w:t>金</w:t>
            </w:r>
            <w:r>
              <w:rPr>
                <w:rFonts w:ascii="Times New Roman" w:eastAsia="Times New Roman"/>
                <w:b w:val="0"/>
              </w:rPr>
              <w:tab/>
            </w:r>
            <w:r>
              <w:rPr>
                <w:rFonts w:ascii="Times New Roman" w:eastAsia="Times New Roman"/>
                <w:spacing w:val="-10"/>
              </w:rPr>
              <w:t>4</w:t>
            </w:r>
          </w:hyperlink>
        </w:p>
        <w:p>
          <w:pPr>
            <w:pStyle w:val="TOC2"/>
            <w:numPr>
              <w:ilvl w:val="1"/>
              <w:numId w:val="1"/>
            </w:numPr>
            <w:tabs>
              <w:tab w:pos="1164" w:val="left" w:leader="none"/>
              <w:tab w:pos="1165" w:val="left" w:leader="none"/>
              <w:tab w:pos="9637" w:val="left" w:leader="dot"/>
            </w:tabs>
            <w:spacing w:line="240" w:lineRule="auto" w:before="27" w:after="0"/>
            <w:ind w:left="1164" w:right="0" w:hanging="656"/>
            <w:jc w:val="left"/>
            <w:rPr>
              <w:rFonts w:ascii="Times New Roman" w:eastAsia="Times New Roman"/>
            </w:rPr>
          </w:pPr>
          <w:hyperlink w:history="true" w:anchor="_bookmark19">
            <w:r>
              <w:rPr>
                <w:spacing w:val="-2"/>
              </w:rPr>
              <w:t>保</w:t>
            </w:r>
            <w:r>
              <w:rPr>
                <w:spacing w:val="-2"/>
              </w:rPr>
              <w:t>险</w:t>
            </w:r>
            <w:r>
              <w:rPr>
                <w:spacing w:val="-2"/>
              </w:rPr>
              <w:t>金受益</w:t>
            </w:r>
            <w:r>
              <w:rPr>
                <w:spacing w:val="-10"/>
              </w:rPr>
              <w:t>人</w:t>
            </w:r>
            <w:r>
              <w:rPr>
                <w:rFonts w:ascii="Times New Roman" w:eastAsia="Times New Roman"/>
              </w:rPr>
              <w:tab/>
            </w:r>
            <w:r>
              <w:rPr>
                <w:rFonts w:ascii="Times New Roman" w:eastAsia="Times New Roman"/>
                <w:spacing w:val="-10"/>
              </w:rPr>
              <w:t>4</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20">
            <w:r>
              <w:rPr>
                <w:spacing w:val="-2"/>
              </w:rPr>
              <w:t>保</w:t>
            </w:r>
            <w:r>
              <w:rPr>
                <w:spacing w:val="-2"/>
              </w:rPr>
              <w:t>险</w:t>
            </w:r>
            <w:r>
              <w:rPr>
                <w:spacing w:val="-2"/>
              </w:rPr>
              <w:t>事故的</w:t>
            </w:r>
            <w:r>
              <w:rPr>
                <w:spacing w:val="-2"/>
              </w:rPr>
              <w:t>通</w:t>
            </w:r>
            <w:r>
              <w:rPr>
                <w:spacing w:val="-12"/>
              </w:rPr>
              <w:t>知</w:t>
            </w:r>
            <w:r>
              <w:rPr>
                <w:rFonts w:ascii="Times New Roman" w:eastAsia="Times New Roman"/>
              </w:rPr>
              <w:tab/>
            </w:r>
            <w:r>
              <w:rPr>
                <w:rFonts w:ascii="Times New Roman" w:eastAsia="Times New Roman"/>
                <w:spacing w:val="-10"/>
              </w:rPr>
              <w:t>5</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21">
            <w:r>
              <w:rPr>
                <w:spacing w:val="-2"/>
              </w:rPr>
              <w:t>保</w:t>
            </w:r>
            <w:r>
              <w:rPr>
                <w:spacing w:val="-2"/>
              </w:rPr>
              <w:t>险</w:t>
            </w:r>
            <w:r>
              <w:rPr>
                <w:spacing w:val="-2"/>
              </w:rPr>
              <w:t>金的申请和</w:t>
            </w:r>
            <w:r>
              <w:rPr>
                <w:spacing w:val="-2"/>
              </w:rPr>
              <w:t>给</w:t>
            </w:r>
            <w:r>
              <w:rPr>
                <w:spacing w:val="-10"/>
              </w:rPr>
              <w:t>付</w:t>
            </w:r>
            <w:r>
              <w:rPr>
                <w:rFonts w:ascii="Times New Roman" w:eastAsia="Times New Roman"/>
              </w:rPr>
              <w:tab/>
            </w:r>
            <w:r>
              <w:rPr>
                <w:rFonts w:ascii="Times New Roman" w:eastAsia="Times New Roman"/>
                <w:spacing w:val="-10"/>
              </w:rPr>
              <w:t>5</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22">
            <w:r>
              <w:rPr>
                <w:spacing w:val="-2"/>
              </w:rPr>
              <w:t>欠</w:t>
            </w:r>
            <w:r>
              <w:rPr>
                <w:spacing w:val="-2"/>
              </w:rPr>
              <w:t>交</w:t>
            </w:r>
            <w:r>
              <w:rPr>
                <w:spacing w:val="-2"/>
              </w:rPr>
              <w:t>保险费及未还款项的</w:t>
            </w:r>
            <w:r>
              <w:rPr>
                <w:spacing w:val="-2"/>
              </w:rPr>
              <w:t>扣</w:t>
            </w:r>
            <w:r>
              <w:rPr>
                <w:spacing w:val="-10"/>
              </w:rPr>
              <w:t>除</w:t>
            </w:r>
            <w:r>
              <w:rPr>
                <w:rFonts w:ascii="Times New Roman" w:eastAsia="Times New Roman"/>
              </w:rPr>
              <w:tab/>
            </w:r>
            <w:r>
              <w:rPr>
                <w:rFonts w:ascii="Times New Roman" w:eastAsia="Times New Roman"/>
                <w:spacing w:val="-10"/>
              </w:rPr>
              <w:t>6</w:t>
            </w:r>
          </w:hyperlink>
        </w:p>
        <w:p>
          <w:pPr>
            <w:pStyle w:val="TOC1"/>
            <w:numPr>
              <w:ilvl w:val="0"/>
              <w:numId w:val="1"/>
            </w:numPr>
            <w:tabs>
              <w:tab w:pos="396" w:val="left" w:leader="none"/>
              <w:tab w:pos="510" w:val="left" w:leader="none"/>
              <w:tab w:pos="9510" w:val="left" w:leader="dot"/>
            </w:tabs>
            <w:spacing w:line="240" w:lineRule="auto" w:before="20" w:after="0"/>
            <w:ind w:left="509" w:right="228" w:hanging="510"/>
            <w:jc w:val="left"/>
            <w:rPr>
              <w:rFonts w:ascii="Times New Roman" w:eastAsia="Times New Roman"/>
            </w:rPr>
          </w:pPr>
          <w:hyperlink w:history="true" w:anchor="_bookmark23">
            <w:r>
              <w:rPr>
                <w:w w:val="95"/>
              </w:rPr>
              <w:t>您需要</w:t>
            </w:r>
            <w:r>
              <w:rPr>
                <w:w w:val="95"/>
              </w:rPr>
              <w:t>了</w:t>
            </w:r>
            <w:r>
              <w:rPr>
                <w:w w:val="95"/>
              </w:rPr>
              <w:t>解</w:t>
            </w:r>
            <w:r>
              <w:rPr>
                <w:w w:val="95"/>
              </w:rPr>
              <w:t>的其他</w:t>
            </w:r>
            <w:r>
              <w:rPr>
                <w:w w:val="95"/>
              </w:rPr>
              <w:t>内</w:t>
            </w:r>
            <w:r>
              <w:rPr>
                <w:spacing w:val="-10"/>
                <w:w w:val="95"/>
              </w:rPr>
              <w:t>容</w:t>
            </w:r>
            <w:r>
              <w:rPr>
                <w:rFonts w:ascii="Times New Roman" w:eastAsia="Times New Roman"/>
                <w:b w:val="0"/>
              </w:rPr>
              <w:tab/>
            </w:r>
            <w:r>
              <w:rPr>
                <w:rFonts w:ascii="Times New Roman" w:eastAsia="Times New Roman"/>
                <w:spacing w:val="-10"/>
              </w:rPr>
              <w:t>6</w:t>
            </w:r>
          </w:hyperlink>
        </w:p>
        <w:p>
          <w:pPr>
            <w:pStyle w:val="TOC2"/>
            <w:numPr>
              <w:ilvl w:val="1"/>
              <w:numId w:val="1"/>
            </w:numPr>
            <w:tabs>
              <w:tab w:pos="1164" w:val="left" w:leader="none"/>
              <w:tab w:pos="1165" w:val="left" w:leader="none"/>
              <w:tab w:pos="9637" w:val="left" w:leader="dot"/>
            </w:tabs>
            <w:spacing w:line="240" w:lineRule="auto" w:before="28" w:after="0"/>
            <w:ind w:left="1164" w:right="0" w:hanging="656"/>
            <w:jc w:val="left"/>
            <w:rPr>
              <w:rFonts w:ascii="Times New Roman" w:eastAsia="Times New Roman"/>
            </w:rPr>
          </w:pPr>
          <w:hyperlink w:history="true" w:anchor="_bookmark24">
            <w:r>
              <w:rPr>
                <w:spacing w:val="-2"/>
              </w:rPr>
              <w:t>年</w:t>
            </w:r>
            <w:r>
              <w:rPr>
                <w:spacing w:val="-2"/>
              </w:rPr>
              <w:t>龄</w:t>
            </w:r>
            <w:r>
              <w:rPr>
                <w:spacing w:val="-2"/>
              </w:rPr>
              <w:t>计算及错误</w:t>
            </w:r>
            <w:r>
              <w:rPr>
                <w:spacing w:val="-2"/>
              </w:rPr>
              <w:t>处</w:t>
            </w:r>
            <w:r>
              <w:rPr>
                <w:spacing w:val="-10"/>
              </w:rPr>
              <w:t>理</w:t>
            </w:r>
            <w:r>
              <w:rPr>
                <w:rFonts w:ascii="Times New Roman" w:eastAsia="Times New Roman"/>
              </w:rPr>
              <w:tab/>
            </w:r>
            <w:r>
              <w:rPr>
                <w:rFonts w:ascii="Times New Roman" w:eastAsia="Times New Roman"/>
                <w:spacing w:val="-10"/>
              </w:rPr>
              <w:t>6</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25">
            <w:r>
              <w:rPr>
                <w:spacing w:val="-2"/>
              </w:rPr>
              <w:t>联</w:t>
            </w:r>
            <w:r>
              <w:rPr>
                <w:spacing w:val="-2"/>
              </w:rPr>
              <w:t>系</w:t>
            </w:r>
            <w:r>
              <w:rPr>
                <w:spacing w:val="-2"/>
              </w:rPr>
              <w:t>方式的</w:t>
            </w:r>
            <w:r>
              <w:rPr>
                <w:spacing w:val="-2"/>
              </w:rPr>
              <w:t>变</w:t>
            </w:r>
            <w:r>
              <w:rPr>
                <w:spacing w:val="-12"/>
              </w:rPr>
              <w:t>更</w:t>
            </w:r>
            <w:r>
              <w:rPr>
                <w:rFonts w:ascii="Times New Roman" w:eastAsia="Times New Roman"/>
              </w:rPr>
              <w:tab/>
            </w:r>
            <w:r>
              <w:rPr>
                <w:rFonts w:ascii="Times New Roman" w:eastAsia="Times New Roman"/>
                <w:spacing w:val="-10"/>
              </w:rPr>
              <w:t>6</w:t>
            </w:r>
          </w:hyperlink>
        </w:p>
        <w:p>
          <w:pPr>
            <w:pStyle w:val="TOC2"/>
            <w:numPr>
              <w:ilvl w:val="1"/>
              <w:numId w:val="1"/>
            </w:numPr>
            <w:tabs>
              <w:tab w:pos="1164" w:val="left" w:leader="none"/>
              <w:tab w:pos="1165" w:val="left" w:leader="none"/>
              <w:tab w:pos="9637" w:val="left" w:leader="dot"/>
            </w:tabs>
            <w:spacing w:line="240" w:lineRule="auto" w:before="42" w:after="0"/>
            <w:ind w:left="1164" w:right="0" w:hanging="656"/>
            <w:jc w:val="left"/>
            <w:rPr>
              <w:rFonts w:ascii="Times New Roman" w:eastAsia="Times New Roman"/>
            </w:rPr>
          </w:pPr>
          <w:hyperlink w:history="true" w:anchor="_bookmark26">
            <w:r>
              <w:rPr>
                <w:spacing w:val="-2"/>
              </w:rPr>
              <w:t>身</w:t>
            </w:r>
            <w:r>
              <w:rPr>
                <w:spacing w:val="-2"/>
              </w:rPr>
              <w:t>体</w:t>
            </w:r>
            <w:r>
              <w:rPr>
                <w:spacing w:val="-2"/>
              </w:rPr>
              <w:t>检查及司法</w:t>
            </w:r>
            <w:r>
              <w:rPr>
                <w:spacing w:val="-2"/>
              </w:rPr>
              <w:t>鉴</w:t>
            </w:r>
            <w:r>
              <w:rPr>
                <w:spacing w:val="-10"/>
              </w:rPr>
              <w:t>定</w:t>
            </w:r>
            <w:r>
              <w:rPr>
                <w:rFonts w:ascii="Times New Roman" w:eastAsia="Times New Roman"/>
              </w:rPr>
              <w:tab/>
            </w:r>
            <w:r>
              <w:rPr>
                <w:rFonts w:ascii="Times New Roman" w:eastAsia="Times New Roman"/>
                <w:spacing w:val="-10"/>
              </w:rPr>
              <w:t>6</w:t>
            </w:r>
          </w:hyperlink>
        </w:p>
        <w:p>
          <w:pPr>
            <w:pStyle w:val="TOC2"/>
            <w:numPr>
              <w:ilvl w:val="1"/>
              <w:numId w:val="1"/>
            </w:numPr>
            <w:tabs>
              <w:tab w:pos="1164" w:val="left" w:leader="none"/>
              <w:tab w:pos="1165" w:val="left" w:leader="none"/>
              <w:tab w:pos="9637" w:val="left" w:leader="dot"/>
            </w:tabs>
            <w:spacing w:line="240" w:lineRule="auto" w:before="43" w:after="0"/>
            <w:ind w:left="1164" w:right="0" w:hanging="656"/>
            <w:jc w:val="left"/>
            <w:rPr>
              <w:rFonts w:ascii="Times New Roman" w:eastAsia="Times New Roman"/>
            </w:rPr>
          </w:pPr>
          <w:hyperlink w:history="true" w:anchor="_bookmark27">
            <w:r>
              <w:rPr>
                <w:spacing w:val="-2"/>
              </w:rPr>
              <w:t>争</w:t>
            </w:r>
            <w:r>
              <w:rPr>
                <w:spacing w:val="-2"/>
              </w:rPr>
              <w:t>议</w:t>
            </w:r>
            <w:r>
              <w:rPr>
                <w:spacing w:val="-2"/>
              </w:rPr>
              <w:t>处</w:t>
            </w:r>
            <w:r>
              <w:rPr>
                <w:spacing w:val="-10"/>
              </w:rPr>
              <w:t>理</w:t>
            </w:r>
            <w:r>
              <w:rPr>
                <w:rFonts w:ascii="Times New Roman" w:eastAsia="Times New Roman"/>
              </w:rPr>
              <w:tab/>
            </w:r>
            <w:r>
              <w:rPr>
                <w:rFonts w:ascii="Times New Roman" w:eastAsia="Times New Roman"/>
                <w:spacing w:val="-10"/>
              </w:rPr>
              <w:t>6</w:t>
            </w:r>
          </w:hyperlink>
        </w:p>
        <w:p>
          <w:pPr>
            <w:pStyle w:val="TOC1"/>
            <w:numPr>
              <w:ilvl w:val="0"/>
              <w:numId w:val="1"/>
            </w:numPr>
            <w:tabs>
              <w:tab w:pos="396" w:val="left" w:leader="none"/>
              <w:tab w:pos="510" w:val="left" w:leader="none"/>
              <w:tab w:pos="9510" w:val="left" w:leader="dot"/>
            </w:tabs>
            <w:spacing w:line="240" w:lineRule="auto" w:before="21" w:after="0"/>
            <w:ind w:left="509" w:right="228" w:hanging="510"/>
            <w:jc w:val="left"/>
            <w:rPr>
              <w:rFonts w:ascii="Times New Roman" w:eastAsia="Times New Roman"/>
            </w:rPr>
          </w:pPr>
          <w:hyperlink w:history="true" w:anchor="_bookmark28">
            <w:r>
              <w:rPr>
                <w:w w:val="95"/>
              </w:rPr>
              <w:t>术语的</w:t>
            </w:r>
            <w:r>
              <w:rPr>
                <w:w w:val="95"/>
              </w:rPr>
              <w:t>解</w:t>
            </w:r>
            <w:r>
              <w:rPr>
                <w:spacing w:val="-10"/>
                <w:w w:val="95"/>
              </w:rPr>
              <w:t>释</w:t>
            </w:r>
            <w:r>
              <w:rPr>
                <w:rFonts w:ascii="Times New Roman" w:eastAsia="Times New Roman"/>
                <w:b w:val="0"/>
              </w:rPr>
              <w:tab/>
            </w:r>
            <w:r>
              <w:rPr>
                <w:rFonts w:ascii="Times New Roman" w:eastAsia="Times New Roman"/>
                <w:spacing w:val="-10"/>
              </w:rPr>
              <w:t>7</w:t>
            </w:r>
          </w:hyperlink>
        </w:p>
        <w:p>
          <w:pPr/>
          <w:r>
            <w:fldChar w:fldCharType="end"/>
          </w:r>
        </w:p>
      </w:sdtContent>
    </w:sdt>
    <w:p>
      <w:pPr>
        <w:spacing w:after="0"/>
        <w:sectPr>
          <w:footerReference w:type="default" r:id="rId5"/>
          <w:type w:val="continuous"/>
          <w:pgSz w:w="11910" w:h="16840"/>
          <w:pgMar w:footer="908" w:header="0" w:top="1060" w:bottom="1100" w:left="1020" w:right="800"/>
          <w:pgNumType w:start="1"/>
        </w:sectPr>
      </w:pPr>
    </w:p>
    <w:p>
      <w:pPr>
        <w:pStyle w:val="Heading1"/>
        <w:numPr>
          <w:ilvl w:val="0"/>
          <w:numId w:val="2"/>
        </w:numPr>
        <w:tabs>
          <w:tab w:pos="594" w:val="left" w:leader="none"/>
        </w:tabs>
        <w:spacing w:line="240" w:lineRule="auto" w:before="53" w:after="0"/>
        <w:ind w:left="593" w:right="0" w:hanging="482"/>
        <w:jc w:val="left"/>
      </w:pPr>
      <w:bookmarkStart w:name="_bookmark0" w:id="1"/>
      <w:bookmarkEnd w:id="1"/>
      <w:r>
        <w:rPr/>
      </w:r>
      <w:bookmarkStart w:name="_bookmark0" w:id="2"/>
      <w:bookmarkEnd w:id="2"/>
      <w:r>
        <w:rPr>
          <w:spacing w:val="-1"/>
        </w:rPr>
        <w:t>您与我们订立合同时需要了解的内容</w:t>
      </w:r>
    </w:p>
    <w:p>
      <w:pPr>
        <w:pStyle w:val="Heading2"/>
        <w:numPr>
          <w:ilvl w:val="1"/>
          <w:numId w:val="2"/>
        </w:numPr>
        <w:tabs>
          <w:tab w:pos="594" w:val="left" w:leader="none"/>
        </w:tabs>
        <w:spacing w:line="240" w:lineRule="auto" w:before="148" w:after="0"/>
        <w:ind w:left="593" w:right="0" w:hanging="482"/>
        <w:jc w:val="left"/>
      </w:pPr>
      <w:bookmarkStart w:name="_bookmark1" w:id="3"/>
      <w:bookmarkEnd w:id="3"/>
      <w:r>
        <w:rPr>
          <w:w w:val="95"/>
        </w:rPr>
        <w:t>合同</w:t>
      </w:r>
      <w:r>
        <w:rPr>
          <w:w w:val="95"/>
        </w:rPr>
        <w:t>的</w:t>
      </w:r>
      <w:r>
        <w:rPr>
          <w:w w:val="95"/>
        </w:rPr>
        <w:t>种</w:t>
      </w:r>
      <w:r>
        <w:rPr>
          <w:w w:val="95"/>
        </w:rPr>
        <w:t>类</w:t>
      </w:r>
      <w:r>
        <w:rPr>
          <w:w w:val="95"/>
        </w:rPr>
        <w:t>及</w:t>
      </w:r>
      <w:r>
        <w:rPr>
          <w:w w:val="95"/>
        </w:rPr>
        <w:t>构</w:t>
      </w:r>
      <w:r>
        <w:rPr>
          <w:spacing w:val="-10"/>
          <w:w w:val="95"/>
        </w:rPr>
        <w:t>成</w:t>
      </w:r>
    </w:p>
    <w:p>
      <w:pPr>
        <w:pStyle w:val="BodyText"/>
        <w:spacing w:line="278" w:lineRule="auto" w:before="37"/>
        <w:ind w:right="326" w:firstLine="420"/>
      </w:pPr>
      <w:r>
        <w:rPr>
          <w:b/>
          <w:spacing w:val="-2"/>
        </w:rPr>
        <w:t>您</w:t>
      </w:r>
      <w:r>
        <w:rPr>
          <w:spacing w:val="-2"/>
        </w:rPr>
        <w:t>作为投保人，与</w:t>
      </w:r>
      <w:r>
        <w:rPr>
          <w:b/>
          <w:spacing w:val="-2"/>
        </w:rPr>
        <w:t>我们</w:t>
      </w:r>
      <w:r>
        <w:rPr>
          <w:spacing w:val="-2"/>
        </w:rPr>
        <w:t>订立的合同为恒安标准筑梦未来领航版年金保险合同（</w:t>
      </w:r>
      <w:r>
        <w:rPr>
          <w:spacing w:val="-14"/>
        </w:rPr>
        <w:t>以下简称“本合同”</w:t>
      </w:r>
      <w:r>
        <w:rPr>
          <w:spacing w:val="-109"/>
        </w:rPr>
        <w:t>）</w:t>
      </w:r>
      <w:r>
        <w:rPr>
          <w:spacing w:val="-109"/>
        </w:rPr>
        <w:t>，</w:t>
      </w:r>
      <w:r>
        <w:rPr>
          <w:spacing w:val="-2"/>
        </w:rPr>
        <w:t>所使用的保险条款为恒安标准筑梦未来领航版年金保险条款（</w:t>
      </w:r>
      <w:r>
        <w:rPr>
          <w:spacing w:val="-14"/>
        </w:rPr>
        <w:t>以下简称“本条款”</w:t>
      </w:r>
      <w:r>
        <w:rPr>
          <w:spacing w:val="-107"/>
        </w:rPr>
        <w:t>）</w:t>
      </w:r>
      <w:r>
        <w:rPr>
          <w:spacing w:val="-108"/>
        </w:rPr>
        <w:t>。</w:t>
      </w:r>
    </w:p>
    <w:p>
      <w:pPr>
        <w:pStyle w:val="BodyText"/>
        <w:spacing w:line="278" w:lineRule="auto" w:before="31"/>
        <w:ind w:right="326" w:firstLine="420"/>
      </w:pPr>
      <w:r>
        <w:rPr>
          <w:spacing w:val="-2"/>
        </w:rPr>
        <w:t>本合同由保险单或其他保险凭证、本条款、投保文件、声明、批单、协议、现金价值表以及与本合同</w:t>
      </w:r>
      <w:r>
        <w:rPr>
          <w:spacing w:val="-2"/>
        </w:rPr>
        <w:t>有关其他合法有效的文件共同构成。</w:t>
      </w:r>
    </w:p>
    <w:p>
      <w:pPr>
        <w:pStyle w:val="BodyText"/>
        <w:spacing w:line="269" w:lineRule="exact" w:before="0"/>
        <w:ind w:left="533"/>
      </w:pPr>
      <w:r>
        <w:rPr>
          <w:spacing w:val="-7"/>
        </w:rPr>
        <w:t>我们在本条款第 </w:t>
      </w:r>
      <w:r>
        <w:rPr>
          <w:rFonts w:ascii="Times New Roman" w:eastAsia="Times New Roman"/>
          <w:spacing w:val="-2"/>
        </w:rPr>
        <w:t>6</w:t>
      </w:r>
      <w:r>
        <w:rPr>
          <w:rFonts w:ascii="Times New Roman" w:eastAsia="Times New Roman"/>
          <w:spacing w:val="14"/>
        </w:rPr>
        <w:t> </w:t>
      </w:r>
      <w:r>
        <w:rPr>
          <w:spacing w:val="-3"/>
        </w:rPr>
        <w:t>条中对重要术语进行了解释，术语含义以该条中的解释为准，请您注意阅读。</w:t>
      </w:r>
    </w:p>
    <w:p>
      <w:pPr>
        <w:pStyle w:val="Heading2"/>
        <w:numPr>
          <w:ilvl w:val="1"/>
          <w:numId w:val="2"/>
        </w:numPr>
        <w:tabs>
          <w:tab w:pos="594" w:val="left" w:leader="none"/>
        </w:tabs>
        <w:spacing w:line="240" w:lineRule="auto" w:before="86" w:after="0"/>
        <w:ind w:left="593" w:right="0" w:hanging="482"/>
        <w:jc w:val="left"/>
      </w:pPr>
      <w:bookmarkStart w:name="_bookmark2" w:id="4"/>
      <w:bookmarkEnd w:id="4"/>
      <w:r>
        <w:rPr>
          <w:b w:val="0"/>
        </w:rPr>
      </w:r>
      <w:bookmarkStart w:name="_bookmark2" w:id="5"/>
      <w:bookmarkEnd w:id="5"/>
      <w:r>
        <w:rPr>
          <w:w w:val="95"/>
        </w:rPr>
        <w:t>投</w:t>
      </w:r>
      <w:r>
        <w:rPr>
          <w:w w:val="95"/>
        </w:rPr>
        <w:t>保</w:t>
      </w:r>
      <w:r>
        <w:rPr>
          <w:w w:val="95"/>
        </w:rPr>
        <w:t>条</w:t>
      </w:r>
      <w:r>
        <w:rPr>
          <w:spacing w:val="-10"/>
          <w:w w:val="95"/>
        </w:rPr>
        <w:t>件</w:t>
      </w:r>
    </w:p>
    <w:p>
      <w:pPr>
        <w:pStyle w:val="BodyText"/>
        <w:spacing w:before="38"/>
        <w:ind w:left="530"/>
      </w:pPr>
      <w:r>
        <w:rPr>
          <w:spacing w:val="-4"/>
        </w:rPr>
        <w:t>一、投保人</w:t>
      </w:r>
    </w:p>
    <w:p>
      <w:pPr>
        <w:pStyle w:val="BodyText"/>
        <w:spacing w:line="278" w:lineRule="auto"/>
        <w:ind w:left="530" w:right="2505" w:firstLine="2"/>
      </w:pPr>
      <w:r>
        <w:rPr>
          <w:spacing w:val="-6"/>
        </w:rPr>
        <w:t>投保时年龄应当在 </w:t>
      </w:r>
      <w:r>
        <w:rPr>
          <w:rFonts w:ascii="Times New Roman" w:eastAsia="Times New Roman"/>
        </w:rPr>
        <w:t>18</w:t>
      </w:r>
      <w:r>
        <w:rPr>
          <w:rFonts w:ascii="Times New Roman" w:eastAsia="Times New Roman"/>
          <w:spacing w:val="-14"/>
        </w:rPr>
        <w:t> </w:t>
      </w:r>
      <w:r>
        <w:rPr>
          <w:b/>
        </w:rPr>
        <w:t>周岁</w:t>
      </w:r>
      <w:r>
        <w:rPr/>
        <w:t>（含）以上，并且应当对</w:t>
      </w:r>
      <w:r>
        <w:rPr>
          <w:b/>
        </w:rPr>
        <w:t>被保险人</w:t>
      </w:r>
      <w:r>
        <w:rPr/>
        <w:t>具有保险利益。</w:t>
      </w:r>
      <w:r>
        <w:rPr>
          <w:spacing w:val="-2"/>
        </w:rPr>
        <w:t>二、被保险人</w:t>
      </w:r>
    </w:p>
    <w:p>
      <w:pPr>
        <w:pStyle w:val="BodyText"/>
        <w:spacing w:before="0"/>
        <w:ind w:left="533"/>
      </w:pPr>
      <w:r>
        <w:rPr>
          <w:spacing w:val="-3"/>
        </w:rPr>
        <w:t>投保时年龄符合我们的要求且身体健康者，经我们审核同意，均可作为被保险人。</w:t>
      </w:r>
    </w:p>
    <w:p>
      <w:pPr>
        <w:pStyle w:val="Heading2"/>
        <w:numPr>
          <w:ilvl w:val="1"/>
          <w:numId w:val="2"/>
        </w:numPr>
        <w:tabs>
          <w:tab w:pos="594" w:val="left" w:leader="none"/>
        </w:tabs>
        <w:spacing w:line="240" w:lineRule="auto" w:before="86" w:after="0"/>
        <w:ind w:left="593" w:right="0" w:hanging="482"/>
        <w:jc w:val="left"/>
      </w:pPr>
      <w:bookmarkStart w:name="_bookmark3" w:id="6"/>
      <w:bookmarkEnd w:id="6"/>
      <w:r>
        <w:rPr>
          <w:b w:val="0"/>
        </w:rPr>
      </w:r>
      <w:bookmarkStart w:name="_bookmark3" w:id="7"/>
      <w:bookmarkEnd w:id="7"/>
      <w:r>
        <w:rPr>
          <w:w w:val="95"/>
        </w:rPr>
        <w:t>保</w:t>
      </w:r>
      <w:r>
        <w:rPr>
          <w:w w:val="95"/>
        </w:rPr>
        <w:t>险</w:t>
      </w:r>
      <w:r>
        <w:rPr>
          <w:w w:val="95"/>
        </w:rPr>
        <w:t>期</w:t>
      </w:r>
      <w:r>
        <w:rPr>
          <w:spacing w:val="-10"/>
          <w:w w:val="95"/>
        </w:rPr>
        <w:t>间</w:t>
      </w:r>
    </w:p>
    <w:p>
      <w:pPr>
        <w:pStyle w:val="BodyText"/>
        <w:spacing w:before="35"/>
        <w:ind w:left="533"/>
        <w:rPr>
          <w:b/>
        </w:rPr>
      </w:pPr>
      <w:r>
        <w:rPr>
          <w:spacing w:val="-2"/>
        </w:rPr>
        <w:t>本合同的保险期间自保险合同生效日次日零时起，至被保险人满 </w:t>
      </w:r>
      <w:r>
        <w:rPr>
          <w:rFonts w:ascii="Times New Roman" w:eastAsia="Times New Roman"/>
          <w:spacing w:val="-2"/>
        </w:rPr>
        <w:t>25</w:t>
      </w:r>
      <w:r>
        <w:rPr>
          <w:rFonts w:ascii="Times New Roman" w:eastAsia="Times New Roman"/>
          <w:spacing w:val="56"/>
        </w:rPr>
        <w:t> </w:t>
      </w:r>
      <w:r>
        <w:rPr>
          <w:spacing w:val="-2"/>
        </w:rPr>
        <w:t>周岁后的首个</w:t>
      </w:r>
      <w:r>
        <w:rPr>
          <w:b/>
          <w:spacing w:val="-3"/>
        </w:rPr>
        <w:t>合同生效日对应日</w:t>
      </w:r>
    </w:p>
    <w:p>
      <w:pPr>
        <w:pStyle w:val="BodyText"/>
        <w:jc w:val="both"/>
      </w:pPr>
      <w:r>
        <w:rPr>
          <w:rFonts w:ascii="Times New Roman" w:eastAsia="Times New Roman"/>
        </w:rPr>
        <w:t>24</w:t>
      </w:r>
      <w:r>
        <w:rPr>
          <w:rFonts w:ascii="Times New Roman" w:eastAsia="Times New Roman"/>
          <w:spacing w:val="-3"/>
        </w:rPr>
        <w:t> </w:t>
      </w:r>
      <w:r>
        <w:rPr>
          <w:spacing w:val="-4"/>
        </w:rPr>
        <w:t>时止。</w:t>
      </w:r>
    </w:p>
    <w:p>
      <w:pPr>
        <w:pStyle w:val="Heading2"/>
        <w:numPr>
          <w:ilvl w:val="1"/>
          <w:numId w:val="2"/>
        </w:numPr>
        <w:tabs>
          <w:tab w:pos="594" w:val="left" w:leader="none"/>
        </w:tabs>
        <w:spacing w:line="240" w:lineRule="auto" w:before="86" w:after="0"/>
        <w:ind w:left="593" w:right="0" w:hanging="482"/>
        <w:jc w:val="left"/>
      </w:pPr>
      <w:bookmarkStart w:name="_bookmark4" w:id="8"/>
      <w:bookmarkEnd w:id="8"/>
      <w:r>
        <w:rPr>
          <w:b w:val="0"/>
        </w:rPr>
      </w:r>
      <w:bookmarkStart w:name="_bookmark4" w:id="9"/>
      <w:bookmarkEnd w:id="9"/>
      <w:r>
        <w:rPr>
          <w:w w:val="95"/>
        </w:rPr>
        <w:t>保</w:t>
      </w:r>
      <w:r>
        <w:rPr>
          <w:w w:val="95"/>
        </w:rPr>
        <w:t>险</w:t>
      </w:r>
      <w:r>
        <w:rPr>
          <w:w w:val="95"/>
        </w:rPr>
        <w:t>责</w:t>
      </w:r>
      <w:r>
        <w:rPr>
          <w:w w:val="95"/>
        </w:rPr>
        <w:t>任</w:t>
      </w:r>
      <w:r>
        <w:rPr>
          <w:w w:val="95"/>
        </w:rPr>
        <w:t>的</w:t>
      </w:r>
      <w:r>
        <w:rPr>
          <w:w w:val="95"/>
        </w:rPr>
        <w:t>开</w:t>
      </w:r>
      <w:r>
        <w:rPr>
          <w:w w:val="95"/>
        </w:rPr>
        <w:t>始</w:t>
      </w:r>
      <w:r>
        <w:rPr>
          <w:w w:val="95"/>
        </w:rPr>
        <w:t>和</w:t>
      </w:r>
      <w:r>
        <w:rPr>
          <w:w w:val="95"/>
        </w:rPr>
        <w:t>终</w:t>
      </w:r>
      <w:r>
        <w:rPr>
          <w:spacing w:val="-10"/>
          <w:w w:val="95"/>
        </w:rPr>
        <w:t>止</w:t>
      </w:r>
    </w:p>
    <w:p>
      <w:pPr>
        <w:pStyle w:val="BodyText"/>
        <w:spacing w:before="38"/>
        <w:ind w:left="533"/>
      </w:pPr>
      <w:r>
        <w:rPr>
          <w:spacing w:val="-3"/>
        </w:rPr>
        <w:t>一、保险责任的开始</w:t>
      </w:r>
    </w:p>
    <w:p>
      <w:pPr>
        <w:pStyle w:val="BodyText"/>
        <w:spacing w:before="74"/>
        <w:ind w:left="533"/>
      </w:pPr>
      <w:r>
        <w:rPr>
          <w:spacing w:val="-3"/>
        </w:rPr>
        <w:t>您完成投保申请后，经我们审核同意，本合同成立。</w:t>
      </w:r>
    </w:p>
    <w:p>
      <w:pPr>
        <w:pStyle w:val="BodyText"/>
        <w:spacing w:line="278" w:lineRule="auto"/>
        <w:ind w:right="328" w:firstLine="420"/>
      </w:pPr>
      <w:r>
        <w:rPr>
          <w:spacing w:val="-2"/>
        </w:rPr>
        <w:t>除另有约定外，自本合同成立、我们收取首期</w:t>
      </w:r>
      <w:r>
        <w:rPr>
          <w:b/>
          <w:spacing w:val="-2"/>
        </w:rPr>
        <w:t>保险费</w:t>
      </w:r>
      <w:r>
        <w:rPr>
          <w:spacing w:val="-2"/>
        </w:rPr>
        <w:t>并签发保险单后，本合同生效，具体的生效日期</w:t>
      </w:r>
      <w:r>
        <w:rPr>
          <w:spacing w:val="-2"/>
        </w:rPr>
        <w:t>在保险单中载明。我们自本合同生效日次日零时起开始承担保险责任。</w:t>
      </w:r>
    </w:p>
    <w:p>
      <w:pPr>
        <w:pStyle w:val="BodyText"/>
        <w:spacing w:line="269" w:lineRule="exact" w:before="0"/>
        <w:ind w:left="533"/>
      </w:pPr>
      <w:r>
        <w:rPr>
          <w:spacing w:val="-3"/>
        </w:rPr>
        <w:t>二、保险责任的终止</w:t>
      </w:r>
    </w:p>
    <w:p>
      <w:pPr>
        <w:pStyle w:val="BodyText"/>
        <w:spacing w:before="72"/>
        <w:ind w:left="533"/>
      </w:pPr>
      <w:r>
        <w:rPr>
          <w:spacing w:val="-3"/>
        </w:rPr>
        <w:t>发生下列情况之一时，保险责任自动终止：</w:t>
      </w:r>
    </w:p>
    <w:p>
      <w:pPr>
        <w:pStyle w:val="ListParagraph"/>
        <w:numPr>
          <w:ilvl w:val="2"/>
          <w:numId w:val="2"/>
        </w:numPr>
        <w:tabs>
          <w:tab w:pos="1063" w:val="left" w:leader="none"/>
        </w:tabs>
        <w:spacing w:line="240" w:lineRule="auto" w:before="74" w:after="0"/>
        <w:ind w:left="1062" w:right="0" w:hanging="530"/>
        <w:jc w:val="left"/>
        <w:rPr>
          <w:sz w:val="21"/>
        </w:rPr>
      </w:pPr>
      <w:r>
        <w:rPr>
          <w:spacing w:val="-3"/>
          <w:sz w:val="21"/>
        </w:rPr>
        <w:t>本合同的保险期间届满；</w:t>
      </w:r>
    </w:p>
    <w:p>
      <w:pPr>
        <w:pStyle w:val="ListParagraph"/>
        <w:numPr>
          <w:ilvl w:val="2"/>
          <w:numId w:val="2"/>
        </w:numPr>
        <w:tabs>
          <w:tab w:pos="1063" w:val="left" w:leader="none"/>
        </w:tabs>
        <w:spacing w:line="240" w:lineRule="auto" w:before="43" w:after="0"/>
        <w:ind w:left="1062" w:right="0" w:hanging="530"/>
        <w:jc w:val="left"/>
        <w:rPr>
          <w:sz w:val="21"/>
        </w:rPr>
      </w:pPr>
      <w:r>
        <w:rPr>
          <w:spacing w:val="-4"/>
          <w:sz w:val="21"/>
        </w:rPr>
        <w:t>被保险人身故；</w:t>
      </w:r>
    </w:p>
    <w:p>
      <w:pPr>
        <w:pStyle w:val="ListParagraph"/>
        <w:numPr>
          <w:ilvl w:val="2"/>
          <w:numId w:val="2"/>
        </w:numPr>
        <w:tabs>
          <w:tab w:pos="1063" w:val="left" w:leader="none"/>
        </w:tabs>
        <w:spacing w:line="240" w:lineRule="auto" w:before="43" w:after="0"/>
        <w:ind w:left="1062" w:right="0" w:hanging="530"/>
        <w:jc w:val="left"/>
        <w:rPr>
          <w:sz w:val="21"/>
        </w:rPr>
      </w:pPr>
      <w:r>
        <w:rPr>
          <w:spacing w:val="-3"/>
          <w:sz w:val="21"/>
        </w:rPr>
        <w:t>本合同效力依据合同的有关规定中止，未在中止期间内恢复效力的；</w:t>
      </w:r>
    </w:p>
    <w:p>
      <w:pPr>
        <w:pStyle w:val="ListParagraph"/>
        <w:numPr>
          <w:ilvl w:val="2"/>
          <w:numId w:val="2"/>
        </w:numPr>
        <w:tabs>
          <w:tab w:pos="1063" w:val="left" w:leader="none"/>
        </w:tabs>
        <w:spacing w:line="240" w:lineRule="auto" w:before="43" w:after="0"/>
        <w:ind w:left="1062" w:right="0" w:hanging="530"/>
        <w:jc w:val="left"/>
        <w:rPr>
          <w:sz w:val="21"/>
        </w:rPr>
      </w:pPr>
      <w:r>
        <w:rPr>
          <w:spacing w:val="-3"/>
          <w:sz w:val="21"/>
        </w:rPr>
        <w:t>本合同其他条款约定的合同或保险责任终止的情形。</w:t>
      </w:r>
    </w:p>
    <w:p>
      <w:pPr>
        <w:pStyle w:val="Heading2"/>
        <w:numPr>
          <w:ilvl w:val="1"/>
          <w:numId w:val="2"/>
        </w:numPr>
        <w:tabs>
          <w:tab w:pos="594" w:val="left" w:leader="none"/>
        </w:tabs>
        <w:spacing w:line="240" w:lineRule="auto" w:before="85" w:after="0"/>
        <w:ind w:left="593" w:right="0" w:hanging="482"/>
        <w:jc w:val="left"/>
      </w:pPr>
      <w:bookmarkStart w:name="_bookmark5" w:id="10"/>
      <w:bookmarkEnd w:id="10"/>
      <w:r>
        <w:rPr>
          <w:b w:val="0"/>
        </w:rPr>
      </w:r>
      <w:bookmarkStart w:name="_bookmark5" w:id="11"/>
      <w:bookmarkEnd w:id="11"/>
      <w:r>
        <w:rPr>
          <w:w w:val="95"/>
        </w:rPr>
        <w:t>犹</w:t>
      </w:r>
      <w:r>
        <w:rPr>
          <w:w w:val="95"/>
        </w:rPr>
        <w:t>豫</w:t>
      </w:r>
      <w:r>
        <w:rPr>
          <w:spacing w:val="-10"/>
          <w:w w:val="95"/>
        </w:rPr>
        <w:t>期</w:t>
      </w:r>
    </w:p>
    <w:p>
      <w:pPr>
        <w:pStyle w:val="BodyText"/>
        <w:spacing w:before="38"/>
        <w:ind w:left="533"/>
        <w:jc w:val="both"/>
      </w:pPr>
      <w:r>
        <w:rPr>
          <w:spacing w:val="-7"/>
        </w:rPr>
        <w:t>本合同生效后，自您收到保险单的次日零时起，您享有 </w:t>
      </w:r>
      <w:r>
        <w:rPr>
          <w:rFonts w:ascii="Times New Roman" w:eastAsia="Times New Roman"/>
          <w:spacing w:val="-6"/>
        </w:rPr>
        <w:t>15</w:t>
      </w:r>
      <w:r>
        <w:rPr>
          <w:rFonts w:ascii="Times New Roman" w:eastAsia="Times New Roman"/>
          <w:spacing w:val="40"/>
        </w:rPr>
        <w:t> </w:t>
      </w:r>
      <w:r>
        <w:rPr>
          <w:spacing w:val="-7"/>
        </w:rPr>
        <w:t>日的犹豫期，以便您在此期间阅读本合同。</w:t>
      </w:r>
    </w:p>
    <w:p>
      <w:pPr>
        <w:spacing w:line="259" w:lineRule="auto" w:before="43"/>
        <w:ind w:left="112" w:right="326" w:firstLine="0"/>
        <w:jc w:val="both"/>
        <w:rPr>
          <w:sz w:val="21"/>
        </w:rPr>
      </w:pPr>
      <w:r>
        <w:rPr>
          <w:spacing w:val="-2"/>
          <w:sz w:val="21"/>
        </w:rPr>
        <w:t>如果您认为本合同不符合您的需要，您可在该 </w:t>
      </w:r>
      <w:r>
        <w:rPr>
          <w:rFonts w:ascii="Times New Roman" w:eastAsia="Times New Roman"/>
          <w:sz w:val="21"/>
        </w:rPr>
        <w:t>15</w:t>
      </w:r>
      <w:r>
        <w:rPr>
          <w:rFonts w:ascii="Times New Roman" w:eastAsia="Times New Roman"/>
          <w:spacing w:val="28"/>
          <w:sz w:val="21"/>
        </w:rPr>
        <w:t> </w:t>
      </w:r>
      <w:r>
        <w:rPr>
          <w:sz w:val="21"/>
        </w:rPr>
        <w:t>日的犹豫期内要求解除本合同。您需填写解除合同申请</w:t>
      </w:r>
      <w:r>
        <w:rPr>
          <w:spacing w:val="-2"/>
          <w:sz w:val="21"/>
        </w:rPr>
        <w:t>书，并连同保险合同、您的</w:t>
      </w:r>
      <w:r>
        <w:rPr>
          <w:b/>
          <w:spacing w:val="-2"/>
          <w:sz w:val="21"/>
        </w:rPr>
        <w:t>有效身份证件</w:t>
      </w:r>
      <w:r>
        <w:rPr>
          <w:spacing w:val="-2"/>
          <w:sz w:val="21"/>
        </w:rPr>
        <w:t>，以及您所能提供的其他与解除合同有关的材料，一起在该犹豫</w:t>
      </w:r>
      <w:r>
        <w:rPr>
          <w:spacing w:val="-2"/>
          <w:sz w:val="21"/>
        </w:rPr>
        <w:t>期内送达给我们。</w:t>
      </w:r>
      <w:r>
        <w:rPr>
          <w:rFonts w:ascii="黑体" w:eastAsia="黑体"/>
          <w:spacing w:val="-2"/>
          <w:sz w:val="24"/>
        </w:rPr>
        <w:t>自您向我们书面申请解除合同之日起，本合同即被解除，我们自始不承担保</w:t>
      </w:r>
      <w:r>
        <w:rPr>
          <w:rFonts w:ascii="黑体" w:eastAsia="黑体"/>
          <w:sz w:val="24"/>
        </w:rPr>
        <w:t>险责任。</w:t>
      </w:r>
      <w:r>
        <w:rPr>
          <w:spacing w:val="-1"/>
          <w:sz w:val="21"/>
        </w:rPr>
        <w:t>我们将无息退还您已交的全部保险费，但将扣除不超过人民币 </w:t>
      </w:r>
      <w:r>
        <w:rPr>
          <w:rFonts w:ascii="Times New Roman" w:eastAsia="Times New Roman"/>
          <w:sz w:val="21"/>
        </w:rPr>
        <w:t>10 </w:t>
      </w:r>
      <w:r>
        <w:rPr>
          <w:sz w:val="21"/>
        </w:rPr>
        <w:t>元的工本费。</w:t>
      </w:r>
    </w:p>
    <w:p>
      <w:pPr>
        <w:pStyle w:val="Heading2"/>
        <w:numPr>
          <w:ilvl w:val="1"/>
          <w:numId w:val="2"/>
        </w:numPr>
        <w:tabs>
          <w:tab w:pos="594" w:val="left" w:leader="none"/>
        </w:tabs>
        <w:spacing w:line="240" w:lineRule="auto" w:before="46" w:after="0"/>
        <w:ind w:left="593" w:right="0" w:hanging="482"/>
        <w:jc w:val="left"/>
      </w:pPr>
      <w:bookmarkStart w:name="_bookmark6" w:id="12"/>
      <w:bookmarkEnd w:id="12"/>
      <w:r>
        <w:rPr>
          <w:b w:val="0"/>
        </w:rPr>
      </w:r>
      <w:bookmarkStart w:name="_bookmark6" w:id="13"/>
      <w:bookmarkEnd w:id="13"/>
      <w:r>
        <w:rPr>
          <w:w w:val="95"/>
        </w:rPr>
        <w:t>明</w:t>
      </w:r>
      <w:r>
        <w:rPr>
          <w:w w:val="95"/>
        </w:rPr>
        <w:t>确</w:t>
      </w:r>
      <w:r>
        <w:rPr>
          <w:w w:val="95"/>
        </w:rPr>
        <w:t>说</w:t>
      </w:r>
      <w:r>
        <w:rPr>
          <w:w w:val="95"/>
        </w:rPr>
        <w:t>明</w:t>
      </w:r>
      <w:r>
        <w:rPr>
          <w:w w:val="95"/>
        </w:rPr>
        <w:t>与</w:t>
      </w:r>
      <w:r>
        <w:rPr>
          <w:w w:val="95"/>
        </w:rPr>
        <w:t>如</w:t>
      </w:r>
      <w:r>
        <w:rPr>
          <w:w w:val="95"/>
        </w:rPr>
        <w:t>实</w:t>
      </w:r>
      <w:r>
        <w:rPr>
          <w:w w:val="95"/>
        </w:rPr>
        <w:t>告</w:t>
      </w:r>
      <w:r>
        <w:rPr>
          <w:spacing w:val="-10"/>
          <w:w w:val="95"/>
        </w:rPr>
        <w:t>知</w:t>
      </w:r>
    </w:p>
    <w:p>
      <w:pPr>
        <w:pStyle w:val="BodyText"/>
        <w:spacing w:line="278" w:lineRule="auto" w:before="35"/>
        <w:ind w:right="326" w:firstLine="420"/>
        <w:jc w:val="both"/>
      </w:pPr>
      <w:r>
        <w:rPr>
          <w:spacing w:val="-2"/>
        </w:rPr>
        <w:t>在订立本合同时，我们应向您说明合同的内容。对本条款中免除我们责任的条款，我们在订立合同时</w:t>
      </w:r>
      <w:r>
        <w:rPr>
          <w:spacing w:val="-2"/>
        </w:rPr>
        <w:t>应当在投保文件、保险单或者其他保险凭证上作出足以引起您注意的提示，并对该条款的内容以书面或者</w:t>
      </w:r>
      <w:r>
        <w:rPr>
          <w:spacing w:val="-2"/>
        </w:rPr>
        <w:t>口头形式向您作出明确说明，未作提示或者明确说明的，该条款不产生效力。</w:t>
      </w:r>
    </w:p>
    <w:p>
      <w:pPr>
        <w:spacing w:line="284" w:lineRule="exact" w:before="0"/>
        <w:ind w:left="533" w:right="0" w:firstLine="0"/>
        <w:jc w:val="left"/>
        <w:rPr>
          <w:rFonts w:ascii="黑体" w:eastAsia="黑体"/>
          <w:sz w:val="24"/>
        </w:rPr>
      </w:pPr>
      <w:r>
        <w:rPr>
          <w:spacing w:val="-9"/>
          <w:sz w:val="21"/>
        </w:rPr>
        <w:t>我们可以口头或书面询问您和被保险人的有关情况，您有义务如实告知。</w:t>
      </w:r>
      <w:r>
        <w:rPr>
          <w:rFonts w:ascii="黑体" w:eastAsia="黑体"/>
          <w:spacing w:val="-3"/>
          <w:sz w:val="24"/>
        </w:rPr>
        <w:t>您故意或因重大过失未履</w:t>
      </w:r>
    </w:p>
    <w:p>
      <w:pPr>
        <w:spacing w:line="242" w:lineRule="auto" w:before="5"/>
        <w:ind w:left="112" w:right="328" w:firstLine="0"/>
        <w:jc w:val="both"/>
        <w:rPr>
          <w:rFonts w:ascii="黑体" w:eastAsia="黑体"/>
          <w:sz w:val="24"/>
        </w:rPr>
      </w:pPr>
      <w:r>
        <w:rPr>
          <w:rFonts w:ascii="黑体" w:eastAsia="黑体"/>
          <w:spacing w:val="-2"/>
          <w:sz w:val="24"/>
        </w:rPr>
        <w:t>行如实告知义务，足以影响我们决定是否同意承保或者提高保险费率的，我们有权解除本合</w:t>
      </w:r>
      <w:r>
        <w:rPr>
          <w:rFonts w:ascii="黑体" w:eastAsia="黑体"/>
          <w:spacing w:val="-2"/>
          <w:sz w:val="24"/>
        </w:rPr>
        <w:t>同。您故意不履行如实告知义务的，对本合同解除前发生的</w:t>
      </w:r>
      <w:r>
        <w:rPr>
          <w:rFonts w:ascii="黑体" w:eastAsia="黑体" w:hint="eastAsia"/>
          <w:b/>
          <w:spacing w:val="-2"/>
          <w:sz w:val="24"/>
        </w:rPr>
        <w:t>保</w:t>
      </w:r>
      <w:r>
        <w:rPr>
          <w:rFonts w:ascii="黑体" w:eastAsia="黑体" w:hint="eastAsia"/>
          <w:b/>
          <w:spacing w:val="-2"/>
          <w:sz w:val="24"/>
        </w:rPr>
        <w:t>险</w:t>
      </w:r>
      <w:r>
        <w:rPr>
          <w:rFonts w:ascii="黑体" w:eastAsia="黑体" w:hint="eastAsia"/>
          <w:b/>
          <w:spacing w:val="-2"/>
          <w:sz w:val="24"/>
        </w:rPr>
        <w:t>事</w:t>
      </w:r>
      <w:r>
        <w:rPr>
          <w:rFonts w:ascii="黑体" w:eastAsia="黑体" w:hint="eastAsia"/>
          <w:b/>
          <w:spacing w:val="-2"/>
          <w:sz w:val="24"/>
        </w:rPr>
        <w:t>故</w:t>
      </w:r>
      <w:r>
        <w:rPr>
          <w:spacing w:val="-2"/>
          <w:sz w:val="21"/>
        </w:rPr>
        <w:t>，</w:t>
      </w:r>
      <w:r>
        <w:rPr>
          <w:rFonts w:ascii="黑体" w:eastAsia="黑体"/>
          <w:spacing w:val="-2"/>
          <w:sz w:val="24"/>
        </w:rPr>
        <w:t>我们不承担给付</w:t>
      </w:r>
      <w:r>
        <w:rPr>
          <w:rFonts w:ascii="黑体" w:eastAsia="黑体" w:hint="eastAsia"/>
          <w:b/>
          <w:spacing w:val="-2"/>
          <w:sz w:val="24"/>
        </w:rPr>
        <w:t>保</w:t>
      </w:r>
      <w:r>
        <w:rPr>
          <w:rFonts w:ascii="黑体" w:eastAsia="黑体" w:hint="eastAsia"/>
          <w:b/>
          <w:spacing w:val="-2"/>
          <w:sz w:val="24"/>
        </w:rPr>
        <w:t>险</w:t>
      </w:r>
      <w:r>
        <w:rPr>
          <w:rFonts w:ascii="黑体" w:eastAsia="黑体" w:hint="eastAsia"/>
          <w:b/>
          <w:spacing w:val="-2"/>
          <w:sz w:val="24"/>
        </w:rPr>
        <w:t>金</w:t>
      </w:r>
      <w:r>
        <w:rPr>
          <w:rFonts w:ascii="黑体" w:eastAsia="黑体"/>
          <w:spacing w:val="-2"/>
          <w:sz w:val="24"/>
        </w:rPr>
        <w:t>的责任，并不退还保险费。您因重大过失未履行如实告知义务的，对保险事故的发生有严</w:t>
      </w:r>
      <w:r>
        <w:rPr>
          <w:rFonts w:ascii="黑体" w:eastAsia="黑体"/>
          <w:spacing w:val="-2"/>
          <w:sz w:val="24"/>
        </w:rPr>
        <w:t>重影响的，对本合同解除前发生的保险事故，我们不承担给付保险金的责任，但将退还保险</w:t>
      </w:r>
      <w:r>
        <w:rPr>
          <w:rFonts w:ascii="黑体" w:eastAsia="黑体"/>
          <w:spacing w:val="-6"/>
          <w:sz w:val="24"/>
        </w:rPr>
        <w:t>费。</w:t>
      </w:r>
    </w:p>
    <w:p>
      <w:pPr>
        <w:pStyle w:val="BodyText"/>
        <w:spacing w:before="30"/>
        <w:ind w:left="533"/>
        <w:jc w:val="both"/>
      </w:pPr>
      <w:r>
        <w:rPr>
          <w:spacing w:val="-7"/>
        </w:rPr>
        <w:t>上述合同解除权，自我们知道有解除事由之日起，超过 </w:t>
      </w:r>
      <w:r>
        <w:rPr>
          <w:rFonts w:ascii="Times New Roman" w:eastAsia="Times New Roman"/>
          <w:spacing w:val="-6"/>
        </w:rPr>
        <w:t>30</w:t>
      </w:r>
      <w:r>
        <w:rPr>
          <w:rFonts w:ascii="Times New Roman" w:eastAsia="Times New Roman"/>
          <w:spacing w:val="38"/>
        </w:rPr>
        <w:t> </w:t>
      </w:r>
      <w:r>
        <w:rPr>
          <w:spacing w:val="-7"/>
        </w:rPr>
        <w:t>日不行使而消灭。自本合同成立之日起超过</w:t>
      </w:r>
    </w:p>
    <w:p>
      <w:pPr>
        <w:pStyle w:val="BodyText"/>
        <w:jc w:val="both"/>
      </w:pPr>
      <w:r>
        <w:rPr>
          <w:rFonts w:ascii="Times New Roman" w:eastAsia="Times New Roman"/>
          <w:spacing w:val="-2"/>
        </w:rPr>
        <w:t>2</w:t>
      </w:r>
      <w:r>
        <w:rPr>
          <w:rFonts w:ascii="Times New Roman" w:eastAsia="Times New Roman"/>
          <w:spacing w:val="20"/>
        </w:rPr>
        <w:t> </w:t>
      </w:r>
      <w:r>
        <w:rPr>
          <w:spacing w:val="-3"/>
        </w:rPr>
        <w:t>年的，我们不得解除合同；发生保险事故的，我们承担给付保险金的责任。</w:t>
      </w:r>
    </w:p>
    <w:p>
      <w:pPr>
        <w:spacing w:after="0"/>
        <w:jc w:val="both"/>
        <w:sectPr>
          <w:pgSz w:w="11910" w:h="16840"/>
          <w:pgMar w:header="0" w:footer="908" w:top="1140" w:bottom="1100" w:left="1020" w:right="800"/>
        </w:sectPr>
      </w:pPr>
    </w:p>
    <w:p>
      <w:pPr>
        <w:pStyle w:val="BodyText"/>
        <w:spacing w:line="278" w:lineRule="auto" w:before="57"/>
        <w:ind w:right="326" w:firstLine="420"/>
      </w:pPr>
      <w:r>
        <w:rPr>
          <w:spacing w:val="-2"/>
        </w:rPr>
        <w:t>我们在合同订立时已经知道您未如实告知的情况的，我们不得解除合同；发生保险事故的，我们承担</w:t>
      </w:r>
      <w:r>
        <w:rPr>
          <w:spacing w:val="-2"/>
        </w:rPr>
        <w:t>给付保险金的责任。</w:t>
      </w:r>
    </w:p>
    <w:p>
      <w:pPr>
        <w:pStyle w:val="Heading1"/>
        <w:numPr>
          <w:ilvl w:val="0"/>
          <w:numId w:val="2"/>
        </w:numPr>
        <w:tabs>
          <w:tab w:pos="594" w:val="left" w:leader="none"/>
        </w:tabs>
        <w:spacing w:line="240" w:lineRule="auto" w:before="56" w:after="0"/>
        <w:ind w:left="593" w:right="0" w:hanging="482"/>
        <w:jc w:val="left"/>
      </w:pPr>
      <w:bookmarkStart w:name="_bookmark7" w:id="14"/>
      <w:bookmarkEnd w:id="14"/>
      <w:r>
        <w:rPr/>
      </w:r>
      <w:bookmarkStart w:name="_bookmark7" w:id="15"/>
      <w:bookmarkEnd w:id="15"/>
      <w:r>
        <w:rPr>
          <w:spacing w:val="-1"/>
        </w:rPr>
        <w:t>合同项下的保障和利益</w:t>
      </w:r>
    </w:p>
    <w:p>
      <w:pPr>
        <w:pStyle w:val="Heading2"/>
        <w:numPr>
          <w:ilvl w:val="1"/>
          <w:numId w:val="2"/>
        </w:numPr>
        <w:tabs>
          <w:tab w:pos="594" w:val="left" w:leader="none"/>
        </w:tabs>
        <w:spacing w:line="240" w:lineRule="auto" w:before="147" w:after="0"/>
        <w:ind w:left="593" w:right="0" w:hanging="482"/>
        <w:jc w:val="left"/>
      </w:pPr>
      <w:bookmarkStart w:name="_bookmark8" w:id="16"/>
      <w:bookmarkEnd w:id="16"/>
      <w:r>
        <w:rPr>
          <w:b w:val="0"/>
        </w:rPr>
      </w:r>
      <w:bookmarkStart w:name="_bookmark8" w:id="17"/>
      <w:bookmarkEnd w:id="17"/>
      <w:r>
        <w:rPr>
          <w:w w:val="95"/>
        </w:rPr>
        <w:t>基</w:t>
      </w:r>
      <w:r>
        <w:rPr>
          <w:w w:val="95"/>
        </w:rPr>
        <w:t>本</w:t>
      </w:r>
      <w:r>
        <w:rPr>
          <w:w w:val="95"/>
        </w:rPr>
        <w:t>保</w:t>
      </w:r>
      <w:r>
        <w:rPr>
          <w:w w:val="95"/>
        </w:rPr>
        <w:t>险</w:t>
      </w:r>
      <w:r>
        <w:rPr>
          <w:w w:val="95"/>
        </w:rPr>
        <w:t>金</w:t>
      </w:r>
      <w:r>
        <w:rPr>
          <w:spacing w:val="-10"/>
          <w:w w:val="95"/>
        </w:rPr>
        <w:t>额</w:t>
      </w:r>
    </w:p>
    <w:p>
      <w:pPr>
        <w:pStyle w:val="BodyText"/>
        <w:spacing w:before="38"/>
        <w:ind w:left="533"/>
      </w:pPr>
      <w:r>
        <w:rPr>
          <w:spacing w:val="-3"/>
        </w:rPr>
        <w:t>基本保险金额由您与我们约定，并在保险单中载明。</w:t>
      </w:r>
    </w:p>
    <w:p>
      <w:pPr>
        <w:pStyle w:val="Heading2"/>
        <w:numPr>
          <w:ilvl w:val="1"/>
          <w:numId w:val="2"/>
        </w:numPr>
        <w:tabs>
          <w:tab w:pos="594" w:val="left" w:leader="none"/>
        </w:tabs>
        <w:spacing w:line="240" w:lineRule="auto" w:before="86" w:after="0"/>
        <w:ind w:left="593" w:right="0" w:hanging="482"/>
        <w:jc w:val="left"/>
      </w:pPr>
      <w:bookmarkStart w:name="_bookmark9" w:id="18"/>
      <w:bookmarkEnd w:id="18"/>
      <w:r>
        <w:rPr>
          <w:b w:val="0"/>
        </w:rPr>
      </w:r>
      <w:bookmarkStart w:name="_bookmark9" w:id="19"/>
      <w:bookmarkEnd w:id="19"/>
      <w:r>
        <w:rPr>
          <w:w w:val="95"/>
        </w:rPr>
        <w:t>我</w:t>
      </w:r>
      <w:r>
        <w:rPr>
          <w:w w:val="95"/>
        </w:rPr>
        <w:t>们</w:t>
      </w:r>
      <w:r>
        <w:rPr>
          <w:w w:val="95"/>
        </w:rPr>
        <w:t>提</w:t>
      </w:r>
      <w:r>
        <w:rPr>
          <w:w w:val="95"/>
        </w:rPr>
        <w:t>供</w:t>
      </w:r>
      <w:r>
        <w:rPr>
          <w:w w:val="95"/>
        </w:rPr>
        <w:t>的</w:t>
      </w:r>
      <w:r>
        <w:rPr>
          <w:w w:val="95"/>
        </w:rPr>
        <w:t>保</w:t>
      </w:r>
      <w:r>
        <w:rPr>
          <w:spacing w:val="-10"/>
          <w:w w:val="95"/>
        </w:rPr>
        <w:t>障</w:t>
      </w:r>
    </w:p>
    <w:p>
      <w:pPr>
        <w:pStyle w:val="BodyText"/>
        <w:spacing w:before="38"/>
        <w:ind w:left="533"/>
        <w:rPr>
          <w:rFonts w:ascii="Times New Roman" w:eastAsia="Times New Roman"/>
        </w:rPr>
      </w:pPr>
      <w:r>
        <w:rPr>
          <w:spacing w:val="-6"/>
        </w:rPr>
        <w:t>在保险期间内，我们承担下列保险责任，在合同履行中发生合同效力中止情形的，则按照本条款第 </w:t>
      </w:r>
      <w:r>
        <w:rPr>
          <w:rFonts w:ascii="Times New Roman" w:eastAsia="Times New Roman"/>
          <w:spacing w:val="-6"/>
        </w:rPr>
        <w:t>3.3</w:t>
      </w:r>
    </w:p>
    <w:p>
      <w:pPr>
        <w:pStyle w:val="BodyText"/>
        <w:spacing w:before="42"/>
      </w:pPr>
      <w:r>
        <w:rPr>
          <w:spacing w:val="-4"/>
        </w:rPr>
        <w:t>款的约定执行：</w:t>
      </w:r>
    </w:p>
    <w:p>
      <w:pPr>
        <w:pStyle w:val="BodyText"/>
        <w:ind w:left="533"/>
      </w:pPr>
      <w:r>
        <w:rPr>
          <w:spacing w:val="-4"/>
        </w:rPr>
        <w:t>一、大学教育金</w:t>
      </w:r>
    </w:p>
    <w:p>
      <w:pPr>
        <w:pStyle w:val="BodyText"/>
        <w:spacing w:line="278" w:lineRule="auto"/>
        <w:ind w:right="328" w:firstLine="420"/>
      </w:pPr>
      <w:r>
        <w:rPr>
          <w:spacing w:val="-7"/>
        </w:rPr>
        <w:t>在被保险人年满 </w:t>
      </w:r>
      <w:r>
        <w:rPr>
          <w:rFonts w:ascii="Times New Roman" w:eastAsia="Times New Roman"/>
        </w:rPr>
        <w:t>18</w:t>
      </w:r>
      <w:r>
        <w:rPr/>
        <w:t>、</w:t>
      </w:r>
      <w:r>
        <w:rPr>
          <w:rFonts w:ascii="Times New Roman" w:eastAsia="Times New Roman"/>
        </w:rPr>
        <w:t>19</w:t>
      </w:r>
      <w:r>
        <w:rPr/>
        <w:t>、</w:t>
      </w:r>
      <w:r>
        <w:rPr>
          <w:rFonts w:ascii="Times New Roman" w:eastAsia="Times New Roman"/>
        </w:rPr>
        <w:t>20</w:t>
      </w:r>
      <w:r>
        <w:rPr>
          <w:rFonts w:ascii="Times New Roman" w:eastAsia="Times New Roman"/>
          <w:spacing w:val="-14"/>
        </w:rPr>
        <w:t> </w:t>
      </w:r>
      <w:r>
        <w:rPr>
          <w:spacing w:val="-27"/>
        </w:rPr>
        <w:t>和 </w:t>
      </w:r>
      <w:r>
        <w:rPr>
          <w:rFonts w:ascii="Times New Roman" w:eastAsia="Times New Roman"/>
        </w:rPr>
        <w:t>21</w:t>
      </w:r>
      <w:r>
        <w:rPr>
          <w:rFonts w:ascii="Times New Roman" w:eastAsia="Times New Roman"/>
          <w:spacing w:val="-13"/>
        </w:rPr>
        <w:t> </w:t>
      </w:r>
      <w:r>
        <w:rPr/>
        <w:t>周岁后的首个合同生效日对应日，若被保险人生存，我们按照本合</w:t>
      </w:r>
      <w:r>
        <w:rPr>
          <w:spacing w:val="-5"/>
        </w:rPr>
        <w:t>同已交付的保险费的 </w:t>
      </w:r>
      <w:r>
        <w:rPr>
          <w:rFonts w:ascii="Times New Roman" w:eastAsia="Times New Roman"/>
        </w:rPr>
        <w:t>15%</w:t>
      </w:r>
      <w:r>
        <w:rPr/>
        <w:t>给付大学教育金。</w:t>
      </w:r>
    </w:p>
    <w:p>
      <w:pPr>
        <w:pStyle w:val="BodyText"/>
        <w:spacing w:before="1"/>
        <w:ind w:left="533"/>
      </w:pPr>
      <w:r>
        <w:rPr>
          <w:spacing w:val="-4"/>
        </w:rPr>
        <w:t>二、大学毕业金</w:t>
      </w:r>
    </w:p>
    <w:p>
      <w:pPr>
        <w:pStyle w:val="BodyText"/>
        <w:spacing w:line="278" w:lineRule="auto"/>
        <w:ind w:right="326" w:firstLine="420"/>
      </w:pPr>
      <w:r>
        <w:rPr>
          <w:spacing w:val="-4"/>
        </w:rPr>
        <w:t>在被保险人年满 </w:t>
      </w:r>
      <w:r>
        <w:rPr>
          <w:rFonts w:ascii="Times New Roman" w:eastAsia="Times New Roman"/>
        </w:rPr>
        <w:t>22</w:t>
      </w:r>
      <w:r>
        <w:rPr>
          <w:rFonts w:ascii="Times New Roman" w:eastAsia="Times New Roman"/>
          <w:spacing w:val="29"/>
        </w:rPr>
        <w:t> </w:t>
      </w:r>
      <w:r>
        <w:rPr/>
        <w:t>周岁后的首个合同生效日对应日，若被保险人生存，我们按照本合同已交付的保</w:t>
      </w:r>
      <w:r>
        <w:rPr>
          <w:spacing w:val="-11"/>
        </w:rPr>
        <w:t>险费的 </w:t>
      </w:r>
      <w:r>
        <w:rPr>
          <w:rFonts w:ascii="Times New Roman" w:eastAsia="Times New Roman"/>
        </w:rPr>
        <w:t>20%</w:t>
      </w:r>
      <w:r>
        <w:rPr/>
        <w:t>给付大学毕业金。</w:t>
      </w:r>
    </w:p>
    <w:p>
      <w:pPr>
        <w:pStyle w:val="BodyText"/>
        <w:spacing w:line="269" w:lineRule="exact" w:before="0"/>
        <w:ind w:left="533"/>
      </w:pPr>
      <w:r>
        <w:rPr>
          <w:spacing w:val="-4"/>
        </w:rPr>
        <w:t>三、深造教育金</w:t>
      </w:r>
    </w:p>
    <w:p>
      <w:pPr>
        <w:pStyle w:val="BodyText"/>
        <w:spacing w:line="278" w:lineRule="auto"/>
        <w:ind w:right="326" w:firstLine="420"/>
      </w:pPr>
      <w:r>
        <w:rPr>
          <w:spacing w:val="-7"/>
        </w:rPr>
        <w:t>在被保险人年满 </w:t>
      </w:r>
      <w:r>
        <w:rPr>
          <w:rFonts w:ascii="Times New Roman" w:eastAsia="Times New Roman"/>
        </w:rPr>
        <w:t>23</w:t>
      </w:r>
      <w:r>
        <w:rPr>
          <w:rFonts w:ascii="Times New Roman" w:eastAsia="Times New Roman"/>
          <w:spacing w:val="-14"/>
        </w:rPr>
        <w:t> </w:t>
      </w:r>
      <w:r>
        <w:rPr>
          <w:spacing w:val="-27"/>
        </w:rPr>
        <w:t>和 </w:t>
      </w:r>
      <w:r>
        <w:rPr>
          <w:rFonts w:ascii="Times New Roman" w:eastAsia="Times New Roman"/>
        </w:rPr>
        <w:t>24</w:t>
      </w:r>
      <w:r>
        <w:rPr>
          <w:rFonts w:ascii="Times New Roman" w:eastAsia="Times New Roman"/>
          <w:spacing w:val="-13"/>
        </w:rPr>
        <w:t> </w:t>
      </w:r>
      <w:r>
        <w:rPr/>
        <w:t>周岁后的首个合同生效日对应日，若被保险人生存，我们按照本合同已交付</w:t>
      </w:r>
      <w:r>
        <w:rPr>
          <w:spacing w:val="-7"/>
        </w:rPr>
        <w:t>的保险费的 </w:t>
      </w:r>
      <w:r>
        <w:rPr>
          <w:rFonts w:ascii="Times New Roman" w:eastAsia="Times New Roman"/>
        </w:rPr>
        <w:t>15%</w:t>
      </w:r>
      <w:r>
        <w:rPr/>
        <w:t>给付深造教育金。</w:t>
      </w:r>
    </w:p>
    <w:p>
      <w:pPr>
        <w:pStyle w:val="BodyText"/>
        <w:spacing w:line="269" w:lineRule="exact" w:before="0"/>
        <w:ind w:left="533"/>
      </w:pPr>
      <w:r>
        <w:rPr>
          <w:spacing w:val="-4"/>
        </w:rPr>
        <w:t>四、身故保险金</w:t>
      </w:r>
    </w:p>
    <w:p>
      <w:pPr>
        <w:pStyle w:val="BodyText"/>
        <w:ind w:left="533"/>
      </w:pPr>
      <w:r>
        <w:rPr>
          <w:spacing w:val="-3"/>
        </w:rPr>
        <w:t>若被保险人身故，我们给付身故保险金，本合同终止。身故保险金等于以下两者中的金额较大者：</w:t>
      </w:r>
    </w:p>
    <w:p>
      <w:pPr>
        <w:pStyle w:val="ListParagraph"/>
        <w:numPr>
          <w:ilvl w:val="0"/>
          <w:numId w:val="3"/>
        </w:numPr>
        <w:tabs>
          <w:tab w:pos="1065" w:val="left" w:leader="none"/>
        </w:tabs>
        <w:spacing w:line="278" w:lineRule="auto" w:before="42" w:after="0"/>
        <w:ind w:left="112" w:right="332" w:firstLine="420"/>
        <w:jc w:val="left"/>
        <w:rPr>
          <w:sz w:val="21"/>
        </w:rPr>
      </w:pPr>
      <w:r>
        <w:rPr>
          <w:spacing w:val="-2"/>
          <w:sz w:val="21"/>
        </w:rPr>
        <w:t>被保险人身故时本合同已交付的保险费扣除累计已产生的大学教育金、大学毕业金和深造教育</w:t>
      </w:r>
      <w:r>
        <w:rPr>
          <w:spacing w:val="-2"/>
          <w:sz w:val="21"/>
        </w:rPr>
        <w:t>金后的余额；</w:t>
      </w:r>
    </w:p>
    <w:p>
      <w:pPr>
        <w:pStyle w:val="ListParagraph"/>
        <w:numPr>
          <w:ilvl w:val="0"/>
          <w:numId w:val="3"/>
        </w:numPr>
        <w:tabs>
          <w:tab w:pos="1063" w:val="left" w:leader="none"/>
        </w:tabs>
        <w:spacing w:line="278" w:lineRule="auto" w:before="1" w:after="0"/>
        <w:ind w:left="533" w:right="6293" w:firstLine="0"/>
        <w:jc w:val="left"/>
        <w:rPr>
          <w:sz w:val="21"/>
        </w:rPr>
      </w:pPr>
      <w:r>
        <w:rPr>
          <w:spacing w:val="-2"/>
          <w:sz w:val="21"/>
        </w:rPr>
        <w:t>被保险人身故时的现金价值。</w:t>
      </w:r>
      <w:r>
        <w:rPr>
          <w:spacing w:val="-2"/>
          <w:sz w:val="21"/>
        </w:rPr>
        <w:t>五、满期保险金</w:t>
      </w:r>
    </w:p>
    <w:p>
      <w:pPr>
        <w:pStyle w:val="BodyText"/>
        <w:spacing w:line="269" w:lineRule="exact" w:before="0"/>
        <w:ind w:left="533"/>
      </w:pPr>
      <w:r>
        <w:rPr>
          <w:spacing w:val="-1"/>
        </w:rPr>
        <w:t>若被保险人生存至保险期间届满日，我们按照本合同的基本保险金额给付满期保险金，本合同终止。</w:t>
      </w:r>
    </w:p>
    <w:p>
      <w:pPr>
        <w:pStyle w:val="Heading2"/>
        <w:numPr>
          <w:ilvl w:val="1"/>
          <w:numId w:val="2"/>
        </w:numPr>
        <w:tabs>
          <w:tab w:pos="594" w:val="left" w:leader="none"/>
        </w:tabs>
        <w:spacing w:line="240" w:lineRule="auto" w:before="85" w:after="0"/>
        <w:ind w:left="593" w:right="0" w:hanging="482"/>
        <w:jc w:val="left"/>
      </w:pPr>
      <w:bookmarkStart w:name="_bookmark10" w:id="20"/>
      <w:bookmarkEnd w:id="20"/>
      <w:r>
        <w:rPr>
          <w:b w:val="0"/>
        </w:rPr>
      </w:r>
      <w:bookmarkStart w:name="_bookmark10" w:id="21"/>
      <w:bookmarkEnd w:id="21"/>
      <w:r>
        <w:rPr>
          <w:w w:val="95"/>
        </w:rPr>
        <w:t>我</w:t>
      </w:r>
      <w:r>
        <w:rPr>
          <w:w w:val="95"/>
        </w:rPr>
        <w:t>们</w:t>
      </w:r>
      <w:r>
        <w:rPr>
          <w:w w:val="95"/>
        </w:rPr>
        <w:t>不</w:t>
      </w:r>
      <w:r>
        <w:rPr>
          <w:w w:val="95"/>
        </w:rPr>
        <w:t>承</w:t>
      </w:r>
      <w:r>
        <w:rPr>
          <w:w w:val="95"/>
        </w:rPr>
        <w:t>担</w:t>
      </w:r>
      <w:r>
        <w:rPr>
          <w:w w:val="95"/>
        </w:rPr>
        <w:t>的</w:t>
      </w:r>
      <w:r>
        <w:rPr>
          <w:w w:val="95"/>
        </w:rPr>
        <w:t>责</w:t>
      </w:r>
      <w:r>
        <w:rPr>
          <w:spacing w:val="-10"/>
          <w:w w:val="95"/>
        </w:rPr>
        <w:t>任</w:t>
      </w:r>
    </w:p>
    <w:p>
      <w:pPr>
        <w:spacing w:line="242" w:lineRule="auto" w:before="15"/>
        <w:ind w:left="533" w:right="1570" w:firstLine="60"/>
        <w:jc w:val="left"/>
        <w:rPr>
          <w:rFonts w:ascii="黑体" w:eastAsia="黑体"/>
          <w:sz w:val="24"/>
        </w:rPr>
      </w:pPr>
      <w:r>
        <w:rPr>
          <w:rFonts w:ascii="黑体" w:eastAsia="黑体"/>
          <w:spacing w:val="-2"/>
          <w:sz w:val="24"/>
        </w:rPr>
        <w:t>因下列情形之一导致被保险人身故的，我们不承担给付身故保险金的责任：</w:t>
      </w:r>
      <w:r>
        <w:rPr>
          <w:rFonts w:ascii="黑体" w:eastAsia="黑体"/>
          <w:spacing w:val="-2"/>
          <w:sz w:val="24"/>
        </w:rPr>
        <w:t>一、投保人对被保险人的故意杀害、故意伤害；</w:t>
      </w:r>
    </w:p>
    <w:p>
      <w:pPr>
        <w:spacing w:before="3"/>
        <w:ind w:left="533" w:right="0" w:firstLine="0"/>
        <w:jc w:val="left"/>
        <w:rPr>
          <w:rFonts w:ascii="黑体" w:eastAsia="黑体"/>
          <w:sz w:val="24"/>
        </w:rPr>
      </w:pPr>
      <w:r>
        <w:rPr>
          <w:rFonts w:ascii="黑体" w:eastAsia="黑体"/>
          <w:spacing w:val="-1"/>
          <w:sz w:val="24"/>
        </w:rPr>
        <w:t>二、被保险人故意犯罪或者抗拒依法采取的刑事强制措施；</w:t>
      </w:r>
    </w:p>
    <w:p>
      <w:pPr>
        <w:spacing w:line="242" w:lineRule="auto" w:before="33"/>
        <w:ind w:left="533" w:right="430" w:firstLine="0"/>
        <w:jc w:val="left"/>
        <w:rPr>
          <w:rFonts w:ascii="黑体" w:eastAsia="黑体"/>
          <w:sz w:val="24"/>
        </w:rPr>
      </w:pPr>
      <w:r>
        <w:rPr>
          <w:rFonts w:ascii="黑体" w:eastAsia="黑体"/>
          <w:spacing w:val="-4"/>
          <w:sz w:val="24"/>
        </w:rPr>
        <w:t>三、被保险人故意自伤、或自本合同成立或者合同效力恢复之日起 </w:t>
      </w:r>
      <w:r>
        <w:rPr>
          <w:rFonts w:ascii="黑体" w:eastAsia="黑体"/>
          <w:spacing w:val="-2"/>
          <w:sz w:val="24"/>
        </w:rPr>
        <w:t>2</w:t>
      </w:r>
      <w:r>
        <w:rPr>
          <w:rFonts w:ascii="黑体" w:eastAsia="黑体"/>
          <w:spacing w:val="-8"/>
          <w:sz w:val="24"/>
        </w:rPr>
        <w:t> 年内自杀，但被保</w:t>
      </w:r>
      <w:r>
        <w:rPr>
          <w:rFonts w:ascii="黑体" w:eastAsia="黑体"/>
          <w:spacing w:val="-2"/>
          <w:sz w:val="24"/>
        </w:rPr>
        <w:t>险人自杀时为无民事行为能力人的除外；</w:t>
      </w:r>
    </w:p>
    <w:p>
      <w:pPr>
        <w:spacing w:before="35"/>
        <w:ind w:left="533" w:right="0" w:firstLine="0"/>
        <w:jc w:val="left"/>
        <w:rPr>
          <w:rFonts w:ascii="黑体" w:eastAsia="黑体"/>
          <w:sz w:val="24"/>
        </w:rPr>
      </w:pPr>
      <w:r>
        <w:rPr>
          <w:rFonts w:ascii="黑体" w:eastAsia="黑体"/>
          <w:w w:val="95"/>
          <w:sz w:val="24"/>
        </w:rPr>
        <w:t>四、</w:t>
      </w:r>
      <w:r>
        <w:rPr>
          <w:rFonts w:ascii="黑体" w:eastAsia="黑体"/>
          <w:w w:val="95"/>
          <w:sz w:val="24"/>
        </w:rPr>
        <w:t>被</w:t>
      </w:r>
      <w:r>
        <w:rPr>
          <w:rFonts w:ascii="黑体" w:eastAsia="黑体"/>
          <w:w w:val="95"/>
          <w:sz w:val="24"/>
        </w:rPr>
        <w:t>保</w:t>
      </w:r>
      <w:r>
        <w:rPr>
          <w:rFonts w:ascii="黑体" w:eastAsia="黑体"/>
          <w:w w:val="95"/>
          <w:sz w:val="24"/>
        </w:rPr>
        <w:t>险</w:t>
      </w:r>
      <w:r>
        <w:rPr>
          <w:rFonts w:ascii="黑体" w:eastAsia="黑体"/>
          <w:w w:val="95"/>
          <w:sz w:val="24"/>
        </w:rPr>
        <w:t>人</w:t>
      </w:r>
      <w:r>
        <w:rPr>
          <w:rFonts w:ascii="黑体" w:eastAsia="黑体"/>
          <w:w w:val="95"/>
          <w:sz w:val="24"/>
        </w:rPr>
        <w:t>服</w:t>
      </w:r>
      <w:r>
        <w:rPr>
          <w:rFonts w:ascii="黑体" w:eastAsia="黑体"/>
          <w:w w:val="95"/>
          <w:sz w:val="24"/>
        </w:rPr>
        <w:t>用</w:t>
      </w:r>
      <w:r>
        <w:rPr>
          <w:rFonts w:ascii="黑体" w:eastAsia="黑体"/>
          <w:w w:val="95"/>
          <w:sz w:val="24"/>
        </w:rPr>
        <w:t>、</w:t>
      </w:r>
      <w:r>
        <w:rPr>
          <w:rFonts w:ascii="黑体" w:eastAsia="黑体"/>
          <w:w w:val="95"/>
          <w:sz w:val="24"/>
        </w:rPr>
        <w:t>吸</w:t>
      </w:r>
      <w:r>
        <w:rPr>
          <w:rFonts w:ascii="黑体" w:eastAsia="黑体"/>
          <w:w w:val="95"/>
          <w:sz w:val="24"/>
        </w:rPr>
        <w:t>食</w:t>
      </w:r>
      <w:r>
        <w:rPr>
          <w:rFonts w:ascii="黑体" w:eastAsia="黑体"/>
          <w:w w:val="95"/>
          <w:sz w:val="24"/>
        </w:rPr>
        <w:t>或</w:t>
      </w:r>
      <w:r>
        <w:rPr>
          <w:rFonts w:ascii="黑体" w:eastAsia="黑体"/>
          <w:w w:val="95"/>
          <w:sz w:val="24"/>
        </w:rPr>
        <w:t>注</w:t>
      </w:r>
      <w:r>
        <w:rPr>
          <w:rFonts w:ascii="黑体" w:eastAsia="黑体"/>
          <w:w w:val="95"/>
          <w:sz w:val="24"/>
        </w:rPr>
        <w:t>射</w:t>
      </w:r>
      <w:r>
        <w:rPr>
          <w:rFonts w:ascii="黑体" w:eastAsia="黑体" w:hint="eastAsia"/>
          <w:b/>
          <w:w w:val="95"/>
          <w:sz w:val="24"/>
        </w:rPr>
        <w:t>毒</w:t>
      </w:r>
      <w:r>
        <w:rPr>
          <w:rFonts w:ascii="黑体" w:eastAsia="黑体" w:hint="eastAsia"/>
          <w:b/>
          <w:w w:val="95"/>
          <w:sz w:val="24"/>
        </w:rPr>
        <w:t>品</w:t>
      </w:r>
      <w:r>
        <w:rPr>
          <w:rFonts w:ascii="黑体" w:eastAsia="黑体"/>
          <w:spacing w:val="-10"/>
          <w:w w:val="95"/>
          <w:sz w:val="24"/>
        </w:rPr>
        <w:t>；</w:t>
      </w:r>
    </w:p>
    <w:p>
      <w:pPr>
        <w:spacing w:line="268" w:lineRule="auto" w:before="33"/>
        <w:ind w:left="533" w:right="405" w:firstLine="0"/>
        <w:jc w:val="left"/>
        <w:rPr>
          <w:rFonts w:ascii="黑体" w:eastAsia="黑体"/>
          <w:sz w:val="24"/>
        </w:rPr>
      </w:pPr>
      <w:r>
        <w:rPr>
          <w:rFonts w:ascii="黑体" w:eastAsia="黑体"/>
          <w:spacing w:val="-2"/>
          <w:sz w:val="24"/>
        </w:rPr>
        <w:t>五、被保险人</w:t>
      </w:r>
      <w:r>
        <w:rPr>
          <w:rFonts w:ascii="黑体" w:eastAsia="黑体" w:hint="eastAsia"/>
          <w:b/>
          <w:spacing w:val="-2"/>
          <w:sz w:val="24"/>
        </w:rPr>
        <w:t>酒后驾驶</w:t>
      </w:r>
      <w:r>
        <w:rPr>
          <w:rFonts w:ascii="黑体" w:eastAsia="黑体"/>
          <w:spacing w:val="-2"/>
          <w:sz w:val="24"/>
        </w:rPr>
        <w:t>、</w:t>
      </w:r>
      <w:r>
        <w:rPr>
          <w:rFonts w:ascii="黑体" w:eastAsia="黑体" w:hint="eastAsia"/>
          <w:b/>
          <w:spacing w:val="-2"/>
          <w:sz w:val="24"/>
        </w:rPr>
        <w:t>无合法</w:t>
      </w:r>
      <w:r>
        <w:rPr>
          <w:rFonts w:ascii="黑体" w:eastAsia="黑体" w:hint="eastAsia"/>
          <w:b/>
          <w:spacing w:val="-2"/>
          <w:sz w:val="24"/>
        </w:rPr>
        <w:t>有</w:t>
      </w:r>
      <w:r>
        <w:rPr>
          <w:rFonts w:ascii="黑体" w:eastAsia="黑体" w:hint="eastAsia"/>
          <w:b/>
          <w:spacing w:val="-2"/>
          <w:sz w:val="24"/>
        </w:rPr>
        <w:t>效</w:t>
      </w:r>
      <w:r>
        <w:rPr>
          <w:rFonts w:ascii="黑体" w:eastAsia="黑体" w:hint="eastAsia"/>
          <w:b/>
          <w:spacing w:val="-2"/>
          <w:sz w:val="24"/>
        </w:rPr>
        <w:t>驾驶证驾驶</w:t>
      </w:r>
      <w:r>
        <w:rPr>
          <w:rFonts w:ascii="黑体" w:eastAsia="黑体"/>
          <w:spacing w:val="-2"/>
          <w:sz w:val="24"/>
        </w:rPr>
        <w:t>，或驾驶</w:t>
      </w:r>
      <w:r>
        <w:rPr>
          <w:rFonts w:ascii="黑体" w:eastAsia="黑体" w:hint="eastAsia"/>
          <w:b/>
          <w:spacing w:val="-2"/>
          <w:sz w:val="24"/>
        </w:rPr>
        <w:t>无合</w:t>
      </w:r>
      <w:r>
        <w:rPr>
          <w:rFonts w:ascii="黑体" w:eastAsia="黑体" w:hint="eastAsia"/>
          <w:b/>
          <w:spacing w:val="-2"/>
          <w:sz w:val="24"/>
        </w:rPr>
        <w:t>法</w:t>
      </w:r>
      <w:r>
        <w:rPr>
          <w:rFonts w:ascii="黑体" w:eastAsia="黑体" w:hint="eastAsia"/>
          <w:b/>
          <w:spacing w:val="-2"/>
          <w:sz w:val="24"/>
        </w:rPr>
        <w:t>有</w:t>
      </w:r>
      <w:r>
        <w:rPr>
          <w:rFonts w:ascii="黑体" w:eastAsia="黑体" w:hint="eastAsia"/>
          <w:b/>
          <w:spacing w:val="-2"/>
          <w:sz w:val="24"/>
        </w:rPr>
        <w:t>效</w:t>
      </w:r>
      <w:r>
        <w:rPr>
          <w:rFonts w:ascii="黑体" w:eastAsia="黑体" w:hint="eastAsia"/>
          <w:b/>
          <w:spacing w:val="-2"/>
          <w:sz w:val="24"/>
        </w:rPr>
        <w:t>行驶证</w:t>
      </w:r>
      <w:r>
        <w:rPr>
          <w:rFonts w:ascii="黑体" w:eastAsia="黑体"/>
          <w:spacing w:val="-2"/>
          <w:sz w:val="24"/>
        </w:rPr>
        <w:t>的机动车；</w:t>
      </w:r>
      <w:r>
        <w:rPr>
          <w:rFonts w:ascii="黑体" w:eastAsia="黑体"/>
          <w:spacing w:val="-2"/>
          <w:sz w:val="24"/>
        </w:rPr>
        <w:t>六、战争、军事冲突、暴乱或武装叛乱；</w:t>
      </w:r>
    </w:p>
    <w:p>
      <w:pPr>
        <w:spacing w:line="303" w:lineRule="exact" w:before="0"/>
        <w:ind w:left="533" w:right="0" w:firstLine="0"/>
        <w:jc w:val="left"/>
        <w:rPr>
          <w:rFonts w:ascii="黑体" w:eastAsia="黑体"/>
          <w:sz w:val="24"/>
        </w:rPr>
      </w:pPr>
      <w:r>
        <w:rPr>
          <w:rFonts w:ascii="黑体" w:eastAsia="黑体"/>
          <w:spacing w:val="-1"/>
          <w:sz w:val="24"/>
        </w:rPr>
        <w:t>七、核爆炸、核辐射或核污染。</w:t>
      </w:r>
    </w:p>
    <w:p>
      <w:pPr>
        <w:spacing w:line="242" w:lineRule="auto" w:before="36"/>
        <w:ind w:left="112" w:right="331" w:firstLine="480"/>
        <w:jc w:val="left"/>
        <w:rPr>
          <w:rFonts w:ascii="黑体" w:eastAsia="黑体"/>
          <w:sz w:val="24"/>
        </w:rPr>
      </w:pPr>
      <w:r>
        <w:rPr>
          <w:rFonts w:ascii="黑体" w:eastAsia="黑体"/>
          <w:spacing w:val="-3"/>
          <w:sz w:val="24"/>
        </w:rPr>
        <w:t>若因上述第一项情形导致被保险人身故的，本合同终止，您已交足 </w:t>
      </w:r>
      <w:r>
        <w:rPr>
          <w:rFonts w:ascii="黑体" w:eastAsia="黑体"/>
          <w:spacing w:val="-2"/>
          <w:sz w:val="24"/>
        </w:rPr>
        <w:t>2</w:t>
      </w:r>
      <w:r>
        <w:rPr>
          <w:rFonts w:ascii="黑体" w:eastAsia="黑体"/>
          <w:spacing w:val="-6"/>
          <w:sz w:val="24"/>
        </w:rPr>
        <w:t> 年以上保险费的，</w:t>
      </w:r>
      <w:r>
        <w:rPr>
          <w:rFonts w:ascii="黑体" w:eastAsia="黑体"/>
          <w:spacing w:val="-2"/>
          <w:sz w:val="24"/>
        </w:rPr>
        <w:t>我们向投保人之外的被保险人的其他继承人退还本合同终止时的现金价值。</w:t>
      </w:r>
    </w:p>
    <w:p>
      <w:pPr>
        <w:spacing w:line="242" w:lineRule="auto" w:before="3"/>
        <w:ind w:left="112" w:right="336" w:firstLine="480"/>
        <w:jc w:val="left"/>
        <w:rPr>
          <w:rFonts w:ascii="黑体" w:eastAsia="黑体"/>
          <w:sz w:val="24"/>
        </w:rPr>
      </w:pPr>
      <w:r>
        <w:rPr>
          <w:rFonts w:ascii="黑体" w:eastAsia="黑体"/>
          <w:spacing w:val="-2"/>
          <w:sz w:val="24"/>
        </w:rPr>
        <w:t>若发生上述其他情形导致被保险人身故的，本合同终止，我们向您退还本合同终止时的</w:t>
      </w:r>
      <w:r>
        <w:rPr>
          <w:rFonts w:ascii="黑体" w:eastAsia="黑体"/>
          <w:spacing w:val="-2"/>
          <w:sz w:val="24"/>
        </w:rPr>
        <w:t>现金价值。</w:t>
      </w:r>
    </w:p>
    <w:p>
      <w:pPr>
        <w:pStyle w:val="Heading1"/>
        <w:numPr>
          <w:ilvl w:val="0"/>
          <w:numId w:val="2"/>
        </w:numPr>
        <w:tabs>
          <w:tab w:pos="594" w:val="left" w:leader="none"/>
        </w:tabs>
        <w:spacing w:line="240" w:lineRule="auto" w:before="82" w:after="0"/>
        <w:ind w:left="593" w:right="0" w:hanging="482"/>
        <w:jc w:val="left"/>
      </w:pPr>
      <w:bookmarkStart w:name="_bookmark11" w:id="22"/>
      <w:bookmarkEnd w:id="22"/>
      <w:r>
        <w:rPr/>
      </w:r>
      <w:bookmarkStart w:name="_bookmark11" w:id="23"/>
      <w:bookmarkEnd w:id="23"/>
      <w:r>
        <w:rPr>
          <w:spacing w:val="-1"/>
        </w:rPr>
        <w:t>您在合同项下的权利和义务</w:t>
      </w:r>
    </w:p>
    <w:p>
      <w:pPr>
        <w:pStyle w:val="Heading2"/>
        <w:numPr>
          <w:ilvl w:val="1"/>
          <w:numId w:val="2"/>
        </w:numPr>
        <w:tabs>
          <w:tab w:pos="594" w:val="left" w:leader="none"/>
        </w:tabs>
        <w:spacing w:line="240" w:lineRule="auto" w:before="147" w:after="0"/>
        <w:ind w:left="593" w:right="0" w:hanging="482"/>
        <w:jc w:val="left"/>
      </w:pPr>
      <w:bookmarkStart w:name="_bookmark12" w:id="24"/>
      <w:bookmarkEnd w:id="24"/>
      <w:r>
        <w:rPr>
          <w:b w:val="0"/>
        </w:rPr>
      </w:r>
      <w:bookmarkStart w:name="_bookmark12" w:id="25"/>
      <w:bookmarkEnd w:id="25"/>
      <w:r>
        <w:rPr>
          <w:w w:val="95"/>
        </w:rPr>
        <w:t>保</w:t>
      </w:r>
      <w:r>
        <w:rPr>
          <w:w w:val="95"/>
        </w:rPr>
        <w:t>险</w:t>
      </w:r>
      <w:r>
        <w:rPr>
          <w:w w:val="95"/>
        </w:rPr>
        <w:t>费</w:t>
      </w:r>
      <w:r>
        <w:rPr>
          <w:w w:val="95"/>
        </w:rPr>
        <w:t>的</w:t>
      </w:r>
      <w:r>
        <w:rPr>
          <w:w w:val="95"/>
        </w:rPr>
        <w:t>交</w:t>
      </w:r>
      <w:r>
        <w:rPr>
          <w:spacing w:val="-10"/>
          <w:w w:val="95"/>
        </w:rPr>
        <w:t>付</w:t>
      </w:r>
    </w:p>
    <w:p>
      <w:pPr>
        <w:pStyle w:val="BodyText"/>
        <w:spacing w:before="38"/>
        <w:ind w:left="533"/>
      </w:pPr>
      <w:r>
        <w:rPr>
          <w:spacing w:val="-3"/>
        </w:rPr>
        <w:t>保险费的交费期间和交费方式由您与我们约定，并在保险单中载明。</w:t>
      </w:r>
    </w:p>
    <w:p>
      <w:pPr>
        <w:pStyle w:val="BodyText"/>
        <w:spacing w:line="278" w:lineRule="auto"/>
        <w:ind w:right="226" w:firstLine="420"/>
      </w:pPr>
      <w:r>
        <w:rPr>
          <w:spacing w:val="-2"/>
        </w:rPr>
        <w:t>保险费的交费金额根据投保时被保险人的性别、年龄以及您与我们约定的基本保险金额和交费期间，</w:t>
      </w:r>
      <w:r>
        <w:rPr>
          <w:spacing w:val="-2"/>
        </w:rPr>
        <w:t>按照我们核定的保险费率确定。</w:t>
      </w:r>
    </w:p>
    <w:p>
      <w:pPr>
        <w:pStyle w:val="BodyText"/>
        <w:spacing w:line="269" w:lineRule="exact" w:before="0"/>
        <w:ind w:left="533"/>
      </w:pPr>
      <w:r>
        <w:rPr>
          <w:spacing w:val="-2"/>
        </w:rPr>
        <w:t>选择一次性交清保险费的，应在投保时交清；选择分期交付保险费的，</w:t>
      </w:r>
      <w:r>
        <w:rPr>
          <w:b/>
          <w:spacing w:val="-2"/>
        </w:rPr>
        <w:t>首期保险费</w:t>
      </w:r>
      <w:r>
        <w:rPr>
          <w:spacing w:val="-4"/>
        </w:rPr>
        <w:t>在投保时交付，</w:t>
      </w:r>
    </w:p>
    <w:p>
      <w:pPr>
        <w:spacing w:after="0" w:line="269" w:lineRule="exact"/>
        <w:sectPr>
          <w:pgSz w:w="11910" w:h="16840"/>
          <w:pgMar w:header="0" w:footer="908" w:top="1080" w:bottom="1100" w:left="1020" w:right="800"/>
        </w:sectPr>
      </w:pPr>
    </w:p>
    <w:p>
      <w:pPr>
        <w:pStyle w:val="BodyText"/>
        <w:spacing w:before="57"/>
      </w:pPr>
      <w:r>
        <w:rPr>
          <w:b/>
          <w:spacing w:val="-2"/>
        </w:rPr>
        <w:t>续期保险费</w:t>
      </w:r>
      <w:r>
        <w:rPr>
          <w:spacing w:val="-3"/>
        </w:rPr>
        <w:t>应在合同生效日对应日交付。合同生效日对应日即为续期保险费的约定交付日。</w:t>
      </w:r>
    </w:p>
    <w:p>
      <w:pPr>
        <w:pStyle w:val="Heading2"/>
        <w:numPr>
          <w:ilvl w:val="1"/>
          <w:numId w:val="2"/>
        </w:numPr>
        <w:tabs>
          <w:tab w:pos="594" w:val="left" w:leader="none"/>
        </w:tabs>
        <w:spacing w:line="240" w:lineRule="auto" w:before="86" w:after="0"/>
        <w:ind w:left="593" w:right="0" w:hanging="482"/>
        <w:jc w:val="left"/>
      </w:pPr>
      <w:bookmarkStart w:name="_bookmark13" w:id="26"/>
      <w:bookmarkEnd w:id="26"/>
      <w:r>
        <w:rPr>
          <w:b w:val="0"/>
        </w:rPr>
      </w:r>
      <w:bookmarkStart w:name="_bookmark13" w:id="27"/>
      <w:bookmarkEnd w:id="27"/>
      <w:r>
        <w:rPr>
          <w:w w:val="95"/>
        </w:rPr>
        <w:t>宽</w:t>
      </w:r>
      <w:r>
        <w:rPr>
          <w:w w:val="95"/>
        </w:rPr>
        <w:t>限</w:t>
      </w:r>
      <w:r>
        <w:rPr>
          <w:spacing w:val="-10"/>
          <w:w w:val="95"/>
        </w:rPr>
        <w:t>期</w:t>
      </w:r>
    </w:p>
    <w:p>
      <w:pPr>
        <w:pStyle w:val="BodyText"/>
        <w:spacing w:line="278" w:lineRule="auto" w:before="38"/>
        <w:ind w:right="326" w:firstLine="420"/>
        <w:jc w:val="both"/>
      </w:pPr>
      <w:r>
        <w:rPr>
          <w:spacing w:val="-1"/>
        </w:rPr>
        <w:t>您未按本合同约定日期交付续期保险费的，自该约定交付日次日零时起 </w:t>
      </w:r>
      <w:r>
        <w:rPr>
          <w:rFonts w:ascii="Times New Roman" w:eastAsia="Times New Roman"/>
        </w:rPr>
        <w:t>60</w:t>
      </w:r>
      <w:r>
        <w:rPr>
          <w:rFonts w:ascii="Times New Roman" w:eastAsia="Times New Roman"/>
          <w:spacing w:val="28"/>
        </w:rPr>
        <w:t> </w:t>
      </w:r>
      <w:r>
        <w:rPr/>
        <w:t>日为宽限期。在宽限期内</w:t>
      </w:r>
      <w:r>
        <w:rPr>
          <w:spacing w:val="-2"/>
        </w:rPr>
        <w:t>您可以继续交付续期保险费，如果被保险人在宽限期内发生保险事故，我们仍按本合同的约定承担保险责</w:t>
      </w:r>
      <w:r>
        <w:rPr>
          <w:spacing w:val="-2"/>
        </w:rPr>
        <w:t>任，但在给付保险金时将扣除您欠交的续期保险费。</w:t>
      </w:r>
    </w:p>
    <w:p>
      <w:pPr>
        <w:pStyle w:val="Heading2"/>
        <w:numPr>
          <w:ilvl w:val="1"/>
          <w:numId w:val="2"/>
        </w:numPr>
        <w:tabs>
          <w:tab w:pos="594" w:val="left" w:leader="none"/>
        </w:tabs>
        <w:spacing w:line="240" w:lineRule="auto" w:before="42" w:after="0"/>
        <w:ind w:left="593" w:right="0" w:hanging="482"/>
        <w:jc w:val="left"/>
      </w:pPr>
      <w:bookmarkStart w:name="_bookmark14" w:id="28"/>
      <w:bookmarkEnd w:id="28"/>
      <w:r>
        <w:rPr>
          <w:b w:val="0"/>
        </w:rPr>
      </w:r>
      <w:bookmarkStart w:name="_bookmark14" w:id="29"/>
      <w:bookmarkEnd w:id="29"/>
      <w:r>
        <w:rPr>
          <w:w w:val="95"/>
        </w:rPr>
        <w:t>合</w:t>
      </w:r>
      <w:r>
        <w:rPr>
          <w:w w:val="95"/>
        </w:rPr>
        <w:t>同</w:t>
      </w:r>
      <w:r>
        <w:rPr>
          <w:w w:val="95"/>
        </w:rPr>
        <w:t>效</w:t>
      </w:r>
      <w:r>
        <w:rPr>
          <w:w w:val="95"/>
        </w:rPr>
        <w:t>力</w:t>
      </w:r>
      <w:r>
        <w:rPr>
          <w:w w:val="95"/>
        </w:rPr>
        <w:t>的</w:t>
      </w:r>
      <w:r>
        <w:rPr>
          <w:w w:val="95"/>
        </w:rPr>
        <w:t>中</w:t>
      </w:r>
      <w:r>
        <w:rPr>
          <w:w w:val="95"/>
        </w:rPr>
        <w:t>止</w:t>
      </w:r>
      <w:r>
        <w:rPr>
          <w:w w:val="95"/>
        </w:rPr>
        <w:t>和</w:t>
      </w:r>
      <w:r>
        <w:rPr>
          <w:w w:val="95"/>
        </w:rPr>
        <w:t>恢</w:t>
      </w:r>
      <w:r>
        <w:rPr>
          <w:spacing w:val="-10"/>
          <w:w w:val="95"/>
        </w:rPr>
        <w:t>复</w:t>
      </w:r>
    </w:p>
    <w:p>
      <w:pPr>
        <w:spacing w:line="256" w:lineRule="auto" w:before="15"/>
        <w:ind w:left="112" w:right="326" w:firstLine="420"/>
        <w:jc w:val="both"/>
        <w:rPr>
          <w:sz w:val="21"/>
        </w:rPr>
      </w:pPr>
      <w:r>
        <w:rPr>
          <w:spacing w:val="-2"/>
          <w:sz w:val="21"/>
        </w:rPr>
        <w:t>一、</w:t>
      </w:r>
      <w:r>
        <w:rPr>
          <w:rFonts w:ascii="黑体" w:eastAsia="黑体"/>
          <w:spacing w:val="-2"/>
          <w:sz w:val="24"/>
        </w:rPr>
        <w:t>如果您在宽限期届满时仍未交付续期保险费，则自宽限期届满日次日零时起，本合同</w:t>
      </w:r>
      <w:r>
        <w:rPr>
          <w:rFonts w:ascii="黑体" w:eastAsia="黑体"/>
          <w:spacing w:val="-2"/>
          <w:sz w:val="24"/>
        </w:rPr>
        <w:t>效力中止，效力中止期间最长为两年。无论合同效力是否恢复，对效力中止期间发生的保险</w:t>
      </w:r>
      <w:r>
        <w:rPr>
          <w:rFonts w:ascii="黑体" w:eastAsia="黑体"/>
          <w:spacing w:val="-2"/>
          <w:sz w:val="24"/>
        </w:rPr>
        <w:t>事故，我们不承担保险责任。</w:t>
      </w:r>
      <w:r>
        <w:rPr>
          <w:spacing w:val="-2"/>
          <w:sz w:val="21"/>
        </w:rPr>
        <w:t>在中止期间内您可申请恢复合同效力，经我们审核同意后，自我们收到</w:t>
      </w:r>
      <w:r>
        <w:rPr>
          <w:spacing w:val="-2"/>
          <w:sz w:val="21"/>
        </w:rPr>
        <w:t>您补交所欠续期保险费和</w:t>
      </w:r>
      <w:r>
        <w:rPr>
          <w:b/>
          <w:spacing w:val="-2"/>
          <w:sz w:val="21"/>
        </w:rPr>
        <w:t>利息</w:t>
      </w:r>
      <w:r>
        <w:rPr>
          <w:spacing w:val="-2"/>
          <w:sz w:val="21"/>
        </w:rPr>
        <w:t>之日起，合同效力恢复，我们对被保险人自本合同效力恢复之日的次日零时</w:t>
      </w:r>
      <w:r>
        <w:rPr>
          <w:spacing w:val="-2"/>
          <w:sz w:val="21"/>
        </w:rPr>
        <w:t>起发生的保险事故承担保险责任。</w:t>
      </w:r>
    </w:p>
    <w:p>
      <w:pPr>
        <w:spacing w:line="242" w:lineRule="auto" w:before="0"/>
        <w:ind w:left="112" w:right="340" w:firstLine="480"/>
        <w:jc w:val="left"/>
        <w:rPr>
          <w:rFonts w:ascii="黑体" w:eastAsia="黑体"/>
          <w:sz w:val="24"/>
        </w:rPr>
      </w:pPr>
      <w:r>
        <w:rPr>
          <w:rFonts w:ascii="黑体" w:eastAsia="黑体"/>
          <w:spacing w:val="-2"/>
          <w:sz w:val="24"/>
        </w:rPr>
        <w:t>本合同自效力中止之日起满两年未恢复效力的，则自该两年中止期间届满日次日零时起</w:t>
      </w:r>
      <w:r>
        <w:rPr>
          <w:rFonts w:ascii="黑体" w:eastAsia="黑体"/>
          <w:spacing w:val="-2"/>
          <w:sz w:val="24"/>
        </w:rPr>
        <w:t>自动终止，我们将向您支付本合同效力中止之日的现金价值，但将扣除您的各项欠款。</w:t>
      </w:r>
    </w:p>
    <w:p>
      <w:pPr>
        <w:pStyle w:val="BodyText"/>
        <w:spacing w:line="268" w:lineRule="auto" w:before="24"/>
        <w:ind w:right="220" w:firstLine="420"/>
      </w:pPr>
      <w:r>
        <w:rPr>
          <w:spacing w:val="-4"/>
        </w:rPr>
        <w:t>二、出现本条款第 </w:t>
      </w:r>
      <w:r>
        <w:rPr>
          <w:rFonts w:ascii="Times New Roman" w:eastAsia="Times New Roman"/>
        </w:rPr>
        <w:t>3.6.1</w:t>
      </w:r>
      <w:r>
        <w:rPr>
          <w:rFonts w:ascii="Times New Roman" w:eastAsia="Times New Roman"/>
          <w:spacing w:val="5"/>
        </w:rPr>
        <w:t> </w:t>
      </w:r>
      <w:r>
        <w:rPr>
          <w:spacing w:val="-2"/>
        </w:rPr>
        <w:t>项规定的本合同中止情形的，本合同效力中止，效力中止期间最长为 </w:t>
      </w:r>
      <w:r>
        <w:rPr>
          <w:rFonts w:ascii="Times New Roman" w:eastAsia="Times New Roman"/>
        </w:rPr>
        <w:t>60</w:t>
      </w:r>
      <w:r>
        <w:rPr>
          <w:rFonts w:ascii="Times New Roman" w:eastAsia="Times New Roman"/>
          <w:spacing w:val="14"/>
        </w:rPr>
        <w:t> </w:t>
      </w:r>
      <w:r>
        <w:rPr/>
        <w:t>日。</w:t>
      </w:r>
      <w:r>
        <w:rPr>
          <w:rFonts w:ascii="黑体" w:eastAsia="黑体"/>
          <w:spacing w:val="-2"/>
          <w:sz w:val="24"/>
        </w:rPr>
        <w:t>无论合同效力是否恢复，对效力中止期间发生的保险事故，我们不承担保险责任。</w:t>
      </w:r>
      <w:r>
        <w:rPr>
          <w:spacing w:val="-2"/>
        </w:rPr>
        <w:t>在中止期间</w:t>
      </w:r>
      <w:r>
        <w:rPr>
          <w:spacing w:val="-2"/>
        </w:rPr>
        <w:t>内您可申请恢复合同效力，经我们审核同意后，您应向我们偿还您的保单贷款的本金和利息。自我们收到</w:t>
      </w:r>
      <w:r>
        <w:rPr>
          <w:spacing w:val="-2"/>
        </w:rPr>
        <w:t>上述全部款项之日起，合同效力恢复，我们对被保险人自本合同效力恢复之日的次日零时起发生的保险事</w:t>
      </w:r>
      <w:r>
        <w:rPr>
          <w:spacing w:val="-2"/>
        </w:rPr>
        <w:t>故承担保险责任。</w:t>
      </w:r>
    </w:p>
    <w:p>
      <w:pPr>
        <w:spacing w:line="242" w:lineRule="auto" w:before="0"/>
        <w:ind w:left="112" w:right="331" w:firstLine="480"/>
        <w:jc w:val="left"/>
        <w:rPr>
          <w:rFonts w:ascii="黑体" w:eastAsia="黑体"/>
          <w:sz w:val="24"/>
        </w:rPr>
      </w:pPr>
      <w:r>
        <w:rPr>
          <w:rFonts w:ascii="黑体" w:eastAsia="黑体"/>
          <w:spacing w:val="-5"/>
          <w:sz w:val="24"/>
        </w:rPr>
        <w:t>本合同自效力中止之日起满 </w:t>
      </w:r>
      <w:r>
        <w:rPr>
          <w:rFonts w:ascii="黑体" w:eastAsia="黑体"/>
          <w:spacing w:val="-2"/>
          <w:sz w:val="24"/>
        </w:rPr>
        <w:t>60</w:t>
      </w:r>
      <w:r>
        <w:rPr>
          <w:rFonts w:ascii="黑体" w:eastAsia="黑体"/>
          <w:spacing w:val="-11"/>
          <w:sz w:val="24"/>
        </w:rPr>
        <w:t> 日未恢复效力的，则自该 </w:t>
      </w:r>
      <w:r>
        <w:rPr>
          <w:rFonts w:ascii="黑体" w:eastAsia="黑体"/>
          <w:spacing w:val="-2"/>
          <w:sz w:val="24"/>
        </w:rPr>
        <w:t>60</w:t>
      </w:r>
      <w:r>
        <w:rPr>
          <w:rFonts w:ascii="黑体" w:eastAsia="黑体"/>
          <w:spacing w:val="-8"/>
          <w:sz w:val="24"/>
        </w:rPr>
        <w:t> 日中止期间届满日次日零时</w:t>
      </w:r>
      <w:r>
        <w:rPr>
          <w:rFonts w:ascii="黑体" w:eastAsia="黑体"/>
          <w:spacing w:val="-2"/>
          <w:sz w:val="24"/>
        </w:rPr>
        <w:t>起自动终止，我们将向您支付本合同效力中止之日的现金价值，但将扣除您的各项欠款。</w:t>
      </w:r>
    </w:p>
    <w:p>
      <w:pPr>
        <w:pStyle w:val="Heading2"/>
        <w:numPr>
          <w:ilvl w:val="1"/>
          <w:numId w:val="2"/>
        </w:numPr>
        <w:tabs>
          <w:tab w:pos="594" w:val="left" w:leader="none"/>
        </w:tabs>
        <w:spacing w:line="240" w:lineRule="auto" w:before="55" w:after="0"/>
        <w:ind w:left="593" w:right="0" w:hanging="482"/>
        <w:jc w:val="left"/>
      </w:pPr>
      <w:bookmarkStart w:name="_bookmark15" w:id="30"/>
      <w:bookmarkEnd w:id="30"/>
      <w:r>
        <w:rPr>
          <w:b w:val="0"/>
        </w:rPr>
      </w:r>
      <w:bookmarkStart w:name="_bookmark15" w:id="31"/>
      <w:bookmarkEnd w:id="31"/>
      <w:r>
        <w:rPr>
          <w:w w:val="95"/>
        </w:rPr>
        <w:t>犹</w:t>
      </w:r>
      <w:r>
        <w:rPr>
          <w:w w:val="95"/>
        </w:rPr>
        <w:t>豫</w:t>
      </w:r>
      <w:r>
        <w:rPr>
          <w:w w:val="95"/>
        </w:rPr>
        <w:t>期</w:t>
      </w:r>
      <w:r>
        <w:rPr>
          <w:w w:val="95"/>
        </w:rPr>
        <w:t>后</w:t>
      </w:r>
      <w:r>
        <w:rPr>
          <w:w w:val="95"/>
        </w:rPr>
        <w:t>解</w:t>
      </w:r>
      <w:r>
        <w:rPr>
          <w:w w:val="95"/>
        </w:rPr>
        <w:t>除</w:t>
      </w:r>
      <w:r>
        <w:rPr>
          <w:w w:val="95"/>
        </w:rPr>
        <w:t>合</w:t>
      </w:r>
      <w:r>
        <w:rPr>
          <w:w w:val="95"/>
        </w:rPr>
        <w:t>同</w:t>
      </w:r>
      <w:r>
        <w:rPr>
          <w:w w:val="95"/>
        </w:rPr>
        <w:t>的</w:t>
      </w:r>
      <w:r>
        <w:rPr>
          <w:w w:val="95"/>
        </w:rPr>
        <w:t>处</w:t>
      </w:r>
      <w:r>
        <w:rPr>
          <w:spacing w:val="-10"/>
          <w:w w:val="95"/>
        </w:rPr>
        <w:t>理</w:t>
      </w:r>
    </w:p>
    <w:p>
      <w:pPr>
        <w:pStyle w:val="BodyText"/>
        <w:spacing w:before="38"/>
        <w:ind w:left="533"/>
      </w:pPr>
      <w:r>
        <w:rPr>
          <w:spacing w:val="-3"/>
        </w:rPr>
        <w:t>犹豫期过后，您申请解除本合同的，应完整填写解除合同申请书，并向我们提供下列材料：</w:t>
      </w:r>
    </w:p>
    <w:p>
      <w:pPr>
        <w:pStyle w:val="ListParagraph"/>
        <w:numPr>
          <w:ilvl w:val="0"/>
          <w:numId w:val="4"/>
        </w:numPr>
        <w:tabs>
          <w:tab w:pos="1063" w:val="left" w:leader="none"/>
        </w:tabs>
        <w:spacing w:line="240" w:lineRule="auto" w:before="43" w:after="0"/>
        <w:ind w:left="1062" w:right="0" w:hanging="530"/>
        <w:jc w:val="left"/>
        <w:rPr>
          <w:sz w:val="21"/>
        </w:rPr>
      </w:pPr>
      <w:r>
        <w:rPr>
          <w:spacing w:val="-4"/>
          <w:sz w:val="21"/>
        </w:rPr>
        <w:t>保险合同；</w:t>
      </w:r>
    </w:p>
    <w:p>
      <w:pPr>
        <w:pStyle w:val="ListParagraph"/>
        <w:numPr>
          <w:ilvl w:val="0"/>
          <w:numId w:val="4"/>
        </w:numPr>
        <w:tabs>
          <w:tab w:pos="1063" w:val="left" w:leader="none"/>
        </w:tabs>
        <w:spacing w:line="240" w:lineRule="auto" w:before="43" w:after="0"/>
        <w:ind w:left="1062" w:right="0" w:hanging="530"/>
        <w:jc w:val="left"/>
        <w:rPr>
          <w:sz w:val="21"/>
        </w:rPr>
      </w:pPr>
      <w:r>
        <w:rPr>
          <w:spacing w:val="-3"/>
          <w:sz w:val="21"/>
        </w:rPr>
        <w:t>您的有效身份证件。</w:t>
      </w:r>
    </w:p>
    <w:p>
      <w:pPr>
        <w:pStyle w:val="BodyText"/>
        <w:spacing w:line="278" w:lineRule="auto"/>
        <w:ind w:right="326" w:firstLine="420"/>
      </w:pPr>
      <w:r>
        <w:rPr>
          <w:spacing w:val="-2"/>
        </w:rPr>
        <w:t>本合同自我们收到您的解除合同申请书以及上述完整的解除合同申请材料时终止，我们计算收到解除</w:t>
      </w:r>
      <w:r>
        <w:rPr>
          <w:spacing w:val="-2"/>
        </w:rPr>
        <w:t>合同申请书当日的本合同现金价值，并在 </w:t>
      </w:r>
      <w:r>
        <w:rPr>
          <w:rFonts w:ascii="Times New Roman" w:eastAsia="Times New Roman"/>
        </w:rPr>
        <w:t>10 </w:t>
      </w:r>
      <w:r>
        <w:rPr/>
        <w:t>日内向您返还该现金价值。</w:t>
      </w:r>
    </w:p>
    <w:p>
      <w:pPr>
        <w:spacing w:line="284" w:lineRule="exact" w:before="0"/>
        <w:ind w:left="593" w:right="0" w:firstLine="0"/>
        <w:jc w:val="left"/>
        <w:rPr>
          <w:rFonts w:ascii="黑体" w:eastAsia="黑体"/>
          <w:sz w:val="24"/>
        </w:rPr>
      </w:pPr>
      <w:r>
        <w:rPr>
          <w:rFonts w:ascii="黑体" w:eastAsia="黑体"/>
          <w:spacing w:val="-1"/>
          <w:sz w:val="24"/>
        </w:rPr>
        <w:t>您在犹豫期后解除合同会遭受一定的损失。</w:t>
      </w:r>
    </w:p>
    <w:p>
      <w:pPr>
        <w:pStyle w:val="Heading2"/>
        <w:numPr>
          <w:ilvl w:val="1"/>
          <w:numId w:val="2"/>
        </w:numPr>
        <w:tabs>
          <w:tab w:pos="594" w:val="left" w:leader="none"/>
        </w:tabs>
        <w:spacing w:line="240" w:lineRule="auto" w:before="70" w:after="0"/>
        <w:ind w:left="593" w:right="0" w:hanging="482"/>
        <w:jc w:val="left"/>
      </w:pPr>
      <w:bookmarkStart w:name="_bookmark16" w:id="32"/>
      <w:bookmarkEnd w:id="32"/>
      <w:r>
        <w:rPr>
          <w:b w:val="0"/>
        </w:rPr>
      </w:r>
      <w:bookmarkStart w:name="_bookmark16" w:id="33"/>
      <w:bookmarkEnd w:id="33"/>
      <w:r>
        <w:rPr>
          <w:w w:val="95"/>
        </w:rPr>
        <w:t>合</w:t>
      </w:r>
      <w:r>
        <w:rPr>
          <w:w w:val="95"/>
        </w:rPr>
        <w:t>同</w:t>
      </w:r>
      <w:r>
        <w:rPr>
          <w:w w:val="95"/>
        </w:rPr>
        <w:t>内</w:t>
      </w:r>
      <w:r>
        <w:rPr>
          <w:w w:val="95"/>
        </w:rPr>
        <w:t>容</w:t>
      </w:r>
      <w:r>
        <w:rPr>
          <w:w w:val="95"/>
        </w:rPr>
        <w:t>的</w:t>
      </w:r>
      <w:r>
        <w:rPr>
          <w:w w:val="95"/>
        </w:rPr>
        <w:t>变</w:t>
      </w:r>
      <w:r>
        <w:rPr>
          <w:spacing w:val="-10"/>
          <w:w w:val="95"/>
        </w:rPr>
        <w:t>更</w:t>
      </w:r>
    </w:p>
    <w:p>
      <w:pPr>
        <w:pStyle w:val="BodyText"/>
        <w:spacing w:line="278" w:lineRule="auto" w:before="38"/>
        <w:ind w:right="326" w:firstLine="420"/>
      </w:pPr>
      <w:r>
        <w:rPr>
          <w:spacing w:val="-2"/>
        </w:rPr>
        <w:t>在本合同有效期内，您与我们经协商一致，可以变更本合同内容。我们同意您的变更申请并出具修改</w:t>
      </w:r>
      <w:r>
        <w:rPr>
          <w:spacing w:val="-2"/>
        </w:rPr>
        <w:t>批单，或与您订立书面的变更协议后，变更方能生效。</w:t>
      </w:r>
    </w:p>
    <w:p>
      <w:pPr>
        <w:pStyle w:val="Heading2"/>
        <w:numPr>
          <w:ilvl w:val="1"/>
          <w:numId w:val="2"/>
        </w:numPr>
        <w:tabs>
          <w:tab w:pos="594" w:val="left" w:leader="none"/>
        </w:tabs>
        <w:spacing w:line="240" w:lineRule="auto" w:before="43" w:after="0"/>
        <w:ind w:left="593" w:right="0" w:hanging="482"/>
        <w:jc w:val="left"/>
      </w:pPr>
      <w:bookmarkStart w:name="_bookmark17" w:id="34"/>
      <w:bookmarkEnd w:id="34"/>
      <w:r>
        <w:rPr>
          <w:b w:val="0"/>
        </w:rPr>
      </w:r>
      <w:bookmarkStart w:name="_bookmark17" w:id="35"/>
      <w:bookmarkEnd w:id="35"/>
      <w:r>
        <w:rPr>
          <w:w w:val="95"/>
        </w:rPr>
        <w:t>现</w:t>
      </w:r>
      <w:r>
        <w:rPr>
          <w:w w:val="95"/>
        </w:rPr>
        <w:t>金</w:t>
      </w:r>
      <w:r>
        <w:rPr>
          <w:w w:val="95"/>
        </w:rPr>
        <w:t>价</w:t>
      </w:r>
      <w:r>
        <w:rPr>
          <w:w w:val="95"/>
        </w:rPr>
        <w:t>值</w:t>
      </w:r>
      <w:r>
        <w:rPr>
          <w:w w:val="95"/>
        </w:rPr>
        <w:t>权</w:t>
      </w:r>
      <w:r>
        <w:rPr>
          <w:spacing w:val="-10"/>
          <w:w w:val="95"/>
        </w:rPr>
        <w:t>益</w:t>
      </w:r>
    </w:p>
    <w:p>
      <w:pPr>
        <w:pStyle w:val="BodyText"/>
        <w:spacing w:line="278" w:lineRule="auto" w:before="37"/>
        <w:ind w:right="407" w:firstLine="420"/>
      </w:pPr>
      <w:r>
        <w:rPr>
          <w:spacing w:val="-3"/>
          <w:w w:val="100"/>
        </w:rPr>
        <w:t>现金价值是本合同所具有的价值，通常体现为解除合同时，根据精算原理计算的，由我们退还的那部分金额。每一</w:t>
      </w:r>
      <w:r>
        <w:rPr>
          <w:b/>
          <w:spacing w:val="-1"/>
          <w:w w:val="100"/>
        </w:rPr>
        <w:t>保单年度</w:t>
      </w:r>
      <w:r>
        <w:rPr>
          <w:spacing w:val="-9"/>
          <w:w w:val="100"/>
        </w:rPr>
        <w:t>末的现金价值具体数额请见“现金价值表”，保单年度内的现金价值您可以向我</w:t>
      </w:r>
      <w:r>
        <w:rPr>
          <w:spacing w:val="-5"/>
          <w:w w:val="100"/>
        </w:rPr>
        <w:t>们咨询。如您欠交某保单年度的保险费，则该保单年度的现金价值为您已交最后一期保险费所对应的保</w:t>
      </w:r>
      <w:r>
        <w:rPr>
          <w:spacing w:val="-4"/>
          <w:w w:val="100"/>
        </w:rPr>
        <w:t>单年度末的现金价值。</w:t>
      </w:r>
    </w:p>
    <w:p>
      <w:pPr>
        <w:pStyle w:val="BodyText"/>
        <w:spacing w:before="1"/>
        <w:ind w:left="533"/>
      </w:pPr>
      <w:r>
        <w:rPr>
          <w:spacing w:val="-3"/>
        </w:rPr>
        <w:t>犹豫期过后，您可以享受下述现金价值权益。</w:t>
      </w:r>
    </w:p>
    <w:p>
      <w:pPr>
        <w:pStyle w:val="Heading3"/>
        <w:rPr>
          <w:rFonts w:ascii="宋体" w:eastAsia="宋体" w:hint="eastAsia"/>
        </w:rPr>
      </w:pPr>
      <w:r>
        <w:rPr/>
        <w:t>3.6.1.</w:t>
      </w:r>
      <w:r>
        <w:rPr>
          <w:spacing w:val="50"/>
        </w:rPr>
        <w:t> </w:t>
      </w:r>
      <w:r>
        <w:rPr>
          <w:rFonts w:ascii="宋体" w:eastAsia="宋体" w:hint="eastAsia"/>
          <w:spacing w:val="-3"/>
        </w:rPr>
        <w:t>保单贷款</w:t>
      </w:r>
    </w:p>
    <w:p>
      <w:pPr>
        <w:spacing w:line="264" w:lineRule="auto" w:before="42"/>
        <w:ind w:left="112" w:right="326" w:firstLine="420"/>
        <w:jc w:val="both"/>
        <w:rPr>
          <w:rFonts w:ascii="黑体" w:eastAsia="黑体"/>
          <w:sz w:val="24"/>
        </w:rPr>
      </w:pPr>
      <w:r>
        <w:rPr>
          <w:spacing w:val="-2"/>
          <w:sz w:val="21"/>
        </w:rPr>
        <w:t>在本合同有效期内，且本合同具有现金价值时，您可以书面形式向我们申请贷款，但应取得被保险人</w:t>
      </w:r>
      <w:r>
        <w:rPr>
          <w:spacing w:val="-2"/>
          <w:sz w:val="21"/>
        </w:rPr>
        <w:t>的书面同意。贷款金额不得超过您向我们申请贷款时本合同的现金价值（如有附加合同，则包括附加合同</w:t>
      </w:r>
      <w:r>
        <w:rPr>
          <w:spacing w:val="-4"/>
          <w:sz w:val="21"/>
        </w:rPr>
        <w:t>的现金价值</w:t>
      </w:r>
      <w:r>
        <w:rPr>
          <w:spacing w:val="-85"/>
          <w:sz w:val="21"/>
        </w:rPr>
        <w:t>）</w:t>
      </w:r>
      <w:r>
        <w:rPr>
          <w:spacing w:val="-6"/>
          <w:sz w:val="21"/>
        </w:rPr>
        <w:t>扣除各项欠款后余额的 </w:t>
      </w:r>
      <w:r>
        <w:rPr>
          <w:rFonts w:ascii="Times New Roman" w:eastAsia="Times New Roman"/>
          <w:spacing w:val="-4"/>
          <w:sz w:val="21"/>
        </w:rPr>
        <w:t>80%</w:t>
      </w:r>
      <w:r>
        <w:rPr>
          <w:spacing w:val="-12"/>
          <w:sz w:val="21"/>
        </w:rPr>
        <w:t>，具体额度需经我们审批，并且每次贷款期限最长不超过 </w:t>
      </w:r>
      <w:r>
        <w:rPr>
          <w:rFonts w:ascii="Times New Roman" w:eastAsia="Times New Roman"/>
          <w:spacing w:val="-4"/>
          <w:sz w:val="21"/>
        </w:rPr>
        <w:t>6</w:t>
      </w:r>
      <w:r>
        <w:rPr>
          <w:rFonts w:ascii="Times New Roman" w:eastAsia="Times New Roman"/>
          <w:spacing w:val="17"/>
          <w:sz w:val="21"/>
        </w:rPr>
        <w:t> </w:t>
      </w:r>
      <w:r>
        <w:rPr>
          <w:spacing w:val="-4"/>
          <w:sz w:val="21"/>
        </w:rPr>
        <w:t>个月。</w:t>
      </w:r>
      <w:r>
        <w:rPr>
          <w:rFonts w:ascii="黑体" w:eastAsia="黑体"/>
          <w:spacing w:val="-2"/>
          <w:sz w:val="24"/>
        </w:rPr>
        <w:t>当您未偿还的保单贷款本金及利息加上各项欠款之和等于或大于本合同的现金价值（如有附</w:t>
      </w:r>
      <w:r>
        <w:rPr>
          <w:rFonts w:ascii="黑体" w:eastAsia="黑体"/>
          <w:spacing w:val="-2"/>
          <w:sz w:val="24"/>
        </w:rPr>
        <w:t>加合同，则包括附加合同的现金价值）数额时，本合同效力即行中止。</w:t>
      </w:r>
    </w:p>
    <w:p>
      <w:pPr>
        <w:pStyle w:val="Heading1"/>
        <w:numPr>
          <w:ilvl w:val="0"/>
          <w:numId w:val="2"/>
        </w:numPr>
        <w:tabs>
          <w:tab w:pos="594" w:val="left" w:leader="none"/>
        </w:tabs>
        <w:spacing w:line="240" w:lineRule="auto" w:before="53" w:after="0"/>
        <w:ind w:left="593" w:right="0" w:hanging="482"/>
        <w:jc w:val="left"/>
      </w:pPr>
      <w:bookmarkStart w:name="_bookmark18" w:id="36"/>
      <w:bookmarkEnd w:id="36"/>
      <w:r>
        <w:rPr/>
      </w:r>
      <w:bookmarkStart w:name="_bookmark18" w:id="37"/>
      <w:bookmarkEnd w:id="37"/>
      <w:r>
        <w:rPr>
          <w:spacing w:val="-2"/>
        </w:rPr>
        <w:t>如何申请领取保险金</w:t>
      </w:r>
    </w:p>
    <w:p>
      <w:pPr>
        <w:pStyle w:val="Heading2"/>
        <w:numPr>
          <w:ilvl w:val="1"/>
          <w:numId w:val="2"/>
        </w:numPr>
        <w:tabs>
          <w:tab w:pos="594" w:val="left" w:leader="none"/>
        </w:tabs>
        <w:spacing w:line="240" w:lineRule="auto" w:before="147" w:after="0"/>
        <w:ind w:left="593" w:right="0" w:hanging="482"/>
        <w:jc w:val="left"/>
      </w:pPr>
      <w:bookmarkStart w:name="_bookmark19" w:id="38"/>
      <w:bookmarkEnd w:id="38"/>
      <w:r>
        <w:rPr>
          <w:b w:val="0"/>
        </w:rPr>
      </w:r>
      <w:bookmarkStart w:name="_bookmark19" w:id="39"/>
      <w:bookmarkEnd w:id="39"/>
      <w:r>
        <w:rPr>
          <w:w w:val="95"/>
        </w:rPr>
        <w:t>保</w:t>
      </w:r>
      <w:r>
        <w:rPr>
          <w:w w:val="95"/>
        </w:rPr>
        <w:t>险</w:t>
      </w:r>
      <w:r>
        <w:rPr>
          <w:w w:val="95"/>
        </w:rPr>
        <w:t>金</w:t>
      </w:r>
      <w:r>
        <w:rPr>
          <w:w w:val="95"/>
        </w:rPr>
        <w:t>受</w:t>
      </w:r>
      <w:r>
        <w:rPr>
          <w:w w:val="95"/>
        </w:rPr>
        <w:t>益</w:t>
      </w:r>
      <w:r>
        <w:rPr>
          <w:spacing w:val="-10"/>
          <w:w w:val="95"/>
        </w:rPr>
        <w:t>人</w:t>
      </w:r>
    </w:p>
    <w:p>
      <w:pPr>
        <w:pStyle w:val="BodyText"/>
        <w:spacing w:before="35"/>
        <w:ind w:left="533"/>
      </w:pPr>
      <w:r>
        <w:rPr>
          <w:spacing w:val="-2"/>
        </w:rPr>
        <w:t>一、您或被保险人可以指定一人或数人为身故</w:t>
      </w:r>
      <w:r>
        <w:rPr>
          <w:b/>
          <w:spacing w:val="-2"/>
        </w:rPr>
        <w:t>保险金受益人</w:t>
      </w:r>
      <w:r>
        <w:rPr>
          <w:spacing w:val="-3"/>
        </w:rPr>
        <w:t>。身故保险金受益人为数人的，可以确定</w:t>
      </w:r>
    </w:p>
    <w:p>
      <w:pPr>
        <w:spacing w:after="0"/>
        <w:sectPr>
          <w:pgSz w:w="11910" w:h="16840"/>
          <w:pgMar w:header="0" w:footer="908" w:top="1080" w:bottom="1100" w:left="1020" w:right="800"/>
        </w:sectPr>
      </w:pPr>
    </w:p>
    <w:p>
      <w:pPr>
        <w:pStyle w:val="BodyText"/>
        <w:spacing w:before="57"/>
      </w:pPr>
      <w:r>
        <w:rPr>
          <w:spacing w:val="-3"/>
        </w:rPr>
        <w:t>每位受益人的受益份额；未确定受益份额的，受益人按照均等份额享有受益权。</w:t>
      </w:r>
    </w:p>
    <w:p>
      <w:pPr>
        <w:pStyle w:val="BodyText"/>
        <w:spacing w:line="278" w:lineRule="auto"/>
        <w:ind w:right="326" w:firstLine="420"/>
      </w:pPr>
      <w:r>
        <w:rPr>
          <w:spacing w:val="-2"/>
        </w:rPr>
        <w:t>除本合同另有约定外，大学教育金受益人、大学毕业金受益人、深造教育金受益人和满期保险金受益</w:t>
      </w:r>
      <w:r>
        <w:rPr>
          <w:spacing w:val="-2"/>
        </w:rPr>
        <w:t>人均为被保险人本人。</w:t>
      </w:r>
    </w:p>
    <w:p>
      <w:pPr>
        <w:pStyle w:val="BodyText"/>
        <w:spacing w:line="278" w:lineRule="auto" w:before="0"/>
        <w:ind w:right="326" w:firstLine="420"/>
      </w:pPr>
      <w:r>
        <w:rPr>
          <w:spacing w:val="-2"/>
        </w:rPr>
        <w:t>二、您或被保险人可以书面通知我们变更上述保险金受益人。我们收到您和被保险人签署的变更申请</w:t>
      </w:r>
      <w:r>
        <w:rPr>
          <w:spacing w:val="-2"/>
        </w:rPr>
        <w:t>书后，变更方能生效。我们将在保险单或者其他保险凭证上批注或者附贴批单，记录变更事项。</w:t>
      </w:r>
    </w:p>
    <w:p>
      <w:pPr>
        <w:pStyle w:val="BodyText"/>
        <w:spacing w:line="278" w:lineRule="auto" w:before="0"/>
        <w:ind w:right="230" w:firstLine="420"/>
      </w:pPr>
      <w:r>
        <w:rPr>
          <w:spacing w:val="-2"/>
        </w:rPr>
        <w:t>您指定或变更保险金受益人时，须经被保险人或其监护人书面同意。因受益人变更引起的法律纠纷，</w:t>
      </w:r>
      <w:r>
        <w:rPr>
          <w:spacing w:val="-2"/>
        </w:rPr>
        <w:t>我们不承担任何责任。</w:t>
      </w:r>
    </w:p>
    <w:p>
      <w:pPr>
        <w:pStyle w:val="BodyText"/>
        <w:spacing w:line="278" w:lineRule="auto" w:before="0"/>
        <w:ind w:right="326" w:firstLine="420"/>
      </w:pPr>
      <w:r>
        <w:rPr>
          <w:spacing w:val="-2"/>
        </w:rPr>
        <w:t>三、受益人故意造成被保险人死亡、伤残、疾病的，或者故意杀害被保险人未遂的，该受益人丧失受</w:t>
      </w:r>
      <w:r>
        <w:rPr>
          <w:spacing w:val="-4"/>
        </w:rPr>
        <w:t>益权。</w:t>
      </w:r>
    </w:p>
    <w:p>
      <w:pPr>
        <w:pStyle w:val="BodyText"/>
        <w:spacing w:line="278" w:lineRule="auto" w:before="0"/>
        <w:ind w:right="326" w:firstLine="420"/>
      </w:pPr>
      <w:r>
        <w:rPr>
          <w:spacing w:val="-2"/>
        </w:rPr>
        <w:t>四、被保险人死亡后，遇有下列情形之一的，保险金作为被保险人的遗产，由我们依照《中华人民共</w:t>
      </w:r>
      <w:r>
        <w:rPr>
          <w:spacing w:val="-2"/>
        </w:rPr>
        <w:t>和国民法典》等法律的规定向被保险人的此项遗产的继承人依法履行给付保险金义务：</w:t>
      </w:r>
    </w:p>
    <w:p>
      <w:pPr>
        <w:pStyle w:val="ListParagraph"/>
        <w:numPr>
          <w:ilvl w:val="0"/>
          <w:numId w:val="5"/>
        </w:numPr>
        <w:tabs>
          <w:tab w:pos="1063" w:val="left" w:leader="none"/>
        </w:tabs>
        <w:spacing w:line="269" w:lineRule="exact" w:before="0" w:after="0"/>
        <w:ind w:left="1062" w:right="0" w:hanging="530"/>
        <w:jc w:val="left"/>
        <w:rPr>
          <w:sz w:val="21"/>
        </w:rPr>
      </w:pPr>
      <w:r>
        <w:rPr>
          <w:spacing w:val="-3"/>
          <w:sz w:val="21"/>
        </w:rPr>
        <w:t>没有指定受益人的，或者受益人指定不明无法确定的；</w:t>
      </w:r>
    </w:p>
    <w:p>
      <w:pPr>
        <w:pStyle w:val="ListParagraph"/>
        <w:numPr>
          <w:ilvl w:val="0"/>
          <w:numId w:val="5"/>
        </w:numPr>
        <w:tabs>
          <w:tab w:pos="1063" w:val="left" w:leader="none"/>
        </w:tabs>
        <w:spacing w:line="240" w:lineRule="auto" w:before="43" w:after="0"/>
        <w:ind w:left="1062" w:right="0" w:hanging="530"/>
        <w:jc w:val="left"/>
        <w:rPr>
          <w:sz w:val="21"/>
        </w:rPr>
      </w:pPr>
      <w:r>
        <w:rPr>
          <w:spacing w:val="-3"/>
          <w:sz w:val="21"/>
        </w:rPr>
        <w:t>受益人先于被保险人死亡，没有其他受益人的；</w:t>
      </w:r>
    </w:p>
    <w:p>
      <w:pPr>
        <w:pStyle w:val="ListParagraph"/>
        <w:numPr>
          <w:ilvl w:val="0"/>
          <w:numId w:val="5"/>
        </w:numPr>
        <w:tabs>
          <w:tab w:pos="1063" w:val="left" w:leader="none"/>
        </w:tabs>
        <w:spacing w:line="240" w:lineRule="auto" w:before="43" w:after="0"/>
        <w:ind w:left="1062" w:right="0" w:hanging="530"/>
        <w:jc w:val="left"/>
        <w:rPr>
          <w:sz w:val="21"/>
        </w:rPr>
      </w:pPr>
      <w:r>
        <w:rPr>
          <w:spacing w:val="-3"/>
          <w:sz w:val="21"/>
        </w:rPr>
        <w:t>受益人依法丧失受益权或者放弃受益权，没有其他受益人的。</w:t>
      </w:r>
    </w:p>
    <w:p>
      <w:pPr>
        <w:pStyle w:val="BodyText"/>
        <w:ind w:left="533"/>
      </w:pPr>
      <w:r>
        <w:rPr>
          <w:spacing w:val="-3"/>
        </w:rPr>
        <w:t>受益人与被保险人在同一事件中死亡，且不能确定死亡先后顺序的，推定受益人死亡在先。</w:t>
      </w:r>
    </w:p>
    <w:p>
      <w:pPr>
        <w:pStyle w:val="Heading2"/>
        <w:numPr>
          <w:ilvl w:val="1"/>
          <w:numId w:val="2"/>
        </w:numPr>
        <w:tabs>
          <w:tab w:pos="594" w:val="left" w:leader="none"/>
        </w:tabs>
        <w:spacing w:line="240" w:lineRule="auto" w:before="85" w:after="0"/>
        <w:ind w:left="593" w:right="0" w:hanging="482"/>
        <w:jc w:val="left"/>
      </w:pPr>
      <w:bookmarkStart w:name="_bookmark20" w:id="40"/>
      <w:bookmarkEnd w:id="40"/>
      <w:r>
        <w:rPr>
          <w:b w:val="0"/>
        </w:rPr>
      </w:r>
      <w:bookmarkStart w:name="_bookmark20" w:id="41"/>
      <w:bookmarkEnd w:id="41"/>
      <w:r>
        <w:rPr>
          <w:w w:val="95"/>
        </w:rPr>
        <w:t>保</w:t>
      </w:r>
      <w:r>
        <w:rPr>
          <w:w w:val="95"/>
        </w:rPr>
        <w:t>险</w:t>
      </w:r>
      <w:r>
        <w:rPr>
          <w:w w:val="95"/>
        </w:rPr>
        <w:t>事</w:t>
      </w:r>
      <w:r>
        <w:rPr>
          <w:w w:val="95"/>
        </w:rPr>
        <w:t>故</w:t>
      </w:r>
      <w:r>
        <w:rPr>
          <w:w w:val="95"/>
        </w:rPr>
        <w:t>的</w:t>
      </w:r>
      <w:r>
        <w:rPr>
          <w:w w:val="95"/>
        </w:rPr>
        <w:t>通</w:t>
      </w:r>
      <w:r>
        <w:rPr>
          <w:spacing w:val="-10"/>
          <w:w w:val="95"/>
        </w:rPr>
        <w:t>知</w:t>
      </w:r>
    </w:p>
    <w:p>
      <w:pPr>
        <w:spacing w:line="254" w:lineRule="auto" w:before="38"/>
        <w:ind w:left="112" w:right="326" w:firstLine="420"/>
        <w:jc w:val="both"/>
        <w:rPr>
          <w:sz w:val="21"/>
        </w:rPr>
      </w:pPr>
      <w:r>
        <w:rPr>
          <w:spacing w:val="-1"/>
          <w:sz w:val="21"/>
        </w:rPr>
        <w:t>您、被保险人或者受益人应当在知道保险事故发生之日起 </w:t>
      </w:r>
      <w:r>
        <w:rPr>
          <w:rFonts w:ascii="Times New Roman" w:eastAsia="Times New Roman"/>
          <w:sz w:val="21"/>
        </w:rPr>
        <w:t>10</w:t>
      </w:r>
      <w:r>
        <w:rPr>
          <w:rFonts w:ascii="Times New Roman" w:eastAsia="Times New Roman"/>
          <w:spacing w:val="26"/>
          <w:sz w:val="21"/>
        </w:rPr>
        <w:t> </w:t>
      </w:r>
      <w:r>
        <w:rPr>
          <w:sz w:val="21"/>
        </w:rPr>
        <w:t>日内通知我们，但因</w:t>
      </w:r>
      <w:r>
        <w:rPr>
          <w:b/>
          <w:sz w:val="21"/>
        </w:rPr>
        <w:t>不可抗力</w:t>
      </w:r>
      <w:r>
        <w:rPr>
          <w:sz w:val="21"/>
        </w:rPr>
        <w:t>导致的延</w:t>
      </w:r>
      <w:r>
        <w:rPr>
          <w:spacing w:val="-2"/>
          <w:sz w:val="21"/>
        </w:rPr>
        <w:t>迟除外。</w:t>
      </w:r>
      <w:r>
        <w:rPr>
          <w:rFonts w:ascii="黑体" w:eastAsia="黑体"/>
          <w:spacing w:val="-2"/>
          <w:sz w:val="24"/>
        </w:rPr>
        <w:t>您、被保险人或者受益人故意或者因重大过失未及时通知，致使保险事故的性质、原</w:t>
      </w:r>
      <w:r>
        <w:rPr>
          <w:rFonts w:ascii="黑体" w:eastAsia="黑体"/>
          <w:spacing w:val="-2"/>
          <w:sz w:val="24"/>
        </w:rPr>
        <w:t>因、程度等难以确定的，我们对无法确定的部分，不承担给付保险金的责任</w:t>
      </w:r>
      <w:r>
        <w:rPr>
          <w:spacing w:val="-2"/>
          <w:sz w:val="21"/>
        </w:rPr>
        <w:t>，但我们通过其他</w:t>
      </w:r>
      <w:r>
        <w:rPr>
          <w:spacing w:val="-2"/>
          <w:sz w:val="21"/>
        </w:rPr>
        <w:t>途径已经及时知道或者应当及时知道保险事故发生的除外。</w:t>
      </w:r>
    </w:p>
    <w:p>
      <w:pPr>
        <w:pStyle w:val="Heading2"/>
        <w:numPr>
          <w:ilvl w:val="1"/>
          <w:numId w:val="2"/>
        </w:numPr>
        <w:tabs>
          <w:tab w:pos="594" w:val="left" w:leader="none"/>
        </w:tabs>
        <w:spacing w:line="240" w:lineRule="auto" w:before="69" w:after="0"/>
        <w:ind w:left="593" w:right="0" w:hanging="482"/>
        <w:jc w:val="left"/>
      </w:pPr>
      <w:bookmarkStart w:name="_bookmark21" w:id="42"/>
      <w:bookmarkEnd w:id="42"/>
      <w:r>
        <w:rPr>
          <w:b w:val="0"/>
        </w:rPr>
      </w:r>
      <w:bookmarkStart w:name="_bookmark21" w:id="43"/>
      <w:bookmarkEnd w:id="43"/>
      <w:r>
        <w:rPr>
          <w:w w:val="95"/>
        </w:rPr>
        <w:t>保</w:t>
      </w:r>
      <w:r>
        <w:rPr>
          <w:w w:val="95"/>
        </w:rPr>
        <w:t>险</w:t>
      </w:r>
      <w:r>
        <w:rPr>
          <w:w w:val="95"/>
        </w:rPr>
        <w:t>金</w:t>
      </w:r>
      <w:r>
        <w:rPr>
          <w:w w:val="95"/>
        </w:rPr>
        <w:t>的</w:t>
      </w:r>
      <w:r>
        <w:rPr>
          <w:w w:val="95"/>
        </w:rPr>
        <w:t>申</w:t>
      </w:r>
      <w:r>
        <w:rPr>
          <w:w w:val="95"/>
        </w:rPr>
        <w:t>请</w:t>
      </w:r>
      <w:r>
        <w:rPr>
          <w:w w:val="95"/>
        </w:rPr>
        <w:t>和</w:t>
      </w:r>
      <w:r>
        <w:rPr>
          <w:w w:val="95"/>
        </w:rPr>
        <w:t>给</w:t>
      </w:r>
      <w:r>
        <w:rPr>
          <w:spacing w:val="-10"/>
          <w:w w:val="95"/>
        </w:rPr>
        <w:t>付</w:t>
      </w:r>
    </w:p>
    <w:p>
      <w:pPr>
        <w:pStyle w:val="BodyText"/>
        <w:spacing w:before="37"/>
        <w:ind w:left="533"/>
      </w:pPr>
      <w:r>
        <w:rPr>
          <w:spacing w:val="-3"/>
        </w:rPr>
        <w:t>一、大学教育金、大学毕业金、深造教育金的申请</w:t>
      </w:r>
    </w:p>
    <w:p>
      <w:pPr>
        <w:pStyle w:val="BodyText"/>
        <w:spacing w:line="278" w:lineRule="auto" w:before="44"/>
        <w:ind w:right="326" w:firstLine="420"/>
      </w:pPr>
      <w:r>
        <w:rPr>
          <w:spacing w:val="-2"/>
        </w:rPr>
        <w:t>由大学教育金、大学毕业金、深造教育金受益人作为申请人，向我们提交保险金给付申请书和下列证</w:t>
      </w:r>
      <w:r>
        <w:rPr>
          <w:spacing w:val="-2"/>
        </w:rPr>
        <w:t>明材料申请给付：</w:t>
      </w:r>
    </w:p>
    <w:p>
      <w:pPr>
        <w:pStyle w:val="ListParagraph"/>
        <w:numPr>
          <w:ilvl w:val="0"/>
          <w:numId w:val="6"/>
        </w:numPr>
        <w:tabs>
          <w:tab w:pos="1063" w:val="left" w:leader="none"/>
        </w:tabs>
        <w:spacing w:line="269" w:lineRule="exact" w:before="0" w:after="0"/>
        <w:ind w:left="1062" w:right="0" w:hanging="530"/>
        <w:jc w:val="left"/>
        <w:rPr>
          <w:sz w:val="21"/>
        </w:rPr>
      </w:pPr>
      <w:r>
        <w:rPr>
          <w:spacing w:val="-4"/>
          <w:sz w:val="21"/>
        </w:rPr>
        <w:t>保险合同；</w:t>
      </w:r>
    </w:p>
    <w:p>
      <w:pPr>
        <w:pStyle w:val="ListParagraph"/>
        <w:numPr>
          <w:ilvl w:val="0"/>
          <w:numId w:val="6"/>
        </w:numPr>
        <w:tabs>
          <w:tab w:pos="1063" w:val="left" w:leader="none"/>
        </w:tabs>
        <w:spacing w:line="240" w:lineRule="auto" w:before="43" w:after="0"/>
        <w:ind w:left="1062" w:right="0" w:hanging="530"/>
        <w:jc w:val="left"/>
        <w:rPr>
          <w:sz w:val="21"/>
        </w:rPr>
      </w:pPr>
      <w:r>
        <w:rPr>
          <w:spacing w:val="-3"/>
          <w:sz w:val="21"/>
        </w:rPr>
        <w:t>被保险人的有效身份证件；</w:t>
      </w:r>
    </w:p>
    <w:p>
      <w:pPr>
        <w:pStyle w:val="ListParagraph"/>
        <w:numPr>
          <w:ilvl w:val="0"/>
          <w:numId w:val="6"/>
        </w:numPr>
        <w:tabs>
          <w:tab w:pos="1063" w:val="left" w:leader="none"/>
        </w:tabs>
        <w:spacing w:line="240" w:lineRule="auto" w:before="43" w:after="0"/>
        <w:ind w:left="1062" w:right="0" w:hanging="530"/>
        <w:jc w:val="left"/>
        <w:rPr>
          <w:sz w:val="21"/>
        </w:rPr>
      </w:pPr>
      <w:r>
        <w:rPr>
          <w:spacing w:val="-3"/>
          <w:sz w:val="21"/>
        </w:rPr>
        <w:t>受益人的有效身份证件；</w:t>
      </w:r>
    </w:p>
    <w:p>
      <w:pPr>
        <w:pStyle w:val="ListParagraph"/>
        <w:numPr>
          <w:ilvl w:val="0"/>
          <w:numId w:val="6"/>
        </w:numPr>
        <w:tabs>
          <w:tab w:pos="1063" w:val="left" w:leader="none"/>
        </w:tabs>
        <w:spacing w:line="240" w:lineRule="auto" w:before="43" w:after="0"/>
        <w:ind w:left="1062" w:right="0" w:hanging="530"/>
        <w:jc w:val="left"/>
        <w:rPr>
          <w:sz w:val="21"/>
        </w:rPr>
      </w:pPr>
      <w:r>
        <w:rPr>
          <w:spacing w:val="-3"/>
          <w:sz w:val="21"/>
        </w:rPr>
        <w:t>申请人所能提供的与领取保险金有关的证明材料。</w:t>
      </w:r>
    </w:p>
    <w:p>
      <w:pPr>
        <w:spacing w:line="242" w:lineRule="auto" w:before="20"/>
        <w:ind w:left="112" w:right="328" w:firstLine="420"/>
        <w:jc w:val="both"/>
        <w:rPr>
          <w:rFonts w:ascii="黑体" w:eastAsia="黑体"/>
          <w:sz w:val="24"/>
        </w:rPr>
      </w:pPr>
      <w:r>
        <w:rPr>
          <w:spacing w:val="-4"/>
          <w:sz w:val="21"/>
        </w:rPr>
        <w:t>在支付大学教育金、大学毕业金及深造教育金时，我们有权对被保险人的生存状态进行调查。</w:t>
      </w:r>
      <w:r>
        <w:rPr>
          <w:rFonts w:ascii="黑体" w:eastAsia="黑体"/>
          <w:spacing w:val="-4"/>
          <w:sz w:val="24"/>
        </w:rPr>
        <w:t>如果我</w:t>
      </w:r>
      <w:r>
        <w:rPr>
          <w:rFonts w:ascii="黑体" w:eastAsia="黑体"/>
          <w:spacing w:val="-2"/>
          <w:sz w:val="24"/>
        </w:rPr>
        <w:t>们实际支付的大学教育金、大学毕业金或深造教育金多于我们应该支付的大学教育金、大学</w:t>
      </w:r>
      <w:r>
        <w:rPr>
          <w:rFonts w:ascii="黑体" w:eastAsia="黑体"/>
          <w:spacing w:val="-2"/>
          <w:sz w:val="24"/>
        </w:rPr>
        <w:t>毕业金或深造教育金，获得多支付保险金的一方应予返还。</w:t>
      </w:r>
    </w:p>
    <w:p>
      <w:pPr>
        <w:pStyle w:val="BodyText"/>
        <w:spacing w:before="27"/>
        <w:ind w:left="533"/>
      </w:pPr>
      <w:r>
        <w:rPr>
          <w:spacing w:val="-3"/>
        </w:rPr>
        <w:t>二、身故保险金的申请</w:t>
      </w:r>
    </w:p>
    <w:p>
      <w:pPr>
        <w:pStyle w:val="BodyText"/>
        <w:ind w:left="533"/>
      </w:pPr>
      <w:r>
        <w:rPr>
          <w:spacing w:val="-3"/>
        </w:rPr>
        <w:t>由身故保险金受益人作为申请人，向我们提交保险金给付申请书和下列证明材料申请给付：</w:t>
      </w:r>
    </w:p>
    <w:p>
      <w:pPr>
        <w:pStyle w:val="ListParagraph"/>
        <w:numPr>
          <w:ilvl w:val="0"/>
          <w:numId w:val="7"/>
        </w:numPr>
        <w:tabs>
          <w:tab w:pos="1063" w:val="left" w:leader="none"/>
        </w:tabs>
        <w:spacing w:line="240" w:lineRule="auto" w:before="43" w:after="0"/>
        <w:ind w:left="1062" w:right="0" w:hanging="530"/>
        <w:jc w:val="left"/>
        <w:rPr>
          <w:sz w:val="21"/>
        </w:rPr>
      </w:pPr>
      <w:r>
        <w:rPr>
          <w:spacing w:val="-4"/>
          <w:sz w:val="21"/>
        </w:rPr>
        <w:t>保险合同；</w:t>
      </w:r>
    </w:p>
    <w:p>
      <w:pPr>
        <w:pStyle w:val="ListParagraph"/>
        <w:numPr>
          <w:ilvl w:val="0"/>
          <w:numId w:val="7"/>
        </w:numPr>
        <w:tabs>
          <w:tab w:pos="1063" w:val="left" w:leader="none"/>
        </w:tabs>
        <w:spacing w:line="240" w:lineRule="auto" w:before="43" w:after="0"/>
        <w:ind w:left="1062" w:right="0" w:hanging="530"/>
        <w:jc w:val="left"/>
        <w:rPr>
          <w:sz w:val="21"/>
        </w:rPr>
      </w:pPr>
      <w:r>
        <w:rPr>
          <w:spacing w:val="-3"/>
          <w:sz w:val="21"/>
        </w:rPr>
        <w:t>受益人的有效身份证件；</w:t>
      </w:r>
    </w:p>
    <w:p>
      <w:pPr>
        <w:pStyle w:val="ListParagraph"/>
        <w:numPr>
          <w:ilvl w:val="0"/>
          <w:numId w:val="7"/>
        </w:numPr>
        <w:tabs>
          <w:tab w:pos="1063" w:val="left" w:leader="none"/>
        </w:tabs>
        <w:spacing w:line="278" w:lineRule="auto" w:before="43" w:after="0"/>
        <w:ind w:left="533" w:right="410" w:firstLine="0"/>
        <w:jc w:val="left"/>
        <w:rPr>
          <w:sz w:val="21"/>
        </w:rPr>
      </w:pPr>
      <w:r>
        <w:rPr>
          <w:spacing w:val="-2"/>
          <w:sz w:val="21"/>
        </w:rPr>
        <w:t>公安机关或符合资质的医疗机构出具的被保险人死亡证明书原件；如被保险人被宣告死亡，须</w:t>
      </w:r>
      <w:r>
        <w:rPr>
          <w:spacing w:val="-2"/>
          <w:sz w:val="21"/>
        </w:rPr>
        <w:t>提供人民法院出具的宣告死亡证明材料原件；</w:t>
      </w:r>
    </w:p>
    <w:p>
      <w:pPr>
        <w:pStyle w:val="ListParagraph"/>
        <w:numPr>
          <w:ilvl w:val="0"/>
          <w:numId w:val="7"/>
        </w:numPr>
        <w:tabs>
          <w:tab w:pos="1063" w:val="left" w:leader="none"/>
        </w:tabs>
        <w:spacing w:line="269" w:lineRule="exact" w:before="0" w:after="0"/>
        <w:ind w:left="1062" w:right="0" w:hanging="530"/>
        <w:jc w:val="left"/>
        <w:rPr>
          <w:sz w:val="21"/>
        </w:rPr>
      </w:pPr>
      <w:r>
        <w:rPr>
          <w:spacing w:val="-3"/>
          <w:sz w:val="21"/>
        </w:rPr>
        <w:t>申请人所能提供与确认保险事故的性质、原因等有关的其他证明材料。</w:t>
      </w:r>
    </w:p>
    <w:p>
      <w:pPr>
        <w:pStyle w:val="BodyText"/>
        <w:spacing w:line="278" w:lineRule="auto"/>
        <w:ind w:right="326" w:firstLine="420"/>
      </w:pPr>
      <w:r>
        <w:rPr>
          <w:spacing w:val="-2"/>
        </w:rPr>
        <w:t>身故保险金作为被保险人的遗产处理时，被保险人的继承人除应提供上述证明材料外，还应向我们提</w:t>
      </w:r>
      <w:r>
        <w:rPr>
          <w:spacing w:val="-2"/>
        </w:rPr>
        <w:t>供证明其继承权的有效公证文书或法律文件。</w:t>
      </w:r>
    </w:p>
    <w:p>
      <w:pPr>
        <w:spacing w:line="284" w:lineRule="exact" w:before="0"/>
        <w:ind w:left="593" w:right="0" w:firstLine="0"/>
        <w:jc w:val="left"/>
        <w:rPr>
          <w:rFonts w:ascii="黑体" w:eastAsia="黑体"/>
          <w:sz w:val="24"/>
        </w:rPr>
      </w:pPr>
      <w:r>
        <w:rPr>
          <w:rFonts w:ascii="黑体" w:eastAsia="黑体"/>
          <w:spacing w:val="-1"/>
          <w:sz w:val="24"/>
        </w:rPr>
        <w:t>在本合同保险期间内，被保险人下落不明且经人民法院宣告被保险人死亡的，我们根据</w:t>
      </w:r>
    </w:p>
    <w:p>
      <w:pPr>
        <w:spacing w:line="244" w:lineRule="auto" w:before="5"/>
        <w:ind w:left="112" w:right="339" w:firstLine="0"/>
        <w:jc w:val="both"/>
        <w:rPr>
          <w:rFonts w:ascii="黑体" w:eastAsia="黑体"/>
          <w:sz w:val="24"/>
        </w:rPr>
      </w:pPr>
      <w:r>
        <w:rPr>
          <w:rFonts w:ascii="黑体" w:eastAsia="黑体"/>
          <w:spacing w:val="-2"/>
          <w:sz w:val="24"/>
        </w:rPr>
        <w:t>人民法院宣告死亡判决依法确定被保险人死亡日期，并按本条款与身故有关的约定处理。若</w:t>
      </w:r>
      <w:r>
        <w:rPr>
          <w:rFonts w:ascii="黑体" w:eastAsia="黑体"/>
          <w:spacing w:val="-2"/>
          <w:sz w:val="24"/>
        </w:rPr>
        <w:t>被保险人在宣告死亡后重新出现，身故保险金受益人或继承人应于知道或应该知道被保险人</w:t>
      </w:r>
      <w:r>
        <w:rPr>
          <w:rFonts w:ascii="黑体" w:eastAsia="黑体"/>
          <w:spacing w:val="-4"/>
          <w:sz w:val="24"/>
        </w:rPr>
        <w:t>重新出现后 </w:t>
      </w:r>
      <w:r>
        <w:rPr>
          <w:rFonts w:ascii="黑体" w:eastAsia="黑体"/>
          <w:sz w:val="24"/>
        </w:rPr>
        <w:t>30</w:t>
      </w:r>
      <w:r>
        <w:rPr>
          <w:rFonts w:ascii="黑体" w:eastAsia="黑体"/>
          <w:spacing w:val="-5"/>
          <w:sz w:val="24"/>
        </w:rPr>
        <w:t> 日内将领取的身故保险金退还给我们。</w:t>
      </w:r>
    </w:p>
    <w:p>
      <w:pPr>
        <w:pStyle w:val="BodyText"/>
        <w:spacing w:before="18"/>
        <w:ind w:left="533"/>
      </w:pPr>
      <w:r>
        <w:rPr>
          <w:spacing w:val="-3"/>
        </w:rPr>
        <w:t>三、满期保险金的申请</w:t>
      </w:r>
    </w:p>
    <w:p>
      <w:pPr>
        <w:pStyle w:val="BodyText"/>
        <w:ind w:left="533"/>
      </w:pPr>
      <w:r>
        <w:rPr>
          <w:spacing w:val="-3"/>
        </w:rPr>
        <w:t>由满期保险金受益人作为申请人，向我们提交保险金给付申请书和下列证明材料申请给付：</w:t>
      </w:r>
    </w:p>
    <w:p>
      <w:pPr>
        <w:spacing w:after="0"/>
        <w:sectPr>
          <w:pgSz w:w="11910" w:h="16840"/>
          <w:pgMar w:header="0" w:footer="908" w:top="1080" w:bottom="1100" w:left="1020" w:right="800"/>
        </w:sectPr>
      </w:pPr>
    </w:p>
    <w:p>
      <w:pPr>
        <w:pStyle w:val="ListParagraph"/>
        <w:numPr>
          <w:ilvl w:val="0"/>
          <w:numId w:val="8"/>
        </w:numPr>
        <w:tabs>
          <w:tab w:pos="1063" w:val="left" w:leader="none"/>
        </w:tabs>
        <w:spacing w:line="240" w:lineRule="auto" w:before="57" w:after="0"/>
        <w:ind w:left="1062" w:right="0" w:hanging="530"/>
        <w:jc w:val="left"/>
        <w:rPr>
          <w:sz w:val="21"/>
        </w:rPr>
      </w:pPr>
      <w:r>
        <w:rPr>
          <w:spacing w:val="-4"/>
          <w:sz w:val="21"/>
        </w:rPr>
        <w:t>保险合同；</w:t>
      </w:r>
    </w:p>
    <w:p>
      <w:pPr>
        <w:pStyle w:val="ListParagraph"/>
        <w:numPr>
          <w:ilvl w:val="0"/>
          <w:numId w:val="8"/>
        </w:numPr>
        <w:tabs>
          <w:tab w:pos="1063" w:val="left" w:leader="none"/>
        </w:tabs>
        <w:spacing w:line="240" w:lineRule="auto" w:before="43" w:after="0"/>
        <w:ind w:left="1062" w:right="0" w:hanging="530"/>
        <w:jc w:val="left"/>
        <w:rPr>
          <w:sz w:val="21"/>
        </w:rPr>
      </w:pPr>
      <w:r>
        <w:rPr>
          <w:spacing w:val="-3"/>
          <w:sz w:val="21"/>
        </w:rPr>
        <w:t>被保险人的有效身份证件；</w:t>
      </w:r>
    </w:p>
    <w:p>
      <w:pPr>
        <w:pStyle w:val="ListParagraph"/>
        <w:numPr>
          <w:ilvl w:val="0"/>
          <w:numId w:val="8"/>
        </w:numPr>
        <w:tabs>
          <w:tab w:pos="1063" w:val="left" w:leader="none"/>
        </w:tabs>
        <w:spacing w:line="240" w:lineRule="auto" w:before="43" w:after="0"/>
        <w:ind w:left="1062" w:right="0" w:hanging="530"/>
        <w:jc w:val="left"/>
        <w:rPr>
          <w:sz w:val="21"/>
        </w:rPr>
      </w:pPr>
      <w:r>
        <w:rPr>
          <w:spacing w:val="-3"/>
          <w:sz w:val="21"/>
        </w:rPr>
        <w:t>受益人的有效身份证件；</w:t>
      </w:r>
    </w:p>
    <w:p>
      <w:pPr>
        <w:pStyle w:val="ListParagraph"/>
        <w:numPr>
          <w:ilvl w:val="0"/>
          <w:numId w:val="8"/>
        </w:numPr>
        <w:tabs>
          <w:tab w:pos="1063" w:val="left" w:leader="none"/>
        </w:tabs>
        <w:spacing w:line="240" w:lineRule="auto" w:before="43" w:after="0"/>
        <w:ind w:left="1062" w:right="0" w:hanging="530"/>
        <w:jc w:val="left"/>
        <w:rPr>
          <w:sz w:val="21"/>
        </w:rPr>
      </w:pPr>
      <w:r>
        <w:rPr>
          <w:spacing w:val="-3"/>
          <w:sz w:val="21"/>
        </w:rPr>
        <w:t>申请人所能提供的与领取保险金有关的其他证明材料。</w:t>
      </w:r>
    </w:p>
    <w:p>
      <w:pPr>
        <w:spacing w:line="242" w:lineRule="auto" w:before="20"/>
        <w:ind w:left="112" w:right="331" w:firstLine="420"/>
        <w:jc w:val="left"/>
        <w:rPr>
          <w:rFonts w:ascii="黑体" w:eastAsia="黑体"/>
          <w:sz w:val="24"/>
        </w:rPr>
      </w:pPr>
      <w:r>
        <w:rPr>
          <w:spacing w:val="-8"/>
          <w:sz w:val="21"/>
        </w:rPr>
        <w:t>在决定是否给付满期保险金时，我们有权对被保险人的生存状态进行调查。</w:t>
      </w:r>
      <w:r>
        <w:rPr>
          <w:rFonts w:ascii="黑体" w:eastAsia="黑体"/>
          <w:spacing w:val="-2"/>
          <w:sz w:val="24"/>
        </w:rPr>
        <w:t>如果被保险人不符合满</w:t>
      </w:r>
      <w:r>
        <w:rPr>
          <w:rFonts w:ascii="黑体" w:eastAsia="黑体"/>
          <w:spacing w:val="-2"/>
          <w:sz w:val="24"/>
        </w:rPr>
        <w:t>期保险金领取条件而我们实际支付了满期保险金，获得满期保险金的一方应予返还。</w:t>
      </w:r>
    </w:p>
    <w:p>
      <w:pPr>
        <w:pStyle w:val="BodyText"/>
        <w:spacing w:line="278" w:lineRule="auto" w:before="26"/>
        <w:ind w:right="326" w:firstLine="420"/>
      </w:pPr>
      <w:r>
        <w:rPr>
          <w:spacing w:val="-2"/>
        </w:rPr>
        <w:t>四、我们收到申请人提交的保险金给付申请书及上述证明材料后，认为有关的证明材料不完整的，将</w:t>
      </w:r>
      <w:r>
        <w:rPr>
          <w:spacing w:val="-4"/>
        </w:rPr>
        <w:t>及时一次性通知申请人补充提供。我们收到申请书及完整的证明材料后，将在 </w:t>
      </w:r>
      <w:r>
        <w:rPr>
          <w:rFonts w:ascii="Times New Roman" w:eastAsia="Times New Roman"/>
          <w:spacing w:val="-2"/>
        </w:rPr>
        <w:t>5</w:t>
      </w:r>
      <w:r>
        <w:rPr>
          <w:rFonts w:ascii="Times New Roman" w:eastAsia="Times New Roman"/>
          <w:spacing w:val="3"/>
        </w:rPr>
        <w:t> </w:t>
      </w:r>
      <w:r>
        <w:rPr>
          <w:spacing w:val="-3"/>
        </w:rPr>
        <w:t>日内作出核定；情形复杂</w:t>
      </w:r>
    </w:p>
    <w:p>
      <w:pPr>
        <w:pStyle w:val="BodyText"/>
        <w:spacing w:line="269" w:lineRule="exact" w:before="0"/>
      </w:pPr>
      <w:r>
        <w:rPr>
          <w:spacing w:val="-11"/>
        </w:rPr>
        <w:t>的，将在 </w:t>
      </w:r>
      <w:r>
        <w:rPr>
          <w:rFonts w:ascii="Times New Roman" w:eastAsia="Times New Roman"/>
          <w:spacing w:val="-2"/>
        </w:rPr>
        <w:t>30</w:t>
      </w:r>
      <w:r>
        <w:rPr>
          <w:rFonts w:ascii="Times New Roman" w:eastAsia="Times New Roman"/>
          <w:spacing w:val="8"/>
        </w:rPr>
        <w:t> </w:t>
      </w:r>
      <w:r>
        <w:rPr>
          <w:spacing w:val="-3"/>
        </w:rPr>
        <w:t>日内作出核定，但有下列任一情形的除外：</w:t>
      </w:r>
    </w:p>
    <w:p>
      <w:pPr>
        <w:pStyle w:val="ListParagraph"/>
        <w:numPr>
          <w:ilvl w:val="0"/>
          <w:numId w:val="9"/>
        </w:numPr>
        <w:tabs>
          <w:tab w:pos="1041" w:val="left" w:leader="none"/>
        </w:tabs>
        <w:spacing w:line="240" w:lineRule="auto" w:before="43" w:after="0"/>
        <w:ind w:left="1040" w:right="0" w:hanging="530"/>
        <w:jc w:val="left"/>
        <w:rPr>
          <w:sz w:val="21"/>
        </w:rPr>
      </w:pPr>
      <w:r>
        <w:rPr>
          <w:spacing w:val="-3"/>
          <w:sz w:val="21"/>
        </w:rPr>
        <w:t>您或被保险人或受益人不及时配合我们的理赔调查；</w:t>
      </w:r>
    </w:p>
    <w:p>
      <w:pPr>
        <w:pStyle w:val="ListParagraph"/>
        <w:numPr>
          <w:ilvl w:val="0"/>
          <w:numId w:val="9"/>
        </w:numPr>
        <w:tabs>
          <w:tab w:pos="1041" w:val="left" w:leader="none"/>
        </w:tabs>
        <w:spacing w:line="240" w:lineRule="auto" w:before="43" w:after="0"/>
        <w:ind w:left="1040" w:right="0" w:hanging="530"/>
        <w:jc w:val="left"/>
        <w:rPr>
          <w:sz w:val="21"/>
        </w:rPr>
      </w:pPr>
      <w:r>
        <w:rPr>
          <w:spacing w:val="-3"/>
          <w:sz w:val="21"/>
        </w:rPr>
        <w:t>被保险人身处偏远地区，导致我们不能及时了解情况；</w:t>
      </w:r>
    </w:p>
    <w:p>
      <w:pPr>
        <w:pStyle w:val="ListParagraph"/>
        <w:numPr>
          <w:ilvl w:val="0"/>
          <w:numId w:val="9"/>
        </w:numPr>
        <w:tabs>
          <w:tab w:pos="1041" w:val="left" w:leader="none"/>
        </w:tabs>
        <w:spacing w:line="240" w:lineRule="auto" w:before="43" w:after="0"/>
        <w:ind w:left="1040" w:right="0" w:hanging="530"/>
        <w:jc w:val="left"/>
        <w:rPr>
          <w:sz w:val="21"/>
        </w:rPr>
      </w:pPr>
      <w:r>
        <w:rPr>
          <w:spacing w:val="-3"/>
          <w:sz w:val="21"/>
        </w:rPr>
        <w:t>不可抗力导致我们不能及时进行理赔。</w:t>
      </w:r>
    </w:p>
    <w:p>
      <w:pPr>
        <w:pStyle w:val="BodyText"/>
        <w:spacing w:line="278" w:lineRule="auto"/>
        <w:ind w:right="326" w:firstLine="420"/>
        <w:jc w:val="both"/>
      </w:pPr>
      <w:r>
        <w:rPr>
          <w:spacing w:val="-1"/>
        </w:rPr>
        <w:t>对核定属于保险责任的，我们在与申请人达成有关给付保险金协议后 </w:t>
      </w:r>
      <w:r>
        <w:rPr>
          <w:rFonts w:ascii="Times New Roman" w:eastAsia="Times New Roman"/>
        </w:rPr>
        <w:t>10</w:t>
      </w:r>
      <w:r>
        <w:rPr>
          <w:rFonts w:ascii="Times New Roman" w:eastAsia="Times New Roman"/>
          <w:spacing w:val="27"/>
        </w:rPr>
        <w:t> </w:t>
      </w:r>
      <w:r>
        <w:rPr/>
        <w:t>日内给付保险金；未及时给</w:t>
      </w:r>
      <w:r>
        <w:rPr>
          <w:spacing w:val="-2"/>
        </w:rPr>
        <w:t>付的，除支付保险金外，应当赔偿受益人因此受到的损失。对核定不属于保险责任的，我们自作出核定之</w:t>
      </w:r>
      <w:r>
        <w:rPr>
          <w:spacing w:val="-7"/>
        </w:rPr>
        <w:t>日起 </w:t>
      </w:r>
      <w:r>
        <w:rPr>
          <w:rFonts w:ascii="Times New Roman" w:eastAsia="Times New Roman"/>
        </w:rPr>
        <w:t>3 </w:t>
      </w:r>
      <w:r>
        <w:rPr/>
        <w:t>日内向申请人发出拒绝给付保险金通知书，并说明理由。</w:t>
      </w:r>
    </w:p>
    <w:p>
      <w:pPr>
        <w:pStyle w:val="BodyText"/>
        <w:spacing w:line="278" w:lineRule="auto" w:before="0"/>
        <w:ind w:right="326" w:firstLine="420"/>
        <w:jc w:val="both"/>
      </w:pPr>
      <w:r>
        <w:rPr>
          <w:spacing w:val="-1"/>
        </w:rPr>
        <w:t>我们在收到保险金给付申请书及有关证明材料之日起 </w:t>
      </w:r>
      <w:r>
        <w:rPr>
          <w:rFonts w:ascii="Times New Roman" w:eastAsia="Times New Roman"/>
        </w:rPr>
        <w:t>60</w:t>
      </w:r>
      <w:r>
        <w:rPr>
          <w:rFonts w:ascii="Times New Roman" w:eastAsia="Times New Roman"/>
          <w:spacing w:val="28"/>
        </w:rPr>
        <w:t> </w:t>
      </w:r>
      <w:r>
        <w:rPr/>
        <w:t>日内，对给付保险金的数额不能确定的，将</w:t>
      </w:r>
      <w:r>
        <w:rPr>
          <w:spacing w:val="-2"/>
        </w:rPr>
        <w:t>先予支付根据已有证明材料可以确定的数额。最终确定应给付保险金的数额后，我们将扣除已先予支付的</w:t>
      </w:r>
      <w:r>
        <w:rPr>
          <w:spacing w:val="-2"/>
        </w:rPr>
        <w:t>保险金数额，支付相应的差额。</w:t>
      </w:r>
    </w:p>
    <w:p>
      <w:pPr>
        <w:pStyle w:val="BodyText"/>
        <w:spacing w:line="269" w:lineRule="exact" w:before="0"/>
        <w:ind w:left="533"/>
        <w:jc w:val="both"/>
      </w:pPr>
      <w:r>
        <w:rPr>
          <w:spacing w:val="-15"/>
        </w:rPr>
        <w:t>五、申请人请求给付保险金的诉讼时效期间为 </w:t>
      </w:r>
      <w:r>
        <w:rPr>
          <w:rFonts w:ascii="Times New Roman" w:eastAsia="Times New Roman"/>
          <w:spacing w:val="-2"/>
        </w:rPr>
        <w:t>5</w:t>
      </w:r>
      <w:r>
        <w:rPr>
          <w:rFonts w:ascii="Times New Roman" w:eastAsia="Times New Roman"/>
          <w:spacing w:val="2"/>
        </w:rPr>
        <w:t> </w:t>
      </w:r>
      <w:r>
        <w:rPr>
          <w:spacing w:val="-13"/>
        </w:rPr>
        <w:t>年，自其知道或者应当知道保险事故发生之日起计算。</w:t>
      </w:r>
    </w:p>
    <w:p>
      <w:pPr>
        <w:pStyle w:val="Heading2"/>
        <w:numPr>
          <w:ilvl w:val="1"/>
          <w:numId w:val="2"/>
        </w:numPr>
        <w:tabs>
          <w:tab w:pos="594" w:val="left" w:leader="none"/>
        </w:tabs>
        <w:spacing w:line="240" w:lineRule="auto" w:before="86" w:after="0"/>
        <w:ind w:left="593" w:right="0" w:hanging="482"/>
        <w:jc w:val="left"/>
      </w:pPr>
      <w:bookmarkStart w:name="_bookmark22" w:id="44"/>
      <w:bookmarkEnd w:id="44"/>
      <w:r>
        <w:rPr>
          <w:b w:val="0"/>
        </w:rPr>
      </w:r>
      <w:bookmarkStart w:name="_bookmark22" w:id="45"/>
      <w:bookmarkEnd w:id="45"/>
      <w:r>
        <w:rPr>
          <w:w w:val="95"/>
        </w:rPr>
        <w:t>欠</w:t>
      </w:r>
      <w:r>
        <w:rPr>
          <w:w w:val="95"/>
        </w:rPr>
        <w:t>交</w:t>
      </w:r>
      <w:r>
        <w:rPr>
          <w:w w:val="95"/>
        </w:rPr>
        <w:t>保</w:t>
      </w:r>
      <w:r>
        <w:rPr>
          <w:w w:val="95"/>
        </w:rPr>
        <w:t>险</w:t>
      </w:r>
      <w:r>
        <w:rPr>
          <w:w w:val="95"/>
        </w:rPr>
        <w:t>费</w:t>
      </w:r>
      <w:r>
        <w:rPr>
          <w:w w:val="95"/>
        </w:rPr>
        <w:t>及</w:t>
      </w:r>
      <w:r>
        <w:rPr>
          <w:w w:val="95"/>
        </w:rPr>
        <w:t>未</w:t>
      </w:r>
      <w:r>
        <w:rPr>
          <w:w w:val="95"/>
        </w:rPr>
        <w:t>还</w:t>
      </w:r>
      <w:r>
        <w:rPr>
          <w:w w:val="95"/>
        </w:rPr>
        <w:t>款</w:t>
      </w:r>
      <w:r>
        <w:rPr>
          <w:w w:val="95"/>
        </w:rPr>
        <w:t>项</w:t>
      </w:r>
      <w:r>
        <w:rPr>
          <w:w w:val="95"/>
        </w:rPr>
        <w:t>的</w:t>
      </w:r>
      <w:r>
        <w:rPr>
          <w:w w:val="95"/>
        </w:rPr>
        <w:t>扣</w:t>
      </w:r>
      <w:r>
        <w:rPr>
          <w:spacing w:val="-10"/>
          <w:w w:val="95"/>
        </w:rPr>
        <w:t>除</w:t>
      </w:r>
    </w:p>
    <w:p>
      <w:pPr>
        <w:pStyle w:val="BodyText"/>
        <w:spacing w:line="278" w:lineRule="auto" w:before="37"/>
        <w:ind w:right="326" w:firstLine="420"/>
      </w:pPr>
      <w:r>
        <w:rPr>
          <w:spacing w:val="-2"/>
        </w:rPr>
        <w:t>我们在办理给付保险金、返还现金价值或返还您交付的保险费等事项时，如果您有欠交的保险费或其</w:t>
      </w:r>
      <w:r>
        <w:rPr>
          <w:spacing w:val="-2"/>
        </w:rPr>
        <w:t>他尚未还清的款项，我们将在所应给付的金额中扣除您的所有欠款。</w:t>
      </w:r>
    </w:p>
    <w:p>
      <w:pPr>
        <w:pStyle w:val="Heading1"/>
        <w:numPr>
          <w:ilvl w:val="0"/>
          <w:numId w:val="2"/>
        </w:numPr>
        <w:tabs>
          <w:tab w:pos="594" w:val="left" w:leader="none"/>
        </w:tabs>
        <w:spacing w:line="240" w:lineRule="auto" w:before="57" w:after="0"/>
        <w:ind w:left="593" w:right="0" w:hanging="482"/>
        <w:jc w:val="left"/>
      </w:pPr>
      <w:bookmarkStart w:name="_bookmark23" w:id="46"/>
      <w:bookmarkEnd w:id="46"/>
      <w:r>
        <w:rPr/>
      </w:r>
      <w:bookmarkStart w:name="_bookmark23" w:id="47"/>
      <w:bookmarkEnd w:id="47"/>
      <w:r>
        <w:rPr>
          <w:spacing w:val="-1"/>
        </w:rPr>
        <w:t>您需要了解的其他内容</w:t>
      </w:r>
    </w:p>
    <w:p>
      <w:pPr>
        <w:pStyle w:val="Heading2"/>
        <w:numPr>
          <w:ilvl w:val="1"/>
          <w:numId w:val="2"/>
        </w:numPr>
        <w:tabs>
          <w:tab w:pos="594" w:val="left" w:leader="none"/>
        </w:tabs>
        <w:spacing w:line="240" w:lineRule="auto" w:before="147" w:after="0"/>
        <w:ind w:left="593" w:right="0" w:hanging="482"/>
        <w:jc w:val="left"/>
      </w:pPr>
      <w:bookmarkStart w:name="_bookmark24" w:id="48"/>
      <w:bookmarkEnd w:id="48"/>
      <w:r>
        <w:rPr>
          <w:b w:val="0"/>
        </w:rPr>
      </w:r>
      <w:bookmarkStart w:name="_bookmark24" w:id="49"/>
      <w:bookmarkEnd w:id="49"/>
      <w:r>
        <w:rPr>
          <w:w w:val="95"/>
        </w:rPr>
        <w:t>年</w:t>
      </w:r>
      <w:r>
        <w:rPr>
          <w:w w:val="95"/>
        </w:rPr>
        <w:t>龄</w:t>
      </w:r>
      <w:r>
        <w:rPr>
          <w:w w:val="95"/>
        </w:rPr>
        <w:t>计</w:t>
      </w:r>
      <w:r>
        <w:rPr>
          <w:w w:val="95"/>
        </w:rPr>
        <w:t>算</w:t>
      </w:r>
      <w:r>
        <w:rPr>
          <w:w w:val="95"/>
        </w:rPr>
        <w:t>及</w:t>
      </w:r>
      <w:r>
        <w:rPr>
          <w:w w:val="95"/>
        </w:rPr>
        <w:t>错</w:t>
      </w:r>
      <w:r>
        <w:rPr>
          <w:w w:val="95"/>
        </w:rPr>
        <w:t>误</w:t>
      </w:r>
      <w:r>
        <w:rPr>
          <w:w w:val="95"/>
        </w:rPr>
        <w:t>处</w:t>
      </w:r>
      <w:r>
        <w:rPr>
          <w:spacing w:val="-10"/>
          <w:w w:val="95"/>
        </w:rPr>
        <w:t>理</w:t>
      </w:r>
    </w:p>
    <w:p>
      <w:pPr>
        <w:pStyle w:val="BodyText"/>
        <w:spacing w:line="278" w:lineRule="auto" w:before="38"/>
        <w:ind w:right="326" w:firstLine="420"/>
      </w:pPr>
      <w:r>
        <w:rPr>
          <w:spacing w:val="-2"/>
        </w:rPr>
        <w:t>被保险人的年龄按周岁计算。您在投保时应将被保险人的真实年龄准确填写在投保申请书上。如果发</w:t>
      </w:r>
      <w:r>
        <w:rPr>
          <w:spacing w:val="-2"/>
        </w:rPr>
        <w:t>生错误，我们按照下列规定办理：</w:t>
      </w:r>
    </w:p>
    <w:p>
      <w:pPr>
        <w:spacing w:line="284" w:lineRule="exact" w:before="0"/>
        <w:ind w:left="533" w:right="0" w:firstLine="0"/>
        <w:jc w:val="left"/>
        <w:rPr>
          <w:rFonts w:ascii="黑体" w:eastAsia="黑体"/>
          <w:sz w:val="24"/>
        </w:rPr>
      </w:pPr>
      <w:r>
        <w:rPr>
          <w:rFonts w:ascii="黑体" w:eastAsia="黑体"/>
          <w:spacing w:val="-11"/>
          <w:sz w:val="24"/>
        </w:rPr>
        <w:t>一、您申报的被保险人年龄不真实并且其真实年龄不符合本合同约定的年龄限制的，我们</w:t>
      </w:r>
    </w:p>
    <w:p>
      <w:pPr>
        <w:spacing w:line="242" w:lineRule="auto" w:before="4"/>
        <w:ind w:left="112" w:right="328" w:firstLine="0"/>
        <w:jc w:val="both"/>
        <w:rPr>
          <w:rFonts w:ascii="黑体" w:eastAsia="黑体"/>
          <w:sz w:val="24"/>
        </w:rPr>
      </w:pPr>
      <w:r>
        <w:rPr>
          <w:rFonts w:ascii="黑体" w:eastAsia="黑体"/>
          <w:spacing w:val="-2"/>
          <w:sz w:val="24"/>
        </w:rPr>
        <w:t>有权解除本合同，并向您退还合同解除之日的现金价值；该合同解除权，自我们知道年龄申</w:t>
      </w:r>
      <w:r>
        <w:rPr>
          <w:rFonts w:ascii="黑体" w:eastAsia="黑体"/>
          <w:w w:val="95"/>
          <w:sz w:val="24"/>
        </w:rPr>
        <w:t>报</w:t>
      </w:r>
      <w:r>
        <w:rPr>
          <w:rFonts w:ascii="黑体" w:eastAsia="黑体"/>
          <w:w w:val="95"/>
          <w:sz w:val="24"/>
        </w:rPr>
        <w:t>不</w:t>
      </w:r>
      <w:r>
        <w:rPr>
          <w:rFonts w:ascii="黑体" w:eastAsia="黑体"/>
          <w:w w:val="95"/>
          <w:sz w:val="24"/>
        </w:rPr>
        <w:t>真</w:t>
      </w:r>
      <w:r>
        <w:rPr>
          <w:rFonts w:ascii="黑体" w:eastAsia="黑体"/>
          <w:w w:val="95"/>
          <w:sz w:val="24"/>
        </w:rPr>
        <w:t>实</w:t>
      </w:r>
      <w:r>
        <w:rPr>
          <w:rFonts w:ascii="黑体" w:eastAsia="黑体"/>
          <w:w w:val="95"/>
          <w:sz w:val="24"/>
        </w:rPr>
        <w:t>之</w:t>
      </w:r>
      <w:r>
        <w:rPr>
          <w:rFonts w:ascii="黑体" w:eastAsia="黑体"/>
          <w:w w:val="95"/>
          <w:sz w:val="24"/>
        </w:rPr>
        <w:t>日</w:t>
      </w:r>
      <w:r>
        <w:rPr>
          <w:rFonts w:ascii="黑体" w:eastAsia="黑体"/>
          <w:w w:val="95"/>
          <w:sz w:val="24"/>
        </w:rPr>
        <w:t>起</w:t>
      </w:r>
      <w:r>
        <w:rPr>
          <w:rFonts w:ascii="黑体" w:eastAsia="黑体"/>
          <w:w w:val="95"/>
          <w:sz w:val="24"/>
        </w:rPr>
        <w:t>，</w:t>
      </w:r>
      <w:r>
        <w:rPr>
          <w:rFonts w:ascii="黑体" w:eastAsia="黑体"/>
          <w:w w:val="95"/>
          <w:sz w:val="24"/>
        </w:rPr>
        <w:t>超</w:t>
      </w:r>
      <w:r>
        <w:rPr>
          <w:rFonts w:ascii="黑体" w:eastAsia="黑体"/>
          <w:w w:val="95"/>
          <w:sz w:val="24"/>
        </w:rPr>
        <w:t>过</w:t>
      </w:r>
      <w:r>
        <w:rPr>
          <w:rFonts w:ascii="黑体" w:eastAsia="黑体"/>
          <w:w w:val="95"/>
          <w:sz w:val="24"/>
        </w:rPr>
        <w:t> 30 </w:t>
      </w:r>
      <w:r>
        <w:rPr>
          <w:rFonts w:ascii="黑体" w:eastAsia="黑体"/>
          <w:w w:val="95"/>
          <w:sz w:val="24"/>
        </w:rPr>
        <w:t>日</w:t>
      </w:r>
      <w:r>
        <w:rPr>
          <w:rFonts w:ascii="黑体" w:eastAsia="黑体"/>
          <w:w w:val="95"/>
          <w:sz w:val="24"/>
        </w:rPr>
        <w:t>不</w:t>
      </w:r>
      <w:r>
        <w:rPr>
          <w:rFonts w:ascii="黑体" w:eastAsia="黑体"/>
          <w:w w:val="95"/>
          <w:sz w:val="24"/>
        </w:rPr>
        <w:t>行</w:t>
      </w:r>
      <w:r>
        <w:rPr>
          <w:rFonts w:ascii="黑体" w:eastAsia="黑体"/>
          <w:w w:val="95"/>
          <w:sz w:val="24"/>
        </w:rPr>
        <w:t>使</w:t>
      </w:r>
      <w:r>
        <w:rPr>
          <w:rFonts w:ascii="黑体" w:eastAsia="黑体"/>
          <w:w w:val="95"/>
          <w:sz w:val="24"/>
        </w:rPr>
        <w:t>而</w:t>
      </w:r>
      <w:r>
        <w:rPr>
          <w:rFonts w:ascii="黑体" w:eastAsia="黑体"/>
          <w:w w:val="95"/>
          <w:sz w:val="24"/>
        </w:rPr>
        <w:t>消</w:t>
      </w:r>
      <w:r>
        <w:rPr>
          <w:rFonts w:ascii="黑体" w:eastAsia="黑体"/>
          <w:w w:val="95"/>
          <w:sz w:val="24"/>
        </w:rPr>
        <w:t>灭</w:t>
      </w:r>
      <w:r>
        <w:rPr>
          <w:rFonts w:ascii="黑体" w:eastAsia="黑体"/>
          <w:w w:val="95"/>
          <w:sz w:val="24"/>
        </w:rPr>
        <w:t>。</w:t>
      </w:r>
      <w:r>
        <w:rPr>
          <w:rFonts w:ascii="黑体" w:eastAsia="黑体"/>
          <w:w w:val="95"/>
          <w:sz w:val="24"/>
        </w:rPr>
        <w:t>但</w:t>
      </w:r>
      <w:r>
        <w:rPr>
          <w:rFonts w:ascii="黑体" w:eastAsia="黑体"/>
          <w:w w:val="95"/>
          <w:sz w:val="24"/>
        </w:rPr>
        <w:t>自</w:t>
      </w:r>
      <w:r>
        <w:rPr>
          <w:rFonts w:ascii="黑体" w:eastAsia="黑体"/>
          <w:w w:val="95"/>
          <w:sz w:val="24"/>
        </w:rPr>
        <w:t>本</w:t>
      </w:r>
      <w:r>
        <w:rPr>
          <w:rFonts w:ascii="黑体" w:eastAsia="黑体"/>
          <w:w w:val="95"/>
          <w:sz w:val="24"/>
        </w:rPr>
        <w:t>合</w:t>
      </w:r>
      <w:r>
        <w:rPr>
          <w:rFonts w:ascii="黑体" w:eastAsia="黑体"/>
          <w:w w:val="95"/>
          <w:sz w:val="24"/>
        </w:rPr>
        <w:t>同</w:t>
      </w:r>
      <w:r>
        <w:rPr>
          <w:rFonts w:ascii="黑体" w:eastAsia="黑体"/>
          <w:w w:val="95"/>
          <w:sz w:val="24"/>
        </w:rPr>
        <w:t>成</w:t>
      </w:r>
      <w:r>
        <w:rPr>
          <w:rFonts w:ascii="黑体" w:eastAsia="黑体"/>
          <w:w w:val="95"/>
          <w:sz w:val="24"/>
        </w:rPr>
        <w:t>立</w:t>
      </w:r>
      <w:r>
        <w:rPr>
          <w:rFonts w:ascii="黑体" w:eastAsia="黑体"/>
          <w:w w:val="95"/>
          <w:sz w:val="24"/>
        </w:rPr>
        <w:t>之</w:t>
      </w:r>
      <w:r>
        <w:rPr>
          <w:rFonts w:ascii="黑体" w:eastAsia="黑体"/>
          <w:w w:val="95"/>
          <w:sz w:val="24"/>
        </w:rPr>
        <w:t>日</w:t>
      </w:r>
      <w:r>
        <w:rPr>
          <w:rFonts w:ascii="黑体" w:eastAsia="黑体"/>
          <w:w w:val="95"/>
          <w:sz w:val="24"/>
        </w:rPr>
        <w:t>起</w:t>
      </w:r>
      <w:r>
        <w:rPr>
          <w:rFonts w:ascii="黑体" w:eastAsia="黑体"/>
          <w:w w:val="95"/>
          <w:sz w:val="24"/>
        </w:rPr>
        <w:t>超</w:t>
      </w:r>
      <w:r>
        <w:rPr>
          <w:rFonts w:ascii="黑体" w:eastAsia="黑体"/>
          <w:w w:val="95"/>
          <w:sz w:val="24"/>
        </w:rPr>
        <w:t>过</w:t>
      </w:r>
      <w:r>
        <w:rPr>
          <w:rFonts w:ascii="黑体" w:eastAsia="黑体"/>
          <w:w w:val="95"/>
          <w:sz w:val="24"/>
        </w:rPr>
        <w:t> 2 </w:t>
      </w:r>
      <w:r>
        <w:rPr>
          <w:rFonts w:ascii="黑体" w:eastAsia="黑体"/>
          <w:w w:val="95"/>
          <w:sz w:val="24"/>
        </w:rPr>
        <w:t>年</w:t>
      </w:r>
      <w:r>
        <w:rPr>
          <w:rFonts w:ascii="黑体" w:eastAsia="黑体"/>
          <w:w w:val="95"/>
          <w:sz w:val="24"/>
        </w:rPr>
        <w:t>的</w:t>
      </w:r>
      <w:r>
        <w:rPr>
          <w:rFonts w:ascii="黑体" w:eastAsia="黑体"/>
          <w:w w:val="95"/>
          <w:sz w:val="24"/>
        </w:rPr>
        <w:t>，</w:t>
      </w:r>
      <w:r>
        <w:rPr>
          <w:rFonts w:ascii="黑体" w:eastAsia="黑体"/>
          <w:w w:val="95"/>
          <w:sz w:val="24"/>
        </w:rPr>
        <w:t>我</w:t>
      </w:r>
      <w:r>
        <w:rPr>
          <w:rFonts w:ascii="黑体" w:eastAsia="黑体"/>
          <w:w w:val="95"/>
          <w:sz w:val="24"/>
        </w:rPr>
        <w:t>们</w:t>
      </w:r>
      <w:r>
        <w:rPr>
          <w:rFonts w:ascii="黑体" w:eastAsia="黑体"/>
          <w:w w:val="95"/>
          <w:sz w:val="24"/>
        </w:rPr>
        <w:t>不</w:t>
      </w:r>
      <w:r>
        <w:rPr>
          <w:rFonts w:ascii="黑体" w:eastAsia="黑体"/>
          <w:w w:val="95"/>
          <w:sz w:val="24"/>
        </w:rPr>
        <w:t>得</w:t>
      </w:r>
      <w:r>
        <w:rPr>
          <w:rFonts w:ascii="黑体" w:eastAsia="黑体"/>
          <w:w w:val="95"/>
          <w:sz w:val="24"/>
        </w:rPr>
        <w:t>解</w:t>
      </w:r>
      <w:r>
        <w:rPr>
          <w:rFonts w:ascii="黑体" w:eastAsia="黑体"/>
          <w:spacing w:val="-2"/>
          <w:sz w:val="24"/>
        </w:rPr>
        <w:t>除合同，并依据本款第二、三项办理。</w:t>
      </w:r>
    </w:p>
    <w:p>
      <w:pPr>
        <w:spacing w:line="244" w:lineRule="auto" w:before="4"/>
        <w:ind w:left="112" w:right="339" w:firstLine="480"/>
        <w:jc w:val="both"/>
        <w:rPr>
          <w:rFonts w:ascii="黑体" w:eastAsia="黑体"/>
          <w:sz w:val="24"/>
        </w:rPr>
      </w:pPr>
      <w:r>
        <w:rPr>
          <w:rFonts w:ascii="黑体" w:eastAsia="黑体"/>
          <w:spacing w:val="-2"/>
          <w:sz w:val="24"/>
        </w:rPr>
        <w:t>二、您申报的被保险人年龄不真实，致使您实交的保险费少于应交的保险费的，我们有</w:t>
      </w:r>
      <w:r>
        <w:rPr>
          <w:rFonts w:ascii="黑体" w:eastAsia="黑体"/>
          <w:spacing w:val="-2"/>
          <w:sz w:val="24"/>
        </w:rPr>
        <w:t>权更正并要求您补交不足的部分。若已经发生保险事故，在给付保险金时按照实付保险费与</w:t>
      </w:r>
      <w:r>
        <w:rPr>
          <w:rFonts w:ascii="黑体" w:eastAsia="黑体"/>
          <w:spacing w:val="-2"/>
          <w:sz w:val="24"/>
        </w:rPr>
        <w:t>应付保险费的比例支付。</w:t>
      </w:r>
    </w:p>
    <w:p>
      <w:pPr>
        <w:spacing w:line="242" w:lineRule="auto" w:before="0"/>
        <w:ind w:left="112" w:right="335" w:firstLine="420"/>
        <w:jc w:val="left"/>
        <w:rPr>
          <w:rFonts w:ascii="黑体" w:eastAsia="黑体"/>
          <w:sz w:val="24"/>
        </w:rPr>
      </w:pPr>
      <w:r>
        <w:rPr>
          <w:rFonts w:ascii="黑体" w:eastAsia="黑体"/>
          <w:spacing w:val="-4"/>
          <w:sz w:val="24"/>
        </w:rPr>
        <w:t>三、您申报的被保险人年龄不真实，致使您实交的保险费多于应交的保险费的，我们将无</w:t>
      </w:r>
      <w:r>
        <w:rPr>
          <w:rFonts w:ascii="黑体" w:eastAsia="黑体"/>
          <w:spacing w:val="-2"/>
          <w:sz w:val="24"/>
        </w:rPr>
        <w:t>息退还多交的部分。</w:t>
      </w:r>
    </w:p>
    <w:p>
      <w:pPr>
        <w:pStyle w:val="Heading2"/>
        <w:numPr>
          <w:ilvl w:val="1"/>
          <w:numId w:val="2"/>
        </w:numPr>
        <w:tabs>
          <w:tab w:pos="594" w:val="left" w:leader="none"/>
        </w:tabs>
        <w:spacing w:line="240" w:lineRule="auto" w:before="64" w:after="0"/>
        <w:ind w:left="593" w:right="0" w:hanging="482"/>
        <w:jc w:val="left"/>
      </w:pPr>
      <w:bookmarkStart w:name="_bookmark25" w:id="50"/>
      <w:bookmarkEnd w:id="50"/>
      <w:r>
        <w:rPr>
          <w:b w:val="0"/>
        </w:rPr>
      </w:r>
      <w:bookmarkStart w:name="_bookmark25" w:id="51"/>
      <w:bookmarkEnd w:id="51"/>
      <w:r>
        <w:rPr>
          <w:w w:val="95"/>
        </w:rPr>
        <w:t>联</w:t>
      </w:r>
      <w:r>
        <w:rPr>
          <w:w w:val="95"/>
        </w:rPr>
        <w:t>系</w:t>
      </w:r>
      <w:r>
        <w:rPr>
          <w:w w:val="95"/>
        </w:rPr>
        <w:t>方</w:t>
      </w:r>
      <w:r>
        <w:rPr>
          <w:w w:val="95"/>
        </w:rPr>
        <w:t>式</w:t>
      </w:r>
      <w:r>
        <w:rPr>
          <w:w w:val="95"/>
        </w:rPr>
        <w:t>的</w:t>
      </w:r>
      <w:r>
        <w:rPr>
          <w:w w:val="95"/>
        </w:rPr>
        <w:t>变</w:t>
      </w:r>
      <w:r>
        <w:rPr>
          <w:spacing w:val="-10"/>
          <w:w w:val="95"/>
        </w:rPr>
        <w:t>更</w:t>
      </w:r>
    </w:p>
    <w:p>
      <w:pPr>
        <w:pStyle w:val="BodyText"/>
        <w:spacing w:line="278" w:lineRule="auto" w:before="38"/>
        <w:ind w:right="328" w:firstLine="420"/>
        <w:jc w:val="both"/>
      </w:pPr>
      <w:r>
        <w:rPr>
          <w:spacing w:val="-2"/>
        </w:rPr>
        <w:t>您、被保险人以及受益人的住所、通讯地址、电话或电子邮箱等变更时，应及时以书面或双方认可的</w:t>
      </w:r>
      <w:r>
        <w:rPr>
          <w:spacing w:val="-2"/>
        </w:rPr>
        <w:t>其他方式通知我们。若您未及时通知，我们按您最后提供的住所、通讯地址、电话或电子邮箱向您发送相</w:t>
      </w:r>
      <w:r>
        <w:rPr>
          <w:spacing w:val="-2"/>
        </w:rPr>
        <w:t>关通知或文件的，均视为已经送达给您。</w:t>
      </w:r>
    </w:p>
    <w:p>
      <w:pPr>
        <w:pStyle w:val="Heading2"/>
        <w:numPr>
          <w:ilvl w:val="1"/>
          <w:numId w:val="2"/>
        </w:numPr>
        <w:tabs>
          <w:tab w:pos="594" w:val="left" w:leader="none"/>
        </w:tabs>
        <w:spacing w:line="240" w:lineRule="auto" w:before="43" w:after="0"/>
        <w:ind w:left="593" w:right="0" w:hanging="482"/>
        <w:jc w:val="left"/>
      </w:pPr>
      <w:bookmarkStart w:name="_bookmark26" w:id="52"/>
      <w:bookmarkEnd w:id="52"/>
      <w:r>
        <w:rPr>
          <w:b w:val="0"/>
        </w:rPr>
      </w:r>
      <w:bookmarkStart w:name="_bookmark26" w:id="53"/>
      <w:bookmarkEnd w:id="53"/>
      <w:r>
        <w:rPr>
          <w:w w:val="95"/>
        </w:rPr>
        <w:t>身</w:t>
      </w:r>
      <w:r>
        <w:rPr>
          <w:w w:val="95"/>
        </w:rPr>
        <w:t>体</w:t>
      </w:r>
      <w:r>
        <w:rPr>
          <w:w w:val="95"/>
        </w:rPr>
        <w:t>检</w:t>
      </w:r>
      <w:r>
        <w:rPr>
          <w:w w:val="95"/>
        </w:rPr>
        <w:t>查</w:t>
      </w:r>
      <w:r>
        <w:rPr>
          <w:w w:val="95"/>
        </w:rPr>
        <w:t>及</w:t>
      </w:r>
      <w:r>
        <w:rPr>
          <w:w w:val="95"/>
        </w:rPr>
        <w:t>司</w:t>
      </w:r>
      <w:r>
        <w:rPr>
          <w:w w:val="95"/>
        </w:rPr>
        <w:t>法</w:t>
      </w:r>
      <w:r>
        <w:rPr>
          <w:w w:val="95"/>
        </w:rPr>
        <w:t>鉴</w:t>
      </w:r>
      <w:r>
        <w:rPr>
          <w:spacing w:val="-10"/>
          <w:w w:val="95"/>
        </w:rPr>
        <w:t>定</w:t>
      </w:r>
    </w:p>
    <w:p>
      <w:pPr>
        <w:pStyle w:val="BodyText"/>
        <w:spacing w:line="278" w:lineRule="auto" w:before="37"/>
        <w:ind w:right="117" w:firstLine="420"/>
      </w:pPr>
      <w:r>
        <w:rPr>
          <w:spacing w:val="-2"/>
        </w:rPr>
        <w:t>在申请保险金给付的期间，我们有权要求由</w:t>
      </w:r>
      <w:r>
        <w:rPr>
          <w:b/>
          <w:spacing w:val="-2"/>
        </w:rPr>
        <w:t>我们认可的医院</w:t>
      </w:r>
      <w:r>
        <w:rPr>
          <w:spacing w:val="-2"/>
        </w:rPr>
        <w:t>或司法鉴定机构对被保险人进行相关检查、</w:t>
      </w:r>
      <w:r>
        <w:rPr>
          <w:spacing w:val="-2"/>
        </w:rPr>
        <w:t>复查或鉴定，您和有关人员应给予配合和协助。</w:t>
      </w:r>
    </w:p>
    <w:p>
      <w:pPr>
        <w:pStyle w:val="Heading2"/>
        <w:numPr>
          <w:ilvl w:val="1"/>
          <w:numId w:val="2"/>
        </w:numPr>
        <w:tabs>
          <w:tab w:pos="594" w:val="left" w:leader="none"/>
        </w:tabs>
        <w:spacing w:line="240" w:lineRule="auto" w:before="43" w:after="0"/>
        <w:ind w:left="593" w:right="0" w:hanging="482"/>
        <w:jc w:val="left"/>
      </w:pPr>
      <w:bookmarkStart w:name="_bookmark27" w:id="54"/>
      <w:bookmarkEnd w:id="54"/>
      <w:r>
        <w:rPr>
          <w:b w:val="0"/>
        </w:rPr>
      </w:r>
      <w:bookmarkStart w:name="_bookmark27" w:id="55"/>
      <w:bookmarkEnd w:id="55"/>
      <w:r>
        <w:rPr>
          <w:w w:val="95"/>
        </w:rPr>
        <w:t>争</w:t>
      </w:r>
      <w:r>
        <w:rPr>
          <w:w w:val="95"/>
        </w:rPr>
        <w:t>议</w:t>
      </w:r>
      <w:r>
        <w:rPr>
          <w:w w:val="95"/>
        </w:rPr>
        <w:t>处</w:t>
      </w:r>
      <w:r>
        <w:rPr>
          <w:spacing w:val="-10"/>
          <w:w w:val="95"/>
        </w:rPr>
        <w:t>理</w:t>
      </w:r>
    </w:p>
    <w:p>
      <w:pPr>
        <w:pStyle w:val="BodyText"/>
        <w:spacing w:before="38"/>
        <w:ind w:left="533"/>
      </w:pPr>
      <w:r>
        <w:rPr>
          <w:spacing w:val="-3"/>
        </w:rPr>
        <w:t>本合同争议解决方式由当事人从下列两种方式中选择一种：</w:t>
      </w:r>
    </w:p>
    <w:p>
      <w:pPr>
        <w:pStyle w:val="BodyText"/>
        <w:ind w:left="533"/>
      </w:pPr>
      <w:r>
        <w:rPr>
          <w:spacing w:val="-18"/>
        </w:rPr>
        <w:t>一、因履行本合同发生的争议，由当事人协商解决，协商不成的，提交双方均认可的仲裁委员会仲裁；</w:t>
      </w:r>
    </w:p>
    <w:p>
      <w:pPr>
        <w:spacing w:after="0"/>
        <w:sectPr>
          <w:pgSz w:w="11910" w:h="16840"/>
          <w:pgMar w:header="0" w:footer="908" w:top="1080" w:bottom="1100" w:left="1020" w:right="800"/>
        </w:sectPr>
      </w:pPr>
    </w:p>
    <w:p>
      <w:pPr>
        <w:pStyle w:val="BodyText"/>
        <w:spacing w:before="57"/>
        <w:ind w:left="533"/>
      </w:pPr>
      <w:r>
        <w:rPr>
          <w:spacing w:val="-1"/>
        </w:rPr>
        <w:t>二、因履行本合同发生的争议，由当事人协商解决，协商不成的，依法向有管辖权的人民法院起诉。</w:t>
      </w:r>
    </w:p>
    <w:p>
      <w:pPr>
        <w:pStyle w:val="Heading1"/>
        <w:numPr>
          <w:ilvl w:val="0"/>
          <w:numId w:val="2"/>
        </w:numPr>
        <w:tabs>
          <w:tab w:pos="594" w:val="left" w:leader="none"/>
        </w:tabs>
        <w:spacing w:line="240" w:lineRule="auto" w:before="100" w:after="0"/>
        <w:ind w:left="593" w:right="0" w:hanging="482"/>
        <w:jc w:val="left"/>
      </w:pPr>
      <w:bookmarkStart w:name="_bookmark28" w:id="56"/>
      <w:bookmarkEnd w:id="56"/>
      <w:r>
        <w:rPr>
          <w:spacing w:val="-4"/>
        </w:rPr>
        <w:t>术语的解释</w:t>
      </w:r>
    </w:p>
    <w:p>
      <w:pPr>
        <w:pStyle w:val="BodyText"/>
        <w:spacing w:before="82"/>
      </w:pPr>
      <w:r>
        <w:rPr>
          <w:b/>
          <w:w w:val="95"/>
        </w:rPr>
        <w:t>【</w:t>
      </w:r>
      <w:r>
        <w:rPr>
          <w:b/>
          <w:w w:val="95"/>
        </w:rPr>
        <w:t>您</w:t>
      </w:r>
      <w:r>
        <w:rPr>
          <w:b/>
          <w:spacing w:val="-106"/>
          <w:w w:val="95"/>
        </w:rPr>
        <w:t>】</w:t>
      </w:r>
      <w:r>
        <w:rPr>
          <w:b/>
          <w:w w:val="95"/>
          <w:sz w:val="18"/>
        </w:rPr>
        <w:t>：</w:t>
      </w:r>
      <w:r>
        <w:rPr>
          <w:w w:val="95"/>
        </w:rPr>
        <w:t>指投保人，即购买</w:t>
      </w:r>
      <w:r>
        <w:rPr>
          <w:w w:val="95"/>
        </w:rPr>
        <w:t>合</w:t>
      </w:r>
      <w:r>
        <w:rPr>
          <w:w w:val="95"/>
        </w:rPr>
        <w:t>同</w:t>
      </w:r>
      <w:r>
        <w:rPr>
          <w:w w:val="95"/>
        </w:rPr>
        <w:t>项下保险的</w:t>
      </w:r>
      <w:r>
        <w:rPr>
          <w:w w:val="95"/>
        </w:rPr>
        <w:t>人</w:t>
      </w:r>
      <w:r>
        <w:rPr>
          <w:spacing w:val="-10"/>
          <w:w w:val="95"/>
        </w:rPr>
        <w:t>。</w:t>
      </w:r>
    </w:p>
    <w:p>
      <w:pPr>
        <w:spacing w:before="5"/>
        <w:ind w:left="112" w:right="0" w:firstLine="0"/>
        <w:jc w:val="left"/>
        <w:rPr>
          <w:sz w:val="21"/>
        </w:rPr>
      </w:pPr>
      <w:r>
        <w:rPr>
          <w:b/>
          <w:spacing w:val="-23"/>
          <w:sz w:val="21"/>
        </w:rPr>
        <w:t>【我们】：</w:t>
      </w:r>
      <w:r>
        <w:rPr>
          <w:spacing w:val="-3"/>
          <w:sz w:val="21"/>
        </w:rPr>
        <w:t>指恒安标准人寿保险有限公司。</w:t>
      </w:r>
    </w:p>
    <w:p>
      <w:pPr>
        <w:pStyle w:val="BodyText"/>
        <w:spacing w:before="23"/>
      </w:pPr>
      <w:r>
        <w:rPr>
          <w:b/>
          <w:spacing w:val="-23"/>
        </w:rPr>
        <w:t>【周岁】：</w:t>
      </w:r>
      <w:r>
        <w:rPr>
          <w:spacing w:val="-3"/>
        </w:rPr>
        <w:t>指按法定身份证明文件中记载的出生日期计算的年龄，自出生之日起为 </w:t>
      </w:r>
      <w:r>
        <w:rPr>
          <w:rFonts w:ascii="Times New Roman" w:eastAsia="Times New Roman"/>
          <w:spacing w:val="-2"/>
        </w:rPr>
        <w:t>0</w:t>
      </w:r>
      <w:r>
        <w:rPr>
          <w:rFonts w:ascii="Times New Roman" w:eastAsia="Times New Roman"/>
          <w:spacing w:val="28"/>
        </w:rPr>
        <w:t> </w:t>
      </w:r>
      <w:r>
        <w:rPr>
          <w:spacing w:val="-6"/>
        </w:rPr>
        <w:t>周岁，每经过 </w:t>
      </w:r>
      <w:r>
        <w:rPr>
          <w:rFonts w:ascii="Times New Roman" w:eastAsia="Times New Roman"/>
          <w:spacing w:val="-2"/>
        </w:rPr>
        <w:t>1</w:t>
      </w:r>
      <w:r>
        <w:rPr>
          <w:rFonts w:ascii="Times New Roman" w:eastAsia="Times New Roman"/>
          <w:spacing w:val="26"/>
        </w:rPr>
        <w:t> </w:t>
      </w:r>
      <w:r>
        <w:rPr>
          <w:spacing w:val="-6"/>
        </w:rPr>
        <w:t>年增</w:t>
      </w:r>
    </w:p>
    <w:p>
      <w:pPr>
        <w:pStyle w:val="BodyText"/>
      </w:pPr>
      <w:r>
        <w:rPr>
          <w:spacing w:val="-27"/>
        </w:rPr>
        <w:t>加 </w:t>
      </w:r>
      <w:r>
        <w:rPr>
          <w:rFonts w:ascii="Times New Roman" w:eastAsia="Times New Roman"/>
        </w:rPr>
        <w:t>1</w:t>
      </w:r>
      <w:r>
        <w:rPr>
          <w:rFonts w:ascii="Times New Roman" w:eastAsia="Times New Roman"/>
          <w:spacing w:val="-10"/>
        </w:rPr>
        <w:t> </w:t>
      </w:r>
      <w:r>
        <w:rPr>
          <w:spacing w:val="-11"/>
        </w:rPr>
        <w:t>岁，不足 </w:t>
      </w:r>
      <w:r>
        <w:rPr>
          <w:rFonts w:ascii="Times New Roman" w:eastAsia="Times New Roman"/>
        </w:rPr>
        <w:t>1</w:t>
      </w:r>
      <w:r>
        <w:rPr>
          <w:rFonts w:ascii="Times New Roman" w:eastAsia="Times New Roman"/>
          <w:spacing w:val="-5"/>
        </w:rPr>
        <w:t> </w:t>
      </w:r>
      <w:r>
        <w:rPr>
          <w:spacing w:val="-3"/>
        </w:rPr>
        <w:t>年的不计。</w:t>
      </w:r>
    </w:p>
    <w:p>
      <w:pPr>
        <w:spacing w:before="43"/>
        <w:ind w:left="112" w:right="0" w:firstLine="0"/>
        <w:jc w:val="left"/>
        <w:rPr>
          <w:sz w:val="21"/>
        </w:rPr>
      </w:pPr>
      <w:r>
        <w:rPr>
          <w:b/>
          <w:spacing w:val="-18"/>
          <w:sz w:val="21"/>
        </w:rPr>
        <w:t>【被保险人】：</w:t>
      </w:r>
      <w:r>
        <w:rPr>
          <w:spacing w:val="-3"/>
          <w:sz w:val="21"/>
        </w:rPr>
        <w:t>指受合同保障的人。</w:t>
      </w:r>
    </w:p>
    <w:p>
      <w:pPr>
        <w:spacing w:before="43"/>
        <w:ind w:left="112" w:right="0" w:firstLine="0"/>
        <w:jc w:val="left"/>
        <w:rPr>
          <w:sz w:val="21"/>
        </w:rPr>
      </w:pPr>
      <w:r>
        <w:rPr>
          <w:b/>
          <w:spacing w:val="-10"/>
          <w:sz w:val="21"/>
        </w:rPr>
        <w:t>【合同生效日对应日】：</w:t>
      </w:r>
      <w:r>
        <w:rPr>
          <w:spacing w:val="-2"/>
          <w:sz w:val="21"/>
        </w:rPr>
        <w:t>指保险单中载明的保险单生效日在每年的对应日。保险单生效日为 </w:t>
      </w:r>
      <w:r>
        <w:rPr>
          <w:rFonts w:ascii="Times New Roman" w:eastAsia="Times New Roman"/>
          <w:sz w:val="21"/>
        </w:rPr>
        <w:t>2</w:t>
      </w:r>
      <w:r>
        <w:rPr>
          <w:rFonts w:ascii="Times New Roman" w:eastAsia="Times New Roman"/>
          <w:spacing w:val="-8"/>
          <w:sz w:val="21"/>
        </w:rPr>
        <w:t> </w:t>
      </w:r>
      <w:r>
        <w:rPr>
          <w:spacing w:val="-17"/>
          <w:sz w:val="21"/>
        </w:rPr>
        <w:t>月 </w:t>
      </w:r>
      <w:r>
        <w:rPr>
          <w:rFonts w:ascii="Times New Roman" w:eastAsia="Times New Roman"/>
          <w:sz w:val="21"/>
        </w:rPr>
        <w:t>29</w:t>
      </w:r>
      <w:r>
        <w:rPr>
          <w:rFonts w:ascii="Times New Roman" w:eastAsia="Times New Roman"/>
          <w:spacing w:val="-1"/>
          <w:sz w:val="21"/>
        </w:rPr>
        <w:t> </w:t>
      </w:r>
      <w:r>
        <w:rPr>
          <w:spacing w:val="-4"/>
          <w:sz w:val="21"/>
        </w:rPr>
        <w:t>日的，</w:t>
      </w:r>
    </w:p>
    <w:p>
      <w:pPr>
        <w:pStyle w:val="BodyText"/>
      </w:pPr>
      <w:r>
        <w:rPr>
          <w:spacing w:val="-4"/>
        </w:rPr>
        <w:t>合同有效期内的某年如果没有 </w:t>
      </w:r>
      <w:r>
        <w:rPr>
          <w:rFonts w:ascii="Times New Roman" w:eastAsia="Times New Roman"/>
        </w:rPr>
        <w:t>2</w:t>
      </w:r>
      <w:r>
        <w:rPr>
          <w:rFonts w:ascii="Times New Roman" w:eastAsia="Times New Roman"/>
          <w:spacing w:val="-14"/>
        </w:rPr>
        <w:t> </w:t>
      </w:r>
      <w:r>
        <w:rPr>
          <w:spacing w:val="-27"/>
        </w:rPr>
        <w:t>月 </w:t>
      </w:r>
      <w:r>
        <w:rPr>
          <w:rFonts w:ascii="Times New Roman" w:eastAsia="Times New Roman"/>
        </w:rPr>
        <w:t>29</w:t>
      </w:r>
      <w:r>
        <w:rPr>
          <w:rFonts w:ascii="Times New Roman" w:eastAsia="Times New Roman"/>
          <w:spacing w:val="-13"/>
        </w:rPr>
        <w:t> </w:t>
      </w:r>
      <w:r>
        <w:rPr>
          <w:spacing w:val="-14"/>
        </w:rPr>
        <w:t>日，则 </w:t>
      </w:r>
      <w:r>
        <w:rPr>
          <w:rFonts w:ascii="Times New Roman" w:eastAsia="Times New Roman"/>
        </w:rPr>
        <w:t>2</w:t>
      </w:r>
      <w:r>
        <w:rPr>
          <w:rFonts w:ascii="Times New Roman" w:eastAsia="Times New Roman"/>
          <w:spacing w:val="-13"/>
        </w:rPr>
        <w:t> </w:t>
      </w:r>
      <w:r>
        <w:rPr>
          <w:spacing w:val="-28"/>
        </w:rPr>
        <w:t>月 </w:t>
      </w:r>
      <w:r>
        <w:rPr>
          <w:rFonts w:ascii="Times New Roman" w:eastAsia="Times New Roman"/>
        </w:rPr>
        <w:t>28</w:t>
      </w:r>
      <w:r>
        <w:rPr>
          <w:rFonts w:ascii="Times New Roman" w:eastAsia="Times New Roman"/>
          <w:spacing w:val="-5"/>
        </w:rPr>
        <w:t> </w:t>
      </w:r>
      <w:r>
        <w:rPr>
          <w:spacing w:val="-1"/>
        </w:rPr>
        <w:t>日为该年的合同生效日对应日。</w:t>
      </w:r>
    </w:p>
    <w:p>
      <w:pPr>
        <w:spacing w:before="21"/>
        <w:ind w:left="112" w:right="0" w:firstLine="0"/>
        <w:jc w:val="left"/>
        <w:rPr>
          <w:sz w:val="21"/>
        </w:rPr>
      </w:pPr>
      <w:r>
        <w:rPr>
          <w:b/>
          <w:spacing w:val="-20"/>
          <w:sz w:val="21"/>
        </w:rPr>
        <w:t>【保险费】：</w:t>
      </w:r>
      <w:r>
        <w:rPr>
          <w:spacing w:val="-3"/>
          <w:sz w:val="21"/>
        </w:rPr>
        <w:t>指您为购买合同项下保险而支付的金额。</w:t>
      </w:r>
    </w:p>
    <w:p>
      <w:pPr>
        <w:pStyle w:val="BodyText"/>
        <w:spacing w:line="278" w:lineRule="auto" w:before="27"/>
        <w:ind w:right="328"/>
      </w:pPr>
      <w:r>
        <w:rPr>
          <w:b/>
          <w:spacing w:val="-17"/>
        </w:rPr>
        <w:t>【有效身份证件】</w:t>
      </w:r>
      <w:r>
        <w:rPr>
          <w:spacing w:val="-4"/>
        </w:rPr>
        <w:t>：指依据法律规定，由有权机构制作颁发的证明身份的证件、文件等，如：居民身份证、</w:t>
      </w:r>
      <w:r>
        <w:rPr>
          <w:spacing w:val="-2"/>
        </w:rPr>
        <w:t>户口簿、护照、军人证等。</w:t>
      </w:r>
    </w:p>
    <w:p>
      <w:pPr>
        <w:spacing w:before="0"/>
        <w:ind w:left="112" w:right="0" w:firstLine="0"/>
        <w:jc w:val="left"/>
        <w:rPr>
          <w:sz w:val="21"/>
        </w:rPr>
      </w:pPr>
      <w:r>
        <w:rPr>
          <w:b/>
          <w:spacing w:val="-18"/>
          <w:sz w:val="21"/>
        </w:rPr>
        <w:t>【保险事故】：</w:t>
      </w:r>
      <w:r>
        <w:rPr>
          <w:spacing w:val="-3"/>
          <w:sz w:val="21"/>
        </w:rPr>
        <w:t>指合同约定的我们承担的保险责任范围内的事故。</w:t>
      </w:r>
    </w:p>
    <w:p>
      <w:pPr>
        <w:spacing w:before="43"/>
        <w:ind w:left="112" w:right="0" w:firstLine="0"/>
        <w:jc w:val="left"/>
        <w:rPr>
          <w:sz w:val="21"/>
        </w:rPr>
      </w:pPr>
      <w:r>
        <w:rPr>
          <w:b/>
          <w:spacing w:val="-20"/>
          <w:sz w:val="21"/>
        </w:rPr>
        <w:t>【保险金】：</w:t>
      </w:r>
      <w:r>
        <w:rPr>
          <w:spacing w:val="-3"/>
          <w:sz w:val="21"/>
        </w:rPr>
        <w:t>指被保险人发生保险事故时，我们给付的金额。</w:t>
      </w:r>
    </w:p>
    <w:p>
      <w:pPr>
        <w:pStyle w:val="BodyText"/>
        <w:spacing w:line="278" w:lineRule="auto"/>
        <w:ind w:right="326"/>
        <w:jc w:val="both"/>
      </w:pPr>
      <w:r>
        <w:rPr>
          <w:b/>
          <w:spacing w:val="-2"/>
        </w:rPr>
        <w:t>【毒品</w:t>
      </w:r>
      <w:r>
        <w:rPr>
          <w:spacing w:val="-106"/>
        </w:rPr>
        <w:t>】</w:t>
      </w:r>
      <w:r>
        <w:rPr>
          <w:b/>
          <w:spacing w:val="-2"/>
        </w:rPr>
        <w:t>：</w:t>
      </w:r>
      <w:r>
        <w:rPr>
          <w:spacing w:val="-2"/>
        </w:rPr>
        <w:t>指中华人民共和国刑法规定的鸦片、海洛因、甲基苯丙胺（冰毒</w:t>
      </w:r>
      <w:r>
        <w:rPr>
          <w:spacing w:val="-106"/>
        </w:rPr>
        <w:t>）</w:t>
      </w:r>
      <w:r>
        <w:rPr>
          <w:spacing w:val="-2"/>
        </w:rPr>
        <w:t>、吗啡、大麻、可卡因以及国</w:t>
      </w:r>
      <w:r>
        <w:rPr>
          <w:spacing w:val="-2"/>
        </w:rPr>
        <w:t>家规定管制的其他能够使人形成瘾癖的麻醉药品和精神药品，但不包括由医生开具并遵医嘱使用的用于治</w:t>
      </w:r>
      <w:r>
        <w:rPr>
          <w:spacing w:val="-2"/>
        </w:rPr>
        <w:t>疗疾病但含有毒品成分的处方药品。</w:t>
      </w:r>
    </w:p>
    <w:p>
      <w:pPr>
        <w:pStyle w:val="BodyText"/>
        <w:spacing w:line="278" w:lineRule="auto" w:before="0"/>
        <w:ind w:right="336"/>
      </w:pPr>
      <w:r>
        <w:rPr>
          <w:b/>
          <w:spacing w:val="-18"/>
        </w:rPr>
        <w:t>【酒后驾驶】：</w:t>
      </w:r>
      <w:r>
        <w:rPr>
          <w:spacing w:val="-2"/>
        </w:rPr>
        <w:t>指经检测或鉴定，发生事故时车辆驾驶人员每百毫升血液中的酒精含量达到或超过一定的</w:t>
      </w:r>
      <w:r>
        <w:rPr>
          <w:spacing w:val="-2"/>
        </w:rPr>
        <w:t>标准，被国家有关机关认定为酒后驾驶。</w:t>
      </w:r>
    </w:p>
    <w:p>
      <w:pPr>
        <w:spacing w:line="269" w:lineRule="exact" w:before="0"/>
        <w:ind w:left="112" w:right="0" w:firstLine="0"/>
        <w:jc w:val="left"/>
        <w:rPr>
          <w:sz w:val="21"/>
        </w:rPr>
      </w:pPr>
      <w:r>
        <w:rPr>
          <w:b/>
          <w:spacing w:val="-11"/>
          <w:sz w:val="21"/>
        </w:rPr>
        <w:t>【无合法有效驾驶证驾驶】：</w:t>
      </w:r>
      <w:r>
        <w:rPr>
          <w:spacing w:val="-3"/>
          <w:sz w:val="21"/>
        </w:rPr>
        <w:t>指下列情形之一：</w:t>
      </w:r>
    </w:p>
    <w:p>
      <w:pPr>
        <w:pStyle w:val="ListParagraph"/>
        <w:numPr>
          <w:ilvl w:val="0"/>
          <w:numId w:val="10"/>
        </w:numPr>
        <w:tabs>
          <w:tab w:pos="643" w:val="left" w:leader="none"/>
        </w:tabs>
        <w:spacing w:line="240" w:lineRule="auto" w:before="42" w:after="0"/>
        <w:ind w:left="642" w:right="0" w:hanging="531"/>
        <w:jc w:val="left"/>
        <w:rPr>
          <w:sz w:val="21"/>
        </w:rPr>
      </w:pPr>
      <w:r>
        <w:rPr>
          <w:spacing w:val="-4"/>
          <w:sz w:val="21"/>
        </w:rPr>
        <w:t>没有驾驶证驾驶；</w:t>
      </w:r>
    </w:p>
    <w:p>
      <w:pPr>
        <w:pStyle w:val="ListParagraph"/>
        <w:numPr>
          <w:ilvl w:val="0"/>
          <w:numId w:val="10"/>
        </w:numPr>
        <w:tabs>
          <w:tab w:pos="643" w:val="left" w:leader="none"/>
        </w:tabs>
        <w:spacing w:line="240" w:lineRule="auto" w:before="43" w:after="0"/>
        <w:ind w:left="642" w:right="0" w:hanging="531"/>
        <w:jc w:val="left"/>
        <w:rPr>
          <w:sz w:val="21"/>
        </w:rPr>
      </w:pPr>
      <w:r>
        <w:rPr>
          <w:spacing w:val="-3"/>
          <w:sz w:val="21"/>
        </w:rPr>
        <w:t>驾驶与驾驶证准驾车型不相符合的车辆；</w:t>
      </w:r>
    </w:p>
    <w:p>
      <w:pPr>
        <w:pStyle w:val="ListParagraph"/>
        <w:numPr>
          <w:ilvl w:val="0"/>
          <w:numId w:val="10"/>
        </w:numPr>
        <w:tabs>
          <w:tab w:pos="643" w:val="left" w:leader="none"/>
        </w:tabs>
        <w:spacing w:line="240" w:lineRule="auto" w:before="44" w:after="0"/>
        <w:ind w:left="642" w:right="0" w:hanging="531"/>
        <w:jc w:val="left"/>
        <w:rPr>
          <w:sz w:val="21"/>
        </w:rPr>
      </w:pPr>
      <w:r>
        <w:rPr>
          <w:spacing w:val="-3"/>
          <w:sz w:val="21"/>
        </w:rPr>
        <w:t>驾驶员持审验不合格的驾驶证驾驶；</w:t>
      </w:r>
    </w:p>
    <w:p>
      <w:pPr>
        <w:pStyle w:val="ListParagraph"/>
        <w:numPr>
          <w:ilvl w:val="0"/>
          <w:numId w:val="10"/>
        </w:numPr>
        <w:tabs>
          <w:tab w:pos="643" w:val="left" w:leader="none"/>
        </w:tabs>
        <w:spacing w:line="240" w:lineRule="auto" w:before="43" w:after="0"/>
        <w:ind w:left="642" w:right="0" w:hanging="531"/>
        <w:jc w:val="left"/>
        <w:rPr>
          <w:sz w:val="21"/>
        </w:rPr>
      </w:pPr>
      <w:r>
        <w:rPr>
          <w:spacing w:val="-3"/>
          <w:sz w:val="21"/>
        </w:rPr>
        <w:t>未经公安交通管理部门同意，持未审验的驾驶证驾驶；</w:t>
      </w:r>
    </w:p>
    <w:p>
      <w:pPr>
        <w:pStyle w:val="ListParagraph"/>
        <w:numPr>
          <w:ilvl w:val="0"/>
          <w:numId w:val="10"/>
        </w:numPr>
        <w:tabs>
          <w:tab w:pos="643" w:val="left" w:leader="none"/>
        </w:tabs>
        <w:spacing w:line="240" w:lineRule="auto" w:before="43" w:after="0"/>
        <w:ind w:left="642" w:right="0" w:hanging="531"/>
        <w:jc w:val="left"/>
        <w:rPr>
          <w:sz w:val="21"/>
        </w:rPr>
      </w:pPr>
      <w:r>
        <w:rPr>
          <w:spacing w:val="-3"/>
          <w:sz w:val="21"/>
        </w:rPr>
        <w:t>持学习驾驶证学习驾车时，无教练员随车指导，或不按指定时间、路线学习驾车；</w:t>
      </w:r>
    </w:p>
    <w:p>
      <w:pPr>
        <w:pStyle w:val="ListParagraph"/>
        <w:numPr>
          <w:ilvl w:val="0"/>
          <w:numId w:val="10"/>
        </w:numPr>
        <w:tabs>
          <w:tab w:pos="643" w:val="left" w:leader="none"/>
        </w:tabs>
        <w:spacing w:line="240" w:lineRule="auto" w:before="43" w:after="0"/>
        <w:ind w:left="642" w:right="0" w:hanging="531"/>
        <w:jc w:val="left"/>
        <w:rPr>
          <w:sz w:val="21"/>
        </w:rPr>
      </w:pPr>
      <w:r>
        <w:rPr>
          <w:spacing w:val="-3"/>
          <w:sz w:val="21"/>
        </w:rPr>
        <w:t>公安交通管理部门规定的其他无有效驾驶证驾驶的情况。</w:t>
      </w:r>
    </w:p>
    <w:p>
      <w:pPr>
        <w:pStyle w:val="BodyText"/>
        <w:spacing w:line="278" w:lineRule="auto"/>
        <w:ind w:right="333"/>
      </w:pPr>
      <w:r>
        <w:rPr>
          <w:b/>
          <w:spacing w:val="-12"/>
        </w:rPr>
        <w:t>【无合法有效行驶证】：</w:t>
      </w:r>
      <w:r>
        <w:rPr>
          <w:spacing w:val="-2"/>
        </w:rPr>
        <w:t>指发生保险事故时没有按照公安机关交通管理部门机动车登记制度的规定进行登</w:t>
      </w:r>
      <w:r>
        <w:rPr>
          <w:spacing w:val="-2"/>
        </w:rPr>
        <w:t>记并领取机动车行驶证或者临时通行牌证等法定证件。包括下列情形之一：</w:t>
      </w:r>
    </w:p>
    <w:p>
      <w:pPr>
        <w:pStyle w:val="ListParagraph"/>
        <w:numPr>
          <w:ilvl w:val="0"/>
          <w:numId w:val="11"/>
        </w:numPr>
        <w:tabs>
          <w:tab w:pos="643" w:val="left" w:leader="none"/>
        </w:tabs>
        <w:spacing w:line="269" w:lineRule="exact" w:before="0" w:after="0"/>
        <w:ind w:left="642" w:right="0" w:hanging="531"/>
        <w:jc w:val="left"/>
        <w:rPr>
          <w:sz w:val="21"/>
        </w:rPr>
      </w:pPr>
      <w:r>
        <w:rPr>
          <w:spacing w:val="-3"/>
          <w:sz w:val="21"/>
        </w:rPr>
        <w:t>未办理行驶证或者行驶证在申办过程中的；</w:t>
      </w:r>
    </w:p>
    <w:p>
      <w:pPr>
        <w:pStyle w:val="ListParagraph"/>
        <w:numPr>
          <w:ilvl w:val="0"/>
          <w:numId w:val="11"/>
        </w:numPr>
        <w:tabs>
          <w:tab w:pos="643" w:val="left" w:leader="none"/>
        </w:tabs>
        <w:spacing w:line="240" w:lineRule="auto" w:before="42" w:after="0"/>
        <w:ind w:left="642" w:right="0" w:hanging="531"/>
        <w:jc w:val="left"/>
        <w:rPr>
          <w:sz w:val="21"/>
        </w:rPr>
      </w:pPr>
      <w:r>
        <w:rPr>
          <w:spacing w:val="-3"/>
          <w:sz w:val="21"/>
        </w:rPr>
        <w:t>机动车行驶证被依法注销登记的；</w:t>
      </w:r>
    </w:p>
    <w:p>
      <w:pPr>
        <w:pStyle w:val="ListParagraph"/>
        <w:numPr>
          <w:ilvl w:val="0"/>
          <w:numId w:val="11"/>
        </w:numPr>
        <w:tabs>
          <w:tab w:pos="643" w:val="left" w:leader="none"/>
        </w:tabs>
        <w:spacing w:line="240" w:lineRule="auto" w:before="43" w:after="0"/>
        <w:ind w:left="642" w:right="0" w:hanging="531"/>
        <w:jc w:val="left"/>
        <w:rPr>
          <w:sz w:val="21"/>
        </w:rPr>
      </w:pPr>
      <w:r>
        <w:rPr>
          <w:spacing w:val="-3"/>
          <w:sz w:val="21"/>
        </w:rPr>
        <w:t>未在行驶证检验有效期内依法按时进行或者未通过机动车安全技术检验的。</w:t>
      </w:r>
    </w:p>
    <w:p>
      <w:pPr>
        <w:spacing w:before="43"/>
        <w:ind w:left="112" w:right="0" w:firstLine="0"/>
        <w:jc w:val="left"/>
        <w:rPr>
          <w:sz w:val="21"/>
        </w:rPr>
      </w:pPr>
      <w:r>
        <w:rPr>
          <w:b/>
          <w:spacing w:val="-16"/>
          <w:sz w:val="21"/>
        </w:rPr>
        <w:t>【首期保险费】：</w:t>
      </w:r>
      <w:r>
        <w:rPr>
          <w:spacing w:val="-8"/>
          <w:sz w:val="21"/>
        </w:rPr>
        <w:t>指保险期间内第 </w:t>
      </w:r>
      <w:r>
        <w:rPr>
          <w:rFonts w:ascii="Times New Roman" w:eastAsia="Times New Roman"/>
          <w:spacing w:val="-2"/>
          <w:sz w:val="21"/>
        </w:rPr>
        <w:t>1</w:t>
      </w:r>
      <w:r>
        <w:rPr>
          <w:rFonts w:ascii="Times New Roman" w:eastAsia="Times New Roman"/>
          <w:spacing w:val="10"/>
          <w:sz w:val="21"/>
        </w:rPr>
        <w:t> </w:t>
      </w:r>
      <w:r>
        <w:rPr>
          <w:spacing w:val="-3"/>
          <w:sz w:val="21"/>
        </w:rPr>
        <w:t>年的应交保险费。</w:t>
      </w:r>
    </w:p>
    <w:p>
      <w:pPr>
        <w:spacing w:before="43"/>
        <w:ind w:left="112" w:right="0" w:firstLine="0"/>
        <w:jc w:val="left"/>
        <w:rPr>
          <w:sz w:val="21"/>
        </w:rPr>
      </w:pPr>
      <w:r>
        <w:rPr>
          <w:b/>
          <w:spacing w:val="-16"/>
          <w:sz w:val="21"/>
        </w:rPr>
        <w:t>【续期保险费】：</w:t>
      </w:r>
      <w:r>
        <w:rPr>
          <w:spacing w:val="-7"/>
          <w:sz w:val="21"/>
        </w:rPr>
        <w:t>指保险期间内第 </w:t>
      </w:r>
      <w:r>
        <w:rPr>
          <w:rFonts w:ascii="Times New Roman" w:eastAsia="Times New Roman"/>
          <w:spacing w:val="-2"/>
          <w:sz w:val="21"/>
        </w:rPr>
        <w:t>2</w:t>
      </w:r>
      <w:r>
        <w:rPr>
          <w:rFonts w:ascii="Times New Roman" w:eastAsia="Times New Roman"/>
          <w:spacing w:val="12"/>
          <w:sz w:val="21"/>
        </w:rPr>
        <w:t> </w:t>
      </w:r>
      <w:r>
        <w:rPr>
          <w:spacing w:val="-3"/>
          <w:sz w:val="21"/>
        </w:rPr>
        <w:t>年及以后各年的应交保险费。</w:t>
      </w:r>
    </w:p>
    <w:p>
      <w:pPr>
        <w:pStyle w:val="BodyText"/>
        <w:spacing w:line="278" w:lineRule="auto" w:before="44"/>
        <w:ind w:right="331"/>
      </w:pPr>
      <w:r>
        <w:rPr>
          <w:b/>
          <w:spacing w:val="-23"/>
        </w:rPr>
        <w:t>【利息】：</w:t>
      </w:r>
      <w:r>
        <w:rPr>
          <w:spacing w:val="-2"/>
        </w:rPr>
        <w:t>合同效力中止后补交续期保险费和保单贷款会产生利息。该利息按我们公布的贷款利率进行计</w:t>
      </w:r>
      <w:r>
        <w:rPr>
          <w:spacing w:val="-2"/>
        </w:rPr>
        <w:t>算并通过年复利的方式进行计息。</w:t>
      </w:r>
    </w:p>
    <w:p>
      <w:pPr>
        <w:pStyle w:val="BodyText"/>
        <w:spacing w:line="278" w:lineRule="auto" w:before="0"/>
        <w:ind w:right="336"/>
      </w:pPr>
      <w:r>
        <w:rPr>
          <w:b/>
          <w:spacing w:val="-17"/>
        </w:rPr>
        <w:t>【保单年度】：</w:t>
      </w:r>
      <w:r>
        <w:rPr>
          <w:spacing w:val="-2"/>
        </w:rPr>
        <w:t>从合同生效日次日零时起或者合同生效日对应日次日零时起至下一年度合同生效日对应日</w:t>
      </w:r>
      <w:r>
        <w:rPr>
          <w:spacing w:val="-10"/>
        </w:rPr>
        <w:t>的 </w:t>
      </w:r>
      <w:r>
        <w:rPr>
          <w:rFonts w:ascii="Times New Roman" w:eastAsia="Times New Roman"/>
        </w:rPr>
        <w:t>24 </w:t>
      </w:r>
      <w:r>
        <w:rPr/>
        <w:t>时止为一个保单年度。</w:t>
      </w:r>
    </w:p>
    <w:p>
      <w:pPr>
        <w:spacing w:line="269" w:lineRule="exact" w:before="0"/>
        <w:ind w:left="112" w:right="0" w:firstLine="0"/>
        <w:jc w:val="left"/>
        <w:rPr>
          <w:sz w:val="21"/>
        </w:rPr>
      </w:pPr>
      <w:r>
        <w:rPr>
          <w:b/>
          <w:spacing w:val="-14"/>
          <w:sz w:val="21"/>
        </w:rPr>
        <w:t>【保险金受益人】：</w:t>
      </w:r>
      <w:r>
        <w:rPr>
          <w:spacing w:val="-3"/>
          <w:sz w:val="21"/>
        </w:rPr>
        <w:t>是指合同中约定的有权申请领取保险金的人。</w:t>
      </w:r>
    </w:p>
    <w:p>
      <w:pPr>
        <w:spacing w:before="43"/>
        <w:ind w:left="112" w:right="0" w:firstLine="0"/>
        <w:jc w:val="both"/>
        <w:rPr>
          <w:sz w:val="21"/>
        </w:rPr>
      </w:pPr>
      <w:r>
        <w:rPr>
          <w:b/>
          <w:spacing w:val="-18"/>
          <w:sz w:val="21"/>
        </w:rPr>
        <w:t>【不可抗力】：</w:t>
      </w:r>
      <w:r>
        <w:rPr>
          <w:spacing w:val="-3"/>
          <w:sz w:val="21"/>
        </w:rPr>
        <w:t>是指不能预见、不可避免且无法克服的客观情况。</w:t>
      </w:r>
    </w:p>
    <w:p>
      <w:pPr>
        <w:pStyle w:val="BodyText"/>
        <w:spacing w:line="278" w:lineRule="auto" w:before="42"/>
        <w:ind w:right="326"/>
        <w:jc w:val="both"/>
      </w:pPr>
      <w:r>
        <w:rPr>
          <w:spacing w:val="-2"/>
        </w:rPr>
        <w:t>【</w:t>
      </w:r>
      <w:r>
        <w:rPr>
          <w:b/>
          <w:spacing w:val="-2"/>
        </w:rPr>
        <w:t>我们认可的医院</w:t>
      </w:r>
      <w:r>
        <w:rPr>
          <w:spacing w:val="-13"/>
        </w:rPr>
        <w:t>】：指经中华人民共和国卫生部门评审确定的二级或二级以上的公立医院，但不包括精</w:t>
      </w:r>
      <w:r>
        <w:rPr>
          <w:spacing w:val="-2"/>
        </w:rPr>
        <w:t>神病院及专供康复、休养、戒毒、戒酒、护理、养老等非以直接诊治病人为目的的医疗机构。该医院必须</w:t>
      </w:r>
      <w:r>
        <w:rPr>
          <w:spacing w:val="-2"/>
        </w:rPr>
        <w:t>具有符合国家有关医院管理规则设置标准的医疗设备，且全天二十四小时有合格医师及护士驻院提供医疗</w:t>
      </w:r>
      <w:r>
        <w:rPr>
          <w:spacing w:val="-2"/>
        </w:rPr>
        <w:t>及护理服务。</w:t>
      </w:r>
    </w:p>
    <w:sectPr>
      <w:pgSz w:w="11910" w:h="16840"/>
      <w:pgMar w:header="0" w:footer="908" w:top="1080" w:bottom="1100" w:left="1020" w:right="8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279.890015pt;margin-top:785.499939pt;width:15.6pt;height:12pt;mso-position-horizontal-relative:page;mso-position-vertical-relative:page;z-index:-15912448"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r>
                  <w:rPr>
                    <w:rFonts w:ascii="Times New Roman"/>
                    <w:spacing w:val="-5"/>
                    <w:sz w:val="18"/>
                  </w:rPr>
                  <w:t>/</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642"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84" w:hanging="530"/>
      </w:pPr>
      <w:rPr>
        <w:rFonts w:hint="default"/>
        <w:lang w:val="en-US" w:eastAsia="zh-CN" w:bidi="ar-SA"/>
      </w:rPr>
    </w:lvl>
    <w:lvl w:ilvl="2">
      <w:start w:val="0"/>
      <w:numFmt w:val="bullet"/>
      <w:lvlText w:val="•"/>
      <w:lvlJc w:val="left"/>
      <w:pPr>
        <w:ind w:left="2529" w:hanging="530"/>
      </w:pPr>
      <w:rPr>
        <w:rFonts w:hint="default"/>
        <w:lang w:val="en-US" w:eastAsia="zh-CN" w:bidi="ar-SA"/>
      </w:rPr>
    </w:lvl>
    <w:lvl w:ilvl="3">
      <w:start w:val="0"/>
      <w:numFmt w:val="bullet"/>
      <w:lvlText w:val="•"/>
      <w:lvlJc w:val="left"/>
      <w:pPr>
        <w:ind w:left="3473" w:hanging="530"/>
      </w:pPr>
      <w:rPr>
        <w:rFonts w:hint="default"/>
        <w:lang w:val="en-US" w:eastAsia="zh-CN" w:bidi="ar-SA"/>
      </w:rPr>
    </w:lvl>
    <w:lvl w:ilvl="4">
      <w:start w:val="0"/>
      <w:numFmt w:val="bullet"/>
      <w:lvlText w:val="•"/>
      <w:lvlJc w:val="left"/>
      <w:pPr>
        <w:ind w:left="4418" w:hanging="530"/>
      </w:pPr>
      <w:rPr>
        <w:rFonts w:hint="default"/>
        <w:lang w:val="en-US" w:eastAsia="zh-CN" w:bidi="ar-SA"/>
      </w:rPr>
    </w:lvl>
    <w:lvl w:ilvl="5">
      <w:start w:val="0"/>
      <w:numFmt w:val="bullet"/>
      <w:lvlText w:val="•"/>
      <w:lvlJc w:val="left"/>
      <w:pPr>
        <w:ind w:left="5363" w:hanging="530"/>
      </w:pPr>
      <w:rPr>
        <w:rFonts w:hint="default"/>
        <w:lang w:val="en-US" w:eastAsia="zh-CN" w:bidi="ar-SA"/>
      </w:rPr>
    </w:lvl>
    <w:lvl w:ilvl="6">
      <w:start w:val="0"/>
      <w:numFmt w:val="bullet"/>
      <w:lvlText w:val="•"/>
      <w:lvlJc w:val="left"/>
      <w:pPr>
        <w:ind w:left="6307" w:hanging="530"/>
      </w:pPr>
      <w:rPr>
        <w:rFonts w:hint="default"/>
        <w:lang w:val="en-US" w:eastAsia="zh-CN" w:bidi="ar-SA"/>
      </w:rPr>
    </w:lvl>
    <w:lvl w:ilvl="7">
      <w:start w:val="0"/>
      <w:numFmt w:val="bullet"/>
      <w:lvlText w:val="•"/>
      <w:lvlJc w:val="left"/>
      <w:pPr>
        <w:ind w:left="7252" w:hanging="530"/>
      </w:pPr>
      <w:rPr>
        <w:rFonts w:hint="default"/>
        <w:lang w:val="en-US" w:eastAsia="zh-CN" w:bidi="ar-SA"/>
      </w:rPr>
    </w:lvl>
    <w:lvl w:ilvl="8">
      <w:start w:val="0"/>
      <w:numFmt w:val="bullet"/>
      <w:lvlText w:val="•"/>
      <w:lvlJc w:val="left"/>
      <w:pPr>
        <w:ind w:left="8197" w:hanging="530"/>
      </w:pPr>
      <w:rPr>
        <w:rFonts w:hint="default"/>
        <w:lang w:val="en-US" w:eastAsia="zh-CN" w:bidi="ar-SA"/>
      </w:rPr>
    </w:lvl>
  </w:abstractNum>
  <w:abstractNum w:abstractNumId="9">
    <w:multiLevelType w:val="hybridMultilevel"/>
    <w:lvl w:ilvl="0">
      <w:start w:val="1"/>
      <w:numFmt w:val="decimal"/>
      <w:lvlText w:val="（%1）"/>
      <w:lvlJc w:val="left"/>
      <w:pPr>
        <w:ind w:left="642"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84" w:hanging="530"/>
      </w:pPr>
      <w:rPr>
        <w:rFonts w:hint="default"/>
        <w:lang w:val="en-US" w:eastAsia="zh-CN" w:bidi="ar-SA"/>
      </w:rPr>
    </w:lvl>
    <w:lvl w:ilvl="2">
      <w:start w:val="0"/>
      <w:numFmt w:val="bullet"/>
      <w:lvlText w:val="•"/>
      <w:lvlJc w:val="left"/>
      <w:pPr>
        <w:ind w:left="2529" w:hanging="530"/>
      </w:pPr>
      <w:rPr>
        <w:rFonts w:hint="default"/>
        <w:lang w:val="en-US" w:eastAsia="zh-CN" w:bidi="ar-SA"/>
      </w:rPr>
    </w:lvl>
    <w:lvl w:ilvl="3">
      <w:start w:val="0"/>
      <w:numFmt w:val="bullet"/>
      <w:lvlText w:val="•"/>
      <w:lvlJc w:val="left"/>
      <w:pPr>
        <w:ind w:left="3473" w:hanging="530"/>
      </w:pPr>
      <w:rPr>
        <w:rFonts w:hint="default"/>
        <w:lang w:val="en-US" w:eastAsia="zh-CN" w:bidi="ar-SA"/>
      </w:rPr>
    </w:lvl>
    <w:lvl w:ilvl="4">
      <w:start w:val="0"/>
      <w:numFmt w:val="bullet"/>
      <w:lvlText w:val="•"/>
      <w:lvlJc w:val="left"/>
      <w:pPr>
        <w:ind w:left="4418" w:hanging="530"/>
      </w:pPr>
      <w:rPr>
        <w:rFonts w:hint="default"/>
        <w:lang w:val="en-US" w:eastAsia="zh-CN" w:bidi="ar-SA"/>
      </w:rPr>
    </w:lvl>
    <w:lvl w:ilvl="5">
      <w:start w:val="0"/>
      <w:numFmt w:val="bullet"/>
      <w:lvlText w:val="•"/>
      <w:lvlJc w:val="left"/>
      <w:pPr>
        <w:ind w:left="5363" w:hanging="530"/>
      </w:pPr>
      <w:rPr>
        <w:rFonts w:hint="default"/>
        <w:lang w:val="en-US" w:eastAsia="zh-CN" w:bidi="ar-SA"/>
      </w:rPr>
    </w:lvl>
    <w:lvl w:ilvl="6">
      <w:start w:val="0"/>
      <w:numFmt w:val="bullet"/>
      <w:lvlText w:val="•"/>
      <w:lvlJc w:val="left"/>
      <w:pPr>
        <w:ind w:left="6307" w:hanging="530"/>
      </w:pPr>
      <w:rPr>
        <w:rFonts w:hint="default"/>
        <w:lang w:val="en-US" w:eastAsia="zh-CN" w:bidi="ar-SA"/>
      </w:rPr>
    </w:lvl>
    <w:lvl w:ilvl="7">
      <w:start w:val="0"/>
      <w:numFmt w:val="bullet"/>
      <w:lvlText w:val="•"/>
      <w:lvlJc w:val="left"/>
      <w:pPr>
        <w:ind w:left="7252" w:hanging="530"/>
      </w:pPr>
      <w:rPr>
        <w:rFonts w:hint="default"/>
        <w:lang w:val="en-US" w:eastAsia="zh-CN" w:bidi="ar-SA"/>
      </w:rPr>
    </w:lvl>
    <w:lvl w:ilvl="8">
      <w:start w:val="0"/>
      <w:numFmt w:val="bullet"/>
      <w:lvlText w:val="•"/>
      <w:lvlJc w:val="left"/>
      <w:pPr>
        <w:ind w:left="8197" w:hanging="530"/>
      </w:pPr>
      <w:rPr>
        <w:rFonts w:hint="default"/>
        <w:lang w:val="en-US" w:eastAsia="zh-CN" w:bidi="ar-SA"/>
      </w:rPr>
    </w:lvl>
  </w:abstractNum>
  <w:abstractNum w:abstractNumId="8">
    <w:multiLevelType w:val="hybridMultilevel"/>
    <w:lvl w:ilvl="0">
      <w:start w:val="1"/>
      <w:numFmt w:val="decimal"/>
      <w:lvlText w:val="（%1）"/>
      <w:lvlJc w:val="left"/>
      <w:pPr>
        <w:ind w:left="104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44" w:hanging="529"/>
      </w:pPr>
      <w:rPr>
        <w:rFonts w:hint="default"/>
        <w:lang w:val="en-US" w:eastAsia="zh-CN" w:bidi="ar-SA"/>
      </w:rPr>
    </w:lvl>
    <w:lvl w:ilvl="2">
      <w:start w:val="0"/>
      <w:numFmt w:val="bullet"/>
      <w:lvlText w:val="•"/>
      <w:lvlJc w:val="left"/>
      <w:pPr>
        <w:ind w:left="2849" w:hanging="529"/>
      </w:pPr>
      <w:rPr>
        <w:rFonts w:hint="default"/>
        <w:lang w:val="en-US" w:eastAsia="zh-CN" w:bidi="ar-SA"/>
      </w:rPr>
    </w:lvl>
    <w:lvl w:ilvl="3">
      <w:start w:val="0"/>
      <w:numFmt w:val="bullet"/>
      <w:lvlText w:val="•"/>
      <w:lvlJc w:val="left"/>
      <w:pPr>
        <w:ind w:left="3753" w:hanging="529"/>
      </w:pPr>
      <w:rPr>
        <w:rFonts w:hint="default"/>
        <w:lang w:val="en-US" w:eastAsia="zh-CN" w:bidi="ar-SA"/>
      </w:rPr>
    </w:lvl>
    <w:lvl w:ilvl="4">
      <w:start w:val="0"/>
      <w:numFmt w:val="bullet"/>
      <w:lvlText w:val="•"/>
      <w:lvlJc w:val="left"/>
      <w:pPr>
        <w:ind w:left="4658" w:hanging="529"/>
      </w:pPr>
      <w:rPr>
        <w:rFonts w:hint="default"/>
        <w:lang w:val="en-US" w:eastAsia="zh-CN" w:bidi="ar-SA"/>
      </w:rPr>
    </w:lvl>
    <w:lvl w:ilvl="5">
      <w:start w:val="0"/>
      <w:numFmt w:val="bullet"/>
      <w:lvlText w:val="•"/>
      <w:lvlJc w:val="left"/>
      <w:pPr>
        <w:ind w:left="5563" w:hanging="529"/>
      </w:pPr>
      <w:rPr>
        <w:rFonts w:hint="default"/>
        <w:lang w:val="en-US" w:eastAsia="zh-CN" w:bidi="ar-SA"/>
      </w:rPr>
    </w:lvl>
    <w:lvl w:ilvl="6">
      <w:start w:val="0"/>
      <w:numFmt w:val="bullet"/>
      <w:lvlText w:val="•"/>
      <w:lvlJc w:val="left"/>
      <w:pPr>
        <w:ind w:left="6467" w:hanging="529"/>
      </w:pPr>
      <w:rPr>
        <w:rFonts w:hint="default"/>
        <w:lang w:val="en-US" w:eastAsia="zh-CN" w:bidi="ar-SA"/>
      </w:rPr>
    </w:lvl>
    <w:lvl w:ilvl="7">
      <w:start w:val="0"/>
      <w:numFmt w:val="bullet"/>
      <w:lvlText w:val="•"/>
      <w:lvlJc w:val="left"/>
      <w:pPr>
        <w:ind w:left="7372" w:hanging="529"/>
      </w:pPr>
      <w:rPr>
        <w:rFonts w:hint="default"/>
        <w:lang w:val="en-US" w:eastAsia="zh-CN" w:bidi="ar-SA"/>
      </w:rPr>
    </w:lvl>
    <w:lvl w:ilvl="8">
      <w:start w:val="0"/>
      <w:numFmt w:val="bullet"/>
      <w:lvlText w:val="•"/>
      <w:lvlJc w:val="left"/>
      <w:pPr>
        <w:ind w:left="8277" w:hanging="529"/>
      </w:pPr>
      <w:rPr>
        <w:rFonts w:hint="default"/>
        <w:lang w:val="en-US" w:eastAsia="zh-CN" w:bidi="ar-SA"/>
      </w:rPr>
    </w:lvl>
  </w:abstractNum>
  <w:abstractNum w:abstractNumId="7">
    <w:multiLevelType w:val="hybridMultilevel"/>
    <w:lvl w:ilvl="0">
      <w:start w:val="1"/>
      <w:numFmt w:val="decimal"/>
      <w:lvlText w:val="（%1）"/>
      <w:lvlJc w:val="left"/>
      <w:pPr>
        <w:ind w:left="10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62" w:hanging="529"/>
      </w:pPr>
      <w:rPr>
        <w:rFonts w:hint="default"/>
        <w:lang w:val="en-US" w:eastAsia="zh-CN" w:bidi="ar-SA"/>
      </w:rPr>
    </w:lvl>
    <w:lvl w:ilvl="2">
      <w:start w:val="0"/>
      <w:numFmt w:val="bullet"/>
      <w:lvlText w:val="•"/>
      <w:lvlJc w:val="left"/>
      <w:pPr>
        <w:ind w:left="2865" w:hanging="529"/>
      </w:pPr>
      <w:rPr>
        <w:rFonts w:hint="default"/>
        <w:lang w:val="en-US" w:eastAsia="zh-CN" w:bidi="ar-SA"/>
      </w:rPr>
    </w:lvl>
    <w:lvl w:ilvl="3">
      <w:start w:val="0"/>
      <w:numFmt w:val="bullet"/>
      <w:lvlText w:val="•"/>
      <w:lvlJc w:val="left"/>
      <w:pPr>
        <w:ind w:left="3767" w:hanging="529"/>
      </w:pPr>
      <w:rPr>
        <w:rFonts w:hint="default"/>
        <w:lang w:val="en-US" w:eastAsia="zh-CN" w:bidi="ar-SA"/>
      </w:rPr>
    </w:lvl>
    <w:lvl w:ilvl="4">
      <w:start w:val="0"/>
      <w:numFmt w:val="bullet"/>
      <w:lvlText w:val="•"/>
      <w:lvlJc w:val="left"/>
      <w:pPr>
        <w:ind w:left="4670" w:hanging="529"/>
      </w:pPr>
      <w:rPr>
        <w:rFonts w:hint="default"/>
        <w:lang w:val="en-US" w:eastAsia="zh-CN" w:bidi="ar-SA"/>
      </w:rPr>
    </w:lvl>
    <w:lvl w:ilvl="5">
      <w:start w:val="0"/>
      <w:numFmt w:val="bullet"/>
      <w:lvlText w:val="•"/>
      <w:lvlJc w:val="left"/>
      <w:pPr>
        <w:ind w:left="5573" w:hanging="529"/>
      </w:pPr>
      <w:rPr>
        <w:rFonts w:hint="default"/>
        <w:lang w:val="en-US" w:eastAsia="zh-CN" w:bidi="ar-SA"/>
      </w:rPr>
    </w:lvl>
    <w:lvl w:ilvl="6">
      <w:start w:val="0"/>
      <w:numFmt w:val="bullet"/>
      <w:lvlText w:val="•"/>
      <w:lvlJc w:val="left"/>
      <w:pPr>
        <w:ind w:left="6475" w:hanging="529"/>
      </w:pPr>
      <w:rPr>
        <w:rFonts w:hint="default"/>
        <w:lang w:val="en-US" w:eastAsia="zh-CN" w:bidi="ar-SA"/>
      </w:rPr>
    </w:lvl>
    <w:lvl w:ilvl="7">
      <w:start w:val="0"/>
      <w:numFmt w:val="bullet"/>
      <w:lvlText w:val="•"/>
      <w:lvlJc w:val="left"/>
      <w:pPr>
        <w:ind w:left="7378" w:hanging="529"/>
      </w:pPr>
      <w:rPr>
        <w:rFonts w:hint="default"/>
        <w:lang w:val="en-US" w:eastAsia="zh-CN" w:bidi="ar-SA"/>
      </w:rPr>
    </w:lvl>
    <w:lvl w:ilvl="8">
      <w:start w:val="0"/>
      <w:numFmt w:val="bullet"/>
      <w:lvlText w:val="•"/>
      <w:lvlJc w:val="left"/>
      <w:pPr>
        <w:ind w:left="8281" w:hanging="529"/>
      </w:pPr>
      <w:rPr>
        <w:rFonts w:hint="default"/>
        <w:lang w:val="en-US" w:eastAsia="zh-CN" w:bidi="ar-SA"/>
      </w:rPr>
    </w:lvl>
  </w:abstractNum>
  <w:abstractNum w:abstractNumId="6">
    <w:multiLevelType w:val="hybridMultilevel"/>
    <w:lvl w:ilvl="0">
      <w:start w:val="1"/>
      <w:numFmt w:val="decimal"/>
      <w:lvlText w:val="（%1）"/>
      <w:lvlJc w:val="left"/>
      <w:pPr>
        <w:ind w:left="10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62" w:hanging="529"/>
      </w:pPr>
      <w:rPr>
        <w:rFonts w:hint="default"/>
        <w:lang w:val="en-US" w:eastAsia="zh-CN" w:bidi="ar-SA"/>
      </w:rPr>
    </w:lvl>
    <w:lvl w:ilvl="2">
      <w:start w:val="0"/>
      <w:numFmt w:val="bullet"/>
      <w:lvlText w:val="•"/>
      <w:lvlJc w:val="left"/>
      <w:pPr>
        <w:ind w:left="2865" w:hanging="529"/>
      </w:pPr>
      <w:rPr>
        <w:rFonts w:hint="default"/>
        <w:lang w:val="en-US" w:eastAsia="zh-CN" w:bidi="ar-SA"/>
      </w:rPr>
    </w:lvl>
    <w:lvl w:ilvl="3">
      <w:start w:val="0"/>
      <w:numFmt w:val="bullet"/>
      <w:lvlText w:val="•"/>
      <w:lvlJc w:val="left"/>
      <w:pPr>
        <w:ind w:left="3767" w:hanging="529"/>
      </w:pPr>
      <w:rPr>
        <w:rFonts w:hint="default"/>
        <w:lang w:val="en-US" w:eastAsia="zh-CN" w:bidi="ar-SA"/>
      </w:rPr>
    </w:lvl>
    <w:lvl w:ilvl="4">
      <w:start w:val="0"/>
      <w:numFmt w:val="bullet"/>
      <w:lvlText w:val="•"/>
      <w:lvlJc w:val="left"/>
      <w:pPr>
        <w:ind w:left="4670" w:hanging="529"/>
      </w:pPr>
      <w:rPr>
        <w:rFonts w:hint="default"/>
        <w:lang w:val="en-US" w:eastAsia="zh-CN" w:bidi="ar-SA"/>
      </w:rPr>
    </w:lvl>
    <w:lvl w:ilvl="5">
      <w:start w:val="0"/>
      <w:numFmt w:val="bullet"/>
      <w:lvlText w:val="•"/>
      <w:lvlJc w:val="left"/>
      <w:pPr>
        <w:ind w:left="5573" w:hanging="529"/>
      </w:pPr>
      <w:rPr>
        <w:rFonts w:hint="default"/>
        <w:lang w:val="en-US" w:eastAsia="zh-CN" w:bidi="ar-SA"/>
      </w:rPr>
    </w:lvl>
    <w:lvl w:ilvl="6">
      <w:start w:val="0"/>
      <w:numFmt w:val="bullet"/>
      <w:lvlText w:val="•"/>
      <w:lvlJc w:val="left"/>
      <w:pPr>
        <w:ind w:left="6475" w:hanging="529"/>
      </w:pPr>
      <w:rPr>
        <w:rFonts w:hint="default"/>
        <w:lang w:val="en-US" w:eastAsia="zh-CN" w:bidi="ar-SA"/>
      </w:rPr>
    </w:lvl>
    <w:lvl w:ilvl="7">
      <w:start w:val="0"/>
      <w:numFmt w:val="bullet"/>
      <w:lvlText w:val="•"/>
      <w:lvlJc w:val="left"/>
      <w:pPr>
        <w:ind w:left="7378" w:hanging="529"/>
      </w:pPr>
      <w:rPr>
        <w:rFonts w:hint="default"/>
        <w:lang w:val="en-US" w:eastAsia="zh-CN" w:bidi="ar-SA"/>
      </w:rPr>
    </w:lvl>
    <w:lvl w:ilvl="8">
      <w:start w:val="0"/>
      <w:numFmt w:val="bullet"/>
      <w:lvlText w:val="•"/>
      <w:lvlJc w:val="left"/>
      <w:pPr>
        <w:ind w:left="8281" w:hanging="529"/>
      </w:pPr>
      <w:rPr>
        <w:rFonts w:hint="default"/>
        <w:lang w:val="en-US" w:eastAsia="zh-CN" w:bidi="ar-SA"/>
      </w:rPr>
    </w:lvl>
  </w:abstractNum>
  <w:abstractNum w:abstractNumId="5">
    <w:multiLevelType w:val="hybridMultilevel"/>
    <w:lvl w:ilvl="0">
      <w:start w:val="1"/>
      <w:numFmt w:val="decimal"/>
      <w:lvlText w:val="（%1）"/>
      <w:lvlJc w:val="left"/>
      <w:pPr>
        <w:ind w:left="10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62" w:hanging="529"/>
      </w:pPr>
      <w:rPr>
        <w:rFonts w:hint="default"/>
        <w:lang w:val="en-US" w:eastAsia="zh-CN" w:bidi="ar-SA"/>
      </w:rPr>
    </w:lvl>
    <w:lvl w:ilvl="2">
      <w:start w:val="0"/>
      <w:numFmt w:val="bullet"/>
      <w:lvlText w:val="•"/>
      <w:lvlJc w:val="left"/>
      <w:pPr>
        <w:ind w:left="2865" w:hanging="529"/>
      </w:pPr>
      <w:rPr>
        <w:rFonts w:hint="default"/>
        <w:lang w:val="en-US" w:eastAsia="zh-CN" w:bidi="ar-SA"/>
      </w:rPr>
    </w:lvl>
    <w:lvl w:ilvl="3">
      <w:start w:val="0"/>
      <w:numFmt w:val="bullet"/>
      <w:lvlText w:val="•"/>
      <w:lvlJc w:val="left"/>
      <w:pPr>
        <w:ind w:left="3767" w:hanging="529"/>
      </w:pPr>
      <w:rPr>
        <w:rFonts w:hint="default"/>
        <w:lang w:val="en-US" w:eastAsia="zh-CN" w:bidi="ar-SA"/>
      </w:rPr>
    </w:lvl>
    <w:lvl w:ilvl="4">
      <w:start w:val="0"/>
      <w:numFmt w:val="bullet"/>
      <w:lvlText w:val="•"/>
      <w:lvlJc w:val="left"/>
      <w:pPr>
        <w:ind w:left="4670" w:hanging="529"/>
      </w:pPr>
      <w:rPr>
        <w:rFonts w:hint="default"/>
        <w:lang w:val="en-US" w:eastAsia="zh-CN" w:bidi="ar-SA"/>
      </w:rPr>
    </w:lvl>
    <w:lvl w:ilvl="5">
      <w:start w:val="0"/>
      <w:numFmt w:val="bullet"/>
      <w:lvlText w:val="•"/>
      <w:lvlJc w:val="left"/>
      <w:pPr>
        <w:ind w:left="5573" w:hanging="529"/>
      </w:pPr>
      <w:rPr>
        <w:rFonts w:hint="default"/>
        <w:lang w:val="en-US" w:eastAsia="zh-CN" w:bidi="ar-SA"/>
      </w:rPr>
    </w:lvl>
    <w:lvl w:ilvl="6">
      <w:start w:val="0"/>
      <w:numFmt w:val="bullet"/>
      <w:lvlText w:val="•"/>
      <w:lvlJc w:val="left"/>
      <w:pPr>
        <w:ind w:left="6475" w:hanging="529"/>
      </w:pPr>
      <w:rPr>
        <w:rFonts w:hint="default"/>
        <w:lang w:val="en-US" w:eastAsia="zh-CN" w:bidi="ar-SA"/>
      </w:rPr>
    </w:lvl>
    <w:lvl w:ilvl="7">
      <w:start w:val="0"/>
      <w:numFmt w:val="bullet"/>
      <w:lvlText w:val="•"/>
      <w:lvlJc w:val="left"/>
      <w:pPr>
        <w:ind w:left="7378" w:hanging="529"/>
      </w:pPr>
      <w:rPr>
        <w:rFonts w:hint="default"/>
        <w:lang w:val="en-US" w:eastAsia="zh-CN" w:bidi="ar-SA"/>
      </w:rPr>
    </w:lvl>
    <w:lvl w:ilvl="8">
      <w:start w:val="0"/>
      <w:numFmt w:val="bullet"/>
      <w:lvlText w:val="•"/>
      <w:lvlJc w:val="left"/>
      <w:pPr>
        <w:ind w:left="8281" w:hanging="529"/>
      </w:pPr>
      <w:rPr>
        <w:rFonts w:hint="default"/>
        <w:lang w:val="en-US" w:eastAsia="zh-CN" w:bidi="ar-SA"/>
      </w:rPr>
    </w:lvl>
  </w:abstractNum>
  <w:abstractNum w:abstractNumId="4">
    <w:multiLevelType w:val="hybridMultilevel"/>
    <w:lvl w:ilvl="0">
      <w:start w:val="1"/>
      <w:numFmt w:val="decimal"/>
      <w:lvlText w:val="（%1）"/>
      <w:lvlJc w:val="left"/>
      <w:pPr>
        <w:ind w:left="10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62" w:hanging="529"/>
      </w:pPr>
      <w:rPr>
        <w:rFonts w:hint="default"/>
        <w:lang w:val="en-US" w:eastAsia="zh-CN" w:bidi="ar-SA"/>
      </w:rPr>
    </w:lvl>
    <w:lvl w:ilvl="2">
      <w:start w:val="0"/>
      <w:numFmt w:val="bullet"/>
      <w:lvlText w:val="•"/>
      <w:lvlJc w:val="left"/>
      <w:pPr>
        <w:ind w:left="2865" w:hanging="529"/>
      </w:pPr>
      <w:rPr>
        <w:rFonts w:hint="default"/>
        <w:lang w:val="en-US" w:eastAsia="zh-CN" w:bidi="ar-SA"/>
      </w:rPr>
    </w:lvl>
    <w:lvl w:ilvl="3">
      <w:start w:val="0"/>
      <w:numFmt w:val="bullet"/>
      <w:lvlText w:val="•"/>
      <w:lvlJc w:val="left"/>
      <w:pPr>
        <w:ind w:left="3767" w:hanging="529"/>
      </w:pPr>
      <w:rPr>
        <w:rFonts w:hint="default"/>
        <w:lang w:val="en-US" w:eastAsia="zh-CN" w:bidi="ar-SA"/>
      </w:rPr>
    </w:lvl>
    <w:lvl w:ilvl="4">
      <w:start w:val="0"/>
      <w:numFmt w:val="bullet"/>
      <w:lvlText w:val="•"/>
      <w:lvlJc w:val="left"/>
      <w:pPr>
        <w:ind w:left="4670" w:hanging="529"/>
      </w:pPr>
      <w:rPr>
        <w:rFonts w:hint="default"/>
        <w:lang w:val="en-US" w:eastAsia="zh-CN" w:bidi="ar-SA"/>
      </w:rPr>
    </w:lvl>
    <w:lvl w:ilvl="5">
      <w:start w:val="0"/>
      <w:numFmt w:val="bullet"/>
      <w:lvlText w:val="•"/>
      <w:lvlJc w:val="left"/>
      <w:pPr>
        <w:ind w:left="5573" w:hanging="529"/>
      </w:pPr>
      <w:rPr>
        <w:rFonts w:hint="default"/>
        <w:lang w:val="en-US" w:eastAsia="zh-CN" w:bidi="ar-SA"/>
      </w:rPr>
    </w:lvl>
    <w:lvl w:ilvl="6">
      <w:start w:val="0"/>
      <w:numFmt w:val="bullet"/>
      <w:lvlText w:val="•"/>
      <w:lvlJc w:val="left"/>
      <w:pPr>
        <w:ind w:left="6475" w:hanging="529"/>
      </w:pPr>
      <w:rPr>
        <w:rFonts w:hint="default"/>
        <w:lang w:val="en-US" w:eastAsia="zh-CN" w:bidi="ar-SA"/>
      </w:rPr>
    </w:lvl>
    <w:lvl w:ilvl="7">
      <w:start w:val="0"/>
      <w:numFmt w:val="bullet"/>
      <w:lvlText w:val="•"/>
      <w:lvlJc w:val="left"/>
      <w:pPr>
        <w:ind w:left="7378" w:hanging="529"/>
      </w:pPr>
      <w:rPr>
        <w:rFonts w:hint="default"/>
        <w:lang w:val="en-US" w:eastAsia="zh-CN" w:bidi="ar-SA"/>
      </w:rPr>
    </w:lvl>
    <w:lvl w:ilvl="8">
      <w:start w:val="0"/>
      <w:numFmt w:val="bullet"/>
      <w:lvlText w:val="•"/>
      <w:lvlJc w:val="left"/>
      <w:pPr>
        <w:ind w:left="8281" w:hanging="529"/>
      </w:pPr>
      <w:rPr>
        <w:rFonts w:hint="default"/>
        <w:lang w:val="en-US" w:eastAsia="zh-CN" w:bidi="ar-SA"/>
      </w:rPr>
    </w:lvl>
  </w:abstractNum>
  <w:abstractNum w:abstractNumId="3">
    <w:multiLevelType w:val="hybridMultilevel"/>
    <w:lvl w:ilvl="0">
      <w:start w:val="1"/>
      <w:numFmt w:val="decimal"/>
      <w:lvlText w:val="（%1）"/>
      <w:lvlJc w:val="left"/>
      <w:pPr>
        <w:ind w:left="106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62" w:hanging="529"/>
      </w:pPr>
      <w:rPr>
        <w:rFonts w:hint="default"/>
        <w:lang w:val="en-US" w:eastAsia="zh-CN" w:bidi="ar-SA"/>
      </w:rPr>
    </w:lvl>
    <w:lvl w:ilvl="2">
      <w:start w:val="0"/>
      <w:numFmt w:val="bullet"/>
      <w:lvlText w:val="•"/>
      <w:lvlJc w:val="left"/>
      <w:pPr>
        <w:ind w:left="2865" w:hanging="529"/>
      </w:pPr>
      <w:rPr>
        <w:rFonts w:hint="default"/>
        <w:lang w:val="en-US" w:eastAsia="zh-CN" w:bidi="ar-SA"/>
      </w:rPr>
    </w:lvl>
    <w:lvl w:ilvl="3">
      <w:start w:val="0"/>
      <w:numFmt w:val="bullet"/>
      <w:lvlText w:val="•"/>
      <w:lvlJc w:val="left"/>
      <w:pPr>
        <w:ind w:left="3767" w:hanging="529"/>
      </w:pPr>
      <w:rPr>
        <w:rFonts w:hint="default"/>
        <w:lang w:val="en-US" w:eastAsia="zh-CN" w:bidi="ar-SA"/>
      </w:rPr>
    </w:lvl>
    <w:lvl w:ilvl="4">
      <w:start w:val="0"/>
      <w:numFmt w:val="bullet"/>
      <w:lvlText w:val="•"/>
      <w:lvlJc w:val="left"/>
      <w:pPr>
        <w:ind w:left="4670" w:hanging="529"/>
      </w:pPr>
      <w:rPr>
        <w:rFonts w:hint="default"/>
        <w:lang w:val="en-US" w:eastAsia="zh-CN" w:bidi="ar-SA"/>
      </w:rPr>
    </w:lvl>
    <w:lvl w:ilvl="5">
      <w:start w:val="0"/>
      <w:numFmt w:val="bullet"/>
      <w:lvlText w:val="•"/>
      <w:lvlJc w:val="left"/>
      <w:pPr>
        <w:ind w:left="5573" w:hanging="529"/>
      </w:pPr>
      <w:rPr>
        <w:rFonts w:hint="default"/>
        <w:lang w:val="en-US" w:eastAsia="zh-CN" w:bidi="ar-SA"/>
      </w:rPr>
    </w:lvl>
    <w:lvl w:ilvl="6">
      <w:start w:val="0"/>
      <w:numFmt w:val="bullet"/>
      <w:lvlText w:val="•"/>
      <w:lvlJc w:val="left"/>
      <w:pPr>
        <w:ind w:left="6475" w:hanging="529"/>
      </w:pPr>
      <w:rPr>
        <w:rFonts w:hint="default"/>
        <w:lang w:val="en-US" w:eastAsia="zh-CN" w:bidi="ar-SA"/>
      </w:rPr>
    </w:lvl>
    <w:lvl w:ilvl="7">
      <w:start w:val="0"/>
      <w:numFmt w:val="bullet"/>
      <w:lvlText w:val="•"/>
      <w:lvlJc w:val="left"/>
      <w:pPr>
        <w:ind w:left="7378" w:hanging="529"/>
      </w:pPr>
      <w:rPr>
        <w:rFonts w:hint="default"/>
        <w:lang w:val="en-US" w:eastAsia="zh-CN" w:bidi="ar-SA"/>
      </w:rPr>
    </w:lvl>
    <w:lvl w:ilvl="8">
      <w:start w:val="0"/>
      <w:numFmt w:val="bullet"/>
      <w:lvlText w:val="•"/>
      <w:lvlJc w:val="left"/>
      <w:pPr>
        <w:ind w:left="8281" w:hanging="529"/>
      </w:pPr>
      <w:rPr>
        <w:rFonts w:hint="default"/>
        <w:lang w:val="en-US" w:eastAsia="zh-CN" w:bidi="ar-SA"/>
      </w:rPr>
    </w:lvl>
  </w:abstractNum>
  <w:abstractNum w:abstractNumId="2">
    <w:multiLevelType w:val="hybridMultilevel"/>
    <w:lvl w:ilvl="0">
      <w:start w:val="1"/>
      <w:numFmt w:val="decimal"/>
      <w:lvlText w:val="（%1）"/>
      <w:lvlJc w:val="left"/>
      <w:pPr>
        <w:ind w:left="112" w:hanging="532"/>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1116" w:hanging="532"/>
      </w:pPr>
      <w:rPr>
        <w:rFonts w:hint="default"/>
        <w:lang w:val="en-US" w:eastAsia="zh-CN" w:bidi="ar-SA"/>
      </w:rPr>
    </w:lvl>
    <w:lvl w:ilvl="2">
      <w:start w:val="0"/>
      <w:numFmt w:val="bullet"/>
      <w:lvlText w:val="•"/>
      <w:lvlJc w:val="left"/>
      <w:pPr>
        <w:ind w:left="2113" w:hanging="532"/>
      </w:pPr>
      <w:rPr>
        <w:rFonts w:hint="default"/>
        <w:lang w:val="en-US" w:eastAsia="zh-CN" w:bidi="ar-SA"/>
      </w:rPr>
    </w:lvl>
    <w:lvl w:ilvl="3">
      <w:start w:val="0"/>
      <w:numFmt w:val="bullet"/>
      <w:lvlText w:val="•"/>
      <w:lvlJc w:val="left"/>
      <w:pPr>
        <w:ind w:left="3109" w:hanging="532"/>
      </w:pPr>
      <w:rPr>
        <w:rFonts w:hint="default"/>
        <w:lang w:val="en-US" w:eastAsia="zh-CN" w:bidi="ar-SA"/>
      </w:rPr>
    </w:lvl>
    <w:lvl w:ilvl="4">
      <w:start w:val="0"/>
      <w:numFmt w:val="bullet"/>
      <w:lvlText w:val="•"/>
      <w:lvlJc w:val="left"/>
      <w:pPr>
        <w:ind w:left="4106" w:hanging="532"/>
      </w:pPr>
      <w:rPr>
        <w:rFonts w:hint="default"/>
        <w:lang w:val="en-US" w:eastAsia="zh-CN" w:bidi="ar-SA"/>
      </w:rPr>
    </w:lvl>
    <w:lvl w:ilvl="5">
      <w:start w:val="0"/>
      <w:numFmt w:val="bullet"/>
      <w:lvlText w:val="•"/>
      <w:lvlJc w:val="left"/>
      <w:pPr>
        <w:ind w:left="5103" w:hanging="532"/>
      </w:pPr>
      <w:rPr>
        <w:rFonts w:hint="default"/>
        <w:lang w:val="en-US" w:eastAsia="zh-CN" w:bidi="ar-SA"/>
      </w:rPr>
    </w:lvl>
    <w:lvl w:ilvl="6">
      <w:start w:val="0"/>
      <w:numFmt w:val="bullet"/>
      <w:lvlText w:val="•"/>
      <w:lvlJc w:val="left"/>
      <w:pPr>
        <w:ind w:left="6099" w:hanging="532"/>
      </w:pPr>
      <w:rPr>
        <w:rFonts w:hint="default"/>
        <w:lang w:val="en-US" w:eastAsia="zh-CN" w:bidi="ar-SA"/>
      </w:rPr>
    </w:lvl>
    <w:lvl w:ilvl="7">
      <w:start w:val="0"/>
      <w:numFmt w:val="bullet"/>
      <w:lvlText w:val="•"/>
      <w:lvlJc w:val="left"/>
      <w:pPr>
        <w:ind w:left="7096" w:hanging="532"/>
      </w:pPr>
      <w:rPr>
        <w:rFonts w:hint="default"/>
        <w:lang w:val="en-US" w:eastAsia="zh-CN" w:bidi="ar-SA"/>
      </w:rPr>
    </w:lvl>
    <w:lvl w:ilvl="8">
      <w:start w:val="0"/>
      <w:numFmt w:val="bullet"/>
      <w:lvlText w:val="•"/>
      <w:lvlJc w:val="left"/>
      <w:pPr>
        <w:ind w:left="8093" w:hanging="532"/>
      </w:pPr>
      <w:rPr>
        <w:rFonts w:hint="default"/>
        <w:lang w:val="en-US" w:eastAsia="zh-CN" w:bidi="ar-SA"/>
      </w:rPr>
    </w:lvl>
  </w:abstractNum>
  <w:abstractNum w:abstractNumId="1">
    <w:multiLevelType w:val="hybridMultilevel"/>
    <w:lvl w:ilvl="0">
      <w:start w:val="1"/>
      <w:numFmt w:val="decimal"/>
      <w:lvlText w:val="%1."/>
      <w:lvlJc w:val="left"/>
      <w:pPr>
        <w:ind w:left="593" w:hanging="481"/>
        <w:jc w:val="left"/>
      </w:pPr>
      <w:rPr>
        <w:rFonts w:hint="default" w:ascii="黑体" w:hAnsi="黑体" w:eastAsia="黑体" w:cs="黑体"/>
        <w:b/>
        <w:bCs/>
        <w:i w:val="0"/>
        <w:iCs w:val="0"/>
        <w:spacing w:val="0"/>
        <w:w w:val="99"/>
        <w:sz w:val="24"/>
        <w:szCs w:val="24"/>
        <w:lang w:val="en-US" w:eastAsia="zh-CN" w:bidi="ar-SA"/>
      </w:rPr>
    </w:lvl>
    <w:lvl w:ilvl="1">
      <w:start w:val="1"/>
      <w:numFmt w:val="decimal"/>
      <w:lvlText w:val="%1.%2."/>
      <w:lvlJc w:val="left"/>
      <w:pPr>
        <w:ind w:left="593" w:hanging="481"/>
        <w:jc w:val="left"/>
      </w:pPr>
      <w:rPr>
        <w:rFonts w:hint="default" w:ascii="Times New Roman" w:hAnsi="Times New Roman" w:eastAsia="Times New Roman" w:cs="Times New Roman"/>
        <w:b/>
        <w:bCs/>
        <w:i w:val="0"/>
        <w:iCs w:val="0"/>
        <w:w w:val="100"/>
        <w:sz w:val="22"/>
        <w:szCs w:val="22"/>
        <w:lang w:val="en-US" w:eastAsia="zh-CN" w:bidi="ar-SA"/>
      </w:rPr>
    </w:lvl>
    <w:lvl w:ilvl="2">
      <w:start w:val="1"/>
      <w:numFmt w:val="decimal"/>
      <w:lvlText w:val="（%3）"/>
      <w:lvlJc w:val="left"/>
      <w:pPr>
        <w:ind w:left="1062"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065" w:hanging="529"/>
      </w:pPr>
      <w:rPr>
        <w:rFonts w:hint="default"/>
        <w:lang w:val="en-US" w:eastAsia="zh-CN" w:bidi="ar-SA"/>
      </w:rPr>
    </w:lvl>
    <w:lvl w:ilvl="4">
      <w:start w:val="0"/>
      <w:numFmt w:val="bullet"/>
      <w:lvlText w:val="•"/>
      <w:lvlJc w:val="left"/>
      <w:pPr>
        <w:ind w:left="4068" w:hanging="529"/>
      </w:pPr>
      <w:rPr>
        <w:rFonts w:hint="default"/>
        <w:lang w:val="en-US" w:eastAsia="zh-CN" w:bidi="ar-SA"/>
      </w:rPr>
    </w:lvl>
    <w:lvl w:ilvl="5">
      <w:start w:val="0"/>
      <w:numFmt w:val="bullet"/>
      <w:lvlText w:val="•"/>
      <w:lvlJc w:val="left"/>
      <w:pPr>
        <w:ind w:left="5071" w:hanging="529"/>
      </w:pPr>
      <w:rPr>
        <w:rFonts w:hint="default"/>
        <w:lang w:val="en-US" w:eastAsia="zh-CN" w:bidi="ar-SA"/>
      </w:rPr>
    </w:lvl>
    <w:lvl w:ilvl="6">
      <w:start w:val="0"/>
      <w:numFmt w:val="bullet"/>
      <w:lvlText w:val="•"/>
      <w:lvlJc w:val="left"/>
      <w:pPr>
        <w:ind w:left="6074" w:hanging="529"/>
      </w:pPr>
      <w:rPr>
        <w:rFonts w:hint="default"/>
        <w:lang w:val="en-US" w:eastAsia="zh-CN" w:bidi="ar-SA"/>
      </w:rPr>
    </w:lvl>
    <w:lvl w:ilvl="7">
      <w:start w:val="0"/>
      <w:numFmt w:val="bullet"/>
      <w:lvlText w:val="•"/>
      <w:lvlJc w:val="left"/>
      <w:pPr>
        <w:ind w:left="7077" w:hanging="529"/>
      </w:pPr>
      <w:rPr>
        <w:rFonts w:hint="default"/>
        <w:lang w:val="en-US" w:eastAsia="zh-CN" w:bidi="ar-SA"/>
      </w:rPr>
    </w:lvl>
    <w:lvl w:ilvl="8">
      <w:start w:val="0"/>
      <w:numFmt w:val="bullet"/>
      <w:lvlText w:val="•"/>
      <w:lvlJc w:val="left"/>
      <w:pPr>
        <w:ind w:left="8080" w:hanging="529"/>
      </w:pPr>
      <w:rPr>
        <w:rFonts w:hint="default"/>
        <w:lang w:val="en-US" w:eastAsia="zh-CN" w:bidi="ar-SA"/>
      </w:rPr>
    </w:lvl>
  </w:abstractNum>
  <w:abstractNum w:abstractNumId="0">
    <w:multiLevelType w:val="hybridMultilevel"/>
    <w:lvl w:ilvl="0">
      <w:start w:val="1"/>
      <w:numFmt w:val="decimal"/>
      <w:lvlText w:val="%1."/>
      <w:lvlJc w:val="left"/>
      <w:pPr>
        <w:ind w:left="509" w:hanging="397"/>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164" w:hanging="656"/>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151" w:hanging="656"/>
      </w:pPr>
      <w:rPr>
        <w:rFonts w:hint="default"/>
        <w:lang w:val="en-US" w:eastAsia="zh-CN" w:bidi="ar-SA"/>
      </w:rPr>
    </w:lvl>
    <w:lvl w:ilvl="3">
      <w:start w:val="0"/>
      <w:numFmt w:val="bullet"/>
      <w:lvlText w:val="•"/>
      <w:lvlJc w:val="left"/>
      <w:pPr>
        <w:ind w:left="3143" w:hanging="656"/>
      </w:pPr>
      <w:rPr>
        <w:rFonts w:hint="default"/>
        <w:lang w:val="en-US" w:eastAsia="zh-CN" w:bidi="ar-SA"/>
      </w:rPr>
    </w:lvl>
    <w:lvl w:ilvl="4">
      <w:start w:val="0"/>
      <w:numFmt w:val="bullet"/>
      <w:lvlText w:val="•"/>
      <w:lvlJc w:val="left"/>
      <w:pPr>
        <w:ind w:left="4135" w:hanging="656"/>
      </w:pPr>
      <w:rPr>
        <w:rFonts w:hint="default"/>
        <w:lang w:val="en-US" w:eastAsia="zh-CN" w:bidi="ar-SA"/>
      </w:rPr>
    </w:lvl>
    <w:lvl w:ilvl="5">
      <w:start w:val="0"/>
      <w:numFmt w:val="bullet"/>
      <w:lvlText w:val="•"/>
      <w:lvlJc w:val="left"/>
      <w:pPr>
        <w:ind w:left="5127" w:hanging="656"/>
      </w:pPr>
      <w:rPr>
        <w:rFonts w:hint="default"/>
        <w:lang w:val="en-US" w:eastAsia="zh-CN" w:bidi="ar-SA"/>
      </w:rPr>
    </w:lvl>
    <w:lvl w:ilvl="6">
      <w:start w:val="0"/>
      <w:numFmt w:val="bullet"/>
      <w:lvlText w:val="•"/>
      <w:lvlJc w:val="left"/>
      <w:pPr>
        <w:ind w:left="6119" w:hanging="656"/>
      </w:pPr>
      <w:rPr>
        <w:rFonts w:hint="default"/>
        <w:lang w:val="en-US" w:eastAsia="zh-CN" w:bidi="ar-SA"/>
      </w:rPr>
    </w:lvl>
    <w:lvl w:ilvl="7">
      <w:start w:val="0"/>
      <w:numFmt w:val="bullet"/>
      <w:lvlText w:val="•"/>
      <w:lvlJc w:val="left"/>
      <w:pPr>
        <w:ind w:left="7110" w:hanging="656"/>
      </w:pPr>
      <w:rPr>
        <w:rFonts w:hint="default"/>
        <w:lang w:val="en-US" w:eastAsia="zh-CN" w:bidi="ar-SA"/>
      </w:rPr>
    </w:lvl>
    <w:lvl w:ilvl="8">
      <w:start w:val="0"/>
      <w:numFmt w:val="bullet"/>
      <w:lvlText w:val="•"/>
      <w:lvlJc w:val="left"/>
      <w:pPr>
        <w:ind w:left="8102" w:hanging="656"/>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1"/>
      <w:ind w:left="509" w:right="228" w:hanging="510"/>
    </w:pPr>
    <w:rPr>
      <w:rFonts w:ascii="黑体" w:hAnsi="黑体" w:eastAsia="黑体" w:cs="黑体"/>
      <w:b/>
      <w:bCs/>
      <w:sz w:val="24"/>
      <w:szCs w:val="24"/>
      <w:lang w:val="en-US" w:eastAsia="zh-CN" w:bidi="ar-SA"/>
    </w:rPr>
  </w:style>
  <w:style w:styleId="TOC2" w:type="paragraph">
    <w:name w:val="TOC 2"/>
    <w:basedOn w:val="Normal"/>
    <w:uiPriority w:val="1"/>
    <w:qFormat/>
    <w:pPr>
      <w:spacing w:before="43"/>
      <w:ind w:left="1164" w:hanging="656"/>
    </w:pPr>
    <w:rPr>
      <w:rFonts w:ascii="宋体" w:hAnsi="宋体" w:eastAsia="宋体" w:cs="宋体"/>
      <w:sz w:val="21"/>
      <w:szCs w:val="21"/>
      <w:lang w:val="en-US" w:eastAsia="zh-CN" w:bidi="ar-SA"/>
    </w:rPr>
  </w:style>
  <w:style w:styleId="BodyText" w:type="paragraph">
    <w:name w:val="Body Text"/>
    <w:basedOn w:val="Normal"/>
    <w:uiPriority w:val="1"/>
    <w:qFormat/>
    <w:pPr>
      <w:spacing w:before="43"/>
      <w:ind w:left="112"/>
    </w:pPr>
    <w:rPr>
      <w:rFonts w:ascii="宋体" w:hAnsi="宋体" w:eastAsia="宋体" w:cs="宋体"/>
      <w:sz w:val="21"/>
      <w:szCs w:val="21"/>
      <w:lang w:val="en-US" w:eastAsia="zh-CN" w:bidi="ar-SA"/>
    </w:rPr>
  </w:style>
  <w:style w:styleId="Heading1" w:type="paragraph">
    <w:name w:val="Heading 1"/>
    <w:basedOn w:val="Normal"/>
    <w:uiPriority w:val="1"/>
    <w:qFormat/>
    <w:pPr>
      <w:ind w:left="112"/>
      <w:outlineLvl w:val="1"/>
    </w:pPr>
    <w:rPr>
      <w:rFonts w:ascii="黑体" w:hAnsi="黑体" w:eastAsia="黑体" w:cs="黑体"/>
      <w:sz w:val="24"/>
      <w:szCs w:val="24"/>
      <w:lang w:val="en-US" w:eastAsia="zh-CN" w:bidi="ar-SA"/>
    </w:rPr>
  </w:style>
  <w:style w:styleId="Heading2" w:type="paragraph">
    <w:name w:val="Heading 2"/>
    <w:basedOn w:val="Normal"/>
    <w:uiPriority w:val="1"/>
    <w:qFormat/>
    <w:pPr>
      <w:spacing w:before="86"/>
      <w:ind w:left="593" w:hanging="482"/>
      <w:outlineLvl w:val="2"/>
    </w:pPr>
    <w:rPr>
      <w:rFonts w:ascii="黑体" w:hAnsi="黑体" w:eastAsia="黑体" w:cs="黑体"/>
      <w:b/>
      <w:bCs/>
      <w:sz w:val="22"/>
      <w:szCs w:val="22"/>
      <w:lang w:val="en-US" w:eastAsia="zh-CN" w:bidi="ar-SA"/>
    </w:rPr>
  </w:style>
  <w:style w:styleId="Heading3" w:type="paragraph">
    <w:name w:val="Heading 3"/>
    <w:basedOn w:val="Normal"/>
    <w:uiPriority w:val="1"/>
    <w:qFormat/>
    <w:pPr>
      <w:spacing w:before="43"/>
      <w:ind w:left="112"/>
      <w:outlineLvl w:val="3"/>
    </w:pPr>
    <w:rPr>
      <w:rFonts w:ascii="Times New Roman" w:hAnsi="Times New Roman" w:eastAsia="Times New Roman" w:cs="Times New Roman"/>
      <w:b/>
      <w:bCs/>
      <w:sz w:val="21"/>
      <w:szCs w:val="21"/>
      <w:lang w:val="en-US" w:eastAsia="zh-CN" w:bidi="ar-SA"/>
    </w:rPr>
  </w:style>
  <w:style w:styleId="Title" w:type="paragraph">
    <w:name w:val="Title"/>
    <w:basedOn w:val="Normal"/>
    <w:uiPriority w:val="1"/>
    <w:qFormat/>
    <w:pPr>
      <w:ind w:left="2163" w:right="2372"/>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spacing w:before="43"/>
      <w:ind w:left="593" w:hanging="482"/>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2023-06-05T08:58:49Z</dcterms:created>
  <dcterms:modified xsi:type="dcterms:W3CDTF">2023-06-05T08:58:49Z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