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ind w:left="8446"/>
        <w:rPr>
          <w:rFonts w:ascii="Times New Roman"/>
          <w:sz w:val="20"/>
        </w:rPr>
      </w:pPr>
      <w:r>
        <w:rPr>
          <w:rFonts w:ascii="Times New Roman"/>
          <w:sz w:val="20"/>
        </w:rPr>
        <w:drawing>
          <wp:inline distT="0" distB="0" distL="0" distR="0">
            <wp:extent cx="724154" cy="723900"/>
            <wp:effectExtent l="0" t="0" r="0" b="0"/>
            <wp:docPr id="1" name="image1.png"/>
            <wp:cNvGraphicFramePr>
              <a:graphicFrameLocks noChangeAspect="1"/>
            </wp:cNvGraphicFramePr>
            <a:graphic>
              <a:graphicData uri="http://schemas.openxmlformats.org/drawingml/2006/picture">
                <pic:pic>
                  <pic:nvPicPr>
                    <pic:cNvPr id="2" name="image1.png"/>
                    <pic:cNvPicPr/>
                  </pic:nvPicPr>
                  <pic:blipFill>
                    <a:blip r:embed="rId6" cstate="print"/>
                    <a:stretch>
                      <a:fillRect/>
                    </a:stretch>
                  </pic:blipFill>
                  <pic:spPr>
                    <a:xfrm>
                      <a:off x="0" y="0"/>
                      <a:ext cx="724154" cy="723900"/>
                    </a:xfrm>
                    <a:prstGeom prst="rect">
                      <a:avLst/>
                    </a:prstGeom>
                  </pic:spPr>
                </pic:pic>
              </a:graphicData>
            </a:graphic>
          </wp:inline>
        </w:drawing>
      </w:r>
      <w:r>
        <w:rPr>
          <w:rFonts w:ascii="Times New Roman"/>
          <w:sz w:val="20"/>
        </w:rPr>
      </w:r>
    </w:p>
    <w:p>
      <w:pPr>
        <w:spacing w:after="0"/>
        <w:rPr>
          <w:rFonts w:ascii="Times New Roman"/>
          <w:sz w:val="20"/>
        </w:rPr>
        <w:sectPr>
          <w:footerReference w:type="default" r:id="rId5"/>
          <w:type w:val="continuous"/>
          <w:pgSz w:w="11910" w:h="16840"/>
          <w:pgMar w:footer="985" w:header="0" w:top="280" w:bottom="1180" w:left="1680" w:right="200"/>
          <w:pgNumType w:start="1"/>
        </w:sectPr>
      </w:pPr>
    </w:p>
    <w:p>
      <w:pPr>
        <w:spacing w:before="35"/>
        <w:ind w:left="120" w:right="0" w:firstLine="0"/>
        <w:jc w:val="left"/>
        <w:rPr>
          <w:sz w:val="24"/>
        </w:rPr>
      </w:pPr>
      <w:r>
        <w:rPr>
          <w:spacing w:val="-23"/>
          <w:sz w:val="24"/>
        </w:rPr>
        <w:t>附件 </w:t>
      </w:r>
      <w:r>
        <w:rPr>
          <w:spacing w:val="-4"/>
          <w:sz w:val="24"/>
        </w:rPr>
        <w:t>1-</w:t>
      </w:r>
      <w:r>
        <w:rPr>
          <w:spacing w:val="-10"/>
          <w:sz w:val="24"/>
        </w:rPr>
        <w:t>2</w:t>
      </w:r>
    </w:p>
    <w:p>
      <w:pPr>
        <w:spacing w:line="240" w:lineRule="auto" w:before="9"/>
        <w:rPr>
          <w:sz w:val="39"/>
        </w:rPr>
      </w:pPr>
      <w:r>
        <w:rPr/>
        <w:br w:type="column"/>
      </w:r>
      <w:r>
        <w:rPr>
          <w:sz w:val="39"/>
        </w:rPr>
      </w:r>
    </w:p>
    <w:p>
      <w:pPr>
        <w:pStyle w:val="Title"/>
      </w:pPr>
      <w:r>
        <w:rPr>
          <w:w w:val="95"/>
        </w:rPr>
        <w:t>昆</w:t>
      </w:r>
      <w:r>
        <w:rPr>
          <w:w w:val="95"/>
        </w:rPr>
        <w:t>仑</w:t>
      </w:r>
      <w:r>
        <w:rPr>
          <w:w w:val="95"/>
        </w:rPr>
        <w:t>健</w:t>
      </w:r>
      <w:r>
        <w:rPr>
          <w:w w:val="95"/>
        </w:rPr>
        <w:t>康</w:t>
      </w:r>
      <w:r>
        <w:rPr>
          <w:w w:val="95"/>
        </w:rPr>
        <w:t>保</w:t>
      </w:r>
      <w:r>
        <w:rPr>
          <w:w w:val="95"/>
        </w:rPr>
        <w:t>险</w:t>
      </w:r>
      <w:r>
        <w:rPr>
          <w:w w:val="95"/>
        </w:rPr>
        <w:t>股</w:t>
      </w:r>
      <w:r>
        <w:rPr>
          <w:w w:val="95"/>
        </w:rPr>
        <w:t>份</w:t>
      </w:r>
      <w:r>
        <w:rPr>
          <w:w w:val="95"/>
        </w:rPr>
        <w:t>有</w:t>
      </w:r>
      <w:r>
        <w:rPr>
          <w:w w:val="95"/>
        </w:rPr>
        <w:t>限</w:t>
      </w:r>
      <w:r>
        <w:rPr>
          <w:w w:val="95"/>
        </w:rPr>
        <w:t>公</w:t>
      </w:r>
      <w:r>
        <w:rPr>
          <w:spacing w:val="-10"/>
          <w:w w:val="95"/>
        </w:rPr>
        <w:t>司</w:t>
      </w:r>
    </w:p>
    <w:p>
      <w:pPr>
        <w:pStyle w:val="BodyText"/>
        <w:spacing w:before="191"/>
        <w:ind w:left="148" w:right="181"/>
        <w:jc w:val="center"/>
      </w:pPr>
      <w:r>
        <w:rPr>
          <w:spacing w:val="-2"/>
        </w:rPr>
        <w:t>（以下简称“本公司</w:t>
      </w:r>
      <w:r>
        <w:rPr>
          <w:spacing w:val="-5"/>
        </w:rPr>
        <w:t>”）</w:t>
      </w:r>
    </w:p>
    <w:p>
      <w:pPr>
        <w:pStyle w:val="BodyText"/>
        <w:spacing w:before="7"/>
        <w:rPr>
          <w:sz w:val="20"/>
        </w:rPr>
      </w:pPr>
    </w:p>
    <w:p>
      <w:pPr>
        <w:spacing w:before="0"/>
        <w:ind w:left="148" w:right="185" w:firstLine="0"/>
        <w:jc w:val="center"/>
        <w:rPr>
          <w:b/>
          <w:sz w:val="40"/>
        </w:rPr>
      </w:pPr>
      <w:r>
        <w:rPr>
          <w:b/>
          <w:w w:val="95"/>
          <w:sz w:val="40"/>
        </w:rPr>
        <w:t>昆</w:t>
      </w:r>
      <w:r>
        <w:rPr>
          <w:b/>
          <w:w w:val="95"/>
          <w:sz w:val="40"/>
        </w:rPr>
        <w:t>仑</w:t>
      </w:r>
      <w:r>
        <w:rPr>
          <w:b/>
          <w:w w:val="95"/>
          <w:sz w:val="40"/>
        </w:rPr>
        <w:t>健</w:t>
      </w:r>
      <w:r>
        <w:rPr>
          <w:b/>
          <w:w w:val="95"/>
          <w:sz w:val="40"/>
        </w:rPr>
        <w:t>康</w:t>
      </w:r>
      <w:r>
        <w:rPr>
          <w:b/>
          <w:w w:val="95"/>
          <w:sz w:val="40"/>
        </w:rPr>
        <w:t>乐</w:t>
      </w:r>
      <w:r>
        <w:rPr>
          <w:b/>
          <w:w w:val="95"/>
          <w:sz w:val="40"/>
        </w:rPr>
        <w:t>享</w:t>
      </w:r>
      <w:r>
        <w:rPr>
          <w:b/>
          <w:w w:val="95"/>
          <w:sz w:val="40"/>
        </w:rPr>
        <w:t>年</w:t>
      </w:r>
      <w:r>
        <w:rPr>
          <w:b/>
          <w:w w:val="95"/>
          <w:sz w:val="40"/>
        </w:rPr>
        <w:t>年</w:t>
      </w:r>
      <w:r>
        <w:rPr>
          <w:b/>
          <w:w w:val="95"/>
          <w:sz w:val="40"/>
        </w:rPr>
        <w:t>终</w:t>
      </w:r>
      <w:r>
        <w:rPr>
          <w:b/>
          <w:w w:val="95"/>
          <w:sz w:val="40"/>
        </w:rPr>
        <w:t>身</w:t>
      </w:r>
      <w:r>
        <w:rPr>
          <w:b/>
          <w:w w:val="95"/>
          <w:sz w:val="40"/>
        </w:rPr>
        <w:t>护</w:t>
      </w:r>
      <w:r>
        <w:rPr>
          <w:b/>
          <w:w w:val="95"/>
          <w:sz w:val="40"/>
        </w:rPr>
        <w:t>理</w:t>
      </w:r>
      <w:r>
        <w:rPr>
          <w:b/>
          <w:w w:val="95"/>
          <w:sz w:val="40"/>
        </w:rPr>
        <w:t>保</w:t>
      </w:r>
      <w:r>
        <w:rPr>
          <w:b/>
          <w:w w:val="95"/>
          <w:sz w:val="40"/>
        </w:rPr>
        <w:t>险</w:t>
      </w:r>
      <w:r>
        <w:rPr>
          <w:b/>
          <w:w w:val="95"/>
          <w:sz w:val="40"/>
        </w:rPr>
        <w:t>条</w:t>
      </w:r>
      <w:r>
        <w:rPr>
          <w:b/>
          <w:spacing w:val="-10"/>
          <w:w w:val="95"/>
          <w:sz w:val="40"/>
        </w:rPr>
        <w:t>款</w:t>
      </w:r>
    </w:p>
    <w:p>
      <w:pPr>
        <w:spacing w:line="324" w:lineRule="auto" w:before="93"/>
        <w:ind w:left="391" w:right="374" w:hanging="3"/>
        <w:jc w:val="center"/>
        <w:rPr>
          <w:sz w:val="18"/>
        </w:rPr>
      </w:pPr>
      <w:r>
        <w:rPr/>
        <w:br w:type="column"/>
      </w:r>
      <w:r>
        <w:rPr>
          <w:spacing w:val="-2"/>
          <w:sz w:val="18"/>
        </w:rPr>
        <w:t>昆仑健康[2021]</w:t>
      </w:r>
      <w:r>
        <w:rPr>
          <w:spacing w:val="-10"/>
          <w:sz w:val="18"/>
        </w:rPr>
        <w:t>护理保险 </w:t>
      </w:r>
      <w:r>
        <w:rPr>
          <w:spacing w:val="-2"/>
          <w:sz w:val="18"/>
        </w:rPr>
        <w:t>030</w:t>
      </w:r>
      <w:r>
        <w:rPr>
          <w:spacing w:val="-24"/>
          <w:sz w:val="18"/>
        </w:rPr>
        <w:t> 号</w:t>
      </w:r>
    </w:p>
    <w:p>
      <w:pPr>
        <w:spacing w:before="1"/>
        <w:ind w:left="107" w:right="97" w:firstLine="0"/>
        <w:jc w:val="center"/>
        <w:rPr>
          <w:sz w:val="18"/>
        </w:rPr>
      </w:pPr>
      <w:r>
        <w:rPr>
          <w:spacing w:val="-1"/>
          <w:sz w:val="18"/>
        </w:rPr>
        <w:t>请扫描以查询验证条款</w:t>
      </w:r>
    </w:p>
    <w:p>
      <w:pPr>
        <w:spacing w:after="0"/>
        <w:jc w:val="center"/>
        <w:rPr>
          <w:sz w:val="18"/>
        </w:rPr>
        <w:sectPr>
          <w:type w:val="continuous"/>
          <w:pgSz w:w="11910" w:h="16840"/>
          <w:pgMar w:header="0" w:footer="985" w:top="280" w:bottom="1180" w:left="1680" w:right="200"/>
          <w:cols w:num="3" w:equalWidth="0">
            <w:col w:w="1021" w:space="40"/>
            <w:col w:w="6467" w:space="468"/>
            <w:col w:w="2034"/>
          </w:cols>
        </w:sectPr>
      </w:pPr>
    </w:p>
    <w:p>
      <w:pPr>
        <w:pStyle w:val="BodyText"/>
        <w:spacing w:before="6"/>
        <w:rPr>
          <w:sz w:val="20"/>
        </w:rPr>
      </w:pPr>
    </w:p>
    <w:p>
      <w:pPr>
        <w:spacing w:before="54"/>
        <w:ind w:left="3004" w:right="4482" w:firstLine="0"/>
        <w:jc w:val="center"/>
        <w:rPr>
          <w:b/>
          <w:sz w:val="32"/>
        </w:rPr>
      </w:pPr>
      <w:r>
        <w:rPr>
          <w:b/>
          <w:spacing w:val="-4"/>
          <w:sz w:val="32"/>
        </w:rPr>
        <w:t>目  录</w:t>
      </w:r>
    </w:p>
    <w:sdt>
      <w:sdtPr>
        <w:docPartObj>
          <w:docPartGallery w:val="Table of Contents"/>
          <w:docPartUnique/>
        </w:docPartObj>
      </w:sdtPr>
      <w:sdtEndPr/>
      <w:sdtContent>
        <w:p>
          <w:pPr>
            <w:pStyle w:val="TOC2"/>
            <w:tabs>
              <w:tab w:pos="8418" w:val="right" w:leader="dot"/>
            </w:tabs>
            <w:rPr>
              <w:rFonts w:ascii="Times New Roman" w:eastAsia="Times New Roman"/>
              <w:b w:val="0"/>
              <w:i w:val="0"/>
              <w:sz w:val="21"/>
            </w:rPr>
          </w:pPr>
          <w:hyperlink w:history="true" w:anchor="_bookmark0">
            <w:r>
              <w:rPr>
                <w:i w:val="0"/>
                <w:sz w:val="21"/>
              </w:rPr>
              <w:t>第一部分</w:t>
            </w:r>
            <w:r>
              <w:rPr>
                <w:i w:val="0"/>
                <w:spacing w:val="-1"/>
                <w:sz w:val="21"/>
              </w:rPr>
              <w:t> </w:t>
            </w:r>
            <w:r>
              <w:rPr>
                <w:i w:val="0"/>
                <w:sz w:val="21"/>
              </w:rPr>
              <w:t>总</w:t>
            </w:r>
            <w:r>
              <w:rPr>
                <w:i w:val="0"/>
                <w:spacing w:val="-10"/>
                <w:sz w:val="21"/>
              </w:rPr>
              <w:t>则</w:t>
            </w:r>
            <w:r>
              <w:rPr>
                <w:rFonts w:ascii="Times New Roman" w:eastAsia="Times New Roman"/>
                <w:b w:val="0"/>
                <w:i w:val="0"/>
                <w:sz w:val="21"/>
              </w:rPr>
              <w:tab/>
            </w:r>
            <w:r>
              <w:rPr>
                <w:rFonts w:ascii="Times New Roman" w:eastAsia="Times New Roman"/>
                <w:b w:val="0"/>
                <w:i w:val="0"/>
                <w:spacing w:val="-10"/>
                <w:sz w:val="21"/>
              </w:rPr>
              <w:t>2</w:t>
            </w:r>
          </w:hyperlink>
        </w:p>
        <w:p>
          <w:pPr>
            <w:pStyle w:val="TOC3"/>
            <w:tabs>
              <w:tab w:pos="1591" w:val="left" w:leader="none"/>
              <w:tab w:pos="8411" w:val="right" w:leader="dot"/>
            </w:tabs>
            <w:rPr>
              <w:rFonts w:ascii="Times New Roman" w:eastAsia="Times New Roman"/>
              <w:b w:val="0"/>
            </w:rPr>
          </w:pPr>
          <w:hyperlink w:history="true" w:anchor="_bookmark1">
            <w:r>
              <w:rPr/>
              <w:t>第一</w:t>
            </w:r>
            <w:r>
              <w:rPr>
                <w:spacing w:val="-10"/>
              </w:rPr>
              <w:t>条</w:t>
            </w:r>
            <w:r>
              <w:rPr/>
              <w:tab/>
              <w:t>合同构</w:t>
            </w:r>
            <w:r>
              <w:rPr>
                <w:spacing w:val="-10"/>
              </w:rPr>
              <w:t>成</w:t>
            </w:r>
            <w:r>
              <w:rPr>
                <w:rFonts w:ascii="Times New Roman" w:eastAsia="Times New Roman"/>
                <w:b w:val="0"/>
              </w:rPr>
              <w:tab/>
            </w:r>
            <w:r>
              <w:rPr>
                <w:rFonts w:ascii="Times New Roman" w:eastAsia="Times New Roman"/>
                <w:b w:val="0"/>
                <w:spacing w:val="-10"/>
              </w:rPr>
              <w:t>2</w:t>
            </w:r>
          </w:hyperlink>
        </w:p>
        <w:p>
          <w:pPr>
            <w:pStyle w:val="TOC3"/>
            <w:tabs>
              <w:tab w:pos="1591" w:val="left" w:leader="none"/>
              <w:tab w:pos="8411" w:val="right" w:leader="dot"/>
            </w:tabs>
            <w:rPr>
              <w:rFonts w:ascii="Times New Roman" w:eastAsia="Times New Roman"/>
              <w:b w:val="0"/>
            </w:rPr>
          </w:pPr>
          <w:hyperlink w:history="true" w:anchor="_bookmark2">
            <w:r>
              <w:rPr/>
              <w:t>第二</w:t>
            </w:r>
            <w:r>
              <w:rPr>
                <w:spacing w:val="-10"/>
              </w:rPr>
              <w:t>条</w:t>
            </w:r>
            <w:r>
              <w:rPr/>
              <w:tab/>
              <w:t>合同成立与生</w:t>
            </w:r>
            <w:r>
              <w:rPr>
                <w:spacing w:val="-10"/>
              </w:rPr>
              <w:t>效</w:t>
            </w:r>
            <w:r>
              <w:rPr>
                <w:rFonts w:ascii="Times New Roman" w:eastAsia="Times New Roman"/>
                <w:b w:val="0"/>
              </w:rPr>
              <w:tab/>
            </w:r>
            <w:r>
              <w:rPr>
                <w:rFonts w:ascii="Times New Roman" w:eastAsia="Times New Roman"/>
                <w:b w:val="0"/>
                <w:spacing w:val="-10"/>
              </w:rPr>
              <w:t>2</w:t>
            </w:r>
          </w:hyperlink>
        </w:p>
        <w:p>
          <w:pPr>
            <w:pStyle w:val="TOC4"/>
            <w:tabs>
              <w:tab w:pos="1591" w:val="left" w:leader="none"/>
              <w:tab w:pos="8411" w:val="right" w:leader="dot"/>
            </w:tabs>
            <w:spacing w:before="44"/>
            <w:rPr>
              <w:rFonts w:ascii="Times New Roman" w:eastAsia="Times New Roman"/>
              <w:b w:val="0"/>
              <w:i w:val="0"/>
              <w:sz w:val="21"/>
            </w:rPr>
          </w:pPr>
          <w:hyperlink w:history="true" w:anchor="_bookmark3">
            <w:r>
              <w:rPr>
                <w:i w:val="0"/>
                <w:sz w:val="21"/>
              </w:rPr>
              <w:t>第三</w:t>
            </w:r>
            <w:r>
              <w:rPr>
                <w:i w:val="0"/>
                <w:spacing w:val="-10"/>
                <w:sz w:val="21"/>
              </w:rPr>
              <w:t>条</w:t>
            </w:r>
            <w:r>
              <w:rPr>
                <w:i w:val="0"/>
                <w:sz w:val="21"/>
              </w:rPr>
              <w:tab/>
              <w:t>犹豫</w:t>
            </w:r>
            <w:r>
              <w:rPr>
                <w:i w:val="0"/>
                <w:spacing w:val="-10"/>
                <w:sz w:val="21"/>
              </w:rPr>
              <w:t>期</w:t>
            </w:r>
            <w:r>
              <w:rPr>
                <w:rFonts w:ascii="Times New Roman" w:eastAsia="Times New Roman"/>
                <w:b w:val="0"/>
                <w:i w:val="0"/>
                <w:sz w:val="21"/>
              </w:rPr>
              <w:tab/>
            </w:r>
            <w:r>
              <w:rPr>
                <w:rFonts w:ascii="Times New Roman" w:eastAsia="Times New Roman"/>
                <w:b w:val="0"/>
                <w:i w:val="0"/>
                <w:spacing w:val="-10"/>
                <w:sz w:val="21"/>
              </w:rPr>
              <w:t>2</w:t>
            </w:r>
          </w:hyperlink>
        </w:p>
        <w:p>
          <w:pPr>
            <w:pStyle w:val="TOC3"/>
            <w:tabs>
              <w:tab w:pos="1591" w:val="left" w:leader="none"/>
              <w:tab w:pos="8411" w:val="right" w:leader="dot"/>
            </w:tabs>
            <w:rPr>
              <w:rFonts w:ascii="Times New Roman" w:eastAsia="Times New Roman"/>
              <w:b w:val="0"/>
            </w:rPr>
          </w:pPr>
          <w:hyperlink w:history="true" w:anchor="_bookmark4">
            <w:r>
              <w:rPr/>
              <w:t>第四</w:t>
            </w:r>
            <w:r>
              <w:rPr>
                <w:spacing w:val="-10"/>
              </w:rPr>
              <w:t>条</w:t>
            </w:r>
            <w:r>
              <w:rPr/>
              <w:tab/>
              <w:t>明确说明与如实告</w:t>
            </w:r>
            <w:r>
              <w:rPr>
                <w:spacing w:val="-10"/>
              </w:rPr>
              <w:t>知</w:t>
            </w:r>
            <w:r>
              <w:rPr>
                <w:rFonts w:ascii="Times New Roman" w:eastAsia="Times New Roman"/>
                <w:b w:val="0"/>
              </w:rPr>
              <w:tab/>
            </w:r>
            <w:r>
              <w:rPr>
                <w:rFonts w:ascii="Times New Roman" w:eastAsia="Times New Roman"/>
                <w:b w:val="0"/>
                <w:spacing w:val="-10"/>
              </w:rPr>
              <w:t>2</w:t>
            </w:r>
          </w:hyperlink>
        </w:p>
        <w:p>
          <w:pPr>
            <w:pStyle w:val="TOC3"/>
            <w:tabs>
              <w:tab w:pos="1591" w:val="left" w:leader="none"/>
              <w:tab w:pos="8411" w:val="right" w:leader="dot"/>
            </w:tabs>
            <w:rPr>
              <w:rFonts w:ascii="Times New Roman" w:eastAsia="Times New Roman"/>
              <w:b w:val="0"/>
            </w:rPr>
          </w:pPr>
          <w:hyperlink w:history="true" w:anchor="_bookmark5">
            <w:r>
              <w:rPr/>
              <w:t>第五</w:t>
            </w:r>
            <w:r>
              <w:rPr>
                <w:spacing w:val="-10"/>
              </w:rPr>
              <w:t>条</w:t>
            </w:r>
            <w:r>
              <w:rPr/>
              <w:tab/>
            </w:r>
            <w:r>
              <w:rPr>
                <w:spacing w:val="-2"/>
              </w:rPr>
              <w:t>本</w:t>
            </w:r>
            <w:r>
              <w:rPr>
                <w:spacing w:val="-2"/>
              </w:rPr>
              <w:t>公</w:t>
            </w:r>
            <w:r>
              <w:rPr>
                <w:spacing w:val="-2"/>
              </w:rPr>
              <w:t>司</w:t>
            </w:r>
            <w:r>
              <w:rPr>
                <w:spacing w:val="-2"/>
              </w:rPr>
              <w:t>合</w:t>
            </w:r>
            <w:r>
              <w:rPr>
                <w:spacing w:val="-2"/>
              </w:rPr>
              <w:t>同</w:t>
            </w:r>
            <w:r>
              <w:rPr>
                <w:spacing w:val="-2"/>
              </w:rPr>
              <w:t>解</w:t>
            </w:r>
            <w:r>
              <w:rPr>
                <w:spacing w:val="-2"/>
              </w:rPr>
              <w:t>除</w:t>
            </w:r>
            <w:r>
              <w:rPr>
                <w:spacing w:val="-2"/>
              </w:rPr>
              <w:t>权</w:t>
            </w:r>
            <w:r>
              <w:rPr>
                <w:spacing w:val="-2"/>
              </w:rPr>
              <w:t>的</w:t>
            </w:r>
            <w:r>
              <w:rPr>
                <w:spacing w:val="-2"/>
              </w:rPr>
              <w:t>限</w:t>
            </w:r>
            <w:r>
              <w:rPr>
                <w:spacing w:val="-10"/>
              </w:rPr>
              <w:t>制</w:t>
            </w:r>
            <w:r>
              <w:rPr>
                <w:rFonts w:ascii="Times New Roman" w:eastAsia="Times New Roman"/>
                <w:b w:val="0"/>
              </w:rPr>
              <w:tab/>
            </w:r>
            <w:r>
              <w:rPr>
                <w:rFonts w:ascii="Times New Roman" w:eastAsia="Times New Roman"/>
                <w:b w:val="0"/>
                <w:spacing w:val="-10"/>
              </w:rPr>
              <w:t>2</w:t>
            </w:r>
          </w:hyperlink>
        </w:p>
        <w:p>
          <w:pPr>
            <w:pStyle w:val="TOC1"/>
            <w:tabs>
              <w:tab w:pos="8418" w:val="right" w:leader="dot"/>
            </w:tabs>
            <w:rPr>
              <w:rFonts w:ascii="Times New Roman" w:eastAsia="Times New Roman"/>
              <w:b w:val="0"/>
            </w:rPr>
          </w:pPr>
          <w:hyperlink w:history="true" w:anchor="_bookmark6">
            <w:r>
              <w:rPr/>
              <w:t>第二部分</w:t>
            </w:r>
            <w:r>
              <w:rPr>
                <w:spacing w:val="-4"/>
              </w:rPr>
              <w:t> </w:t>
            </w:r>
            <w:r>
              <w:rPr/>
              <w:t>保障利益条</w:t>
            </w:r>
            <w:r>
              <w:rPr>
                <w:spacing w:val="-10"/>
              </w:rPr>
              <w:t>款</w:t>
            </w:r>
            <w:r>
              <w:rPr>
                <w:rFonts w:ascii="Times New Roman" w:eastAsia="Times New Roman"/>
                <w:b w:val="0"/>
              </w:rPr>
              <w:tab/>
            </w:r>
            <w:r>
              <w:rPr>
                <w:rFonts w:ascii="Times New Roman" w:eastAsia="Times New Roman"/>
                <w:b w:val="0"/>
                <w:spacing w:val="-10"/>
              </w:rPr>
              <w:t>2</w:t>
            </w:r>
          </w:hyperlink>
        </w:p>
        <w:p>
          <w:pPr>
            <w:pStyle w:val="TOC3"/>
            <w:tabs>
              <w:tab w:pos="1591" w:val="left" w:leader="none"/>
              <w:tab w:pos="8411" w:val="right" w:leader="dot"/>
            </w:tabs>
            <w:spacing w:before="42"/>
            <w:rPr>
              <w:rFonts w:ascii="Times New Roman" w:eastAsia="Times New Roman"/>
              <w:b w:val="0"/>
            </w:rPr>
          </w:pPr>
          <w:hyperlink w:history="true" w:anchor="_bookmark7">
            <w:r>
              <w:rPr/>
              <w:t>第六</w:t>
            </w:r>
            <w:r>
              <w:rPr>
                <w:spacing w:val="-10"/>
              </w:rPr>
              <w:t>条</w:t>
            </w:r>
            <w:r>
              <w:rPr/>
              <w:tab/>
              <w:t>投保范</w:t>
            </w:r>
            <w:r>
              <w:rPr>
                <w:spacing w:val="-10"/>
              </w:rPr>
              <w:t>围</w:t>
            </w:r>
            <w:r>
              <w:rPr>
                <w:rFonts w:ascii="Times New Roman" w:eastAsia="Times New Roman"/>
                <w:b w:val="0"/>
              </w:rPr>
              <w:tab/>
            </w:r>
            <w:r>
              <w:rPr>
                <w:rFonts w:ascii="Times New Roman" w:eastAsia="Times New Roman"/>
                <w:b w:val="0"/>
                <w:spacing w:val="-10"/>
              </w:rPr>
              <w:t>2</w:t>
            </w:r>
          </w:hyperlink>
        </w:p>
        <w:p>
          <w:pPr>
            <w:pStyle w:val="TOC3"/>
            <w:tabs>
              <w:tab w:pos="1591" w:val="left" w:leader="none"/>
              <w:tab w:pos="8411" w:val="right" w:leader="dot"/>
            </w:tabs>
            <w:rPr>
              <w:rFonts w:ascii="Times New Roman" w:eastAsia="Times New Roman"/>
              <w:b w:val="0"/>
            </w:rPr>
          </w:pPr>
          <w:hyperlink w:history="true" w:anchor="_bookmark8">
            <w:r>
              <w:rPr/>
              <w:t>第七</w:t>
            </w:r>
            <w:r>
              <w:rPr>
                <w:spacing w:val="-10"/>
              </w:rPr>
              <w:t>条</w:t>
            </w:r>
            <w:r>
              <w:rPr/>
              <w:tab/>
              <w:t>保险责</w:t>
            </w:r>
            <w:r>
              <w:rPr>
                <w:spacing w:val="-10"/>
              </w:rPr>
              <w:t>任</w:t>
            </w:r>
            <w:r>
              <w:rPr>
                <w:rFonts w:ascii="Times New Roman" w:eastAsia="Times New Roman"/>
                <w:b w:val="0"/>
              </w:rPr>
              <w:tab/>
            </w:r>
            <w:r>
              <w:rPr>
                <w:rFonts w:ascii="Times New Roman" w:eastAsia="Times New Roman"/>
                <w:b w:val="0"/>
                <w:spacing w:val="-10"/>
              </w:rPr>
              <w:t>3</w:t>
            </w:r>
          </w:hyperlink>
        </w:p>
        <w:p>
          <w:pPr>
            <w:pStyle w:val="TOC3"/>
            <w:tabs>
              <w:tab w:pos="1591" w:val="left" w:leader="none"/>
              <w:tab w:pos="8411" w:val="right" w:leader="dot"/>
            </w:tabs>
            <w:rPr>
              <w:rFonts w:ascii="Times New Roman" w:eastAsia="Times New Roman"/>
              <w:b w:val="0"/>
            </w:rPr>
          </w:pPr>
          <w:hyperlink w:history="true" w:anchor="_bookmark9">
            <w:r>
              <w:rPr/>
              <w:t>第八</w:t>
            </w:r>
            <w:r>
              <w:rPr>
                <w:spacing w:val="-10"/>
              </w:rPr>
              <w:t>条</w:t>
            </w:r>
            <w:r>
              <w:rPr/>
              <w:tab/>
            </w:r>
            <w:r>
              <w:rPr>
                <w:rFonts w:ascii="黑体" w:eastAsia="黑体" w:hint="eastAsia"/>
              </w:rPr>
              <w:t>责任免</w:t>
            </w:r>
            <w:r>
              <w:rPr>
                <w:rFonts w:ascii="黑体" w:eastAsia="黑体" w:hint="eastAsia"/>
                <w:spacing w:val="-10"/>
              </w:rPr>
              <w:t>除</w:t>
            </w:r>
            <w:r>
              <w:rPr>
                <w:rFonts w:ascii="Times New Roman" w:eastAsia="Times New Roman"/>
                <w:b w:val="0"/>
              </w:rPr>
              <w:tab/>
            </w:r>
            <w:r>
              <w:rPr>
                <w:rFonts w:ascii="Times New Roman" w:eastAsia="Times New Roman"/>
                <w:b w:val="0"/>
                <w:spacing w:val="-10"/>
              </w:rPr>
              <w:t>4</w:t>
            </w:r>
          </w:hyperlink>
        </w:p>
        <w:p>
          <w:pPr>
            <w:pStyle w:val="TOC3"/>
            <w:tabs>
              <w:tab w:pos="1591" w:val="left" w:leader="none"/>
              <w:tab w:pos="8411" w:val="right" w:leader="dot"/>
            </w:tabs>
            <w:rPr>
              <w:rFonts w:ascii="Times New Roman" w:eastAsia="Times New Roman"/>
              <w:b w:val="0"/>
            </w:rPr>
          </w:pPr>
          <w:hyperlink w:history="true" w:anchor="_bookmark10">
            <w:r>
              <w:rPr/>
              <w:t>第九</w:t>
            </w:r>
            <w:r>
              <w:rPr>
                <w:spacing w:val="-10"/>
              </w:rPr>
              <w:t>条</w:t>
            </w:r>
            <w:r>
              <w:rPr/>
              <w:tab/>
            </w:r>
            <w:r>
              <w:rPr>
                <w:rFonts w:ascii="黑体" w:eastAsia="黑体" w:hint="eastAsia"/>
              </w:rPr>
              <w:t>其他责任免</w:t>
            </w:r>
            <w:r>
              <w:rPr>
                <w:rFonts w:ascii="黑体" w:eastAsia="黑体" w:hint="eastAsia"/>
                <w:spacing w:val="-10"/>
              </w:rPr>
              <w:t>除</w:t>
            </w:r>
            <w:r>
              <w:rPr>
                <w:rFonts w:ascii="Times New Roman" w:eastAsia="Times New Roman"/>
                <w:b w:val="0"/>
              </w:rPr>
              <w:tab/>
            </w:r>
            <w:r>
              <w:rPr>
                <w:rFonts w:ascii="Times New Roman" w:eastAsia="Times New Roman"/>
                <w:b w:val="0"/>
                <w:spacing w:val="-10"/>
              </w:rPr>
              <w:t>5</w:t>
            </w:r>
          </w:hyperlink>
        </w:p>
        <w:p>
          <w:pPr>
            <w:pStyle w:val="TOC3"/>
            <w:tabs>
              <w:tab w:pos="1591" w:val="left" w:leader="none"/>
              <w:tab w:pos="8411" w:val="right" w:leader="dot"/>
            </w:tabs>
            <w:rPr>
              <w:rFonts w:ascii="Times New Roman" w:eastAsia="Times New Roman"/>
              <w:b w:val="0"/>
            </w:rPr>
          </w:pPr>
          <w:hyperlink w:history="true" w:anchor="_bookmark11">
            <w:r>
              <w:rPr/>
              <w:t>第十</w:t>
            </w:r>
            <w:r>
              <w:rPr>
                <w:spacing w:val="-10"/>
              </w:rPr>
              <w:t>条</w:t>
            </w:r>
            <w:r>
              <w:rPr/>
              <w:tab/>
              <w:t>保险期</w:t>
            </w:r>
            <w:r>
              <w:rPr>
                <w:spacing w:val="-10"/>
              </w:rPr>
              <w:t>间</w:t>
            </w:r>
            <w:r>
              <w:rPr>
                <w:rFonts w:ascii="Times New Roman" w:eastAsia="Times New Roman"/>
                <w:b w:val="0"/>
              </w:rPr>
              <w:tab/>
            </w:r>
            <w:r>
              <w:rPr>
                <w:rFonts w:ascii="Times New Roman" w:eastAsia="Times New Roman"/>
                <w:b w:val="0"/>
                <w:spacing w:val="-10"/>
              </w:rPr>
              <w:t>5</w:t>
            </w:r>
          </w:hyperlink>
        </w:p>
        <w:p>
          <w:pPr>
            <w:pStyle w:val="TOC3"/>
            <w:tabs>
              <w:tab w:pos="8411" w:val="right" w:leader="dot"/>
            </w:tabs>
            <w:rPr>
              <w:rFonts w:ascii="Times New Roman" w:eastAsia="Times New Roman"/>
              <w:b w:val="0"/>
            </w:rPr>
          </w:pPr>
          <w:hyperlink w:history="true" w:anchor="_bookmark12">
            <w:r>
              <w:rPr/>
              <w:t>第十一条</w:t>
            </w:r>
            <w:r>
              <w:rPr>
                <w:spacing w:val="91"/>
              </w:rPr>
              <w:t> </w:t>
            </w:r>
            <w:r>
              <w:rPr/>
              <w:t>基本保险金额和年度有效</w:t>
            </w:r>
            <w:r>
              <w:rPr/>
              <w:t>保险金</w:t>
            </w:r>
            <w:r>
              <w:rPr>
                <w:spacing w:val="-10"/>
              </w:rPr>
              <w:t>额</w:t>
            </w:r>
            <w:r>
              <w:rPr>
                <w:rFonts w:ascii="Times New Roman" w:eastAsia="Times New Roman"/>
                <w:b w:val="0"/>
              </w:rPr>
              <w:tab/>
            </w:r>
            <w:r>
              <w:rPr>
                <w:rFonts w:ascii="Times New Roman" w:eastAsia="Times New Roman"/>
                <w:b w:val="0"/>
                <w:spacing w:val="-10"/>
              </w:rPr>
              <w:t>5</w:t>
            </w:r>
          </w:hyperlink>
        </w:p>
        <w:p>
          <w:pPr>
            <w:pStyle w:val="TOC3"/>
            <w:tabs>
              <w:tab w:pos="8411" w:val="right" w:leader="dot"/>
            </w:tabs>
            <w:rPr>
              <w:rFonts w:ascii="Times New Roman" w:eastAsia="Times New Roman"/>
              <w:b w:val="0"/>
            </w:rPr>
          </w:pPr>
          <w:hyperlink w:history="true" w:anchor="_bookmark13">
            <w:r>
              <w:rPr/>
              <w:t>第十二条</w:t>
            </w:r>
            <w:r>
              <w:rPr>
                <w:spacing w:val="46"/>
                <w:w w:val="150"/>
              </w:rPr>
              <w:t> </w:t>
            </w:r>
            <w:r>
              <w:rPr/>
              <w:t>保险</w:t>
            </w:r>
            <w:r>
              <w:rPr>
                <w:spacing w:val="-10"/>
              </w:rPr>
              <w:t>费</w:t>
            </w:r>
            <w:r>
              <w:rPr>
                <w:rFonts w:ascii="Times New Roman" w:eastAsia="Times New Roman"/>
                <w:b w:val="0"/>
              </w:rPr>
              <w:tab/>
            </w:r>
            <w:r>
              <w:rPr>
                <w:rFonts w:ascii="Times New Roman" w:eastAsia="Times New Roman"/>
                <w:b w:val="0"/>
                <w:spacing w:val="-10"/>
              </w:rPr>
              <w:t>5</w:t>
            </w:r>
          </w:hyperlink>
        </w:p>
        <w:p>
          <w:pPr>
            <w:pStyle w:val="TOC3"/>
            <w:tabs>
              <w:tab w:pos="8411" w:val="right" w:leader="dot"/>
            </w:tabs>
            <w:rPr>
              <w:rFonts w:ascii="Times New Roman" w:eastAsia="Times New Roman"/>
              <w:b w:val="0"/>
            </w:rPr>
          </w:pPr>
          <w:hyperlink w:history="true" w:anchor="_bookmark14">
            <w:r>
              <w:rPr/>
              <w:t>第十三条</w:t>
            </w:r>
            <w:r>
              <w:rPr>
                <w:spacing w:val="46"/>
                <w:w w:val="150"/>
              </w:rPr>
              <w:t> </w:t>
            </w:r>
            <w:r>
              <w:rPr/>
              <w:t>宽限</w:t>
            </w:r>
            <w:r>
              <w:rPr>
                <w:spacing w:val="-10"/>
              </w:rPr>
              <w:t>期</w:t>
            </w:r>
            <w:r>
              <w:rPr>
                <w:rFonts w:ascii="Times New Roman" w:eastAsia="Times New Roman"/>
                <w:b w:val="0"/>
              </w:rPr>
              <w:tab/>
            </w:r>
            <w:r>
              <w:rPr>
                <w:rFonts w:ascii="Times New Roman" w:eastAsia="Times New Roman"/>
                <w:b w:val="0"/>
                <w:spacing w:val="-10"/>
              </w:rPr>
              <w:t>5</w:t>
            </w:r>
          </w:hyperlink>
        </w:p>
        <w:p>
          <w:pPr>
            <w:pStyle w:val="TOC1"/>
            <w:tabs>
              <w:tab w:pos="8418" w:val="right" w:leader="dot"/>
            </w:tabs>
            <w:rPr>
              <w:rFonts w:ascii="Times New Roman" w:eastAsia="Times New Roman"/>
              <w:b w:val="0"/>
            </w:rPr>
          </w:pPr>
          <w:hyperlink w:history="true" w:anchor="_bookmark15">
            <w:r>
              <w:rPr/>
              <w:t>第三部分</w:t>
            </w:r>
            <w:r>
              <w:rPr>
                <w:spacing w:val="-4"/>
              </w:rPr>
              <w:t> </w:t>
            </w:r>
            <w:r>
              <w:rPr/>
              <w:t>保险服务条</w:t>
            </w:r>
            <w:r>
              <w:rPr>
                <w:spacing w:val="-10"/>
              </w:rPr>
              <w:t>款</w:t>
            </w:r>
            <w:r>
              <w:rPr>
                <w:rFonts w:ascii="Times New Roman" w:eastAsia="Times New Roman"/>
                <w:b w:val="0"/>
              </w:rPr>
              <w:tab/>
            </w:r>
            <w:r>
              <w:rPr>
                <w:rFonts w:ascii="Times New Roman" w:eastAsia="Times New Roman"/>
                <w:b w:val="0"/>
                <w:spacing w:val="-10"/>
              </w:rPr>
              <w:t>5</w:t>
            </w:r>
          </w:hyperlink>
        </w:p>
        <w:p>
          <w:pPr>
            <w:pStyle w:val="TOC3"/>
            <w:tabs>
              <w:tab w:pos="8411" w:val="right" w:leader="dot"/>
            </w:tabs>
            <w:rPr>
              <w:rFonts w:ascii="Times New Roman" w:eastAsia="Times New Roman"/>
              <w:b w:val="0"/>
            </w:rPr>
          </w:pPr>
          <w:hyperlink w:history="true" w:anchor="_bookmark16">
            <w:r>
              <w:rPr/>
              <w:t>第十四条</w:t>
            </w:r>
            <w:r>
              <w:rPr>
                <w:spacing w:val="46"/>
                <w:w w:val="150"/>
              </w:rPr>
              <w:t> </w:t>
            </w:r>
            <w:r>
              <w:rPr/>
              <w:t>保险单贷</w:t>
            </w:r>
            <w:r>
              <w:rPr>
                <w:spacing w:val="-10"/>
              </w:rPr>
              <w:t>款</w:t>
            </w:r>
            <w:r>
              <w:rPr>
                <w:rFonts w:ascii="Times New Roman" w:eastAsia="Times New Roman"/>
                <w:b w:val="0"/>
              </w:rPr>
              <w:tab/>
            </w:r>
            <w:r>
              <w:rPr>
                <w:rFonts w:ascii="Times New Roman" w:eastAsia="Times New Roman"/>
                <w:b w:val="0"/>
                <w:spacing w:val="-10"/>
              </w:rPr>
              <w:t>5</w:t>
            </w:r>
          </w:hyperlink>
        </w:p>
        <w:p>
          <w:pPr>
            <w:pStyle w:val="TOC3"/>
            <w:tabs>
              <w:tab w:pos="8411" w:val="right" w:leader="dot"/>
            </w:tabs>
            <w:rPr>
              <w:rFonts w:ascii="Times New Roman" w:eastAsia="Times New Roman"/>
              <w:b w:val="0"/>
            </w:rPr>
          </w:pPr>
          <w:hyperlink w:history="true" w:anchor="_bookmark17">
            <w:r>
              <w:rPr/>
              <w:t>第十五条</w:t>
            </w:r>
            <w:r>
              <w:rPr>
                <w:spacing w:val="99"/>
              </w:rPr>
              <w:t> </w:t>
            </w:r>
            <w:r>
              <w:rPr/>
              <w:t>减少基本保险金</w:t>
            </w:r>
            <w:r>
              <w:rPr>
                <w:spacing w:val="-10"/>
              </w:rPr>
              <w:t>额</w:t>
            </w:r>
            <w:r>
              <w:rPr>
                <w:rFonts w:ascii="Times New Roman" w:eastAsia="Times New Roman"/>
                <w:b w:val="0"/>
              </w:rPr>
              <w:tab/>
            </w:r>
            <w:r>
              <w:rPr>
                <w:rFonts w:ascii="Times New Roman" w:eastAsia="Times New Roman"/>
                <w:b w:val="0"/>
                <w:spacing w:val="-10"/>
              </w:rPr>
              <w:t>6</w:t>
            </w:r>
          </w:hyperlink>
        </w:p>
        <w:p>
          <w:pPr>
            <w:pStyle w:val="TOC3"/>
            <w:tabs>
              <w:tab w:pos="8411" w:val="right" w:leader="dot"/>
            </w:tabs>
            <w:rPr>
              <w:rFonts w:ascii="Times New Roman" w:eastAsia="Times New Roman"/>
              <w:b w:val="0"/>
            </w:rPr>
          </w:pPr>
          <w:hyperlink w:history="true" w:anchor="_bookmark18">
            <w:r>
              <w:rPr/>
              <w:t>第十六条</w:t>
            </w:r>
            <w:r>
              <w:rPr>
                <w:spacing w:val="46"/>
                <w:w w:val="150"/>
              </w:rPr>
              <w:t> </w:t>
            </w:r>
            <w:r>
              <w:rPr/>
              <w:t>合同内容变</w:t>
            </w:r>
            <w:r>
              <w:rPr>
                <w:spacing w:val="-10"/>
              </w:rPr>
              <w:t>更</w:t>
            </w:r>
            <w:r>
              <w:rPr>
                <w:rFonts w:ascii="Times New Roman" w:eastAsia="Times New Roman"/>
                <w:b w:val="0"/>
              </w:rPr>
              <w:tab/>
            </w:r>
            <w:r>
              <w:rPr>
                <w:rFonts w:ascii="Times New Roman" w:eastAsia="Times New Roman"/>
                <w:b w:val="0"/>
                <w:spacing w:val="-10"/>
              </w:rPr>
              <w:t>6</w:t>
            </w:r>
          </w:hyperlink>
        </w:p>
        <w:p>
          <w:pPr>
            <w:pStyle w:val="TOC3"/>
            <w:tabs>
              <w:tab w:pos="8411" w:val="right" w:leader="dot"/>
            </w:tabs>
            <w:rPr>
              <w:rFonts w:ascii="Times New Roman" w:eastAsia="Times New Roman"/>
              <w:b w:val="0"/>
            </w:rPr>
          </w:pPr>
          <w:hyperlink w:history="true" w:anchor="_bookmark19">
            <w:r>
              <w:rPr/>
              <w:t>第十七条</w:t>
            </w:r>
            <w:r>
              <w:rPr>
                <w:spacing w:val="99"/>
              </w:rPr>
              <w:t> </w:t>
            </w:r>
            <w:r>
              <w:rPr/>
              <w:t>受益人指定和变</w:t>
            </w:r>
            <w:r>
              <w:rPr>
                <w:spacing w:val="-10"/>
              </w:rPr>
              <w:t>更</w:t>
            </w:r>
            <w:r>
              <w:rPr>
                <w:rFonts w:ascii="Times New Roman" w:eastAsia="Times New Roman"/>
                <w:b w:val="0"/>
              </w:rPr>
              <w:tab/>
            </w:r>
            <w:r>
              <w:rPr>
                <w:rFonts w:ascii="Times New Roman" w:eastAsia="Times New Roman"/>
                <w:b w:val="0"/>
                <w:spacing w:val="-10"/>
              </w:rPr>
              <w:t>6</w:t>
            </w:r>
          </w:hyperlink>
        </w:p>
        <w:p>
          <w:pPr>
            <w:pStyle w:val="TOC3"/>
            <w:tabs>
              <w:tab w:pos="8411" w:val="right" w:leader="dot"/>
            </w:tabs>
            <w:rPr>
              <w:rFonts w:ascii="Times New Roman" w:eastAsia="Times New Roman"/>
              <w:b w:val="0"/>
            </w:rPr>
          </w:pPr>
          <w:hyperlink w:history="true" w:anchor="_bookmark20">
            <w:r>
              <w:rPr/>
              <w:t>第十八条</w:t>
            </w:r>
            <w:r>
              <w:rPr>
                <w:spacing w:val="46"/>
                <w:w w:val="150"/>
              </w:rPr>
              <w:t> </w:t>
            </w:r>
            <w:r>
              <w:rPr/>
              <w:t>联系方式变</w:t>
            </w:r>
            <w:r>
              <w:rPr>
                <w:spacing w:val="-10"/>
              </w:rPr>
              <w:t>更</w:t>
            </w:r>
            <w:r>
              <w:rPr>
                <w:rFonts w:ascii="Times New Roman" w:eastAsia="Times New Roman"/>
                <w:b w:val="0"/>
              </w:rPr>
              <w:tab/>
            </w:r>
            <w:r>
              <w:rPr>
                <w:rFonts w:ascii="Times New Roman" w:eastAsia="Times New Roman"/>
                <w:b w:val="0"/>
                <w:spacing w:val="-10"/>
              </w:rPr>
              <w:t>7</w:t>
            </w:r>
          </w:hyperlink>
        </w:p>
        <w:p>
          <w:pPr>
            <w:pStyle w:val="TOC3"/>
            <w:tabs>
              <w:tab w:pos="8411" w:val="right" w:leader="dot"/>
            </w:tabs>
            <w:rPr>
              <w:rFonts w:ascii="Times New Roman" w:eastAsia="Times New Roman"/>
              <w:b w:val="0"/>
            </w:rPr>
          </w:pPr>
          <w:hyperlink w:history="true" w:anchor="_bookmark21">
            <w:r>
              <w:rPr/>
              <w:t>第十九条</w:t>
            </w:r>
            <w:r>
              <w:rPr>
                <w:spacing w:val="46"/>
                <w:w w:val="150"/>
              </w:rPr>
              <w:t> </w:t>
            </w:r>
            <w:r>
              <w:rPr/>
              <w:t>年龄性别错</w:t>
            </w:r>
            <w:r>
              <w:rPr>
                <w:spacing w:val="-10"/>
              </w:rPr>
              <w:t>误</w:t>
            </w:r>
            <w:r>
              <w:rPr>
                <w:rFonts w:ascii="Times New Roman" w:eastAsia="Times New Roman"/>
                <w:b w:val="0"/>
              </w:rPr>
              <w:tab/>
            </w:r>
            <w:r>
              <w:rPr>
                <w:rFonts w:ascii="Times New Roman" w:eastAsia="Times New Roman"/>
                <w:b w:val="0"/>
                <w:spacing w:val="-10"/>
              </w:rPr>
              <w:t>7</w:t>
            </w:r>
          </w:hyperlink>
        </w:p>
        <w:p>
          <w:pPr>
            <w:pStyle w:val="TOC3"/>
            <w:tabs>
              <w:tab w:pos="8411" w:val="right" w:leader="dot"/>
            </w:tabs>
            <w:rPr>
              <w:rFonts w:ascii="Times New Roman" w:eastAsia="Times New Roman"/>
              <w:b w:val="0"/>
            </w:rPr>
          </w:pPr>
          <w:hyperlink w:history="true" w:anchor="_bookmark22">
            <w:r>
              <w:rPr/>
              <w:t>第二十条</w:t>
            </w:r>
            <w:r>
              <w:rPr>
                <w:spacing w:val="46"/>
                <w:w w:val="150"/>
              </w:rPr>
              <w:t> </w:t>
            </w:r>
            <w:r>
              <w:rPr/>
              <w:t>未还款</w:t>
            </w:r>
            <w:r>
              <w:rPr>
                <w:spacing w:val="-10"/>
              </w:rPr>
              <w:t>项</w:t>
            </w:r>
            <w:r>
              <w:rPr>
                <w:rFonts w:ascii="Times New Roman" w:eastAsia="Times New Roman"/>
                <w:b w:val="0"/>
              </w:rPr>
              <w:tab/>
            </w:r>
            <w:r>
              <w:rPr>
                <w:rFonts w:ascii="Times New Roman" w:eastAsia="Times New Roman"/>
                <w:b w:val="0"/>
                <w:spacing w:val="-10"/>
              </w:rPr>
              <w:t>7</w:t>
            </w:r>
          </w:hyperlink>
        </w:p>
        <w:p>
          <w:pPr>
            <w:pStyle w:val="TOC3"/>
            <w:tabs>
              <w:tab w:pos="8411" w:val="right" w:leader="dot"/>
            </w:tabs>
            <w:rPr>
              <w:rFonts w:ascii="Times New Roman" w:eastAsia="Times New Roman"/>
              <w:b w:val="0"/>
            </w:rPr>
          </w:pPr>
          <w:hyperlink w:history="true" w:anchor="_bookmark23">
            <w:r>
              <w:rPr/>
              <w:t>第二十一条</w:t>
            </w:r>
            <w:r>
              <w:rPr>
                <w:spacing w:val="102"/>
              </w:rPr>
              <w:t> </w:t>
            </w:r>
            <w:r>
              <w:rPr/>
              <w:t>合同中止与复</w:t>
            </w:r>
            <w:r>
              <w:rPr>
                <w:spacing w:val="-10"/>
              </w:rPr>
              <w:t>效</w:t>
            </w:r>
            <w:r>
              <w:rPr>
                <w:rFonts w:ascii="Times New Roman" w:eastAsia="Times New Roman"/>
                <w:b w:val="0"/>
              </w:rPr>
              <w:tab/>
            </w:r>
            <w:r>
              <w:rPr>
                <w:rFonts w:ascii="Times New Roman" w:eastAsia="Times New Roman"/>
                <w:b w:val="0"/>
                <w:spacing w:val="-10"/>
              </w:rPr>
              <w:t>7</w:t>
            </w:r>
          </w:hyperlink>
        </w:p>
        <w:p>
          <w:pPr>
            <w:pStyle w:val="TOC3"/>
            <w:tabs>
              <w:tab w:pos="8411" w:val="right" w:leader="dot"/>
            </w:tabs>
            <w:rPr>
              <w:rFonts w:ascii="Times New Roman" w:eastAsia="Times New Roman"/>
              <w:b w:val="0"/>
            </w:rPr>
          </w:pPr>
          <w:hyperlink w:history="true" w:anchor="_bookmark24">
            <w:r>
              <w:rPr/>
              <w:t>第二十二条</w:t>
            </w:r>
            <w:r>
              <w:rPr>
                <w:spacing w:val="102"/>
              </w:rPr>
              <w:t> </w:t>
            </w:r>
            <w:r>
              <w:rPr/>
              <w:t>合同解</w:t>
            </w:r>
            <w:r>
              <w:rPr>
                <w:spacing w:val="-10"/>
              </w:rPr>
              <w:t>除</w:t>
            </w:r>
            <w:r>
              <w:rPr>
                <w:rFonts w:ascii="Times New Roman" w:eastAsia="Times New Roman"/>
                <w:b w:val="0"/>
              </w:rPr>
              <w:tab/>
            </w:r>
            <w:r>
              <w:rPr>
                <w:rFonts w:ascii="Times New Roman" w:eastAsia="Times New Roman"/>
                <w:b w:val="0"/>
                <w:spacing w:val="-10"/>
                <w:w w:val="95"/>
              </w:rPr>
              <w:t>7</w:t>
            </w:r>
          </w:hyperlink>
        </w:p>
        <w:p>
          <w:pPr>
            <w:pStyle w:val="TOC3"/>
            <w:tabs>
              <w:tab w:pos="8411" w:val="right" w:leader="dot"/>
            </w:tabs>
            <w:rPr>
              <w:rFonts w:ascii="Times New Roman" w:eastAsia="Times New Roman"/>
              <w:b w:val="0"/>
            </w:rPr>
          </w:pPr>
          <w:hyperlink w:history="true" w:anchor="_bookmark25">
            <w:r>
              <w:rPr/>
              <w:t>第二十三条</w:t>
            </w:r>
            <w:r>
              <w:rPr>
                <w:spacing w:val="102"/>
              </w:rPr>
              <w:t> </w:t>
            </w:r>
            <w:r>
              <w:rPr/>
              <w:t>合同终</w:t>
            </w:r>
            <w:r>
              <w:rPr>
                <w:spacing w:val="-10"/>
              </w:rPr>
              <w:t>止</w:t>
            </w:r>
            <w:r>
              <w:rPr>
                <w:rFonts w:ascii="Times New Roman" w:eastAsia="Times New Roman"/>
                <w:b w:val="0"/>
              </w:rPr>
              <w:tab/>
            </w:r>
            <w:r>
              <w:rPr>
                <w:rFonts w:ascii="Times New Roman" w:eastAsia="Times New Roman"/>
                <w:b w:val="0"/>
                <w:spacing w:val="-10"/>
                <w:w w:val="95"/>
              </w:rPr>
              <w:t>7</w:t>
            </w:r>
          </w:hyperlink>
        </w:p>
        <w:p>
          <w:pPr>
            <w:pStyle w:val="TOC1"/>
            <w:tabs>
              <w:tab w:pos="8418" w:val="right" w:leader="dot"/>
            </w:tabs>
            <w:rPr>
              <w:rFonts w:ascii="Times New Roman" w:eastAsia="Times New Roman"/>
              <w:b w:val="0"/>
            </w:rPr>
          </w:pPr>
          <w:hyperlink w:history="true" w:anchor="_bookmark26">
            <w:r>
              <w:rPr/>
              <w:t>第四部分</w:t>
            </w:r>
            <w:r>
              <w:rPr>
                <w:spacing w:val="-4"/>
              </w:rPr>
              <w:t> </w:t>
            </w:r>
            <w:r>
              <w:rPr/>
              <w:t>保险理赔条</w:t>
            </w:r>
            <w:r>
              <w:rPr>
                <w:spacing w:val="-10"/>
              </w:rPr>
              <w:t>款</w:t>
            </w:r>
            <w:r>
              <w:rPr>
                <w:rFonts w:ascii="Times New Roman" w:eastAsia="Times New Roman"/>
                <w:b w:val="0"/>
              </w:rPr>
              <w:tab/>
            </w:r>
            <w:r>
              <w:rPr>
                <w:rFonts w:ascii="Times New Roman" w:eastAsia="Times New Roman"/>
                <w:b w:val="0"/>
                <w:spacing w:val="-10"/>
              </w:rPr>
              <w:t>8</w:t>
            </w:r>
          </w:hyperlink>
        </w:p>
        <w:p>
          <w:pPr>
            <w:pStyle w:val="TOC3"/>
            <w:tabs>
              <w:tab w:pos="8411" w:val="right" w:leader="dot"/>
            </w:tabs>
            <w:rPr>
              <w:rFonts w:ascii="Times New Roman" w:eastAsia="Times New Roman"/>
              <w:b w:val="0"/>
            </w:rPr>
          </w:pPr>
          <w:hyperlink w:history="true" w:anchor="_bookmark27">
            <w:r>
              <w:rPr/>
              <w:t>第二十四条</w:t>
            </w:r>
            <w:r>
              <w:rPr>
                <w:spacing w:val="102"/>
              </w:rPr>
              <w:t> </w:t>
            </w:r>
            <w:r>
              <w:rPr/>
              <w:t>保险事故通</w:t>
            </w:r>
            <w:r>
              <w:rPr>
                <w:spacing w:val="-10"/>
                <w:w w:val="95"/>
              </w:rPr>
              <w:t>知</w:t>
            </w:r>
            <w:r>
              <w:rPr>
                <w:rFonts w:ascii="Times New Roman" w:eastAsia="Times New Roman"/>
                <w:b w:val="0"/>
              </w:rPr>
              <w:tab/>
            </w:r>
            <w:r>
              <w:rPr>
                <w:rFonts w:ascii="Times New Roman" w:eastAsia="Times New Roman"/>
                <w:b w:val="0"/>
                <w:spacing w:val="-10"/>
              </w:rPr>
              <w:t>8</w:t>
            </w:r>
          </w:hyperlink>
        </w:p>
        <w:p>
          <w:pPr>
            <w:pStyle w:val="TOC3"/>
            <w:tabs>
              <w:tab w:pos="8411" w:val="right" w:leader="dot"/>
            </w:tabs>
            <w:rPr>
              <w:rFonts w:ascii="Times New Roman" w:eastAsia="Times New Roman"/>
              <w:b w:val="0"/>
            </w:rPr>
          </w:pPr>
          <w:hyperlink w:history="true" w:anchor="_bookmark28">
            <w:r>
              <w:rPr/>
              <w:t>第二十五条</w:t>
            </w:r>
            <w:r>
              <w:rPr>
                <w:spacing w:val="102"/>
              </w:rPr>
              <w:t> </w:t>
            </w:r>
            <w:r>
              <w:rPr/>
              <w:t>保险金申</w:t>
            </w:r>
            <w:r>
              <w:rPr>
                <w:spacing w:val="-10"/>
              </w:rPr>
              <w:t>请</w:t>
            </w:r>
            <w:r>
              <w:rPr>
                <w:rFonts w:ascii="Times New Roman" w:eastAsia="Times New Roman"/>
                <w:b w:val="0"/>
              </w:rPr>
              <w:tab/>
            </w:r>
            <w:r>
              <w:rPr>
                <w:rFonts w:ascii="Times New Roman" w:eastAsia="Times New Roman"/>
                <w:b w:val="0"/>
                <w:spacing w:val="-10"/>
                <w:w w:val="95"/>
              </w:rPr>
              <w:t>8</w:t>
            </w:r>
          </w:hyperlink>
        </w:p>
        <w:p>
          <w:pPr>
            <w:pStyle w:val="TOC3"/>
            <w:tabs>
              <w:tab w:pos="8411" w:val="right" w:leader="dot"/>
            </w:tabs>
            <w:rPr>
              <w:rFonts w:ascii="Times New Roman" w:eastAsia="Times New Roman"/>
              <w:b w:val="0"/>
            </w:rPr>
          </w:pPr>
          <w:hyperlink w:history="true" w:anchor="_bookmark29">
            <w:r>
              <w:rPr/>
              <w:t>第二十六条</w:t>
            </w:r>
            <w:r>
              <w:rPr>
                <w:spacing w:val="102"/>
              </w:rPr>
              <w:t> </w:t>
            </w:r>
            <w:r>
              <w:rPr/>
              <w:t>保险金给</w:t>
            </w:r>
            <w:r>
              <w:rPr>
                <w:spacing w:val="-10"/>
              </w:rPr>
              <w:t>付</w:t>
            </w:r>
            <w:r>
              <w:rPr>
                <w:rFonts w:ascii="Times New Roman" w:eastAsia="Times New Roman"/>
                <w:b w:val="0"/>
              </w:rPr>
              <w:tab/>
            </w:r>
            <w:r>
              <w:rPr>
                <w:rFonts w:ascii="Times New Roman" w:eastAsia="Times New Roman"/>
                <w:b w:val="0"/>
                <w:spacing w:val="-10"/>
                <w:w w:val="95"/>
              </w:rPr>
              <w:t>8</w:t>
            </w:r>
          </w:hyperlink>
        </w:p>
        <w:p>
          <w:pPr>
            <w:pStyle w:val="TOC3"/>
            <w:tabs>
              <w:tab w:pos="8411" w:val="right" w:leader="dot"/>
            </w:tabs>
            <w:rPr>
              <w:rFonts w:ascii="Times New Roman" w:eastAsia="Times New Roman"/>
              <w:b w:val="0"/>
            </w:rPr>
          </w:pPr>
          <w:hyperlink w:history="true" w:anchor="_bookmark30">
            <w:r>
              <w:rPr/>
              <w:t>第二十七条</w:t>
            </w:r>
            <w:r>
              <w:rPr>
                <w:spacing w:val="102"/>
              </w:rPr>
              <w:t> </w:t>
            </w:r>
            <w:r>
              <w:rPr/>
              <w:t>诉讼时</w:t>
            </w:r>
            <w:r>
              <w:rPr>
                <w:spacing w:val="-10"/>
              </w:rPr>
              <w:t>效</w:t>
            </w:r>
            <w:r>
              <w:rPr>
                <w:rFonts w:ascii="Times New Roman" w:eastAsia="Times New Roman"/>
                <w:b w:val="0"/>
              </w:rPr>
              <w:tab/>
            </w:r>
            <w:r>
              <w:rPr>
                <w:rFonts w:ascii="Times New Roman" w:eastAsia="Times New Roman"/>
                <w:b w:val="0"/>
                <w:spacing w:val="-10"/>
                <w:w w:val="95"/>
              </w:rPr>
              <w:t>9</w:t>
            </w:r>
          </w:hyperlink>
        </w:p>
        <w:p>
          <w:pPr>
            <w:pStyle w:val="TOC3"/>
            <w:tabs>
              <w:tab w:pos="8411" w:val="right" w:leader="dot"/>
            </w:tabs>
            <w:rPr>
              <w:rFonts w:ascii="Times New Roman" w:eastAsia="Times New Roman"/>
              <w:b w:val="0"/>
            </w:rPr>
          </w:pPr>
          <w:hyperlink w:history="true" w:anchor="_bookmark31">
            <w:r>
              <w:rPr/>
              <w:t>第二十八条</w:t>
            </w:r>
            <w:r>
              <w:rPr>
                <w:spacing w:val="102"/>
              </w:rPr>
              <w:t> </w:t>
            </w:r>
            <w:r>
              <w:rPr/>
              <w:t>争议处</w:t>
            </w:r>
            <w:r>
              <w:rPr>
                <w:spacing w:val="-10"/>
              </w:rPr>
              <w:t>理</w:t>
            </w:r>
            <w:r>
              <w:rPr>
                <w:rFonts w:ascii="Times New Roman" w:eastAsia="Times New Roman"/>
                <w:b w:val="0"/>
              </w:rPr>
              <w:tab/>
            </w:r>
            <w:r>
              <w:rPr>
                <w:rFonts w:ascii="Times New Roman" w:eastAsia="Times New Roman"/>
                <w:b w:val="0"/>
                <w:spacing w:val="-10"/>
                <w:w w:val="95"/>
              </w:rPr>
              <w:t>9</w:t>
            </w:r>
          </w:hyperlink>
        </w:p>
        <w:p>
          <w:pPr>
            <w:pStyle w:val="TOC3"/>
            <w:tabs>
              <w:tab w:pos="8411" w:val="right" w:leader="dot"/>
            </w:tabs>
            <w:rPr>
              <w:rFonts w:ascii="Times New Roman" w:eastAsia="Times New Roman"/>
              <w:b w:val="0"/>
            </w:rPr>
          </w:pPr>
          <w:hyperlink w:history="true" w:anchor="_bookmark32">
            <w:r>
              <w:rPr/>
              <w:t>第二十九条</w:t>
            </w:r>
            <w:r>
              <w:rPr>
                <w:spacing w:val="102"/>
              </w:rPr>
              <w:t> </w:t>
            </w:r>
            <w:r>
              <w:rPr/>
              <w:t>司法管</w:t>
            </w:r>
            <w:r>
              <w:rPr>
                <w:spacing w:val="-10"/>
              </w:rPr>
              <w:t>辖</w:t>
            </w:r>
            <w:r>
              <w:rPr>
                <w:rFonts w:ascii="Times New Roman" w:eastAsia="Times New Roman"/>
                <w:b w:val="0"/>
              </w:rPr>
              <w:tab/>
            </w:r>
            <w:r>
              <w:rPr>
                <w:rFonts w:ascii="Times New Roman" w:eastAsia="Times New Roman"/>
                <w:b w:val="0"/>
                <w:spacing w:val="-10"/>
                <w:w w:val="95"/>
              </w:rPr>
              <w:t>9</w:t>
            </w:r>
          </w:hyperlink>
        </w:p>
        <w:p>
          <w:pPr>
            <w:pStyle w:val="TOC1"/>
            <w:tabs>
              <w:tab w:pos="8418" w:val="right" w:leader="dot"/>
            </w:tabs>
            <w:rPr>
              <w:rFonts w:ascii="Times New Roman" w:eastAsia="Times New Roman"/>
              <w:b w:val="0"/>
            </w:rPr>
          </w:pPr>
          <w:hyperlink w:history="true" w:anchor="_bookmark33">
            <w:r>
              <w:rPr/>
              <w:t>第五部分</w:t>
            </w:r>
            <w:r>
              <w:rPr>
                <w:spacing w:val="-1"/>
              </w:rPr>
              <w:t> </w:t>
            </w:r>
            <w:r>
              <w:rPr/>
              <w:t>其他事</w:t>
            </w:r>
            <w:r>
              <w:rPr>
                <w:spacing w:val="-10"/>
              </w:rPr>
              <w:t>项</w:t>
            </w:r>
            <w:r>
              <w:rPr>
                <w:rFonts w:ascii="Times New Roman" w:eastAsia="Times New Roman"/>
                <w:b w:val="0"/>
              </w:rPr>
              <w:tab/>
            </w:r>
            <w:r>
              <w:rPr>
                <w:rFonts w:ascii="Times New Roman" w:eastAsia="Times New Roman"/>
                <w:b w:val="0"/>
                <w:spacing w:val="-10"/>
              </w:rPr>
              <w:t>9</w:t>
            </w:r>
          </w:hyperlink>
        </w:p>
        <w:p>
          <w:pPr>
            <w:pStyle w:val="TOC4"/>
            <w:tabs>
              <w:tab w:pos="8411" w:val="right" w:leader="dot"/>
            </w:tabs>
            <w:rPr>
              <w:rFonts w:ascii="Times New Roman" w:eastAsia="Times New Roman"/>
              <w:b w:val="0"/>
              <w:i w:val="0"/>
              <w:sz w:val="21"/>
            </w:rPr>
          </w:pPr>
          <w:hyperlink w:history="true" w:anchor="_bookmark34">
            <w:r>
              <w:rPr>
                <w:i w:val="0"/>
                <w:sz w:val="21"/>
              </w:rPr>
              <w:t>第三十条</w:t>
            </w:r>
            <w:r>
              <w:rPr>
                <w:i w:val="0"/>
                <w:spacing w:val="46"/>
                <w:w w:val="150"/>
                <w:sz w:val="21"/>
              </w:rPr>
              <w:t> </w:t>
            </w:r>
            <w:r>
              <w:rPr>
                <w:i w:val="0"/>
                <w:sz w:val="21"/>
              </w:rPr>
              <w:t>释</w:t>
            </w:r>
            <w:r>
              <w:rPr>
                <w:i w:val="0"/>
                <w:spacing w:val="-10"/>
                <w:sz w:val="21"/>
              </w:rPr>
              <w:t>义</w:t>
            </w:r>
            <w:r>
              <w:rPr>
                <w:rFonts w:ascii="Times New Roman" w:eastAsia="Times New Roman"/>
                <w:b w:val="0"/>
                <w:i w:val="0"/>
                <w:sz w:val="21"/>
              </w:rPr>
              <w:tab/>
            </w:r>
            <w:r>
              <w:rPr>
                <w:rFonts w:ascii="Times New Roman" w:eastAsia="Times New Roman"/>
                <w:b w:val="0"/>
                <w:i w:val="0"/>
                <w:spacing w:val="-10"/>
                <w:sz w:val="21"/>
              </w:rPr>
              <w:t>9</w:t>
            </w:r>
          </w:hyperlink>
        </w:p>
      </w:sdtContent>
    </w:sdt>
    <w:p>
      <w:pPr>
        <w:spacing w:after="0"/>
        <w:rPr>
          <w:rFonts w:ascii="Times New Roman" w:eastAsia="Times New Roman"/>
          <w:sz w:val="21"/>
        </w:rPr>
        <w:sectPr>
          <w:type w:val="continuous"/>
          <w:pgSz w:w="11910" w:h="16840"/>
          <w:pgMar w:header="0" w:footer="985" w:top="280" w:bottom="1180" w:left="1680" w:right="200"/>
        </w:sectPr>
      </w:pPr>
    </w:p>
    <w:p>
      <w:pPr>
        <w:pStyle w:val="Heading1"/>
        <w:spacing w:before="154"/>
        <w:ind w:right="4477"/>
        <w:jc w:val="center"/>
      </w:pPr>
      <w:bookmarkStart w:name="_bookmark0" w:id="1"/>
      <w:bookmarkEnd w:id="1"/>
      <w:r>
        <w:rPr>
          <w:b w:val="0"/>
        </w:rPr>
      </w:r>
      <w:r>
        <w:rPr>
          <w:spacing w:val="-2"/>
        </w:rPr>
        <w:t>第一部分 总</w:t>
      </w:r>
      <w:r>
        <w:rPr>
          <w:spacing w:val="-10"/>
        </w:rPr>
        <w:t>则</w:t>
      </w:r>
    </w:p>
    <w:p>
      <w:pPr>
        <w:pStyle w:val="BodyText"/>
        <w:spacing w:before="6"/>
        <w:rPr>
          <w:b/>
          <w:sz w:val="26"/>
        </w:rPr>
      </w:pPr>
    </w:p>
    <w:p>
      <w:pPr>
        <w:pStyle w:val="Heading2"/>
      </w:pPr>
      <w:bookmarkStart w:name="_bookmark1" w:id="2"/>
      <w:bookmarkEnd w:id="2"/>
      <w:r>
        <w:rPr>
          <w:b w:val="0"/>
        </w:rPr>
      </w:r>
      <w:r>
        <w:rPr>
          <w:spacing w:val="-5"/>
        </w:rPr>
        <w:t>第一条 合同构成</w:t>
      </w:r>
    </w:p>
    <w:p>
      <w:pPr>
        <w:pStyle w:val="BodyText"/>
        <w:spacing w:line="278" w:lineRule="auto" w:before="43"/>
        <w:ind w:left="120" w:right="1488" w:firstLine="419"/>
      </w:pPr>
      <w:r>
        <w:rPr>
          <w:spacing w:val="-6"/>
        </w:rPr>
        <w:t>“昆仑健康乐享年年终身护理保险合同”（以下简称“本合同”）由保险单及所附条款、</w:t>
      </w:r>
      <w:r>
        <w:rPr>
          <w:spacing w:val="-17"/>
        </w:rPr>
        <w:t>投保单、与本合同有关的投保文件、合法有效的声明、批注、附贴批单和其他书面协议构成。</w:t>
      </w:r>
    </w:p>
    <w:p>
      <w:pPr>
        <w:pStyle w:val="BodyText"/>
        <w:spacing w:line="269" w:lineRule="exact"/>
        <w:ind w:left="540"/>
      </w:pPr>
      <w:r>
        <w:rPr>
          <w:spacing w:val="-3"/>
        </w:rPr>
        <w:t>凡涉及本合同的约定，均应采取书面形式。</w:t>
      </w:r>
    </w:p>
    <w:p>
      <w:pPr>
        <w:pStyle w:val="BodyText"/>
        <w:spacing w:before="9"/>
        <w:rPr>
          <w:sz w:val="27"/>
        </w:rPr>
      </w:pPr>
    </w:p>
    <w:p>
      <w:pPr>
        <w:pStyle w:val="Heading2"/>
        <w:jc w:val="both"/>
      </w:pPr>
      <w:bookmarkStart w:name="_bookmark2" w:id="3"/>
      <w:bookmarkEnd w:id="3"/>
      <w:r>
        <w:rPr>
          <w:b w:val="0"/>
        </w:rPr>
      </w:r>
      <w:r>
        <w:rPr>
          <w:spacing w:val="-5"/>
        </w:rPr>
        <w:t>第二条 合同成立与生效</w:t>
      </w:r>
    </w:p>
    <w:p>
      <w:pPr>
        <w:pStyle w:val="BodyText"/>
        <w:spacing w:line="278" w:lineRule="auto" w:before="43"/>
        <w:ind w:left="120" w:right="1591" w:firstLine="419"/>
        <w:jc w:val="both"/>
      </w:pPr>
      <w:r>
        <w:rPr>
          <w:spacing w:val="-4"/>
        </w:rPr>
        <w:t>投保人提出保险申请、本公司同意承保，本合同成立。自本合同成立、本公司收取首期</w:t>
      </w:r>
      <w:r>
        <w:rPr>
          <w:spacing w:val="-4"/>
        </w:rPr>
        <w:t>保险费且签发保险单的次日零时起本合同生效，合同生效日期以保险单上载明的为准。</w:t>
      </w:r>
      <w:r>
        <w:rPr>
          <w:b/>
          <w:spacing w:val="-2"/>
        </w:rPr>
        <w:t>保险</w:t>
      </w:r>
      <w:r>
        <w:rPr>
          <w:b/>
          <w:spacing w:val="-2"/>
        </w:rPr>
        <w:t>单周年日</w:t>
      </w:r>
      <w:r>
        <w:rPr>
          <w:spacing w:val="-2"/>
        </w:rPr>
        <w:t>、</w:t>
      </w:r>
      <w:r>
        <w:rPr>
          <w:b/>
          <w:spacing w:val="-2"/>
        </w:rPr>
        <w:t>保险单年度</w:t>
      </w:r>
      <w:r>
        <w:rPr>
          <w:spacing w:val="-2"/>
        </w:rPr>
        <w:t>和</w:t>
      </w:r>
      <w:r>
        <w:rPr>
          <w:b/>
          <w:spacing w:val="-2"/>
        </w:rPr>
        <w:t>保险费约定交纳日</w:t>
      </w:r>
      <w:r>
        <w:rPr>
          <w:spacing w:val="-2"/>
        </w:rPr>
        <w:t>均以合同生效日为计算基准。</w:t>
      </w:r>
    </w:p>
    <w:p>
      <w:pPr>
        <w:pStyle w:val="BodyText"/>
        <w:spacing w:before="4"/>
        <w:rPr>
          <w:sz w:val="24"/>
        </w:rPr>
      </w:pPr>
    </w:p>
    <w:p>
      <w:pPr>
        <w:pStyle w:val="Heading2"/>
        <w:spacing w:before="1"/>
      </w:pPr>
      <w:bookmarkStart w:name="_bookmark3" w:id="4"/>
      <w:bookmarkEnd w:id="4"/>
      <w:r>
        <w:rPr>
          <w:b w:val="0"/>
        </w:rPr>
      </w:r>
      <w:r>
        <w:rPr>
          <w:spacing w:val="-5"/>
        </w:rPr>
        <w:t>第三条 犹豫期</w:t>
      </w:r>
    </w:p>
    <w:p>
      <w:pPr>
        <w:pStyle w:val="BodyText"/>
        <w:spacing w:line="278" w:lineRule="auto" w:before="42"/>
        <w:ind w:left="120" w:right="1485" w:firstLine="424"/>
      </w:pPr>
      <w:r>
        <w:rPr>
          <w:spacing w:val="-8"/>
        </w:rPr>
        <w:t>自投保人签收保险单之日起，有 </w:t>
      </w:r>
      <w:r>
        <w:rPr/>
        <w:t>15</w:t>
      </w:r>
      <w:r>
        <w:rPr>
          <w:spacing w:val="-11"/>
        </w:rPr>
        <w:t> 日的犹豫期。如果投保人在此期间提出解除本合同，</w:t>
      </w:r>
      <w:r>
        <w:rPr>
          <w:spacing w:val="-2"/>
        </w:rPr>
        <w:t>投保人应当填写书面申请书，并提供保险合同及有效身份证件，本公司将无息退还投保人所</w:t>
      </w:r>
      <w:r>
        <w:rPr>
          <w:spacing w:val="-2"/>
        </w:rPr>
        <w:t>交的保险费。</w:t>
      </w:r>
      <w:r>
        <w:rPr>
          <w:color w:val="000000"/>
          <w:spacing w:val="-2"/>
          <w:shd w:fill="C0C0C0" w:color="auto" w:val="clear"/>
        </w:rPr>
        <w:t>自投保人书面申请解除本合同之日起，本合同即被解除，本公司自始不承担保</w:t>
      </w:r>
      <w:r>
        <w:rPr>
          <w:color w:val="000000"/>
          <w:spacing w:val="80"/>
          <w:w w:val="150"/>
          <w:shd w:fill="C0C0C0" w:color="auto" w:val="clear"/>
        </w:rPr>
        <w:t>                                             </w:t>
      </w:r>
      <w:r>
        <w:rPr>
          <w:color w:val="000000"/>
          <w:spacing w:val="-4"/>
          <w:shd w:fill="C0C0C0" w:color="auto" w:val="clear"/>
        </w:rPr>
        <w:t>险责任。</w:t>
      </w:r>
    </w:p>
    <w:p>
      <w:pPr>
        <w:pStyle w:val="BodyText"/>
        <w:spacing w:before="4"/>
        <w:rPr>
          <w:sz w:val="24"/>
        </w:rPr>
      </w:pPr>
    </w:p>
    <w:p>
      <w:pPr>
        <w:pStyle w:val="Heading2"/>
        <w:spacing w:before="1"/>
      </w:pPr>
      <w:bookmarkStart w:name="_bookmark4" w:id="5"/>
      <w:bookmarkEnd w:id="5"/>
      <w:r>
        <w:rPr>
          <w:b w:val="0"/>
        </w:rPr>
      </w:r>
      <w:r>
        <w:rPr>
          <w:spacing w:val="-5"/>
        </w:rPr>
        <w:t>第四条 明确说明与如实告知</w:t>
      </w:r>
    </w:p>
    <w:p>
      <w:pPr>
        <w:pStyle w:val="BodyText"/>
        <w:spacing w:before="42"/>
        <w:ind w:left="540"/>
      </w:pPr>
      <w:r>
        <w:rPr>
          <w:spacing w:val="-3"/>
        </w:rPr>
        <w:t>订立本合同时，本公司应当向投保人说明本合同内容。</w:t>
      </w:r>
    </w:p>
    <w:p>
      <w:pPr>
        <w:pStyle w:val="BodyText"/>
        <w:spacing w:line="278" w:lineRule="auto" w:before="43"/>
        <w:ind w:left="120" w:right="1591" w:firstLine="419"/>
        <w:jc w:val="both"/>
      </w:pPr>
      <w:r>
        <w:rPr>
          <w:spacing w:val="-4"/>
        </w:rPr>
        <w:t>对保险条款中免除本公司责任的条款，本公司在订立合同时应当在投保单、保险单或者</w:t>
      </w:r>
      <w:r>
        <w:rPr>
          <w:spacing w:val="-7"/>
        </w:rPr>
        <w:t>其他保险凭证上作出足以引起投保人注意的提示，并对该条款的内容以书面或者口头形式向</w:t>
      </w:r>
      <w:r>
        <w:rPr>
          <w:spacing w:val="-2"/>
        </w:rPr>
        <w:t>投保人作出明确说明，未作提示或者明确说明的，该条款不产生效力。</w:t>
      </w:r>
    </w:p>
    <w:p>
      <w:pPr>
        <w:pStyle w:val="BodyText"/>
        <w:spacing w:line="269" w:lineRule="exact"/>
        <w:ind w:left="540"/>
      </w:pPr>
      <w:r>
        <w:rPr>
          <w:spacing w:val="-3"/>
        </w:rPr>
        <w:t>本公司就投保人和被保险人的有关情况提出书面询问，投保人应当如实告知。</w:t>
      </w:r>
    </w:p>
    <w:p>
      <w:pPr>
        <w:pStyle w:val="BodyText"/>
        <w:spacing w:line="278" w:lineRule="auto" w:before="44"/>
        <w:ind w:left="120" w:right="1591" w:firstLine="419"/>
      </w:pPr>
      <w:r>
        <w:rPr>
          <w:color w:val="000000"/>
          <w:spacing w:val="-7"/>
          <w:shd w:fill="C0C0C0" w:color="auto" w:val="clear"/>
        </w:rPr>
        <w:t>投保人故意或者因重大过失未履行如实告知义务，足以影响本公司决定是否同意承保或</w:t>
      </w:r>
      <w:r>
        <w:rPr>
          <w:color w:val="000000"/>
          <w:spacing w:val="80"/>
          <w:w w:val="150"/>
          <w:shd w:fill="C0C0C0" w:color="auto" w:val="clear"/>
        </w:rPr>
        <w:t>                                             </w:t>
      </w:r>
      <w:r>
        <w:rPr>
          <w:color w:val="000000"/>
          <w:spacing w:val="-2"/>
          <w:shd w:fill="C0C0C0" w:color="auto" w:val="clear"/>
        </w:rPr>
        <w:t>提高保险费率的，本公司有权解除本合同。</w:t>
      </w:r>
    </w:p>
    <w:p>
      <w:pPr>
        <w:pStyle w:val="BodyText"/>
        <w:spacing w:line="278" w:lineRule="auto"/>
        <w:ind w:left="120" w:right="1591" w:firstLine="419"/>
      </w:pPr>
      <w:r>
        <w:rPr>
          <w:color w:val="000000"/>
          <w:spacing w:val="-6"/>
          <w:shd w:fill="C0C0C0" w:color="auto" w:val="clear"/>
        </w:rPr>
        <w:t>投保人故意不履行如实告知义务的，对于本合同解除前发生的保险事故，本公司不承担</w:t>
      </w:r>
      <w:r>
        <w:rPr>
          <w:color w:val="000000"/>
          <w:spacing w:val="80"/>
          <w:w w:val="150"/>
          <w:shd w:fill="C0C0C0" w:color="auto" w:val="clear"/>
        </w:rPr>
        <w:t>                                             </w:t>
      </w:r>
      <w:r>
        <w:rPr>
          <w:color w:val="000000"/>
          <w:spacing w:val="-2"/>
          <w:shd w:fill="C0C0C0" w:color="auto" w:val="clear"/>
        </w:rPr>
        <w:t>给付保险金责任，并不退还保险费。</w:t>
      </w:r>
    </w:p>
    <w:p>
      <w:pPr>
        <w:pStyle w:val="BodyText"/>
        <w:spacing w:line="278" w:lineRule="auto"/>
        <w:ind w:left="120" w:right="1591" w:firstLine="419"/>
      </w:pPr>
      <w:r>
        <w:rPr>
          <w:color w:val="000000"/>
          <w:spacing w:val="-7"/>
          <w:shd w:fill="C0C0C0" w:color="auto" w:val="clear"/>
        </w:rPr>
        <w:t>投保人因重大过失未履行如实告知义务，对保险事故的发生有严重影响的，对于本合同</w:t>
      </w:r>
      <w:r>
        <w:rPr>
          <w:color w:val="000000"/>
          <w:spacing w:val="80"/>
          <w:w w:val="150"/>
          <w:shd w:fill="C0C0C0" w:color="auto" w:val="clear"/>
        </w:rPr>
        <w:t>                                             </w:t>
      </w:r>
      <w:r>
        <w:rPr>
          <w:color w:val="000000"/>
          <w:spacing w:val="-2"/>
          <w:shd w:fill="C0C0C0" w:color="auto" w:val="clear"/>
        </w:rPr>
        <w:t>解除前发生的保险事故，本公司不承担给付保险金责任，但会向投保人无息退还保险费。</w:t>
      </w:r>
    </w:p>
    <w:p>
      <w:pPr>
        <w:pStyle w:val="BodyText"/>
        <w:spacing w:line="278" w:lineRule="auto"/>
        <w:ind w:left="120" w:right="1591" w:firstLine="419"/>
      </w:pPr>
      <w:r>
        <w:rPr>
          <w:spacing w:val="-4"/>
        </w:rPr>
        <w:t>本公司在合同订立时已经知道投保人未如实告知的情况的，本公司不得解除合同；发生</w:t>
      </w:r>
      <w:r>
        <w:rPr>
          <w:spacing w:val="-2"/>
        </w:rPr>
        <w:t>保险事故的，本公司承担给付保险金的责任。</w:t>
      </w:r>
    </w:p>
    <w:p>
      <w:pPr>
        <w:pStyle w:val="BodyText"/>
        <w:spacing w:before="3"/>
        <w:rPr>
          <w:sz w:val="24"/>
        </w:rPr>
      </w:pPr>
    </w:p>
    <w:p>
      <w:pPr>
        <w:pStyle w:val="Heading2"/>
        <w:jc w:val="both"/>
      </w:pPr>
      <w:bookmarkStart w:name="_bookmark5" w:id="6"/>
      <w:bookmarkEnd w:id="6"/>
      <w:r>
        <w:rPr>
          <w:b w:val="0"/>
        </w:rPr>
      </w:r>
      <w:r>
        <w:rPr>
          <w:spacing w:val="-6"/>
        </w:rPr>
        <w:t>第五条 本公司合同解除权的限制</w:t>
      </w:r>
    </w:p>
    <w:p>
      <w:pPr>
        <w:pStyle w:val="BodyText"/>
        <w:spacing w:line="278" w:lineRule="auto" w:before="43"/>
        <w:ind w:left="120" w:right="1591" w:firstLine="419"/>
        <w:jc w:val="both"/>
      </w:pPr>
      <w:r>
        <w:rPr>
          <w:spacing w:val="-4"/>
        </w:rPr>
        <w:t>本合同第四条和第十九条中规定的合同解除权，自本公司知道有解除事由之日起，超过</w:t>
      </w:r>
      <w:r>
        <w:rPr>
          <w:spacing w:val="-2"/>
        </w:rPr>
        <w:t> 30</w:t>
      </w:r>
      <w:r>
        <w:rPr>
          <w:spacing w:val="-6"/>
        </w:rPr>
        <w:t> 日不行使而消灭。自本合同成立之日起超过 </w:t>
      </w:r>
      <w:r>
        <w:rPr>
          <w:spacing w:val="-2"/>
        </w:rPr>
        <w:t>2</w:t>
      </w:r>
      <w:r>
        <w:rPr>
          <w:spacing w:val="-6"/>
        </w:rPr>
        <w:t> 年的，本公司不得解除合同；发生保险事</w:t>
      </w:r>
      <w:r>
        <w:rPr>
          <w:spacing w:val="-2"/>
        </w:rPr>
        <w:t>故的，本公司承担给付保险金的责任。</w:t>
      </w:r>
    </w:p>
    <w:p>
      <w:pPr>
        <w:pStyle w:val="BodyText"/>
        <w:rPr>
          <w:sz w:val="20"/>
        </w:rPr>
      </w:pPr>
    </w:p>
    <w:p>
      <w:pPr>
        <w:pStyle w:val="BodyText"/>
        <w:spacing w:before="12"/>
        <w:rPr>
          <w:sz w:val="26"/>
        </w:rPr>
      </w:pPr>
    </w:p>
    <w:p>
      <w:pPr>
        <w:pStyle w:val="Heading1"/>
        <w:ind w:right="4482"/>
        <w:jc w:val="center"/>
      </w:pPr>
      <w:bookmarkStart w:name="_bookmark6" w:id="7"/>
      <w:bookmarkEnd w:id="7"/>
      <w:r>
        <w:rPr>
          <w:b w:val="0"/>
        </w:rPr>
      </w:r>
      <w:r>
        <w:rPr>
          <w:spacing w:val="-3"/>
        </w:rPr>
        <w:t>第二部分 保</w:t>
      </w:r>
      <w:r>
        <w:rPr/>
        <w:t>障</w:t>
      </w:r>
      <w:r>
        <w:rPr/>
        <w:t>利</w:t>
      </w:r>
      <w:r>
        <w:rPr/>
        <w:t>益</w:t>
      </w:r>
      <w:r>
        <w:rPr/>
        <w:t>条</w:t>
      </w:r>
      <w:r>
        <w:rPr>
          <w:spacing w:val="-10"/>
        </w:rPr>
        <w:t>款</w:t>
      </w:r>
    </w:p>
    <w:p>
      <w:pPr>
        <w:pStyle w:val="BodyText"/>
        <w:spacing w:before="4"/>
        <w:rPr>
          <w:b/>
          <w:sz w:val="26"/>
        </w:rPr>
      </w:pPr>
    </w:p>
    <w:p>
      <w:pPr>
        <w:pStyle w:val="Heading2"/>
        <w:jc w:val="both"/>
      </w:pPr>
      <w:bookmarkStart w:name="_bookmark7" w:id="8"/>
      <w:bookmarkEnd w:id="8"/>
      <w:r>
        <w:rPr>
          <w:b w:val="0"/>
        </w:rPr>
      </w:r>
      <w:r>
        <w:rPr>
          <w:spacing w:val="-5"/>
        </w:rPr>
        <w:t>第六条 投保范围</w:t>
      </w:r>
    </w:p>
    <w:p>
      <w:pPr>
        <w:pStyle w:val="BodyText"/>
        <w:spacing w:line="278" w:lineRule="auto" w:before="43"/>
        <w:ind w:left="120" w:right="1485" w:firstLine="424"/>
      </w:pPr>
      <w:r>
        <w:rPr>
          <w:spacing w:val="-3"/>
        </w:rPr>
        <w:t>本合同接受的被保险人的投保年龄为出生满 </w:t>
      </w:r>
      <w:r>
        <w:rPr/>
        <w:t>28</w:t>
      </w:r>
      <w:r>
        <w:rPr>
          <w:spacing w:val="-27"/>
        </w:rPr>
        <w:t> 日至 </w:t>
      </w:r>
      <w:r>
        <w:rPr/>
        <w:t>70</w:t>
      </w:r>
      <w:r>
        <w:rPr>
          <w:spacing w:val="-55"/>
        </w:rPr>
        <w:t> </w:t>
      </w:r>
      <w:r>
        <w:rPr>
          <w:b/>
        </w:rPr>
        <w:t>周岁</w:t>
      </w:r>
      <w:r>
        <w:rPr>
          <w:spacing w:val="-51"/>
        </w:rPr>
        <w:t>之间</w:t>
      </w:r>
      <w:r>
        <w:rPr/>
        <w:t>（</w:t>
      </w:r>
      <w:r>
        <w:rPr>
          <w:spacing w:val="-27"/>
        </w:rPr>
        <w:t>含 </w:t>
      </w:r>
      <w:r>
        <w:rPr/>
        <w:t>28</w:t>
      </w:r>
      <w:r>
        <w:rPr>
          <w:spacing w:val="-27"/>
        </w:rPr>
        <w:t> 日和 </w:t>
      </w:r>
      <w:r>
        <w:rPr/>
        <w:t>70</w:t>
      </w:r>
      <w:r>
        <w:rPr>
          <w:spacing w:val="-18"/>
        </w:rPr>
        <w:t> 周岁</w:t>
      </w:r>
      <w:r>
        <w:rPr>
          <w:spacing w:val="-108"/>
        </w:rPr>
        <w:t>）</w:t>
      </w:r>
      <w:r>
        <w:rPr/>
        <w:t>。</w:t>
      </w:r>
      <w:r>
        <w:rPr>
          <w:spacing w:val="-2"/>
        </w:rPr>
        <w:t>被保险人本人或对被保险人具有保险利益的其他人可作为本合同投保人。</w:t>
      </w:r>
    </w:p>
    <w:p>
      <w:pPr>
        <w:spacing w:after="0" w:line="278" w:lineRule="auto"/>
        <w:sectPr>
          <w:pgSz w:w="11910" w:h="16840"/>
          <w:pgMar w:header="0" w:footer="985" w:top="1580" w:bottom="1180" w:left="1680" w:right="200"/>
        </w:sectPr>
      </w:pPr>
    </w:p>
    <w:p>
      <w:pPr>
        <w:pStyle w:val="BodyText"/>
        <w:spacing w:before="2"/>
        <w:rPr>
          <w:sz w:val="8"/>
        </w:rPr>
      </w:pPr>
    </w:p>
    <w:p>
      <w:pPr>
        <w:pStyle w:val="Heading2"/>
        <w:spacing w:before="72"/>
      </w:pPr>
      <w:bookmarkStart w:name="_bookmark8" w:id="9"/>
      <w:bookmarkEnd w:id="9"/>
      <w:r>
        <w:rPr>
          <w:b w:val="0"/>
        </w:rPr>
      </w:r>
      <w:r>
        <w:rPr>
          <w:spacing w:val="-5"/>
        </w:rPr>
        <w:t>第七条 保险责任</w:t>
      </w:r>
    </w:p>
    <w:p>
      <w:pPr>
        <w:pStyle w:val="BodyText"/>
        <w:spacing w:before="43"/>
        <w:ind w:left="540"/>
      </w:pPr>
      <w:r>
        <w:rPr>
          <w:spacing w:val="-3"/>
        </w:rPr>
        <w:t>在本合同有效期内，本公司承担如下保险责任：</w:t>
      </w:r>
    </w:p>
    <w:p>
      <w:pPr>
        <w:pStyle w:val="BodyText"/>
        <w:spacing w:before="43"/>
        <w:ind w:left="540"/>
      </w:pPr>
      <w:r>
        <w:rPr>
          <w:spacing w:val="-2"/>
        </w:rPr>
        <w:t>（一）</w:t>
      </w:r>
      <w:r>
        <w:rPr>
          <w:spacing w:val="-4"/>
        </w:rPr>
        <w:t>疾病身故保险金</w:t>
      </w:r>
    </w:p>
    <w:p>
      <w:pPr>
        <w:pStyle w:val="ListParagraph"/>
        <w:numPr>
          <w:ilvl w:val="0"/>
          <w:numId w:val="1"/>
        </w:numPr>
        <w:tabs>
          <w:tab w:pos="753" w:val="left" w:leader="none"/>
        </w:tabs>
        <w:spacing w:line="278" w:lineRule="auto" w:before="43" w:after="0"/>
        <w:ind w:left="120" w:right="1591" w:firstLine="419"/>
        <w:jc w:val="left"/>
        <w:rPr>
          <w:sz w:val="21"/>
        </w:rPr>
      </w:pPr>
      <w:r>
        <w:rPr>
          <w:spacing w:val="-6"/>
          <w:sz w:val="21"/>
        </w:rPr>
        <w:t>若被保险人在年满 </w:t>
      </w:r>
      <w:r>
        <w:rPr>
          <w:sz w:val="21"/>
        </w:rPr>
        <w:t>18</w:t>
      </w:r>
      <w:r>
        <w:rPr>
          <w:spacing w:val="-7"/>
          <w:sz w:val="21"/>
        </w:rPr>
        <w:t> 周岁的首个保险单周年日</w:t>
      </w:r>
      <w:r>
        <w:rPr>
          <w:sz w:val="21"/>
        </w:rPr>
        <w:t>（不含当日）之前因疾病导致身故，</w:t>
      </w:r>
      <w:r>
        <w:rPr>
          <w:spacing w:val="-2"/>
          <w:sz w:val="21"/>
        </w:rPr>
        <w:t>本公司按照下列两项金额的较大者给付疾病身故保险金，本合同效力终止：</w:t>
      </w:r>
    </w:p>
    <w:p>
      <w:pPr>
        <w:pStyle w:val="ListParagraph"/>
        <w:numPr>
          <w:ilvl w:val="0"/>
          <w:numId w:val="2"/>
        </w:numPr>
        <w:tabs>
          <w:tab w:pos="1070" w:val="left" w:leader="none"/>
        </w:tabs>
        <w:spacing w:line="269" w:lineRule="exact" w:before="0" w:after="0"/>
        <w:ind w:left="1069" w:right="0" w:hanging="530"/>
        <w:jc w:val="left"/>
        <w:rPr>
          <w:sz w:val="21"/>
        </w:rPr>
      </w:pPr>
      <w:r>
        <w:rPr>
          <w:spacing w:val="-3"/>
          <w:sz w:val="21"/>
        </w:rPr>
        <w:t>被保险人疾病身故之日的基本保险金额所对应的累计已交保险费；</w:t>
      </w:r>
    </w:p>
    <w:p>
      <w:pPr>
        <w:pStyle w:val="ListParagraph"/>
        <w:numPr>
          <w:ilvl w:val="0"/>
          <w:numId w:val="2"/>
        </w:numPr>
        <w:tabs>
          <w:tab w:pos="1070" w:val="left" w:leader="none"/>
        </w:tabs>
        <w:spacing w:line="240" w:lineRule="auto" w:before="43" w:after="0"/>
        <w:ind w:left="1069" w:right="0" w:hanging="530"/>
        <w:jc w:val="left"/>
        <w:rPr>
          <w:sz w:val="21"/>
        </w:rPr>
      </w:pPr>
      <w:r>
        <w:rPr>
          <w:spacing w:val="-2"/>
          <w:sz w:val="21"/>
        </w:rPr>
        <w:t>被保险人疾病身故之日本合同的</w:t>
      </w:r>
      <w:r>
        <w:rPr>
          <w:b/>
          <w:spacing w:val="-2"/>
          <w:sz w:val="21"/>
        </w:rPr>
        <w:t>现金价值</w:t>
      </w:r>
      <w:r>
        <w:rPr>
          <w:spacing w:val="-10"/>
          <w:sz w:val="21"/>
        </w:rPr>
        <w:t>。</w:t>
      </w:r>
    </w:p>
    <w:p>
      <w:pPr>
        <w:pStyle w:val="ListParagraph"/>
        <w:numPr>
          <w:ilvl w:val="0"/>
          <w:numId w:val="1"/>
        </w:numPr>
        <w:tabs>
          <w:tab w:pos="753" w:val="left" w:leader="none"/>
        </w:tabs>
        <w:spacing w:line="278" w:lineRule="auto" w:before="43" w:after="0"/>
        <w:ind w:left="120" w:right="1591" w:firstLine="419"/>
        <w:jc w:val="both"/>
        <w:rPr>
          <w:sz w:val="21"/>
        </w:rPr>
      </w:pPr>
      <w:r>
        <w:rPr>
          <w:spacing w:val="-6"/>
          <w:sz w:val="21"/>
        </w:rPr>
        <w:t>若被保险人在年满 </w:t>
      </w:r>
      <w:r>
        <w:rPr>
          <w:spacing w:val="-4"/>
          <w:sz w:val="21"/>
        </w:rPr>
        <w:t>18</w:t>
      </w:r>
      <w:r>
        <w:rPr>
          <w:spacing w:val="-13"/>
          <w:sz w:val="21"/>
        </w:rPr>
        <w:t> 周岁的首个保险单周年日</w:t>
      </w:r>
      <w:r>
        <w:rPr>
          <w:spacing w:val="-4"/>
          <w:sz w:val="21"/>
        </w:rPr>
        <w:t>（含当日</w:t>
      </w:r>
      <w:r>
        <w:rPr>
          <w:spacing w:val="-53"/>
          <w:sz w:val="21"/>
        </w:rPr>
        <w:t>）</w:t>
      </w:r>
      <w:r>
        <w:rPr>
          <w:spacing w:val="-14"/>
          <w:sz w:val="21"/>
        </w:rPr>
        <w:t>之后，且在</w:t>
      </w:r>
      <w:r>
        <w:rPr>
          <w:b/>
          <w:spacing w:val="-4"/>
          <w:sz w:val="21"/>
        </w:rPr>
        <w:t>交费期满日</w:t>
      </w:r>
      <w:r>
        <w:rPr>
          <w:spacing w:val="-4"/>
          <w:sz w:val="21"/>
        </w:rPr>
        <w:t>（不</w:t>
      </w:r>
      <w:r>
        <w:rPr>
          <w:spacing w:val="-4"/>
          <w:sz w:val="21"/>
        </w:rPr>
        <w:t>含当日）之前因疾病导致身故，本公司按照下列两项金额的较大者给付疾病身故保险金，本</w:t>
      </w:r>
      <w:r>
        <w:rPr>
          <w:spacing w:val="-2"/>
          <w:sz w:val="21"/>
        </w:rPr>
        <w:t>合同效力终止：</w:t>
      </w:r>
    </w:p>
    <w:p>
      <w:pPr>
        <w:pStyle w:val="ListParagraph"/>
        <w:numPr>
          <w:ilvl w:val="0"/>
          <w:numId w:val="3"/>
        </w:numPr>
        <w:tabs>
          <w:tab w:pos="1070" w:val="left" w:leader="none"/>
        </w:tabs>
        <w:spacing w:line="278" w:lineRule="auto" w:before="0" w:after="0"/>
        <w:ind w:left="120" w:right="1593" w:firstLine="419"/>
        <w:jc w:val="left"/>
        <w:rPr>
          <w:sz w:val="21"/>
        </w:rPr>
      </w:pPr>
      <w:r>
        <w:rPr>
          <w:spacing w:val="-2"/>
          <w:sz w:val="21"/>
        </w:rPr>
        <w:t>被保险人疾病身故之日的基本保险金额所对应的累计已交保险费乘以以下给付比</w:t>
      </w:r>
      <w:r>
        <w:rPr>
          <w:spacing w:val="-6"/>
          <w:sz w:val="21"/>
        </w:rPr>
        <w:t>例：</w:t>
      </w:r>
    </w:p>
    <w:tbl>
      <w:tblPr>
        <w:tblW w:w="0" w:type="auto"/>
        <w:jc w:val="left"/>
        <w:tblInd w:w="20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225"/>
        <w:gridCol w:w="2251"/>
      </w:tblGrid>
      <w:tr>
        <w:trPr>
          <w:trHeight w:val="333" w:hRule="atLeast"/>
        </w:trPr>
        <w:tc>
          <w:tcPr>
            <w:tcW w:w="2225" w:type="dxa"/>
          </w:tcPr>
          <w:p>
            <w:pPr>
              <w:pStyle w:val="TableParagraph"/>
              <w:spacing w:before="12"/>
              <w:rPr>
                <w:sz w:val="21"/>
              </w:rPr>
            </w:pPr>
            <w:r>
              <w:rPr>
                <w:spacing w:val="-4"/>
                <w:sz w:val="21"/>
              </w:rPr>
              <w:t>到达年龄</w:t>
            </w:r>
          </w:p>
        </w:tc>
        <w:tc>
          <w:tcPr>
            <w:tcW w:w="2251" w:type="dxa"/>
          </w:tcPr>
          <w:p>
            <w:pPr>
              <w:pStyle w:val="TableParagraph"/>
              <w:spacing w:before="12"/>
              <w:ind w:left="695" w:right="682"/>
              <w:rPr>
                <w:sz w:val="21"/>
              </w:rPr>
            </w:pPr>
            <w:r>
              <w:rPr>
                <w:spacing w:val="-4"/>
                <w:sz w:val="21"/>
              </w:rPr>
              <w:t>给付比例</w:t>
            </w:r>
          </w:p>
        </w:tc>
      </w:tr>
      <w:tr>
        <w:trPr>
          <w:trHeight w:val="326" w:hRule="atLeast"/>
        </w:trPr>
        <w:tc>
          <w:tcPr>
            <w:tcW w:w="2225" w:type="dxa"/>
          </w:tcPr>
          <w:p>
            <w:pPr>
              <w:pStyle w:val="TableParagraph"/>
              <w:spacing w:before="6"/>
              <w:rPr>
                <w:sz w:val="21"/>
              </w:rPr>
            </w:pPr>
            <w:r>
              <w:rPr>
                <w:sz w:val="21"/>
              </w:rPr>
              <w:t>18-40</w:t>
            </w:r>
            <w:r>
              <w:rPr>
                <w:spacing w:val="-22"/>
                <w:sz w:val="21"/>
              </w:rPr>
              <w:t> 周岁</w:t>
            </w:r>
          </w:p>
        </w:tc>
        <w:tc>
          <w:tcPr>
            <w:tcW w:w="2251" w:type="dxa"/>
          </w:tcPr>
          <w:p>
            <w:pPr>
              <w:pStyle w:val="TableParagraph"/>
              <w:spacing w:before="6"/>
              <w:ind w:left="693" w:right="682"/>
              <w:rPr>
                <w:sz w:val="21"/>
              </w:rPr>
            </w:pPr>
            <w:r>
              <w:rPr>
                <w:spacing w:val="-4"/>
                <w:sz w:val="21"/>
              </w:rPr>
              <w:t>160%</w:t>
            </w:r>
          </w:p>
        </w:tc>
      </w:tr>
      <w:tr>
        <w:trPr>
          <w:trHeight w:val="333" w:hRule="atLeast"/>
        </w:trPr>
        <w:tc>
          <w:tcPr>
            <w:tcW w:w="2225" w:type="dxa"/>
          </w:tcPr>
          <w:p>
            <w:pPr>
              <w:pStyle w:val="TableParagraph"/>
              <w:spacing w:before="11"/>
              <w:rPr>
                <w:sz w:val="21"/>
              </w:rPr>
            </w:pPr>
            <w:r>
              <w:rPr>
                <w:sz w:val="21"/>
              </w:rPr>
              <w:t>41-60</w:t>
            </w:r>
            <w:r>
              <w:rPr>
                <w:spacing w:val="-22"/>
                <w:sz w:val="21"/>
              </w:rPr>
              <w:t> 周岁</w:t>
            </w:r>
          </w:p>
        </w:tc>
        <w:tc>
          <w:tcPr>
            <w:tcW w:w="2251" w:type="dxa"/>
          </w:tcPr>
          <w:p>
            <w:pPr>
              <w:pStyle w:val="TableParagraph"/>
              <w:spacing w:before="11"/>
              <w:ind w:left="693" w:right="682"/>
              <w:rPr>
                <w:sz w:val="21"/>
              </w:rPr>
            </w:pPr>
            <w:r>
              <w:rPr>
                <w:spacing w:val="-4"/>
                <w:sz w:val="21"/>
              </w:rPr>
              <w:t>140%</w:t>
            </w:r>
          </w:p>
        </w:tc>
      </w:tr>
      <w:tr>
        <w:trPr>
          <w:trHeight w:val="325" w:hRule="atLeast"/>
        </w:trPr>
        <w:tc>
          <w:tcPr>
            <w:tcW w:w="2225" w:type="dxa"/>
          </w:tcPr>
          <w:p>
            <w:pPr>
              <w:pStyle w:val="TableParagraph"/>
              <w:spacing w:before="6"/>
              <w:ind w:left="449"/>
              <w:rPr>
                <w:sz w:val="21"/>
              </w:rPr>
            </w:pPr>
            <w:r>
              <w:rPr>
                <w:spacing w:val="-2"/>
                <w:sz w:val="21"/>
              </w:rPr>
              <w:t>61</w:t>
            </w:r>
            <w:r>
              <w:rPr>
                <w:spacing w:val="-12"/>
                <w:sz w:val="21"/>
              </w:rPr>
              <w:t> 周岁及以上</w:t>
            </w:r>
          </w:p>
        </w:tc>
        <w:tc>
          <w:tcPr>
            <w:tcW w:w="2251" w:type="dxa"/>
          </w:tcPr>
          <w:p>
            <w:pPr>
              <w:pStyle w:val="TableParagraph"/>
              <w:spacing w:before="6"/>
              <w:ind w:left="693" w:right="682"/>
              <w:rPr>
                <w:sz w:val="21"/>
              </w:rPr>
            </w:pPr>
            <w:r>
              <w:rPr>
                <w:spacing w:val="-4"/>
                <w:sz w:val="21"/>
              </w:rPr>
              <w:t>120%</w:t>
            </w:r>
          </w:p>
        </w:tc>
      </w:tr>
    </w:tbl>
    <w:p>
      <w:pPr>
        <w:pStyle w:val="BodyText"/>
        <w:spacing w:before="7"/>
        <w:rPr>
          <w:sz w:val="8"/>
        </w:rPr>
      </w:pPr>
      <w:r>
        <w:rPr/>
        <w:pict>
          <v:shape style="position:absolute;margin-left:111.019997pt;margin-top:6.711238pt;width:394.4pt;height:14.8pt;mso-position-horizontal-relative:page;mso-position-vertical-relative:paragraph;z-index:-15728640;mso-wrap-distance-left:0;mso-wrap-distance-right:0" type="#_x0000_t202" id="docshape2" filled="true" fillcolor="#c0c0c0" stroked="false">
            <v:textbox inset="0,0,0,0">
              <w:txbxContent>
                <w:p>
                  <w:pPr>
                    <w:pStyle w:val="BodyText"/>
                    <w:spacing w:before="22"/>
                    <w:ind w:right="-15"/>
                    <w:rPr>
                      <w:color w:val="000000"/>
                    </w:rPr>
                  </w:pPr>
                  <w:r>
                    <w:rPr>
                      <w:color w:val="000000"/>
                      <w:spacing w:val="-6"/>
                    </w:rPr>
                    <w:t>其中，到达年龄指的是被保险人原始投保年龄，加上当时保险单年度数，再减去 </w:t>
                  </w:r>
                  <w:r>
                    <w:rPr>
                      <w:color w:val="000000"/>
                      <w:spacing w:val="-4"/>
                    </w:rPr>
                    <w:t>1</w:t>
                  </w:r>
                  <w:r>
                    <w:rPr>
                      <w:color w:val="000000"/>
                      <w:spacing w:val="-23"/>
                    </w:rPr>
                    <w:t> 后所</w:t>
                  </w:r>
                </w:p>
              </w:txbxContent>
            </v:textbox>
            <v:fill type="solid"/>
            <w10:wrap type="topAndBottom"/>
          </v:shape>
        </w:pict>
      </w:r>
    </w:p>
    <w:p>
      <w:pPr>
        <w:pStyle w:val="BodyText"/>
        <w:ind w:left="120"/>
        <w:rPr>
          <w:sz w:val="20"/>
        </w:rPr>
      </w:pPr>
      <w:r>
        <w:rPr>
          <w:sz w:val="20"/>
        </w:rPr>
        <w:pict>
          <v:shape style="width:63pt;height:14.8pt;mso-position-horizontal-relative:char;mso-position-vertical-relative:line" type="#_x0000_t202" id="docshape3" filled="true" fillcolor="#c0c0c0" stroked="false">
            <w10:anchorlock/>
            <v:textbox inset="0,0,0,0">
              <w:txbxContent>
                <w:p>
                  <w:pPr>
                    <w:pStyle w:val="BodyText"/>
                    <w:spacing w:before="22"/>
                    <w:ind w:right="-15"/>
                    <w:rPr>
                      <w:color w:val="000000"/>
                    </w:rPr>
                  </w:pPr>
                  <w:r>
                    <w:rPr>
                      <w:color w:val="000000"/>
                      <w:spacing w:val="-5"/>
                    </w:rPr>
                    <w:t>得到的年龄。</w:t>
                  </w:r>
                </w:p>
              </w:txbxContent>
            </v:textbox>
            <v:fill type="solid"/>
          </v:shape>
        </w:pict>
      </w:r>
      <w:r>
        <w:rPr>
          <w:sz w:val="20"/>
        </w:rPr>
      </w:r>
    </w:p>
    <w:p>
      <w:pPr>
        <w:pStyle w:val="ListParagraph"/>
        <w:numPr>
          <w:ilvl w:val="0"/>
          <w:numId w:val="3"/>
        </w:numPr>
        <w:tabs>
          <w:tab w:pos="1070" w:val="left" w:leader="none"/>
        </w:tabs>
        <w:spacing w:line="240" w:lineRule="auto" w:before="36" w:after="0"/>
        <w:ind w:left="1069" w:right="0" w:hanging="530"/>
        <w:jc w:val="left"/>
        <w:rPr>
          <w:sz w:val="21"/>
        </w:rPr>
      </w:pPr>
      <w:r>
        <w:rPr>
          <w:spacing w:val="-3"/>
          <w:sz w:val="21"/>
        </w:rPr>
        <w:t>被保险人疾病身故之日本合同的现金价值。</w:t>
      </w:r>
    </w:p>
    <w:p>
      <w:pPr>
        <w:pStyle w:val="ListParagraph"/>
        <w:numPr>
          <w:ilvl w:val="0"/>
          <w:numId w:val="1"/>
        </w:numPr>
        <w:tabs>
          <w:tab w:pos="753" w:val="left" w:leader="none"/>
        </w:tabs>
        <w:spacing w:line="278" w:lineRule="auto" w:before="43" w:after="0"/>
        <w:ind w:left="120" w:right="1488" w:firstLine="419"/>
        <w:jc w:val="left"/>
        <w:rPr>
          <w:sz w:val="21"/>
        </w:rPr>
      </w:pPr>
      <w:r>
        <w:rPr>
          <w:spacing w:val="-2"/>
          <w:sz w:val="21"/>
        </w:rPr>
        <w:t>被保险人在年满 </w:t>
      </w:r>
      <w:r>
        <w:rPr>
          <w:sz w:val="21"/>
        </w:rPr>
        <w:t>18</w:t>
      </w:r>
      <w:r>
        <w:rPr>
          <w:spacing w:val="-4"/>
          <w:sz w:val="21"/>
        </w:rPr>
        <w:t> 周岁的首个保险单周年日</w:t>
      </w:r>
      <w:r>
        <w:rPr>
          <w:sz w:val="21"/>
        </w:rPr>
        <w:t>（含当日）之后，且在本合同交费期满</w:t>
      </w:r>
      <w:r>
        <w:rPr>
          <w:spacing w:val="-68"/>
          <w:sz w:val="21"/>
        </w:rPr>
        <w:t>日</w:t>
      </w:r>
      <w:r>
        <w:rPr>
          <w:spacing w:val="-2"/>
          <w:sz w:val="21"/>
        </w:rPr>
        <w:t>（含当日</w:t>
      </w:r>
      <w:r>
        <w:rPr>
          <w:spacing w:val="-70"/>
          <w:sz w:val="21"/>
        </w:rPr>
        <w:t>）</w:t>
      </w:r>
      <w:r>
        <w:rPr>
          <w:spacing w:val="-9"/>
          <w:sz w:val="21"/>
        </w:rPr>
        <w:t>之后因疾病导致身故，本公司按照下列三项金额的较大者给付疾病身故保险金，</w:t>
      </w:r>
      <w:r>
        <w:rPr>
          <w:spacing w:val="-2"/>
          <w:sz w:val="21"/>
        </w:rPr>
        <w:t>本合同效力终止：</w:t>
      </w:r>
    </w:p>
    <w:p>
      <w:pPr>
        <w:pStyle w:val="ListParagraph"/>
        <w:numPr>
          <w:ilvl w:val="0"/>
          <w:numId w:val="4"/>
        </w:numPr>
        <w:tabs>
          <w:tab w:pos="1070" w:val="left" w:leader="none"/>
        </w:tabs>
        <w:spacing w:line="278" w:lineRule="auto" w:before="0" w:after="0"/>
        <w:ind w:left="120" w:right="1593" w:firstLine="419"/>
        <w:jc w:val="left"/>
        <w:rPr>
          <w:sz w:val="21"/>
        </w:rPr>
      </w:pPr>
      <w:r>
        <w:rPr>
          <w:spacing w:val="-2"/>
          <w:sz w:val="21"/>
        </w:rPr>
        <w:t>被保险人疾病身故之日的基本保险金额所对应的累计已交保险费乘以以下给付比</w:t>
      </w:r>
      <w:r>
        <w:rPr>
          <w:spacing w:val="-6"/>
          <w:sz w:val="21"/>
        </w:rPr>
        <w:t>例：</w:t>
      </w:r>
    </w:p>
    <w:tbl>
      <w:tblPr>
        <w:tblW w:w="0" w:type="auto"/>
        <w:jc w:val="left"/>
        <w:tblInd w:w="20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225"/>
        <w:gridCol w:w="2251"/>
      </w:tblGrid>
      <w:tr>
        <w:trPr>
          <w:trHeight w:val="333" w:hRule="atLeast"/>
        </w:trPr>
        <w:tc>
          <w:tcPr>
            <w:tcW w:w="2225" w:type="dxa"/>
          </w:tcPr>
          <w:p>
            <w:pPr>
              <w:pStyle w:val="TableParagraph"/>
              <w:spacing w:before="12"/>
              <w:rPr>
                <w:sz w:val="21"/>
              </w:rPr>
            </w:pPr>
            <w:r>
              <w:rPr>
                <w:spacing w:val="-4"/>
                <w:sz w:val="21"/>
              </w:rPr>
              <w:t>到达年龄</w:t>
            </w:r>
          </w:p>
        </w:tc>
        <w:tc>
          <w:tcPr>
            <w:tcW w:w="2251" w:type="dxa"/>
          </w:tcPr>
          <w:p>
            <w:pPr>
              <w:pStyle w:val="TableParagraph"/>
              <w:spacing w:before="12"/>
              <w:ind w:left="695" w:right="682"/>
              <w:rPr>
                <w:sz w:val="21"/>
              </w:rPr>
            </w:pPr>
            <w:r>
              <w:rPr>
                <w:spacing w:val="-4"/>
                <w:sz w:val="21"/>
              </w:rPr>
              <w:t>给付比例</w:t>
            </w:r>
          </w:p>
        </w:tc>
      </w:tr>
      <w:tr>
        <w:trPr>
          <w:trHeight w:val="325" w:hRule="atLeast"/>
        </w:trPr>
        <w:tc>
          <w:tcPr>
            <w:tcW w:w="2225" w:type="dxa"/>
          </w:tcPr>
          <w:p>
            <w:pPr>
              <w:pStyle w:val="TableParagraph"/>
              <w:spacing w:before="7"/>
              <w:rPr>
                <w:sz w:val="21"/>
              </w:rPr>
            </w:pPr>
            <w:r>
              <w:rPr>
                <w:sz w:val="21"/>
              </w:rPr>
              <w:t>18-40</w:t>
            </w:r>
            <w:r>
              <w:rPr>
                <w:spacing w:val="-22"/>
                <w:sz w:val="21"/>
              </w:rPr>
              <w:t> 周岁</w:t>
            </w:r>
          </w:p>
        </w:tc>
        <w:tc>
          <w:tcPr>
            <w:tcW w:w="2251" w:type="dxa"/>
          </w:tcPr>
          <w:p>
            <w:pPr>
              <w:pStyle w:val="TableParagraph"/>
              <w:spacing w:before="7"/>
              <w:ind w:left="693" w:right="682"/>
              <w:rPr>
                <w:sz w:val="21"/>
              </w:rPr>
            </w:pPr>
            <w:r>
              <w:rPr>
                <w:spacing w:val="-4"/>
                <w:sz w:val="21"/>
              </w:rPr>
              <w:t>160%</w:t>
            </w:r>
          </w:p>
        </w:tc>
      </w:tr>
      <w:tr>
        <w:trPr>
          <w:trHeight w:val="333" w:hRule="atLeast"/>
        </w:trPr>
        <w:tc>
          <w:tcPr>
            <w:tcW w:w="2225" w:type="dxa"/>
          </w:tcPr>
          <w:p>
            <w:pPr>
              <w:pStyle w:val="TableParagraph"/>
              <w:spacing w:before="12"/>
              <w:rPr>
                <w:sz w:val="21"/>
              </w:rPr>
            </w:pPr>
            <w:r>
              <w:rPr>
                <w:sz w:val="21"/>
              </w:rPr>
              <w:t>41-60</w:t>
            </w:r>
            <w:r>
              <w:rPr>
                <w:spacing w:val="-22"/>
                <w:sz w:val="21"/>
              </w:rPr>
              <w:t> 周岁</w:t>
            </w:r>
          </w:p>
        </w:tc>
        <w:tc>
          <w:tcPr>
            <w:tcW w:w="2251" w:type="dxa"/>
          </w:tcPr>
          <w:p>
            <w:pPr>
              <w:pStyle w:val="TableParagraph"/>
              <w:spacing w:before="12"/>
              <w:ind w:left="693" w:right="682"/>
              <w:rPr>
                <w:sz w:val="21"/>
              </w:rPr>
            </w:pPr>
            <w:r>
              <w:rPr>
                <w:spacing w:val="-4"/>
                <w:sz w:val="21"/>
              </w:rPr>
              <w:t>140%</w:t>
            </w:r>
          </w:p>
        </w:tc>
      </w:tr>
      <w:tr>
        <w:trPr>
          <w:trHeight w:val="325" w:hRule="atLeast"/>
        </w:trPr>
        <w:tc>
          <w:tcPr>
            <w:tcW w:w="2225" w:type="dxa"/>
          </w:tcPr>
          <w:p>
            <w:pPr>
              <w:pStyle w:val="TableParagraph"/>
              <w:spacing w:before="7"/>
              <w:ind w:left="449"/>
              <w:rPr>
                <w:sz w:val="21"/>
              </w:rPr>
            </w:pPr>
            <w:r>
              <w:rPr>
                <w:spacing w:val="-2"/>
                <w:sz w:val="21"/>
              </w:rPr>
              <w:t>61</w:t>
            </w:r>
            <w:r>
              <w:rPr>
                <w:spacing w:val="-12"/>
                <w:sz w:val="21"/>
              </w:rPr>
              <w:t> 周岁及以上</w:t>
            </w:r>
          </w:p>
        </w:tc>
        <w:tc>
          <w:tcPr>
            <w:tcW w:w="2251" w:type="dxa"/>
          </w:tcPr>
          <w:p>
            <w:pPr>
              <w:pStyle w:val="TableParagraph"/>
              <w:spacing w:before="7"/>
              <w:ind w:left="693" w:right="682"/>
              <w:rPr>
                <w:sz w:val="21"/>
              </w:rPr>
            </w:pPr>
            <w:r>
              <w:rPr>
                <w:spacing w:val="-4"/>
                <w:sz w:val="21"/>
              </w:rPr>
              <w:t>120%</w:t>
            </w:r>
          </w:p>
        </w:tc>
      </w:tr>
    </w:tbl>
    <w:p>
      <w:pPr>
        <w:pStyle w:val="BodyText"/>
        <w:spacing w:before="9"/>
        <w:rPr>
          <w:sz w:val="8"/>
        </w:rPr>
      </w:pPr>
      <w:r>
        <w:rPr/>
        <w:pict>
          <v:shape style="position:absolute;margin-left:111.019997pt;margin-top:6.77875pt;width:394.4pt;height:14.8pt;mso-position-horizontal-relative:page;mso-position-vertical-relative:paragraph;z-index:-15727616;mso-wrap-distance-left:0;mso-wrap-distance-right:0" type="#_x0000_t202" id="docshape4" filled="true" fillcolor="#c0c0c0" stroked="false">
            <v:textbox inset="0,0,0,0">
              <w:txbxContent>
                <w:p>
                  <w:pPr>
                    <w:pStyle w:val="BodyText"/>
                    <w:spacing w:before="23"/>
                    <w:ind w:right="-15"/>
                    <w:rPr>
                      <w:color w:val="000000"/>
                    </w:rPr>
                  </w:pPr>
                  <w:r>
                    <w:rPr>
                      <w:color w:val="000000"/>
                      <w:spacing w:val="-6"/>
                    </w:rPr>
                    <w:t>其中，到达年龄指的是被保险人原始投保年龄，加上当时保险单年度数，再减去 </w:t>
                  </w:r>
                  <w:r>
                    <w:rPr>
                      <w:color w:val="000000"/>
                      <w:spacing w:val="-4"/>
                    </w:rPr>
                    <w:t>1</w:t>
                  </w:r>
                  <w:r>
                    <w:rPr>
                      <w:color w:val="000000"/>
                      <w:spacing w:val="-23"/>
                    </w:rPr>
                    <w:t> 后所</w:t>
                  </w:r>
                </w:p>
              </w:txbxContent>
            </v:textbox>
            <v:fill type="solid"/>
            <w10:wrap type="topAndBottom"/>
          </v:shape>
        </w:pict>
      </w:r>
    </w:p>
    <w:p>
      <w:pPr>
        <w:pStyle w:val="BodyText"/>
        <w:ind w:left="120"/>
        <w:rPr>
          <w:sz w:val="20"/>
        </w:rPr>
      </w:pPr>
      <w:r>
        <w:rPr>
          <w:sz w:val="20"/>
        </w:rPr>
        <w:pict>
          <v:shape style="width:63pt;height:14.8pt;mso-position-horizontal-relative:char;mso-position-vertical-relative:line" type="#_x0000_t202" id="docshape5" filled="true" fillcolor="#c0c0c0" stroked="false">
            <w10:anchorlock/>
            <v:textbox inset="0,0,0,0">
              <w:txbxContent>
                <w:p>
                  <w:pPr>
                    <w:pStyle w:val="BodyText"/>
                    <w:spacing w:before="23"/>
                    <w:ind w:right="-15"/>
                    <w:rPr>
                      <w:color w:val="000000"/>
                    </w:rPr>
                  </w:pPr>
                  <w:r>
                    <w:rPr>
                      <w:color w:val="000000"/>
                      <w:spacing w:val="-5"/>
                    </w:rPr>
                    <w:t>得到的年龄。</w:t>
                  </w:r>
                </w:p>
              </w:txbxContent>
            </v:textbox>
            <v:fill type="solid"/>
          </v:shape>
        </w:pict>
      </w:r>
      <w:r>
        <w:rPr>
          <w:sz w:val="20"/>
        </w:rPr>
      </w:r>
    </w:p>
    <w:p>
      <w:pPr>
        <w:pStyle w:val="ListParagraph"/>
        <w:numPr>
          <w:ilvl w:val="0"/>
          <w:numId w:val="4"/>
        </w:numPr>
        <w:tabs>
          <w:tab w:pos="1070" w:val="left" w:leader="none"/>
        </w:tabs>
        <w:spacing w:line="240" w:lineRule="auto" w:before="36" w:after="0"/>
        <w:ind w:left="1069" w:right="0" w:hanging="530"/>
        <w:jc w:val="left"/>
        <w:rPr>
          <w:sz w:val="21"/>
        </w:rPr>
      </w:pPr>
      <w:r>
        <w:rPr>
          <w:spacing w:val="-3"/>
          <w:sz w:val="21"/>
        </w:rPr>
        <w:t>被保险人疾病身故之日本合同的现金价值；</w:t>
      </w:r>
    </w:p>
    <w:p>
      <w:pPr>
        <w:pStyle w:val="ListParagraph"/>
        <w:numPr>
          <w:ilvl w:val="0"/>
          <w:numId w:val="4"/>
        </w:numPr>
        <w:tabs>
          <w:tab w:pos="1070" w:val="left" w:leader="none"/>
        </w:tabs>
        <w:spacing w:line="240" w:lineRule="auto" w:before="43" w:after="0"/>
        <w:ind w:left="1069" w:right="0" w:hanging="530"/>
        <w:jc w:val="left"/>
        <w:rPr>
          <w:sz w:val="21"/>
        </w:rPr>
      </w:pPr>
      <w:r>
        <w:rPr>
          <w:spacing w:val="-3"/>
          <w:sz w:val="21"/>
        </w:rPr>
        <w:t>被保险人疾病身故之日的当年度有效保险金额。</w:t>
      </w:r>
    </w:p>
    <w:p>
      <w:pPr>
        <w:pStyle w:val="BodyText"/>
        <w:spacing w:before="43"/>
        <w:ind w:left="540"/>
      </w:pPr>
      <w:r>
        <w:rPr>
          <w:spacing w:val="-2"/>
        </w:rPr>
        <w:t>（二）</w:t>
      </w:r>
      <w:r>
        <w:rPr>
          <w:spacing w:val="-4"/>
        </w:rPr>
        <w:t>长期护理保险金</w:t>
      </w:r>
    </w:p>
    <w:p>
      <w:pPr>
        <w:pStyle w:val="ListParagraph"/>
        <w:numPr>
          <w:ilvl w:val="0"/>
          <w:numId w:val="5"/>
        </w:numPr>
        <w:tabs>
          <w:tab w:pos="753" w:val="left" w:leader="none"/>
        </w:tabs>
        <w:spacing w:line="278" w:lineRule="auto" w:before="43" w:after="0"/>
        <w:ind w:left="120" w:right="1591" w:firstLine="419"/>
        <w:jc w:val="both"/>
        <w:rPr>
          <w:sz w:val="21"/>
        </w:rPr>
      </w:pPr>
      <w:r>
        <w:rPr>
          <w:spacing w:val="-5"/>
          <w:sz w:val="21"/>
        </w:rPr>
        <w:t>若被保险人在年满 </w:t>
      </w:r>
      <w:r>
        <w:rPr>
          <w:spacing w:val="-2"/>
          <w:sz w:val="21"/>
        </w:rPr>
        <w:t>18</w:t>
      </w:r>
      <w:r>
        <w:rPr>
          <w:spacing w:val="-7"/>
          <w:sz w:val="21"/>
        </w:rPr>
        <w:t> 周岁的首个保险单周年日</w:t>
      </w:r>
      <w:r>
        <w:rPr>
          <w:spacing w:val="-2"/>
          <w:sz w:val="21"/>
        </w:rPr>
        <w:t>（不含当日）之前</w:t>
      </w:r>
      <w:r>
        <w:rPr>
          <w:b/>
          <w:spacing w:val="-2"/>
          <w:sz w:val="21"/>
        </w:rPr>
        <w:t>丧失日常生活能力</w:t>
      </w:r>
      <w:r>
        <w:rPr>
          <w:sz w:val="21"/>
        </w:rPr>
        <w:t>且持续至</w:t>
      </w:r>
      <w:r>
        <w:rPr>
          <w:b/>
          <w:sz w:val="21"/>
        </w:rPr>
        <w:t>观察期</w:t>
      </w:r>
      <w:r>
        <w:rPr>
          <w:sz w:val="21"/>
        </w:rPr>
        <w:t>结束</w:t>
      </w:r>
      <w:r>
        <w:rPr>
          <w:color w:val="000000"/>
          <w:sz w:val="21"/>
          <w:shd w:fill="C0C0C0" w:color="auto" w:val="clear"/>
        </w:rPr>
        <w:t>（</w:t>
      </w:r>
      <w:r>
        <w:rPr>
          <w:color w:val="000000"/>
          <w:spacing w:val="-1"/>
          <w:sz w:val="21"/>
          <w:shd w:fill="C0C0C0" w:color="auto" w:val="clear"/>
        </w:rPr>
        <w:t>观察期结束时被保险人未满 </w:t>
      </w:r>
      <w:r>
        <w:rPr>
          <w:color w:val="000000"/>
          <w:sz w:val="21"/>
          <w:shd w:fill="C0C0C0" w:color="auto" w:val="clear"/>
        </w:rPr>
        <w:t>6</w:t>
      </w:r>
      <w:r>
        <w:rPr>
          <w:color w:val="000000"/>
          <w:spacing w:val="-3"/>
          <w:sz w:val="21"/>
          <w:shd w:fill="C0C0C0" w:color="auto" w:val="clear"/>
        </w:rPr>
        <w:t> 周岁的，则应持续至被保险人年满 </w:t>
      </w:r>
      <w:r>
        <w:rPr>
          <w:color w:val="000000"/>
          <w:sz w:val="21"/>
          <w:shd w:fill="C0C0C0" w:color="auto" w:val="clear"/>
        </w:rPr>
        <w:t>6</w:t>
      </w:r>
      <w:r>
        <w:rPr>
          <w:color w:val="000000"/>
          <w:spacing w:val="16065"/>
          <w:sz w:val="21"/>
          <w:shd w:fill="C0C0C0" w:color="auto" w:val="clear"/>
        </w:rPr>
        <w:t> </w:t>
      </w:r>
      <w:r>
        <w:rPr>
          <w:color w:val="000000"/>
          <w:spacing w:val="-2"/>
          <w:sz w:val="21"/>
          <w:shd w:fill="C0C0C0" w:color="auto" w:val="clear"/>
        </w:rPr>
        <w:t>周岁之日</w:t>
      </w:r>
      <w:r>
        <w:rPr>
          <w:color w:val="000000"/>
          <w:spacing w:val="-109"/>
          <w:sz w:val="21"/>
          <w:shd w:fill="C0C0C0" w:color="auto" w:val="clear"/>
        </w:rPr>
        <w:t>）</w:t>
      </w:r>
      <w:r>
        <w:rPr>
          <w:color w:val="000000"/>
          <w:spacing w:val="-2"/>
          <w:sz w:val="21"/>
        </w:rPr>
        <w:t>，本公司按照下列两项金额的较大者给付长期护理保险金，本合同效力终止：</w:t>
      </w:r>
    </w:p>
    <w:p>
      <w:pPr>
        <w:pStyle w:val="ListParagraph"/>
        <w:numPr>
          <w:ilvl w:val="0"/>
          <w:numId w:val="6"/>
        </w:numPr>
        <w:tabs>
          <w:tab w:pos="1070" w:val="left" w:leader="none"/>
        </w:tabs>
        <w:spacing w:line="240" w:lineRule="auto" w:before="0" w:after="0"/>
        <w:ind w:left="1069" w:right="0" w:hanging="530"/>
        <w:jc w:val="left"/>
        <w:rPr>
          <w:sz w:val="21"/>
        </w:rPr>
      </w:pPr>
      <w:r>
        <w:rPr>
          <w:spacing w:val="-3"/>
          <w:sz w:val="21"/>
        </w:rPr>
        <w:t>观察期结束之日的基本保险金额所对应的累计已交保险费；</w:t>
      </w:r>
    </w:p>
    <w:p>
      <w:pPr>
        <w:pStyle w:val="ListParagraph"/>
        <w:numPr>
          <w:ilvl w:val="0"/>
          <w:numId w:val="6"/>
        </w:numPr>
        <w:tabs>
          <w:tab w:pos="1070" w:val="left" w:leader="none"/>
        </w:tabs>
        <w:spacing w:line="240" w:lineRule="auto" w:before="43" w:after="0"/>
        <w:ind w:left="1069" w:right="0" w:hanging="530"/>
        <w:jc w:val="left"/>
        <w:rPr>
          <w:sz w:val="21"/>
        </w:rPr>
      </w:pPr>
      <w:r>
        <w:rPr>
          <w:spacing w:val="-3"/>
          <w:sz w:val="21"/>
        </w:rPr>
        <w:t>观察期结束之日本合同的现金价值。</w:t>
      </w:r>
    </w:p>
    <w:p>
      <w:pPr>
        <w:pStyle w:val="ListParagraph"/>
        <w:numPr>
          <w:ilvl w:val="0"/>
          <w:numId w:val="5"/>
        </w:numPr>
        <w:tabs>
          <w:tab w:pos="753" w:val="left" w:leader="none"/>
        </w:tabs>
        <w:spacing w:line="278" w:lineRule="auto" w:before="43" w:after="0"/>
        <w:ind w:left="120" w:right="1591" w:firstLine="419"/>
        <w:jc w:val="both"/>
        <w:rPr>
          <w:sz w:val="21"/>
        </w:rPr>
      </w:pPr>
      <w:r>
        <w:rPr>
          <w:spacing w:val="-5"/>
          <w:sz w:val="21"/>
        </w:rPr>
        <w:t>被保险人在年满 </w:t>
      </w:r>
      <w:r>
        <w:rPr>
          <w:spacing w:val="-2"/>
          <w:sz w:val="21"/>
        </w:rPr>
        <w:t>18</w:t>
      </w:r>
      <w:r>
        <w:rPr>
          <w:spacing w:val="-7"/>
          <w:sz w:val="21"/>
        </w:rPr>
        <w:t> 周岁的首个保险单周年日</w:t>
      </w:r>
      <w:r>
        <w:rPr>
          <w:spacing w:val="-2"/>
          <w:sz w:val="21"/>
        </w:rPr>
        <w:t>（含当日）之后，且在本合同交费期满</w:t>
      </w:r>
      <w:r>
        <w:rPr>
          <w:spacing w:val="-4"/>
          <w:sz w:val="21"/>
        </w:rPr>
        <w:t>日（不含当日）之前丧失日常生活能力且持续至观察期结束，本公司按照下列两项金额的较</w:t>
      </w:r>
      <w:r>
        <w:rPr>
          <w:spacing w:val="-2"/>
          <w:sz w:val="21"/>
        </w:rPr>
        <w:t>大者给付长期护理保险金，本合同效力终止：</w:t>
      </w:r>
    </w:p>
    <w:p>
      <w:pPr>
        <w:pStyle w:val="ListParagraph"/>
        <w:numPr>
          <w:ilvl w:val="0"/>
          <w:numId w:val="7"/>
        </w:numPr>
        <w:tabs>
          <w:tab w:pos="1070" w:val="left" w:leader="none"/>
        </w:tabs>
        <w:spacing w:line="269" w:lineRule="exact" w:before="0" w:after="0"/>
        <w:ind w:left="1069" w:right="0" w:hanging="530"/>
        <w:jc w:val="left"/>
        <w:rPr>
          <w:sz w:val="21"/>
        </w:rPr>
      </w:pPr>
      <w:r>
        <w:rPr>
          <w:spacing w:val="-3"/>
          <w:sz w:val="21"/>
        </w:rPr>
        <w:t>观察期结束之日的基本保险金额所对应的累计已交保险费乘以以下给付比例：</w:t>
      </w:r>
    </w:p>
    <w:p>
      <w:pPr>
        <w:spacing w:after="0" w:line="269" w:lineRule="exact"/>
        <w:jc w:val="left"/>
        <w:rPr>
          <w:sz w:val="21"/>
        </w:rPr>
        <w:sectPr>
          <w:pgSz w:w="11910" w:h="16840"/>
          <w:pgMar w:header="0" w:footer="985" w:top="1580" w:bottom="1180" w:left="1680" w:right="200"/>
        </w:sectPr>
      </w:pPr>
    </w:p>
    <w:tbl>
      <w:tblPr>
        <w:tblW w:w="0" w:type="auto"/>
        <w:jc w:val="left"/>
        <w:tblInd w:w="20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225"/>
        <w:gridCol w:w="2251"/>
      </w:tblGrid>
      <w:tr>
        <w:trPr>
          <w:trHeight w:val="333" w:hRule="atLeast"/>
        </w:trPr>
        <w:tc>
          <w:tcPr>
            <w:tcW w:w="2225" w:type="dxa"/>
          </w:tcPr>
          <w:p>
            <w:pPr>
              <w:pStyle w:val="TableParagraph"/>
              <w:spacing w:before="34"/>
              <w:rPr>
                <w:sz w:val="21"/>
              </w:rPr>
            </w:pPr>
            <w:r>
              <w:rPr>
                <w:spacing w:val="-4"/>
                <w:sz w:val="21"/>
              </w:rPr>
              <w:t>到达年龄</w:t>
            </w:r>
          </w:p>
        </w:tc>
        <w:tc>
          <w:tcPr>
            <w:tcW w:w="2251" w:type="dxa"/>
          </w:tcPr>
          <w:p>
            <w:pPr>
              <w:pStyle w:val="TableParagraph"/>
              <w:spacing w:before="34"/>
              <w:ind w:left="695" w:right="682"/>
              <w:rPr>
                <w:sz w:val="21"/>
              </w:rPr>
            </w:pPr>
            <w:r>
              <w:rPr>
                <w:spacing w:val="-4"/>
                <w:sz w:val="21"/>
              </w:rPr>
              <w:t>给付比例</w:t>
            </w:r>
          </w:p>
        </w:tc>
      </w:tr>
      <w:tr>
        <w:trPr>
          <w:trHeight w:val="326" w:hRule="atLeast"/>
        </w:trPr>
        <w:tc>
          <w:tcPr>
            <w:tcW w:w="2225" w:type="dxa"/>
          </w:tcPr>
          <w:p>
            <w:pPr>
              <w:pStyle w:val="TableParagraph"/>
              <w:rPr>
                <w:sz w:val="21"/>
              </w:rPr>
            </w:pPr>
            <w:r>
              <w:rPr>
                <w:sz w:val="21"/>
              </w:rPr>
              <w:t>18-40</w:t>
            </w:r>
            <w:r>
              <w:rPr>
                <w:spacing w:val="-22"/>
                <w:sz w:val="21"/>
              </w:rPr>
              <w:t> 周岁</w:t>
            </w:r>
          </w:p>
        </w:tc>
        <w:tc>
          <w:tcPr>
            <w:tcW w:w="2251" w:type="dxa"/>
          </w:tcPr>
          <w:p>
            <w:pPr>
              <w:pStyle w:val="TableParagraph"/>
              <w:ind w:left="693" w:right="682"/>
              <w:rPr>
                <w:sz w:val="21"/>
              </w:rPr>
            </w:pPr>
            <w:r>
              <w:rPr>
                <w:spacing w:val="-4"/>
                <w:sz w:val="21"/>
              </w:rPr>
              <w:t>160%</w:t>
            </w:r>
          </w:p>
        </w:tc>
      </w:tr>
      <w:tr>
        <w:trPr>
          <w:trHeight w:val="333" w:hRule="atLeast"/>
        </w:trPr>
        <w:tc>
          <w:tcPr>
            <w:tcW w:w="2225" w:type="dxa"/>
          </w:tcPr>
          <w:p>
            <w:pPr>
              <w:pStyle w:val="TableParagraph"/>
              <w:spacing w:before="34"/>
              <w:rPr>
                <w:sz w:val="21"/>
              </w:rPr>
            </w:pPr>
            <w:r>
              <w:rPr>
                <w:sz w:val="21"/>
              </w:rPr>
              <w:t>41-60</w:t>
            </w:r>
            <w:r>
              <w:rPr>
                <w:spacing w:val="-22"/>
                <w:sz w:val="21"/>
              </w:rPr>
              <w:t> 周岁</w:t>
            </w:r>
          </w:p>
        </w:tc>
        <w:tc>
          <w:tcPr>
            <w:tcW w:w="2251" w:type="dxa"/>
          </w:tcPr>
          <w:p>
            <w:pPr>
              <w:pStyle w:val="TableParagraph"/>
              <w:spacing w:before="34"/>
              <w:ind w:left="693" w:right="682"/>
              <w:rPr>
                <w:sz w:val="21"/>
              </w:rPr>
            </w:pPr>
            <w:r>
              <w:rPr>
                <w:spacing w:val="-4"/>
                <w:sz w:val="21"/>
              </w:rPr>
              <w:t>140%</w:t>
            </w:r>
          </w:p>
        </w:tc>
      </w:tr>
      <w:tr>
        <w:trPr>
          <w:trHeight w:val="325" w:hRule="atLeast"/>
        </w:trPr>
        <w:tc>
          <w:tcPr>
            <w:tcW w:w="2225" w:type="dxa"/>
          </w:tcPr>
          <w:p>
            <w:pPr>
              <w:pStyle w:val="TableParagraph"/>
              <w:ind w:left="449"/>
              <w:rPr>
                <w:sz w:val="21"/>
              </w:rPr>
            </w:pPr>
            <w:r>
              <w:rPr>
                <w:spacing w:val="-2"/>
                <w:sz w:val="21"/>
              </w:rPr>
              <w:t>61</w:t>
            </w:r>
            <w:r>
              <w:rPr>
                <w:spacing w:val="-12"/>
                <w:sz w:val="21"/>
              </w:rPr>
              <w:t> 周岁及以上</w:t>
            </w:r>
          </w:p>
        </w:tc>
        <w:tc>
          <w:tcPr>
            <w:tcW w:w="2251" w:type="dxa"/>
          </w:tcPr>
          <w:p>
            <w:pPr>
              <w:pStyle w:val="TableParagraph"/>
              <w:ind w:left="693" w:right="682"/>
              <w:rPr>
                <w:sz w:val="21"/>
              </w:rPr>
            </w:pPr>
            <w:r>
              <w:rPr>
                <w:spacing w:val="-4"/>
                <w:sz w:val="21"/>
              </w:rPr>
              <w:t>120%</w:t>
            </w:r>
          </w:p>
        </w:tc>
      </w:tr>
    </w:tbl>
    <w:p>
      <w:pPr>
        <w:pStyle w:val="BodyText"/>
        <w:spacing w:before="5"/>
        <w:rPr>
          <w:sz w:val="10"/>
        </w:rPr>
      </w:pPr>
      <w:r>
        <w:rPr/>
        <w:drawing>
          <wp:anchor distT="0" distB="0" distL="0" distR="0" allowOverlap="1" layoutInCell="1" locked="0" behindDoc="1" simplePos="0" relativeHeight="487180800">
            <wp:simplePos x="0" y="0"/>
            <wp:positionH relativeFrom="page">
              <wp:posOffset>1143304</wp:posOffset>
            </wp:positionH>
            <wp:positionV relativeFrom="paragraph">
              <wp:posOffset>99948</wp:posOffset>
            </wp:positionV>
            <wp:extent cx="5275402" cy="385572"/>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7" cstate="print"/>
                    <a:stretch>
                      <a:fillRect/>
                    </a:stretch>
                  </pic:blipFill>
                  <pic:spPr>
                    <a:xfrm>
                      <a:off x="0" y="0"/>
                      <a:ext cx="5275402" cy="385572"/>
                    </a:xfrm>
                    <a:prstGeom prst="rect">
                      <a:avLst/>
                    </a:prstGeom>
                  </pic:spPr>
                </pic:pic>
              </a:graphicData>
            </a:graphic>
          </wp:anchor>
        </w:drawing>
      </w:r>
      <w:r>
        <w:rPr/>
        <w:pict>
          <v:shape style="position:absolute;margin-left:90.024002pt;margin-top:7.87pt;width:415.4pt;height:30.4pt;mso-position-horizontal-relative:page;mso-position-vertical-relative:paragraph;z-index:-15726080;mso-wrap-distance-left:0;mso-wrap-distance-right:0" type="#_x0000_t202" id="docshape6" filled="false" stroked="false">
            <v:textbox inset="0,0,0,0">
              <w:txbxContent>
                <w:p>
                  <w:pPr>
                    <w:pStyle w:val="BodyText"/>
                    <w:spacing w:before="23"/>
                    <w:ind w:left="419" w:right="-15"/>
                  </w:pPr>
                  <w:r>
                    <w:rPr>
                      <w:spacing w:val="-6"/>
                    </w:rPr>
                    <w:t>其中，到达年龄指的是被保险人原始投保年龄，加上当时保险单年度数，再减去 </w:t>
                  </w:r>
                  <w:r>
                    <w:rPr>
                      <w:spacing w:val="-4"/>
                    </w:rPr>
                    <w:t>1</w:t>
                  </w:r>
                  <w:r>
                    <w:rPr>
                      <w:spacing w:val="-23"/>
                    </w:rPr>
                    <w:t> 后所</w:t>
                  </w:r>
                </w:p>
                <w:p>
                  <w:pPr>
                    <w:pStyle w:val="BodyText"/>
                    <w:spacing w:before="42"/>
                  </w:pPr>
                  <w:r>
                    <w:rPr>
                      <w:spacing w:val="-4"/>
                    </w:rPr>
                    <w:t>得到的年龄。</w:t>
                  </w:r>
                </w:p>
              </w:txbxContent>
            </v:textbox>
            <w10:wrap type="topAndBottom"/>
          </v:shape>
        </w:pict>
      </w:r>
      <w:r>
        <w:rPr/>
        <w:drawing>
          <wp:anchor distT="0" distB="0" distL="0" distR="0" allowOverlap="1" layoutInCell="1" locked="0" behindDoc="1" simplePos="0" relativeHeight="487188992">
            <wp:simplePos x="0" y="0"/>
            <wp:positionH relativeFrom="page">
              <wp:posOffset>1409953</wp:posOffset>
            </wp:positionH>
            <wp:positionV relativeFrom="page">
              <wp:posOffset>7407528</wp:posOffset>
            </wp:positionV>
            <wp:extent cx="5037709" cy="385571"/>
            <wp:effectExtent l="0" t="0" r="0" b="0"/>
            <wp:wrapNone/>
            <wp:docPr id="5" name="image3.png"/>
            <wp:cNvGraphicFramePr>
              <a:graphicFrameLocks noChangeAspect="1"/>
            </wp:cNvGraphicFramePr>
            <a:graphic>
              <a:graphicData uri="http://schemas.openxmlformats.org/drawingml/2006/picture">
                <pic:pic>
                  <pic:nvPicPr>
                    <pic:cNvPr id="6" name="image3.png"/>
                    <pic:cNvPicPr/>
                  </pic:nvPicPr>
                  <pic:blipFill>
                    <a:blip r:embed="rId8" cstate="print"/>
                    <a:stretch>
                      <a:fillRect/>
                    </a:stretch>
                  </pic:blipFill>
                  <pic:spPr>
                    <a:xfrm>
                      <a:off x="0" y="0"/>
                      <a:ext cx="5037709" cy="385571"/>
                    </a:xfrm>
                    <a:prstGeom prst="rect">
                      <a:avLst/>
                    </a:prstGeom>
                  </pic:spPr>
                </pic:pic>
              </a:graphicData>
            </a:graphic>
          </wp:anchor>
        </w:drawing>
      </w:r>
      <w:r>
        <w:rPr/>
        <w:pict>
          <v:shape style="position:absolute;margin-left:111.019997pt;margin-top:583.269958pt;width:401.95pt;height:30.4pt;mso-position-horizontal-relative:page;mso-position-vertical-relative:page;z-index:-16126976" type="#_x0000_t202" id="docshape7" filled="false" stroked="false">
            <v:textbox inset="0,0,0,0">
              <w:txbxContent>
                <w:p>
                  <w:pPr>
                    <w:pStyle w:val="BodyText"/>
                    <w:spacing w:before="23"/>
                    <w:rPr>
                      <w:rFonts w:ascii="黑体" w:eastAsia="黑体"/>
                    </w:rPr>
                  </w:pPr>
                  <w:r>
                    <w:rPr>
                      <w:rFonts w:ascii="黑体" w:eastAsia="黑体"/>
                      <w:spacing w:val="-6"/>
                    </w:rPr>
                    <w:t>（八）不孕不育治疗、人工受精、怀孕、分娩（含难产</w:t>
                  </w:r>
                  <w:r>
                    <w:rPr>
                      <w:rFonts w:ascii="黑体" w:eastAsia="黑体"/>
                      <w:spacing w:val="-108"/>
                    </w:rPr>
                    <w:t>）</w:t>
                  </w:r>
                  <w:r>
                    <w:rPr>
                      <w:rFonts w:ascii="黑体" w:eastAsia="黑体"/>
                      <w:spacing w:val="-6"/>
                    </w:rPr>
                    <w:t>、流产、堕胎、节育（含绝育</w:t>
                  </w:r>
                  <w:r>
                    <w:rPr>
                      <w:rFonts w:ascii="黑体" w:eastAsia="黑体"/>
                      <w:spacing w:val="-108"/>
                    </w:rPr>
                    <w:t>）</w:t>
                  </w:r>
                  <w:r>
                    <w:rPr>
                      <w:rFonts w:ascii="黑体" w:eastAsia="黑体"/>
                      <w:spacing w:val="-10"/>
                    </w:rPr>
                    <w:t>、</w:t>
                  </w:r>
                </w:p>
              </w:txbxContent>
            </v:textbox>
            <w10:wrap type="none"/>
          </v:shape>
        </w:pict>
      </w:r>
      <w:r>
        <w:rPr/>
        <w:pict>
          <v:shape style="position:absolute;margin-left:111.019997pt;margin-top:567.669983pt;width:210.5pt;height:14.8pt;mso-position-horizontal-relative:page;mso-position-vertical-relative:page;z-index:15739904" type="#_x0000_t202" id="docshape8" filled="true" fillcolor="#c0c0c0" stroked="false">
            <v:textbox inset="0,0,0,0">
              <w:txbxContent>
                <w:p>
                  <w:pPr>
                    <w:spacing w:before="23"/>
                    <w:ind w:left="0" w:right="-15" w:firstLine="0"/>
                    <w:jc w:val="left"/>
                    <w:rPr>
                      <w:rFonts w:ascii="黑体" w:eastAsia="黑体"/>
                      <w:color w:val="000000"/>
                      <w:sz w:val="21"/>
                    </w:rPr>
                  </w:pPr>
                  <w:r>
                    <w:rPr>
                      <w:rFonts w:ascii="黑体" w:eastAsia="黑体"/>
                      <w:color w:val="000000"/>
                      <w:spacing w:val="-2"/>
                      <w:sz w:val="21"/>
                    </w:rPr>
                    <w:t>（七）被保险人</w:t>
                  </w:r>
                  <w:r>
                    <w:rPr>
                      <w:rFonts w:ascii="黑体" w:eastAsia="黑体" w:hint="eastAsia"/>
                      <w:b/>
                      <w:color w:val="000000"/>
                      <w:spacing w:val="-2"/>
                      <w:sz w:val="21"/>
                    </w:rPr>
                    <w:t>感染艾滋病病毒或患艾滋病</w:t>
                  </w:r>
                  <w:r>
                    <w:rPr>
                      <w:rFonts w:ascii="黑体" w:eastAsia="黑体"/>
                      <w:color w:val="000000"/>
                      <w:spacing w:val="-10"/>
                      <w:sz w:val="21"/>
                    </w:rPr>
                    <w:t>；</w:t>
                  </w:r>
                </w:p>
              </w:txbxContent>
            </v:textbox>
            <v:fill type="solid"/>
            <w10:wrap type="none"/>
          </v:shape>
        </w:pict>
      </w:r>
      <w:r>
        <w:rPr/>
        <w:pict>
          <v:shape style="position:absolute;margin-left:111.019997pt;margin-top:552.070007pt;width:252.8pt;height:14.8pt;mso-position-horizontal-relative:page;mso-position-vertical-relative:page;z-index:15740416" type="#_x0000_t202" id="docshape9" filled="true" fillcolor="#c0c0c0" stroked="false">
            <v:textbox inset="0,0,0,0">
              <w:txbxContent>
                <w:p>
                  <w:pPr>
                    <w:spacing w:before="23"/>
                    <w:ind w:left="0" w:right="-15" w:firstLine="0"/>
                    <w:jc w:val="left"/>
                    <w:rPr>
                      <w:rFonts w:ascii="黑体" w:eastAsia="黑体"/>
                      <w:color w:val="000000"/>
                      <w:sz w:val="21"/>
                    </w:rPr>
                  </w:pPr>
                  <w:r>
                    <w:rPr>
                      <w:rFonts w:ascii="黑体" w:eastAsia="黑体"/>
                      <w:color w:val="000000"/>
                      <w:spacing w:val="-2"/>
                      <w:sz w:val="21"/>
                    </w:rPr>
                    <w:t>（六）</w:t>
                  </w:r>
                  <w:r>
                    <w:rPr>
                      <w:rFonts w:ascii="黑体" w:eastAsia="黑体" w:hint="eastAsia"/>
                      <w:b/>
                      <w:color w:val="000000"/>
                      <w:spacing w:val="-2"/>
                      <w:sz w:val="21"/>
                    </w:rPr>
                    <w:t>遗传性疾病</w:t>
                  </w:r>
                  <w:r>
                    <w:rPr>
                      <w:rFonts w:ascii="黑体" w:eastAsia="黑体"/>
                      <w:color w:val="000000"/>
                      <w:spacing w:val="-2"/>
                      <w:sz w:val="21"/>
                    </w:rPr>
                    <w:t>、</w:t>
                  </w:r>
                  <w:r>
                    <w:rPr>
                      <w:rFonts w:ascii="黑体" w:eastAsia="黑体" w:hint="eastAsia"/>
                      <w:b/>
                      <w:color w:val="000000"/>
                      <w:spacing w:val="-2"/>
                      <w:sz w:val="21"/>
                    </w:rPr>
                    <w:t>先天性畸形、变形或染色体异常</w:t>
                  </w:r>
                  <w:r>
                    <w:rPr>
                      <w:rFonts w:ascii="黑体" w:eastAsia="黑体"/>
                      <w:color w:val="000000"/>
                      <w:spacing w:val="-10"/>
                      <w:sz w:val="21"/>
                    </w:rPr>
                    <w:t>；</w:t>
                  </w:r>
                </w:p>
              </w:txbxContent>
            </v:textbox>
            <v:fill type="solid"/>
            <w10:wrap type="none"/>
          </v:shape>
        </w:pict>
      </w:r>
      <w:r>
        <w:rPr/>
        <w:drawing>
          <wp:anchor distT="0" distB="0" distL="0" distR="0" allowOverlap="1" layoutInCell="1" locked="0" behindDoc="1" simplePos="0" relativeHeight="487191040">
            <wp:simplePos x="0" y="0"/>
            <wp:positionH relativeFrom="page">
              <wp:posOffset>1952498</wp:posOffset>
            </wp:positionH>
            <wp:positionV relativeFrom="page">
              <wp:posOffset>8398509</wp:posOffset>
            </wp:positionV>
            <wp:extent cx="4256810" cy="186689"/>
            <wp:effectExtent l="0" t="0" r="0" b="0"/>
            <wp:wrapNone/>
            <wp:docPr id="7" name="image4.png"/>
            <wp:cNvGraphicFramePr>
              <a:graphicFrameLocks noChangeAspect="1"/>
            </wp:cNvGraphicFramePr>
            <a:graphic>
              <a:graphicData uri="http://schemas.openxmlformats.org/drawingml/2006/picture">
                <pic:pic>
                  <pic:nvPicPr>
                    <pic:cNvPr id="8" name="image4.png"/>
                    <pic:cNvPicPr/>
                  </pic:nvPicPr>
                  <pic:blipFill>
                    <a:blip r:embed="rId9" cstate="print"/>
                    <a:stretch>
                      <a:fillRect/>
                    </a:stretch>
                  </pic:blipFill>
                  <pic:spPr>
                    <a:xfrm>
                      <a:off x="0" y="0"/>
                      <a:ext cx="4256810" cy="186689"/>
                    </a:xfrm>
                    <a:prstGeom prst="rect">
                      <a:avLst/>
                    </a:prstGeom>
                  </pic:spPr>
                </pic:pic>
              </a:graphicData>
            </a:graphic>
          </wp:anchor>
        </w:drawing>
      </w:r>
      <w:r>
        <w:rPr/>
        <w:drawing>
          <wp:anchor distT="0" distB="0" distL="0" distR="0" allowOverlap="1" layoutInCell="1" locked="0" behindDoc="0" simplePos="0" relativeHeight="15741440">
            <wp:simplePos x="0" y="0"/>
            <wp:positionH relativeFrom="page">
              <wp:posOffset>1409953</wp:posOffset>
            </wp:positionH>
            <wp:positionV relativeFrom="page">
              <wp:posOffset>9389058</wp:posOffset>
            </wp:positionV>
            <wp:extent cx="5008753" cy="187452"/>
            <wp:effectExtent l="0" t="0" r="0" b="0"/>
            <wp:wrapNone/>
            <wp:docPr id="9" name="image5.png"/>
            <wp:cNvGraphicFramePr>
              <a:graphicFrameLocks noChangeAspect="1"/>
            </wp:cNvGraphicFramePr>
            <a:graphic>
              <a:graphicData uri="http://schemas.openxmlformats.org/drawingml/2006/picture">
                <pic:pic>
                  <pic:nvPicPr>
                    <pic:cNvPr id="10" name="image5.png"/>
                    <pic:cNvPicPr/>
                  </pic:nvPicPr>
                  <pic:blipFill>
                    <a:blip r:embed="rId10" cstate="print"/>
                    <a:stretch>
                      <a:fillRect/>
                    </a:stretch>
                  </pic:blipFill>
                  <pic:spPr>
                    <a:xfrm>
                      <a:off x="0" y="0"/>
                      <a:ext cx="5008753" cy="187452"/>
                    </a:xfrm>
                    <a:prstGeom prst="rect">
                      <a:avLst/>
                    </a:prstGeom>
                  </pic:spPr>
                </pic:pic>
              </a:graphicData>
            </a:graphic>
          </wp:anchor>
        </w:drawing>
      </w:r>
      <w:r>
        <w:rPr/>
        <w:pict>
          <v:shape style="position:absolute;margin-left:90.024002pt;margin-top:754.895996pt;width:115.6pt;height:14.8pt;mso-position-horizontal-relative:page;mso-position-vertical-relative:page;z-index:15741952" type="#_x0000_t202" id="docshape10" filled="true" fillcolor="#c0c0c0" stroked="false">
            <v:textbox inset="0,0,0,0">
              <w:txbxContent>
                <w:p>
                  <w:pPr>
                    <w:pStyle w:val="BodyText"/>
                    <w:spacing w:before="22"/>
                    <w:ind w:right="-15"/>
                    <w:rPr>
                      <w:rFonts w:ascii="黑体" w:eastAsia="黑体"/>
                      <w:color w:val="000000"/>
                    </w:rPr>
                  </w:pPr>
                  <w:r>
                    <w:rPr>
                      <w:rFonts w:ascii="黑体" w:eastAsia="黑体"/>
                      <w:color w:val="000000"/>
                      <w:spacing w:val="-3"/>
                    </w:rPr>
                    <w:t>现金价值，本合同终止。</w:t>
                  </w:r>
                </w:p>
              </w:txbxContent>
            </v:textbox>
            <v:fill type="solid"/>
            <w10:wrap type="none"/>
          </v:shape>
        </w:pict>
      </w:r>
      <w:r>
        <w:rPr/>
        <w:pict>
          <v:shape style="position:absolute;margin-left:90.024002pt;margin-top:723.700012pt;width:94.6pt;height:14.8pt;mso-position-horizontal-relative:page;mso-position-vertical-relative:page;z-index:15742464" type="#_x0000_t202" id="docshape11" filled="true" fillcolor="#c0c0c0" stroked="false">
            <v:textbox inset="0,0,0,0">
              <w:txbxContent>
                <w:p>
                  <w:pPr>
                    <w:pStyle w:val="BodyText"/>
                    <w:spacing w:before="22"/>
                    <w:ind w:right="-15"/>
                    <w:rPr>
                      <w:rFonts w:ascii="黑体" w:eastAsia="黑体"/>
                      <w:color w:val="000000"/>
                    </w:rPr>
                  </w:pPr>
                  <w:r>
                    <w:rPr>
                      <w:rFonts w:ascii="黑体" w:eastAsia="黑体"/>
                      <w:color w:val="000000"/>
                      <w:spacing w:val="-3"/>
                    </w:rPr>
                    <w:t>价值，本合同终止。</w:t>
                  </w:r>
                </w:p>
              </w:txbxContent>
            </v:textbox>
            <v:fill type="solid"/>
            <w10:wrap type="none"/>
          </v:shape>
        </w:pict>
      </w:r>
      <w:r>
        <w:rPr/>
        <w:pict>
          <v:shape style="position:absolute;margin-left:111.019997pt;margin-top:739.295959pt;width:394.4pt;height:14.8pt;mso-position-horizontal-relative:page;mso-position-vertical-relative:page;z-index:15742976" type="#_x0000_t202" id="docshape12" filled="false" stroked="false">
            <v:textbox inset="0,0,0,0">
              <w:txbxContent>
                <w:p>
                  <w:pPr>
                    <w:pStyle w:val="BodyText"/>
                    <w:spacing w:before="22"/>
                    <w:ind w:right="-15"/>
                    <w:rPr>
                      <w:rFonts w:ascii="黑体" w:eastAsia="黑体"/>
                    </w:rPr>
                  </w:pPr>
                  <w:r>
                    <w:rPr>
                      <w:rFonts w:ascii="黑体" w:eastAsia="黑体"/>
                      <w:spacing w:val="-4"/>
                    </w:rPr>
                    <w:t>被保险人因上述第（一）</w:t>
                  </w:r>
                  <w:r>
                    <w:rPr>
                      <w:rFonts w:ascii="黑体" w:eastAsia="黑体"/>
                      <w:spacing w:val="-5"/>
                    </w:rPr>
                    <w:t>项情形丧失日常生活能力的，本公司向被保险人退还本合同的</w:t>
                  </w:r>
                </w:p>
              </w:txbxContent>
            </v:textbox>
            <w10:wrap type="none"/>
          </v:shape>
        </w:pict>
      </w:r>
      <w:r>
        <w:rPr/>
        <w:pict>
          <v:shape style="position:absolute;margin-left:111.019997pt;margin-top:676.899963pt;width:210.15pt;height:14.8pt;mso-position-horizontal-relative:page;mso-position-vertical-relative:page;z-index:15743488" type="#_x0000_t202" id="docshape13" filled="true" fillcolor="#c0c0c0" stroked="false">
            <v:textbox inset="0,0,0,0">
              <w:txbxContent>
                <w:p>
                  <w:pPr>
                    <w:pStyle w:val="BodyText"/>
                    <w:spacing w:before="22"/>
                    <w:ind w:right="-15"/>
                    <w:rPr>
                      <w:rFonts w:ascii="黑体" w:eastAsia="黑体"/>
                      <w:color w:val="000000"/>
                    </w:rPr>
                  </w:pPr>
                  <w:r>
                    <w:rPr>
                      <w:rFonts w:ascii="黑体" w:eastAsia="黑体"/>
                      <w:color w:val="000000"/>
                      <w:spacing w:val="-2"/>
                    </w:rPr>
                    <w:t>（十二）</w:t>
                  </w:r>
                  <w:r>
                    <w:rPr>
                      <w:rFonts w:ascii="黑体" w:eastAsia="黑体"/>
                      <w:color w:val="000000"/>
                      <w:spacing w:val="-3"/>
                    </w:rPr>
                    <w:t>战争、军事冲突、暴乱或武装叛乱；</w:t>
                  </w:r>
                </w:p>
              </w:txbxContent>
            </v:textbox>
            <v:fill type="solid"/>
            <w10:wrap type="none"/>
          </v:shape>
        </w:pict>
      </w:r>
    </w:p>
    <w:p>
      <w:pPr>
        <w:pStyle w:val="ListParagraph"/>
        <w:numPr>
          <w:ilvl w:val="0"/>
          <w:numId w:val="7"/>
        </w:numPr>
        <w:tabs>
          <w:tab w:pos="1070" w:val="left" w:leader="none"/>
        </w:tabs>
        <w:spacing w:line="240" w:lineRule="auto" w:before="39" w:after="0"/>
        <w:ind w:left="1069" w:right="0" w:hanging="530"/>
        <w:jc w:val="left"/>
        <w:rPr>
          <w:sz w:val="21"/>
        </w:rPr>
      </w:pPr>
      <w:r>
        <w:rPr>
          <w:spacing w:val="-3"/>
          <w:sz w:val="21"/>
        </w:rPr>
        <w:t>观察期结束之日本合同的现金价值。</w:t>
      </w:r>
    </w:p>
    <w:p>
      <w:pPr>
        <w:pStyle w:val="ListParagraph"/>
        <w:numPr>
          <w:ilvl w:val="0"/>
          <w:numId w:val="5"/>
        </w:numPr>
        <w:tabs>
          <w:tab w:pos="753" w:val="left" w:leader="none"/>
        </w:tabs>
        <w:spacing w:line="278" w:lineRule="auto" w:before="43" w:after="0"/>
        <w:ind w:left="120" w:right="1591" w:firstLine="419"/>
        <w:jc w:val="both"/>
        <w:rPr>
          <w:sz w:val="21"/>
        </w:rPr>
      </w:pPr>
      <w:r>
        <w:rPr>
          <w:spacing w:val="-5"/>
          <w:sz w:val="21"/>
        </w:rPr>
        <w:t>被保险人在年满 </w:t>
      </w:r>
      <w:r>
        <w:rPr>
          <w:spacing w:val="-2"/>
          <w:sz w:val="21"/>
        </w:rPr>
        <w:t>18</w:t>
      </w:r>
      <w:r>
        <w:rPr>
          <w:spacing w:val="-7"/>
          <w:sz w:val="21"/>
        </w:rPr>
        <w:t> 周岁的首个保险单周年日</w:t>
      </w:r>
      <w:r>
        <w:rPr>
          <w:spacing w:val="-2"/>
          <w:sz w:val="21"/>
        </w:rPr>
        <w:t>（含当日）之后，且在本合同交费期满</w:t>
      </w:r>
      <w:r>
        <w:rPr>
          <w:spacing w:val="-4"/>
          <w:sz w:val="21"/>
        </w:rPr>
        <w:t>日（含当日）之后丧失日常生活能力且持续至观察期结束，本公司按照下列三项金额的较大</w:t>
      </w:r>
      <w:r>
        <w:rPr>
          <w:spacing w:val="-2"/>
          <w:sz w:val="21"/>
        </w:rPr>
        <w:t>者给付长期护理保险金，本合同效力终止：</w:t>
      </w:r>
    </w:p>
    <w:p>
      <w:pPr>
        <w:pStyle w:val="ListParagraph"/>
        <w:numPr>
          <w:ilvl w:val="0"/>
          <w:numId w:val="8"/>
        </w:numPr>
        <w:tabs>
          <w:tab w:pos="1070" w:val="left" w:leader="none"/>
        </w:tabs>
        <w:spacing w:line="269" w:lineRule="exact" w:before="0" w:after="21"/>
        <w:ind w:left="1069" w:right="0" w:hanging="530"/>
        <w:jc w:val="left"/>
        <w:rPr>
          <w:sz w:val="21"/>
        </w:rPr>
      </w:pPr>
      <w:r>
        <w:rPr>
          <w:spacing w:val="-3"/>
          <w:sz w:val="21"/>
        </w:rPr>
        <w:t>观察期结束之日的基本保险金额所对应的累计已交保险费乘以以下给付比例：</w:t>
      </w:r>
    </w:p>
    <w:tbl>
      <w:tblPr>
        <w:tblW w:w="0" w:type="auto"/>
        <w:jc w:val="left"/>
        <w:tblInd w:w="20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225"/>
        <w:gridCol w:w="2251"/>
      </w:tblGrid>
      <w:tr>
        <w:trPr>
          <w:trHeight w:val="333" w:hRule="atLeast"/>
        </w:trPr>
        <w:tc>
          <w:tcPr>
            <w:tcW w:w="2225" w:type="dxa"/>
          </w:tcPr>
          <w:p>
            <w:pPr>
              <w:pStyle w:val="TableParagraph"/>
              <w:spacing w:before="34"/>
              <w:rPr>
                <w:sz w:val="21"/>
              </w:rPr>
            </w:pPr>
            <w:r>
              <w:rPr>
                <w:spacing w:val="-4"/>
                <w:sz w:val="21"/>
              </w:rPr>
              <w:t>到达年龄</w:t>
            </w:r>
          </w:p>
        </w:tc>
        <w:tc>
          <w:tcPr>
            <w:tcW w:w="2251" w:type="dxa"/>
          </w:tcPr>
          <w:p>
            <w:pPr>
              <w:pStyle w:val="TableParagraph"/>
              <w:spacing w:before="34"/>
              <w:ind w:left="695" w:right="682"/>
              <w:rPr>
                <w:sz w:val="21"/>
              </w:rPr>
            </w:pPr>
            <w:r>
              <w:rPr>
                <w:spacing w:val="-4"/>
                <w:sz w:val="21"/>
              </w:rPr>
              <w:t>给付比例</w:t>
            </w:r>
          </w:p>
        </w:tc>
      </w:tr>
      <w:tr>
        <w:trPr>
          <w:trHeight w:val="326" w:hRule="atLeast"/>
        </w:trPr>
        <w:tc>
          <w:tcPr>
            <w:tcW w:w="2225" w:type="dxa"/>
          </w:tcPr>
          <w:p>
            <w:pPr>
              <w:pStyle w:val="TableParagraph"/>
              <w:rPr>
                <w:sz w:val="21"/>
              </w:rPr>
            </w:pPr>
            <w:r>
              <w:rPr>
                <w:sz w:val="21"/>
              </w:rPr>
              <w:t>18-40</w:t>
            </w:r>
            <w:r>
              <w:rPr>
                <w:spacing w:val="-22"/>
                <w:sz w:val="21"/>
              </w:rPr>
              <w:t> 周岁</w:t>
            </w:r>
          </w:p>
        </w:tc>
        <w:tc>
          <w:tcPr>
            <w:tcW w:w="2251" w:type="dxa"/>
          </w:tcPr>
          <w:p>
            <w:pPr>
              <w:pStyle w:val="TableParagraph"/>
              <w:ind w:left="693" w:right="682"/>
              <w:rPr>
                <w:sz w:val="21"/>
              </w:rPr>
            </w:pPr>
            <w:r>
              <w:rPr>
                <w:spacing w:val="-4"/>
                <w:sz w:val="21"/>
              </w:rPr>
              <w:t>160%</w:t>
            </w:r>
          </w:p>
        </w:tc>
      </w:tr>
      <w:tr>
        <w:trPr>
          <w:trHeight w:val="333" w:hRule="atLeast"/>
        </w:trPr>
        <w:tc>
          <w:tcPr>
            <w:tcW w:w="2225" w:type="dxa"/>
          </w:tcPr>
          <w:p>
            <w:pPr>
              <w:pStyle w:val="TableParagraph"/>
              <w:spacing w:before="34"/>
              <w:rPr>
                <w:sz w:val="21"/>
              </w:rPr>
            </w:pPr>
            <w:r>
              <w:rPr>
                <w:sz w:val="21"/>
              </w:rPr>
              <w:t>41-60</w:t>
            </w:r>
            <w:r>
              <w:rPr>
                <w:spacing w:val="-22"/>
                <w:sz w:val="21"/>
              </w:rPr>
              <w:t> 周岁</w:t>
            </w:r>
          </w:p>
        </w:tc>
        <w:tc>
          <w:tcPr>
            <w:tcW w:w="2251" w:type="dxa"/>
          </w:tcPr>
          <w:p>
            <w:pPr>
              <w:pStyle w:val="TableParagraph"/>
              <w:spacing w:before="34"/>
              <w:ind w:left="693" w:right="682"/>
              <w:rPr>
                <w:sz w:val="21"/>
              </w:rPr>
            </w:pPr>
            <w:r>
              <w:rPr>
                <w:spacing w:val="-4"/>
                <w:sz w:val="21"/>
              </w:rPr>
              <w:t>140%</w:t>
            </w:r>
          </w:p>
        </w:tc>
      </w:tr>
      <w:tr>
        <w:trPr>
          <w:trHeight w:val="326" w:hRule="atLeast"/>
        </w:trPr>
        <w:tc>
          <w:tcPr>
            <w:tcW w:w="2225" w:type="dxa"/>
          </w:tcPr>
          <w:p>
            <w:pPr>
              <w:pStyle w:val="TableParagraph"/>
              <w:ind w:left="449"/>
              <w:rPr>
                <w:sz w:val="21"/>
              </w:rPr>
            </w:pPr>
            <w:r>
              <w:rPr>
                <w:spacing w:val="-2"/>
                <w:sz w:val="21"/>
              </w:rPr>
              <w:t>61</w:t>
            </w:r>
            <w:r>
              <w:rPr>
                <w:spacing w:val="-12"/>
                <w:sz w:val="21"/>
              </w:rPr>
              <w:t> 周岁及以上</w:t>
            </w:r>
          </w:p>
        </w:tc>
        <w:tc>
          <w:tcPr>
            <w:tcW w:w="2251" w:type="dxa"/>
          </w:tcPr>
          <w:p>
            <w:pPr>
              <w:pStyle w:val="TableParagraph"/>
              <w:ind w:left="693" w:right="682"/>
              <w:rPr>
                <w:sz w:val="21"/>
              </w:rPr>
            </w:pPr>
            <w:r>
              <w:rPr>
                <w:spacing w:val="-4"/>
                <w:sz w:val="21"/>
              </w:rPr>
              <w:t>120%</w:t>
            </w:r>
          </w:p>
        </w:tc>
      </w:tr>
    </w:tbl>
    <w:p>
      <w:pPr>
        <w:pStyle w:val="BodyText"/>
        <w:spacing w:before="4"/>
        <w:rPr>
          <w:sz w:val="10"/>
        </w:rPr>
      </w:pPr>
      <w:r>
        <w:rPr/>
        <w:drawing>
          <wp:anchor distT="0" distB="0" distL="0" distR="0" allowOverlap="1" layoutInCell="1" locked="0" behindDoc="1" simplePos="0" relativeHeight="487181824">
            <wp:simplePos x="0" y="0"/>
            <wp:positionH relativeFrom="page">
              <wp:posOffset>1143304</wp:posOffset>
            </wp:positionH>
            <wp:positionV relativeFrom="paragraph">
              <wp:posOffset>99440</wp:posOffset>
            </wp:positionV>
            <wp:extent cx="5275402" cy="385571"/>
            <wp:effectExtent l="0" t="0" r="0" b="0"/>
            <wp:wrapNone/>
            <wp:docPr id="11" name="image2.png"/>
            <wp:cNvGraphicFramePr>
              <a:graphicFrameLocks noChangeAspect="1"/>
            </wp:cNvGraphicFramePr>
            <a:graphic>
              <a:graphicData uri="http://schemas.openxmlformats.org/drawingml/2006/picture">
                <pic:pic>
                  <pic:nvPicPr>
                    <pic:cNvPr id="12" name="image2.png"/>
                    <pic:cNvPicPr/>
                  </pic:nvPicPr>
                  <pic:blipFill>
                    <a:blip r:embed="rId7" cstate="print"/>
                    <a:stretch>
                      <a:fillRect/>
                    </a:stretch>
                  </pic:blipFill>
                  <pic:spPr>
                    <a:xfrm>
                      <a:off x="0" y="0"/>
                      <a:ext cx="5275402" cy="385571"/>
                    </a:xfrm>
                    <a:prstGeom prst="rect">
                      <a:avLst/>
                    </a:prstGeom>
                  </pic:spPr>
                </pic:pic>
              </a:graphicData>
            </a:graphic>
          </wp:anchor>
        </w:drawing>
      </w:r>
      <w:r>
        <w:rPr/>
        <w:pict>
          <v:shape style="position:absolute;margin-left:90.024002pt;margin-top:7.82998pt;width:415.4pt;height:30.4pt;mso-position-horizontal-relative:page;mso-position-vertical-relative:paragraph;z-index:-15725056;mso-wrap-distance-left:0;mso-wrap-distance-right:0" type="#_x0000_t202" id="docshape14" filled="false" stroked="false">
            <v:textbox inset="0,0,0,0">
              <w:txbxContent>
                <w:p>
                  <w:pPr>
                    <w:pStyle w:val="BodyText"/>
                    <w:spacing w:before="22"/>
                    <w:ind w:left="419" w:right="-15"/>
                  </w:pPr>
                  <w:r>
                    <w:rPr>
                      <w:spacing w:val="-6"/>
                    </w:rPr>
                    <w:t>其中，到达年龄指的是被保险人原始投保年龄，加上当时保险单年度数，再减去 </w:t>
                  </w:r>
                  <w:r>
                    <w:rPr>
                      <w:spacing w:val="-4"/>
                    </w:rPr>
                    <w:t>1</w:t>
                  </w:r>
                  <w:r>
                    <w:rPr>
                      <w:spacing w:val="-23"/>
                    </w:rPr>
                    <w:t> 后所</w:t>
                  </w:r>
                </w:p>
                <w:p>
                  <w:pPr>
                    <w:pStyle w:val="BodyText"/>
                    <w:spacing w:before="43"/>
                  </w:pPr>
                  <w:r>
                    <w:rPr>
                      <w:spacing w:val="-4"/>
                    </w:rPr>
                    <w:t>得到的年龄。</w:t>
                  </w:r>
                </w:p>
              </w:txbxContent>
            </v:textbox>
            <w10:wrap type="topAndBottom"/>
          </v:shape>
        </w:pict>
      </w:r>
    </w:p>
    <w:p>
      <w:pPr>
        <w:pStyle w:val="ListParagraph"/>
        <w:numPr>
          <w:ilvl w:val="0"/>
          <w:numId w:val="8"/>
        </w:numPr>
        <w:tabs>
          <w:tab w:pos="1070" w:val="left" w:leader="none"/>
        </w:tabs>
        <w:spacing w:line="240" w:lineRule="auto" w:before="39" w:after="0"/>
        <w:ind w:left="1069" w:right="0" w:hanging="530"/>
        <w:jc w:val="left"/>
        <w:rPr>
          <w:sz w:val="21"/>
        </w:rPr>
      </w:pPr>
      <w:r>
        <w:rPr>
          <w:spacing w:val="-3"/>
          <w:sz w:val="21"/>
        </w:rPr>
        <w:t>观察期结束之日本合同的现金价值；</w:t>
      </w:r>
    </w:p>
    <w:p>
      <w:pPr>
        <w:pStyle w:val="ListParagraph"/>
        <w:numPr>
          <w:ilvl w:val="0"/>
          <w:numId w:val="8"/>
        </w:numPr>
        <w:tabs>
          <w:tab w:pos="1070" w:val="left" w:leader="none"/>
        </w:tabs>
        <w:spacing w:line="556" w:lineRule="auto" w:before="43" w:after="0"/>
        <w:ind w:left="120" w:right="5175" w:firstLine="419"/>
        <w:jc w:val="left"/>
        <w:rPr>
          <w:rFonts w:ascii="黑体" w:eastAsia="黑体" w:hint="eastAsia"/>
          <w:b/>
          <w:sz w:val="21"/>
        </w:rPr>
      </w:pPr>
      <w:r>
        <w:rPr/>
        <w:drawing>
          <wp:anchor distT="0" distB="0" distL="0" distR="0" allowOverlap="1" layoutInCell="1" locked="0" behindDoc="1" simplePos="0" relativeHeight="487185920">
            <wp:simplePos x="0" y="0"/>
            <wp:positionH relativeFrom="page">
              <wp:posOffset>1143304</wp:posOffset>
            </wp:positionH>
            <wp:positionV relativeFrom="paragraph">
              <wp:posOffset>607186</wp:posOffset>
            </wp:positionV>
            <wp:extent cx="5275402" cy="385572"/>
            <wp:effectExtent l="0" t="0" r="0" b="0"/>
            <wp:wrapNone/>
            <wp:docPr id="13" name="image2.png"/>
            <wp:cNvGraphicFramePr>
              <a:graphicFrameLocks noChangeAspect="1"/>
            </wp:cNvGraphicFramePr>
            <a:graphic>
              <a:graphicData uri="http://schemas.openxmlformats.org/drawingml/2006/picture">
                <pic:pic>
                  <pic:nvPicPr>
                    <pic:cNvPr id="14" name="image2.png"/>
                    <pic:cNvPicPr/>
                  </pic:nvPicPr>
                  <pic:blipFill>
                    <a:blip r:embed="rId7" cstate="print"/>
                    <a:stretch>
                      <a:fillRect/>
                    </a:stretch>
                  </pic:blipFill>
                  <pic:spPr>
                    <a:xfrm>
                      <a:off x="0" y="0"/>
                      <a:ext cx="5275402" cy="385572"/>
                    </a:xfrm>
                    <a:prstGeom prst="rect">
                      <a:avLst/>
                    </a:prstGeom>
                  </pic:spPr>
                </pic:pic>
              </a:graphicData>
            </a:graphic>
          </wp:anchor>
        </w:drawing>
      </w:r>
      <w:r>
        <w:rPr/>
        <w:pict>
          <v:shape style="position:absolute;margin-left:90.024002pt;margin-top:47.809986pt;width:415.4pt;height:30.4pt;mso-position-horizontal-relative:page;mso-position-vertical-relative:paragraph;z-index:-16130048" type="#_x0000_t202" id="docshape15" filled="false" stroked="false">
            <v:textbox inset="0,0,0,0">
              <w:txbxContent>
                <w:p>
                  <w:pPr>
                    <w:pStyle w:val="BodyText"/>
                    <w:spacing w:before="23"/>
                    <w:ind w:left="419" w:right="-15"/>
                    <w:rPr>
                      <w:rFonts w:ascii="黑体" w:eastAsia="黑体"/>
                    </w:rPr>
                  </w:pPr>
                  <w:r>
                    <w:rPr>
                      <w:rFonts w:ascii="黑体" w:eastAsia="黑体"/>
                      <w:spacing w:val="-7"/>
                    </w:rPr>
                    <w:t>因下述一种或多种情形导致被保险人身故或丧失日常生活能力的，本公司不承担给付保</w:t>
                  </w:r>
                </w:p>
                <w:p>
                  <w:pPr>
                    <w:pStyle w:val="BodyText"/>
                    <w:spacing w:before="42"/>
                    <w:rPr>
                      <w:rFonts w:ascii="黑体" w:eastAsia="黑体"/>
                    </w:rPr>
                  </w:pPr>
                  <w:r>
                    <w:rPr>
                      <w:rFonts w:ascii="黑体" w:eastAsia="黑体"/>
                      <w:spacing w:val="-4"/>
                    </w:rPr>
                    <w:t>险金的责任：</w:t>
                  </w:r>
                </w:p>
              </w:txbxContent>
            </v:textbox>
            <w10:wrap type="none"/>
          </v:shape>
        </w:pict>
      </w:r>
      <w:r>
        <w:rPr/>
        <w:drawing>
          <wp:anchor distT="0" distB="0" distL="0" distR="0" allowOverlap="1" layoutInCell="1" locked="0" behindDoc="0" simplePos="0" relativeHeight="15736832">
            <wp:simplePos x="0" y="0"/>
            <wp:positionH relativeFrom="page">
              <wp:posOffset>1409953</wp:posOffset>
            </wp:positionH>
            <wp:positionV relativeFrom="paragraph">
              <wp:posOffset>1598040</wp:posOffset>
            </wp:positionV>
            <wp:extent cx="5037709" cy="583691"/>
            <wp:effectExtent l="0" t="0" r="0" b="0"/>
            <wp:wrapNone/>
            <wp:docPr id="15" name="image6.png"/>
            <wp:cNvGraphicFramePr>
              <a:graphicFrameLocks noChangeAspect="1"/>
            </wp:cNvGraphicFramePr>
            <a:graphic>
              <a:graphicData uri="http://schemas.openxmlformats.org/drawingml/2006/picture">
                <pic:pic>
                  <pic:nvPicPr>
                    <pic:cNvPr id="16" name="image6.png"/>
                    <pic:cNvPicPr/>
                  </pic:nvPicPr>
                  <pic:blipFill>
                    <a:blip r:embed="rId11" cstate="print"/>
                    <a:stretch>
                      <a:fillRect/>
                    </a:stretch>
                  </pic:blipFill>
                  <pic:spPr>
                    <a:xfrm>
                      <a:off x="0" y="0"/>
                      <a:ext cx="5037709" cy="583691"/>
                    </a:xfrm>
                    <a:prstGeom prst="rect">
                      <a:avLst/>
                    </a:prstGeom>
                  </pic:spPr>
                </pic:pic>
              </a:graphicData>
            </a:graphic>
          </wp:anchor>
        </w:drawing>
      </w:r>
      <w:r>
        <w:rPr/>
        <w:pict>
          <v:shape style="position:absolute;margin-left:111.019997pt;margin-top:125.829987pt;width:402.1pt;height:46pt;mso-position-horizontal-relative:page;mso-position-vertical-relative:paragraph;z-index:15737344" type="#_x0000_t202" id="docshape16" filled="false" stroked="false">
            <v:textbox inset="0,0,0,0">
              <w:txbxContent>
                <w:p>
                  <w:pPr>
                    <w:pStyle w:val="BodyText"/>
                    <w:spacing w:before="1"/>
                    <w:rPr>
                      <w:rFonts w:ascii="黑体"/>
                      <w:b/>
                      <w:sz w:val="26"/>
                    </w:rPr>
                  </w:pPr>
                </w:p>
                <w:p>
                  <w:pPr>
                    <w:pStyle w:val="BodyText"/>
                    <w:rPr>
                      <w:rFonts w:ascii="黑体" w:eastAsia="黑体"/>
                    </w:rPr>
                  </w:pPr>
                  <w:r>
                    <w:rPr>
                      <w:rFonts w:ascii="黑体" w:eastAsia="黑体"/>
                      <w:spacing w:val="-2"/>
                    </w:rPr>
                    <w:t>（四）被保险人醉酒，斗殴，服用、吸食或注射</w:t>
                  </w:r>
                  <w:r>
                    <w:rPr>
                      <w:rFonts w:ascii="黑体" w:eastAsia="黑体" w:hint="eastAsia"/>
                      <w:b/>
                      <w:spacing w:val="-2"/>
                    </w:rPr>
                    <w:t>毒品</w:t>
                  </w:r>
                  <w:r>
                    <w:rPr>
                      <w:rFonts w:ascii="黑体" w:eastAsia="黑体"/>
                      <w:spacing w:val="-10"/>
                    </w:rPr>
                    <w:t>；</w:t>
                  </w:r>
                </w:p>
                <w:p>
                  <w:pPr>
                    <w:spacing w:before="43"/>
                    <w:ind w:left="0" w:right="0" w:firstLine="0"/>
                    <w:jc w:val="left"/>
                    <w:rPr>
                      <w:rFonts w:ascii="黑体" w:eastAsia="黑体"/>
                      <w:sz w:val="21"/>
                    </w:rPr>
                  </w:pPr>
                  <w:r>
                    <w:rPr>
                      <w:rFonts w:ascii="黑体" w:eastAsia="黑体"/>
                      <w:spacing w:val="-2"/>
                      <w:sz w:val="21"/>
                    </w:rPr>
                    <w:t>（五</w:t>
                  </w:r>
                  <w:r>
                    <w:rPr>
                      <w:rFonts w:ascii="黑体" w:eastAsia="黑体"/>
                      <w:spacing w:val="-60"/>
                      <w:sz w:val="21"/>
                    </w:rPr>
                    <w:t>）</w:t>
                  </w:r>
                  <w:r>
                    <w:rPr>
                      <w:rFonts w:ascii="黑体" w:eastAsia="黑体"/>
                      <w:spacing w:val="-2"/>
                      <w:sz w:val="21"/>
                    </w:rPr>
                    <w:t>被保险人</w:t>
                  </w:r>
                  <w:r>
                    <w:rPr>
                      <w:rFonts w:ascii="黑体" w:eastAsia="黑体" w:hint="eastAsia"/>
                      <w:b/>
                      <w:spacing w:val="-2"/>
                      <w:sz w:val="21"/>
                    </w:rPr>
                    <w:t>酒后驾驶</w:t>
                  </w:r>
                  <w:r>
                    <w:rPr>
                      <w:rFonts w:ascii="黑体" w:eastAsia="黑体"/>
                      <w:spacing w:val="-60"/>
                      <w:sz w:val="21"/>
                    </w:rPr>
                    <w:t>，</w:t>
                  </w:r>
                  <w:r>
                    <w:rPr>
                      <w:rFonts w:ascii="黑体" w:eastAsia="黑体" w:hint="eastAsia"/>
                      <w:b/>
                      <w:spacing w:val="-2"/>
                      <w:sz w:val="21"/>
                    </w:rPr>
                    <w:t>无合法有效驾驶证驾驶</w:t>
                  </w:r>
                  <w:r>
                    <w:rPr>
                      <w:rFonts w:ascii="黑体" w:eastAsia="黑体"/>
                      <w:spacing w:val="-17"/>
                      <w:sz w:val="21"/>
                    </w:rPr>
                    <w:t>，或驾驶</w:t>
                  </w:r>
                  <w:r>
                    <w:rPr>
                      <w:rFonts w:ascii="黑体" w:eastAsia="黑体" w:hint="eastAsia"/>
                      <w:b/>
                      <w:spacing w:val="-2"/>
                      <w:sz w:val="21"/>
                    </w:rPr>
                    <w:t>无合法有效行驶证</w:t>
                  </w:r>
                  <w:r>
                    <w:rPr>
                      <w:rFonts w:ascii="黑体" w:eastAsia="黑体"/>
                      <w:spacing w:val="-4"/>
                      <w:sz w:val="21"/>
                    </w:rPr>
                    <w:t>的机动车；</w:t>
                  </w:r>
                </w:p>
              </w:txbxContent>
            </v:textbox>
            <w10:wrap type="none"/>
          </v:shape>
        </w:pict>
      </w:r>
      <w:r>
        <w:rPr/>
        <w:pict>
          <v:shape style="position:absolute;margin-left:111.019997pt;margin-top:110.229988pt;width:396.7pt;height:14.8pt;mso-position-horizontal-relative:page;mso-position-vertical-relative:paragraph;z-index:15737856" type="#_x0000_t202" id="docshape17" filled="true" fillcolor="#c0c0c0" stroked="false">
            <v:textbox inset="0,0,0,0">
              <w:txbxContent>
                <w:p>
                  <w:pPr>
                    <w:pStyle w:val="BodyText"/>
                    <w:spacing w:before="23"/>
                    <w:ind w:right="-15"/>
                    <w:rPr>
                      <w:rFonts w:ascii="黑体" w:eastAsia="黑体"/>
                      <w:color w:val="000000"/>
                    </w:rPr>
                  </w:pPr>
                  <w:r>
                    <w:rPr>
                      <w:rFonts w:ascii="黑体" w:eastAsia="黑体"/>
                      <w:color w:val="000000"/>
                      <w:spacing w:val="-4"/>
                    </w:rPr>
                    <w:t>（三）</w:t>
                  </w:r>
                  <w:r>
                    <w:rPr>
                      <w:rFonts w:ascii="黑体" w:eastAsia="黑体"/>
                      <w:color w:val="000000"/>
                      <w:spacing w:val="-6"/>
                    </w:rPr>
                    <w:t>被保险人自本合同成立或本合同效力恢复之日起 </w:t>
                  </w:r>
                  <w:r>
                    <w:rPr>
                      <w:rFonts w:ascii="黑体" w:eastAsia="黑体"/>
                      <w:color w:val="000000"/>
                      <w:spacing w:val="-4"/>
                    </w:rPr>
                    <w:t>2</w:t>
                  </w:r>
                  <w:r>
                    <w:rPr>
                      <w:rFonts w:ascii="黑体" w:eastAsia="黑体"/>
                      <w:color w:val="000000"/>
                      <w:spacing w:val="-10"/>
                    </w:rPr>
                    <w:t> 年内自杀，但被保险人自杀时</w:t>
                  </w:r>
                </w:p>
              </w:txbxContent>
            </v:textbox>
            <v:fill type="solid"/>
            <w10:wrap type="none"/>
          </v:shape>
        </w:pict>
      </w:r>
      <w:r>
        <w:rPr/>
        <w:pict>
          <v:shape style="position:absolute;margin-left:142.580002pt;margin-top:125.829987pt;width:136.6pt;height:14.8pt;mso-position-horizontal-relative:page;mso-position-vertical-relative:paragraph;z-index:15738368" type="#_x0000_t202" id="docshape18" filled="false" stroked="false">
            <v:textbox inset="0,0,0,0">
              <w:txbxContent>
                <w:p>
                  <w:pPr>
                    <w:pStyle w:val="BodyText"/>
                    <w:spacing w:before="22"/>
                    <w:ind w:right="-15"/>
                    <w:rPr>
                      <w:rFonts w:ascii="黑体" w:eastAsia="黑体"/>
                    </w:rPr>
                  </w:pPr>
                  <w:r>
                    <w:rPr>
                      <w:rFonts w:ascii="黑体" w:eastAsia="黑体"/>
                      <w:spacing w:val="-3"/>
                    </w:rPr>
                    <w:t>为无民事行为能力人的除外；</w:t>
                  </w:r>
                </w:p>
              </w:txbxContent>
            </v:textbox>
            <w10:wrap type="none"/>
          </v:shape>
        </w:pict>
      </w:r>
      <w:r>
        <w:rPr>
          <w:spacing w:val="-2"/>
          <w:sz w:val="21"/>
        </w:rPr>
        <w:t>观察期结束之日的当年度有效保险金额。</w:t>
      </w:r>
      <w:bookmarkStart w:name="_bookmark9" w:id="10"/>
      <w:bookmarkEnd w:id="10"/>
      <w:r>
        <w:rPr>
          <w:sz w:val="21"/>
        </w:rPr>
      </w:r>
      <w:r>
        <w:rPr>
          <w:b/>
          <w:sz w:val="21"/>
        </w:rPr>
        <w:t>第八条 </w:t>
      </w:r>
      <w:r>
        <w:rPr>
          <w:rFonts w:ascii="黑体" w:eastAsia="黑体" w:hint="eastAsia"/>
          <w:b/>
          <w:sz w:val="21"/>
        </w:rPr>
        <w:t>责任免除</w:t>
      </w:r>
    </w:p>
    <w:p>
      <w:pPr>
        <w:pStyle w:val="BodyText"/>
        <w:spacing w:before="3"/>
        <w:rPr>
          <w:rFonts w:ascii="黑体"/>
          <w:b/>
        </w:rPr>
      </w:pPr>
    </w:p>
    <w:tbl>
      <w:tblPr>
        <w:tblW w:w="0" w:type="auto"/>
        <w:jc w:val="left"/>
        <w:tblInd w:w="5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623"/>
        <w:gridCol w:w="2100"/>
      </w:tblGrid>
      <w:tr>
        <w:trPr>
          <w:trHeight w:val="292" w:hRule="atLeast"/>
        </w:trPr>
        <w:tc>
          <w:tcPr>
            <w:tcW w:w="4623" w:type="dxa"/>
            <w:tcBorders>
              <w:top w:val="single" w:sz="8" w:space="0" w:color="FFFFFF"/>
              <w:bottom w:val="single" w:sz="8" w:space="0" w:color="FFFFFF"/>
            </w:tcBorders>
            <w:shd w:val="clear" w:color="auto" w:fill="C0C0C0"/>
          </w:tcPr>
          <w:p>
            <w:pPr>
              <w:pStyle w:val="TableParagraph"/>
              <w:spacing w:line="251" w:lineRule="exact" w:before="21"/>
              <w:ind w:left="0" w:right="-15"/>
              <w:jc w:val="left"/>
              <w:rPr>
                <w:rFonts w:ascii="黑体" w:eastAsia="黑体"/>
                <w:sz w:val="21"/>
              </w:rPr>
            </w:pPr>
            <w:r>
              <w:rPr>
                <w:rFonts w:ascii="黑体" w:eastAsia="黑体"/>
                <w:spacing w:val="-2"/>
                <w:sz w:val="21"/>
              </w:rPr>
              <w:t>（一）</w:t>
            </w:r>
            <w:r>
              <w:rPr>
                <w:rFonts w:ascii="黑体" w:eastAsia="黑体"/>
                <w:spacing w:val="-3"/>
                <w:sz w:val="21"/>
              </w:rPr>
              <w:t>投保人对被保险人的故意杀害、故意伤害；</w:t>
            </w:r>
          </w:p>
        </w:tc>
        <w:tc>
          <w:tcPr>
            <w:tcW w:w="2100" w:type="dxa"/>
            <w:tcBorders>
              <w:top w:val="single" w:sz="8" w:space="0" w:color="FFFFFF"/>
              <w:bottom w:val="single" w:sz="8" w:space="0" w:color="FFFFFF"/>
            </w:tcBorders>
          </w:tcPr>
          <w:p>
            <w:pPr>
              <w:pStyle w:val="TableParagraph"/>
              <w:spacing w:before="0"/>
              <w:ind w:left="0" w:right="0"/>
              <w:jc w:val="left"/>
              <w:rPr>
                <w:rFonts w:ascii="Times New Roman"/>
                <w:sz w:val="20"/>
              </w:rPr>
            </w:pPr>
          </w:p>
        </w:tc>
      </w:tr>
      <w:tr>
        <w:trPr>
          <w:trHeight w:val="292" w:hRule="atLeast"/>
        </w:trPr>
        <w:tc>
          <w:tcPr>
            <w:tcW w:w="6723" w:type="dxa"/>
            <w:gridSpan w:val="2"/>
            <w:tcBorders>
              <w:top w:val="single" w:sz="8" w:space="0" w:color="FFFFFF"/>
              <w:bottom w:val="single" w:sz="8" w:space="0" w:color="FFFFFF"/>
            </w:tcBorders>
            <w:shd w:val="clear" w:color="auto" w:fill="C0C0C0"/>
          </w:tcPr>
          <w:p>
            <w:pPr>
              <w:pStyle w:val="TableParagraph"/>
              <w:spacing w:line="251" w:lineRule="exact" w:before="21"/>
              <w:ind w:left="0" w:right="-15"/>
              <w:jc w:val="left"/>
              <w:rPr>
                <w:rFonts w:ascii="黑体" w:eastAsia="黑体"/>
                <w:sz w:val="21"/>
              </w:rPr>
            </w:pPr>
            <w:r>
              <w:rPr>
                <w:rFonts w:ascii="黑体" w:eastAsia="黑体"/>
                <w:spacing w:val="-2"/>
                <w:sz w:val="21"/>
              </w:rPr>
              <w:t>（二）</w:t>
            </w:r>
            <w:r>
              <w:rPr>
                <w:rFonts w:ascii="黑体" w:eastAsia="黑体"/>
                <w:spacing w:val="-3"/>
                <w:sz w:val="21"/>
              </w:rPr>
              <w:t>被保险人故意自伤、故意犯罪或者抗拒依法采取的刑事强制措施；</w:t>
            </w:r>
          </w:p>
        </w:tc>
      </w:tr>
    </w:tbl>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spacing w:before="4"/>
        <w:rPr>
          <w:rFonts w:ascii="黑体"/>
          <w:b/>
          <w:sz w:val="28"/>
        </w:rPr>
      </w:pPr>
      <w:r>
        <w:rPr/>
        <w:drawing>
          <wp:anchor distT="0" distB="0" distL="0" distR="0" allowOverlap="1" layoutInCell="1" locked="0" behindDoc="1" simplePos="0" relativeHeight="487182848">
            <wp:simplePos x="0" y="0"/>
            <wp:positionH relativeFrom="page">
              <wp:posOffset>1409953</wp:posOffset>
            </wp:positionH>
            <wp:positionV relativeFrom="paragraph">
              <wp:posOffset>642296</wp:posOffset>
            </wp:positionV>
            <wp:extent cx="3336671" cy="187451"/>
            <wp:effectExtent l="0" t="0" r="0" b="0"/>
            <wp:wrapNone/>
            <wp:docPr id="17" name="image7.png"/>
            <wp:cNvGraphicFramePr>
              <a:graphicFrameLocks noChangeAspect="1"/>
            </wp:cNvGraphicFramePr>
            <a:graphic>
              <a:graphicData uri="http://schemas.openxmlformats.org/drawingml/2006/picture">
                <pic:pic>
                  <pic:nvPicPr>
                    <pic:cNvPr id="18" name="image7.png"/>
                    <pic:cNvPicPr/>
                  </pic:nvPicPr>
                  <pic:blipFill>
                    <a:blip r:embed="rId12" cstate="print"/>
                    <a:stretch>
                      <a:fillRect/>
                    </a:stretch>
                  </pic:blipFill>
                  <pic:spPr>
                    <a:xfrm>
                      <a:off x="0" y="0"/>
                      <a:ext cx="3336671" cy="187451"/>
                    </a:xfrm>
                    <a:prstGeom prst="rect">
                      <a:avLst/>
                    </a:prstGeom>
                  </pic:spPr>
                </pic:pic>
              </a:graphicData>
            </a:graphic>
          </wp:anchor>
        </w:drawing>
      </w:r>
      <w:r>
        <w:rPr/>
        <w:pict>
          <v:shape style="position:absolute;margin-left:111.019997pt;margin-top:66.180496pt;width:396.7pt;height:14.8pt;mso-position-horizontal-relative:page;mso-position-vertical-relative:paragraph;z-index:-16133120" type="#_x0000_t202" id="docshape19" filled="true" fillcolor="#c0c0c0" stroked="false">
            <v:textbox inset="0,0,0,0">
              <w:txbxContent>
                <w:p>
                  <w:pPr>
                    <w:pStyle w:val="BodyText"/>
                    <w:spacing w:before="22"/>
                    <w:rPr>
                      <w:rFonts w:ascii="黑体" w:eastAsia="黑体"/>
                      <w:color w:val="000000"/>
                    </w:rPr>
                  </w:pPr>
                  <w:r>
                    <w:rPr>
                      <w:rFonts w:ascii="黑体" w:eastAsia="黑体"/>
                      <w:color w:val="000000"/>
                      <w:spacing w:val="-4"/>
                    </w:rPr>
                    <w:t>（十一）被保险人从事高风险运动，包括但不限于</w:t>
                  </w:r>
                  <w:r>
                    <w:rPr>
                      <w:rFonts w:ascii="黑体" w:eastAsia="黑体" w:hint="eastAsia"/>
                      <w:b/>
                      <w:color w:val="000000"/>
                      <w:spacing w:val="-4"/>
                    </w:rPr>
                    <w:t>潜水</w:t>
                  </w:r>
                  <w:r>
                    <w:rPr>
                      <w:rFonts w:ascii="黑体" w:eastAsia="黑体"/>
                      <w:color w:val="000000"/>
                      <w:spacing w:val="-4"/>
                    </w:rPr>
                    <w:t>、跳伞、</w:t>
                  </w:r>
                  <w:r>
                    <w:rPr>
                      <w:rFonts w:ascii="黑体" w:eastAsia="黑体" w:hint="eastAsia"/>
                      <w:b/>
                      <w:color w:val="000000"/>
                      <w:spacing w:val="-4"/>
                    </w:rPr>
                    <w:t>攀岩</w:t>
                  </w:r>
                  <w:r>
                    <w:rPr>
                      <w:rFonts w:ascii="黑体" w:eastAsia="黑体"/>
                      <w:color w:val="000000"/>
                      <w:spacing w:val="-4"/>
                    </w:rPr>
                    <w:t>、</w:t>
                  </w:r>
                  <w:r>
                    <w:rPr>
                      <w:rFonts w:ascii="黑体" w:eastAsia="黑体" w:hint="eastAsia"/>
                      <w:b/>
                      <w:color w:val="000000"/>
                      <w:spacing w:val="-4"/>
                    </w:rPr>
                    <w:t>探险</w:t>
                  </w:r>
                  <w:r>
                    <w:rPr>
                      <w:rFonts w:ascii="黑体" w:eastAsia="黑体"/>
                      <w:color w:val="000000"/>
                      <w:spacing w:val="-6"/>
                    </w:rPr>
                    <w:t>、蹦极、飞</w:t>
                  </w:r>
                </w:p>
              </w:txbxContent>
            </v:textbox>
            <v:fill type="solid"/>
            <w10:wrap type="none"/>
          </v:shape>
        </w:pict>
      </w:r>
      <w:r>
        <w:rPr/>
        <w:pict>
          <v:shape style="position:absolute;margin-left:111.019997pt;margin-top:34.974499pt;width:325.75pt;height:14.8pt;mso-position-horizontal-relative:page;mso-position-vertical-relative:paragraph;z-index:-16132608" type="#_x0000_t202" id="docshape20" filled="true" fillcolor="#c0c0c0" stroked="false">
            <v:textbox inset="0,0,0,0">
              <w:txbxContent>
                <w:p>
                  <w:pPr>
                    <w:pStyle w:val="BodyText"/>
                    <w:spacing w:before="23"/>
                    <w:ind w:right="-15"/>
                    <w:rPr>
                      <w:rFonts w:ascii="黑体" w:eastAsia="黑体"/>
                      <w:color w:val="000000"/>
                    </w:rPr>
                  </w:pPr>
                  <w:r>
                    <w:rPr>
                      <w:rFonts w:ascii="黑体" w:eastAsia="黑体"/>
                      <w:color w:val="000000"/>
                      <w:spacing w:val="-2"/>
                    </w:rPr>
                    <w:t>（九）</w:t>
                  </w:r>
                  <w:r>
                    <w:rPr>
                      <w:rFonts w:ascii="黑体" w:eastAsia="黑体"/>
                      <w:color w:val="000000"/>
                      <w:spacing w:val="-3"/>
                    </w:rPr>
                    <w:t>被保险人药物过敏、发生医疗事故或因非意外事故所致的整容；</w:t>
                  </w:r>
                </w:p>
              </w:txbxContent>
            </v:textbox>
            <v:fill type="solid"/>
            <w10:wrap type="none"/>
          </v:shape>
        </w:pict>
      </w:r>
      <w:r>
        <w:rPr/>
        <w:pict>
          <v:shape style="position:absolute;margin-left:153.740005pt;margin-top:81.804497pt;width:336.55pt;height:14.8pt;mso-position-horizontal-relative:page;mso-position-vertical-relative:paragraph;z-index:-16132096" type="#_x0000_t202" id="docshape21" filled="false" stroked="false">
            <v:textbox inset="0,0,0,0">
              <w:txbxContent>
                <w:p>
                  <w:pPr>
                    <w:spacing w:before="23"/>
                    <w:ind w:left="0" w:right="-15" w:firstLine="0"/>
                    <w:jc w:val="left"/>
                    <w:rPr>
                      <w:rFonts w:ascii="黑体" w:eastAsia="黑体"/>
                      <w:sz w:val="21"/>
                    </w:rPr>
                  </w:pPr>
                  <w:r>
                    <w:rPr>
                      <w:rFonts w:ascii="黑体" w:eastAsia="黑体"/>
                      <w:spacing w:val="-2"/>
                      <w:sz w:val="21"/>
                    </w:rPr>
                    <w:t>行、驾驶滑翔机或滑翔伞、</w:t>
                  </w:r>
                  <w:r>
                    <w:rPr>
                      <w:rFonts w:ascii="黑体" w:eastAsia="黑体" w:hint="eastAsia"/>
                      <w:b/>
                      <w:spacing w:val="-2"/>
                      <w:sz w:val="21"/>
                    </w:rPr>
                    <w:t>武术比赛</w:t>
                  </w:r>
                  <w:r>
                    <w:rPr>
                      <w:rFonts w:ascii="黑体" w:eastAsia="黑体"/>
                      <w:spacing w:val="-2"/>
                      <w:sz w:val="21"/>
                    </w:rPr>
                    <w:t>、摔跤、</w:t>
                  </w:r>
                  <w:r>
                    <w:rPr>
                      <w:rFonts w:ascii="黑体" w:eastAsia="黑体" w:hint="eastAsia"/>
                      <w:b/>
                      <w:spacing w:val="-2"/>
                      <w:sz w:val="21"/>
                    </w:rPr>
                    <w:t>特技表演</w:t>
                  </w:r>
                  <w:r>
                    <w:rPr>
                      <w:rFonts w:ascii="黑体" w:eastAsia="黑体"/>
                      <w:spacing w:val="-4"/>
                      <w:sz w:val="21"/>
                    </w:rPr>
                    <w:t>、赛马、赛车等；</w:t>
                  </w:r>
                </w:p>
              </w:txbxContent>
            </v:textbox>
            <w10:wrap type="none"/>
          </v:shape>
        </w:pict>
      </w:r>
      <w:r>
        <w:rPr/>
        <w:pict>
          <v:shape style="position:absolute;margin-left:111.019997pt;margin-top:50.574501pt;width:262.75pt;height:14.8pt;mso-position-horizontal-relative:page;mso-position-vertical-relative:paragraph;z-index:-16131584" type="#_x0000_t202" id="docshape22" filled="false" stroked="false">
            <v:textbox inset="0,0,0,0">
              <w:txbxContent>
                <w:p>
                  <w:pPr>
                    <w:pStyle w:val="BodyText"/>
                    <w:spacing w:before="22"/>
                    <w:ind w:right="-15"/>
                    <w:rPr>
                      <w:rFonts w:ascii="黑体" w:eastAsia="黑体"/>
                    </w:rPr>
                  </w:pPr>
                  <w:r>
                    <w:rPr>
                      <w:rFonts w:ascii="黑体" w:eastAsia="黑体"/>
                      <w:spacing w:val="-2"/>
                    </w:rPr>
                    <w:t>（十）</w:t>
                  </w:r>
                  <w:r>
                    <w:rPr>
                      <w:rFonts w:ascii="黑体" w:eastAsia="黑体"/>
                      <w:spacing w:val="-3"/>
                    </w:rPr>
                    <w:t>被保险人未遵医嘱，私自服用、涂用、注射药物；</w:t>
                  </w:r>
                </w:p>
              </w:txbxContent>
            </v:textbox>
            <w10:wrap type="none"/>
          </v:shape>
        </w:pict>
      </w:r>
      <w:r>
        <w:rPr/>
        <w:pict>
          <v:shape style="position:absolute;margin-left:142.580002pt;margin-top:19.3745pt;width:199.65pt;height:14.8pt;mso-position-horizontal-relative:page;mso-position-vertical-relative:paragraph;z-index:-15721984;mso-wrap-distance-left:0;mso-wrap-distance-right:0" type="#_x0000_t202" id="docshape23" filled="false" stroked="false">
            <v:textbox inset="0,0,0,0">
              <w:txbxContent>
                <w:p>
                  <w:pPr>
                    <w:pStyle w:val="BodyText"/>
                    <w:spacing w:before="22"/>
                    <w:ind w:right="-15"/>
                    <w:rPr>
                      <w:rFonts w:ascii="黑体" w:eastAsia="黑体"/>
                    </w:rPr>
                  </w:pPr>
                  <w:r>
                    <w:rPr>
                      <w:rFonts w:ascii="黑体" w:eastAsia="黑体"/>
                      <w:spacing w:val="-3"/>
                    </w:rPr>
                    <w:t>产前产后检查以及上述原因引起的并发症；</w:t>
                  </w:r>
                </w:p>
              </w:txbxContent>
            </v:textbox>
            <w10:wrap type="topAndBottom"/>
          </v:shape>
        </w:pict>
      </w:r>
    </w:p>
    <w:p>
      <w:pPr>
        <w:pStyle w:val="BodyText"/>
        <w:spacing w:before="4"/>
        <w:rPr>
          <w:rFonts w:ascii="黑体"/>
          <w:b/>
          <w:sz w:val="24"/>
        </w:rPr>
      </w:pPr>
    </w:p>
    <w:tbl>
      <w:tblPr>
        <w:tblW w:w="0" w:type="auto"/>
        <w:jc w:val="left"/>
        <w:tblInd w:w="5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360"/>
        <w:gridCol w:w="4527"/>
      </w:tblGrid>
      <w:tr>
        <w:trPr>
          <w:trHeight w:val="291" w:hRule="atLeast"/>
        </w:trPr>
        <w:tc>
          <w:tcPr>
            <w:tcW w:w="3360" w:type="dxa"/>
            <w:tcBorders>
              <w:top w:val="single" w:sz="8" w:space="0" w:color="FFFFFF"/>
              <w:bottom w:val="single" w:sz="8" w:space="0" w:color="FFFFFF"/>
            </w:tcBorders>
            <w:shd w:val="clear" w:color="auto" w:fill="C0C0C0"/>
          </w:tcPr>
          <w:p>
            <w:pPr>
              <w:pStyle w:val="TableParagraph"/>
              <w:spacing w:line="251" w:lineRule="exact" w:before="21"/>
              <w:ind w:left="-3" w:right="-15"/>
              <w:jc w:val="left"/>
              <w:rPr>
                <w:rFonts w:ascii="黑体" w:eastAsia="黑体"/>
                <w:sz w:val="21"/>
              </w:rPr>
            </w:pPr>
            <w:r>
              <w:rPr>
                <w:rFonts w:ascii="黑体" w:eastAsia="黑体"/>
                <w:spacing w:val="-2"/>
                <w:sz w:val="21"/>
              </w:rPr>
              <w:t>（十三）</w:t>
            </w:r>
            <w:r>
              <w:rPr>
                <w:rFonts w:ascii="黑体" w:eastAsia="黑体"/>
                <w:spacing w:val="-3"/>
                <w:sz w:val="21"/>
              </w:rPr>
              <w:t>核爆炸、核辐射或核污染。</w:t>
            </w:r>
          </w:p>
        </w:tc>
        <w:tc>
          <w:tcPr>
            <w:tcW w:w="4527" w:type="dxa"/>
            <w:tcBorders>
              <w:top w:val="single" w:sz="8" w:space="0" w:color="FFFFFF"/>
              <w:bottom w:val="single" w:sz="8" w:space="0" w:color="FFFFFF"/>
            </w:tcBorders>
          </w:tcPr>
          <w:p>
            <w:pPr>
              <w:pStyle w:val="TableParagraph"/>
              <w:spacing w:before="0"/>
              <w:ind w:left="0" w:right="0"/>
              <w:jc w:val="left"/>
              <w:rPr>
                <w:rFonts w:ascii="Times New Roman"/>
                <w:sz w:val="20"/>
              </w:rPr>
            </w:pPr>
          </w:p>
        </w:tc>
      </w:tr>
      <w:tr>
        <w:trPr>
          <w:trHeight w:val="292" w:hRule="atLeast"/>
        </w:trPr>
        <w:tc>
          <w:tcPr>
            <w:tcW w:w="7887" w:type="dxa"/>
            <w:gridSpan w:val="2"/>
            <w:tcBorders>
              <w:top w:val="single" w:sz="8" w:space="0" w:color="FFFFFF"/>
              <w:bottom w:val="single" w:sz="8" w:space="0" w:color="FFFFFF"/>
            </w:tcBorders>
            <w:shd w:val="clear" w:color="auto" w:fill="C0C0C0"/>
          </w:tcPr>
          <w:p>
            <w:pPr>
              <w:pStyle w:val="TableParagraph"/>
              <w:spacing w:line="251" w:lineRule="exact" w:before="21"/>
              <w:ind w:left="0" w:right="-15"/>
              <w:jc w:val="left"/>
              <w:rPr>
                <w:rFonts w:ascii="黑体" w:eastAsia="黑体"/>
                <w:sz w:val="21"/>
              </w:rPr>
            </w:pPr>
            <w:r>
              <w:rPr>
                <w:rFonts w:ascii="黑体" w:eastAsia="黑体"/>
                <w:spacing w:val="-4"/>
                <w:sz w:val="21"/>
              </w:rPr>
              <w:t>被保险人因上述第（一）</w:t>
            </w:r>
            <w:r>
              <w:rPr>
                <w:rFonts w:ascii="黑体" w:eastAsia="黑体"/>
                <w:spacing w:val="-5"/>
                <w:sz w:val="21"/>
              </w:rPr>
              <w:t>项情形身故的，本公司向被保险人的继承人退还本合同的现金</w:t>
            </w:r>
          </w:p>
        </w:tc>
      </w:tr>
    </w:tbl>
    <w:p>
      <w:pPr>
        <w:spacing w:after="0" w:line="251" w:lineRule="exact"/>
        <w:jc w:val="left"/>
        <w:rPr>
          <w:rFonts w:ascii="黑体" w:eastAsia="黑体"/>
          <w:sz w:val="21"/>
        </w:rPr>
        <w:sectPr>
          <w:pgSz w:w="11910" w:h="16840"/>
          <w:pgMar w:header="0" w:footer="985" w:top="1420" w:bottom="1180" w:left="1680" w:right="200"/>
        </w:sectPr>
      </w:pPr>
    </w:p>
    <w:p>
      <w:pPr>
        <w:pStyle w:val="BodyText"/>
        <w:ind w:left="540"/>
        <w:rPr>
          <w:rFonts w:ascii="黑体"/>
          <w:sz w:val="20"/>
        </w:rPr>
      </w:pPr>
      <w:r>
        <w:rPr>
          <w:rFonts w:ascii="黑体"/>
          <w:sz w:val="20"/>
        </w:rPr>
        <w:pict>
          <v:shape style="width:394.4pt;height:14.8pt;mso-position-horizontal-relative:char;mso-position-vertical-relative:line" type="#_x0000_t202" id="docshape24" filled="true" fillcolor="#c0c0c0" stroked="false">
            <w10:anchorlock/>
            <v:textbox inset="0,0,0,0">
              <w:txbxContent>
                <w:p>
                  <w:pPr>
                    <w:pStyle w:val="BodyText"/>
                    <w:spacing w:before="22"/>
                    <w:ind w:right="-15"/>
                    <w:rPr>
                      <w:rFonts w:ascii="黑体" w:eastAsia="黑体"/>
                      <w:color w:val="000000"/>
                    </w:rPr>
                  </w:pPr>
                  <w:r>
                    <w:rPr>
                      <w:rFonts w:ascii="黑体" w:eastAsia="黑体"/>
                      <w:color w:val="000000"/>
                      <w:spacing w:val="-9"/>
                    </w:rPr>
                    <w:t>被保险人因上述其他情形身故或丧失日常生活能力的，本公司向投保人退还本合同的现</w:t>
                  </w:r>
                </w:p>
              </w:txbxContent>
            </v:textbox>
            <v:fill type="solid"/>
          </v:shape>
        </w:pict>
      </w:r>
      <w:r>
        <w:rPr>
          <w:rFonts w:ascii="黑体"/>
          <w:sz w:val="20"/>
        </w:rPr>
      </w:r>
    </w:p>
    <w:p>
      <w:pPr>
        <w:pStyle w:val="BodyText"/>
        <w:ind w:left="120"/>
        <w:rPr>
          <w:rFonts w:ascii="黑体"/>
          <w:sz w:val="20"/>
        </w:rPr>
      </w:pPr>
      <w:r>
        <w:rPr>
          <w:rFonts w:ascii="黑体"/>
          <w:sz w:val="20"/>
        </w:rPr>
        <w:pict>
          <v:shape style="width:105pt;height:14.8pt;mso-position-horizontal-relative:char;mso-position-vertical-relative:line" type="#_x0000_t202" id="docshape25" filled="true" fillcolor="#c0c0c0" stroked="false">
            <w10:anchorlock/>
            <v:textbox inset="0,0,0,0">
              <w:txbxContent>
                <w:p>
                  <w:pPr>
                    <w:pStyle w:val="BodyText"/>
                    <w:spacing w:before="23"/>
                    <w:ind w:right="-15"/>
                    <w:rPr>
                      <w:rFonts w:ascii="黑体" w:eastAsia="黑体"/>
                      <w:color w:val="000000"/>
                    </w:rPr>
                  </w:pPr>
                  <w:r>
                    <w:rPr>
                      <w:rFonts w:ascii="黑体" w:eastAsia="黑体"/>
                      <w:color w:val="000000"/>
                      <w:spacing w:val="-5"/>
                    </w:rPr>
                    <w:t>金价值，本合同终止。</w:t>
                  </w:r>
                </w:p>
              </w:txbxContent>
            </v:textbox>
            <v:fill type="solid"/>
          </v:shape>
        </w:pict>
      </w:r>
      <w:r>
        <w:rPr>
          <w:rFonts w:ascii="黑体"/>
          <w:sz w:val="20"/>
        </w:rPr>
      </w:r>
    </w:p>
    <w:p>
      <w:pPr>
        <w:pStyle w:val="BodyText"/>
        <w:spacing w:before="1"/>
        <w:rPr>
          <w:rFonts w:ascii="黑体"/>
          <w:b/>
          <w:sz w:val="20"/>
        </w:rPr>
      </w:pPr>
    </w:p>
    <w:p>
      <w:pPr>
        <w:pStyle w:val="Heading2"/>
        <w:spacing w:before="72"/>
        <w:rPr>
          <w:rFonts w:ascii="黑体" w:eastAsia="黑体" w:hint="eastAsia"/>
        </w:rPr>
      </w:pPr>
      <w:r>
        <w:rPr/>
        <w:drawing>
          <wp:anchor distT="0" distB="0" distL="0" distR="0" allowOverlap="1" layoutInCell="1" locked="0" behindDoc="1" simplePos="0" relativeHeight="487195136">
            <wp:simplePos x="0" y="0"/>
            <wp:positionH relativeFrom="page">
              <wp:posOffset>1143304</wp:posOffset>
            </wp:positionH>
            <wp:positionV relativeFrom="paragraph">
              <wp:posOffset>625602</wp:posOffset>
            </wp:positionV>
            <wp:extent cx="5135245" cy="187451"/>
            <wp:effectExtent l="0" t="0" r="0" b="0"/>
            <wp:wrapNone/>
            <wp:docPr id="19" name="image8.png"/>
            <wp:cNvGraphicFramePr>
              <a:graphicFrameLocks noChangeAspect="1"/>
            </wp:cNvGraphicFramePr>
            <a:graphic>
              <a:graphicData uri="http://schemas.openxmlformats.org/drawingml/2006/picture">
                <pic:pic>
                  <pic:nvPicPr>
                    <pic:cNvPr id="20" name="image8.png"/>
                    <pic:cNvPicPr/>
                  </pic:nvPicPr>
                  <pic:blipFill>
                    <a:blip r:embed="rId13" cstate="print"/>
                    <a:stretch>
                      <a:fillRect/>
                    </a:stretch>
                  </pic:blipFill>
                  <pic:spPr>
                    <a:xfrm>
                      <a:off x="0" y="0"/>
                      <a:ext cx="5135245" cy="187451"/>
                    </a:xfrm>
                    <a:prstGeom prst="rect">
                      <a:avLst/>
                    </a:prstGeom>
                  </pic:spPr>
                </pic:pic>
              </a:graphicData>
            </a:graphic>
          </wp:anchor>
        </w:drawing>
      </w:r>
      <w:r>
        <w:rPr/>
        <w:pict>
          <v:shape style="position:absolute;margin-left:90.024002pt;margin-top:49.260021pt;width:409.8pt;height:14.8pt;mso-position-horizontal-relative:page;mso-position-vertical-relative:paragraph;z-index:-16120832" type="#_x0000_t202" id="docshape26" filled="false" stroked="false">
            <v:textbox inset="0,0,0,0">
              <w:txbxContent>
                <w:p>
                  <w:pPr>
                    <w:pStyle w:val="BodyText"/>
                    <w:spacing w:before="23"/>
                    <w:rPr>
                      <w:rFonts w:ascii="黑体" w:hAnsi="黑体" w:eastAsia="黑体"/>
                    </w:rPr>
                  </w:pPr>
                  <w:r>
                    <w:rPr>
                      <w:rFonts w:ascii="黑体" w:hAnsi="黑体" w:eastAsia="黑体"/>
                      <w:spacing w:val="-20"/>
                    </w:rPr>
                    <w:t>期”“第十四条 保险单贷款”“第十五条 减少基本保险金额”“第十九条 年龄性别错误”</w:t>
                  </w:r>
                </w:p>
              </w:txbxContent>
            </v:textbox>
            <w10:wrap type="none"/>
          </v:shape>
        </w:pict>
      </w:r>
      <w:r>
        <w:rPr/>
        <w:pict>
          <v:shape style="position:absolute;margin-left:90.024002pt;margin-top:64.860023pt;width:415.1pt;height:14.8pt;mso-position-horizontal-relative:page;mso-position-vertical-relative:paragraph;z-index:-16120320" type="#_x0000_t202" id="docshape27" filled="true" fillcolor="#c0c0c0" stroked="false">
            <v:textbox inset="0,0,0,0">
              <w:txbxContent>
                <w:p>
                  <w:pPr>
                    <w:pStyle w:val="BodyText"/>
                    <w:spacing w:before="23"/>
                    <w:ind w:right="-15"/>
                    <w:rPr>
                      <w:rFonts w:ascii="黑体" w:hAnsi="黑体" w:eastAsia="黑体"/>
                      <w:color w:val="000000"/>
                    </w:rPr>
                  </w:pPr>
                  <w:r>
                    <w:rPr>
                      <w:rFonts w:ascii="黑体" w:hAnsi="黑体" w:eastAsia="黑体"/>
                      <w:color w:val="000000"/>
                      <w:spacing w:val="-3"/>
                    </w:rPr>
                    <w:t>“第二十一条 合同中止与复效</w:t>
                  </w:r>
                  <w:r>
                    <w:rPr>
                      <w:rFonts w:ascii="黑体" w:hAnsi="黑体" w:eastAsia="黑体"/>
                      <w:color w:val="000000"/>
                      <w:spacing w:val="-16"/>
                    </w:rPr>
                    <w:t>”“第二十二条 合同解除</w:t>
                  </w:r>
                  <w:r>
                    <w:rPr>
                      <w:rFonts w:ascii="黑体" w:hAnsi="黑体" w:eastAsia="黑体"/>
                      <w:color w:val="000000"/>
                      <w:spacing w:val="-14"/>
                    </w:rPr>
                    <w:t>”“第二十四条 保险事故通知</w:t>
                  </w:r>
                  <w:r>
                    <w:rPr>
                      <w:rFonts w:ascii="黑体" w:hAnsi="黑体" w:eastAsia="黑体"/>
                      <w:color w:val="000000"/>
                      <w:spacing w:val="-50"/>
                    </w:rPr>
                    <w:t>”“第</w:t>
                  </w:r>
                </w:p>
              </w:txbxContent>
            </v:textbox>
            <v:fill type="solid"/>
            <w10:wrap type="none"/>
          </v:shape>
        </w:pict>
      </w:r>
      <w:r>
        <w:rPr/>
        <w:pict>
          <v:shape style="position:absolute;margin-left:90.024002pt;margin-top:33.660023pt;width:415.1pt;height:14.8pt;mso-position-horizontal-relative:page;mso-position-vertical-relative:paragraph;z-index:-16119808" type="#_x0000_t202" id="docshape28" filled="true" fillcolor="#c0c0c0" stroked="false">
            <v:textbox inset="0,0,0,0">
              <w:txbxContent>
                <w:p>
                  <w:pPr>
                    <w:pStyle w:val="BodyText"/>
                    <w:spacing w:before="22"/>
                    <w:rPr>
                      <w:rFonts w:ascii="黑体" w:hAnsi="黑体" w:eastAsia="黑体"/>
                      <w:color w:val="000000"/>
                    </w:rPr>
                  </w:pPr>
                  <w:r>
                    <w:rPr>
                      <w:rFonts w:ascii="黑体" w:hAnsi="黑体" w:eastAsia="黑体"/>
                      <w:color w:val="000000"/>
                      <w:spacing w:val="-19"/>
                    </w:rPr>
                    <w:t>同“第三条 犹豫期”“第四条 明确说明与如实告知”“第七条 保险责任”“第十三条 宽限</w:t>
                  </w:r>
                </w:p>
              </w:txbxContent>
            </v:textbox>
            <v:fill type="solid"/>
            <w10:wrap type="none"/>
          </v:shape>
        </w:pict>
      </w:r>
      <w:r>
        <w:rPr/>
        <w:pict>
          <v:shape style="position:absolute;margin-left:111.379997pt;margin-top:18.060022pt;width:393.75pt;height:14.8pt;mso-position-horizontal-relative:page;mso-position-vertical-relative:paragraph;z-index:-15710208;mso-wrap-distance-left:0;mso-wrap-distance-right:0" type="#_x0000_t202" id="docshape29" filled="true" fillcolor="#c0c0c0" stroked="false">
            <v:textbox inset="0,0,0,0">
              <w:txbxContent>
                <w:p>
                  <w:pPr>
                    <w:pStyle w:val="BodyText"/>
                    <w:spacing w:before="23"/>
                    <w:ind w:right="-15"/>
                    <w:rPr>
                      <w:rFonts w:ascii="黑体" w:hAnsi="黑体" w:eastAsia="黑体"/>
                      <w:color w:val="000000"/>
                    </w:rPr>
                  </w:pPr>
                  <w:r>
                    <w:rPr>
                      <w:rFonts w:ascii="黑体" w:hAnsi="黑体" w:eastAsia="黑体"/>
                      <w:color w:val="000000"/>
                      <w:spacing w:val="-3"/>
                    </w:rPr>
                    <w:t>除以上“第八条 责任免除”外，本合同中还有其他免除本公司责任的条款，详见本合</w:t>
                  </w:r>
                </w:p>
              </w:txbxContent>
            </v:textbox>
            <v:fill type="solid"/>
            <w10:wrap type="topAndBottom"/>
          </v:shape>
        </w:pict>
      </w:r>
      <w:bookmarkStart w:name="_bookmark10" w:id="11"/>
      <w:bookmarkEnd w:id="11"/>
      <w:r>
        <w:rPr>
          <w:b w:val="0"/>
        </w:rPr>
      </w:r>
      <w:r>
        <w:rPr>
          <w:spacing w:val="-5"/>
        </w:rPr>
        <w:t>第九条 </w:t>
      </w:r>
      <w:r>
        <w:rPr>
          <w:rFonts w:ascii="黑体" w:eastAsia="黑体" w:hint="eastAsia"/>
          <w:spacing w:val="-2"/>
        </w:rPr>
        <w:t>其他责任免除</w:t>
      </w:r>
    </w:p>
    <w:p>
      <w:pPr>
        <w:pStyle w:val="BodyText"/>
        <w:ind w:left="120"/>
        <w:rPr>
          <w:rFonts w:ascii="黑体"/>
          <w:sz w:val="20"/>
        </w:rPr>
      </w:pPr>
      <w:r>
        <w:rPr>
          <w:rFonts w:ascii="黑体"/>
          <w:sz w:val="20"/>
        </w:rPr>
        <w:pict>
          <v:shape style="width:309.9pt;height:14.8pt;mso-position-horizontal-relative:char;mso-position-vertical-relative:line" type="#_x0000_t202" id="docshape30" filled="true" fillcolor="#c0c0c0" stroked="false">
            <w10:anchorlock/>
            <v:textbox inset="0,0,0,0">
              <w:txbxContent>
                <w:p>
                  <w:pPr>
                    <w:pStyle w:val="BodyText"/>
                    <w:spacing w:before="22"/>
                    <w:ind w:right="-15"/>
                    <w:rPr>
                      <w:rFonts w:ascii="黑体" w:hAnsi="黑体" w:eastAsia="黑体"/>
                      <w:color w:val="000000"/>
                    </w:rPr>
                  </w:pPr>
                  <w:r>
                    <w:rPr>
                      <w:rFonts w:ascii="黑体" w:hAnsi="黑体" w:eastAsia="黑体"/>
                      <w:color w:val="000000"/>
                      <w:spacing w:val="-14"/>
                    </w:rPr>
                    <w:t>二十五条 保险金申请”“第三十条 释义”中背景突出显示的内容。</w:t>
                  </w:r>
                </w:p>
              </w:txbxContent>
            </v:textbox>
            <v:fill type="solid"/>
          </v:shape>
        </w:pict>
      </w:r>
      <w:r>
        <w:rPr>
          <w:rFonts w:ascii="黑体"/>
          <w:sz w:val="20"/>
        </w:rPr>
      </w:r>
    </w:p>
    <w:p>
      <w:pPr>
        <w:pStyle w:val="BodyText"/>
        <w:spacing w:before="8"/>
        <w:rPr>
          <w:rFonts w:ascii="黑体"/>
          <w:b/>
        </w:rPr>
      </w:pPr>
    </w:p>
    <w:p>
      <w:pPr>
        <w:pStyle w:val="Heading2"/>
        <w:spacing w:before="71"/>
      </w:pPr>
      <w:bookmarkStart w:name="_bookmark11" w:id="12"/>
      <w:bookmarkEnd w:id="12"/>
      <w:r>
        <w:rPr>
          <w:b w:val="0"/>
        </w:rPr>
      </w:r>
      <w:r>
        <w:rPr>
          <w:spacing w:val="-5"/>
        </w:rPr>
        <w:t>第十条 保险期间</w:t>
      </w:r>
    </w:p>
    <w:p>
      <w:pPr>
        <w:pStyle w:val="BodyText"/>
        <w:spacing w:before="43"/>
        <w:ind w:left="540"/>
      </w:pPr>
      <w:r>
        <w:rPr>
          <w:spacing w:val="-3"/>
        </w:rPr>
        <w:t>本合同的保险期间为终身，并在保险单上载明。</w:t>
      </w:r>
    </w:p>
    <w:p>
      <w:pPr>
        <w:pStyle w:val="BodyText"/>
        <w:spacing w:before="10"/>
        <w:rPr>
          <w:sz w:val="27"/>
        </w:rPr>
      </w:pPr>
    </w:p>
    <w:p>
      <w:pPr>
        <w:pStyle w:val="Heading2"/>
      </w:pPr>
      <w:bookmarkStart w:name="_bookmark12" w:id="13"/>
      <w:bookmarkEnd w:id="13"/>
      <w:r>
        <w:rPr>
          <w:b w:val="0"/>
        </w:rPr>
      </w:r>
      <w:r>
        <w:rPr>
          <w:spacing w:val="-4"/>
        </w:rPr>
        <w:t>第十一条 基本保险金额和年度有效保险金额</w:t>
      </w:r>
    </w:p>
    <w:p>
      <w:pPr>
        <w:pStyle w:val="BodyText"/>
        <w:spacing w:before="43"/>
        <w:ind w:left="540"/>
      </w:pPr>
      <w:r>
        <w:rPr>
          <w:spacing w:val="-2"/>
        </w:rPr>
        <w:t>（一）</w:t>
      </w:r>
      <w:r>
        <w:rPr>
          <w:spacing w:val="-3"/>
        </w:rPr>
        <w:t>本合同的基本保险金额由投保人和本公司双方协商约定，并在保险单上载明。</w:t>
      </w:r>
    </w:p>
    <w:p>
      <w:pPr>
        <w:pStyle w:val="BodyText"/>
        <w:spacing w:line="278" w:lineRule="auto" w:before="43"/>
        <w:ind w:left="120" w:right="1591" w:firstLine="419"/>
        <w:jc w:val="both"/>
      </w:pPr>
      <w:r>
        <w:rPr>
          <w:spacing w:val="-4"/>
        </w:rPr>
        <w:t>（二）本合同首个保险单年度内，当年度有效保险金额等于本合同的基本保险金额；从</w:t>
      </w:r>
      <w:r>
        <w:rPr>
          <w:spacing w:val="-1"/>
        </w:rPr>
        <w:t>第二个保险单年度起，年度有效保险金额每年按 </w:t>
      </w:r>
      <w:r>
        <w:rPr/>
        <w:t>3.5%以年复利增加，即当年度有效保险金</w:t>
      </w:r>
      <w:r>
        <w:rPr>
          <w:spacing w:val="-2"/>
        </w:rPr>
        <w:t>额等于上一个保险单年度的有效保险金额×</w:t>
      </w:r>
      <w:r>
        <w:rPr>
          <w:spacing w:val="7"/>
        </w:rPr>
        <w:t>（</w:t>
      </w:r>
      <w:r>
        <w:rPr>
          <w:spacing w:val="10"/>
        </w:rPr>
        <w:t>1+3</w:t>
      </w:r>
      <w:r>
        <w:rPr>
          <w:spacing w:val="7"/>
        </w:rPr>
        <w:t>.5</w:t>
      </w:r>
      <w:r>
        <w:rPr>
          <w:spacing w:val="10"/>
        </w:rPr>
        <w:t>%</w:t>
      </w:r>
      <w:r>
        <w:rPr>
          <w:spacing w:val="-96"/>
        </w:rPr>
        <w:t>）</w:t>
      </w:r>
      <w:r>
        <w:rPr>
          <w:spacing w:val="-2"/>
        </w:rPr>
        <w:t>。</w:t>
      </w:r>
    </w:p>
    <w:p>
      <w:pPr>
        <w:pStyle w:val="BodyText"/>
        <w:spacing w:line="278" w:lineRule="auto"/>
        <w:ind w:left="120" w:right="1591" w:firstLine="419"/>
        <w:jc w:val="both"/>
      </w:pPr>
      <w:r>
        <w:rPr/>
        <w:t>（三）</w:t>
      </w:r>
      <w:r>
        <w:rPr>
          <w:spacing w:val="-1"/>
        </w:rPr>
        <w:t>若本合同的基本保险金额按本合同“第十五条 减少基本保险金额”约定发生变</w:t>
      </w:r>
      <w:r>
        <w:rPr>
          <w:spacing w:val="-4"/>
        </w:rPr>
        <w:t>更，则以变更后的基本保险金额为准。本合同各保险单年度内的当年度有效保险金额按变更</w:t>
      </w:r>
      <w:r>
        <w:rPr>
          <w:spacing w:val="-2"/>
        </w:rPr>
        <w:t>后的基本保险金额重新计算。</w:t>
      </w:r>
    </w:p>
    <w:p>
      <w:pPr>
        <w:pStyle w:val="BodyText"/>
        <w:spacing w:before="3"/>
        <w:rPr>
          <w:sz w:val="24"/>
        </w:rPr>
      </w:pPr>
    </w:p>
    <w:p>
      <w:pPr>
        <w:pStyle w:val="Heading2"/>
      </w:pPr>
      <w:bookmarkStart w:name="_bookmark13" w:id="14"/>
      <w:bookmarkEnd w:id="14"/>
      <w:r>
        <w:rPr>
          <w:b w:val="0"/>
        </w:rPr>
      </w:r>
      <w:r>
        <w:rPr>
          <w:spacing w:val="-3"/>
        </w:rPr>
        <w:t>第十二条 保险费</w:t>
      </w:r>
    </w:p>
    <w:p>
      <w:pPr>
        <w:pStyle w:val="BodyText"/>
        <w:spacing w:line="278" w:lineRule="auto" w:before="43"/>
        <w:ind w:left="120" w:right="1497" w:firstLine="419"/>
      </w:pPr>
      <w:r>
        <w:rPr>
          <w:spacing w:val="-5"/>
        </w:rPr>
        <w:t>本合同的保险费按照约定的基本保险金额和约定的费率标准确定并在保险单上载明。交</w:t>
      </w:r>
      <w:r>
        <w:rPr>
          <w:spacing w:val="-2"/>
        </w:rPr>
        <w:t>费方式、保险费约定交纳日和交费期间由投保人和本公司双方协商约定并在保险单上载明。</w:t>
      </w:r>
      <w:r>
        <w:rPr>
          <w:spacing w:val="-2"/>
        </w:rPr>
        <w:t>趸交保险费的，投保人应在合同成立时一次性交清保险费。分期支付保险费的，在交纳首期</w:t>
      </w:r>
      <w:r>
        <w:rPr>
          <w:spacing w:val="-2"/>
        </w:rPr>
        <w:t>保险费后，投保人应按保险费约定交纳日交纳其余各期的保险费。</w:t>
      </w:r>
    </w:p>
    <w:p>
      <w:pPr>
        <w:pStyle w:val="BodyText"/>
        <w:spacing w:before="5"/>
        <w:rPr>
          <w:sz w:val="24"/>
        </w:rPr>
      </w:pPr>
    </w:p>
    <w:p>
      <w:pPr>
        <w:pStyle w:val="Heading2"/>
      </w:pPr>
      <w:bookmarkStart w:name="_bookmark14" w:id="15"/>
      <w:bookmarkEnd w:id="15"/>
      <w:r>
        <w:rPr>
          <w:b w:val="0"/>
        </w:rPr>
      </w:r>
      <w:r>
        <w:rPr>
          <w:spacing w:val="-3"/>
        </w:rPr>
        <w:t>第十三条 宽限期</w:t>
      </w:r>
    </w:p>
    <w:p>
      <w:pPr>
        <w:pStyle w:val="BodyText"/>
        <w:spacing w:line="278" w:lineRule="auto" w:before="43"/>
        <w:ind w:left="120" w:right="1488" w:firstLine="419"/>
      </w:pPr>
      <w:r>
        <w:rPr/>
        <w:drawing>
          <wp:anchor distT="0" distB="0" distL="0" distR="0" allowOverlap="1" layoutInCell="1" locked="0" behindDoc="1" simplePos="0" relativeHeight="487199232">
            <wp:simplePos x="0" y="0"/>
            <wp:positionH relativeFrom="page">
              <wp:posOffset>4885309</wp:posOffset>
            </wp:positionH>
            <wp:positionV relativeFrom="paragraph">
              <wp:posOffset>210946</wp:posOffset>
            </wp:positionV>
            <wp:extent cx="1533398" cy="187451"/>
            <wp:effectExtent l="0" t="0" r="0" b="0"/>
            <wp:wrapNone/>
            <wp:docPr id="21" name="image9.png"/>
            <wp:cNvGraphicFramePr>
              <a:graphicFrameLocks noChangeAspect="1"/>
            </wp:cNvGraphicFramePr>
            <a:graphic>
              <a:graphicData uri="http://schemas.openxmlformats.org/drawingml/2006/picture">
                <pic:pic>
                  <pic:nvPicPr>
                    <pic:cNvPr id="22" name="image9.png"/>
                    <pic:cNvPicPr/>
                  </pic:nvPicPr>
                  <pic:blipFill>
                    <a:blip r:embed="rId14" cstate="print"/>
                    <a:stretch>
                      <a:fillRect/>
                    </a:stretch>
                  </pic:blipFill>
                  <pic:spPr>
                    <a:xfrm>
                      <a:off x="0" y="0"/>
                      <a:ext cx="1533398" cy="187451"/>
                    </a:xfrm>
                    <a:prstGeom prst="rect">
                      <a:avLst/>
                    </a:prstGeom>
                  </pic:spPr>
                </pic:pic>
              </a:graphicData>
            </a:graphic>
          </wp:anchor>
        </w:drawing>
      </w:r>
      <w:r>
        <w:rPr/>
        <w:pict>
          <v:shape style="position:absolute;margin-left:90.024002pt;margin-top:32.209999pt;width:336.3pt;height:14.8pt;mso-position-horizontal-relative:page;mso-position-vertical-relative:paragraph;z-index:15749632" type="#_x0000_t202" id="docshape31" filled="true" fillcolor="#c0c0c0" stroked="false">
            <v:textbox inset="0,0,0,0">
              <w:txbxContent>
                <w:p>
                  <w:pPr>
                    <w:pStyle w:val="BodyText"/>
                    <w:spacing w:before="23"/>
                    <w:ind w:right="-15"/>
                    <w:rPr>
                      <w:color w:val="000000"/>
                    </w:rPr>
                  </w:pPr>
                  <w:r>
                    <w:rPr>
                      <w:color w:val="000000"/>
                      <w:spacing w:val="-3"/>
                    </w:rPr>
                    <w:t>本公司仍会承担保险责任，但在给付保险金时会扣减投保人欠交的保险费</w:t>
                  </w:r>
                </w:p>
              </w:txbxContent>
            </v:textbox>
            <v:fill type="solid"/>
            <w10:wrap type="none"/>
          </v:shape>
        </w:pict>
      </w:r>
      <w:r>
        <w:rPr>
          <w:spacing w:val="-2"/>
        </w:rPr>
        <w:t>分期支付保险费的，投保人支付首期保险费后，除本合同另有约定外，若投保人到期未</w:t>
      </w:r>
      <w:r>
        <w:rPr>
          <w:spacing w:val="-6"/>
        </w:rPr>
        <w:t>支付保险费，自保险费约定交纳日的次日零时起 </w:t>
      </w:r>
      <w:r>
        <w:rPr>
          <w:spacing w:val="-4"/>
        </w:rPr>
        <w:t>60</w:t>
      </w:r>
      <w:r>
        <w:rPr>
          <w:spacing w:val="-10"/>
        </w:rPr>
        <w:t> 日为宽限期。宽限期内发生的保险事故，</w:t>
      </w:r>
    </w:p>
    <w:p>
      <w:pPr>
        <w:spacing w:line="269" w:lineRule="exact" w:before="0"/>
        <w:ind w:left="6846" w:right="0" w:firstLine="0"/>
        <w:jc w:val="left"/>
        <w:rPr>
          <w:sz w:val="21"/>
        </w:rPr>
      </w:pPr>
      <w:r>
        <w:rPr/>
        <w:pict>
          <v:shape style="position:absolute;margin-left:111.019997pt;margin-top:14.448748pt;width:394.4pt;height:14.8pt;mso-position-horizontal-relative:page;mso-position-vertical-relative:paragraph;z-index:-15709184;mso-wrap-distance-left:0;mso-wrap-distance-right:0" type="#_x0000_t202" id="docshape32" filled="true" fillcolor="#c0c0c0" stroked="false">
            <v:textbox inset="0,0,0,0">
              <w:txbxContent>
                <w:p>
                  <w:pPr>
                    <w:pStyle w:val="BodyText"/>
                    <w:spacing w:before="22"/>
                    <w:ind w:right="-15"/>
                    <w:rPr>
                      <w:color w:val="000000"/>
                    </w:rPr>
                  </w:pPr>
                  <w:r>
                    <w:rPr>
                      <w:color w:val="000000"/>
                      <w:spacing w:val="-8"/>
                    </w:rPr>
                    <w:t>若投保人在本合同宽限期结束之后仍未交纳保险费，则本合同自宽限期结束次日零时起</w:t>
                  </w:r>
                </w:p>
              </w:txbxContent>
            </v:textbox>
            <v:fill type="solid"/>
            <w10:wrap type="topAndBottom"/>
          </v:shape>
        </w:pict>
      </w:r>
      <w:r>
        <w:rPr>
          <w:w w:val="100"/>
          <w:sz w:val="21"/>
        </w:rPr>
        <w:t>。</w:t>
      </w:r>
    </w:p>
    <w:p>
      <w:pPr>
        <w:pStyle w:val="BodyText"/>
        <w:ind w:left="120"/>
        <w:rPr>
          <w:sz w:val="20"/>
        </w:rPr>
      </w:pPr>
      <w:r>
        <w:rPr>
          <w:sz w:val="20"/>
        </w:rPr>
        <w:pict>
          <v:shape style="width:283.75pt;height:14.8pt;mso-position-horizontal-relative:char;mso-position-vertical-relative:line" type="#_x0000_t202" id="docshape33" filled="true" fillcolor="#c0c0c0" stroked="false">
            <w10:anchorlock/>
            <v:textbox inset="0,0,0,0">
              <w:txbxContent>
                <w:p>
                  <w:pPr>
                    <w:pStyle w:val="BodyText"/>
                    <w:spacing w:before="22"/>
                    <w:ind w:right="-15"/>
                    <w:rPr>
                      <w:color w:val="000000"/>
                    </w:rPr>
                  </w:pPr>
                  <w:r>
                    <w:rPr>
                      <w:color w:val="000000"/>
                      <w:spacing w:val="-5"/>
                    </w:rPr>
                    <w:t>效力中止。在本合同效力中止期间，本公司不承担保险责任。</w:t>
                  </w:r>
                </w:p>
              </w:txbxContent>
            </v:textbox>
            <v:fill type="solid"/>
          </v:shape>
        </w:pict>
      </w:r>
      <w:r>
        <w:rPr>
          <w:sz w:val="20"/>
        </w:rPr>
      </w:r>
    </w:p>
    <w:p>
      <w:pPr>
        <w:pStyle w:val="BodyText"/>
        <w:rPr>
          <w:sz w:val="20"/>
        </w:rPr>
      </w:pPr>
    </w:p>
    <w:p>
      <w:pPr>
        <w:pStyle w:val="BodyText"/>
        <w:spacing w:before="7"/>
        <w:rPr>
          <w:sz w:val="24"/>
        </w:rPr>
      </w:pPr>
    </w:p>
    <w:p>
      <w:pPr>
        <w:pStyle w:val="Heading1"/>
        <w:spacing w:before="67"/>
        <w:ind w:left="3008"/>
      </w:pPr>
      <w:bookmarkStart w:name="_bookmark15" w:id="16"/>
      <w:bookmarkEnd w:id="16"/>
      <w:r>
        <w:rPr>
          <w:b w:val="0"/>
        </w:rPr>
      </w:r>
      <w:r>
        <w:rPr>
          <w:spacing w:val="-3"/>
        </w:rPr>
        <w:t>第三部分 保</w:t>
      </w:r>
      <w:r>
        <w:rPr/>
        <w:t>险</w:t>
      </w:r>
      <w:r>
        <w:rPr/>
        <w:t>服</w:t>
      </w:r>
      <w:r>
        <w:rPr/>
        <w:t>务</w:t>
      </w:r>
      <w:r>
        <w:rPr/>
        <w:t>条</w:t>
      </w:r>
      <w:r>
        <w:rPr>
          <w:spacing w:val="-10"/>
        </w:rPr>
        <w:t>款</w:t>
      </w:r>
    </w:p>
    <w:p>
      <w:pPr>
        <w:pStyle w:val="BodyText"/>
        <w:spacing w:before="4"/>
        <w:rPr>
          <w:b/>
          <w:sz w:val="26"/>
        </w:rPr>
      </w:pPr>
    </w:p>
    <w:p>
      <w:pPr>
        <w:pStyle w:val="Heading2"/>
        <w:jc w:val="both"/>
      </w:pPr>
      <w:r>
        <w:rPr>
          <w:spacing w:val="-1"/>
        </w:rPr>
        <w:t>第十四条 保险单贷款</w:t>
      </w:r>
    </w:p>
    <w:p>
      <w:pPr>
        <w:pStyle w:val="BodyText"/>
        <w:spacing w:line="278" w:lineRule="auto" w:before="43"/>
        <w:ind w:left="120" w:right="1591" w:firstLine="419"/>
        <w:jc w:val="both"/>
      </w:pPr>
      <w:r>
        <w:rPr>
          <w:spacing w:val="-4"/>
        </w:rPr>
        <w:t>在本合同有效期内，经本公司同意，投保人可以凭保险单向本公司申请贷款。贷款金额</w:t>
      </w:r>
      <w:r>
        <w:rPr>
          <w:spacing w:val="-5"/>
        </w:rPr>
        <w:t>不得超过本合同的现金价值扣除各项欠款及利息后余额的 </w:t>
      </w:r>
      <w:r>
        <w:rPr>
          <w:spacing w:val="-4"/>
        </w:rPr>
        <w:t>80</w:t>
      </w:r>
      <w:r>
        <w:rPr>
          <w:spacing w:val="-6"/>
        </w:rPr>
        <w:t>％，每次贷款期限最长不超过 </w:t>
      </w:r>
      <w:r>
        <w:rPr>
          <w:spacing w:val="-4"/>
        </w:rPr>
        <w:t>6</w:t>
      </w:r>
      <w:r>
        <w:rPr>
          <w:spacing w:val="-4"/>
        </w:rPr>
        <w:t>个月，贷款利率按本公司办理贷款时确定的利率执行，并在贷款协议中载明。贷款本息在贷</w:t>
      </w:r>
      <w:r>
        <w:rPr>
          <w:spacing w:val="-8"/>
        </w:rPr>
        <w:t>款到期时一并归还。若投保人到期未能足额偿还贷款本息，则投保人所欠的贷款本金及利息</w:t>
      </w:r>
      <w:r>
        <w:rPr>
          <w:spacing w:val="-4"/>
        </w:rPr>
        <w:t>将作为新的贷款本金计息，新的贷款利率按本公司届时新确定的利率执行，并在贷款偿还通</w:t>
      </w:r>
      <w:r>
        <w:rPr>
          <w:spacing w:val="-2"/>
        </w:rPr>
        <w:t>知书中载明。</w:t>
      </w:r>
    </w:p>
    <w:p>
      <w:pPr>
        <w:spacing w:after="0" w:line="278" w:lineRule="auto"/>
        <w:jc w:val="both"/>
        <w:sectPr>
          <w:pgSz w:w="11910" w:h="16840"/>
          <w:pgMar w:header="0" w:footer="985" w:top="1420" w:bottom="1180" w:left="1680" w:right="200"/>
        </w:sectPr>
      </w:pPr>
    </w:p>
    <w:p>
      <w:pPr>
        <w:pStyle w:val="BodyText"/>
        <w:spacing w:before="10"/>
      </w:pPr>
    </w:p>
    <w:p>
      <w:pPr>
        <w:pStyle w:val="Heading2"/>
        <w:spacing w:before="72"/>
      </w:pPr>
      <w:r>
        <w:rPr/>
        <w:pict>
          <v:shape style="position:absolute;margin-left:90.024002pt;margin-top:-29.599977pt;width:21pt;height:15.65pt;mso-position-horizontal-relative:page;mso-position-vertical-relative:paragraph;z-index:-16113152" type="#_x0000_t202" id="docshape34" filled="true" fillcolor="#c0c0c0" stroked="false">
            <v:textbox inset="0,0,0,0">
              <w:txbxContent>
                <w:p>
                  <w:pPr>
                    <w:pStyle w:val="BodyText"/>
                    <w:spacing w:before="40"/>
                    <w:ind w:right="-15"/>
                    <w:rPr>
                      <w:color w:val="000000"/>
                    </w:rPr>
                  </w:pPr>
                  <w:r>
                    <w:rPr>
                      <w:color w:val="000000"/>
                      <w:spacing w:val="-5"/>
                    </w:rPr>
                    <w:t>止。</w:t>
                  </w:r>
                </w:p>
              </w:txbxContent>
            </v:textbox>
            <v:fill type="solid"/>
            <w10:wrap type="none"/>
          </v:shape>
        </w:pict>
      </w:r>
      <w:r>
        <w:rPr/>
        <w:pict>
          <v:shape style="position:absolute;margin-left:111.024002pt;margin-top:-44.359978pt;width:394.4pt;height:14.8pt;mso-position-horizontal-relative:page;mso-position-vertical-relative:paragraph;z-index:-16112640" type="#_x0000_t202" id="docshape35" filled="true" fillcolor="#c0c0c0" stroked="false">
            <v:textbox inset="0,0,0,0">
              <w:txbxContent>
                <w:p>
                  <w:pPr>
                    <w:pStyle w:val="BodyText"/>
                    <w:spacing w:before="22"/>
                    <w:ind w:left="-1" w:right="-15"/>
                    <w:rPr>
                      <w:color w:val="000000"/>
                    </w:rPr>
                  </w:pPr>
                  <w:r>
                    <w:rPr>
                      <w:color w:val="000000"/>
                      <w:spacing w:val="-7"/>
                    </w:rPr>
                    <w:t>当未还贷款本金及利息加上其他各项欠款达到本合同的现金价值时，本合同效力即行中</w:t>
                  </w:r>
                </w:p>
              </w:txbxContent>
            </v:textbox>
            <v:fill type="solid"/>
            <w10:wrap type="none"/>
          </v:shape>
        </w:pict>
      </w:r>
      <w:r>
        <w:rPr>
          <w:spacing w:val="-1"/>
        </w:rPr>
        <w:t>第十五条 减少基本保险金额</w:t>
      </w:r>
    </w:p>
    <w:p>
      <w:pPr>
        <w:pStyle w:val="BodyText"/>
        <w:spacing w:line="278" w:lineRule="auto" w:before="43"/>
        <w:ind w:left="120" w:right="1591" w:firstLine="419"/>
        <w:jc w:val="right"/>
      </w:pPr>
      <w:r>
        <w:rPr/>
        <w:drawing>
          <wp:anchor distT="0" distB="0" distL="0" distR="0" allowOverlap="1" layoutInCell="1" locked="0" behindDoc="1" simplePos="0" relativeHeight="487201792">
            <wp:simplePos x="0" y="0"/>
            <wp:positionH relativeFrom="page">
              <wp:posOffset>1751329</wp:posOffset>
            </wp:positionH>
            <wp:positionV relativeFrom="paragraph">
              <wp:posOffset>409066</wp:posOffset>
            </wp:positionV>
            <wp:extent cx="4667377" cy="187451"/>
            <wp:effectExtent l="0" t="0" r="0" b="0"/>
            <wp:wrapNone/>
            <wp:docPr id="23" name="image10.png"/>
            <wp:cNvGraphicFramePr>
              <a:graphicFrameLocks noChangeAspect="1"/>
            </wp:cNvGraphicFramePr>
            <a:graphic>
              <a:graphicData uri="http://schemas.openxmlformats.org/drawingml/2006/picture">
                <pic:pic>
                  <pic:nvPicPr>
                    <pic:cNvPr id="24" name="image10.png"/>
                    <pic:cNvPicPr/>
                  </pic:nvPicPr>
                  <pic:blipFill>
                    <a:blip r:embed="rId15" cstate="print"/>
                    <a:stretch>
                      <a:fillRect/>
                    </a:stretch>
                  </pic:blipFill>
                  <pic:spPr>
                    <a:xfrm>
                      <a:off x="0" y="0"/>
                      <a:ext cx="4667377" cy="187451"/>
                    </a:xfrm>
                    <a:prstGeom prst="rect">
                      <a:avLst/>
                    </a:prstGeom>
                  </pic:spPr>
                </pic:pic>
              </a:graphicData>
            </a:graphic>
          </wp:anchor>
        </w:drawing>
      </w:r>
      <w:r>
        <w:rPr/>
        <w:pict>
          <v:shape style="position:absolute;margin-left:90.024002pt;margin-top:47.809986pt;width:117.15pt;height:14.8pt;mso-position-horizontal-relative:page;mso-position-vertical-relative:paragraph;z-index:-16112128" type="#_x0000_t202" id="docshape36" filled="true" fillcolor="#c0c0c0" stroked="false">
            <v:textbox inset="0,0,0,0">
              <w:txbxContent>
                <w:p>
                  <w:pPr>
                    <w:pStyle w:val="BodyText"/>
                    <w:spacing w:before="23"/>
                    <w:rPr>
                      <w:color w:val="000000"/>
                    </w:rPr>
                  </w:pPr>
                  <w:r>
                    <w:rPr>
                      <w:color w:val="000000"/>
                      <w:spacing w:val="1"/>
                    </w:rPr>
                    <w:t>时基本保险金额的 </w:t>
                  </w:r>
                  <w:r>
                    <w:rPr>
                      <w:color w:val="000000"/>
                    </w:rPr>
                    <w:t>20</w:t>
                  </w:r>
                  <w:r>
                    <w:rPr>
                      <w:color w:val="000000"/>
                      <w:spacing w:val="-5"/>
                    </w:rPr>
                    <w:t>%。</w:t>
                  </w:r>
                </w:p>
              </w:txbxContent>
            </v:textbox>
            <v:fill type="solid"/>
            <w10:wrap type="none"/>
          </v:shape>
        </w:pict>
      </w:r>
      <w:r>
        <w:rPr>
          <w:spacing w:val="-6"/>
        </w:rPr>
        <w:t>本合同犹豫期后且本合同有效，投保人可向本公司申请减少本合同的基本保险金额，经</w:t>
      </w:r>
      <w:r>
        <w:rPr>
          <w:spacing w:val="-11"/>
        </w:rPr>
        <w:t>本公司审核同意后，基本保险金额减少，本公司向投保人退还基本保险金额减少部分对应的</w:t>
      </w:r>
      <w:r>
        <w:rPr>
          <w:spacing w:val="-12"/>
        </w:rPr>
        <w:t>现金价值。投保人每个保险单年度内累计申请减少的基本保险金额之和不得超过本合同生效</w:t>
      </w:r>
      <w:r>
        <w:rPr>
          <w:spacing w:val="-2"/>
        </w:rPr>
        <w:t>减少后的基本保险金额需符合本公司规定的最低基本保险金额要</w:t>
      </w:r>
    </w:p>
    <w:p>
      <w:pPr>
        <w:pStyle w:val="BodyText"/>
        <w:spacing w:line="269" w:lineRule="exact"/>
        <w:ind w:left="120"/>
      </w:pPr>
      <w:r>
        <w:rPr/>
        <w:drawing>
          <wp:anchor distT="0" distB="0" distL="0" distR="0" allowOverlap="1" layoutInCell="1" locked="0" behindDoc="1" simplePos="0" relativeHeight="487200256">
            <wp:simplePos x="0" y="0"/>
            <wp:positionH relativeFrom="page">
              <wp:posOffset>1409953</wp:posOffset>
            </wp:positionH>
            <wp:positionV relativeFrom="paragraph">
              <wp:posOffset>183403</wp:posOffset>
            </wp:positionV>
            <wp:extent cx="5008753" cy="187451"/>
            <wp:effectExtent l="0" t="0" r="0" b="0"/>
            <wp:wrapNone/>
            <wp:docPr id="25" name="image5.png"/>
            <wp:cNvGraphicFramePr>
              <a:graphicFrameLocks noChangeAspect="1"/>
            </wp:cNvGraphicFramePr>
            <a:graphic>
              <a:graphicData uri="http://schemas.openxmlformats.org/drawingml/2006/picture">
                <pic:pic>
                  <pic:nvPicPr>
                    <pic:cNvPr id="26" name="image5.png"/>
                    <pic:cNvPicPr/>
                  </pic:nvPicPr>
                  <pic:blipFill>
                    <a:blip r:embed="rId10" cstate="print"/>
                    <a:stretch>
                      <a:fillRect/>
                    </a:stretch>
                  </pic:blipFill>
                  <pic:spPr>
                    <a:xfrm>
                      <a:off x="0" y="0"/>
                      <a:ext cx="5008753" cy="187451"/>
                    </a:xfrm>
                    <a:prstGeom prst="rect">
                      <a:avLst/>
                    </a:prstGeom>
                  </pic:spPr>
                </pic:pic>
              </a:graphicData>
            </a:graphic>
          </wp:anchor>
        </w:drawing>
      </w:r>
      <w:r>
        <w:rPr/>
        <w:pict>
          <v:shape style="position:absolute;margin-left:111.019997pt;margin-top:14.44125pt;width:394.4pt;height:14.8pt;mso-position-horizontal-relative:page;mso-position-vertical-relative:paragraph;z-index:-16115712" type="#_x0000_t202" id="docshape37" filled="false" stroked="false">
            <v:textbox inset="0,0,0,0">
              <w:txbxContent>
                <w:p>
                  <w:pPr>
                    <w:pStyle w:val="BodyText"/>
                    <w:spacing w:before="23"/>
                    <w:ind w:right="-15"/>
                  </w:pPr>
                  <w:r>
                    <w:rPr>
                      <w:spacing w:val="-5"/>
                    </w:rPr>
                    <w:t>减少基本保险金额后，本合同各保险单年度的当年度有效保险金额、累计已交保险费和</w:t>
                  </w:r>
                </w:p>
              </w:txbxContent>
            </v:textbox>
            <w10:wrap type="none"/>
          </v:shape>
        </w:pict>
      </w:r>
      <w:r>
        <w:rPr/>
        <w:pict>
          <v:shape style="position:absolute;margin-left:90.024002pt;margin-top:30.04125pt;width:415.4pt;height:14.8pt;mso-position-horizontal-relative:page;mso-position-vertical-relative:paragraph;z-index:-15706112;mso-wrap-distance-left:0;mso-wrap-distance-right:0" type="#_x0000_t202" id="docshape38" filled="true" fillcolor="#c0c0c0" stroked="false">
            <v:textbox inset="0,0,0,0">
              <w:txbxContent>
                <w:p>
                  <w:pPr>
                    <w:pStyle w:val="BodyText"/>
                    <w:spacing w:before="22"/>
                    <w:ind w:right="-15"/>
                    <w:rPr>
                      <w:color w:val="000000"/>
                    </w:rPr>
                  </w:pPr>
                  <w:r>
                    <w:rPr>
                      <w:color w:val="000000"/>
                      <w:spacing w:val="-12"/>
                    </w:rPr>
                    <w:t>现金价值同比例减少。本合同自基本保险金额减少后的各期保险费按减少后的基本保险金额</w:t>
                  </w:r>
                </w:p>
              </w:txbxContent>
            </v:textbox>
            <v:fill type="solid"/>
            <w10:wrap type="topAndBottom"/>
          </v:shape>
        </w:pict>
      </w:r>
      <w:r>
        <w:rPr>
          <w:spacing w:val="-5"/>
        </w:rPr>
        <w:t>求。</w:t>
      </w:r>
    </w:p>
    <w:p>
      <w:pPr>
        <w:pStyle w:val="BodyText"/>
        <w:spacing w:before="2"/>
        <w:rPr>
          <w:sz w:val="23"/>
        </w:rPr>
      </w:pPr>
    </w:p>
    <w:p>
      <w:pPr>
        <w:pStyle w:val="Heading2"/>
        <w:spacing w:before="71"/>
        <w:jc w:val="both"/>
      </w:pPr>
      <w:r>
        <w:rPr/>
        <w:drawing>
          <wp:anchor distT="0" distB="0" distL="0" distR="0" allowOverlap="1" layoutInCell="1" locked="0" behindDoc="1" simplePos="0" relativeHeight="487202304">
            <wp:simplePos x="0" y="0"/>
            <wp:positionH relativeFrom="page">
              <wp:posOffset>1143304</wp:posOffset>
            </wp:positionH>
            <wp:positionV relativeFrom="paragraph">
              <wp:posOffset>-366014</wp:posOffset>
            </wp:positionV>
            <wp:extent cx="5275453" cy="187451"/>
            <wp:effectExtent l="0" t="0" r="0" b="0"/>
            <wp:wrapNone/>
            <wp:docPr id="27" name="image11.png"/>
            <wp:cNvGraphicFramePr>
              <a:graphicFrameLocks noChangeAspect="1"/>
            </wp:cNvGraphicFramePr>
            <a:graphic>
              <a:graphicData uri="http://schemas.openxmlformats.org/drawingml/2006/picture">
                <pic:pic>
                  <pic:nvPicPr>
                    <pic:cNvPr id="28" name="image11.png"/>
                    <pic:cNvPicPr/>
                  </pic:nvPicPr>
                  <pic:blipFill>
                    <a:blip r:embed="rId16" cstate="print"/>
                    <a:stretch>
                      <a:fillRect/>
                    </a:stretch>
                  </pic:blipFill>
                  <pic:spPr>
                    <a:xfrm>
                      <a:off x="0" y="0"/>
                      <a:ext cx="5275453" cy="187451"/>
                    </a:xfrm>
                    <a:prstGeom prst="rect">
                      <a:avLst/>
                    </a:prstGeom>
                  </pic:spPr>
                </pic:pic>
              </a:graphicData>
            </a:graphic>
          </wp:anchor>
        </w:drawing>
      </w:r>
      <w:r>
        <w:rPr/>
        <w:pict>
          <v:shape style="position:absolute;margin-left:90.024002pt;margin-top:-28.820007pt;width:420.2pt;height:14.8pt;mso-position-horizontal-relative:page;mso-position-vertical-relative:paragraph;z-index:-16113664" type="#_x0000_t202" id="docshape39" filled="false" stroked="false">
            <v:textbox inset="0,0,0,0">
              <w:txbxContent>
                <w:p>
                  <w:pPr>
                    <w:pStyle w:val="BodyText"/>
                    <w:spacing w:before="23"/>
                  </w:pPr>
                  <w:r>
                    <w:rPr>
                      <w:spacing w:val="-3"/>
                    </w:rPr>
                    <w:t>重新计算，本公司按减少后的保险费和各保险单年度的当年度有效保险金额承担保险责任。</w:t>
                  </w:r>
                </w:p>
              </w:txbxContent>
            </v:textbox>
            <w10:wrap type="none"/>
          </v:shape>
        </w:pict>
      </w:r>
      <w:r>
        <w:rPr>
          <w:spacing w:val="-1"/>
        </w:rPr>
        <w:t>第十六条 合同内容变更</w:t>
      </w:r>
    </w:p>
    <w:p>
      <w:pPr>
        <w:pStyle w:val="BodyText"/>
        <w:spacing w:line="278" w:lineRule="auto" w:before="43"/>
        <w:ind w:left="120" w:right="1591" w:firstLine="419"/>
        <w:jc w:val="both"/>
      </w:pPr>
      <w:r>
        <w:rPr>
          <w:spacing w:val="-4"/>
        </w:rPr>
        <w:t>在本合同有效期内，经投保人和本公司协商，可以变更本合同的有关内容。变更本合同</w:t>
      </w:r>
      <w:r>
        <w:rPr>
          <w:spacing w:val="-5"/>
        </w:rPr>
        <w:t>的，应当由本公司在原保险单上批注或附贴批单，或由投保人和本公司订立变更的书面协议</w:t>
      </w:r>
      <w:r>
        <w:rPr>
          <w:spacing w:val="-2"/>
        </w:rPr>
        <w:t>后，变更方为生效。</w:t>
      </w:r>
    </w:p>
    <w:p>
      <w:pPr>
        <w:pStyle w:val="BodyText"/>
        <w:spacing w:line="278" w:lineRule="auto"/>
        <w:ind w:left="120" w:right="1485" w:firstLine="419"/>
      </w:pPr>
      <w:r>
        <w:rPr>
          <w:spacing w:val="-2"/>
        </w:rPr>
        <w:t>上述批注或附贴批单、变更的书面协议及本合同第一条中的“合法有效的声明”是本合</w:t>
      </w:r>
      <w:r>
        <w:rPr>
          <w:spacing w:val="-16"/>
        </w:rPr>
        <w:t>同的有效组成部分，本合同条款与批注或附贴批单、变更的书面协议及前述声明不一致之处，</w:t>
      </w:r>
      <w:r>
        <w:rPr>
          <w:spacing w:val="-2"/>
        </w:rPr>
        <w:t>以批注或附贴批单、变更的书面协议及前述声明为准；就同一内容或事项，有两份以上批注</w:t>
      </w:r>
      <w:r>
        <w:rPr>
          <w:spacing w:val="-2"/>
        </w:rPr>
        <w:t>或附贴批单、变更的书面协议及前述声明，且存在不一致之处的，以日期在后者为准；批注</w:t>
      </w:r>
      <w:r>
        <w:rPr>
          <w:spacing w:val="-2"/>
        </w:rPr>
        <w:t>或附贴批单、变更的书面协议及前述声明未尽之处，以本合同条款为准。</w:t>
      </w:r>
    </w:p>
    <w:p>
      <w:pPr>
        <w:pStyle w:val="BodyText"/>
        <w:spacing w:before="4"/>
        <w:rPr>
          <w:sz w:val="24"/>
        </w:rPr>
      </w:pPr>
    </w:p>
    <w:p>
      <w:pPr>
        <w:spacing w:line="278" w:lineRule="auto" w:before="0"/>
        <w:ind w:left="540" w:right="7256" w:hanging="420"/>
        <w:jc w:val="left"/>
        <w:rPr>
          <w:sz w:val="21"/>
        </w:rPr>
      </w:pPr>
      <w:r>
        <w:rPr>
          <w:b/>
          <w:spacing w:val="-5"/>
          <w:sz w:val="21"/>
        </w:rPr>
        <w:t>第十七条 受益人指定和变更</w:t>
      </w:r>
      <w:r>
        <w:rPr>
          <w:spacing w:val="-2"/>
          <w:sz w:val="21"/>
        </w:rPr>
        <w:t>本合同的受益人包括：</w:t>
      </w:r>
    </w:p>
    <w:p>
      <w:pPr>
        <w:pStyle w:val="BodyText"/>
        <w:ind w:left="540"/>
      </w:pPr>
      <w:r>
        <w:rPr>
          <w:spacing w:val="-2"/>
        </w:rPr>
        <w:t>（一）</w:t>
      </w:r>
      <w:r>
        <w:rPr>
          <w:spacing w:val="-3"/>
        </w:rPr>
        <w:t>疾病身故保险金受益人</w:t>
      </w:r>
    </w:p>
    <w:p>
      <w:pPr>
        <w:pStyle w:val="BodyText"/>
        <w:spacing w:line="278" w:lineRule="auto" w:before="43"/>
        <w:ind w:left="120" w:right="1591" w:firstLine="419"/>
        <w:jc w:val="both"/>
      </w:pPr>
      <w:r>
        <w:rPr>
          <w:spacing w:val="-6"/>
        </w:rPr>
        <w:t>被保险人或者投保人可指定一人或数人为疾病身故保险金的受益人。疾病身故保险金受</w:t>
      </w:r>
      <w:r>
        <w:rPr>
          <w:spacing w:val="-4"/>
        </w:rPr>
        <w:t>益人为数人时，被保险人或者投保人可以确定受益顺序和受益份额，未确定受益顺序的，疾</w:t>
      </w:r>
      <w:r>
        <w:rPr>
          <w:spacing w:val="-7"/>
        </w:rPr>
        <w:t>病身故保险金受益人按照相同的顺序享有受益权；未确定受益份额的，疾病身故保险金受益</w:t>
      </w:r>
      <w:r>
        <w:rPr>
          <w:spacing w:val="-2"/>
        </w:rPr>
        <w:t>人按照相等份额享有受益权。</w:t>
      </w:r>
    </w:p>
    <w:p>
      <w:pPr>
        <w:pStyle w:val="BodyText"/>
        <w:spacing w:line="278" w:lineRule="auto"/>
        <w:ind w:left="540" w:right="1500"/>
      </w:pPr>
      <w:r>
        <w:rPr>
          <w:spacing w:val="-2"/>
        </w:rPr>
        <w:t>被保险人为无民事行为能力人或限制民事行为能力人的，可以由其监护人指定受益人。</w:t>
      </w:r>
      <w:r>
        <w:rPr>
          <w:spacing w:val="-4"/>
        </w:rPr>
        <w:t>被保险人或者投保人可以变更疾病身故保险金受益人，但需书面通知本公司。本公司收</w:t>
      </w:r>
    </w:p>
    <w:p>
      <w:pPr>
        <w:pStyle w:val="BodyText"/>
        <w:spacing w:line="278" w:lineRule="auto"/>
        <w:ind w:left="540" w:right="1915" w:hanging="420"/>
      </w:pPr>
      <w:r>
        <w:rPr>
          <w:spacing w:val="-2"/>
        </w:rPr>
        <w:t>到变更受益人的书面通知后，由本公司在保险单上或其他保险凭证上批注或附贴批单。</w:t>
      </w:r>
      <w:r>
        <w:rPr>
          <w:spacing w:val="-2"/>
        </w:rPr>
        <w:t>投保人在指定或变更受益人时，须经被保险人书面同意。</w:t>
      </w:r>
    </w:p>
    <w:p>
      <w:pPr>
        <w:pStyle w:val="BodyText"/>
        <w:spacing w:line="278" w:lineRule="auto"/>
        <w:ind w:left="120" w:right="1593" w:firstLine="419"/>
      </w:pPr>
      <w:r>
        <w:rPr>
          <w:spacing w:val="-4"/>
        </w:rPr>
        <w:t>被保险人身故，有下列情形之一的，保险金作为被保险人的遗产，由本公司依照国家现</w:t>
      </w:r>
      <w:r>
        <w:rPr>
          <w:spacing w:val="-2"/>
        </w:rPr>
        <w:t>行有效的法律规定履行给付保险金的义务：</w:t>
      </w:r>
    </w:p>
    <w:p>
      <w:pPr>
        <w:pStyle w:val="ListParagraph"/>
        <w:numPr>
          <w:ilvl w:val="0"/>
          <w:numId w:val="9"/>
        </w:numPr>
        <w:tabs>
          <w:tab w:pos="829" w:val="left" w:leader="none"/>
        </w:tabs>
        <w:spacing w:line="269" w:lineRule="exact" w:before="0" w:after="0"/>
        <w:ind w:left="828" w:right="0" w:hanging="289"/>
        <w:jc w:val="left"/>
        <w:rPr>
          <w:sz w:val="21"/>
        </w:rPr>
      </w:pPr>
      <w:r>
        <w:rPr>
          <w:spacing w:val="-3"/>
          <w:sz w:val="21"/>
        </w:rPr>
        <w:t>没有指定受益人，或者受益人指定不明无法确定的；</w:t>
      </w:r>
    </w:p>
    <w:p>
      <w:pPr>
        <w:pStyle w:val="ListParagraph"/>
        <w:numPr>
          <w:ilvl w:val="0"/>
          <w:numId w:val="9"/>
        </w:numPr>
        <w:tabs>
          <w:tab w:pos="829" w:val="left" w:leader="none"/>
        </w:tabs>
        <w:spacing w:line="240" w:lineRule="auto" w:before="43" w:after="0"/>
        <w:ind w:left="828" w:right="0" w:hanging="289"/>
        <w:jc w:val="left"/>
        <w:rPr>
          <w:sz w:val="21"/>
        </w:rPr>
      </w:pPr>
      <w:r>
        <w:rPr>
          <w:spacing w:val="-3"/>
          <w:sz w:val="21"/>
        </w:rPr>
        <w:t>受益人先于被保险人身故，没有其他受益人的；</w:t>
      </w:r>
    </w:p>
    <w:p>
      <w:pPr>
        <w:pStyle w:val="ListParagraph"/>
        <w:numPr>
          <w:ilvl w:val="0"/>
          <w:numId w:val="9"/>
        </w:numPr>
        <w:tabs>
          <w:tab w:pos="829" w:val="left" w:leader="none"/>
        </w:tabs>
        <w:spacing w:line="240" w:lineRule="auto" w:before="42" w:after="0"/>
        <w:ind w:left="828" w:right="0" w:hanging="289"/>
        <w:jc w:val="left"/>
        <w:rPr>
          <w:sz w:val="21"/>
        </w:rPr>
      </w:pPr>
      <w:r>
        <w:rPr>
          <w:spacing w:val="-3"/>
          <w:sz w:val="21"/>
        </w:rPr>
        <w:t>受益人依法丧失受益权或者放弃受益权，没有其他受益人的。</w:t>
      </w:r>
    </w:p>
    <w:p>
      <w:pPr>
        <w:pStyle w:val="BodyText"/>
        <w:spacing w:line="278" w:lineRule="auto" w:before="43"/>
        <w:ind w:left="120" w:right="1517" w:firstLine="400"/>
      </w:pPr>
      <w:r>
        <w:rPr>
          <w:spacing w:val="-2"/>
        </w:rPr>
        <w:t>受益人与被保险人在同一事故中身故，且不能确定身故顺序的，推定受益人身故在先。</w:t>
      </w:r>
      <w:r>
        <w:rPr>
          <w:spacing w:val="-2"/>
        </w:rPr>
        <w:t>受益人故意造成被保险人身故、伤残、疾病的，或者故意杀害被保险人未遂的，该受益人丧</w:t>
      </w:r>
      <w:r>
        <w:rPr>
          <w:spacing w:val="-2"/>
        </w:rPr>
        <w:t>失受益权。</w:t>
      </w:r>
    </w:p>
    <w:p>
      <w:pPr>
        <w:pStyle w:val="BodyText"/>
        <w:spacing w:line="269" w:lineRule="exact"/>
        <w:ind w:left="540"/>
      </w:pPr>
      <w:r>
        <w:rPr>
          <w:spacing w:val="-2"/>
        </w:rPr>
        <w:t>（二）</w:t>
      </w:r>
      <w:r>
        <w:rPr>
          <w:spacing w:val="-3"/>
        </w:rPr>
        <w:t>除合同另有约定外，本合同其他保险金的受益人均为被保险人本人。</w:t>
      </w:r>
    </w:p>
    <w:p>
      <w:pPr>
        <w:spacing w:after="0" w:line="269" w:lineRule="exact"/>
        <w:sectPr>
          <w:pgSz w:w="11910" w:h="16840"/>
          <w:pgMar w:header="0" w:footer="985" w:top="1420" w:bottom="1180" w:left="1680" w:right="200"/>
        </w:sectPr>
      </w:pPr>
    </w:p>
    <w:p>
      <w:pPr>
        <w:pStyle w:val="Heading2"/>
        <w:spacing w:before="44"/>
      </w:pPr>
      <w:bookmarkStart w:name="_bookmark20" w:id="17"/>
      <w:bookmarkEnd w:id="17"/>
      <w:r>
        <w:rPr>
          <w:b w:val="0"/>
        </w:rPr>
      </w:r>
      <w:r>
        <w:rPr>
          <w:spacing w:val="-3"/>
        </w:rPr>
        <w:t>第十八条 联系方式变更</w:t>
      </w:r>
    </w:p>
    <w:p>
      <w:pPr>
        <w:pStyle w:val="BodyText"/>
        <w:spacing w:line="278" w:lineRule="auto" w:before="43"/>
        <w:ind w:left="120" w:right="1499" w:firstLine="419"/>
      </w:pPr>
      <w:r>
        <w:rPr>
          <w:spacing w:val="-2"/>
        </w:rPr>
        <w:t>投保人变更通讯地址、电子邮箱或者电话等联系方式时，应及时通知本公司。投保人未</w:t>
      </w:r>
      <w:r>
        <w:rPr>
          <w:spacing w:val="-2"/>
        </w:rPr>
        <w:t>及时通知本公司的，本公司将按本合同载明的最后联系方式发送有关通知，并视为已送达。</w:t>
      </w:r>
    </w:p>
    <w:p>
      <w:pPr>
        <w:pStyle w:val="BodyText"/>
        <w:spacing w:before="5"/>
        <w:rPr>
          <w:sz w:val="24"/>
        </w:rPr>
      </w:pPr>
    </w:p>
    <w:p>
      <w:pPr>
        <w:pStyle w:val="Heading2"/>
      </w:pPr>
      <w:bookmarkStart w:name="_bookmark21" w:id="18"/>
      <w:bookmarkEnd w:id="18"/>
      <w:r>
        <w:rPr>
          <w:b w:val="0"/>
        </w:rPr>
      </w:r>
      <w:r>
        <w:rPr>
          <w:spacing w:val="-3"/>
        </w:rPr>
        <w:t>第十九条 年龄性别错误</w:t>
      </w:r>
    </w:p>
    <w:p>
      <w:pPr>
        <w:pStyle w:val="BodyText"/>
        <w:spacing w:line="278" w:lineRule="auto" w:before="43"/>
        <w:ind w:left="120" w:right="1591" w:firstLine="419"/>
      </w:pPr>
      <w:r>
        <w:rPr/>
        <w:drawing>
          <wp:anchor distT="0" distB="0" distL="0" distR="0" allowOverlap="1" layoutInCell="1" locked="0" behindDoc="0" simplePos="0" relativeHeight="15756288">
            <wp:simplePos x="0" y="0"/>
            <wp:positionH relativeFrom="page">
              <wp:posOffset>1143304</wp:posOffset>
            </wp:positionH>
            <wp:positionV relativeFrom="paragraph">
              <wp:posOffset>607187</wp:posOffset>
            </wp:positionV>
            <wp:extent cx="5275453" cy="187451"/>
            <wp:effectExtent l="0" t="0" r="0" b="0"/>
            <wp:wrapNone/>
            <wp:docPr id="29" name="image11.png"/>
            <wp:cNvGraphicFramePr>
              <a:graphicFrameLocks noChangeAspect="1"/>
            </wp:cNvGraphicFramePr>
            <a:graphic>
              <a:graphicData uri="http://schemas.openxmlformats.org/drawingml/2006/picture">
                <pic:pic>
                  <pic:nvPicPr>
                    <pic:cNvPr id="30" name="image11.png"/>
                    <pic:cNvPicPr/>
                  </pic:nvPicPr>
                  <pic:blipFill>
                    <a:blip r:embed="rId16" cstate="print"/>
                    <a:stretch>
                      <a:fillRect/>
                    </a:stretch>
                  </pic:blipFill>
                  <pic:spPr>
                    <a:xfrm>
                      <a:off x="0" y="0"/>
                      <a:ext cx="5275453" cy="187451"/>
                    </a:xfrm>
                    <a:prstGeom prst="rect">
                      <a:avLst/>
                    </a:prstGeom>
                  </pic:spPr>
                </pic:pic>
              </a:graphicData>
            </a:graphic>
          </wp:anchor>
        </w:drawing>
      </w:r>
      <w:r>
        <w:rPr/>
        <w:pict>
          <v:shape style="position:absolute;margin-left:90.024002pt;margin-top:47.810009pt;width:420.8pt;height:14.8pt;mso-position-horizontal-relative:page;mso-position-vertical-relative:paragraph;z-index:15756800" type="#_x0000_t202" id="docshape40" filled="false" stroked="false">
            <v:textbox inset="0,0,0,0">
              <w:txbxContent>
                <w:p>
                  <w:pPr>
                    <w:pStyle w:val="BodyText"/>
                    <w:spacing w:before="22"/>
                  </w:pPr>
                  <w:r>
                    <w:rPr>
                      <w:spacing w:val="-18"/>
                    </w:rPr>
                    <w:t>龄限制的，本公司有权解除合同。对于解除合同的，本公司向投保人退还本合同的现金价值。</w:t>
                  </w:r>
                </w:p>
              </w:txbxContent>
            </v:textbox>
            <w10:wrap type="none"/>
          </v:shape>
        </w:pict>
      </w:r>
      <w:r>
        <w:rPr/>
        <w:pict>
          <v:shape style="position:absolute;margin-left:111.019997pt;margin-top:63.410011pt;width:394.4pt;height:14.8pt;mso-position-horizontal-relative:page;mso-position-vertical-relative:paragraph;z-index:15757312" type="#_x0000_t202" id="docshape41" filled="true" fillcolor="#c0c0c0" stroked="false">
            <v:textbox inset="0,0,0,0">
              <w:txbxContent>
                <w:p>
                  <w:pPr>
                    <w:pStyle w:val="BodyText"/>
                    <w:spacing w:before="23"/>
                    <w:ind w:right="-15"/>
                    <w:rPr>
                      <w:color w:val="000000"/>
                    </w:rPr>
                  </w:pPr>
                  <w:r>
                    <w:rPr>
                      <w:color w:val="000000"/>
                      <w:spacing w:val="-4"/>
                    </w:rPr>
                    <w:t>（二</w:t>
                  </w:r>
                  <w:r>
                    <w:rPr>
                      <w:color w:val="000000"/>
                      <w:spacing w:val="-51"/>
                    </w:rPr>
                    <w:t>）</w:t>
                  </w:r>
                  <w:r>
                    <w:rPr>
                      <w:color w:val="000000"/>
                      <w:spacing w:val="-5"/>
                    </w:rPr>
                    <w:t>若投保人申报的被保险人年龄或性别不真实，致使投保人实交保险费少于应交保</w:t>
                  </w:r>
                </w:p>
              </w:txbxContent>
            </v:textbox>
            <v:fill type="solid"/>
            <w10:wrap type="none"/>
          </v:shape>
        </w:pict>
      </w:r>
      <w:r>
        <w:rPr/>
        <w:pict>
          <v:shape style="position:absolute;margin-left:111.019997pt;margin-top:32.210011pt;width:394.4pt;height:14.8pt;mso-position-horizontal-relative:page;mso-position-vertical-relative:paragraph;z-index:15757824" type="#_x0000_t202" id="docshape42" filled="true" fillcolor="#c0c0c0" stroked="false">
            <v:textbox inset="0,0,0,0">
              <w:txbxContent>
                <w:p>
                  <w:pPr>
                    <w:pStyle w:val="BodyText"/>
                    <w:spacing w:before="23"/>
                    <w:ind w:right="-15"/>
                    <w:rPr>
                      <w:color w:val="000000"/>
                    </w:rPr>
                  </w:pPr>
                  <w:r>
                    <w:rPr>
                      <w:color w:val="000000"/>
                      <w:spacing w:val="-2"/>
                    </w:rPr>
                    <w:t>（一</w:t>
                  </w:r>
                  <w:r>
                    <w:rPr>
                      <w:color w:val="000000"/>
                      <w:spacing w:val="-51"/>
                    </w:rPr>
                    <w:t>）</w:t>
                  </w:r>
                  <w:r>
                    <w:rPr>
                      <w:color w:val="000000"/>
                      <w:spacing w:val="-6"/>
                    </w:rPr>
                    <w:t>若投保人申报的被保险人年龄不真实，并且其真实年龄不符合本合同约定投保年</w:t>
                  </w:r>
                </w:p>
              </w:txbxContent>
            </v:textbox>
            <v:fill type="solid"/>
            <w10:wrap type="none"/>
          </v:shape>
        </w:pict>
      </w:r>
      <w:r>
        <w:rPr>
          <w:spacing w:val="-5"/>
        </w:rPr>
        <w:t>被保险人的年龄以周岁计算。投保人在申请投保时，应将与有效身份证件相符的被保险</w:t>
      </w:r>
      <w:r>
        <w:rPr>
          <w:spacing w:val="-2"/>
        </w:rPr>
        <w:t>人的出生日期、年龄和性别在投保单上填明，如果发生错误按照下列方式办理：</w:t>
      </w:r>
    </w:p>
    <w:p>
      <w:pPr>
        <w:pStyle w:val="BodyText"/>
        <w:rPr>
          <w:sz w:val="20"/>
        </w:rPr>
      </w:pPr>
    </w:p>
    <w:p>
      <w:pPr>
        <w:pStyle w:val="BodyText"/>
        <w:rPr>
          <w:sz w:val="20"/>
        </w:rPr>
      </w:pPr>
    </w:p>
    <w:p>
      <w:pPr>
        <w:pStyle w:val="BodyText"/>
        <w:spacing w:before="4"/>
        <w:rPr>
          <w:sz w:val="29"/>
        </w:rPr>
      </w:pPr>
      <w:r>
        <w:rPr/>
        <w:drawing>
          <wp:anchor distT="0" distB="0" distL="0" distR="0" allowOverlap="1" layoutInCell="1" locked="0" behindDoc="1" simplePos="0" relativeHeight="487204864">
            <wp:simplePos x="0" y="0"/>
            <wp:positionH relativeFrom="page">
              <wp:posOffset>1143304</wp:posOffset>
            </wp:positionH>
            <wp:positionV relativeFrom="paragraph">
              <wp:posOffset>254269</wp:posOffset>
            </wp:positionV>
            <wp:extent cx="5275453" cy="187451"/>
            <wp:effectExtent l="0" t="0" r="0" b="0"/>
            <wp:wrapNone/>
            <wp:docPr id="31" name="image11.png"/>
            <wp:cNvGraphicFramePr>
              <a:graphicFrameLocks noChangeAspect="1"/>
            </wp:cNvGraphicFramePr>
            <a:graphic>
              <a:graphicData uri="http://schemas.openxmlformats.org/drawingml/2006/picture">
                <pic:pic>
                  <pic:nvPicPr>
                    <pic:cNvPr id="32" name="image11.png"/>
                    <pic:cNvPicPr/>
                  </pic:nvPicPr>
                  <pic:blipFill>
                    <a:blip r:embed="rId16" cstate="print"/>
                    <a:stretch>
                      <a:fillRect/>
                    </a:stretch>
                  </pic:blipFill>
                  <pic:spPr>
                    <a:xfrm>
                      <a:off x="0" y="0"/>
                      <a:ext cx="5275453" cy="187451"/>
                    </a:xfrm>
                    <a:prstGeom prst="rect">
                      <a:avLst/>
                    </a:prstGeom>
                  </pic:spPr>
                </pic:pic>
              </a:graphicData>
            </a:graphic>
          </wp:anchor>
        </w:drawing>
      </w:r>
      <w:r>
        <w:rPr/>
        <w:pict>
          <v:shape style="position:absolute;margin-left:90.024002pt;margin-top:20.021250pt;width:420.35pt;height:14.8pt;mso-position-horizontal-relative:page;mso-position-vertical-relative:paragraph;z-index:-16111104" type="#_x0000_t202" id="docshape43" filled="false" stroked="false">
            <v:textbox inset="0,0,0,0">
              <w:txbxContent>
                <w:p>
                  <w:pPr>
                    <w:pStyle w:val="BodyText"/>
                    <w:spacing w:before="22"/>
                  </w:pPr>
                  <w:r>
                    <w:rPr>
                      <w:spacing w:val="-3"/>
                    </w:rPr>
                    <w:t>险费的，本公司有权更正并要求投保人补交保险费。如已发生保险事故，在给付保险金时，</w:t>
                  </w:r>
                </w:p>
              </w:txbxContent>
            </v:textbox>
            <w10:wrap type="none"/>
          </v:shape>
        </w:pict>
      </w:r>
      <w:r>
        <w:rPr/>
        <w:pict>
          <v:shape style="position:absolute;margin-left:90.024002pt;margin-top:35.621250pt;width:220.6pt;height:14.8pt;mso-position-horizontal-relative:page;mso-position-vertical-relative:paragraph;z-index:-15701504;mso-wrap-distance-left:0;mso-wrap-distance-right:0" type="#_x0000_t202" id="docshape44" filled="true" fillcolor="#c0c0c0" stroked="false">
            <v:textbox inset="0,0,0,0">
              <w:txbxContent>
                <w:p>
                  <w:pPr>
                    <w:pStyle w:val="BodyText"/>
                    <w:spacing w:before="23"/>
                    <w:ind w:right="-15"/>
                    <w:rPr>
                      <w:color w:val="000000"/>
                    </w:rPr>
                  </w:pPr>
                  <w:r>
                    <w:rPr>
                      <w:color w:val="000000"/>
                      <w:spacing w:val="-3"/>
                    </w:rPr>
                    <w:t>本公司按实交保险费与应交保险费的比例给付。</w:t>
                  </w:r>
                </w:p>
              </w:txbxContent>
            </v:textbox>
            <v:fill type="solid"/>
            <w10:wrap type="topAndBottom"/>
          </v:shape>
        </w:pict>
      </w:r>
    </w:p>
    <w:p>
      <w:pPr>
        <w:pStyle w:val="BodyText"/>
        <w:spacing w:line="278" w:lineRule="auto" w:before="39"/>
        <w:ind w:left="120" w:right="1591" w:firstLine="419"/>
      </w:pPr>
      <w:r>
        <w:rPr>
          <w:spacing w:val="-2"/>
        </w:rPr>
        <w:t>（三</w:t>
      </w:r>
      <w:r>
        <w:rPr>
          <w:spacing w:val="-51"/>
        </w:rPr>
        <w:t>）</w:t>
      </w:r>
      <w:r>
        <w:rPr>
          <w:spacing w:val="-2"/>
        </w:rPr>
        <w:t>若投保人申报的被保险人年龄或性别不真实，致使投保人实交保险费多于应交保</w:t>
      </w:r>
      <w:r>
        <w:rPr>
          <w:spacing w:val="-2"/>
        </w:rPr>
        <w:t>险费的，本公司将向投保人无息退还多收的保险费。</w:t>
      </w:r>
    </w:p>
    <w:p>
      <w:pPr>
        <w:pStyle w:val="BodyText"/>
        <w:spacing w:before="5"/>
        <w:rPr>
          <w:sz w:val="24"/>
        </w:rPr>
      </w:pPr>
    </w:p>
    <w:p>
      <w:pPr>
        <w:pStyle w:val="Heading2"/>
      </w:pPr>
      <w:bookmarkStart w:name="_bookmark22" w:id="19"/>
      <w:bookmarkEnd w:id="19"/>
      <w:r>
        <w:rPr>
          <w:b w:val="0"/>
        </w:rPr>
      </w:r>
      <w:r>
        <w:rPr>
          <w:spacing w:val="-3"/>
        </w:rPr>
        <w:t>第二十条 未还款项</w:t>
      </w:r>
    </w:p>
    <w:p>
      <w:pPr>
        <w:pStyle w:val="BodyText"/>
        <w:spacing w:line="278" w:lineRule="auto" w:before="43"/>
        <w:ind w:left="120" w:right="1591" w:firstLine="419"/>
      </w:pPr>
      <w:r>
        <w:rPr>
          <w:spacing w:val="-4"/>
        </w:rPr>
        <w:t>本公司在给付各项保险金、退还现金价值或返还保险费时，若投保人有欠交的保险费或</w:t>
      </w:r>
      <w:r>
        <w:rPr>
          <w:spacing w:val="-2"/>
        </w:rPr>
        <w:t>其他未还清款项，本公司将在扣除上述欠款及</w:t>
      </w:r>
      <w:r>
        <w:rPr>
          <w:b/>
          <w:spacing w:val="-2"/>
        </w:rPr>
        <w:t>应付利息</w:t>
      </w:r>
      <w:r>
        <w:rPr>
          <w:spacing w:val="-2"/>
        </w:rPr>
        <w:t>后给付。</w:t>
      </w:r>
    </w:p>
    <w:p>
      <w:pPr>
        <w:pStyle w:val="BodyText"/>
        <w:spacing w:before="4"/>
        <w:rPr>
          <w:sz w:val="24"/>
        </w:rPr>
      </w:pPr>
    </w:p>
    <w:p>
      <w:pPr>
        <w:pStyle w:val="Heading2"/>
      </w:pPr>
      <w:bookmarkStart w:name="_bookmark23" w:id="20"/>
      <w:bookmarkEnd w:id="20"/>
      <w:r>
        <w:rPr>
          <w:b w:val="0"/>
        </w:rPr>
      </w:r>
      <w:r>
        <w:rPr>
          <w:spacing w:val="-3"/>
        </w:rPr>
        <w:t>第二十一条 合同中止与复效</w:t>
      </w:r>
    </w:p>
    <w:p>
      <w:pPr>
        <w:pStyle w:val="BodyText"/>
        <w:spacing w:before="43"/>
        <w:ind w:left="540"/>
      </w:pPr>
      <w:r>
        <w:rPr>
          <w:color w:val="000000"/>
          <w:spacing w:val="-3"/>
          <w:shd w:fill="C0C0C0" w:color="auto" w:val="clear"/>
        </w:rPr>
        <w:t>在本合同效力中止期间，本公司不承担保险责任。</w:t>
      </w:r>
    </w:p>
    <w:p>
      <w:pPr>
        <w:pStyle w:val="BodyText"/>
        <w:spacing w:line="278" w:lineRule="auto" w:before="43"/>
        <w:ind w:left="120" w:right="1591" w:firstLine="419"/>
        <w:jc w:val="both"/>
      </w:pPr>
      <w:r>
        <w:rPr>
          <w:spacing w:val="-7"/>
        </w:rPr>
        <w:t>本合同效力中止后 </w:t>
      </w:r>
      <w:r>
        <w:rPr>
          <w:spacing w:val="-4"/>
        </w:rPr>
        <w:t>2</w:t>
      </w:r>
      <w:r>
        <w:rPr>
          <w:spacing w:val="-8"/>
        </w:rPr>
        <w:t> 年内，投保人可以申请恢复合同效力。经投保人和本公司协商并达</w:t>
      </w:r>
      <w:r>
        <w:rPr>
          <w:spacing w:val="-4"/>
        </w:rPr>
        <w:t>成协议，自投保人补交保险费、应付利息及其他未还款项之日起，合同效力恢复。应付利息</w:t>
      </w:r>
      <w:r>
        <w:rPr>
          <w:spacing w:val="-2"/>
        </w:rPr>
        <w:t>按照合同中止期间内的本公司保险单贷款利率计算，但本合同另有约定的除外。</w:t>
      </w:r>
    </w:p>
    <w:p>
      <w:pPr>
        <w:pStyle w:val="BodyText"/>
        <w:spacing w:line="278" w:lineRule="auto"/>
        <w:ind w:left="120" w:right="1497" w:firstLine="419"/>
        <w:jc w:val="both"/>
      </w:pPr>
      <w:r>
        <w:rPr>
          <w:color w:val="000000"/>
          <w:spacing w:val="-4"/>
          <w:shd w:fill="C0C0C0" w:color="auto" w:val="clear"/>
        </w:rPr>
        <w:t>自本合同效力中止之日起满 </w:t>
      </w:r>
      <w:r>
        <w:rPr>
          <w:color w:val="000000"/>
          <w:spacing w:val="-2"/>
          <w:shd w:fill="C0C0C0" w:color="auto" w:val="clear"/>
        </w:rPr>
        <w:t>2</w:t>
      </w:r>
      <w:r>
        <w:rPr>
          <w:color w:val="000000"/>
          <w:spacing w:val="-7"/>
          <w:shd w:fill="C0C0C0" w:color="auto" w:val="clear"/>
        </w:rPr>
        <w:t> 年投保人和本公司未达成协议的，本公司有权解除合同。</w:t>
      </w:r>
      <w:r>
        <w:rPr>
          <w:color w:val="000000"/>
          <w:spacing w:val="40"/>
          <w:shd w:fill="C0C0C0" w:color="auto" w:val="clear"/>
        </w:rPr>
        <w:t> </w:t>
      </w:r>
      <w:r>
        <w:rPr>
          <w:color w:val="000000"/>
          <w:spacing w:val="-2"/>
          <w:shd w:fill="C0C0C0" w:color="auto" w:val="clear"/>
        </w:rPr>
        <w:t>对于解除合同的，本公司向投保人退还本合同效力中止时的现金价值。</w:t>
      </w:r>
    </w:p>
    <w:p>
      <w:pPr>
        <w:pStyle w:val="BodyText"/>
        <w:spacing w:before="4"/>
        <w:rPr>
          <w:sz w:val="24"/>
        </w:rPr>
      </w:pPr>
    </w:p>
    <w:p>
      <w:pPr>
        <w:pStyle w:val="Heading2"/>
        <w:spacing w:before="1"/>
      </w:pPr>
      <w:bookmarkStart w:name="_bookmark24" w:id="21"/>
      <w:bookmarkEnd w:id="21"/>
      <w:r>
        <w:rPr>
          <w:b w:val="0"/>
        </w:rPr>
      </w:r>
      <w:r>
        <w:rPr>
          <w:spacing w:val="-3"/>
        </w:rPr>
        <w:t>第二十二条 合同解除</w:t>
      </w:r>
    </w:p>
    <w:p>
      <w:pPr>
        <w:pStyle w:val="BodyText"/>
        <w:spacing w:line="278" w:lineRule="auto" w:before="43"/>
        <w:ind w:left="120" w:right="1591" w:firstLine="419"/>
      </w:pPr>
      <w:r>
        <w:rPr>
          <w:spacing w:val="-8"/>
        </w:rPr>
        <w:t>如投保人在犹豫期后申请解除本合同，投保人应填写解除合同申请书并向本公司提供下</w:t>
      </w:r>
      <w:r>
        <w:rPr>
          <w:spacing w:val="-4"/>
        </w:rPr>
        <w:t>列资料：</w:t>
      </w:r>
    </w:p>
    <w:p>
      <w:pPr>
        <w:pStyle w:val="BodyText"/>
        <w:spacing w:line="269" w:lineRule="exact"/>
        <w:ind w:left="540"/>
      </w:pPr>
      <w:r>
        <w:rPr>
          <w:spacing w:val="-2"/>
        </w:rPr>
        <w:t>（一）</w:t>
      </w:r>
      <w:r>
        <w:rPr>
          <w:spacing w:val="-4"/>
        </w:rPr>
        <w:t>保险合同；</w:t>
      </w:r>
    </w:p>
    <w:p>
      <w:pPr>
        <w:pStyle w:val="BodyText"/>
        <w:spacing w:before="42"/>
        <w:ind w:left="540"/>
      </w:pPr>
      <w:r>
        <w:rPr>
          <w:spacing w:val="-2"/>
        </w:rPr>
        <w:t>（二）</w:t>
      </w:r>
      <w:r>
        <w:rPr>
          <w:spacing w:val="-3"/>
        </w:rPr>
        <w:t>投保人的有效身份证件。</w:t>
      </w:r>
    </w:p>
    <w:p>
      <w:pPr>
        <w:pStyle w:val="BodyText"/>
        <w:spacing w:line="278" w:lineRule="auto" w:before="43"/>
        <w:ind w:left="120" w:right="1591" w:firstLine="419"/>
      </w:pPr>
      <w:r>
        <w:rPr>
          <w:spacing w:val="-5"/>
        </w:rPr>
        <w:t>自本公司收到解除合同申请书之日起，本合同终止。本公司在收到上述证明和资料之日</w:t>
      </w:r>
      <w:r>
        <w:rPr>
          <w:spacing w:val="-11"/>
        </w:rPr>
        <w:t>起 </w:t>
      </w:r>
      <w:r>
        <w:rPr/>
        <w:t>30</w:t>
      </w:r>
      <w:r>
        <w:rPr>
          <w:spacing w:val="-5"/>
        </w:rPr>
        <w:t> 日内向投保人退还本合同终止之日的现金价值。</w:t>
      </w:r>
    </w:p>
    <w:p>
      <w:pPr>
        <w:pStyle w:val="BodyText"/>
        <w:spacing w:line="269" w:lineRule="exact"/>
        <w:ind w:left="540"/>
      </w:pPr>
      <w:r>
        <w:rPr>
          <w:color w:val="000000"/>
          <w:spacing w:val="-3"/>
          <w:shd w:fill="C0C0C0" w:color="auto" w:val="clear"/>
        </w:rPr>
        <w:t>投保人在犹豫期后解除合同会遭受一定损失。</w:t>
      </w:r>
    </w:p>
    <w:p>
      <w:pPr>
        <w:pStyle w:val="BodyText"/>
        <w:spacing w:before="9"/>
        <w:rPr>
          <w:sz w:val="27"/>
        </w:rPr>
      </w:pPr>
    </w:p>
    <w:p>
      <w:pPr>
        <w:pStyle w:val="Heading2"/>
      </w:pPr>
      <w:bookmarkStart w:name="_bookmark25" w:id="22"/>
      <w:bookmarkEnd w:id="22"/>
      <w:r>
        <w:rPr>
          <w:b w:val="0"/>
        </w:rPr>
      </w:r>
      <w:r>
        <w:rPr>
          <w:spacing w:val="-3"/>
        </w:rPr>
        <w:t>第二十三条 合同终止</w:t>
      </w:r>
    </w:p>
    <w:p>
      <w:pPr>
        <w:pStyle w:val="BodyText"/>
        <w:spacing w:before="44"/>
        <w:ind w:left="540"/>
      </w:pPr>
      <w:r>
        <w:rPr>
          <w:spacing w:val="-3"/>
        </w:rPr>
        <w:t>当发生下列情形之一时，本合同效力终止：</w:t>
      </w:r>
    </w:p>
    <w:p>
      <w:pPr>
        <w:pStyle w:val="BodyText"/>
        <w:spacing w:line="278" w:lineRule="auto" w:before="43"/>
        <w:ind w:left="120" w:right="1591" w:firstLine="419"/>
      </w:pPr>
      <w:r>
        <w:rPr>
          <w:spacing w:val="-2"/>
        </w:rPr>
        <w:t>（一</w:t>
      </w:r>
      <w:r>
        <w:rPr>
          <w:spacing w:val="-94"/>
        </w:rPr>
        <w:t>）</w:t>
      </w:r>
      <w:r>
        <w:rPr>
          <w:spacing w:val="-2"/>
        </w:rPr>
        <w:t>被保险人因疾病以外的原因导致身故且依据本合同约定本公司无需承担保险责任</w:t>
      </w:r>
      <w:r>
        <w:rPr>
          <w:spacing w:val="-2"/>
        </w:rPr>
        <w:t>的，本合同效力终止，本公司退还被保险人身故之日的现金价值；</w:t>
      </w:r>
    </w:p>
    <w:p>
      <w:pPr>
        <w:pStyle w:val="BodyText"/>
        <w:spacing w:line="269" w:lineRule="exact"/>
        <w:ind w:left="540"/>
      </w:pPr>
      <w:r>
        <w:rPr>
          <w:spacing w:val="-2"/>
        </w:rPr>
        <w:t>（二）</w:t>
      </w:r>
      <w:r>
        <w:rPr>
          <w:spacing w:val="-3"/>
        </w:rPr>
        <w:t>本合同约定的其他终止情形。</w:t>
      </w:r>
    </w:p>
    <w:p>
      <w:pPr>
        <w:spacing w:after="0" w:line="269" w:lineRule="exact"/>
        <w:sectPr>
          <w:pgSz w:w="11910" w:h="16840"/>
          <w:pgMar w:header="0" w:footer="985" w:top="1400" w:bottom="1180" w:left="1680" w:right="200"/>
        </w:sectPr>
      </w:pPr>
    </w:p>
    <w:p>
      <w:pPr>
        <w:pStyle w:val="Heading1"/>
        <w:spacing w:before="41"/>
        <w:ind w:left="3008"/>
      </w:pPr>
      <w:bookmarkStart w:name="_bookmark26" w:id="23"/>
      <w:bookmarkEnd w:id="23"/>
      <w:r>
        <w:rPr>
          <w:b w:val="0"/>
        </w:rPr>
      </w:r>
      <w:r>
        <w:rPr>
          <w:spacing w:val="-3"/>
        </w:rPr>
        <w:t>第四部分 保</w:t>
      </w:r>
      <w:r>
        <w:rPr/>
        <w:t>险</w:t>
      </w:r>
      <w:r>
        <w:rPr/>
        <w:t>理</w:t>
      </w:r>
      <w:r>
        <w:rPr/>
        <w:t>赔</w:t>
      </w:r>
      <w:r>
        <w:rPr/>
        <w:t>条</w:t>
      </w:r>
      <w:r>
        <w:rPr>
          <w:spacing w:val="-10"/>
        </w:rPr>
        <w:t>款</w:t>
      </w:r>
    </w:p>
    <w:p>
      <w:pPr>
        <w:pStyle w:val="BodyText"/>
        <w:spacing w:before="7"/>
        <w:rPr>
          <w:b/>
          <w:sz w:val="26"/>
        </w:rPr>
      </w:pPr>
    </w:p>
    <w:p>
      <w:pPr>
        <w:pStyle w:val="Heading2"/>
      </w:pPr>
      <w:bookmarkStart w:name="_bookmark27" w:id="24"/>
      <w:bookmarkEnd w:id="24"/>
      <w:r>
        <w:rPr>
          <w:b w:val="0"/>
        </w:rPr>
      </w:r>
      <w:r>
        <w:rPr>
          <w:spacing w:val="-3"/>
        </w:rPr>
        <w:t>第二十四条 保险事故通知</w:t>
      </w:r>
    </w:p>
    <w:p>
      <w:pPr>
        <w:pStyle w:val="BodyText"/>
        <w:spacing w:before="43" w:after="20"/>
        <w:ind w:left="540"/>
      </w:pPr>
      <w:r>
        <w:rPr>
          <w:spacing w:val="-1"/>
        </w:rPr>
        <w:t>投保人、被保险人、受益人或其他有权领取保险金的人应于知道保险事故发生之日起</w:t>
      </w:r>
    </w:p>
    <w:tbl>
      <w:tblPr>
        <w:tblW w:w="0" w:type="auto"/>
        <w:jc w:val="left"/>
        <w:tblInd w:w="12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999"/>
        <w:gridCol w:w="312"/>
        <w:gridCol w:w="5996"/>
      </w:tblGrid>
      <w:tr>
        <w:trPr>
          <w:trHeight w:val="293" w:hRule="atLeast"/>
        </w:trPr>
        <w:tc>
          <w:tcPr>
            <w:tcW w:w="1999" w:type="dxa"/>
            <w:tcBorders>
              <w:bottom w:val="single" w:sz="8" w:space="0" w:color="FFFFFF"/>
            </w:tcBorders>
          </w:tcPr>
          <w:p>
            <w:pPr>
              <w:pStyle w:val="TableParagraph"/>
              <w:spacing w:line="251" w:lineRule="exact" w:before="23"/>
              <w:ind w:left="0" w:right="-15"/>
              <w:jc w:val="left"/>
              <w:rPr>
                <w:sz w:val="21"/>
              </w:rPr>
            </w:pPr>
            <w:r>
              <w:rPr>
                <w:sz w:val="21"/>
              </w:rPr>
              <w:t>10</w:t>
            </w:r>
            <w:r>
              <w:rPr>
                <w:spacing w:val="-4"/>
                <w:sz w:val="21"/>
              </w:rPr>
              <w:t> 日内通知本公司。</w:t>
            </w:r>
          </w:p>
        </w:tc>
        <w:tc>
          <w:tcPr>
            <w:tcW w:w="6308" w:type="dxa"/>
            <w:gridSpan w:val="2"/>
            <w:tcBorders>
              <w:bottom w:val="single" w:sz="8" w:space="0" w:color="FFFFFF"/>
            </w:tcBorders>
            <w:shd w:val="clear" w:color="auto" w:fill="C0C0C0"/>
          </w:tcPr>
          <w:p>
            <w:pPr>
              <w:pStyle w:val="TableParagraph"/>
              <w:spacing w:line="251" w:lineRule="exact" w:before="23"/>
              <w:ind w:left="0" w:right="-15"/>
              <w:jc w:val="left"/>
              <w:rPr>
                <w:sz w:val="21"/>
              </w:rPr>
            </w:pPr>
            <w:r>
              <w:rPr>
                <w:spacing w:val="-3"/>
                <w:sz w:val="21"/>
              </w:rPr>
              <w:t>投保人、被保险人、受益人或其他有权领取保险金的人故意或者因重</w:t>
            </w:r>
          </w:p>
        </w:tc>
      </w:tr>
      <w:tr>
        <w:trPr>
          <w:trHeight w:val="291" w:hRule="atLeast"/>
        </w:trPr>
        <w:tc>
          <w:tcPr>
            <w:tcW w:w="8307" w:type="dxa"/>
            <w:gridSpan w:val="3"/>
            <w:tcBorders>
              <w:top w:val="single" w:sz="8" w:space="0" w:color="FFFFFF"/>
              <w:bottom w:val="single" w:sz="8" w:space="0" w:color="FFFFFF"/>
            </w:tcBorders>
            <w:shd w:val="clear" w:color="auto" w:fill="C0C0C0"/>
          </w:tcPr>
          <w:p>
            <w:pPr>
              <w:pStyle w:val="TableParagraph"/>
              <w:spacing w:line="251" w:lineRule="exact" w:before="21"/>
              <w:ind w:left="0" w:right="-15"/>
              <w:jc w:val="left"/>
              <w:rPr>
                <w:sz w:val="21"/>
              </w:rPr>
            </w:pPr>
            <w:r>
              <w:rPr>
                <w:spacing w:val="-5"/>
                <w:sz w:val="21"/>
              </w:rPr>
              <w:t>大过失未及时通知，致使保险事故的性质、原因、损失程度等难以确定的，本公司对无法确</w:t>
            </w:r>
          </w:p>
        </w:tc>
      </w:tr>
      <w:tr>
        <w:trPr>
          <w:trHeight w:val="292" w:hRule="atLeast"/>
        </w:trPr>
        <w:tc>
          <w:tcPr>
            <w:tcW w:w="8307" w:type="dxa"/>
            <w:gridSpan w:val="3"/>
            <w:tcBorders>
              <w:top w:val="single" w:sz="8" w:space="0" w:color="FFFFFF"/>
              <w:bottom w:val="single" w:sz="8" w:space="0" w:color="FFFFFF"/>
            </w:tcBorders>
            <w:shd w:val="clear" w:color="auto" w:fill="C0C0C0"/>
          </w:tcPr>
          <w:p>
            <w:pPr>
              <w:pStyle w:val="TableParagraph"/>
              <w:spacing w:line="251" w:lineRule="exact" w:before="21"/>
              <w:ind w:left="0" w:right="-15"/>
              <w:jc w:val="left"/>
              <w:rPr>
                <w:sz w:val="21"/>
              </w:rPr>
            </w:pPr>
            <w:r>
              <w:rPr>
                <w:spacing w:val="-11"/>
                <w:sz w:val="21"/>
              </w:rPr>
              <w:t>定的部分，不承担给付保险金的责任，但本公司通过其他途径已经及时知道或者应当及时知</w:t>
            </w:r>
          </w:p>
        </w:tc>
      </w:tr>
      <w:tr>
        <w:trPr>
          <w:trHeight w:val="293" w:hRule="atLeast"/>
        </w:trPr>
        <w:tc>
          <w:tcPr>
            <w:tcW w:w="2311" w:type="dxa"/>
            <w:gridSpan w:val="2"/>
            <w:tcBorders>
              <w:top w:val="single" w:sz="8" w:space="0" w:color="FFFFFF"/>
            </w:tcBorders>
            <w:shd w:val="clear" w:color="auto" w:fill="C0C0C0"/>
          </w:tcPr>
          <w:p>
            <w:pPr>
              <w:pStyle w:val="TableParagraph"/>
              <w:spacing w:line="252" w:lineRule="exact" w:before="21"/>
              <w:ind w:left="0" w:right="-15"/>
              <w:jc w:val="left"/>
              <w:rPr>
                <w:sz w:val="21"/>
              </w:rPr>
            </w:pPr>
            <w:r>
              <w:rPr>
                <w:spacing w:val="-3"/>
                <w:sz w:val="21"/>
              </w:rPr>
              <w:t>道保险事故发生的除外。</w:t>
            </w:r>
          </w:p>
        </w:tc>
        <w:tc>
          <w:tcPr>
            <w:tcW w:w="5996" w:type="dxa"/>
            <w:tcBorders>
              <w:top w:val="single" w:sz="8" w:space="0" w:color="FFFFFF"/>
            </w:tcBorders>
          </w:tcPr>
          <w:p>
            <w:pPr>
              <w:pStyle w:val="TableParagraph"/>
              <w:spacing w:before="0"/>
              <w:ind w:left="0" w:right="0"/>
              <w:jc w:val="left"/>
              <w:rPr>
                <w:rFonts w:ascii="Times New Roman"/>
                <w:sz w:val="20"/>
              </w:rPr>
            </w:pPr>
          </w:p>
        </w:tc>
      </w:tr>
    </w:tbl>
    <w:p>
      <w:pPr>
        <w:pStyle w:val="BodyText"/>
        <w:spacing w:before="7"/>
        <w:rPr>
          <w:sz w:val="27"/>
        </w:rPr>
      </w:pPr>
    </w:p>
    <w:p>
      <w:pPr>
        <w:pStyle w:val="Heading2"/>
        <w:spacing w:before="1"/>
      </w:pPr>
      <w:bookmarkStart w:name="_bookmark28" w:id="25"/>
      <w:bookmarkEnd w:id="25"/>
      <w:r>
        <w:rPr>
          <w:b w:val="0"/>
        </w:rPr>
      </w:r>
      <w:r>
        <w:rPr>
          <w:spacing w:val="-3"/>
        </w:rPr>
        <w:t>第二十五条 保险金申请</w:t>
      </w:r>
    </w:p>
    <w:p>
      <w:pPr>
        <w:pStyle w:val="BodyText"/>
        <w:spacing w:line="278" w:lineRule="auto" w:before="42"/>
        <w:ind w:left="120" w:right="1488" w:firstLine="419"/>
      </w:pPr>
      <w:r>
        <w:rPr/>
        <w:drawing>
          <wp:anchor distT="0" distB="0" distL="0" distR="0" allowOverlap="1" layoutInCell="1" locked="0" behindDoc="1" simplePos="0" relativeHeight="487208448">
            <wp:simplePos x="0" y="0"/>
            <wp:positionH relativeFrom="page">
              <wp:posOffset>2191766</wp:posOffset>
            </wp:positionH>
            <wp:positionV relativeFrom="paragraph">
              <wp:posOffset>210312</wp:posOffset>
            </wp:positionV>
            <wp:extent cx="4226940" cy="187451"/>
            <wp:effectExtent l="0" t="0" r="0" b="0"/>
            <wp:wrapNone/>
            <wp:docPr id="33" name="image12.png"/>
            <wp:cNvGraphicFramePr>
              <a:graphicFrameLocks noChangeAspect="1"/>
            </wp:cNvGraphicFramePr>
            <a:graphic>
              <a:graphicData uri="http://schemas.openxmlformats.org/drawingml/2006/picture">
                <pic:pic>
                  <pic:nvPicPr>
                    <pic:cNvPr id="34" name="image12.png"/>
                    <pic:cNvPicPr/>
                  </pic:nvPicPr>
                  <pic:blipFill>
                    <a:blip r:embed="rId17" cstate="print"/>
                    <a:stretch>
                      <a:fillRect/>
                    </a:stretch>
                  </pic:blipFill>
                  <pic:spPr>
                    <a:xfrm>
                      <a:off x="0" y="0"/>
                      <a:ext cx="4226940" cy="187451"/>
                    </a:xfrm>
                    <a:prstGeom prst="rect">
                      <a:avLst/>
                    </a:prstGeom>
                  </pic:spPr>
                </pic:pic>
              </a:graphicData>
            </a:graphic>
          </wp:anchor>
        </w:drawing>
      </w:r>
      <w:r>
        <w:rPr/>
        <w:pict>
          <v:shape style="position:absolute;margin-left:90.024002pt;margin-top:32.160011pt;width:210.15pt;height:14.8pt;mso-position-horizontal-relative:page;mso-position-vertical-relative:paragraph;z-index:15758848" type="#_x0000_t202" id="docshape45" filled="true" fillcolor="#c0c0c0" stroked="false">
            <v:textbox inset="0,0,0,0">
              <w:txbxContent>
                <w:p>
                  <w:pPr>
                    <w:pStyle w:val="BodyText"/>
                    <w:spacing w:before="23"/>
                    <w:ind w:right="-15"/>
                    <w:rPr>
                      <w:color w:val="000000"/>
                    </w:rPr>
                  </w:pPr>
                  <w:r>
                    <w:rPr>
                      <w:color w:val="000000"/>
                      <w:spacing w:val="-3"/>
                    </w:rPr>
                    <w:t>司对无法核实部分不承担给付保险金的责任。</w:t>
                  </w:r>
                </w:p>
              </w:txbxContent>
            </v:textbox>
            <v:fill type="solid"/>
            <w10:wrap type="none"/>
          </v:shape>
        </w:pict>
      </w:r>
      <w:r>
        <w:rPr>
          <w:spacing w:val="-2"/>
        </w:rPr>
        <w:t>受益人或其他有权领取保险金的人（</w:t>
      </w:r>
      <w:r>
        <w:rPr>
          <w:spacing w:val="-10"/>
        </w:rPr>
        <w:t>以下简称“申请人”</w:t>
      </w:r>
      <w:r>
        <w:rPr>
          <w:spacing w:val="-70"/>
        </w:rPr>
        <w:t>）</w:t>
      </w:r>
      <w:r>
        <w:rPr>
          <w:spacing w:val="-2"/>
        </w:rPr>
        <w:t>向本公司申请给付保险金时，</w:t>
      </w:r>
      <w:r>
        <w:rPr>
          <w:spacing w:val="-2"/>
        </w:rPr>
        <w:t>应提交以下材料。申请人未能提供有关材料，导致本公司无法核实该申请的真实性的，本公</w:t>
      </w:r>
    </w:p>
    <w:p>
      <w:pPr>
        <w:pStyle w:val="BodyText"/>
        <w:spacing w:before="11"/>
        <w:rPr>
          <w:sz w:val="18"/>
        </w:rPr>
      </w:pPr>
    </w:p>
    <w:p>
      <w:pPr>
        <w:pStyle w:val="BodyText"/>
        <w:spacing w:before="71"/>
        <w:ind w:left="540"/>
      </w:pPr>
      <w:r>
        <w:rPr>
          <w:spacing w:val="-2"/>
        </w:rPr>
        <w:t>（一）</w:t>
      </w:r>
      <w:r>
        <w:rPr>
          <w:spacing w:val="-3"/>
        </w:rPr>
        <w:t>疾病身故保险金的申请</w:t>
      </w:r>
    </w:p>
    <w:p>
      <w:pPr>
        <w:pStyle w:val="BodyText"/>
        <w:spacing w:line="278" w:lineRule="auto" w:before="43"/>
        <w:ind w:left="540" w:right="1488" w:firstLine="19"/>
      </w:pPr>
      <w:r>
        <w:rPr>
          <w:spacing w:val="-2"/>
        </w:rPr>
        <w:t>在申请疾病身故保险金时，申请人应填写保险金给付申请书，并提交下列证明和资料： 1.保险合同；</w:t>
      </w:r>
    </w:p>
    <w:p>
      <w:pPr>
        <w:pStyle w:val="ListParagraph"/>
        <w:numPr>
          <w:ilvl w:val="0"/>
          <w:numId w:val="10"/>
        </w:numPr>
        <w:tabs>
          <w:tab w:pos="753" w:val="left" w:leader="none"/>
        </w:tabs>
        <w:spacing w:line="269" w:lineRule="exact" w:before="0" w:after="0"/>
        <w:ind w:left="752" w:right="0" w:hanging="213"/>
        <w:jc w:val="left"/>
        <w:rPr>
          <w:sz w:val="21"/>
        </w:rPr>
      </w:pPr>
      <w:r>
        <w:rPr>
          <w:spacing w:val="-3"/>
          <w:sz w:val="21"/>
        </w:rPr>
        <w:t>申请人的有效身份证件；</w:t>
      </w:r>
    </w:p>
    <w:p>
      <w:pPr>
        <w:pStyle w:val="ListParagraph"/>
        <w:numPr>
          <w:ilvl w:val="0"/>
          <w:numId w:val="10"/>
        </w:numPr>
        <w:tabs>
          <w:tab w:pos="753" w:val="left" w:leader="none"/>
        </w:tabs>
        <w:spacing w:line="278" w:lineRule="auto" w:before="43" w:after="0"/>
        <w:ind w:left="540" w:right="1591" w:firstLine="0"/>
        <w:jc w:val="left"/>
        <w:rPr>
          <w:sz w:val="21"/>
        </w:rPr>
      </w:pPr>
      <w:r>
        <w:rPr>
          <w:spacing w:val="-8"/>
          <w:sz w:val="21"/>
        </w:rPr>
        <w:t>国家卫生行政部门认定的医疗机构、公安部门或其他相关机构出具的被保险人的死亡</w:t>
      </w:r>
      <w:r>
        <w:rPr>
          <w:spacing w:val="-4"/>
          <w:sz w:val="21"/>
        </w:rPr>
        <w:t>证明；</w:t>
      </w:r>
    </w:p>
    <w:p>
      <w:pPr>
        <w:pStyle w:val="ListParagraph"/>
        <w:numPr>
          <w:ilvl w:val="0"/>
          <w:numId w:val="10"/>
        </w:numPr>
        <w:tabs>
          <w:tab w:pos="753" w:val="left" w:leader="none"/>
        </w:tabs>
        <w:spacing w:line="269" w:lineRule="exact" w:before="0" w:after="0"/>
        <w:ind w:left="752" w:right="0" w:hanging="213"/>
        <w:jc w:val="left"/>
        <w:rPr>
          <w:sz w:val="21"/>
        </w:rPr>
      </w:pPr>
      <w:r>
        <w:rPr>
          <w:spacing w:val="-3"/>
          <w:sz w:val="21"/>
        </w:rPr>
        <w:t>所能提供的与确认保险事故的性质、原因等有关的其他证明和资料；</w:t>
      </w:r>
    </w:p>
    <w:p>
      <w:pPr>
        <w:pStyle w:val="ListParagraph"/>
        <w:numPr>
          <w:ilvl w:val="0"/>
          <w:numId w:val="10"/>
        </w:numPr>
        <w:tabs>
          <w:tab w:pos="753" w:val="left" w:leader="none"/>
        </w:tabs>
        <w:spacing w:line="278" w:lineRule="auto" w:before="43" w:after="0"/>
        <w:ind w:left="540" w:right="1591" w:firstLine="0"/>
        <w:jc w:val="left"/>
        <w:rPr>
          <w:sz w:val="21"/>
        </w:rPr>
      </w:pPr>
      <w:r>
        <w:rPr>
          <w:spacing w:val="-5"/>
          <w:sz w:val="21"/>
        </w:rPr>
        <w:t>若申请人委托他人申请的，还应提供授权委托书原件、委托人和受托人的有效身份证</w:t>
      </w:r>
      <w:r>
        <w:rPr>
          <w:spacing w:val="-2"/>
          <w:sz w:val="21"/>
        </w:rPr>
        <w:t>件等相关证明文件。</w:t>
      </w:r>
    </w:p>
    <w:p>
      <w:pPr>
        <w:pStyle w:val="BodyText"/>
        <w:spacing w:line="269" w:lineRule="exact"/>
        <w:ind w:left="540"/>
      </w:pPr>
      <w:r>
        <w:rPr>
          <w:spacing w:val="-3"/>
        </w:rPr>
        <w:t>疾病身故保险金作为被保险人遗产时，必须提供可证明合法继承权的相关权利文件。</w:t>
      </w:r>
    </w:p>
    <w:p>
      <w:pPr>
        <w:pStyle w:val="BodyText"/>
        <w:spacing w:before="43"/>
        <w:ind w:left="540"/>
      </w:pPr>
      <w:r>
        <w:rPr>
          <w:spacing w:val="-2"/>
        </w:rPr>
        <w:t>（二）</w:t>
      </w:r>
      <w:r>
        <w:rPr>
          <w:spacing w:val="-3"/>
        </w:rPr>
        <w:t>长期护理保险金的申请</w:t>
      </w:r>
    </w:p>
    <w:p>
      <w:pPr>
        <w:pStyle w:val="BodyText"/>
        <w:spacing w:line="304" w:lineRule="auto" w:before="43"/>
        <w:ind w:left="540" w:right="1488" w:firstLine="7"/>
      </w:pPr>
      <w:r>
        <w:rPr>
          <w:spacing w:val="-2"/>
        </w:rPr>
        <w:t>在申请长期护理保险金时，申请人应填写保险金给付申请书，并提交下列证明和资料： 1.保险合同；</w:t>
      </w:r>
    </w:p>
    <w:p>
      <w:pPr>
        <w:pStyle w:val="ListParagraph"/>
        <w:numPr>
          <w:ilvl w:val="0"/>
          <w:numId w:val="11"/>
        </w:numPr>
        <w:tabs>
          <w:tab w:pos="753" w:val="left" w:leader="none"/>
        </w:tabs>
        <w:spacing w:line="239" w:lineRule="exact" w:before="0" w:after="0"/>
        <w:ind w:left="752" w:right="0" w:hanging="213"/>
        <w:jc w:val="left"/>
        <w:rPr>
          <w:sz w:val="21"/>
        </w:rPr>
      </w:pPr>
      <w:r>
        <w:rPr>
          <w:spacing w:val="-3"/>
          <w:sz w:val="21"/>
        </w:rPr>
        <w:t>申请人的有效身份证件；</w:t>
      </w:r>
    </w:p>
    <w:p>
      <w:pPr>
        <w:pStyle w:val="ListParagraph"/>
        <w:numPr>
          <w:ilvl w:val="0"/>
          <w:numId w:val="11"/>
        </w:numPr>
        <w:tabs>
          <w:tab w:pos="753" w:val="left" w:leader="none"/>
        </w:tabs>
        <w:spacing w:line="240" w:lineRule="auto" w:before="43" w:after="0"/>
        <w:ind w:left="752" w:right="0" w:hanging="213"/>
        <w:jc w:val="left"/>
        <w:rPr>
          <w:sz w:val="21"/>
        </w:rPr>
      </w:pPr>
      <w:r>
        <w:rPr>
          <w:spacing w:val="-3"/>
          <w:sz w:val="21"/>
        </w:rPr>
        <w:t>由双方认可的有资质的鉴定机构或者医院出具的被保险人丧失日常生活能力的证明；</w:t>
      </w:r>
    </w:p>
    <w:p>
      <w:pPr>
        <w:pStyle w:val="ListParagraph"/>
        <w:numPr>
          <w:ilvl w:val="0"/>
          <w:numId w:val="11"/>
        </w:numPr>
        <w:tabs>
          <w:tab w:pos="753" w:val="left" w:leader="none"/>
        </w:tabs>
        <w:spacing w:line="240" w:lineRule="auto" w:before="43" w:after="0"/>
        <w:ind w:left="752" w:right="0" w:hanging="213"/>
        <w:jc w:val="left"/>
        <w:rPr>
          <w:sz w:val="21"/>
        </w:rPr>
      </w:pPr>
      <w:r>
        <w:rPr>
          <w:spacing w:val="-3"/>
          <w:sz w:val="21"/>
        </w:rPr>
        <w:t>所能提供的与确认保险事故的性质、原因等有关的其他证明和资料；</w:t>
      </w:r>
    </w:p>
    <w:p>
      <w:pPr>
        <w:pStyle w:val="ListParagraph"/>
        <w:numPr>
          <w:ilvl w:val="0"/>
          <w:numId w:val="11"/>
        </w:numPr>
        <w:tabs>
          <w:tab w:pos="753" w:val="left" w:leader="none"/>
        </w:tabs>
        <w:spacing w:line="278" w:lineRule="auto" w:before="43" w:after="0"/>
        <w:ind w:left="540" w:right="1591" w:firstLine="0"/>
        <w:jc w:val="left"/>
        <w:rPr>
          <w:sz w:val="21"/>
        </w:rPr>
      </w:pPr>
      <w:r>
        <w:rPr>
          <w:spacing w:val="-5"/>
          <w:sz w:val="21"/>
        </w:rPr>
        <w:t>若申请人委托他人申请的，还应提供授权委托书原件、委托人和受托人的有效身份证</w:t>
      </w:r>
      <w:r>
        <w:rPr>
          <w:spacing w:val="-2"/>
          <w:sz w:val="21"/>
        </w:rPr>
        <w:t>件等相关证明文件。</w:t>
      </w:r>
    </w:p>
    <w:p>
      <w:pPr>
        <w:pStyle w:val="BodyText"/>
        <w:spacing w:line="269" w:lineRule="exact"/>
        <w:ind w:left="540"/>
      </w:pPr>
      <w:r>
        <w:rPr>
          <w:spacing w:val="-3"/>
        </w:rPr>
        <w:t>以上证明和资料不完整的，本公司将及时一次性通知申请人补充提供有关证明和资料。</w:t>
      </w:r>
    </w:p>
    <w:p>
      <w:pPr>
        <w:pStyle w:val="BodyText"/>
        <w:spacing w:before="9"/>
        <w:rPr>
          <w:sz w:val="27"/>
        </w:rPr>
      </w:pPr>
    </w:p>
    <w:p>
      <w:pPr>
        <w:pStyle w:val="Heading2"/>
        <w:jc w:val="both"/>
      </w:pPr>
      <w:bookmarkStart w:name="_bookmark29" w:id="26"/>
      <w:bookmarkEnd w:id="26"/>
      <w:r>
        <w:rPr>
          <w:b w:val="0"/>
        </w:rPr>
      </w:r>
      <w:r>
        <w:rPr>
          <w:spacing w:val="-3"/>
        </w:rPr>
        <w:t>第二十六条 保险金给付</w:t>
      </w:r>
    </w:p>
    <w:p>
      <w:pPr>
        <w:pStyle w:val="BodyText"/>
        <w:spacing w:line="278" w:lineRule="auto" w:before="43"/>
        <w:ind w:left="120" w:right="1497" w:firstLine="419"/>
        <w:jc w:val="both"/>
      </w:pPr>
      <w:r>
        <w:rPr>
          <w:spacing w:val="-2"/>
        </w:rPr>
        <w:t>本公司在收到申请人的保险金给付申请书及上述有关证明和资料后，将及时作出核定；</w:t>
      </w:r>
      <w:r>
        <w:rPr>
          <w:spacing w:val="-3"/>
        </w:rPr>
        <w:t>情形复杂的，在 </w:t>
      </w:r>
      <w:r>
        <w:rPr/>
        <w:t>30</w:t>
      </w:r>
      <w:r>
        <w:rPr>
          <w:spacing w:val="-5"/>
        </w:rPr>
        <w:t> 日内作出核定。</w:t>
      </w:r>
    </w:p>
    <w:p>
      <w:pPr>
        <w:pStyle w:val="BodyText"/>
        <w:spacing w:line="278" w:lineRule="auto"/>
        <w:ind w:left="120" w:right="1591" w:firstLine="419"/>
        <w:jc w:val="both"/>
      </w:pPr>
      <w:r>
        <w:rPr>
          <w:spacing w:val="-11"/>
        </w:rPr>
        <w:t>本公司作出核定后，对确定属于保险责任的，本公司在与申请人达成给付保险金协议后</w:t>
      </w:r>
      <w:r>
        <w:rPr>
          <w:spacing w:val="-2"/>
        </w:rPr>
        <w:t> 10</w:t>
      </w:r>
      <w:r>
        <w:rPr>
          <w:spacing w:val="-6"/>
        </w:rPr>
        <w:t> 日内履行给付保险金责任；对不属于保险责任的，本公司自作出核定之日起 </w:t>
      </w:r>
      <w:r>
        <w:rPr>
          <w:spacing w:val="-2"/>
        </w:rPr>
        <w:t>3</w:t>
      </w:r>
      <w:r>
        <w:rPr>
          <w:spacing w:val="-6"/>
        </w:rPr>
        <w:t> 日内向申</w:t>
      </w:r>
      <w:r>
        <w:rPr>
          <w:spacing w:val="-2"/>
        </w:rPr>
        <w:t>请人发出拒绝给付保险金通知书并说明理由。</w:t>
      </w:r>
    </w:p>
    <w:p>
      <w:pPr>
        <w:pStyle w:val="BodyText"/>
        <w:spacing w:line="278" w:lineRule="auto"/>
        <w:ind w:left="120" w:right="1591" w:firstLine="419"/>
        <w:jc w:val="both"/>
      </w:pPr>
      <w:r>
        <w:rPr>
          <w:spacing w:val="-4"/>
        </w:rPr>
        <w:t>与申请人达成给付保险金协议后 </w:t>
      </w:r>
      <w:r>
        <w:rPr>
          <w:spacing w:val="-2"/>
        </w:rPr>
        <w:t>10</w:t>
      </w:r>
      <w:r>
        <w:rPr>
          <w:spacing w:val="-7"/>
        </w:rPr>
        <w:t> 日内，未履行给付保险金责任的，本公司除支付保</w:t>
      </w:r>
      <w:r>
        <w:rPr>
          <w:spacing w:val="-2"/>
        </w:rPr>
        <w:t>险金外，还将赔偿申请人因此受到的损失。</w:t>
      </w:r>
    </w:p>
    <w:p>
      <w:pPr>
        <w:pStyle w:val="BodyText"/>
        <w:spacing w:line="278" w:lineRule="auto"/>
        <w:ind w:left="120" w:right="1591" w:firstLine="419"/>
        <w:jc w:val="both"/>
      </w:pPr>
      <w:r>
        <w:rPr>
          <w:spacing w:val="-3"/>
        </w:rPr>
        <w:t>本公司自收到申请人的保险金给付申请书及上述有关证明和资料之日起 </w:t>
      </w:r>
      <w:r>
        <w:rPr>
          <w:spacing w:val="-2"/>
        </w:rPr>
        <w:t>60</w:t>
      </w:r>
      <w:r>
        <w:rPr>
          <w:spacing w:val="-7"/>
        </w:rPr>
        <w:t> 日内，对保</w:t>
      </w:r>
      <w:r>
        <w:rPr>
          <w:spacing w:val="-4"/>
        </w:rPr>
        <w:t>险金数额不能完全确定的，将根据已有证明和资料，按可以确定的数额先予支付，本公司最</w:t>
      </w:r>
      <w:r>
        <w:rPr>
          <w:spacing w:val="-2"/>
        </w:rPr>
        <w:t>终确定保险金数额后，给付相应的差额。</w:t>
      </w:r>
    </w:p>
    <w:p>
      <w:pPr>
        <w:spacing w:after="0" w:line="278" w:lineRule="auto"/>
        <w:jc w:val="both"/>
        <w:sectPr>
          <w:pgSz w:w="11910" w:h="16840"/>
          <w:pgMar w:header="0" w:footer="985" w:top="1380" w:bottom="1180" w:left="1680" w:right="200"/>
        </w:sectPr>
      </w:pPr>
    </w:p>
    <w:p>
      <w:pPr>
        <w:pStyle w:val="Heading2"/>
        <w:spacing w:before="44"/>
      </w:pPr>
      <w:bookmarkStart w:name="_bookmark30" w:id="27"/>
      <w:bookmarkEnd w:id="27"/>
      <w:r>
        <w:rPr>
          <w:b w:val="0"/>
        </w:rPr>
      </w:r>
      <w:r>
        <w:rPr>
          <w:spacing w:val="-3"/>
        </w:rPr>
        <w:t>第二十七条 诉讼时效</w:t>
      </w:r>
    </w:p>
    <w:p>
      <w:pPr>
        <w:pStyle w:val="BodyText"/>
        <w:spacing w:line="278" w:lineRule="auto" w:before="43"/>
        <w:ind w:left="120" w:right="1618" w:firstLine="400"/>
      </w:pPr>
      <w:r>
        <w:rPr>
          <w:spacing w:val="-2"/>
        </w:rPr>
        <w:t>本合同的疾病身故保险金受益人向本公司请求给付疾病身故保险金的诉讼时效期间为</w:t>
      </w:r>
      <w:r>
        <w:rPr>
          <w:spacing w:val="-2"/>
        </w:rPr>
        <w:t>五年，自其知道或者应当知道保险事故发生之日起计算。</w:t>
      </w:r>
    </w:p>
    <w:p>
      <w:pPr>
        <w:pStyle w:val="BodyText"/>
        <w:spacing w:line="278" w:lineRule="auto"/>
        <w:ind w:left="120" w:right="1610" w:firstLine="400"/>
      </w:pPr>
      <w:r>
        <w:rPr>
          <w:spacing w:val="-5"/>
        </w:rPr>
        <w:t>本合同的其他保险金受益人向本公司请求给付其他保险金的诉讼时效期间为二年，自其</w:t>
      </w:r>
      <w:r>
        <w:rPr>
          <w:spacing w:val="-2"/>
        </w:rPr>
        <w:t>知道或者应当知道保险事故发生之日起计算。</w:t>
      </w:r>
    </w:p>
    <w:p>
      <w:pPr>
        <w:pStyle w:val="BodyText"/>
        <w:spacing w:before="4"/>
        <w:rPr>
          <w:sz w:val="24"/>
        </w:rPr>
      </w:pPr>
    </w:p>
    <w:p>
      <w:pPr>
        <w:pStyle w:val="Heading2"/>
      </w:pPr>
      <w:bookmarkStart w:name="_bookmark31" w:id="28"/>
      <w:bookmarkEnd w:id="28"/>
      <w:r>
        <w:rPr>
          <w:b w:val="0"/>
        </w:rPr>
      </w:r>
      <w:r>
        <w:rPr>
          <w:spacing w:val="-3"/>
        </w:rPr>
        <w:t>第二十八条 争议处理</w:t>
      </w:r>
    </w:p>
    <w:p>
      <w:pPr>
        <w:pStyle w:val="BodyText"/>
        <w:spacing w:line="278" w:lineRule="auto" w:before="43"/>
        <w:ind w:left="120" w:right="1497" w:firstLine="419"/>
      </w:pPr>
      <w:r>
        <w:rPr>
          <w:spacing w:val="-2"/>
        </w:rPr>
        <w:t>本合同履行过程中，双方发生争议不能协商解决的，可以达成仲裁协议通过仲裁解决，</w:t>
      </w:r>
      <w:r>
        <w:rPr>
          <w:spacing w:val="-2"/>
        </w:rPr>
        <w:t>也可依法直接向法院提起诉讼。</w:t>
      </w:r>
    </w:p>
    <w:p>
      <w:pPr>
        <w:pStyle w:val="BodyText"/>
        <w:spacing w:before="5"/>
        <w:rPr>
          <w:sz w:val="24"/>
        </w:rPr>
      </w:pPr>
    </w:p>
    <w:p>
      <w:pPr>
        <w:pStyle w:val="Heading2"/>
      </w:pPr>
      <w:bookmarkStart w:name="_bookmark32" w:id="29"/>
      <w:bookmarkEnd w:id="29"/>
      <w:r>
        <w:rPr>
          <w:b w:val="0"/>
        </w:rPr>
      </w:r>
      <w:r>
        <w:rPr>
          <w:spacing w:val="-3"/>
        </w:rPr>
        <w:t>第二十九条 司法管辖</w:t>
      </w:r>
    </w:p>
    <w:p>
      <w:pPr>
        <w:pStyle w:val="BodyText"/>
        <w:spacing w:line="278" w:lineRule="auto" w:before="43"/>
        <w:ind w:left="120" w:right="1598" w:firstLine="419"/>
      </w:pPr>
      <w:r>
        <w:rPr>
          <w:spacing w:val="-2"/>
        </w:rPr>
        <w:t>本合同受中华人民共和国司法管辖，适用中华人民共和国法律（不包括港澳台地区法</w:t>
      </w:r>
      <w:r>
        <w:rPr>
          <w:spacing w:val="-6"/>
        </w:rPr>
        <w:t>律</w:t>
      </w:r>
      <w:r>
        <w:rPr>
          <w:spacing w:val="-106"/>
        </w:rPr>
        <w:t>）</w:t>
      </w:r>
      <w:r>
        <w:rPr>
          <w:spacing w:val="-6"/>
        </w:rPr>
        <w:t>。</w:t>
      </w:r>
    </w:p>
    <w:p>
      <w:pPr>
        <w:pStyle w:val="BodyText"/>
        <w:rPr>
          <w:sz w:val="20"/>
        </w:rPr>
      </w:pPr>
    </w:p>
    <w:p>
      <w:pPr>
        <w:pStyle w:val="BodyText"/>
        <w:spacing w:before="12"/>
        <w:rPr>
          <w:sz w:val="26"/>
        </w:rPr>
      </w:pPr>
    </w:p>
    <w:p>
      <w:pPr>
        <w:pStyle w:val="Heading1"/>
        <w:ind w:left="3250"/>
      </w:pPr>
      <w:bookmarkStart w:name="_bookmark33" w:id="30"/>
      <w:bookmarkEnd w:id="30"/>
      <w:r>
        <w:rPr>
          <w:b w:val="0"/>
        </w:rPr>
      </w:r>
      <w:r>
        <w:rPr>
          <w:spacing w:val="-3"/>
        </w:rPr>
        <w:t>第五部分 其</w:t>
      </w:r>
      <w:r>
        <w:rPr/>
        <w:t>他</w:t>
      </w:r>
      <w:r>
        <w:rPr/>
        <w:t>事</w:t>
      </w:r>
      <w:r>
        <w:rPr>
          <w:spacing w:val="-10"/>
        </w:rPr>
        <w:t>项</w:t>
      </w:r>
    </w:p>
    <w:p>
      <w:pPr>
        <w:pStyle w:val="BodyText"/>
        <w:spacing w:before="6"/>
        <w:rPr>
          <w:b/>
          <w:sz w:val="26"/>
        </w:rPr>
      </w:pPr>
    </w:p>
    <w:p>
      <w:pPr>
        <w:pStyle w:val="Heading2"/>
      </w:pPr>
      <w:bookmarkStart w:name="_bookmark34" w:id="31"/>
      <w:bookmarkEnd w:id="31"/>
      <w:r>
        <w:rPr>
          <w:b w:val="0"/>
        </w:rPr>
      </w:r>
      <w:r>
        <w:rPr>
          <w:spacing w:val="-4"/>
        </w:rPr>
        <w:t>第三十条 释义</w:t>
      </w:r>
    </w:p>
    <w:p>
      <w:pPr>
        <w:pStyle w:val="BodyText"/>
        <w:spacing w:line="278" w:lineRule="auto" w:before="43"/>
        <w:ind w:left="686" w:right="1591" w:hanging="567"/>
      </w:pPr>
      <w:r>
        <w:rPr>
          <w:spacing w:val="-3"/>
        </w:rPr>
        <w:t>(一) </w:t>
      </w:r>
      <w:r>
        <w:rPr>
          <w:b/>
        </w:rPr>
        <w:t>保险单周年日：</w:t>
      </w:r>
      <w:r>
        <w:rPr/>
        <w:t>指本合同生效日以后每年的对应日。如果当月无对应的同一日，则以</w:t>
      </w:r>
      <w:r>
        <w:rPr>
          <w:spacing w:val="-2"/>
        </w:rPr>
        <w:t>该月最后一日作为对应日。</w:t>
      </w:r>
    </w:p>
    <w:p>
      <w:pPr>
        <w:pStyle w:val="BodyText"/>
        <w:spacing w:line="278" w:lineRule="auto"/>
        <w:ind w:left="686" w:right="1591" w:hanging="567"/>
      </w:pPr>
      <w:r>
        <w:rPr>
          <w:spacing w:val="-3"/>
        </w:rPr>
        <w:t>(二) </w:t>
      </w:r>
      <w:r>
        <w:rPr>
          <w:b/>
        </w:rPr>
        <w:t>保险单年度：</w:t>
      </w:r>
      <w:r>
        <w:rPr/>
        <w:t>从本合同生效日或生效对应日零时起至下一年度本合同生效对应日零时</w:t>
      </w:r>
      <w:r>
        <w:rPr>
          <w:spacing w:val="-2"/>
        </w:rPr>
        <w:t>止为一个保险单年度。</w:t>
      </w:r>
    </w:p>
    <w:p>
      <w:pPr>
        <w:pStyle w:val="BodyText"/>
        <w:spacing w:line="278" w:lineRule="auto"/>
        <w:ind w:left="686" w:right="1488" w:hanging="567"/>
      </w:pPr>
      <w:r>
        <w:rPr>
          <w:spacing w:val="-4"/>
        </w:rPr>
        <w:t>(三) </w:t>
      </w:r>
      <w:r>
        <w:rPr>
          <w:b/>
          <w:spacing w:val="-4"/>
        </w:rPr>
        <w:t>保险费约定交纳日：</w:t>
      </w:r>
      <w:r>
        <w:rPr>
          <w:spacing w:val="-4"/>
        </w:rPr>
        <w:t>本合同生效日在每月、每季、每半年或每年（根据交费方式确定）</w:t>
      </w:r>
      <w:r>
        <w:rPr>
          <w:spacing w:val="-2"/>
        </w:rPr>
        <w:t>的对应日。如果当月无对应的同一日，则以该月最后一日为对应日。</w:t>
      </w:r>
    </w:p>
    <w:p>
      <w:pPr>
        <w:pStyle w:val="BodyText"/>
        <w:spacing w:line="278" w:lineRule="auto"/>
        <w:ind w:left="686" w:right="1488" w:hanging="567"/>
      </w:pPr>
      <w:r>
        <w:rPr/>
        <w:t>(四) </w:t>
      </w:r>
      <w:r>
        <w:rPr>
          <w:b/>
        </w:rPr>
        <w:t>周岁</w:t>
      </w:r>
      <w:r>
        <w:rPr>
          <w:spacing w:val="-12"/>
        </w:rPr>
        <w:t>：指按法定身份证明文件中记载的出生日期计算的年龄，自出生之日起为零周岁，</w:t>
      </w:r>
      <w:r>
        <w:rPr>
          <w:spacing w:val="-2"/>
        </w:rPr>
        <w:t>每经过一年增加一岁，不足一年的不计。</w:t>
      </w:r>
    </w:p>
    <w:p>
      <w:pPr>
        <w:pStyle w:val="BodyText"/>
        <w:spacing w:line="278" w:lineRule="auto"/>
        <w:ind w:left="686" w:right="1596" w:hanging="567"/>
      </w:pPr>
      <w:r>
        <w:rPr>
          <w:spacing w:val="-3"/>
        </w:rPr>
        <w:t>(五) </w:t>
      </w:r>
      <w:r>
        <w:rPr>
          <w:b/>
        </w:rPr>
        <w:t>现金价值：</w:t>
      </w:r>
      <w:r>
        <w:rPr/>
        <w:t>指保险单的价值，通常体现为解除合同时，根据精算原理计算的，由本公</w:t>
      </w:r>
      <w:r>
        <w:rPr>
          <w:spacing w:val="-2"/>
        </w:rPr>
        <w:t>司退还的那部分金额。本合同保险单年度末的现金价值将在保险单上载明。</w:t>
      </w:r>
    </w:p>
    <w:p>
      <w:pPr>
        <w:spacing w:line="278" w:lineRule="auto" w:before="0"/>
        <w:ind w:left="120" w:right="1593" w:firstLine="0"/>
        <w:jc w:val="left"/>
        <w:rPr>
          <w:b/>
          <w:sz w:val="21"/>
        </w:rPr>
      </w:pPr>
      <w:r>
        <w:rPr>
          <w:spacing w:val="9"/>
          <w:sz w:val="21"/>
        </w:rPr>
        <w:t>(六) </w:t>
      </w:r>
      <w:r>
        <w:rPr>
          <w:b/>
          <w:sz w:val="21"/>
        </w:rPr>
        <w:t>交费期满日</w:t>
      </w:r>
      <w:r>
        <w:rPr>
          <w:sz w:val="21"/>
        </w:rPr>
        <w:t>：指本合同最后一期应交保险费约定交纳日后的第一个保险单周年日。</w:t>
      </w:r>
      <w:r>
        <w:rPr>
          <w:spacing w:val="40"/>
          <w:sz w:val="21"/>
        </w:rPr>
        <w:t> </w:t>
      </w:r>
      <w:r>
        <w:rPr>
          <w:spacing w:val="-3"/>
          <w:sz w:val="21"/>
        </w:rPr>
        <w:t>(七) </w:t>
      </w:r>
      <w:r>
        <w:rPr>
          <w:b/>
          <w:sz w:val="21"/>
        </w:rPr>
        <w:t>丧失日常生活能力</w:t>
      </w:r>
      <w:r>
        <w:rPr>
          <w:sz w:val="21"/>
        </w:rPr>
        <w:t>：被保险人经</w:t>
      </w:r>
      <w:r>
        <w:rPr>
          <w:b/>
          <w:sz w:val="21"/>
        </w:rPr>
        <w:t>医院</w:t>
      </w:r>
      <w:r>
        <w:rPr>
          <w:sz w:val="21"/>
        </w:rPr>
        <w:t>或司法鉴定机构诊断确定丧失独立完成</w:t>
      </w:r>
      <w:r>
        <w:rPr>
          <w:b/>
          <w:sz w:val="21"/>
        </w:rPr>
        <w:t>六项基本</w:t>
      </w:r>
    </w:p>
    <w:p>
      <w:pPr>
        <w:spacing w:line="269" w:lineRule="exact" w:before="0"/>
        <w:ind w:left="686" w:right="0" w:firstLine="0"/>
        <w:jc w:val="left"/>
        <w:rPr>
          <w:sz w:val="21"/>
        </w:rPr>
      </w:pPr>
      <w:r>
        <w:rPr>
          <w:b/>
          <w:spacing w:val="-2"/>
          <w:sz w:val="21"/>
        </w:rPr>
        <w:t>日常生活活动</w:t>
      </w:r>
      <w:r>
        <w:rPr>
          <w:spacing w:val="-3"/>
          <w:sz w:val="21"/>
        </w:rPr>
        <w:t>中的三项或三项以上的活动能力。</w:t>
      </w:r>
    </w:p>
    <w:p>
      <w:pPr>
        <w:pStyle w:val="BodyText"/>
        <w:spacing w:line="278" w:lineRule="auto" w:before="42"/>
        <w:ind w:left="686" w:right="1596"/>
      </w:pPr>
      <w:r>
        <w:rPr/>
        <w:pict>
          <v:shape style="position:absolute;margin-left:463.51001pt;margin-top:32.159985pt;width:41.9pt;height:14.8pt;mso-position-horizontal-relative:page;mso-position-vertical-relative:paragraph;z-index:15760384" type="#_x0000_t202" id="docshape46" filled="true" fillcolor="#c0c0c0" stroked="false">
            <v:textbox inset="0,0,0,0">
              <w:txbxContent>
                <w:p>
                  <w:pPr>
                    <w:pStyle w:val="BodyText"/>
                    <w:spacing w:before="22"/>
                    <w:ind w:right="-15"/>
                    <w:rPr>
                      <w:color w:val="000000"/>
                    </w:rPr>
                  </w:pPr>
                  <w:r>
                    <w:rPr>
                      <w:color w:val="000000"/>
                      <w:spacing w:val="-4"/>
                    </w:rPr>
                    <w:t>但不包括</w:t>
                  </w:r>
                </w:p>
              </w:txbxContent>
            </v:textbox>
            <v:fill type="solid"/>
            <w10:wrap type="none"/>
          </v:shape>
        </w:pict>
      </w:r>
      <w:r>
        <w:rPr>
          <w:spacing w:val="-2"/>
        </w:rPr>
        <w:t>若本公司或投保人、被保险人、受益人对医生诊断结果或鉴定结果有异议，则由双方</w:t>
      </w:r>
      <w:r>
        <w:rPr>
          <w:spacing w:val="-2"/>
        </w:rPr>
        <w:t>认可的有资质的鉴定机构进行再次鉴定。</w:t>
      </w:r>
    </w:p>
    <w:p>
      <w:pPr>
        <w:pStyle w:val="BodyText"/>
        <w:spacing w:line="269" w:lineRule="exact"/>
        <w:ind w:left="120"/>
      </w:pPr>
      <w:r>
        <w:rPr/>
        <w:pict>
          <v:shape style="position:absolute;margin-left:118.339996pt;margin-top:14.448735pt;width:387.1pt;height:14.8pt;mso-position-horizontal-relative:page;mso-position-vertical-relative:paragraph;z-index:-15697920;mso-wrap-distance-left:0;mso-wrap-distance-right:0" type="#_x0000_t202" id="docshape47" filled="true" fillcolor="#c0c0c0" stroked="false">
            <v:textbox inset="0,0,0,0">
              <w:txbxContent>
                <w:p>
                  <w:pPr>
                    <w:pStyle w:val="BodyText"/>
                    <w:spacing w:before="23"/>
                    <w:ind w:right="-15"/>
                    <w:rPr>
                      <w:color w:val="000000"/>
                    </w:rPr>
                  </w:pPr>
                  <w:r>
                    <w:rPr>
                      <w:color w:val="000000"/>
                      <w:spacing w:val="-5"/>
                    </w:rPr>
                    <w:t>精神病院及专供康复、休养、戒毒、戒酒、护理、养老等非以直接诊治病人为目的的</w:t>
                  </w:r>
                </w:p>
              </w:txbxContent>
            </v:textbox>
            <v:fill type="solid"/>
            <w10:wrap type="topAndBottom"/>
          </v:shape>
        </w:pict>
      </w:r>
      <w:r>
        <w:rPr>
          <w:spacing w:val="11"/>
        </w:rPr>
        <w:t>(八) </w:t>
      </w:r>
      <w:r>
        <w:rPr>
          <w:b/>
          <w:spacing w:val="-2"/>
        </w:rPr>
        <w:t>医院：</w:t>
      </w:r>
      <w:r>
        <w:rPr>
          <w:spacing w:val="-3"/>
        </w:rPr>
        <w:t>指中华人民共和国卫生部门评审确定的二级或二级以上的公立医院，</w:t>
      </w:r>
    </w:p>
    <w:p>
      <w:pPr>
        <w:pStyle w:val="BodyText"/>
        <w:ind w:left="686"/>
        <w:rPr>
          <w:sz w:val="20"/>
        </w:rPr>
      </w:pPr>
      <w:r>
        <w:rPr>
          <w:sz w:val="20"/>
        </w:rPr>
        <w:pict>
          <v:shape style="width:52.6pt;height:14.8pt;mso-position-horizontal-relative:char;mso-position-vertical-relative:line" type="#_x0000_t202" id="docshape48" filled="true" fillcolor="#c0c0c0" stroked="false">
            <w10:anchorlock/>
            <v:textbox inset="0,0,0,0">
              <w:txbxContent>
                <w:p>
                  <w:pPr>
                    <w:pStyle w:val="BodyText"/>
                    <w:spacing w:before="22"/>
                    <w:ind w:right="-15"/>
                    <w:rPr>
                      <w:color w:val="000000"/>
                    </w:rPr>
                  </w:pPr>
                  <w:r>
                    <w:rPr>
                      <w:color w:val="000000"/>
                      <w:spacing w:val="-6"/>
                    </w:rPr>
                    <w:t>医疗机构。</w:t>
                  </w:r>
                </w:p>
              </w:txbxContent>
            </v:textbox>
            <v:fill type="solid"/>
          </v:shape>
        </w:pict>
      </w:r>
      <w:r>
        <w:rPr>
          <w:sz w:val="20"/>
        </w:rPr>
      </w:r>
    </w:p>
    <w:p>
      <w:pPr>
        <w:pStyle w:val="BodyText"/>
        <w:spacing w:line="278" w:lineRule="auto" w:before="36"/>
        <w:ind w:left="686" w:right="1591"/>
      </w:pPr>
      <w:r>
        <w:rPr>
          <w:spacing w:val="-2"/>
        </w:rPr>
        <w:t>该医院必须具有符合国家有关医院管理规则设置标准的医疗设备，且全天二十四小时</w:t>
      </w:r>
      <w:r>
        <w:rPr>
          <w:spacing w:val="-2"/>
        </w:rPr>
        <w:t>有合格医师及护士驻院提供医疗及护理服务。</w:t>
      </w:r>
    </w:p>
    <w:p>
      <w:pPr>
        <w:spacing w:before="1"/>
        <w:ind w:left="120" w:right="0" w:firstLine="0"/>
        <w:jc w:val="left"/>
        <w:rPr>
          <w:b/>
          <w:sz w:val="21"/>
        </w:rPr>
      </w:pPr>
      <w:r>
        <w:rPr>
          <w:spacing w:val="8"/>
          <w:sz w:val="21"/>
        </w:rPr>
        <w:t>(九) </w:t>
      </w:r>
      <w:r>
        <w:rPr>
          <w:b/>
          <w:spacing w:val="-1"/>
          <w:sz w:val="21"/>
        </w:rPr>
        <w:t>六项基本日常生活活动：</w:t>
      </w:r>
    </w:p>
    <w:p>
      <w:pPr>
        <w:pStyle w:val="ListParagraph"/>
        <w:numPr>
          <w:ilvl w:val="1"/>
          <w:numId w:val="11"/>
        </w:numPr>
        <w:tabs>
          <w:tab w:pos="899" w:val="left" w:leader="none"/>
        </w:tabs>
        <w:spacing w:line="240" w:lineRule="auto" w:before="43" w:after="0"/>
        <w:ind w:left="899" w:right="0" w:hanging="213"/>
        <w:jc w:val="left"/>
        <w:rPr>
          <w:sz w:val="21"/>
        </w:rPr>
      </w:pPr>
      <w:r>
        <w:rPr>
          <w:spacing w:val="-3"/>
          <w:sz w:val="21"/>
        </w:rPr>
        <w:t>穿衣：自己能够穿衣及脱衣。</w:t>
      </w:r>
    </w:p>
    <w:p>
      <w:pPr>
        <w:pStyle w:val="ListParagraph"/>
        <w:numPr>
          <w:ilvl w:val="1"/>
          <w:numId w:val="11"/>
        </w:numPr>
        <w:tabs>
          <w:tab w:pos="899" w:val="left" w:leader="none"/>
        </w:tabs>
        <w:spacing w:line="240" w:lineRule="auto" w:before="43" w:after="0"/>
        <w:ind w:left="899" w:right="0" w:hanging="213"/>
        <w:jc w:val="left"/>
        <w:rPr>
          <w:sz w:val="21"/>
        </w:rPr>
      </w:pPr>
      <w:r>
        <w:rPr>
          <w:spacing w:val="-3"/>
          <w:sz w:val="21"/>
        </w:rPr>
        <w:t>移动：自己从一个房间到另一个房间。</w:t>
      </w:r>
    </w:p>
    <w:p>
      <w:pPr>
        <w:pStyle w:val="ListParagraph"/>
        <w:numPr>
          <w:ilvl w:val="1"/>
          <w:numId w:val="11"/>
        </w:numPr>
        <w:tabs>
          <w:tab w:pos="899" w:val="left" w:leader="none"/>
        </w:tabs>
        <w:spacing w:line="240" w:lineRule="auto" w:before="42" w:after="0"/>
        <w:ind w:left="899" w:right="0" w:hanging="213"/>
        <w:jc w:val="left"/>
        <w:rPr>
          <w:sz w:val="21"/>
        </w:rPr>
      </w:pPr>
      <w:r>
        <w:rPr>
          <w:spacing w:val="-3"/>
          <w:sz w:val="21"/>
        </w:rPr>
        <w:t>行动：自己上下床或上下轮椅。</w:t>
      </w:r>
    </w:p>
    <w:p>
      <w:pPr>
        <w:pStyle w:val="ListParagraph"/>
        <w:numPr>
          <w:ilvl w:val="1"/>
          <w:numId w:val="11"/>
        </w:numPr>
        <w:tabs>
          <w:tab w:pos="899" w:val="left" w:leader="none"/>
        </w:tabs>
        <w:spacing w:line="240" w:lineRule="auto" w:before="43" w:after="0"/>
        <w:ind w:left="899" w:right="0" w:hanging="213"/>
        <w:jc w:val="left"/>
        <w:rPr>
          <w:sz w:val="21"/>
        </w:rPr>
      </w:pPr>
      <w:r>
        <w:rPr>
          <w:spacing w:val="-3"/>
          <w:sz w:val="21"/>
        </w:rPr>
        <w:t>如厕：自己控制进行大小便。</w:t>
      </w:r>
    </w:p>
    <w:p>
      <w:pPr>
        <w:pStyle w:val="ListParagraph"/>
        <w:numPr>
          <w:ilvl w:val="1"/>
          <w:numId w:val="11"/>
        </w:numPr>
        <w:tabs>
          <w:tab w:pos="899" w:val="left" w:leader="none"/>
        </w:tabs>
        <w:spacing w:line="240" w:lineRule="auto" w:before="43" w:after="0"/>
        <w:ind w:left="899" w:right="0" w:hanging="213"/>
        <w:jc w:val="left"/>
        <w:rPr>
          <w:sz w:val="21"/>
        </w:rPr>
      </w:pPr>
      <w:r>
        <w:rPr>
          <w:spacing w:val="-3"/>
          <w:sz w:val="21"/>
        </w:rPr>
        <w:t>进食：自己从已准备好的碗或碟中取食物放入口中。</w:t>
      </w:r>
    </w:p>
    <w:p>
      <w:pPr>
        <w:pStyle w:val="ListParagraph"/>
        <w:numPr>
          <w:ilvl w:val="1"/>
          <w:numId w:val="11"/>
        </w:numPr>
        <w:tabs>
          <w:tab w:pos="899" w:val="left" w:leader="none"/>
        </w:tabs>
        <w:spacing w:line="240" w:lineRule="auto" w:before="43" w:after="0"/>
        <w:ind w:left="899" w:right="0" w:hanging="213"/>
        <w:jc w:val="left"/>
        <w:rPr>
          <w:sz w:val="21"/>
        </w:rPr>
      </w:pPr>
      <w:r>
        <w:rPr>
          <w:spacing w:val="-3"/>
          <w:sz w:val="21"/>
        </w:rPr>
        <w:t>洗澡：自己进行淋浴或盆浴。</w:t>
      </w:r>
    </w:p>
    <w:p>
      <w:pPr>
        <w:spacing w:after="0" w:line="240" w:lineRule="auto"/>
        <w:jc w:val="left"/>
        <w:rPr>
          <w:sz w:val="21"/>
        </w:rPr>
        <w:sectPr>
          <w:pgSz w:w="11910" w:h="16840"/>
          <w:pgMar w:header="0" w:footer="985" w:top="1400" w:bottom="1180" w:left="1680" w:right="200"/>
        </w:sectPr>
      </w:pPr>
    </w:p>
    <w:p>
      <w:pPr>
        <w:pStyle w:val="BodyText"/>
        <w:spacing w:before="44"/>
        <w:ind w:left="120"/>
      </w:pPr>
      <w:r>
        <w:rPr>
          <w:spacing w:val="-1"/>
        </w:rPr>
        <w:t>(十) </w:t>
      </w:r>
      <w:r>
        <w:rPr>
          <w:b/>
        </w:rPr>
        <w:t>观察期</w:t>
      </w:r>
      <w:r>
        <w:rPr>
          <w:spacing w:val="-3"/>
        </w:rPr>
        <w:t>：被保险人经诊断确定丧失日常生活能力之日起连续 </w:t>
      </w:r>
      <w:r>
        <w:rPr/>
        <w:t>180</w:t>
      </w:r>
      <w:r>
        <w:rPr>
          <w:spacing w:val="-12"/>
        </w:rPr>
        <w:t> 日的期间。</w:t>
      </w:r>
    </w:p>
    <w:p>
      <w:pPr>
        <w:pStyle w:val="BodyText"/>
        <w:spacing w:line="278" w:lineRule="auto" w:before="43"/>
        <w:ind w:left="840" w:right="1488" w:hanging="720"/>
      </w:pPr>
      <w:r>
        <w:rPr>
          <w:spacing w:val="-1"/>
          <w:w w:val="100"/>
        </w:rPr>
        <w:t>(十一)</w:t>
      </w:r>
      <w:r>
        <w:rPr>
          <w:spacing w:val="-31"/>
        </w:rPr>
        <w:t> </w:t>
      </w:r>
      <w:r>
        <w:rPr>
          <w:b/>
          <w:w w:val="100"/>
        </w:rPr>
        <w:t>毒品</w:t>
      </w:r>
      <w:r>
        <w:rPr>
          <w:spacing w:val="-14"/>
          <w:w w:val="100"/>
        </w:rPr>
        <w:t>：指《中华人民共和国刑法》规定的鸦片、海洛因、甲基苯丙胺</w:t>
      </w:r>
      <w:r>
        <w:rPr>
          <w:spacing w:val="-3"/>
          <w:w w:val="100"/>
        </w:rPr>
        <w:t>（</w:t>
      </w:r>
      <w:r>
        <w:rPr>
          <w:w w:val="100"/>
        </w:rPr>
        <w:t>冰毒</w:t>
      </w:r>
      <w:r>
        <w:rPr>
          <w:spacing w:val="-108"/>
          <w:w w:val="100"/>
        </w:rPr>
        <w:t>）</w:t>
      </w:r>
      <w:r>
        <w:rPr>
          <w:spacing w:val="-8"/>
          <w:w w:val="100"/>
        </w:rPr>
        <w:t>、吗啡、大麻、可卡因以及国家规定管制的其他能够使人形成瘾癖的麻醉药品和精神药品。</w:t>
      </w:r>
      <w:r>
        <w:rPr>
          <w:spacing w:val="-5"/>
          <w:w w:val="100"/>
        </w:rPr>
        <w:t>但不包括由医生开具并遵医嘱使用的用于治疗疾病但含有毒品成分的处方药品。</w:t>
      </w:r>
    </w:p>
    <w:p>
      <w:pPr>
        <w:pStyle w:val="BodyText"/>
        <w:spacing w:line="278" w:lineRule="auto"/>
        <w:ind w:left="840" w:right="1592" w:hanging="720"/>
        <w:jc w:val="both"/>
      </w:pPr>
      <w:r>
        <w:rPr>
          <w:spacing w:val="-5"/>
        </w:rPr>
        <w:t>(十二) </w:t>
      </w:r>
      <w:r>
        <w:rPr>
          <w:b/>
        </w:rPr>
        <w:t>酒后驾驶</w:t>
      </w:r>
      <w:r>
        <w:rPr/>
        <w:t>：指经检测或鉴定，发生事故时车辆驾驶人员每百毫升血液中的酒精含量</w:t>
      </w:r>
      <w:r>
        <w:rPr>
          <w:spacing w:val="-2"/>
        </w:rPr>
        <w:t>达到或超过一定的标准，公安机关交通管理部门依据《中华人民共和国道路交通安</w:t>
      </w:r>
      <w:r>
        <w:rPr>
          <w:spacing w:val="-2"/>
        </w:rPr>
        <w:t>全法》的规定认定为饮酒后驾驶或醉酒后驾驶。</w:t>
      </w:r>
    </w:p>
    <w:p>
      <w:pPr>
        <w:spacing w:line="269" w:lineRule="exact" w:before="0"/>
        <w:ind w:left="120" w:right="0" w:firstLine="0"/>
        <w:jc w:val="both"/>
        <w:rPr>
          <w:sz w:val="21"/>
        </w:rPr>
      </w:pPr>
      <w:r>
        <w:rPr>
          <w:spacing w:val="-1"/>
          <w:sz w:val="21"/>
        </w:rPr>
        <w:t>(十三) </w:t>
      </w:r>
      <w:r>
        <w:rPr>
          <w:b/>
          <w:spacing w:val="-2"/>
          <w:sz w:val="21"/>
        </w:rPr>
        <w:t>无合法有效驾驶证驾驶</w:t>
      </w:r>
      <w:r>
        <w:rPr>
          <w:spacing w:val="-3"/>
          <w:sz w:val="21"/>
        </w:rPr>
        <w:t>：指下列情形之一：</w:t>
      </w:r>
    </w:p>
    <w:p>
      <w:pPr>
        <w:pStyle w:val="ListParagraph"/>
        <w:numPr>
          <w:ilvl w:val="2"/>
          <w:numId w:val="11"/>
        </w:numPr>
        <w:tabs>
          <w:tab w:pos="1114" w:val="left" w:leader="none"/>
        </w:tabs>
        <w:spacing w:line="240" w:lineRule="auto" w:before="43" w:after="0"/>
        <w:ind w:left="1114" w:right="0" w:hanging="286"/>
        <w:jc w:val="left"/>
        <w:rPr>
          <w:sz w:val="21"/>
        </w:rPr>
      </w:pPr>
      <w:r>
        <w:rPr>
          <w:spacing w:val="-3"/>
          <w:sz w:val="21"/>
        </w:rPr>
        <w:t>没有取得驾驶资格；</w:t>
      </w:r>
    </w:p>
    <w:p>
      <w:pPr>
        <w:pStyle w:val="ListParagraph"/>
        <w:numPr>
          <w:ilvl w:val="2"/>
          <w:numId w:val="11"/>
        </w:numPr>
        <w:tabs>
          <w:tab w:pos="1114" w:val="left" w:leader="none"/>
        </w:tabs>
        <w:spacing w:line="240" w:lineRule="auto" w:before="43" w:after="0"/>
        <w:ind w:left="1114" w:right="0" w:hanging="286"/>
        <w:jc w:val="left"/>
        <w:rPr>
          <w:sz w:val="21"/>
        </w:rPr>
      </w:pPr>
      <w:r>
        <w:rPr>
          <w:spacing w:val="-3"/>
          <w:sz w:val="21"/>
        </w:rPr>
        <w:t>持已过期或已注销驾驶证驾驶；</w:t>
      </w:r>
    </w:p>
    <w:p>
      <w:pPr>
        <w:pStyle w:val="ListParagraph"/>
        <w:numPr>
          <w:ilvl w:val="2"/>
          <w:numId w:val="11"/>
        </w:numPr>
        <w:tabs>
          <w:tab w:pos="1114" w:val="left" w:leader="none"/>
        </w:tabs>
        <w:spacing w:line="240" w:lineRule="auto" w:before="43" w:after="0"/>
        <w:ind w:left="1114" w:right="0" w:hanging="286"/>
        <w:jc w:val="left"/>
        <w:rPr>
          <w:sz w:val="21"/>
        </w:rPr>
      </w:pPr>
      <w:r>
        <w:rPr>
          <w:spacing w:val="-3"/>
          <w:sz w:val="21"/>
        </w:rPr>
        <w:t>驾驶与驾驶证准驾车型不相符合的车辆；</w:t>
      </w:r>
    </w:p>
    <w:p>
      <w:pPr>
        <w:pStyle w:val="ListParagraph"/>
        <w:numPr>
          <w:ilvl w:val="2"/>
          <w:numId w:val="11"/>
        </w:numPr>
        <w:tabs>
          <w:tab w:pos="1114" w:val="left" w:leader="none"/>
        </w:tabs>
        <w:spacing w:line="240" w:lineRule="auto" w:before="43" w:after="0"/>
        <w:ind w:left="1114" w:right="0" w:hanging="286"/>
        <w:jc w:val="left"/>
        <w:rPr>
          <w:sz w:val="21"/>
        </w:rPr>
      </w:pPr>
      <w:r>
        <w:rPr>
          <w:spacing w:val="-3"/>
          <w:sz w:val="21"/>
        </w:rPr>
        <w:t>持审验不合格的驾驶证驾驶；</w:t>
      </w:r>
    </w:p>
    <w:p>
      <w:pPr>
        <w:pStyle w:val="ListParagraph"/>
        <w:numPr>
          <w:ilvl w:val="2"/>
          <w:numId w:val="11"/>
        </w:numPr>
        <w:tabs>
          <w:tab w:pos="1114" w:val="left" w:leader="none"/>
        </w:tabs>
        <w:spacing w:line="278" w:lineRule="auto" w:before="43" w:after="0"/>
        <w:ind w:left="120" w:right="1488" w:firstLine="707"/>
        <w:jc w:val="left"/>
        <w:rPr>
          <w:sz w:val="21"/>
        </w:rPr>
      </w:pPr>
      <w:r>
        <w:rPr>
          <w:spacing w:val="-7"/>
          <w:sz w:val="21"/>
        </w:rPr>
        <w:t>持学习驾驶证学习驾车时，无教练员随车指导，或不按指定时间、路线学习驾车。</w:t>
      </w:r>
      <w:r>
        <w:rPr>
          <w:spacing w:val="-4"/>
          <w:sz w:val="21"/>
        </w:rPr>
        <w:t> </w:t>
      </w:r>
      <w:r>
        <w:rPr>
          <w:sz w:val="21"/>
        </w:rPr>
        <w:t>(十四) </w:t>
      </w:r>
      <w:r>
        <w:rPr>
          <w:b/>
          <w:sz w:val="21"/>
        </w:rPr>
        <w:t>无合法有效行驶证</w:t>
      </w:r>
      <w:r>
        <w:rPr>
          <w:sz w:val="21"/>
        </w:rPr>
        <w:t>：指下列情形之一：</w:t>
      </w:r>
    </w:p>
    <w:p>
      <w:pPr>
        <w:pStyle w:val="ListParagraph"/>
        <w:numPr>
          <w:ilvl w:val="0"/>
          <w:numId w:val="12"/>
        </w:numPr>
        <w:tabs>
          <w:tab w:pos="1066" w:val="left" w:leader="none"/>
        </w:tabs>
        <w:spacing w:line="240" w:lineRule="auto" w:before="0" w:after="0"/>
        <w:ind w:left="1066" w:right="0" w:hanging="238"/>
        <w:jc w:val="left"/>
        <w:rPr>
          <w:sz w:val="21"/>
        </w:rPr>
      </w:pPr>
      <w:r>
        <w:rPr>
          <w:spacing w:val="-3"/>
          <w:sz w:val="21"/>
        </w:rPr>
        <w:t>没有机动车行驶证；</w:t>
      </w:r>
    </w:p>
    <w:p>
      <w:pPr>
        <w:pStyle w:val="ListParagraph"/>
        <w:numPr>
          <w:ilvl w:val="0"/>
          <w:numId w:val="12"/>
        </w:numPr>
        <w:tabs>
          <w:tab w:pos="1066" w:val="left" w:leader="none"/>
        </w:tabs>
        <w:spacing w:line="240" w:lineRule="auto" w:before="43" w:after="0"/>
        <w:ind w:left="1066" w:right="0" w:hanging="238"/>
        <w:jc w:val="left"/>
        <w:rPr>
          <w:sz w:val="21"/>
        </w:rPr>
      </w:pPr>
      <w:r>
        <w:rPr>
          <w:spacing w:val="-3"/>
          <w:sz w:val="21"/>
        </w:rPr>
        <w:t>机动车被依法注销登记；</w:t>
      </w:r>
    </w:p>
    <w:p>
      <w:pPr>
        <w:pStyle w:val="ListParagraph"/>
        <w:numPr>
          <w:ilvl w:val="0"/>
          <w:numId w:val="12"/>
        </w:numPr>
        <w:tabs>
          <w:tab w:pos="1066" w:val="left" w:leader="none"/>
        </w:tabs>
        <w:spacing w:line="240" w:lineRule="auto" w:before="43" w:after="0"/>
        <w:ind w:left="1066" w:right="0" w:hanging="238"/>
        <w:jc w:val="left"/>
        <w:rPr>
          <w:sz w:val="21"/>
        </w:rPr>
      </w:pPr>
      <w:r>
        <w:rPr>
          <w:spacing w:val="-3"/>
          <w:sz w:val="21"/>
        </w:rPr>
        <w:t>未在法律规定期限内按时进行或通过安全技术检验。</w:t>
      </w:r>
    </w:p>
    <w:p>
      <w:pPr>
        <w:pStyle w:val="BodyText"/>
        <w:spacing w:line="278" w:lineRule="auto" w:before="43"/>
        <w:ind w:left="840" w:right="1596" w:hanging="720"/>
        <w:jc w:val="both"/>
      </w:pPr>
      <w:r>
        <w:rPr>
          <w:spacing w:val="-6"/>
        </w:rPr>
        <w:t>(十五) </w:t>
      </w:r>
      <w:r>
        <w:rPr>
          <w:b/>
        </w:rPr>
        <w:t>遗传性疾病：</w:t>
      </w:r>
      <w:r>
        <w:rPr/>
        <w:t>指生殖细胞或受精卵的遗传物质（染色体和基因）发生突变或畸变所</w:t>
      </w:r>
      <w:r>
        <w:rPr>
          <w:spacing w:val="-2"/>
        </w:rPr>
        <w:t>引起的疾病，通常具有由亲代传至后代的垂直传递的特征。</w:t>
      </w:r>
    </w:p>
    <w:p>
      <w:pPr>
        <w:pStyle w:val="BodyText"/>
        <w:spacing w:line="278" w:lineRule="auto"/>
        <w:ind w:left="840" w:right="1594" w:hanging="720"/>
        <w:jc w:val="both"/>
      </w:pPr>
      <w:r>
        <w:rPr>
          <w:spacing w:val="-6"/>
        </w:rPr>
        <w:t>(十六) </w:t>
      </w:r>
      <w:r>
        <w:rPr>
          <w:b/>
        </w:rPr>
        <w:t>先天性畸形、变形或染色体异常：</w:t>
      </w:r>
      <w:r>
        <w:rPr/>
        <w:t>指被保险人出生时就具有的畸形、变形或染色体</w:t>
      </w:r>
      <w:r>
        <w:rPr>
          <w:spacing w:val="-2"/>
        </w:rPr>
        <w:t>异常。先天性畸形、变形和染色体异常依照世界卫生组织《疾病和有关健康问题的</w:t>
      </w:r>
      <w:r>
        <w:rPr>
          <w:spacing w:val="-2"/>
        </w:rPr>
        <w:t>国际统计分类》第十次修订版（ICD-10）确定。</w:t>
      </w:r>
    </w:p>
    <w:p>
      <w:pPr>
        <w:pStyle w:val="BodyText"/>
        <w:spacing w:line="278" w:lineRule="auto"/>
        <w:ind w:left="840" w:right="1596" w:hanging="720"/>
        <w:jc w:val="both"/>
      </w:pPr>
      <w:r>
        <w:rPr>
          <w:spacing w:val="-5"/>
        </w:rPr>
        <w:t>(十七) </w:t>
      </w:r>
      <w:r>
        <w:rPr>
          <w:b/>
        </w:rPr>
        <w:t>感染艾滋病病毒或患艾滋病：</w:t>
      </w:r>
      <w:r>
        <w:rPr>
          <w:spacing w:val="-1"/>
        </w:rPr>
        <w:t>艾滋病病毒指人类免疫缺陷病毒，英文缩写为 </w:t>
      </w:r>
      <w:r>
        <w:rPr/>
        <w:t>HIV</w:t>
      </w:r>
      <w:r>
        <w:rPr/>
        <w:t>。</w:t>
      </w:r>
      <w:r>
        <w:rPr>
          <w:spacing w:val="-2"/>
        </w:rPr>
        <w:t>艾滋病指人类免疫缺陷病毒引起的获得性免疫缺陷综合征，英文缩写为 </w:t>
      </w:r>
      <w:r>
        <w:rPr/>
        <w:t>AIDS。</w:t>
      </w:r>
    </w:p>
    <w:p>
      <w:pPr>
        <w:pStyle w:val="BodyText"/>
        <w:spacing w:line="278" w:lineRule="auto"/>
        <w:ind w:left="840" w:right="1488"/>
      </w:pPr>
      <w:r>
        <w:rPr>
          <w:spacing w:val="-3"/>
          <w:w w:val="100"/>
        </w:rPr>
        <w:t>在人体血液或其他样本中检测到艾滋病病毒或其抗体呈阳性，没有出现临床症状或</w:t>
      </w:r>
      <w:r>
        <w:rPr>
          <w:spacing w:val="-10"/>
          <w:w w:val="100"/>
        </w:rPr>
        <w:t>体征的，为感染艾滋病病毒；如果同时出现了明显临床症状或体征的，为患艾滋病。</w:t>
      </w:r>
    </w:p>
    <w:p>
      <w:pPr>
        <w:pStyle w:val="BodyText"/>
        <w:spacing w:line="278" w:lineRule="auto"/>
        <w:ind w:left="120" w:right="1488"/>
      </w:pPr>
      <w:r>
        <w:rPr>
          <w:spacing w:val="-7"/>
        </w:rPr>
        <w:t>(十八) </w:t>
      </w:r>
      <w:r>
        <w:rPr>
          <w:b/>
          <w:spacing w:val="-2"/>
        </w:rPr>
        <w:t>潜水</w:t>
      </w:r>
      <w:r>
        <w:rPr>
          <w:spacing w:val="-2"/>
        </w:rPr>
        <w:t>：指使用辅助呼吸器材在江、河、湖、海、水库、运河等水域进行的水下运动。 </w:t>
      </w:r>
      <w:r>
        <w:rPr/>
        <w:t>(十九) </w:t>
      </w:r>
      <w:r>
        <w:rPr>
          <w:b/>
        </w:rPr>
        <w:t>攀岩</w:t>
      </w:r>
      <w:r>
        <w:rPr/>
        <w:t>：指攀登悬崖、楼宇外墙、人造悬崖、冰崖、冰山等运动。</w:t>
      </w:r>
    </w:p>
    <w:p>
      <w:pPr>
        <w:pStyle w:val="BodyText"/>
        <w:spacing w:line="278" w:lineRule="auto"/>
        <w:ind w:left="840" w:right="1594" w:hanging="720"/>
        <w:jc w:val="both"/>
      </w:pPr>
      <w:r>
        <w:rPr>
          <w:spacing w:val="-5"/>
        </w:rPr>
        <w:t>(二十) </w:t>
      </w:r>
      <w:r>
        <w:rPr>
          <w:b/>
        </w:rPr>
        <w:t>探险</w:t>
      </w:r>
      <w:r>
        <w:rPr/>
        <w:t>：指明知在某种特定的自然条件下有失去生命或使身体受到伤害的危险，而故</w:t>
      </w:r>
      <w:r>
        <w:rPr>
          <w:spacing w:val="-2"/>
        </w:rPr>
        <w:t>意使自己置身其中的行为，包括但不限于江河漂流、徒步穿越沙漠或人迹罕至的原</w:t>
      </w:r>
      <w:r>
        <w:rPr>
          <w:spacing w:val="-2"/>
        </w:rPr>
        <w:t>始森林等活动。</w:t>
      </w:r>
    </w:p>
    <w:p>
      <w:pPr>
        <w:pStyle w:val="BodyText"/>
        <w:spacing w:line="278" w:lineRule="auto"/>
        <w:ind w:left="972" w:right="1601" w:hanging="852"/>
      </w:pPr>
      <w:r>
        <w:rPr>
          <w:spacing w:val="-2"/>
        </w:rPr>
        <w:t>(二十一)</w:t>
      </w:r>
      <w:r>
        <w:rPr>
          <w:b/>
          <w:spacing w:val="-2"/>
        </w:rPr>
        <w:t>武术比赛</w:t>
      </w:r>
      <w:r>
        <w:rPr>
          <w:spacing w:val="-2"/>
        </w:rPr>
        <w:t>：指两人或两人以上对抗性柔道、空手道、跆拳道、散打、拳击等各种</w:t>
      </w:r>
      <w:r>
        <w:rPr>
          <w:spacing w:val="-2"/>
        </w:rPr>
        <w:t>拳术及各种使用器械的对抗性比赛。</w:t>
      </w:r>
    </w:p>
    <w:p>
      <w:pPr>
        <w:pStyle w:val="BodyText"/>
        <w:spacing w:line="269" w:lineRule="exact"/>
        <w:ind w:left="120"/>
      </w:pPr>
      <w:r>
        <w:rPr>
          <w:spacing w:val="-2"/>
        </w:rPr>
        <w:t>(二十二)</w:t>
      </w:r>
      <w:r>
        <w:rPr>
          <w:b/>
          <w:spacing w:val="-2"/>
        </w:rPr>
        <w:t>特技表演</w:t>
      </w:r>
      <w:r>
        <w:rPr>
          <w:spacing w:val="-3"/>
        </w:rPr>
        <w:t>：指进行马术、杂技、驯兽等表演。</w:t>
      </w:r>
    </w:p>
    <w:p>
      <w:pPr>
        <w:pStyle w:val="BodyText"/>
        <w:spacing w:line="278" w:lineRule="auto" w:before="42"/>
        <w:ind w:left="972" w:right="1595" w:hanging="852"/>
      </w:pPr>
      <w:r>
        <w:rPr>
          <w:spacing w:val="-2"/>
        </w:rPr>
        <w:t>(二十三)</w:t>
      </w:r>
      <w:r>
        <w:rPr>
          <w:b/>
          <w:spacing w:val="-2"/>
        </w:rPr>
        <w:t>应付利息</w:t>
      </w:r>
      <w:r>
        <w:rPr>
          <w:spacing w:val="-2"/>
        </w:rPr>
        <w:t>：指补交保险费或贷款的利息，根据补交保险费或贷款的数额、经过日</w:t>
      </w:r>
      <w:r>
        <w:rPr>
          <w:spacing w:val="15"/>
        </w:rPr>
        <w:t>数按日利率依复利方式计算。保险单贷款日利率=</w:t>
      </w:r>
      <w:r>
        <w:rPr>
          <w:spacing w:val="9"/>
        </w:rPr>
        <w:t>（</w:t>
      </w:r>
      <w:r>
        <w:rPr>
          <w:spacing w:val="-86"/>
        </w:rPr>
        <w:t> </w:t>
      </w:r>
      <w:r>
        <w:rPr/>
        <w:t>1+</w:t>
      </w:r>
      <w:r>
        <w:rPr>
          <w:spacing w:val="4"/>
        </w:rPr>
        <w:t> 保险单贷款年利率</w:t>
      </w:r>
      <w:r>
        <w:rPr>
          <w:spacing w:val="-10"/>
        </w:rPr>
        <w:t>）</w:t>
      </w:r>
    </w:p>
    <w:p>
      <w:pPr>
        <w:pStyle w:val="BodyText"/>
        <w:spacing w:line="269" w:lineRule="exact"/>
        <w:ind w:left="972"/>
      </w:pPr>
      <w:r>
        <w:rPr>
          <w:spacing w:val="-2"/>
        </w:rPr>
        <w:t>^(1/365)-1</w:t>
      </w:r>
      <w:r>
        <w:rPr>
          <w:spacing w:val="-3"/>
        </w:rPr>
        <w:t>，保险单贷款年利率由本公司定期公布。</w:t>
      </w:r>
    </w:p>
    <w:p>
      <w:pPr>
        <w:pStyle w:val="BodyText"/>
        <w:spacing w:before="43"/>
        <w:ind w:left="120"/>
      </w:pPr>
      <w:r>
        <w:rPr>
          <w:spacing w:val="-6"/>
        </w:rPr>
        <w:t>(二十四)凡本合同涉及的 </w:t>
      </w:r>
      <w:r>
        <w:rPr>
          <w:spacing w:val="-2"/>
        </w:rPr>
        <w:t>3</w:t>
      </w:r>
      <w:r>
        <w:rPr>
          <w:spacing w:val="-18"/>
        </w:rPr>
        <w:t> 日、</w:t>
      </w:r>
      <w:r>
        <w:rPr>
          <w:spacing w:val="-2"/>
        </w:rPr>
        <w:t>10</w:t>
      </w:r>
      <w:r>
        <w:rPr>
          <w:spacing w:val="-18"/>
        </w:rPr>
        <w:t> 日、</w:t>
      </w:r>
      <w:r>
        <w:rPr>
          <w:spacing w:val="-2"/>
        </w:rPr>
        <w:t>15</w:t>
      </w:r>
      <w:r>
        <w:rPr>
          <w:spacing w:val="-18"/>
        </w:rPr>
        <w:t> 日、</w:t>
      </w:r>
      <w:r>
        <w:rPr>
          <w:spacing w:val="-2"/>
        </w:rPr>
        <w:t>28</w:t>
      </w:r>
      <w:r>
        <w:rPr>
          <w:spacing w:val="-18"/>
        </w:rPr>
        <w:t> 日、</w:t>
      </w:r>
      <w:r>
        <w:rPr>
          <w:spacing w:val="-2"/>
        </w:rPr>
        <w:t>30</w:t>
      </w:r>
      <w:r>
        <w:rPr>
          <w:spacing w:val="-18"/>
        </w:rPr>
        <w:t> 日、</w:t>
      </w:r>
      <w:r>
        <w:rPr>
          <w:spacing w:val="-2"/>
        </w:rPr>
        <w:t>60</w:t>
      </w:r>
      <w:r>
        <w:rPr>
          <w:spacing w:val="-26"/>
        </w:rPr>
        <w:t> 日和 </w:t>
      </w:r>
      <w:r>
        <w:rPr>
          <w:spacing w:val="-2"/>
        </w:rPr>
        <w:t>180</w:t>
      </w:r>
      <w:r>
        <w:rPr>
          <w:spacing w:val="-10"/>
        </w:rPr>
        <w:t> 日均为自然日。</w:t>
      </w:r>
    </w:p>
    <w:sectPr>
      <w:pgSz w:w="11910" w:h="16840"/>
      <w:pgMar w:header="0" w:footer="985" w:top="1400" w:bottom="1180" w:left="1680" w:right="20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宋体">
    <w:altName w:val="宋体"/>
    <w:charset w:val="86"/>
    <w:family w:val="auto"/>
    <w:pitch w:val="variable"/>
  </w:font>
  <w:font w:name="隶书">
    <w:altName w:val="隶书"/>
    <w:charset w:val="86"/>
    <w:family w:val="modern"/>
    <w:pitch w:val="fixed"/>
  </w:font>
  <w:font w:name="黑体">
    <w:altName w:val="黑体"/>
    <w:charset w:val="86"/>
    <w:family w:val="modern"/>
    <w:pitch w:val="fixed"/>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258.369995pt;margin-top:780.961609pt;width:78.7pt;height:11pt;mso-position-horizontal-relative:page;mso-position-vertical-relative:page;z-index:-16137728" type="#_x0000_t202" id="docshape1" filled="false" stroked="false">
          <v:textbox inset="0,0,0,0">
            <w:txbxContent>
              <w:p>
                <w:pPr>
                  <w:spacing w:line="220" w:lineRule="exact" w:before="0"/>
                  <w:ind w:left="20" w:right="0" w:firstLine="0"/>
                  <w:jc w:val="left"/>
                  <w:rPr>
                    <w:sz w:val="18"/>
                  </w:rPr>
                </w:pPr>
                <w:r>
                  <w:rPr>
                    <w:sz w:val="18"/>
                  </w:rPr>
                  <w:t>第 </w:t>
                </w:r>
                <w:r>
                  <w:rPr>
                    <w:sz w:val="18"/>
                  </w:rPr>
                  <w:fldChar w:fldCharType="begin"/>
                </w:r>
                <w:r>
                  <w:rPr>
                    <w:sz w:val="18"/>
                  </w:rPr>
                  <w:instrText> PAGE </w:instrText>
                </w:r>
                <w:r>
                  <w:rPr>
                    <w:sz w:val="18"/>
                  </w:rPr>
                  <w:fldChar w:fldCharType="separate"/>
                </w:r>
                <w:r>
                  <w:rPr>
                    <w:sz w:val="18"/>
                  </w:rPr>
                  <w:t>10</w:t>
                </w:r>
                <w:r>
                  <w:rPr>
                    <w:sz w:val="18"/>
                  </w:rPr>
                  <w:fldChar w:fldCharType="end"/>
                </w:r>
                <w:r>
                  <w:rPr>
                    <w:spacing w:val="-1"/>
                    <w:sz w:val="18"/>
                  </w:rPr>
                  <w:t> 页 共 </w:t>
                </w:r>
                <w:r>
                  <w:rPr>
                    <w:sz w:val="18"/>
                  </w:rPr>
                  <w:fldChar w:fldCharType="begin"/>
                </w:r>
                <w:r>
                  <w:rPr>
                    <w:sz w:val="18"/>
                  </w:rPr>
                  <w:instrText> NUMPAGES </w:instrText>
                </w:r>
                <w:r>
                  <w:rPr>
                    <w:sz w:val="18"/>
                  </w:rPr>
                  <w:fldChar w:fldCharType="separate"/>
                </w:r>
                <w:r>
                  <w:rPr>
                    <w:sz w:val="18"/>
                  </w:rPr>
                  <w:t>10</w:t>
                </w:r>
                <w:r>
                  <w:rPr>
                    <w:sz w:val="18"/>
                  </w:rPr>
                  <w:fldChar w:fldCharType="end"/>
                </w:r>
                <w:r>
                  <w:rPr>
                    <w:spacing w:val="-4"/>
                    <w:sz w:val="18"/>
                  </w:rPr>
                  <w:t> 页</w:t>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1">
    <w:multiLevelType w:val="hybridMultilevel"/>
    <w:lvl w:ilvl="0">
      <w:start w:val="1"/>
      <w:numFmt w:val="decimal"/>
      <w:lvlText w:val="%1."/>
      <w:lvlJc w:val="left"/>
      <w:pPr>
        <w:ind w:left="1066" w:hanging="238"/>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956" w:hanging="238"/>
      </w:pPr>
      <w:rPr>
        <w:rFonts w:hint="default"/>
        <w:lang w:val="en-US" w:eastAsia="zh-CN" w:bidi="ar-SA"/>
      </w:rPr>
    </w:lvl>
    <w:lvl w:ilvl="2">
      <w:start w:val="0"/>
      <w:numFmt w:val="bullet"/>
      <w:lvlText w:val="•"/>
      <w:lvlJc w:val="left"/>
      <w:pPr>
        <w:ind w:left="2853" w:hanging="238"/>
      </w:pPr>
      <w:rPr>
        <w:rFonts w:hint="default"/>
        <w:lang w:val="en-US" w:eastAsia="zh-CN" w:bidi="ar-SA"/>
      </w:rPr>
    </w:lvl>
    <w:lvl w:ilvl="3">
      <w:start w:val="0"/>
      <w:numFmt w:val="bullet"/>
      <w:lvlText w:val="•"/>
      <w:lvlJc w:val="left"/>
      <w:pPr>
        <w:ind w:left="3749" w:hanging="238"/>
      </w:pPr>
      <w:rPr>
        <w:rFonts w:hint="default"/>
        <w:lang w:val="en-US" w:eastAsia="zh-CN" w:bidi="ar-SA"/>
      </w:rPr>
    </w:lvl>
    <w:lvl w:ilvl="4">
      <w:start w:val="0"/>
      <w:numFmt w:val="bullet"/>
      <w:lvlText w:val="•"/>
      <w:lvlJc w:val="left"/>
      <w:pPr>
        <w:ind w:left="4646" w:hanging="238"/>
      </w:pPr>
      <w:rPr>
        <w:rFonts w:hint="default"/>
        <w:lang w:val="en-US" w:eastAsia="zh-CN" w:bidi="ar-SA"/>
      </w:rPr>
    </w:lvl>
    <w:lvl w:ilvl="5">
      <w:start w:val="0"/>
      <w:numFmt w:val="bullet"/>
      <w:lvlText w:val="•"/>
      <w:lvlJc w:val="left"/>
      <w:pPr>
        <w:ind w:left="5543" w:hanging="238"/>
      </w:pPr>
      <w:rPr>
        <w:rFonts w:hint="default"/>
        <w:lang w:val="en-US" w:eastAsia="zh-CN" w:bidi="ar-SA"/>
      </w:rPr>
    </w:lvl>
    <w:lvl w:ilvl="6">
      <w:start w:val="0"/>
      <w:numFmt w:val="bullet"/>
      <w:lvlText w:val="•"/>
      <w:lvlJc w:val="left"/>
      <w:pPr>
        <w:ind w:left="6439" w:hanging="238"/>
      </w:pPr>
      <w:rPr>
        <w:rFonts w:hint="default"/>
        <w:lang w:val="en-US" w:eastAsia="zh-CN" w:bidi="ar-SA"/>
      </w:rPr>
    </w:lvl>
    <w:lvl w:ilvl="7">
      <w:start w:val="0"/>
      <w:numFmt w:val="bullet"/>
      <w:lvlText w:val="•"/>
      <w:lvlJc w:val="left"/>
      <w:pPr>
        <w:ind w:left="7336" w:hanging="238"/>
      </w:pPr>
      <w:rPr>
        <w:rFonts w:hint="default"/>
        <w:lang w:val="en-US" w:eastAsia="zh-CN" w:bidi="ar-SA"/>
      </w:rPr>
    </w:lvl>
    <w:lvl w:ilvl="8">
      <w:start w:val="0"/>
      <w:numFmt w:val="bullet"/>
      <w:lvlText w:val="•"/>
      <w:lvlJc w:val="left"/>
      <w:pPr>
        <w:ind w:left="8233" w:hanging="238"/>
      </w:pPr>
      <w:rPr>
        <w:rFonts w:hint="default"/>
        <w:lang w:val="en-US" w:eastAsia="zh-CN" w:bidi="ar-SA"/>
      </w:rPr>
    </w:lvl>
  </w:abstractNum>
  <w:abstractNum w:abstractNumId="10">
    <w:multiLevelType w:val="hybridMultilevel"/>
    <w:lvl w:ilvl="0">
      <w:start w:val="2"/>
      <w:numFmt w:val="decimal"/>
      <w:lvlText w:val="%1."/>
      <w:lvlJc w:val="left"/>
      <w:pPr>
        <w:ind w:left="752" w:hanging="213"/>
        <w:jc w:val="left"/>
      </w:pPr>
      <w:rPr>
        <w:rFonts w:hint="default" w:ascii="宋体" w:hAnsi="宋体" w:eastAsia="宋体" w:cs="宋体"/>
        <w:b w:val="0"/>
        <w:bCs w:val="0"/>
        <w:i w:val="0"/>
        <w:iCs w:val="0"/>
        <w:w w:val="100"/>
        <w:sz w:val="19"/>
        <w:szCs w:val="19"/>
        <w:lang w:val="en-US" w:eastAsia="zh-CN" w:bidi="ar-SA"/>
      </w:rPr>
    </w:lvl>
    <w:lvl w:ilvl="1">
      <w:start w:val="1"/>
      <w:numFmt w:val="decimal"/>
      <w:lvlText w:val="%2."/>
      <w:lvlJc w:val="left"/>
      <w:pPr>
        <w:ind w:left="899" w:hanging="213"/>
        <w:jc w:val="left"/>
      </w:pPr>
      <w:rPr>
        <w:rFonts w:hint="default" w:ascii="宋体" w:hAnsi="宋体" w:eastAsia="宋体" w:cs="宋体"/>
        <w:b w:val="0"/>
        <w:bCs w:val="0"/>
        <w:i w:val="0"/>
        <w:iCs w:val="0"/>
        <w:w w:val="100"/>
        <w:sz w:val="19"/>
        <w:szCs w:val="19"/>
        <w:lang w:val="en-US" w:eastAsia="zh-CN" w:bidi="ar-SA"/>
      </w:rPr>
    </w:lvl>
    <w:lvl w:ilvl="2">
      <w:start w:val="1"/>
      <w:numFmt w:val="decimal"/>
      <w:lvlText w:val="%3."/>
      <w:lvlJc w:val="left"/>
      <w:pPr>
        <w:ind w:left="1114" w:hanging="286"/>
        <w:jc w:val="left"/>
      </w:pPr>
      <w:rPr>
        <w:rFonts w:hint="default" w:ascii="宋体" w:hAnsi="宋体" w:eastAsia="宋体" w:cs="宋体"/>
        <w:b w:val="0"/>
        <w:bCs w:val="0"/>
        <w:i w:val="0"/>
        <w:iCs w:val="0"/>
        <w:w w:val="100"/>
        <w:sz w:val="21"/>
        <w:szCs w:val="21"/>
        <w:lang w:val="en-US" w:eastAsia="zh-CN" w:bidi="ar-SA"/>
      </w:rPr>
    </w:lvl>
    <w:lvl w:ilvl="3">
      <w:start w:val="0"/>
      <w:numFmt w:val="bullet"/>
      <w:lvlText w:val="•"/>
      <w:lvlJc w:val="left"/>
      <w:pPr>
        <w:ind w:left="2233" w:hanging="286"/>
      </w:pPr>
      <w:rPr>
        <w:rFonts w:hint="default"/>
        <w:lang w:val="en-US" w:eastAsia="zh-CN" w:bidi="ar-SA"/>
      </w:rPr>
    </w:lvl>
    <w:lvl w:ilvl="4">
      <w:start w:val="0"/>
      <w:numFmt w:val="bullet"/>
      <w:lvlText w:val="•"/>
      <w:lvlJc w:val="left"/>
      <w:pPr>
        <w:ind w:left="3346" w:hanging="286"/>
      </w:pPr>
      <w:rPr>
        <w:rFonts w:hint="default"/>
        <w:lang w:val="en-US" w:eastAsia="zh-CN" w:bidi="ar-SA"/>
      </w:rPr>
    </w:lvl>
    <w:lvl w:ilvl="5">
      <w:start w:val="0"/>
      <w:numFmt w:val="bullet"/>
      <w:lvlText w:val="•"/>
      <w:lvlJc w:val="left"/>
      <w:pPr>
        <w:ind w:left="4459" w:hanging="286"/>
      </w:pPr>
      <w:rPr>
        <w:rFonts w:hint="default"/>
        <w:lang w:val="en-US" w:eastAsia="zh-CN" w:bidi="ar-SA"/>
      </w:rPr>
    </w:lvl>
    <w:lvl w:ilvl="6">
      <w:start w:val="0"/>
      <w:numFmt w:val="bullet"/>
      <w:lvlText w:val="•"/>
      <w:lvlJc w:val="left"/>
      <w:pPr>
        <w:ind w:left="5573" w:hanging="286"/>
      </w:pPr>
      <w:rPr>
        <w:rFonts w:hint="default"/>
        <w:lang w:val="en-US" w:eastAsia="zh-CN" w:bidi="ar-SA"/>
      </w:rPr>
    </w:lvl>
    <w:lvl w:ilvl="7">
      <w:start w:val="0"/>
      <w:numFmt w:val="bullet"/>
      <w:lvlText w:val="•"/>
      <w:lvlJc w:val="left"/>
      <w:pPr>
        <w:ind w:left="6686" w:hanging="286"/>
      </w:pPr>
      <w:rPr>
        <w:rFonts w:hint="default"/>
        <w:lang w:val="en-US" w:eastAsia="zh-CN" w:bidi="ar-SA"/>
      </w:rPr>
    </w:lvl>
    <w:lvl w:ilvl="8">
      <w:start w:val="0"/>
      <w:numFmt w:val="bullet"/>
      <w:lvlText w:val="•"/>
      <w:lvlJc w:val="left"/>
      <w:pPr>
        <w:ind w:left="7799" w:hanging="286"/>
      </w:pPr>
      <w:rPr>
        <w:rFonts w:hint="default"/>
        <w:lang w:val="en-US" w:eastAsia="zh-CN" w:bidi="ar-SA"/>
      </w:rPr>
    </w:lvl>
  </w:abstractNum>
  <w:abstractNum w:abstractNumId="9">
    <w:multiLevelType w:val="hybridMultilevel"/>
    <w:lvl w:ilvl="0">
      <w:start w:val="2"/>
      <w:numFmt w:val="decimal"/>
      <w:lvlText w:val="%1."/>
      <w:lvlJc w:val="left"/>
      <w:pPr>
        <w:ind w:left="752" w:hanging="213"/>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686" w:hanging="213"/>
      </w:pPr>
      <w:rPr>
        <w:rFonts w:hint="default"/>
        <w:lang w:val="en-US" w:eastAsia="zh-CN" w:bidi="ar-SA"/>
      </w:rPr>
    </w:lvl>
    <w:lvl w:ilvl="2">
      <w:start w:val="0"/>
      <w:numFmt w:val="bullet"/>
      <w:lvlText w:val="•"/>
      <w:lvlJc w:val="left"/>
      <w:pPr>
        <w:ind w:left="2613" w:hanging="213"/>
      </w:pPr>
      <w:rPr>
        <w:rFonts w:hint="default"/>
        <w:lang w:val="en-US" w:eastAsia="zh-CN" w:bidi="ar-SA"/>
      </w:rPr>
    </w:lvl>
    <w:lvl w:ilvl="3">
      <w:start w:val="0"/>
      <w:numFmt w:val="bullet"/>
      <w:lvlText w:val="•"/>
      <w:lvlJc w:val="left"/>
      <w:pPr>
        <w:ind w:left="3539" w:hanging="213"/>
      </w:pPr>
      <w:rPr>
        <w:rFonts w:hint="default"/>
        <w:lang w:val="en-US" w:eastAsia="zh-CN" w:bidi="ar-SA"/>
      </w:rPr>
    </w:lvl>
    <w:lvl w:ilvl="4">
      <w:start w:val="0"/>
      <w:numFmt w:val="bullet"/>
      <w:lvlText w:val="•"/>
      <w:lvlJc w:val="left"/>
      <w:pPr>
        <w:ind w:left="4466" w:hanging="213"/>
      </w:pPr>
      <w:rPr>
        <w:rFonts w:hint="default"/>
        <w:lang w:val="en-US" w:eastAsia="zh-CN" w:bidi="ar-SA"/>
      </w:rPr>
    </w:lvl>
    <w:lvl w:ilvl="5">
      <w:start w:val="0"/>
      <w:numFmt w:val="bullet"/>
      <w:lvlText w:val="•"/>
      <w:lvlJc w:val="left"/>
      <w:pPr>
        <w:ind w:left="5393" w:hanging="213"/>
      </w:pPr>
      <w:rPr>
        <w:rFonts w:hint="default"/>
        <w:lang w:val="en-US" w:eastAsia="zh-CN" w:bidi="ar-SA"/>
      </w:rPr>
    </w:lvl>
    <w:lvl w:ilvl="6">
      <w:start w:val="0"/>
      <w:numFmt w:val="bullet"/>
      <w:lvlText w:val="•"/>
      <w:lvlJc w:val="left"/>
      <w:pPr>
        <w:ind w:left="6319" w:hanging="213"/>
      </w:pPr>
      <w:rPr>
        <w:rFonts w:hint="default"/>
        <w:lang w:val="en-US" w:eastAsia="zh-CN" w:bidi="ar-SA"/>
      </w:rPr>
    </w:lvl>
    <w:lvl w:ilvl="7">
      <w:start w:val="0"/>
      <w:numFmt w:val="bullet"/>
      <w:lvlText w:val="•"/>
      <w:lvlJc w:val="left"/>
      <w:pPr>
        <w:ind w:left="7246" w:hanging="213"/>
      </w:pPr>
      <w:rPr>
        <w:rFonts w:hint="default"/>
        <w:lang w:val="en-US" w:eastAsia="zh-CN" w:bidi="ar-SA"/>
      </w:rPr>
    </w:lvl>
    <w:lvl w:ilvl="8">
      <w:start w:val="0"/>
      <w:numFmt w:val="bullet"/>
      <w:lvlText w:val="•"/>
      <w:lvlJc w:val="left"/>
      <w:pPr>
        <w:ind w:left="8173" w:hanging="213"/>
      </w:pPr>
      <w:rPr>
        <w:rFonts w:hint="default"/>
        <w:lang w:val="en-US" w:eastAsia="zh-CN" w:bidi="ar-SA"/>
      </w:rPr>
    </w:lvl>
  </w:abstractNum>
  <w:abstractNum w:abstractNumId="8">
    <w:multiLevelType w:val="hybridMultilevel"/>
    <w:lvl w:ilvl="0">
      <w:start w:val="1"/>
      <w:numFmt w:val="decimal"/>
      <w:lvlText w:val="%1."/>
      <w:lvlJc w:val="left"/>
      <w:pPr>
        <w:ind w:left="828" w:hanging="288"/>
        <w:jc w:val="left"/>
      </w:pPr>
      <w:rPr>
        <w:rFonts w:hint="default" w:ascii="宋体" w:hAnsi="宋体" w:eastAsia="宋体" w:cs="宋体"/>
        <w:b w:val="0"/>
        <w:bCs w:val="0"/>
        <w:i w:val="0"/>
        <w:iCs w:val="0"/>
        <w:spacing w:val="0"/>
        <w:w w:val="100"/>
        <w:sz w:val="21"/>
        <w:szCs w:val="21"/>
        <w:lang w:val="en-US" w:eastAsia="zh-CN" w:bidi="ar-SA"/>
      </w:rPr>
    </w:lvl>
    <w:lvl w:ilvl="1">
      <w:start w:val="0"/>
      <w:numFmt w:val="bullet"/>
      <w:lvlText w:val="•"/>
      <w:lvlJc w:val="left"/>
      <w:pPr>
        <w:ind w:left="1740" w:hanging="288"/>
      </w:pPr>
      <w:rPr>
        <w:rFonts w:hint="default"/>
        <w:lang w:val="en-US" w:eastAsia="zh-CN" w:bidi="ar-SA"/>
      </w:rPr>
    </w:lvl>
    <w:lvl w:ilvl="2">
      <w:start w:val="0"/>
      <w:numFmt w:val="bullet"/>
      <w:lvlText w:val="•"/>
      <w:lvlJc w:val="left"/>
      <w:pPr>
        <w:ind w:left="2661" w:hanging="288"/>
      </w:pPr>
      <w:rPr>
        <w:rFonts w:hint="default"/>
        <w:lang w:val="en-US" w:eastAsia="zh-CN" w:bidi="ar-SA"/>
      </w:rPr>
    </w:lvl>
    <w:lvl w:ilvl="3">
      <w:start w:val="0"/>
      <w:numFmt w:val="bullet"/>
      <w:lvlText w:val="•"/>
      <w:lvlJc w:val="left"/>
      <w:pPr>
        <w:ind w:left="3581" w:hanging="288"/>
      </w:pPr>
      <w:rPr>
        <w:rFonts w:hint="default"/>
        <w:lang w:val="en-US" w:eastAsia="zh-CN" w:bidi="ar-SA"/>
      </w:rPr>
    </w:lvl>
    <w:lvl w:ilvl="4">
      <w:start w:val="0"/>
      <w:numFmt w:val="bullet"/>
      <w:lvlText w:val="•"/>
      <w:lvlJc w:val="left"/>
      <w:pPr>
        <w:ind w:left="4502" w:hanging="288"/>
      </w:pPr>
      <w:rPr>
        <w:rFonts w:hint="default"/>
        <w:lang w:val="en-US" w:eastAsia="zh-CN" w:bidi="ar-SA"/>
      </w:rPr>
    </w:lvl>
    <w:lvl w:ilvl="5">
      <w:start w:val="0"/>
      <w:numFmt w:val="bullet"/>
      <w:lvlText w:val="•"/>
      <w:lvlJc w:val="left"/>
      <w:pPr>
        <w:ind w:left="5423" w:hanging="288"/>
      </w:pPr>
      <w:rPr>
        <w:rFonts w:hint="default"/>
        <w:lang w:val="en-US" w:eastAsia="zh-CN" w:bidi="ar-SA"/>
      </w:rPr>
    </w:lvl>
    <w:lvl w:ilvl="6">
      <w:start w:val="0"/>
      <w:numFmt w:val="bullet"/>
      <w:lvlText w:val="•"/>
      <w:lvlJc w:val="left"/>
      <w:pPr>
        <w:ind w:left="6343" w:hanging="288"/>
      </w:pPr>
      <w:rPr>
        <w:rFonts w:hint="default"/>
        <w:lang w:val="en-US" w:eastAsia="zh-CN" w:bidi="ar-SA"/>
      </w:rPr>
    </w:lvl>
    <w:lvl w:ilvl="7">
      <w:start w:val="0"/>
      <w:numFmt w:val="bullet"/>
      <w:lvlText w:val="•"/>
      <w:lvlJc w:val="left"/>
      <w:pPr>
        <w:ind w:left="7264" w:hanging="288"/>
      </w:pPr>
      <w:rPr>
        <w:rFonts w:hint="default"/>
        <w:lang w:val="en-US" w:eastAsia="zh-CN" w:bidi="ar-SA"/>
      </w:rPr>
    </w:lvl>
    <w:lvl w:ilvl="8">
      <w:start w:val="0"/>
      <w:numFmt w:val="bullet"/>
      <w:lvlText w:val="•"/>
      <w:lvlJc w:val="left"/>
      <w:pPr>
        <w:ind w:left="8185" w:hanging="288"/>
      </w:pPr>
      <w:rPr>
        <w:rFonts w:hint="default"/>
        <w:lang w:val="en-US" w:eastAsia="zh-CN" w:bidi="ar-SA"/>
      </w:rPr>
    </w:lvl>
  </w:abstractNum>
  <w:abstractNum w:abstractNumId="7">
    <w:multiLevelType w:val="hybridMultilevel"/>
    <w:lvl w:ilvl="0">
      <w:start w:val="1"/>
      <w:numFmt w:val="decimal"/>
      <w:lvlText w:val="（%1）"/>
      <w:lvlJc w:val="left"/>
      <w:pPr>
        <w:ind w:left="106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956" w:hanging="529"/>
      </w:pPr>
      <w:rPr>
        <w:rFonts w:hint="default"/>
        <w:lang w:val="en-US" w:eastAsia="zh-CN" w:bidi="ar-SA"/>
      </w:rPr>
    </w:lvl>
    <w:lvl w:ilvl="2">
      <w:start w:val="0"/>
      <w:numFmt w:val="bullet"/>
      <w:lvlText w:val="•"/>
      <w:lvlJc w:val="left"/>
      <w:pPr>
        <w:ind w:left="2853" w:hanging="529"/>
      </w:pPr>
      <w:rPr>
        <w:rFonts w:hint="default"/>
        <w:lang w:val="en-US" w:eastAsia="zh-CN" w:bidi="ar-SA"/>
      </w:rPr>
    </w:lvl>
    <w:lvl w:ilvl="3">
      <w:start w:val="0"/>
      <w:numFmt w:val="bullet"/>
      <w:lvlText w:val="•"/>
      <w:lvlJc w:val="left"/>
      <w:pPr>
        <w:ind w:left="3749" w:hanging="529"/>
      </w:pPr>
      <w:rPr>
        <w:rFonts w:hint="default"/>
        <w:lang w:val="en-US" w:eastAsia="zh-CN" w:bidi="ar-SA"/>
      </w:rPr>
    </w:lvl>
    <w:lvl w:ilvl="4">
      <w:start w:val="0"/>
      <w:numFmt w:val="bullet"/>
      <w:lvlText w:val="•"/>
      <w:lvlJc w:val="left"/>
      <w:pPr>
        <w:ind w:left="4646" w:hanging="529"/>
      </w:pPr>
      <w:rPr>
        <w:rFonts w:hint="default"/>
        <w:lang w:val="en-US" w:eastAsia="zh-CN" w:bidi="ar-SA"/>
      </w:rPr>
    </w:lvl>
    <w:lvl w:ilvl="5">
      <w:start w:val="0"/>
      <w:numFmt w:val="bullet"/>
      <w:lvlText w:val="•"/>
      <w:lvlJc w:val="left"/>
      <w:pPr>
        <w:ind w:left="5543" w:hanging="529"/>
      </w:pPr>
      <w:rPr>
        <w:rFonts w:hint="default"/>
        <w:lang w:val="en-US" w:eastAsia="zh-CN" w:bidi="ar-SA"/>
      </w:rPr>
    </w:lvl>
    <w:lvl w:ilvl="6">
      <w:start w:val="0"/>
      <w:numFmt w:val="bullet"/>
      <w:lvlText w:val="•"/>
      <w:lvlJc w:val="left"/>
      <w:pPr>
        <w:ind w:left="6439" w:hanging="529"/>
      </w:pPr>
      <w:rPr>
        <w:rFonts w:hint="default"/>
        <w:lang w:val="en-US" w:eastAsia="zh-CN" w:bidi="ar-SA"/>
      </w:rPr>
    </w:lvl>
    <w:lvl w:ilvl="7">
      <w:start w:val="0"/>
      <w:numFmt w:val="bullet"/>
      <w:lvlText w:val="•"/>
      <w:lvlJc w:val="left"/>
      <w:pPr>
        <w:ind w:left="7336" w:hanging="529"/>
      </w:pPr>
      <w:rPr>
        <w:rFonts w:hint="default"/>
        <w:lang w:val="en-US" w:eastAsia="zh-CN" w:bidi="ar-SA"/>
      </w:rPr>
    </w:lvl>
    <w:lvl w:ilvl="8">
      <w:start w:val="0"/>
      <w:numFmt w:val="bullet"/>
      <w:lvlText w:val="•"/>
      <w:lvlJc w:val="left"/>
      <w:pPr>
        <w:ind w:left="8233" w:hanging="529"/>
      </w:pPr>
      <w:rPr>
        <w:rFonts w:hint="default"/>
        <w:lang w:val="en-US" w:eastAsia="zh-CN" w:bidi="ar-SA"/>
      </w:rPr>
    </w:lvl>
  </w:abstractNum>
  <w:abstractNum w:abstractNumId="6">
    <w:multiLevelType w:val="hybridMultilevel"/>
    <w:lvl w:ilvl="0">
      <w:start w:val="1"/>
      <w:numFmt w:val="decimal"/>
      <w:lvlText w:val="（%1）"/>
      <w:lvlJc w:val="left"/>
      <w:pPr>
        <w:ind w:left="106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956" w:hanging="529"/>
      </w:pPr>
      <w:rPr>
        <w:rFonts w:hint="default"/>
        <w:lang w:val="en-US" w:eastAsia="zh-CN" w:bidi="ar-SA"/>
      </w:rPr>
    </w:lvl>
    <w:lvl w:ilvl="2">
      <w:start w:val="0"/>
      <w:numFmt w:val="bullet"/>
      <w:lvlText w:val="•"/>
      <w:lvlJc w:val="left"/>
      <w:pPr>
        <w:ind w:left="2853" w:hanging="529"/>
      </w:pPr>
      <w:rPr>
        <w:rFonts w:hint="default"/>
        <w:lang w:val="en-US" w:eastAsia="zh-CN" w:bidi="ar-SA"/>
      </w:rPr>
    </w:lvl>
    <w:lvl w:ilvl="3">
      <w:start w:val="0"/>
      <w:numFmt w:val="bullet"/>
      <w:lvlText w:val="•"/>
      <w:lvlJc w:val="left"/>
      <w:pPr>
        <w:ind w:left="3749" w:hanging="529"/>
      </w:pPr>
      <w:rPr>
        <w:rFonts w:hint="default"/>
        <w:lang w:val="en-US" w:eastAsia="zh-CN" w:bidi="ar-SA"/>
      </w:rPr>
    </w:lvl>
    <w:lvl w:ilvl="4">
      <w:start w:val="0"/>
      <w:numFmt w:val="bullet"/>
      <w:lvlText w:val="•"/>
      <w:lvlJc w:val="left"/>
      <w:pPr>
        <w:ind w:left="4646" w:hanging="529"/>
      </w:pPr>
      <w:rPr>
        <w:rFonts w:hint="default"/>
        <w:lang w:val="en-US" w:eastAsia="zh-CN" w:bidi="ar-SA"/>
      </w:rPr>
    </w:lvl>
    <w:lvl w:ilvl="5">
      <w:start w:val="0"/>
      <w:numFmt w:val="bullet"/>
      <w:lvlText w:val="•"/>
      <w:lvlJc w:val="left"/>
      <w:pPr>
        <w:ind w:left="5543" w:hanging="529"/>
      </w:pPr>
      <w:rPr>
        <w:rFonts w:hint="default"/>
        <w:lang w:val="en-US" w:eastAsia="zh-CN" w:bidi="ar-SA"/>
      </w:rPr>
    </w:lvl>
    <w:lvl w:ilvl="6">
      <w:start w:val="0"/>
      <w:numFmt w:val="bullet"/>
      <w:lvlText w:val="•"/>
      <w:lvlJc w:val="left"/>
      <w:pPr>
        <w:ind w:left="6439" w:hanging="529"/>
      </w:pPr>
      <w:rPr>
        <w:rFonts w:hint="default"/>
        <w:lang w:val="en-US" w:eastAsia="zh-CN" w:bidi="ar-SA"/>
      </w:rPr>
    </w:lvl>
    <w:lvl w:ilvl="7">
      <w:start w:val="0"/>
      <w:numFmt w:val="bullet"/>
      <w:lvlText w:val="•"/>
      <w:lvlJc w:val="left"/>
      <w:pPr>
        <w:ind w:left="7336" w:hanging="529"/>
      </w:pPr>
      <w:rPr>
        <w:rFonts w:hint="default"/>
        <w:lang w:val="en-US" w:eastAsia="zh-CN" w:bidi="ar-SA"/>
      </w:rPr>
    </w:lvl>
    <w:lvl w:ilvl="8">
      <w:start w:val="0"/>
      <w:numFmt w:val="bullet"/>
      <w:lvlText w:val="•"/>
      <w:lvlJc w:val="left"/>
      <w:pPr>
        <w:ind w:left="8233" w:hanging="529"/>
      </w:pPr>
      <w:rPr>
        <w:rFonts w:hint="default"/>
        <w:lang w:val="en-US" w:eastAsia="zh-CN" w:bidi="ar-SA"/>
      </w:rPr>
    </w:lvl>
  </w:abstractNum>
  <w:abstractNum w:abstractNumId="5">
    <w:multiLevelType w:val="hybridMultilevel"/>
    <w:lvl w:ilvl="0">
      <w:start w:val="1"/>
      <w:numFmt w:val="decimal"/>
      <w:lvlText w:val="（%1）"/>
      <w:lvlJc w:val="left"/>
      <w:pPr>
        <w:ind w:left="106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956" w:hanging="529"/>
      </w:pPr>
      <w:rPr>
        <w:rFonts w:hint="default"/>
        <w:lang w:val="en-US" w:eastAsia="zh-CN" w:bidi="ar-SA"/>
      </w:rPr>
    </w:lvl>
    <w:lvl w:ilvl="2">
      <w:start w:val="0"/>
      <w:numFmt w:val="bullet"/>
      <w:lvlText w:val="•"/>
      <w:lvlJc w:val="left"/>
      <w:pPr>
        <w:ind w:left="2853" w:hanging="529"/>
      </w:pPr>
      <w:rPr>
        <w:rFonts w:hint="default"/>
        <w:lang w:val="en-US" w:eastAsia="zh-CN" w:bidi="ar-SA"/>
      </w:rPr>
    </w:lvl>
    <w:lvl w:ilvl="3">
      <w:start w:val="0"/>
      <w:numFmt w:val="bullet"/>
      <w:lvlText w:val="•"/>
      <w:lvlJc w:val="left"/>
      <w:pPr>
        <w:ind w:left="3749" w:hanging="529"/>
      </w:pPr>
      <w:rPr>
        <w:rFonts w:hint="default"/>
        <w:lang w:val="en-US" w:eastAsia="zh-CN" w:bidi="ar-SA"/>
      </w:rPr>
    </w:lvl>
    <w:lvl w:ilvl="4">
      <w:start w:val="0"/>
      <w:numFmt w:val="bullet"/>
      <w:lvlText w:val="•"/>
      <w:lvlJc w:val="left"/>
      <w:pPr>
        <w:ind w:left="4646" w:hanging="529"/>
      </w:pPr>
      <w:rPr>
        <w:rFonts w:hint="default"/>
        <w:lang w:val="en-US" w:eastAsia="zh-CN" w:bidi="ar-SA"/>
      </w:rPr>
    </w:lvl>
    <w:lvl w:ilvl="5">
      <w:start w:val="0"/>
      <w:numFmt w:val="bullet"/>
      <w:lvlText w:val="•"/>
      <w:lvlJc w:val="left"/>
      <w:pPr>
        <w:ind w:left="5543" w:hanging="529"/>
      </w:pPr>
      <w:rPr>
        <w:rFonts w:hint="default"/>
        <w:lang w:val="en-US" w:eastAsia="zh-CN" w:bidi="ar-SA"/>
      </w:rPr>
    </w:lvl>
    <w:lvl w:ilvl="6">
      <w:start w:val="0"/>
      <w:numFmt w:val="bullet"/>
      <w:lvlText w:val="•"/>
      <w:lvlJc w:val="left"/>
      <w:pPr>
        <w:ind w:left="6439" w:hanging="529"/>
      </w:pPr>
      <w:rPr>
        <w:rFonts w:hint="default"/>
        <w:lang w:val="en-US" w:eastAsia="zh-CN" w:bidi="ar-SA"/>
      </w:rPr>
    </w:lvl>
    <w:lvl w:ilvl="7">
      <w:start w:val="0"/>
      <w:numFmt w:val="bullet"/>
      <w:lvlText w:val="•"/>
      <w:lvlJc w:val="left"/>
      <w:pPr>
        <w:ind w:left="7336" w:hanging="529"/>
      </w:pPr>
      <w:rPr>
        <w:rFonts w:hint="default"/>
        <w:lang w:val="en-US" w:eastAsia="zh-CN" w:bidi="ar-SA"/>
      </w:rPr>
    </w:lvl>
    <w:lvl w:ilvl="8">
      <w:start w:val="0"/>
      <w:numFmt w:val="bullet"/>
      <w:lvlText w:val="•"/>
      <w:lvlJc w:val="left"/>
      <w:pPr>
        <w:ind w:left="8233" w:hanging="529"/>
      </w:pPr>
      <w:rPr>
        <w:rFonts w:hint="default"/>
        <w:lang w:val="en-US" w:eastAsia="zh-CN" w:bidi="ar-SA"/>
      </w:rPr>
    </w:lvl>
  </w:abstractNum>
  <w:abstractNum w:abstractNumId="4">
    <w:multiLevelType w:val="hybridMultilevel"/>
    <w:lvl w:ilvl="0">
      <w:start w:val="1"/>
      <w:numFmt w:val="decimal"/>
      <w:lvlText w:val="%1."/>
      <w:lvlJc w:val="left"/>
      <w:pPr>
        <w:ind w:left="120" w:hanging="213"/>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110" w:hanging="213"/>
      </w:pPr>
      <w:rPr>
        <w:rFonts w:hint="default"/>
        <w:lang w:val="en-US" w:eastAsia="zh-CN" w:bidi="ar-SA"/>
      </w:rPr>
    </w:lvl>
    <w:lvl w:ilvl="2">
      <w:start w:val="0"/>
      <w:numFmt w:val="bullet"/>
      <w:lvlText w:val="•"/>
      <w:lvlJc w:val="left"/>
      <w:pPr>
        <w:ind w:left="2101" w:hanging="213"/>
      </w:pPr>
      <w:rPr>
        <w:rFonts w:hint="default"/>
        <w:lang w:val="en-US" w:eastAsia="zh-CN" w:bidi="ar-SA"/>
      </w:rPr>
    </w:lvl>
    <w:lvl w:ilvl="3">
      <w:start w:val="0"/>
      <w:numFmt w:val="bullet"/>
      <w:lvlText w:val="•"/>
      <w:lvlJc w:val="left"/>
      <w:pPr>
        <w:ind w:left="3091" w:hanging="213"/>
      </w:pPr>
      <w:rPr>
        <w:rFonts w:hint="default"/>
        <w:lang w:val="en-US" w:eastAsia="zh-CN" w:bidi="ar-SA"/>
      </w:rPr>
    </w:lvl>
    <w:lvl w:ilvl="4">
      <w:start w:val="0"/>
      <w:numFmt w:val="bullet"/>
      <w:lvlText w:val="•"/>
      <w:lvlJc w:val="left"/>
      <w:pPr>
        <w:ind w:left="4082" w:hanging="213"/>
      </w:pPr>
      <w:rPr>
        <w:rFonts w:hint="default"/>
        <w:lang w:val="en-US" w:eastAsia="zh-CN" w:bidi="ar-SA"/>
      </w:rPr>
    </w:lvl>
    <w:lvl w:ilvl="5">
      <w:start w:val="0"/>
      <w:numFmt w:val="bullet"/>
      <w:lvlText w:val="•"/>
      <w:lvlJc w:val="left"/>
      <w:pPr>
        <w:ind w:left="5073" w:hanging="213"/>
      </w:pPr>
      <w:rPr>
        <w:rFonts w:hint="default"/>
        <w:lang w:val="en-US" w:eastAsia="zh-CN" w:bidi="ar-SA"/>
      </w:rPr>
    </w:lvl>
    <w:lvl w:ilvl="6">
      <w:start w:val="0"/>
      <w:numFmt w:val="bullet"/>
      <w:lvlText w:val="•"/>
      <w:lvlJc w:val="left"/>
      <w:pPr>
        <w:ind w:left="6063" w:hanging="213"/>
      </w:pPr>
      <w:rPr>
        <w:rFonts w:hint="default"/>
        <w:lang w:val="en-US" w:eastAsia="zh-CN" w:bidi="ar-SA"/>
      </w:rPr>
    </w:lvl>
    <w:lvl w:ilvl="7">
      <w:start w:val="0"/>
      <w:numFmt w:val="bullet"/>
      <w:lvlText w:val="•"/>
      <w:lvlJc w:val="left"/>
      <w:pPr>
        <w:ind w:left="7054" w:hanging="213"/>
      </w:pPr>
      <w:rPr>
        <w:rFonts w:hint="default"/>
        <w:lang w:val="en-US" w:eastAsia="zh-CN" w:bidi="ar-SA"/>
      </w:rPr>
    </w:lvl>
    <w:lvl w:ilvl="8">
      <w:start w:val="0"/>
      <w:numFmt w:val="bullet"/>
      <w:lvlText w:val="•"/>
      <w:lvlJc w:val="left"/>
      <w:pPr>
        <w:ind w:left="8045" w:hanging="213"/>
      </w:pPr>
      <w:rPr>
        <w:rFonts w:hint="default"/>
        <w:lang w:val="en-US" w:eastAsia="zh-CN" w:bidi="ar-SA"/>
      </w:rPr>
    </w:lvl>
  </w:abstractNum>
  <w:abstractNum w:abstractNumId="3">
    <w:multiLevelType w:val="hybridMultilevel"/>
    <w:lvl w:ilvl="0">
      <w:start w:val="1"/>
      <w:numFmt w:val="decimal"/>
      <w:lvlText w:val="（%1）"/>
      <w:lvlJc w:val="left"/>
      <w:pPr>
        <w:ind w:left="120"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110" w:hanging="529"/>
      </w:pPr>
      <w:rPr>
        <w:rFonts w:hint="default"/>
        <w:lang w:val="en-US" w:eastAsia="zh-CN" w:bidi="ar-SA"/>
      </w:rPr>
    </w:lvl>
    <w:lvl w:ilvl="2">
      <w:start w:val="0"/>
      <w:numFmt w:val="bullet"/>
      <w:lvlText w:val="•"/>
      <w:lvlJc w:val="left"/>
      <w:pPr>
        <w:ind w:left="2101" w:hanging="529"/>
      </w:pPr>
      <w:rPr>
        <w:rFonts w:hint="default"/>
        <w:lang w:val="en-US" w:eastAsia="zh-CN" w:bidi="ar-SA"/>
      </w:rPr>
    </w:lvl>
    <w:lvl w:ilvl="3">
      <w:start w:val="0"/>
      <w:numFmt w:val="bullet"/>
      <w:lvlText w:val="•"/>
      <w:lvlJc w:val="left"/>
      <w:pPr>
        <w:ind w:left="3091" w:hanging="529"/>
      </w:pPr>
      <w:rPr>
        <w:rFonts w:hint="default"/>
        <w:lang w:val="en-US" w:eastAsia="zh-CN" w:bidi="ar-SA"/>
      </w:rPr>
    </w:lvl>
    <w:lvl w:ilvl="4">
      <w:start w:val="0"/>
      <w:numFmt w:val="bullet"/>
      <w:lvlText w:val="•"/>
      <w:lvlJc w:val="left"/>
      <w:pPr>
        <w:ind w:left="4082" w:hanging="529"/>
      </w:pPr>
      <w:rPr>
        <w:rFonts w:hint="default"/>
        <w:lang w:val="en-US" w:eastAsia="zh-CN" w:bidi="ar-SA"/>
      </w:rPr>
    </w:lvl>
    <w:lvl w:ilvl="5">
      <w:start w:val="0"/>
      <w:numFmt w:val="bullet"/>
      <w:lvlText w:val="•"/>
      <w:lvlJc w:val="left"/>
      <w:pPr>
        <w:ind w:left="5073" w:hanging="529"/>
      </w:pPr>
      <w:rPr>
        <w:rFonts w:hint="default"/>
        <w:lang w:val="en-US" w:eastAsia="zh-CN" w:bidi="ar-SA"/>
      </w:rPr>
    </w:lvl>
    <w:lvl w:ilvl="6">
      <w:start w:val="0"/>
      <w:numFmt w:val="bullet"/>
      <w:lvlText w:val="•"/>
      <w:lvlJc w:val="left"/>
      <w:pPr>
        <w:ind w:left="6063" w:hanging="529"/>
      </w:pPr>
      <w:rPr>
        <w:rFonts w:hint="default"/>
        <w:lang w:val="en-US" w:eastAsia="zh-CN" w:bidi="ar-SA"/>
      </w:rPr>
    </w:lvl>
    <w:lvl w:ilvl="7">
      <w:start w:val="0"/>
      <w:numFmt w:val="bullet"/>
      <w:lvlText w:val="•"/>
      <w:lvlJc w:val="left"/>
      <w:pPr>
        <w:ind w:left="7054" w:hanging="529"/>
      </w:pPr>
      <w:rPr>
        <w:rFonts w:hint="default"/>
        <w:lang w:val="en-US" w:eastAsia="zh-CN" w:bidi="ar-SA"/>
      </w:rPr>
    </w:lvl>
    <w:lvl w:ilvl="8">
      <w:start w:val="0"/>
      <w:numFmt w:val="bullet"/>
      <w:lvlText w:val="•"/>
      <w:lvlJc w:val="left"/>
      <w:pPr>
        <w:ind w:left="8045" w:hanging="529"/>
      </w:pPr>
      <w:rPr>
        <w:rFonts w:hint="default"/>
        <w:lang w:val="en-US" w:eastAsia="zh-CN" w:bidi="ar-SA"/>
      </w:rPr>
    </w:lvl>
  </w:abstractNum>
  <w:abstractNum w:abstractNumId="2">
    <w:multiLevelType w:val="hybridMultilevel"/>
    <w:lvl w:ilvl="0">
      <w:start w:val="1"/>
      <w:numFmt w:val="decimal"/>
      <w:lvlText w:val="（%1）"/>
      <w:lvlJc w:val="left"/>
      <w:pPr>
        <w:ind w:left="120"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110" w:hanging="529"/>
      </w:pPr>
      <w:rPr>
        <w:rFonts w:hint="default"/>
        <w:lang w:val="en-US" w:eastAsia="zh-CN" w:bidi="ar-SA"/>
      </w:rPr>
    </w:lvl>
    <w:lvl w:ilvl="2">
      <w:start w:val="0"/>
      <w:numFmt w:val="bullet"/>
      <w:lvlText w:val="•"/>
      <w:lvlJc w:val="left"/>
      <w:pPr>
        <w:ind w:left="2101" w:hanging="529"/>
      </w:pPr>
      <w:rPr>
        <w:rFonts w:hint="default"/>
        <w:lang w:val="en-US" w:eastAsia="zh-CN" w:bidi="ar-SA"/>
      </w:rPr>
    </w:lvl>
    <w:lvl w:ilvl="3">
      <w:start w:val="0"/>
      <w:numFmt w:val="bullet"/>
      <w:lvlText w:val="•"/>
      <w:lvlJc w:val="left"/>
      <w:pPr>
        <w:ind w:left="3091" w:hanging="529"/>
      </w:pPr>
      <w:rPr>
        <w:rFonts w:hint="default"/>
        <w:lang w:val="en-US" w:eastAsia="zh-CN" w:bidi="ar-SA"/>
      </w:rPr>
    </w:lvl>
    <w:lvl w:ilvl="4">
      <w:start w:val="0"/>
      <w:numFmt w:val="bullet"/>
      <w:lvlText w:val="•"/>
      <w:lvlJc w:val="left"/>
      <w:pPr>
        <w:ind w:left="4082" w:hanging="529"/>
      </w:pPr>
      <w:rPr>
        <w:rFonts w:hint="default"/>
        <w:lang w:val="en-US" w:eastAsia="zh-CN" w:bidi="ar-SA"/>
      </w:rPr>
    </w:lvl>
    <w:lvl w:ilvl="5">
      <w:start w:val="0"/>
      <w:numFmt w:val="bullet"/>
      <w:lvlText w:val="•"/>
      <w:lvlJc w:val="left"/>
      <w:pPr>
        <w:ind w:left="5073" w:hanging="529"/>
      </w:pPr>
      <w:rPr>
        <w:rFonts w:hint="default"/>
        <w:lang w:val="en-US" w:eastAsia="zh-CN" w:bidi="ar-SA"/>
      </w:rPr>
    </w:lvl>
    <w:lvl w:ilvl="6">
      <w:start w:val="0"/>
      <w:numFmt w:val="bullet"/>
      <w:lvlText w:val="•"/>
      <w:lvlJc w:val="left"/>
      <w:pPr>
        <w:ind w:left="6063" w:hanging="529"/>
      </w:pPr>
      <w:rPr>
        <w:rFonts w:hint="default"/>
        <w:lang w:val="en-US" w:eastAsia="zh-CN" w:bidi="ar-SA"/>
      </w:rPr>
    </w:lvl>
    <w:lvl w:ilvl="7">
      <w:start w:val="0"/>
      <w:numFmt w:val="bullet"/>
      <w:lvlText w:val="•"/>
      <w:lvlJc w:val="left"/>
      <w:pPr>
        <w:ind w:left="7054" w:hanging="529"/>
      </w:pPr>
      <w:rPr>
        <w:rFonts w:hint="default"/>
        <w:lang w:val="en-US" w:eastAsia="zh-CN" w:bidi="ar-SA"/>
      </w:rPr>
    </w:lvl>
    <w:lvl w:ilvl="8">
      <w:start w:val="0"/>
      <w:numFmt w:val="bullet"/>
      <w:lvlText w:val="•"/>
      <w:lvlJc w:val="left"/>
      <w:pPr>
        <w:ind w:left="8045" w:hanging="529"/>
      </w:pPr>
      <w:rPr>
        <w:rFonts w:hint="default"/>
        <w:lang w:val="en-US" w:eastAsia="zh-CN" w:bidi="ar-SA"/>
      </w:rPr>
    </w:lvl>
  </w:abstractNum>
  <w:abstractNum w:abstractNumId="1">
    <w:multiLevelType w:val="hybridMultilevel"/>
    <w:lvl w:ilvl="0">
      <w:start w:val="1"/>
      <w:numFmt w:val="decimal"/>
      <w:lvlText w:val="（%1）"/>
      <w:lvlJc w:val="left"/>
      <w:pPr>
        <w:ind w:left="106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956" w:hanging="529"/>
      </w:pPr>
      <w:rPr>
        <w:rFonts w:hint="default"/>
        <w:lang w:val="en-US" w:eastAsia="zh-CN" w:bidi="ar-SA"/>
      </w:rPr>
    </w:lvl>
    <w:lvl w:ilvl="2">
      <w:start w:val="0"/>
      <w:numFmt w:val="bullet"/>
      <w:lvlText w:val="•"/>
      <w:lvlJc w:val="left"/>
      <w:pPr>
        <w:ind w:left="2853" w:hanging="529"/>
      </w:pPr>
      <w:rPr>
        <w:rFonts w:hint="default"/>
        <w:lang w:val="en-US" w:eastAsia="zh-CN" w:bidi="ar-SA"/>
      </w:rPr>
    </w:lvl>
    <w:lvl w:ilvl="3">
      <w:start w:val="0"/>
      <w:numFmt w:val="bullet"/>
      <w:lvlText w:val="•"/>
      <w:lvlJc w:val="left"/>
      <w:pPr>
        <w:ind w:left="3749" w:hanging="529"/>
      </w:pPr>
      <w:rPr>
        <w:rFonts w:hint="default"/>
        <w:lang w:val="en-US" w:eastAsia="zh-CN" w:bidi="ar-SA"/>
      </w:rPr>
    </w:lvl>
    <w:lvl w:ilvl="4">
      <w:start w:val="0"/>
      <w:numFmt w:val="bullet"/>
      <w:lvlText w:val="•"/>
      <w:lvlJc w:val="left"/>
      <w:pPr>
        <w:ind w:left="4646" w:hanging="529"/>
      </w:pPr>
      <w:rPr>
        <w:rFonts w:hint="default"/>
        <w:lang w:val="en-US" w:eastAsia="zh-CN" w:bidi="ar-SA"/>
      </w:rPr>
    </w:lvl>
    <w:lvl w:ilvl="5">
      <w:start w:val="0"/>
      <w:numFmt w:val="bullet"/>
      <w:lvlText w:val="•"/>
      <w:lvlJc w:val="left"/>
      <w:pPr>
        <w:ind w:left="5543" w:hanging="529"/>
      </w:pPr>
      <w:rPr>
        <w:rFonts w:hint="default"/>
        <w:lang w:val="en-US" w:eastAsia="zh-CN" w:bidi="ar-SA"/>
      </w:rPr>
    </w:lvl>
    <w:lvl w:ilvl="6">
      <w:start w:val="0"/>
      <w:numFmt w:val="bullet"/>
      <w:lvlText w:val="•"/>
      <w:lvlJc w:val="left"/>
      <w:pPr>
        <w:ind w:left="6439" w:hanging="529"/>
      </w:pPr>
      <w:rPr>
        <w:rFonts w:hint="default"/>
        <w:lang w:val="en-US" w:eastAsia="zh-CN" w:bidi="ar-SA"/>
      </w:rPr>
    </w:lvl>
    <w:lvl w:ilvl="7">
      <w:start w:val="0"/>
      <w:numFmt w:val="bullet"/>
      <w:lvlText w:val="•"/>
      <w:lvlJc w:val="left"/>
      <w:pPr>
        <w:ind w:left="7336" w:hanging="529"/>
      </w:pPr>
      <w:rPr>
        <w:rFonts w:hint="default"/>
        <w:lang w:val="en-US" w:eastAsia="zh-CN" w:bidi="ar-SA"/>
      </w:rPr>
    </w:lvl>
    <w:lvl w:ilvl="8">
      <w:start w:val="0"/>
      <w:numFmt w:val="bullet"/>
      <w:lvlText w:val="•"/>
      <w:lvlJc w:val="left"/>
      <w:pPr>
        <w:ind w:left="8233" w:hanging="529"/>
      </w:pPr>
      <w:rPr>
        <w:rFonts w:hint="default"/>
        <w:lang w:val="en-US" w:eastAsia="zh-CN" w:bidi="ar-SA"/>
      </w:rPr>
    </w:lvl>
  </w:abstractNum>
  <w:abstractNum w:abstractNumId="0">
    <w:multiLevelType w:val="hybridMultilevel"/>
    <w:lvl w:ilvl="0">
      <w:start w:val="1"/>
      <w:numFmt w:val="decimal"/>
      <w:lvlText w:val="%1."/>
      <w:lvlJc w:val="left"/>
      <w:pPr>
        <w:ind w:left="120" w:hanging="213"/>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110" w:hanging="213"/>
      </w:pPr>
      <w:rPr>
        <w:rFonts w:hint="default"/>
        <w:lang w:val="en-US" w:eastAsia="zh-CN" w:bidi="ar-SA"/>
      </w:rPr>
    </w:lvl>
    <w:lvl w:ilvl="2">
      <w:start w:val="0"/>
      <w:numFmt w:val="bullet"/>
      <w:lvlText w:val="•"/>
      <w:lvlJc w:val="left"/>
      <w:pPr>
        <w:ind w:left="2101" w:hanging="213"/>
      </w:pPr>
      <w:rPr>
        <w:rFonts w:hint="default"/>
        <w:lang w:val="en-US" w:eastAsia="zh-CN" w:bidi="ar-SA"/>
      </w:rPr>
    </w:lvl>
    <w:lvl w:ilvl="3">
      <w:start w:val="0"/>
      <w:numFmt w:val="bullet"/>
      <w:lvlText w:val="•"/>
      <w:lvlJc w:val="left"/>
      <w:pPr>
        <w:ind w:left="3091" w:hanging="213"/>
      </w:pPr>
      <w:rPr>
        <w:rFonts w:hint="default"/>
        <w:lang w:val="en-US" w:eastAsia="zh-CN" w:bidi="ar-SA"/>
      </w:rPr>
    </w:lvl>
    <w:lvl w:ilvl="4">
      <w:start w:val="0"/>
      <w:numFmt w:val="bullet"/>
      <w:lvlText w:val="•"/>
      <w:lvlJc w:val="left"/>
      <w:pPr>
        <w:ind w:left="4082" w:hanging="213"/>
      </w:pPr>
      <w:rPr>
        <w:rFonts w:hint="default"/>
        <w:lang w:val="en-US" w:eastAsia="zh-CN" w:bidi="ar-SA"/>
      </w:rPr>
    </w:lvl>
    <w:lvl w:ilvl="5">
      <w:start w:val="0"/>
      <w:numFmt w:val="bullet"/>
      <w:lvlText w:val="•"/>
      <w:lvlJc w:val="left"/>
      <w:pPr>
        <w:ind w:left="5073" w:hanging="213"/>
      </w:pPr>
      <w:rPr>
        <w:rFonts w:hint="default"/>
        <w:lang w:val="en-US" w:eastAsia="zh-CN" w:bidi="ar-SA"/>
      </w:rPr>
    </w:lvl>
    <w:lvl w:ilvl="6">
      <w:start w:val="0"/>
      <w:numFmt w:val="bullet"/>
      <w:lvlText w:val="•"/>
      <w:lvlJc w:val="left"/>
      <w:pPr>
        <w:ind w:left="6063" w:hanging="213"/>
      </w:pPr>
      <w:rPr>
        <w:rFonts w:hint="default"/>
        <w:lang w:val="en-US" w:eastAsia="zh-CN" w:bidi="ar-SA"/>
      </w:rPr>
    </w:lvl>
    <w:lvl w:ilvl="7">
      <w:start w:val="0"/>
      <w:numFmt w:val="bullet"/>
      <w:lvlText w:val="•"/>
      <w:lvlJc w:val="left"/>
      <w:pPr>
        <w:ind w:left="7054" w:hanging="213"/>
      </w:pPr>
      <w:rPr>
        <w:rFonts w:hint="default"/>
        <w:lang w:val="en-US" w:eastAsia="zh-CN" w:bidi="ar-SA"/>
      </w:rPr>
    </w:lvl>
    <w:lvl w:ilvl="8">
      <w:start w:val="0"/>
      <w:numFmt w:val="bullet"/>
      <w:lvlText w:val="•"/>
      <w:lvlJc w:val="left"/>
      <w:pPr>
        <w:ind w:left="8045" w:hanging="213"/>
      </w:pPr>
      <w:rPr>
        <w:rFonts w:hint="default"/>
        <w:lang w:val="en-US" w:eastAsia="zh-CN" w:bidi="ar-SA"/>
      </w:rPr>
    </w:lvl>
  </w:abstract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TOC1" w:type="paragraph">
    <w:name w:val="TOC 1"/>
    <w:basedOn w:val="Normal"/>
    <w:uiPriority w:val="1"/>
    <w:qFormat/>
    <w:pPr>
      <w:spacing w:before="43"/>
      <w:ind w:left="120"/>
    </w:pPr>
    <w:rPr>
      <w:rFonts w:ascii="宋体" w:hAnsi="宋体" w:eastAsia="宋体" w:cs="宋体"/>
      <w:b/>
      <w:bCs/>
      <w:sz w:val="21"/>
      <w:szCs w:val="21"/>
      <w:lang w:val="en-US" w:eastAsia="zh-CN" w:bidi="ar-SA"/>
    </w:rPr>
  </w:style>
  <w:style w:styleId="TOC2" w:type="paragraph">
    <w:name w:val="TOC 2"/>
    <w:basedOn w:val="Normal"/>
    <w:uiPriority w:val="1"/>
    <w:qFormat/>
    <w:pPr>
      <w:spacing w:before="132"/>
      <w:ind w:left="120"/>
    </w:pPr>
    <w:rPr>
      <w:rFonts w:ascii="宋体" w:hAnsi="宋体" w:eastAsia="宋体" w:cs="宋体"/>
      <w:b/>
      <w:bCs/>
      <w:i/>
      <w:iCs/>
      <w:lang w:val="en-US" w:eastAsia="zh-CN" w:bidi="ar-SA"/>
    </w:rPr>
  </w:style>
  <w:style w:styleId="TOC3" w:type="paragraph">
    <w:name w:val="TOC 3"/>
    <w:basedOn w:val="Normal"/>
    <w:uiPriority w:val="1"/>
    <w:qFormat/>
    <w:pPr>
      <w:spacing w:before="43"/>
      <w:ind w:left="540"/>
    </w:pPr>
    <w:rPr>
      <w:rFonts w:ascii="宋体" w:hAnsi="宋体" w:eastAsia="宋体" w:cs="宋体"/>
      <w:b/>
      <w:bCs/>
      <w:sz w:val="21"/>
      <w:szCs w:val="21"/>
      <w:lang w:val="en-US" w:eastAsia="zh-CN" w:bidi="ar-SA"/>
    </w:rPr>
  </w:style>
  <w:style w:styleId="TOC4" w:type="paragraph">
    <w:name w:val="TOC 4"/>
    <w:basedOn w:val="Normal"/>
    <w:uiPriority w:val="1"/>
    <w:qFormat/>
    <w:pPr>
      <w:spacing w:before="43"/>
      <w:ind w:left="540"/>
    </w:pPr>
    <w:rPr>
      <w:rFonts w:ascii="宋体" w:hAnsi="宋体" w:eastAsia="宋体" w:cs="宋体"/>
      <w:b/>
      <w:bCs/>
      <w:i/>
      <w:iCs/>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ind w:left="3004"/>
      <w:outlineLvl w:val="1"/>
    </w:pPr>
    <w:rPr>
      <w:rFonts w:ascii="宋体" w:hAnsi="宋体" w:eastAsia="宋体" w:cs="宋体"/>
      <w:b/>
      <w:bCs/>
      <w:sz w:val="24"/>
      <w:szCs w:val="24"/>
      <w:lang w:val="en-US" w:eastAsia="zh-CN" w:bidi="ar-SA"/>
    </w:rPr>
  </w:style>
  <w:style w:styleId="Heading2" w:type="paragraph">
    <w:name w:val="Heading 2"/>
    <w:basedOn w:val="Normal"/>
    <w:uiPriority w:val="1"/>
    <w:qFormat/>
    <w:pPr>
      <w:ind w:left="120"/>
      <w:outlineLvl w:val="2"/>
    </w:pPr>
    <w:rPr>
      <w:rFonts w:ascii="宋体" w:hAnsi="宋体" w:eastAsia="宋体" w:cs="宋体"/>
      <w:b/>
      <w:bCs/>
      <w:sz w:val="21"/>
      <w:szCs w:val="21"/>
      <w:lang w:val="en-US" w:eastAsia="zh-CN" w:bidi="ar-SA"/>
    </w:rPr>
  </w:style>
  <w:style w:styleId="Title" w:type="paragraph">
    <w:name w:val="Title"/>
    <w:basedOn w:val="Normal"/>
    <w:uiPriority w:val="1"/>
    <w:qFormat/>
    <w:pPr>
      <w:ind w:left="143" w:right="185"/>
      <w:jc w:val="center"/>
    </w:pPr>
    <w:rPr>
      <w:rFonts w:ascii="隶书" w:hAnsi="隶书" w:eastAsia="隶书" w:cs="隶书"/>
      <w:b/>
      <w:bCs/>
      <w:sz w:val="52"/>
      <w:szCs w:val="52"/>
      <w:lang w:val="en-US" w:eastAsia="zh-CN" w:bidi="ar-SA"/>
    </w:rPr>
  </w:style>
  <w:style w:styleId="ListParagraph" w:type="paragraph">
    <w:name w:val="List Paragraph"/>
    <w:basedOn w:val="Normal"/>
    <w:uiPriority w:val="1"/>
    <w:qFormat/>
    <w:pPr>
      <w:spacing w:before="43"/>
      <w:ind w:left="1069" w:hanging="530"/>
    </w:pPr>
    <w:rPr>
      <w:rFonts w:ascii="宋体" w:hAnsi="宋体" w:eastAsia="宋体" w:cs="宋体"/>
      <w:lang w:val="en-US" w:eastAsia="zh-CN" w:bidi="ar-SA"/>
    </w:rPr>
  </w:style>
  <w:style w:styleId="TableParagraph" w:type="paragraph">
    <w:name w:val="Table Paragraph"/>
    <w:basedOn w:val="Normal"/>
    <w:uiPriority w:val="1"/>
    <w:qFormat/>
    <w:pPr>
      <w:spacing w:before="30"/>
      <w:ind w:left="446" w:right="436"/>
      <w:jc w:val="center"/>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image" Target="media/image6.png"/><Relationship Id="rId12" Type="http://schemas.openxmlformats.org/officeDocument/2006/relationships/image" Target="media/image7.png"/><Relationship Id="rId13" Type="http://schemas.openxmlformats.org/officeDocument/2006/relationships/image" Target="media/image8.png"/><Relationship Id="rId14" Type="http://schemas.openxmlformats.org/officeDocument/2006/relationships/image" Target="media/image9.png"/><Relationship Id="rId15" Type="http://schemas.openxmlformats.org/officeDocument/2006/relationships/image" Target="media/image10.png"/><Relationship Id="rId16" Type="http://schemas.openxmlformats.org/officeDocument/2006/relationships/image" Target="media/image11.png"/><Relationship Id="rId17" Type="http://schemas.openxmlformats.org/officeDocument/2006/relationships/image" Target="media/image12.png"/><Relationship Id="rId18"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2023-06-05T08:18:15Z</dcterms:created>
  <dcterms:modified xsi:type="dcterms:W3CDTF">2023-06-05T08:18:15Z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2023-06-05T00:00:00Z</vt:filetime>
  </property>
  <property fmtid="{D5CDD505-2E9C-101B-9397-08002B2CF9AE}" pid="3" name="Creator">
    <vt:lpwstr>Aspose Ltd.</vt:lpwstr>
  </property>
  <property fmtid="{D5CDD505-2E9C-101B-9397-08002B2CF9AE}" pid="4" name="LastSaved">
    <vt:filetime>2023-06-05T00:00:00Z</vt:filetime>
  </property>
</Properties>
</file>