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8443"/>
        <w:rPr>
          <w:rFonts w:ascii="Times New Roman"/>
          <w:sz w:val="20"/>
        </w:rPr>
      </w:pPr>
      <w:r>
        <w:rPr>
          <w:rFonts w:ascii="Times New Roman"/>
          <w:sz w:val="20"/>
        </w:rPr>
        <w:drawing>
          <wp:inline distT="0" distB="0" distL="0" distR="0">
            <wp:extent cx="724154"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4154" cy="723900"/>
                    </a:xfrm>
                    <a:prstGeom prst="rect">
                      <a:avLst/>
                    </a:prstGeom>
                  </pic:spPr>
                </pic:pic>
              </a:graphicData>
            </a:graphic>
          </wp:inline>
        </w:drawing>
      </w:r>
      <w:r>
        <w:rPr>
          <w:rFonts w:ascii="Times New Roman"/>
          <w:sz w:val="20"/>
        </w:rPr>
      </w:r>
    </w:p>
    <w:p>
      <w:pPr>
        <w:spacing w:after="0"/>
        <w:rPr>
          <w:rFonts w:ascii="Times New Roman"/>
          <w:sz w:val="20"/>
        </w:rPr>
        <w:sectPr>
          <w:footerReference w:type="default" r:id="rId5"/>
          <w:type w:val="continuous"/>
          <w:pgSz w:w="11910" w:h="16840"/>
          <w:pgMar w:footer="991" w:header="0" w:top="280" w:bottom="1180" w:left="1680" w:right="200"/>
          <w:pgNumType w:start="1"/>
        </w:sectPr>
      </w:pPr>
    </w:p>
    <w:p>
      <w:pPr>
        <w:spacing w:before="36"/>
        <w:ind w:left="120" w:right="0" w:firstLine="0"/>
        <w:jc w:val="left"/>
        <w:rPr>
          <w:sz w:val="24"/>
        </w:rPr>
      </w:pPr>
      <w:r>
        <w:rPr>
          <w:spacing w:val="-23"/>
          <w:sz w:val="24"/>
        </w:rPr>
        <w:t>附件 </w:t>
      </w:r>
      <w:r>
        <w:rPr>
          <w:spacing w:val="-4"/>
          <w:sz w:val="24"/>
        </w:rPr>
        <w:t>1-</w:t>
      </w:r>
      <w:r>
        <w:rPr>
          <w:spacing w:val="-10"/>
          <w:sz w:val="24"/>
        </w:rPr>
        <w:t>2</w:t>
      </w:r>
    </w:p>
    <w:p>
      <w:pPr>
        <w:spacing w:line="240" w:lineRule="auto" w:before="10"/>
        <w:rPr>
          <w:sz w:val="39"/>
        </w:rPr>
      </w:pPr>
      <w:r>
        <w:rPr/>
        <w:br w:type="column"/>
      </w:r>
      <w:r>
        <w:rPr>
          <w:sz w:val="39"/>
        </w:rPr>
      </w:r>
    </w:p>
    <w:p>
      <w:pPr>
        <w:pStyle w:val="Title"/>
      </w:pPr>
      <w:r>
        <w:rPr>
          <w:spacing w:val="-1"/>
          <w:w w:val="95"/>
        </w:rPr>
        <w:t>昆仑健康保险股份有限公司</w:t>
      </w:r>
    </w:p>
    <w:p>
      <w:pPr>
        <w:pStyle w:val="BodyText"/>
        <w:spacing w:before="189"/>
        <w:ind w:left="140" w:right="184"/>
        <w:jc w:val="center"/>
      </w:pPr>
      <w:r>
        <w:rPr>
          <w:w w:val="95"/>
        </w:rPr>
        <w:t>（以下</w:t>
      </w:r>
      <w:r>
        <w:rPr>
          <w:w w:val="95"/>
        </w:rPr>
        <w:t>简</w:t>
      </w:r>
      <w:r>
        <w:rPr>
          <w:w w:val="95"/>
        </w:rPr>
        <w:t>称</w:t>
      </w:r>
      <w:r>
        <w:rPr>
          <w:w w:val="95"/>
        </w:rPr>
        <w:t>“</w:t>
      </w:r>
      <w:r>
        <w:rPr>
          <w:w w:val="95"/>
        </w:rPr>
        <w:t>本</w:t>
      </w:r>
      <w:r>
        <w:rPr>
          <w:w w:val="95"/>
        </w:rPr>
        <w:t>公</w:t>
      </w:r>
      <w:r>
        <w:rPr>
          <w:w w:val="95"/>
        </w:rPr>
        <w:t>司</w:t>
      </w:r>
      <w:r>
        <w:rPr>
          <w:spacing w:val="-5"/>
          <w:w w:val="95"/>
        </w:rPr>
        <w:t>”）</w:t>
      </w:r>
    </w:p>
    <w:p>
      <w:pPr>
        <w:pStyle w:val="BodyText"/>
        <w:spacing w:before="7"/>
        <w:rPr>
          <w:sz w:val="20"/>
        </w:rPr>
      </w:pPr>
    </w:p>
    <w:p>
      <w:pPr>
        <w:spacing w:before="0"/>
        <w:ind w:left="152" w:right="184" w:firstLine="0"/>
        <w:jc w:val="center"/>
        <w:rPr>
          <w:b/>
          <w:sz w:val="40"/>
        </w:rPr>
      </w:pPr>
      <w:r>
        <w:rPr>
          <w:b/>
          <w:w w:val="95"/>
          <w:sz w:val="40"/>
        </w:rPr>
        <w:t>昆仑</w:t>
      </w:r>
      <w:r>
        <w:rPr>
          <w:b/>
          <w:w w:val="95"/>
          <w:sz w:val="40"/>
        </w:rPr>
        <w:t>健</w:t>
      </w:r>
      <w:r>
        <w:rPr>
          <w:b/>
          <w:w w:val="95"/>
          <w:sz w:val="40"/>
        </w:rPr>
        <w:t>康</w:t>
      </w:r>
      <w:r>
        <w:rPr>
          <w:b/>
          <w:w w:val="95"/>
          <w:sz w:val="40"/>
        </w:rPr>
        <w:t>乐</w:t>
      </w:r>
      <w:r>
        <w:rPr>
          <w:b/>
          <w:w w:val="95"/>
          <w:sz w:val="40"/>
        </w:rPr>
        <w:t>享</w:t>
      </w:r>
      <w:r>
        <w:rPr>
          <w:b/>
          <w:w w:val="95"/>
          <w:sz w:val="40"/>
        </w:rPr>
        <w:t>年</w:t>
      </w:r>
      <w:r>
        <w:rPr>
          <w:b/>
          <w:w w:val="95"/>
          <w:sz w:val="40"/>
        </w:rPr>
        <w:t>年</w:t>
      </w:r>
      <w:r>
        <w:rPr>
          <w:b/>
          <w:w w:val="95"/>
          <w:sz w:val="40"/>
        </w:rPr>
        <w:t>终</w:t>
      </w:r>
      <w:r>
        <w:rPr>
          <w:b/>
          <w:w w:val="95"/>
          <w:sz w:val="40"/>
        </w:rPr>
        <w:t>身</w:t>
      </w:r>
      <w:r>
        <w:rPr>
          <w:b/>
          <w:w w:val="95"/>
          <w:sz w:val="40"/>
        </w:rPr>
        <w:t>护</w:t>
      </w:r>
      <w:r>
        <w:rPr>
          <w:b/>
          <w:w w:val="95"/>
          <w:sz w:val="40"/>
        </w:rPr>
        <w:t>理</w:t>
      </w:r>
      <w:r>
        <w:rPr>
          <w:b/>
          <w:w w:val="95"/>
          <w:sz w:val="40"/>
        </w:rPr>
        <w:t>保</w:t>
      </w:r>
      <w:r>
        <w:rPr>
          <w:b/>
          <w:w w:val="95"/>
          <w:sz w:val="40"/>
        </w:rPr>
        <w:t>险</w:t>
      </w:r>
      <w:r>
        <w:rPr>
          <w:b/>
          <w:spacing w:val="-5"/>
          <w:w w:val="95"/>
          <w:sz w:val="40"/>
        </w:rPr>
        <w:t>条款</w:t>
      </w:r>
    </w:p>
    <w:p>
      <w:pPr>
        <w:spacing w:line="324" w:lineRule="auto" w:before="94"/>
        <w:ind w:left="388" w:right="379" w:firstLine="0"/>
        <w:jc w:val="center"/>
        <w:rPr>
          <w:sz w:val="18"/>
        </w:rPr>
      </w:pPr>
      <w:r>
        <w:rPr/>
        <w:br w:type="column"/>
      </w:r>
      <w:r>
        <w:rPr>
          <w:spacing w:val="-2"/>
          <w:sz w:val="18"/>
        </w:rPr>
        <w:t>昆仑健康[2021]</w:t>
      </w:r>
      <w:r>
        <w:rPr>
          <w:spacing w:val="-9"/>
          <w:sz w:val="18"/>
        </w:rPr>
        <w:t>护理保险 </w:t>
      </w:r>
      <w:r>
        <w:rPr>
          <w:sz w:val="18"/>
        </w:rPr>
        <w:t>030</w:t>
      </w:r>
      <w:r>
        <w:rPr>
          <w:spacing w:val="-29"/>
          <w:sz w:val="18"/>
        </w:rPr>
        <w:t> 号</w:t>
      </w:r>
    </w:p>
    <w:p>
      <w:pPr>
        <w:spacing w:before="1"/>
        <w:ind w:left="107" w:right="99" w:firstLine="0"/>
        <w:jc w:val="center"/>
        <w:rPr>
          <w:sz w:val="18"/>
        </w:rPr>
      </w:pPr>
      <w:r>
        <w:rPr>
          <w:spacing w:val="-1"/>
          <w:sz w:val="18"/>
        </w:rPr>
        <w:t>请扫描以查询验证条款</w:t>
      </w:r>
    </w:p>
    <w:p>
      <w:pPr>
        <w:spacing w:after="0"/>
        <w:jc w:val="center"/>
        <w:rPr>
          <w:sz w:val="18"/>
        </w:rPr>
        <w:sectPr>
          <w:type w:val="continuous"/>
          <w:pgSz w:w="11910" w:h="16840"/>
          <w:pgMar w:header="0" w:footer="991" w:top="280" w:bottom="1180" w:left="1680" w:right="200"/>
          <w:cols w:num="3" w:equalWidth="0">
            <w:col w:w="1021" w:space="40"/>
            <w:col w:w="6471" w:space="462"/>
            <w:col w:w="2036"/>
          </w:cols>
        </w:sectPr>
      </w:pPr>
    </w:p>
    <w:p>
      <w:pPr>
        <w:pStyle w:val="BodyText"/>
        <w:spacing w:before="10"/>
        <w:rPr>
          <w:sz w:val="20"/>
        </w:rPr>
      </w:pPr>
    </w:p>
    <w:p>
      <w:pPr>
        <w:spacing w:before="55"/>
        <w:ind w:left="2999" w:right="4479" w:firstLine="0"/>
        <w:jc w:val="center"/>
        <w:rPr>
          <w:b/>
          <w:sz w:val="32"/>
        </w:rPr>
      </w:pPr>
      <w:r>
        <w:rPr>
          <w:b/>
          <w:sz w:val="32"/>
        </w:rPr>
        <w:t>目</w:t>
      </w:r>
      <w:r>
        <w:rPr>
          <w:b/>
          <w:spacing w:val="76"/>
          <w:w w:val="150"/>
          <w:sz w:val="32"/>
        </w:rPr>
        <w:t> </w:t>
      </w:r>
      <w:r>
        <w:rPr>
          <w:b/>
          <w:spacing w:val="-10"/>
          <w:sz w:val="32"/>
        </w:rPr>
        <w:t>录</w:t>
      </w:r>
    </w:p>
    <w:sdt>
      <w:sdtPr>
        <w:docPartObj>
          <w:docPartGallery w:val="Table of Contents"/>
          <w:docPartUnique/>
        </w:docPartObj>
      </w:sdtPr>
      <w:sdtEndPr/>
      <w:sdtContent>
        <w:p>
          <w:pPr>
            <w:pStyle w:val="TOC2"/>
            <w:tabs>
              <w:tab w:pos="8415" w:val="right" w:leader="dot"/>
            </w:tabs>
            <w:rPr>
              <w:rFonts w:ascii="Times New Roman" w:eastAsia="Times New Roman"/>
              <w:b w:val="0"/>
              <w:i w:val="0"/>
              <w:sz w:val="21"/>
            </w:rPr>
          </w:pPr>
          <w:hyperlink w:history="true" w:anchor="_bookmark0">
            <w:r>
              <w:rPr>
                <w:i w:val="0"/>
                <w:sz w:val="21"/>
              </w:rPr>
              <w:t>第</w:t>
            </w:r>
            <w:r>
              <w:rPr>
                <w:i w:val="0"/>
                <w:sz w:val="21"/>
              </w:rPr>
              <w:t>一</w:t>
            </w:r>
            <w:r>
              <w:rPr>
                <w:i w:val="0"/>
                <w:sz w:val="21"/>
              </w:rPr>
              <w:t>部</w:t>
            </w:r>
            <w:r>
              <w:rPr>
                <w:i w:val="0"/>
                <w:sz w:val="21"/>
              </w:rPr>
              <w:t>分</w:t>
            </w:r>
            <w:r>
              <w:rPr>
                <w:i w:val="0"/>
                <w:spacing w:val="-4"/>
                <w:sz w:val="21"/>
              </w:rPr>
              <w:t> </w:t>
            </w:r>
            <w:r>
              <w:rPr>
                <w:i w:val="0"/>
                <w:sz w:val="21"/>
              </w:rPr>
              <w:t>总</w:t>
            </w:r>
            <w:r>
              <w:rPr>
                <w:i w:val="0"/>
                <w:spacing w:val="-10"/>
                <w:w w:val="95"/>
                <w:sz w:val="21"/>
              </w:rPr>
              <w:t>则</w:t>
            </w:r>
            <w:r>
              <w:rPr>
                <w:rFonts w:ascii="Times New Roman" w:eastAsia="Times New Roman"/>
                <w:b w:val="0"/>
                <w:i w:val="0"/>
                <w:sz w:val="21"/>
              </w:rPr>
              <w:tab/>
            </w:r>
            <w:r>
              <w:rPr>
                <w:rFonts w:ascii="Times New Roman" w:eastAsia="Times New Roman"/>
                <w:b w:val="0"/>
                <w:i w:val="0"/>
                <w:spacing w:val="-10"/>
                <w:sz w:val="21"/>
              </w:rPr>
              <w:t>2</w:t>
            </w:r>
          </w:hyperlink>
        </w:p>
        <w:p>
          <w:pPr>
            <w:pStyle w:val="TOC3"/>
            <w:tabs>
              <w:tab w:pos="1588" w:val="left" w:leader="none"/>
              <w:tab w:pos="8408" w:val="right" w:leader="dot"/>
            </w:tabs>
            <w:rPr>
              <w:rFonts w:ascii="Times New Roman" w:eastAsia="Times New Roman"/>
              <w:b w:val="0"/>
            </w:rPr>
          </w:pPr>
          <w:hyperlink w:history="true" w:anchor="_bookmark1">
            <w:r>
              <w:rPr>
                <w:w w:val="95"/>
              </w:rPr>
              <w:t>第</w:t>
            </w:r>
            <w:r>
              <w:rPr>
                <w:w w:val="95"/>
              </w:rPr>
              <w:t>一</w:t>
            </w:r>
            <w:r>
              <w:rPr>
                <w:spacing w:val="-10"/>
                <w:w w:val="95"/>
              </w:rPr>
              <w:t>条</w:t>
            </w:r>
            <w:r>
              <w:rPr/>
              <w:tab/>
            </w:r>
            <w:r>
              <w:rPr>
                <w:w w:val="95"/>
              </w:rPr>
              <w:t>合</w:t>
            </w:r>
            <w:r>
              <w:rPr>
                <w:w w:val="95"/>
              </w:rPr>
              <w:t>同</w:t>
            </w:r>
            <w:r>
              <w:rPr>
                <w:w w:val="95"/>
              </w:rPr>
              <w:t>构</w:t>
            </w:r>
            <w:r>
              <w:rPr>
                <w:spacing w:val="-10"/>
                <w:w w:val="95"/>
              </w:rPr>
              <w:t>成</w:t>
            </w:r>
            <w:r>
              <w:rPr>
                <w:rFonts w:ascii="Times New Roman" w:eastAsia="Times New Roman"/>
                <w:b w:val="0"/>
              </w:rPr>
              <w:tab/>
            </w:r>
            <w:r>
              <w:rPr>
                <w:rFonts w:ascii="Times New Roman" w:eastAsia="Times New Roman"/>
                <w:b w:val="0"/>
                <w:spacing w:val="-10"/>
              </w:rPr>
              <w:t>2</w:t>
            </w:r>
          </w:hyperlink>
        </w:p>
        <w:p>
          <w:pPr>
            <w:pStyle w:val="TOC3"/>
            <w:tabs>
              <w:tab w:pos="1588" w:val="left" w:leader="none"/>
              <w:tab w:pos="8408" w:val="right" w:leader="dot"/>
            </w:tabs>
            <w:rPr>
              <w:rFonts w:ascii="Times New Roman" w:eastAsia="Times New Roman"/>
              <w:b w:val="0"/>
            </w:rPr>
          </w:pPr>
          <w:hyperlink w:history="true" w:anchor="_bookmark2">
            <w:r>
              <w:rPr>
                <w:w w:val="95"/>
              </w:rPr>
              <w:t>第</w:t>
            </w:r>
            <w:r>
              <w:rPr>
                <w:w w:val="95"/>
              </w:rPr>
              <w:t>二</w:t>
            </w:r>
            <w:r>
              <w:rPr>
                <w:spacing w:val="-10"/>
                <w:w w:val="95"/>
              </w:rPr>
              <w:t>条</w:t>
            </w:r>
            <w:r>
              <w:rPr/>
              <w:tab/>
            </w:r>
            <w:r>
              <w:rPr>
                <w:w w:val="95"/>
              </w:rPr>
              <w:t>合</w:t>
            </w:r>
            <w:r>
              <w:rPr>
                <w:w w:val="95"/>
              </w:rPr>
              <w:t>同</w:t>
            </w:r>
            <w:r>
              <w:rPr>
                <w:w w:val="95"/>
              </w:rPr>
              <w:t>成</w:t>
            </w:r>
            <w:r>
              <w:rPr>
                <w:w w:val="95"/>
              </w:rPr>
              <w:t>立</w:t>
            </w:r>
            <w:r>
              <w:rPr>
                <w:w w:val="95"/>
              </w:rPr>
              <w:t>与</w:t>
            </w:r>
            <w:r>
              <w:rPr>
                <w:w w:val="95"/>
              </w:rPr>
              <w:t>生</w:t>
            </w:r>
            <w:r>
              <w:rPr>
                <w:spacing w:val="-10"/>
                <w:w w:val="95"/>
              </w:rPr>
              <w:t>效</w:t>
            </w:r>
            <w:r>
              <w:rPr>
                <w:rFonts w:ascii="Times New Roman" w:eastAsia="Times New Roman"/>
                <w:b w:val="0"/>
              </w:rPr>
              <w:tab/>
            </w:r>
            <w:r>
              <w:rPr>
                <w:rFonts w:ascii="Times New Roman" w:eastAsia="Times New Roman"/>
                <w:b w:val="0"/>
                <w:spacing w:val="-10"/>
              </w:rPr>
              <w:t>2</w:t>
            </w:r>
          </w:hyperlink>
        </w:p>
        <w:p>
          <w:pPr>
            <w:pStyle w:val="TOC4"/>
            <w:tabs>
              <w:tab w:pos="1588" w:val="left" w:leader="none"/>
              <w:tab w:pos="8408" w:val="right" w:leader="dot"/>
            </w:tabs>
            <w:rPr>
              <w:rFonts w:ascii="Times New Roman" w:eastAsia="Times New Roman"/>
              <w:b w:val="0"/>
              <w:i w:val="0"/>
              <w:sz w:val="21"/>
            </w:rPr>
          </w:pPr>
          <w:hyperlink w:history="true" w:anchor="_bookmark3">
            <w:r>
              <w:rPr>
                <w:i w:val="0"/>
                <w:w w:val="95"/>
                <w:sz w:val="21"/>
              </w:rPr>
              <w:t>第</w:t>
            </w:r>
            <w:r>
              <w:rPr>
                <w:i w:val="0"/>
                <w:w w:val="95"/>
                <w:sz w:val="21"/>
              </w:rPr>
              <w:t>三</w:t>
            </w:r>
            <w:r>
              <w:rPr>
                <w:i w:val="0"/>
                <w:spacing w:val="-10"/>
                <w:w w:val="95"/>
                <w:sz w:val="21"/>
              </w:rPr>
              <w:t>条</w:t>
            </w:r>
            <w:r>
              <w:rPr>
                <w:i w:val="0"/>
                <w:sz w:val="21"/>
              </w:rPr>
              <w:tab/>
            </w:r>
            <w:r>
              <w:rPr>
                <w:i w:val="0"/>
                <w:w w:val="95"/>
                <w:sz w:val="21"/>
              </w:rPr>
              <w:t>犹</w:t>
            </w:r>
            <w:r>
              <w:rPr>
                <w:i w:val="0"/>
                <w:w w:val="95"/>
                <w:sz w:val="21"/>
              </w:rPr>
              <w:t>豫</w:t>
            </w:r>
            <w:r>
              <w:rPr>
                <w:i w:val="0"/>
                <w:spacing w:val="-10"/>
                <w:w w:val="95"/>
                <w:sz w:val="21"/>
              </w:rPr>
              <w:t>期</w:t>
            </w:r>
            <w:r>
              <w:rPr>
                <w:rFonts w:ascii="Times New Roman" w:eastAsia="Times New Roman"/>
                <w:b w:val="0"/>
                <w:i w:val="0"/>
                <w:sz w:val="21"/>
              </w:rPr>
              <w:tab/>
            </w:r>
            <w:r>
              <w:rPr>
                <w:rFonts w:ascii="Times New Roman" w:eastAsia="Times New Roman"/>
                <w:b w:val="0"/>
                <w:i w:val="0"/>
                <w:spacing w:val="-10"/>
                <w:sz w:val="21"/>
              </w:rPr>
              <w:t>2</w:t>
            </w:r>
          </w:hyperlink>
        </w:p>
        <w:p>
          <w:pPr>
            <w:pStyle w:val="TOC3"/>
            <w:tabs>
              <w:tab w:pos="1588" w:val="left" w:leader="none"/>
              <w:tab w:pos="8408" w:val="right" w:leader="dot"/>
            </w:tabs>
            <w:rPr>
              <w:rFonts w:ascii="Times New Roman" w:eastAsia="Times New Roman"/>
              <w:b w:val="0"/>
            </w:rPr>
          </w:pPr>
          <w:hyperlink w:history="true" w:anchor="_bookmark4">
            <w:r>
              <w:rPr>
                <w:w w:val="95"/>
              </w:rPr>
              <w:t>第</w:t>
            </w:r>
            <w:r>
              <w:rPr>
                <w:w w:val="95"/>
              </w:rPr>
              <w:t>四</w:t>
            </w:r>
            <w:r>
              <w:rPr>
                <w:spacing w:val="-10"/>
                <w:w w:val="95"/>
              </w:rPr>
              <w:t>条</w:t>
            </w:r>
            <w:r>
              <w:rPr/>
              <w:tab/>
            </w:r>
            <w:r>
              <w:rPr>
                <w:w w:val="95"/>
              </w:rPr>
              <w:t>明</w:t>
            </w:r>
            <w:r>
              <w:rPr>
                <w:w w:val="95"/>
              </w:rPr>
              <w:t>确</w:t>
            </w:r>
            <w:r>
              <w:rPr>
                <w:w w:val="95"/>
              </w:rPr>
              <w:t>说</w:t>
            </w:r>
            <w:r>
              <w:rPr>
                <w:w w:val="95"/>
              </w:rPr>
              <w:t>明与</w:t>
            </w:r>
            <w:r>
              <w:rPr>
                <w:w w:val="95"/>
              </w:rPr>
              <w:t>如</w:t>
            </w:r>
            <w:r>
              <w:rPr>
                <w:w w:val="95"/>
              </w:rPr>
              <w:t>实</w:t>
            </w:r>
            <w:r>
              <w:rPr>
                <w:w w:val="95"/>
              </w:rPr>
              <w:t>告</w:t>
            </w:r>
            <w:r>
              <w:rPr>
                <w:spacing w:val="-10"/>
                <w:w w:val="95"/>
              </w:rPr>
              <w:t>知</w:t>
            </w:r>
            <w:r>
              <w:rPr>
                <w:rFonts w:ascii="Times New Roman" w:eastAsia="Times New Roman"/>
                <w:b w:val="0"/>
              </w:rPr>
              <w:tab/>
            </w:r>
            <w:r>
              <w:rPr>
                <w:rFonts w:ascii="Times New Roman" w:eastAsia="Times New Roman"/>
                <w:b w:val="0"/>
                <w:spacing w:val="-10"/>
              </w:rPr>
              <w:t>2</w:t>
            </w:r>
          </w:hyperlink>
        </w:p>
        <w:p>
          <w:pPr>
            <w:pStyle w:val="TOC3"/>
            <w:tabs>
              <w:tab w:pos="1588" w:val="left" w:leader="none"/>
              <w:tab w:pos="8408" w:val="right" w:leader="dot"/>
            </w:tabs>
            <w:rPr>
              <w:rFonts w:ascii="Times New Roman" w:eastAsia="Times New Roman"/>
              <w:b w:val="0"/>
            </w:rPr>
          </w:pPr>
          <w:hyperlink w:history="true" w:anchor="_bookmark5">
            <w:r>
              <w:rPr>
                <w:w w:val="95"/>
              </w:rPr>
              <w:t>第</w:t>
            </w:r>
            <w:r>
              <w:rPr>
                <w:w w:val="95"/>
              </w:rPr>
              <w:t>五</w:t>
            </w:r>
            <w:r>
              <w:rPr>
                <w:spacing w:val="-10"/>
                <w:w w:val="95"/>
              </w:rPr>
              <w:t>条</w:t>
            </w:r>
            <w:r>
              <w:rPr/>
              <w:tab/>
            </w:r>
            <w:r>
              <w:rPr>
                <w:w w:val="95"/>
              </w:rPr>
              <w:t>本</w:t>
            </w:r>
            <w:r>
              <w:rPr>
                <w:w w:val="95"/>
              </w:rPr>
              <w:t>公</w:t>
            </w:r>
            <w:r>
              <w:rPr>
                <w:w w:val="95"/>
              </w:rPr>
              <w:t>司</w:t>
            </w:r>
            <w:r>
              <w:rPr>
                <w:w w:val="95"/>
              </w:rPr>
              <w:t>合</w:t>
            </w:r>
            <w:r>
              <w:rPr>
                <w:w w:val="95"/>
              </w:rPr>
              <w:t>同</w:t>
            </w:r>
            <w:r>
              <w:rPr>
                <w:w w:val="95"/>
              </w:rPr>
              <w:t>解</w:t>
            </w:r>
            <w:r>
              <w:rPr>
                <w:w w:val="95"/>
              </w:rPr>
              <w:t>除</w:t>
            </w:r>
            <w:r>
              <w:rPr>
                <w:w w:val="95"/>
              </w:rPr>
              <w:t>权</w:t>
            </w:r>
            <w:r>
              <w:rPr>
                <w:w w:val="95"/>
              </w:rPr>
              <w:t>的</w:t>
            </w:r>
            <w:r>
              <w:rPr>
                <w:w w:val="95"/>
              </w:rPr>
              <w:t>限</w:t>
            </w:r>
            <w:r>
              <w:rPr>
                <w:spacing w:val="-10"/>
                <w:w w:val="95"/>
              </w:rPr>
              <w:t>制</w:t>
            </w:r>
            <w:r>
              <w:rPr>
                <w:rFonts w:ascii="Times New Roman" w:eastAsia="Times New Roman"/>
                <w:b w:val="0"/>
              </w:rPr>
              <w:tab/>
            </w:r>
            <w:r>
              <w:rPr>
                <w:rFonts w:ascii="Times New Roman" w:eastAsia="Times New Roman"/>
                <w:b w:val="0"/>
                <w:spacing w:val="-10"/>
              </w:rPr>
              <w:t>2</w:t>
            </w:r>
          </w:hyperlink>
        </w:p>
        <w:p>
          <w:pPr>
            <w:pStyle w:val="TOC1"/>
            <w:tabs>
              <w:tab w:pos="8415" w:val="right" w:leader="dot"/>
            </w:tabs>
            <w:rPr>
              <w:rFonts w:ascii="Times New Roman" w:eastAsia="Times New Roman"/>
              <w:b w:val="0"/>
            </w:rPr>
          </w:pPr>
          <w:hyperlink w:history="true" w:anchor="_bookmark6">
            <w:r>
              <w:rPr/>
              <w:t>第</w:t>
            </w:r>
            <w:r>
              <w:rPr/>
              <w:t>二</w:t>
            </w:r>
            <w:r>
              <w:rPr/>
              <w:t>部</w:t>
            </w:r>
            <w:r>
              <w:rPr/>
              <w:t>分</w:t>
            </w:r>
            <w:r>
              <w:rPr>
                <w:spacing w:val="-7"/>
              </w:rPr>
              <w:t> </w:t>
            </w:r>
            <w:r>
              <w:rPr/>
              <w:t>保</w:t>
            </w:r>
            <w:r>
              <w:rPr/>
              <w:t>障</w:t>
            </w:r>
            <w:r>
              <w:rPr/>
              <w:t>利</w:t>
            </w:r>
            <w:r>
              <w:rPr/>
              <w:t>益条</w:t>
            </w:r>
            <w:r>
              <w:rPr>
                <w:spacing w:val="-10"/>
              </w:rPr>
              <w:t>款</w:t>
            </w:r>
            <w:r>
              <w:rPr>
                <w:rFonts w:ascii="Times New Roman" w:eastAsia="Times New Roman"/>
                <w:b w:val="0"/>
              </w:rPr>
              <w:tab/>
            </w:r>
            <w:r>
              <w:rPr>
                <w:rFonts w:ascii="Times New Roman" w:eastAsia="Times New Roman"/>
                <w:b w:val="0"/>
                <w:spacing w:val="-10"/>
              </w:rPr>
              <w:t>2</w:t>
            </w:r>
          </w:hyperlink>
        </w:p>
        <w:p>
          <w:pPr>
            <w:pStyle w:val="TOC3"/>
            <w:tabs>
              <w:tab w:pos="1588" w:val="left" w:leader="none"/>
              <w:tab w:pos="8408" w:val="right" w:leader="dot"/>
            </w:tabs>
            <w:rPr>
              <w:rFonts w:ascii="Times New Roman" w:eastAsia="Times New Roman"/>
              <w:b w:val="0"/>
            </w:rPr>
          </w:pPr>
          <w:hyperlink w:history="true" w:anchor="_bookmark7">
            <w:r>
              <w:rPr>
                <w:w w:val="95"/>
              </w:rPr>
              <w:t>第</w:t>
            </w:r>
            <w:r>
              <w:rPr>
                <w:w w:val="95"/>
              </w:rPr>
              <w:t>六</w:t>
            </w:r>
            <w:r>
              <w:rPr>
                <w:spacing w:val="-10"/>
                <w:w w:val="95"/>
              </w:rPr>
              <w:t>条</w:t>
            </w:r>
            <w:r>
              <w:rPr/>
              <w:tab/>
            </w:r>
            <w:r>
              <w:rPr>
                <w:w w:val="95"/>
              </w:rPr>
              <w:t>投</w:t>
            </w:r>
            <w:r>
              <w:rPr>
                <w:w w:val="95"/>
              </w:rPr>
              <w:t>保</w:t>
            </w:r>
            <w:r>
              <w:rPr>
                <w:w w:val="95"/>
              </w:rPr>
              <w:t>范</w:t>
            </w:r>
            <w:r>
              <w:rPr>
                <w:spacing w:val="-10"/>
                <w:w w:val="95"/>
              </w:rPr>
              <w:t>围</w:t>
            </w:r>
            <w:r>
              <w:rPr>
                <w:rFonts w:ascii="Times New Roman" w:eastAsia="Times New Roman"/>
                <w:b w:val="0"/>
              </w:rPr>
              <w:tab/>
            </w:r>
            <w:r>
              <w:rPr>
                <w:rFonts w:ascii="Times New Roman" w:eastAsia="Times New Roman"/>
                <w:b w:val="0"/>
                <w:spacing w:val="-10"/>
              </w:rPr>
              <w:t>2</w:t>
            </w:r>
          </w:hyperlink>
        </w:p>
        <w:p>
          <w:pPr>
            <w:pStyle w:val="TOC3"/>
            <w:tabs>
              <w:tab w:pos="1588" w:val="left" w:leader="none"/>
              <w:tab w:pos="8408" w:val="right" w:leader="dot"/>
            </w:tabs>
            <w:rPr>
              <w:rFonts w:ascii="Times New Roman" w:eastAsia="Times New Roman"/>
              <w:b w:val="0"/>
            </w:rPr>
          </w:pPr>
          <w:hyperlink w:history="true" w:anchor="_bookmark8">
            <w:r>
              <w:rPr>
                <w:w w:val="95"/>
              </w:rPr>
              <w:t>第</w:t>
            </w:r>
            <w:r>
              <w:rPr>
                <w:w w:val="95"/>
              </w:rPr>
              <w:t>七</w:t>
            </w:r>
            <w:r>
              <w:rPr>
                <w:spacing w:val="-10"/>
                <w:w w:val="95"/>
              </w:rPr>
              <w:t>条</w:t>
            </w:r>
            <w:r>
              <w:rPr/>
              <w:tab/>
            </w:r>
            <w:r>
              <w:rPr>
                <w:w w:val="95"/>
              </w:rPr>
              <w:t>保</w:t>
            </w:r>
            <w:r>
              <w:rPr>
                <w:w w:val="95"/>
              </w:rPr>
              <w:t>险</w:t>
            </w:r>
            <w:r>
              <w:rPr>
                <w:w w:val="95"/>
              </w:rPr>
              <w:t>责</w:t>
            </w:r>
            <w:r>
              <w:rPr>
                <w:spacing w:val="-10"/>
                <w:w w:val="95"/>
              </w:rPr>
              <w:t>任</w:t>
            </w:r>
            <w:r>
              <w:rPr>
                <w:rFonts w:ascii="Times New Roman" w:eastAsia="Times New Roman"/>
                <w:b w:val="0"/>
              </w:rPr>
              <w:tab/>
            </w:r>
            <w:r>
              <w:rPr>
                <w:rFonts w:ascii="Times New Roman" w:eastAsia="Times New Roman"/>
                <w:b w:val="0"/>
                <w:spacing w:val="-10"/>
              </w:rPr>
              <w:t>3</w:t>
            </w:r>
          </w:hyperlink>
        </w:p>
        <w:p>
          <w:pPr>
            <w:pStyle w:val="TOC3"/>
            <w:tabs>
              <w:tab w:pos="1588" w:val="left" w:leader="none"/>
              <w:tab w:pos="8408" w:val="right" w:leader="dot"/>
            </w:tabs>
            <w:rPr>
              <w:rFonts w:ascii="Times New Roman" w:eastAsia="Times New Roman"/>
              <w:b w:val="0"/>
            </w:rPr>
          </w:pPr>
          <w:hyperlink w:history="true" w:anchor="_bookmark9">
            <w:r>
              <w:rPr>
                <w:w w:val="95"/>
              </w:rPr>
              <w:t>第</w:t>
            </w:r>
            <w:r>
              <w:rPr>
                <w:w w:val="95"/>
              </w:rPr>
              <w:t>八</w:t>
            </w:r>
            <w:r>
              <w:rPr>
                <w:spacing w:val="-10"/>
                <w:w w:val="95"/>
              </w:rPr>
              <w:t>条</w:t>
            </w:r>
            <w:r>
              <w:rPr/>
              <w:tab/>
            </w:r>
            <w:r>
              <w:rPr>
                <w:rFonts w:ascii="黑体" w:eastAsia="黑体" w:hint="eastAsia"/>
                <w:w w:val="95"/>
              </w:rPr>
              <w:t>责</w:t>
            </w:r>
            <w:r>
              <w:rPr>
                <w:rFonts w:ascii="黑体" w:eastAsia="黑体" w:hint="eastAsia"/>
                <w:w w:val="95"/>
              </w:rPr>
              <w:t>任</w:t>
            </w:r>
            <w:r>
              <w:rPr>
                <w:rFonts w:ascii="黑体" w:eastAsia="黑体" w:hint="eastAsia"/>
                <w:w w:val="95"/>
              </w:rPr>
              <w:t>免</w:t>
            </w:r>
            <w:r>
              <w:rPr>
                <w:rFonts w:ascii="黑体" w:eastAsia="黑体" w:hint="eastAsia"/>
                <w:spacing w:val="-10"/>
                <w:w w:val="95"/>
              </w:rPr>
              <w:t>除</w:t>
            </w:r>
            <w:r>
              <w:rPr>
                <w:rFonts w:ascii="Times New Roman" w:eastAsia="Times New Roman"/>
                <w:b w:val="0"/>
              </w:rPr>
              <w:tab/>
            </w:r>
            <w:r>
              <w:rPr>
                <w:rFonts w:ascii="Times New Roman" w:eastAsia="Times New Roman"/>
                <w:b w:val="0"/>
                <w:spacing w:val="-10"/>
              </w:rPr>
              <w:t>4</w:t>
            </w:r>
          </w:hyperlink>
        </w:p>
        <w:p>
          <w:pPr>
            <w:pStyle w:val="TOC3"/>
            <w:tabs>
              <w:tab w:pos="1588" w:val="left" w:leader="none"/>
              <w:tab w:pos="8408" w:val="right" w:leader="dot"/>
            </w:tabs>
            <w:rPr>
              <w:rFonts w:ascii="Times New Roman" w:eastAsia="Times New Roman"/>
              <w:b w:val="0"/>
            </w:rPr>
          </w:pPr>
          <w:hyperlink w:history="true" w:anchor="_bookmark10">
            <w:r>
              <w:rPr>
                <w:w w:val="95"/>
              </w:rPr>
              <w:t>第</w:t>
            </w:r>
            <w:r>
              <w:rPr>
                <w:w w:val="95"/>
              </w:rPr>
              <w:t>九</w:t>
            </w:r>
            <w:r>
              <w:rPr>
                <w:spacing w:val="-10"/>
                <w:w w:val="95"/>
              </w:rPr>
              <w:t>条</w:t>
            </w:r>
            <w:r>
              <w:rPr/>
              <w:tab/>
            </w:r>
            <w:r>
              <w:rPr>
                <w:rFonts w:ascii="黑体" w:eastAsia="黑体" w:hint="eastAsia"/>
                <w:w w:val="95"/>
              </w:rPr>
              <w:t>其</w:t>
            </w:r>
            <w:r>
              <w:rPr>
                <w:rFonts w:ascii="黑体" w:eastAsia="黑体" w:hint="eastAsia"/>
                <w:w w:val="95"/>
              </w:rPr>
              <w:t>他</w:t>
            </w:r>
            <w:r>
              <w:rPr>
                <w:rFonts w:ascii="黑体" w:eastAsia="黑体" w:hint="eastAsia"/>
                <w:w w:val="95"/>
              </w:rPr>
              <w:t>责</w:t>
            </w:r>
            <w:r>
              <w:rPr>
                <w:rFonts w:ascii="黑体" w:eastAsia="黑体" w:hint="eastAsia"/>
                <w:w w:val="95"/>
              </w:rPr>
              <w:t>任免</w:t>
            </w:r>
            <w:r>
              <w:rPr>
                <w:rFonts w:ascii="黑体" w:eastAsia="黑体" w:hint="eastAsia"/>
                <w:spacing w:val="-10"/>
                <w:w w:val="95"/>
              </w:rPr>
              <w:t>除</w:t>
            </w:r>
            <w:r>
              <w:rPr>
                <w:rFonts w:ascii="Times New Roman" w:eastAsia="Times New Roman"/>
                <w:b w:val="0"/>
              </w:rPr>
              <w:tab/>
            </w:r>
            <w:r>
              <w:rPr>
                <w:rFonts w:ascii="Times New Roman" w:eastAsia="Times New Roman"/>
                <w:b w:val="0"/>
                <w:spacing w:val="-10"/>
              </w:rPr>
              <w:t>5</w:t>
            </w:r>
          </w:hyperlink>
        </w:p>
        <w:p>
          <w:pPr>
            <w:pStyle w:val="TOC3"/>
            <w:tabs>
              <w:tab w:pos="1588" w:val="left" w:leader="none"/>
              <w:tab w:pos="8408" w:val="right" w:leader="dot"/>
            </w:tabs>
            <w:rPr>
              <w:rFonts w:ascii="Times New Roman" w:eastAsia="Times New Roman"/>
              <w:b w:val="0"/>
            </w:rPr>
          </w:pPr>
          <w:hyperlink w:history="true" w:anchor="_bookmark11">
            <w:r>
              <w:rPr>
                <w:w w:val="95"/>
              </w:rPr>
              <w:t>第</w:t>
            </w:r>
            <w:r>
              <w:rPr>
                <w:w w:val="95"/>
              </w:rPr>
              <w:t>十</w:t>
            </w:r>
            <w:r>
              <w:rPr>
                <w:spacing w:val="-10"/>
                <w:w w:val="95"/>
              </w:rPr>
              <w:t>条</w:t>
            </w:r>
            <w:r>
              <w:rPr/>
              <w:tab/>
            </w:r>
            <w:r>
              <w:rPr>
                <w:w w:val="95"/>
              </w:rPr>
              <w:t>保</w:t>
            </w:r>
            <w:r>
              <w:rPr>
                <w:w w:val="95"/>
              </w:rPr>
              <w:t>险</w:t>
            </w:r>
            <w:r>
              <w:rPr>
                <w:w w:val="95"/>
              </w:rPr>
              <w:t>期</w:t>
            </w:r>
            <w:r>
              <w:rPr>
                <w:spacing w:val="-10"/>
                <w:w w:val="95"/>
              </w:rPr>
              <w:t>间</w:t>
            </w:r>
            <w:r>
              <w:rPr>
                <w:rFonts w:ascii="Times New Roman" w:eastAsia="Times New Roman"/>
                <w:b w:val="0"/>
              </w:rPr>
              <w:tab/>
            </w:r>
            <w:r>
              <w:rPr>
                <w:rFonts w:ascii="Times New Roman" w:eastAsia="Times New Roman"/>
                <w:b w:val="0"/>
                <w:spacing w:val="-10"/>
              </w:rPr>
              <w:t>5</w:t>
            </w:r>
          </w:hyperlink>
        </w:p>
        <w:p>
          <w:pPr>
            <w:pStyle w:val="TOC3"/>
            <w:tabs>
              <w:tab w:pos="8408" w:val="right" w:leader="dot"/>
            </w:tabs>
            <w:rPr>
              <w:rFonts w:ascii="Times New Roman" w:eastAsia="Times New Roman"/>
              <w:b w:val="0"/>
            </w:rPr>
          </w:pPr>
          <w:hyperlink w:history="true" w:anchor="_bookmark12">
            <w:r>
              <w:rPr/>
              <w:t>第</w:t>
            </w:r>
            <w:r>
              <w:rPr/>
              <w:t>十</w:t>
            </w:r>
            <w:r>
              <w:rPr/>
              <w:t>一</w:t>
            </w:r>
            <w:r>
              <w:rPr/>
              <w:t>条</w:t>
            </w:r>
            <w:r>
              <w:rPr>
                <w:spacing w:val="89"/>
              </w:rPr>
              <w:t> </w:t>
            </w:r>
            <w:r>
              <w:rPr/>
              <w:t>基</w:t>
            </w:r>
            <w:r>
              <w:rPr/>
              <w:t>本</w:t>
            </w:r>
            <w:r>
              <w:rPr/>
              <w:t>保</w:t>
            </w:r>
            <w:r>
              <w:rPr/>
              <w:t>险</w:t>
            </w:r>
            <w:r>
              <w:rPr/>
              <w:t>金</w:t>
            </w:r>
            <w:r>
              <w:rPr/>
              <w:t>额</w:t>
            </w:r>
            <w:r>
              <w:rPr/>
              <w:t>和</w:t>
            </w:r>
            <w:r>
              <w:rPr/>
              <w:t>年</w:t>
            </w:r>
            <w:r>
              <w:rPr/>
              <w:t>度</w:t>
            </w:r>
            <w:r>
              <w:rPr/>
              <w:t>有</w:t>
            </w:r>
            <w:r>
              <w:rPr/>
              <w:t>效</w:t>
            </w:r>
            <w:r>
              <w:rPr/>
              <w:t>保</w:t>
            </w:r>
            <w:r>
              <w:rPr/>
              <w:t>险</w:t>
            </w:r>
            <w:r>
              <w:rPr/>
              <w:t>金</w:t>
            </w:r>
            <w:r>
              <w:rPr>
                <w:spacing w:val="-10"/>
              </w:rPr>
              <w:t>额</w:t>
            </w:r>
            <w:r>
              <w:rPr>
                <w:rFonts w:ascii="Times New Roman" w:eastAsia="Times New Roman"/>
                <w:b w:val="0"/>
              </w:rPr>
              <w:tab/>
            </w:r>
            <w:r>
              <w:rPr>
                <w:rFonts w:ascii="Times New Roman" w:eastAsia="Times New Roman"/>
                <w:b w:val="0"/>
                <w:spacing w:val="-10"/>
              </w:rPr>
              <w:t>5</w:t>
            </w:r>
          </w:hyperlink>
        </w:p>
        <w:p>
          <w:pPr>
            <w:pStyle w:val="TOC3"/>
            <w:tabs>
              <w:tab w:pos="8408" w:val="right" w:leader="dot"/>
            </w:tabs>
            <w:rPr>
              <w:rFonts w:ascii="Times New Roman" w:eastAsia="Times New Roman"/>
              <w:b w:val="0"/>
            </w:rPr>
          </w:pPr>
          <w:hyperlink w:history="true" w:anchor="_bookmark13">
            <w:r>
              <w:rPr/>
              <w:t>第</w:t>
            </w:r>
            <w:r>
              <w:rPr/>
              <w:t>十</w:t>
            </w:r>
            <w:r>
              <w:rPr/>
              <w:t>二</w:t>
            </w:r>
            <w:r>
              <w:rPr/>
              <w:t>条</w:t>
            </w:r>
            <w:r>
              <w:rPr>
                <w:spacing w:val="96"/>
              </w:rPr>
              <w:t> </w:t>
            </w:r>
            <w:r>
              <w:rPr/>
              <w:t>保</w:t>
            </w:r>
            <w:r>
              <w:rPr/>
              <w:t>险</w:t>
            </w:r>
            <w:r>
              <w:rPr>
                <w:spacing w:val="-10"/>
              </w:rPr>
              <w:t>费</w:t>
            </w:r>
            <w:r>
              <w:rPr>
                <w:rFonts w:ascii="Times New Roman" w:eastAsia="Times New Roman"/>
                <w:b w:val="0"/>
              </w:rPr>
              <w:tab/>
            </w:r>
            <w:r>
              <w:rPr>
                <w:rFonts w:ascii="Times New Roman" w:eastAsia="Times New Roman"/>
                <w:b w:val="0"/>
                <w:spacing w:val="-10"/>
              </w:rPr>
              <w:t>5</w:t>
            </w:r>
          </w:hyperlink>
        </w:p>
        <w:p>
          <w:pPr>
            <w:pStyle w:val="TOC3"/>
            <w:tabs>
              <w:tab w:pos="8408" w:val="right" w:leader="dot"/>
            </w:tabs>
            <w:rPr>
              <w:rFonts w:ascii="Times New Roman" w:eastAsia="Times New Roman"/>
              <w:b w:val="0"/>
            </w:rPr>
          </w:pPr>
          <w:hyperlink w:history="true" w:anchor="_bookmark14">
            <w:r>
              <w:rPr/>
              <w:t>第</w:t>
            </w:r>
            <w:r>
              <w:rPr/>
              <w:t>十</w:t>
            </w:r>
            <w:r>
              <w:rPr/>
              <w:t>三</w:t>
            </w:r>
            <w:r>
              <w:rPr/>
              <w:t>条</w:t>
            </w:r>
            <w:r>
              <w:rPr>
                <w:spacing w:val="96"/>
              </w:rPr>
              <w:t> </w:t>
            </w:r>
            <w:r>
              <w:rPr/>
              <w:t>宽</w:t>
            </w:r>
            <w:r>
              <w:rPr/>
              <w:t>限</w:t>
            </w:r>
            <w:r>
              <w:rPr>
                <w:spacing w:val="-10"/>
              </w:rPr>
              <w:t>期</w:t>
            </w:r>
            <w:r>
              <w:rPr>
                <w:rFonts w:ascii="Times New Roman" w:eastAsia="Times New Roman"/>
                <w:b w:val="0"/>
              </w:rPr>
              <w:tab/>
            </w:r>
            <w:r>
              <w:rPr>
                <w:rFonts w:ascii="Times New Roman" w:eastAsia="Times New Roman"/>
                <w:b w:val="0"/>
                <w:spacing w:val="-10"/>
              </w:rPr>
              <w:t>5</w:t>
            </w:r>
          </w:hyperlink>
        </w:p>
        <w:p>
          <w:pPr>
            <w:pStyle w:val="TOC1"/>
            <w:tabs>
              <w:tab w:pos="8415" w:val="right" w:leader="dot"/>
            </w:tabs>
            <w:rPr>
              <w:rFonts w:ascii="Times New Roman" w:eastAsia="Times New Roman"/>
              <w:b w:val="0"/>
            </w:rPr>
          </w:pPr>
          <w:hyperlink w:history="true" w:anchor="_bookmark15">
            <w:r>
              <w:rPr/>
              <w:t>第</w:t>
            </w:r>
            <w:r>
              <w:rPr/>
              <w:t>三</w:t>
            </w:r>
            <w:r>
              <w:rPr/>
              <w:t>部</w:t>
            </w:r>
            <w:r>
              <w:rPr/>
              <w:t>分</w:t>
            </w:r>
            <w:r>
              <w:rPr>
                <w:spacing w:val="-7"/>
              </w:rPr>
              <w:t> </w:t>
            </w:r>
            <w:r>
              <w:rPr/>
              <w:t>保</w:t>
            </w:r>
            <w:r>
              <w:rPr/>
              <w:t>险</w:t>
            </w:r>
            <w:r>
              <w:rPr/>
              <w:t>服</w:t>
            </w:r>
            <w:r>
              <w:rPr/>
              <w:t>务条</w:t>
            </w:r>
            <w:r>
              <w:rPr>
                <w:spacing w:val="-10"/>
              </w:rPr>
              <w:t>款</w:t>
            </w:r>
            <w:r>
              <w:rPr>
                <w:rFonts w:ascii="Times New Roman" w:eastAsia="Times New Roman"/>
                <w:b w:val="0"/>
              </w:rPr>
              <w:tab/>
            </w:r>
            <w:r>
              <w:rPr>
                <w:rFonts w:ascii="Times New Roman" w:eastAsia="Times New Roman"/>
                <w:b w:val="0"/>
                <w:spacing w:val="-10"/>
              </w:rPr>
              <w:t>5</w:t>
            </w:r>
          </w:hyperlink>
        </w:p>
        <w:p>
          <w:pPr>
            <w:pStyle w:val="TOC3"/>
            <w:tabs>
              <w:tab w:pos="8408" w:val="right" w:leader="dot"/>
            </w:tabs>
            <w:rPr>
              <w:rFonts w:ascii="Times New Roman" w:eastAsia="Times New Roman"/>
              <w:b w:val="0"/>
            </w:rPr>
          </w:pPr>
          <w:hyperlink w:history="true" w:anchor="_bookmark16">
            <w:r>
              <w:rPr/>
              <w:t>第</w:t>
            </w:r>
            <w:r>
              <w:rPr/>
              <w:t>十</w:t>
            </w:r>
            <w:r>
              <w:rPr/>
              <w:t>四</w:t>
            </w:r>
            <w:r>
              <w:rPr/>
              <w:t>条</w:t>
            </w:r>
            <w:r>
              <w:rPr>
                <w:spacing w:val="93"/>
              </w:rPr>
              <w:t> </w:t>
            </w:r>
            <w:r>
              <w:rPr/>
              <w:t>保</w:t>
            </w:r>
            <w:r>
              <w:rPr/>
              <w:t>险</w:t>
            </w:r>
            <w:r>
              <w:rPr/>
              <w:t>单</w:t>
            </w:r>
            <w:r>
              <w:rPr/>
              <w:t>贷</w:t>
            </w:r>
            <w:r>
              <w:rPr>
                <w:spacing w:val="-10"/>
              </w:rPr>
              <w:t>款</w:t>
            </w:r>
            <w:r>
              <w:rPr>
                <w:rFonts w:ascii="Times New Roman" w:eastAsia="Times New Roman"/>
                <w:b w:val="0"/>
              </w:rPr>
              <w:tab/>
            </w:r>
            <w:r>
              <w:rPr>
                <w:rFonts w:ascii="Times New Roman" w:eastAsia="Times New Roman"/>
                <w:b w:val="0"/>
                <w:spacing w:val="-10"/>
              </w:rPr>
              <w:t>5</w:t>
            </w:r>
          </w:hyperlink>
        </w:p>
        <w:p>
          <w:pPr>
            <w:pStyle w:val="TOC3"/>
            <w:tabs>
              <w:tab w:pos="8408" w:val="right" w:leader="dot"/>
            </w:tabs>
            <w:spacing w:before="42"/>
            <w:rPr>
              <w:rFonts w:ascii="Times New Roman" w:eastAsia="Times New Roman"/>
              <w:b w:val="0"/>
            </w:rPr>
          </w:pPr>
          <w:hyperlink w:history="true" w:anchor="_bookmark17">
            <w:r>
              <w:rPr/>
              <w:t>第</w:t>
            </w:r>
            <w:r>
              <w:rPr/>
              <w:t>十</w:t>
            </w:r>
            <w:r>
              <w:rPr/>
              <w:t>五</w:t>
            </w:r>
            <w:r>
              <w:rPr/>
              <w:t>条</w:t>
            </w:r>
            <w:r>
              <w:rPr>
                <w:spacing w:val="92"/>
              </w:rPr>
              <w:t> </w:t>
            </w:r>
            <w:r>
              <w:rPr/>
              <w:t>减</w:t>
            </w:r>
            <w:r>
              <w:rPr/>
              <w:t>少</w:t>
            </w:r>
            <w:r>
              <w:rPr/>
              <w:t>基</w:t>
            </w:r>
            <w:r>
              <w:rPr/>
              <w:t>本</w:t>
            </w:r>
            <w:r>
              <w:rPr/>
              <w:t>保</w:t>
            </w:r>
            <w:r>
              <w:rPr/>
              <w:t>险</w:t>
            </w:r>
            <w:r>
              <w:rPr/>
              <w:t>金</w:t>
            </w:r>
            <w:r>
              <w:rPr>
                <w:spacing w:val="-10"/>
              </w:rPr>
              <w:t>额</w:t>
            </w:r>
            <w:r>
              <w:rPr>
                <w:rFonts w:ascii="Times New Roman" w:eastAsia="Times New Roman"/>
                <w:b w:val="0"/>
              </w:rPr>
              <w:tab/>
            </w:r>
            <w:r>
              <w:rPr>
                <w:rFonts w:ascii="Times New Roman" w:eastAsia="Times New Roman"/>
                <w:b w:val="0"/>
                <w:spacing w:val="-10"/>
              </w:rPr>
              <w:t>6</w:t>
            </w:r>
          </w:hyperlink>
        </w:p>
        <w:p>
          <w:pPr>
            <w:pStyle w:val="TOC3"/>
            <w:tabs>
              <w:tab w:pos="8408" w:val="right" w:leader="dot"/>
            </w:tabs>
            <w:rPr>
              <w:rFonts w:ascii="Times New Roman" w:eastAsia="Times New Roman"/>
              <w:b w:val="0"/>
            </w:rPr>
          </w:pPr>
          <w:hyperlink w:history="true" w:anchor="_bookmark18">
            <w:r>
              <w:rPr/>
              <w:t>第</w:t>
            </w:r>
            <w:r>
              <w:rPr/>
              <w:t>十</w:t>
            </w:r>
            <w:r>
              <w:rPr/>
              <w:t>六</w:t>
            </w:r>
            <w:r>
              <w:rPr/>
              <w:t>条</w:t>
            </w:r>
            <w:r>
              <w:rPr>
                <w:spacing w:val="93"/>
              </w:rPr>
              <w:t> </w:t>
            </w:r>
            <w:r>
              <w:rPr/>
              <w:t>合</w:t>
            </w:r>
            <w:r>
              <w:rPr/>
              <w:t>同</w:t>
            </w:r>
            <w:r>
              <w:rPr/>
              <w:t>内</w:t>
            </w:r>
            <w:r>
              <w:rPr/>
              <w:t>容变</w:t>
            </w:r>
            <w:r>
              <w:rPr>
                <w:spacing w:val="-10"/>
              </w:rPr>
              <w:t>更</w:t>
            </w:r>
            <w:r>
              <w:rPr>
                <w:rFonts w:ascii="Times New Roman" w:eastAsia="Times New Roman"/>
                <w:b w:val="0"/>
              </w:rPr>
              <w:tab/>
            </w:r>
            <w:r>
              <w:rPr>
                <w:rFonts w:ascii="Times New Roman" w:eastAsia="Times New Roman"/>
                <w:b w:val="0"/>
                <w:spacing w:val="-10"/>
              </w:rPr>
              <w:t>6</w:t>
            </w:r>
          </w:hyperlink>
        </w:p>
        <w:p>
          <w:pPr>
            <w:pStyle w:val="TOC3"/>
            <w:tabs>
              <w:tab w:pos="8408" w:val="right" w:leader="dot"/>
            </w:tabs>
            <w:rPr>
              <w:rFonts w:ascii="Times New Roman" w:eastAsia="Times New Roman"/>
              <w:b w:val="0"/>
            </w:rPr>
          </w:pPr>
          <w:hyperlink w:history="true" w:anchor="_bookmark19">
            <w:r>
              <w:rPr/>
              <w:t>第</w:t>
            </w:r>
            <w:r>
              <w:rPr/>
              <w:t>十</w:t>
            </w:r>
            <w:r>
              <w:rPr/>
              <w:t>七</w:t>
            </w:r>
            <w:r>
              <w:rPr/>
              <w:t>条</w:t>
            </w:r>
            <w:r>
              <w:rPr>
                <w:spacing w:val="92"/>
              </w:rPr>
              <w:t> </w:t>
            </w:r>
            <w:r>
              <w:rPr/>
              <w:t>受</w:t>
            </w:r>
            <w:r>
              <w:rPr/>
              <w:t>益</w:t>
            </w:r>
            <w:r>
              <w:rPr/>
              <w:t>人</w:t>
            </w:r>
            <w:r>
              <w:rPr/>
              <w:t>指</w:t>
            </w:r>
            <w:r>
              <w:rPr/>
              <w:t>定</w:t>
            </w:r>
            <w:r>
              <w:rPr/>
              <w:t>和</w:t>
            </w:r>
            <w:r>
              <w:rPr/>
              <w:t>变</w:t>
            </w:r>
            <w:r>
              <w:rPr>
                <w:spacing w:val="-10"/>
              </w:rPr>
              <w:t>更</w:t>
            </w:r>
            <w:r>
              <w:rPr>
                <w:rFonts w:ascii="Times New Roman" w:eastAsia="Times New Roman"/>
                <w:b w:val="0"/>
              </w:rPr>
              <w:tab/>
            </w:r>
            <w:r>
              <w:rPr>
                <w:rFonts w:ascii="Times New Roman" w:eastAsia="Times New Roman"/>
                <w:b w:val="0"/>
                <w:spacing w:val="-10"/>
              </w:rPr>
              <w:t>6</w:t>
            </w:r>
          </w:hyperlink>
        </w:p>
        <w:p>
          <w:pPr>
            <w:pStyle w:val="TOC3"/>
            <w:tabs>
              <w:tab w:pos="8408" w:val="right" w:leader="dot"/>
            </w:tabs>
            <w:rPr>
              <w:rFonts w:ascii="Times New Roman" w:eastAsia="Times New Roman"/>
              <w:b w:val="0"/>
            </w:rPr>
          </w:pPr>
          <w:hyperlink w:history="true" w:anchor="_bookmark20">
            <w:r>
              <w:rPr/>
              <w:t>第</w:t>
            </w:r>
            <w:r>
              <w:rPr/>
              <w:t>十</w:t>
            </w:r>
            <w:r>
              <w:rPr/>
              <w:t>八</w:t>
            </w:r>
            <w:r>
              <w:rPr/>
              <w:t>条</w:t>
            </w:r>
            <w:r>
              <w:rPr>
                <w:spacing w:val="93"/>
              </w:rPr>
              <w:t> </w:t>
            </w:r>
            <w:r>
              <w:rPr/>
              <w:t>联</w:t>
            </w:r>
            <w:r>
              <w:rPr/>
              <w:t>系</w:t>
            </w:r>
            <w:r>
              <w:rPr/>
              <w:t>方</w:t>
            </w:r>
            <w:r>
              <w:rPr/>
              <w:t>式变</w:t>
            </w:r>
            <w:r>
              <w:rPr>
                <w:spacing w:val="-10"/>
              </w:rPr>
              <w:t>更</w:t>
            </w:r>
            <w:r>
              <w:rPr>
                <w:rFonts w:ascii="Times New Roman" w:eastAsia="Times New Roman"/>
                <w:b w:val="0"/>
              </w:rPr>
              <w:tab/>
            </w:r>
            <w:r>
              <w:rPr>
                <w:rFonts w:ascii="Times New Roman" w:eastAsia="Times New Roman"/>
                <w:b w:val="0"/>
                <w:spacing w:val="-10"/>
              </w:rPr>
              <w:t>7</w:t>
            </w:r>
          </w:hyperlink>
        </w:p>
        <w:p>
          <w:pPr>
            <w:pStyle w:val="TOC3"/>
            <w:tabs>
              <w:tab w:pos="8408" w:val="right" w:leader="dot"/>
            </w:tabs>
            <w:rPr>
              <w:rFonts w:ascii="Times New Roman" w:eastAsia="Times New Roman"/>
              <w:b w:val="0"/>
            </w:rPr>
          </w:pPr>
          <w:hyperlink w:history="true" w:anchor="_bookmark21">
            <w:r>
              <w:rPr/>
              <w:t>第</w:t>
            </w:r>
            <w:r>
              <w:rPr/>
              <w:t>十</w:t>
            </w:r>
            <w:r>
              <w:rPr/>
              <w:t>九</w:t>
            </w:r>
            <w:r>
              <w:rPr/>
              <w:t>条</w:t>
            </w:r>
            <w:r>
              <w:rPr>
                <w:spacing w:val="93"/>
              </w:rPr>
              <w:t> </w:t>
            </w:r>
            <w:r>
              <w:rPr/>
              <w:t>年</w:t>
            </w:r>
            <w:r>
              <w:rPr/>
              <w:t>龄</w:t>
            </w:r>
            <w:r>
              <w:rPr/>
              <w:t>性</w:t>
            </w:r>
            <w:r>
              <w:rPr/>
              <w:t>别错</w:t>
            </w:r>
            <w:r>
              <w:rPr>
                <w:spacing w:val="-10"/>
              </w:rPr>
              <w:t>误</w:t>
            </w:r>
            <w:r>
              <w:rPr>
                <w:rFonts w:ascii="Times New Roman" w:eastAsia="Times New Roman"/>
                <w:b w:val="0"/>
              </w:rPr>
              <w:tab/>
            </w:r>
            <w:r>
              <w:rPr>
                <w:rFonts w:ascii="Times New Roman" w:eastAsia="Times New Roman"/>
                <w:b w:val="0"/>
                <w:spacing w:val="-10"/>
              </w:rPr>
              <w:t>7</w:t>
            </w:r>
          </w:hyperlink>
        </w:p>
        <w:p>
          <w:pPr>
            <w:pStyle w:val="TOC3"/>
            <w:tabs>
              <w:tab w:pos="8408" w:val="right" w:leader="dot"/>
            </w:tabs>
            <w:rPr>
              <w:rFonts w:ascii="Times New Roman" w:eastAsia="Times New Roman"/>
              <w:b w:val="0"/>
            </w:rPr>
          </w:pPr>
          <w:hyperlink w:history="true" w:anchor="_bookmark22">
            <w:r>
              <w:rPr/>
              <w:t>第</w:t>
            </w:r>
            <w:r>
              <w:rPr/>
              <w:t>二</w:t>
            </w:r>
            <w:r>
              <w:rPr/>
              <w:t>十</w:t>
            </w:r>
            <w:r>
              <w:rPr/>
              <w:t>条</w:t>
            </w:r>
            <w:r>
              <w:rPr>
                <w:spacing w:val="96"/>
              </w:rPr>
              <w:t> </w:t>
            </w:r>
            <w:r>
              <w:rPr/>
              <w:t>未</w:t>
            </w:r>
            <w:r>
              <w:rPr/>
              <w:t>还</w:t>
            </w:r>
            <w:r>
              <w:rPr/>
              <w:t>款</w:t>
            </w:r>
            <w:r>
              <w:rPr>
                <w:spacing w:val="-10"/>
              </w:rPr>
              <w:t>项</w:t>
            </w:r>
            <w:r>
              <w:rPr>
                <w:rFonts w:ascii="Times New Roman" w:eastAsia="Times New Roman"/>
                <w:b w:val="0"/>
              </w:rPr>
              <w:tab/>
            </w:r>
            <w:r>
              <w:rPr>
                <w:rFonts w:ascii="Times New Roman" w:eastAsia="Times New Roman"/>
                <w:b w:val="0"/>
                <w:spacing w:val="-10"/>
              </w:rPr>
              <w:t>7</w:t>
            </w:r>
          </w:hyperlink>
        </w:p>
        <w:p>
          <w:pPr>
            <w:pStyle w:val="TOC3"/>
            <w:tabs>
              <w:tab w:pos="8408" w:val="right" w:leader="dot"/>
            </w:tabs>
            <w:rPr>
              <w:rFonts w:ascii="Times New Roman" w:eastAsia="Times New Roman"/>
              <w:b w:val="0"/>
            </w:rPr>
          </w:pPr>
          <w:hyperlink w:history="true" w:anchor="_bookmark23">
            <w:r>
              <w:rPr/>
              <w:t>第</w:t>
            </w:r>
            <w:r>
              <w:rPr/>
              <w:t>二</w:t>
            </w:r>
            <w:r>
              <w:rPr/>
              <w:t>十</w:t>
            </w:r>
            <w:r>
              <w:rPr/>
              <w:t>一条</w:t>
            </w:r>
            <w:r>
              <w:rPr>
                <w:spacing w:val="96"/>
              </w:rPr>
              <w:t> </w:t>
            </w:r>
            <w:r>
              <w:rPr/>
              <w:t>合</w:t>
            </w:r>
            <w:r>
              <w:rPr/>
              <w:t>同</w:t>
            </w:r>
            <w:r>
              <w:rPr/>
              <w:t>中</w:t>
            </w:r>
            <w:r>
              <w:rPr/>
              <w:t>止</w:t>
            </w:r>
            <w:r>
              <w:rPr/>
              <w:t>与</w:t>
            </w:r>
            <w:r>
              <w:rPr/>
              <w:t>复</w:t>
            </w:r>
            <w:r>
              <w:rPr>
                <w:spacing w:val="-10"/>
              </w:rPr>
              <w:t>效</w:t>
            </w:r>
            <w:r>
              <w:rPr>
                <w:rFonts w:ascii="Times New Roman" w:eastAsia="Times New Roman"/>
                <w:b w:val="0"/>
              </w:rPr>
              <w:tab/>
            </w:r>
            <w:r>
              <w:rPr>
                <w:rFonts w:ascii="Times New Roman" w:eastAsia="Times New Roman"/>
                <w:b w:val="0"/>
                <w:spacing w:val="-10"/>
              </w:rPr>
              <w:t>7</w:t>
            </w:r>
          </w:hyperlink>
        </w:p>
        <w:p>
          <w:pPr>
            <w:pStyle w:val="TOC3"/>
            <w:tabs>
              <w:tab w:pos="8408" w:val="right" w:leader="dot"/>
            </w:tabs>
            <w:rPr>
              <w:rFonts w:ascii="Times New Roman" w:eastAsia="Times New Roman"/>
              <w:b w:val="0"/>
            </w:rPr>
          </w:pPr>
          <w:hyperlink w:history="true" w:anchor="_bookmark24">
            <w:r>
              <w:rPr/>
              <w:t>第</w:t>
            </w:r>
            <w:r>
              <w:rPr/>
              <w:t>二</w:t>
            </w:r>
            <w:r>
              <w:rPr/>
              <w:t>十</w:t>
            </w:r>
            <w:r>
              <w:rPr/>
              <w:t>二条</w:t>
            </w:r>
            <w:r>
              <w:rPr>
                <w:spacing w:val="100"/>
              </w:rPr>
              <w:t> </w:t>
            </w:r>
            <w:r>
              <w:rPr/>
              <w:t>合</w:t>
            </w:r>
            <w:r>
              <w:rPr/>
              <w:t>同</w:t>
            </w:r>
            <w:r>
              <w:rPr/>
              <w:t>解</w:t>
            </w:r>
            <w:r>
              <w:rPr>
                <w:spacing w:val="-10"/>
              </w:rPr>
              <w:t>除</w:t>
            </w:r>
            <w:r>
              <w:rPr>
                <w:rFonts w:ascii="Times New Roman" w:eastAsia="Times New Roman"/>
                <w:b w:val="0"/>
              </w:rPr>
              <w:tab/>
            </w:r>
            <w:r>
              <w:rPr>
                <w:rFonts w:ascii="Times New Roman" w:eastAsia="Times New Roman"/>
                <w:b w:val="0"/>
                <w:spacing w:val="-10"/>
              </w:rPr>
              <w:t>7</w:t>
            </w:r>
          </w:hyperlink>
        </w:p>
        <w:p>
          <w:pPr>
            <w:pStyle w:val="TOC3"/>
            <w:tabs>
              <w:tab w:pos="8408" w:val="right" w:leader="dot"/>
            </w:tabs>
            <w:rPr>
              <w:rFonts w:ascii="Times New Roman" w:eastAsia="Times New Roman"/>
              <w:b w:val="0"/>
            </w:rPr>
          </w:pPr>
          <w:hyperlink w:history="true" w:anchor="_bookmark25">
            <w:r>
              <w:rPr/>
              <w:t>第</w:t>
            </w:r>
            <w:r>
              <w:rPr/>
              <w:t>二</w:t>
            </w:r>
            <w:r>
              <w:rPr/>
              <w:t>十</w:t>
            </w:r>
            <w:r>
              <w:rPr/>
              <w:t>三条</w:t>
            </w:r>
            <w:r>
              <w:rPr>
                <w:spacing w:val="100"/>
              </w:rPr>
              <w:t> </w:t>
            </w:r>
            <w:r>
              <w:rPr/>
              <w:t>合</w:t>
            </w:r>
            <w:r>
              <w:rPr/>
              <w:t>同</w:t>
            </w:r>
            <w:r>
              <w:rPr/>
              <w:t>终</w:t>
            </w:r>
            <w:r>
              <w:rPr>
                <w:spacing w:val="-10"/>
              </w:rPr>
              <w:t>止</w:t>
            </w:r>
            <w:r>
              <w:rPr>
                <w:rFonts w:ascii="Times New Roman" w:eastAsia="Times New Roman"/>
                <w:b w:val="0"/>
              </w:rPr>
              <w:tab/>
            </w:r>
            <w:r>
              <w:rPr>
                <w:rFonts w:ascii="Times New Roman" w:eastAsia="Times New Roman"/>
                <w:b w:val="0"/>
                <w:spacing w:val="-10"/>
              </w:rPr>
              <w:t>7</w:t>
            </w:r>
          </w:hyperlink>
        </w:p>
        <w:p>
          <w:pPr>
            <w:pStyle w:val="TOC1"/>
            <w:tabs>
              <w:tab w:pos="8415" w:val="right" w:leader="dot"/>
            </w:tabs>
            <w:rPr>
              <w:rFonts w:ascii="Times New Roman" w:eastAsia="Times New Roman"/>
              <w:b w:val="0"/>
            </w:rPr>
          </w:pPr>
          <w:hyperlink w:history="true" w:anchor="_bookmark26">
            <w:r>
              <w:rPr/>
              <w:t>第</w:t>
            </w:r>
            <w:r>
              <w:rPr/>
              <w:t>四</w:t>
            </w:r>
            <w:r>
              <w:rPr/>
              <w:t>部</w:t>
            </w:r>
            <w:r>
              <w:rPr/>
              <w:t>分</w:t>
            </w:r>
            <w:r>
              <w:rPr>
                <w:spacing w:val="-7"/>
              </w:rPr>
              <w:t> </w:t>
            </w:r>
            <w:r>
              <w:rPr/>
              <w:t>保</w:t>
            </w:r>
            <w:r>
              <w:rPr/>
              <w:t>险</w:t>
            </w:r>
            <w:r>
              <w:rPr/>
              <w:t>理</w:t>
            </w:r>
            <w:r>
              <w:rPr/>
              <w:t>赔条</w:t>
            </w:r>
            <w:r>
              <w:rPr>
                <w:spacing w:val="-10"/>
              </w:rPr>
              <w:t>款</w:t>
            </w:r>
            <w:r>
              <w:rPr>
                <w:rFonts w:ascii="Times New Roman" w:eastAsia="Times New Roman"/>
                <w:b w:val="0"/>
              </w:rPr>
              <w:tab/>
            </w:r>
            <w:r>
              <w:rPr>
                <w:rFonts w:ascii="Times New Roman" w:eastAsia="Times New Roman"/>
                <w:b w:val="0"/>
                <w:spacing w:val="-10"/>
              </w:rPr>
              <w:t>8</w:t>
            </w:r>
          </w:hyperlink>
        </w:p>
        <w:p>
          <w:pPr>
            <w:pStyle w:val="TOC3"/>
            <w:tabs>
              <w:tab w:pos="8408" w:val="right" w:leader="dot"/>
            </w:tabs>
            <w:rPr>
              <w:rFonts w:ascii="Times New Roman" w:eastAsia="Times New Roman"/>
              <w:b w:val="0"/>
            </w:rPr>
          </w:pPr>
          <w:hyperlink w:history="true" w:anchor="_bookmark27">
            <w:r>
              <w:rPr/>
              <w:t>第</w:t>
            </w:r>
            <w:r>
              <w:rPr/>
              <w:t>二</w:t>
            </w:r>
            <w:r>
              <w:rPr/>
              <w:t>十</w:t>
            </w:r>
            <w:r>
              <w:rPr/>
              <w:t>四条</w:t>
            </w:r>
            <w:r>
              <w:rPr>
                <w:spacing w:val="96"/>
              </w:rPr>
              <w:t> </w:t>
            </w:r>
            <w:r>
              <w:rPr/>
              <w:t>保</w:t>
            </w:r>
            <w:r>
              <w:rPr/>
              <w:t>险</w:t>
            </w:r>
            <w:r>
              <w:rPr/>
              <w:t>事</w:t>
            </w:r>
            <w:r>
              <w:rPr/>
              <w:t>故通</w:t>
            </w:r>
            <w:r>
              <w:rPr>
                <w:spacing w:val="-10"/>
              </w:rPr>
              <w:t>知</w:t>
            </w:r>
            <w:r>
              <w:rPr>
                <w:rFonts w:ascii="Times New Roman" w:eastAsia="Times New Roman"/>
                <w:b w:val="0"/>
              </w:rPr>
              <w:tab/>
            </w:r>
            <w:r>
              <w:rPr>
                <w:rFonts w:ascii="Times New Roman" w:eastAsia="Times New Roman"/>
                <w:b w:val="0"/>
                <w:spacing w:val="-10"/>
              </w:rPr>
              <w:t>8</w:t>
            </w:r>
          </w:hyperlink>
        </w:p>
        <w:p>
          <w:pPr>
            <w:pStyle w:val="TOC3"/>
            <w:tabs>
              <w:tab w:pos="8408" w:val="right" w:leader="dot"/>
            </w:tabs>
            <w:rPr>
              <w:rFonts w:ascii="Times New Roman" w:eastAsia="Times New Roman"/>
              <w:b w:val="0"/>
            </w:rPr>
          </w:pPr>
          <w:hyperlink w:history="true" w:anchor="_bookmark28">
            <w:r>
              <w:rPr/>
              <w:t>第</w:t>
            </w:r>
            <w:r>
              <w:rPr/>
              <w:t>二</w:t>
            </w:r>
            <w:r>
              <w:rPr/>
              <w:t>十</w:t>
            </w:r>
            <w:r>
              <w:rPr/>
              <w:t>五条</w:t>
            </w:r>
            <w:r>
              <w:rPr>
                <w:spacing w:val="97"/>
              </w:rPr>
              <w:t> </w:t>
            </w:r>
            <w:r>
              <w:rPr/>
              <w:t>保</w:t>
            </w:r>
            <w:r>
              <w:rPr/>
              <w:t>险</w:t>
            </w:r>
            <w:r>
              <w:rPr/>
              <w:t>金</w:t>
            </w:r>
            <w:r>
              <w:rPr/>
              <w:t>申</w:t>
            </w:r>
            <w:r>
              <w:rPr>
                <w:spacing w:val="-10"/>
              </w:rPr>
              <w:t>请</w:t>
            </w:r>
            <w:r>
              <w:rPr>
                <w:rFonts w:ascii="Times New Roman" w:eastAsia="Times New Roman"/>
                <w:b w:val="0"/>
              </w:rPr>
              <w:tab/>
            </w:r>
            <w:r>
              <w:rPr>
                <w:rFonts w:ascii="Times New Roman" w:eastAsia="Times New Roman"/>
                <w:b w:val="0"/>
                <w:spacing w:val="-10"/>
              </w:rPr>
              <w:t>8</w:t>
            </w:r>
          </w:hyperlink>
        </w:p>
        <w:p>
          <w:pPr>
            <w:pStyle w:val="TOC3"/>
            <w:tabs>
              <w:tab w:pos="8408" w:val="right" w:leader="dot"/>
            </w:tabs>
            <w:rPr>
              <w:rFonts w:ascii="Times New Roman" w:eastAsia="Times New Roman"/>
              <w:b w:val="0"/>
            </w:rPr>
          </w:pPr>
          <w:hyperlink w:history="true" w:anchor="_bookmark29">
            <w:r>
              <w:rPr/>
              <w:t>第</w:t>
            </w:r>
            <w:r>
              <w:rPr/>
              <w:t>二</w:t>
            </w:r>
            <w:r>
              <w:rPr/>
              <w:t>十</w:t>
            </w:r>
            <w:r>
              <w:rPr/>
              <w:t>六条</w:t>
            </w:r>
            <w:r>
              <w:rPr>
                <w:spacing w:val="97"/>
              </w:rPr>
              <w:t> </w:t>
            </w:r>
            <w:r>
              <w:rPr/>
              <w:t>保</w:t>
            </w:r>
            <w:r>
              <w:rPr/>
              <w:t>险</w:t>
            </w:r>
            <w:r>
              <w:rPr/>
              <w:t>金</w:t>
            </w:r>
            <w:r>
              <w:rPr/>
              <w:t>给</w:t>
            </w:r>
            <w:r>
              <w:rPr>
                <w:spacing w:val="-10"/>
              </w:rPr>
              <w:t>付</w:t>
            </w:r>
            <w:r>
              <w:rPr>
                <w:rFonts w:ascii="Times New Roman" w:eastAsia="Times New Roman"/>
                <w:b w:val="0"/>
              </w:rPr>
              <w:tab/>
            </w:r>
            <w:r>
              <w:rPr>
                <w:rFonts w:ascii="Times New Roman" w:eastAsia="Times New Roman"/>
                <w:b w:val="0"/>
                <w:spacing w:val="-10"/>
              </w:rPr>
              <w:t>8</w:t>
            </w:r>
          </w:hyperlink>
        </w:p>
        <w:p>
          <w:pPr>
            <w:pStyle w:val="TOC3"/>
            <w:tabs>
              <w:tab w:pos="8408" w:val="right" w:leader="dot"/>
            </w:tabs>
            <w:rPr>
              <w:rFonts w:ascii="Times New Roman" w:eastAsia="Times New Roman"/>
              <w:b w:val="0"/>
            </w:rPr>
          </w:pPr>
          <w:hyperlink w:history="true" w:anchor="_bookmark30">
            <w:r>
              <w:rPr/>
              <w:t>第</w:t>
            </w:r>
            <w:r>
              <w:rPr/>
              <w:t>二</w:t>
            </w:r>
            <w:r>
              <w:rPr/>
              <w:t>十</w:t>
            </w:r>
            <w:r>
              <w:rPr/>
              <w:t>七条</w:t>
            </w:r>
            <w:r>
              <w:rPr>
                <w:spacing w:val="100"/>
              </w:rPr>
              <w:t> </w:t>
            </w:r>
            <w:r>
              <w:rPr/>
              <w:t>诉</w:t>
            </w:r>
            <w:r>
              <w:rPr/>
              <w:t>讼</w:t>
            </w:r>
            <w:r>
              <w:rPr/>
              <w:t>时</w:t>
            </w:r>
            <w:r>
              <w:rPr>
                <w:spacing w:val="-10"/>
              </w:rPr>
              <w:t>效</w:t>
            </w:r>
            <w:r>
              <w:rPr>
                <w:rFonts w:ascii="Times New Roman" w:eastAsia="Times New Roman"/>
                <w:b w:val="0"/>
              </w:rPr>
              <w:tab/>
            </w:r>
            <w:r>
              <w:rPr>
                <w:rFonts w:ascii="Times New Roman" w:eastAsia="Times New Roman"/>
                <w:b w:val="0"/>
                <w:spacing w:val="-10"/>
              </w:rPr>
              <w:t>9</w:t>
            </w:r>
          </w:hyperlink>
        </w:p>
        <w:p>
          <w:pPr>
            <w:pStyle w:val="TOC3"/>
            <w:tabs>
              <w:tab w:pos="8408" w:val="right" w:leader="dot"/>
            </w:tabs>
            <w:rPr>
              <w:rFonts w:ascii="Times New Roman" w:eastAsia="Times New Roman"/>
              <w:b w:val="0"/>
            </w:rPr>
          </w:pPr>
          <w:hyperlink w:history="true" w:anchor="_bookmark31">
            <w:r>
              <w:rPr/>
              <w:t>第</w:t>
            </w:r>
            <w:r>
              <w:rPr/>
              <w:t>二</w:t>
            </w:r>
            <w:r>
              <w:rPr/>
              <w:t>十</w:t>
            </w:r>
            <w:r>
              <w:rPr/>
              <w:t>八条</w:t>
            </w:r>
            <w:r>
              <w:rPr>
                <w:spacing w:val="100"/>
              </w:rPr>
              <w:t> </w:t>
            </w:r>
            <w:r>
              <w:rPr/>
              <w:t>争</w:t>
            </w:r>
            <w:r>
              <w:rPr/>
              <w:t>议</w:t>
            </w:r>
            <w:r>
              <w:rPr/>
              <w:t>处</w:t>
            </w:r>
            <w:r>
              <w:rPr>
                <w:spacing w:val="-10"/>
              </w:rPr>
              <w:t>理</w:t>
            </w:r>
            <w:r>
              <w:rPr>
                <w:rFonts w:ascii="Times New Roman" w:eastAsia="Times New Roman"/>
                <w:b w:val="0"/>
              </w:rPr>
              <w:tab/>
            </w:r>
            <w:r>
              <w:rPr>
                <w:rFonts w:ascii="Times New Roman" w:eastAsia="Times New Roman"/>
                <w:b w:val="0"/>
                <w:spacing w:val="-10"/>
              </w:rPr>
              <w:t>9</w:t>
            </w:r>
          </w:hyperlink>
        </w:p>
        <w:p>
          <w:pPr>
            <w:pStyle w:val="TOC3"/>
            <w:tabs>
              <w:tab w:pos="8408" w:val="right" w:leader="dot"/>
            </w:tabs>
            <w:spacing w:before="42"/>
            <w:rPr>
              <w:rFonts w:ascii="Times New Roman" w:eastAsia="Times New Roman"/>
              <w:b w:val="0"/>
            </w:rPr>
          </w:pPr>
          <w:hyperlink w:history="true" w:anchor="_bookmark32">
            <w:r>
              <w:rPr/>
              <w:t>第</w:t>
            </w:r>
            <w:r>
              <w:rPr/>
              <w:t>二</w:t>
            </w:r>
            <w:r>
              <w:rPr/>
              <w:t>十</w:t>
            </w:r>
            <w:r>
              <w:rPr/>
              <w:t>九条</w:t>
            </w:r>
            <w:r>
              <w:rPr>
                <w:spacing w:val="100"/>
              </w:rPr>
              <w:t> </w:t>
            </w:r>
            <w:r>
              <w:rPr/>
              <w:t>司</w:t>
            </w:r>
            <w:r>
              <w:rPr/>
              <w:t>法</w:t>
            </w:r>
            <w:r>
              <w:rPr/>
              <w:t>管</w:t>
            </w:r>
            <w:r>
              <w:rPr>
                <w:spacing w:val="-10"/>
              </w:rPr>
              <w:t>辖</w:t>
            </w:r>
            <w:r>
              <w:rPr>
                <w:rFonts w:ascii="Times New Roman" w:eastAsia="Times New Roman"/>
                <w:b w:val="0"/>
              </w:rPr>
              <w:tab/>
            </w:r>
            <w:r>
              <w:rPr>
                <w:rFonts w:ascii="Times New Roman" w:eastAsia="Times New Roman"/>
                <w:b w:val="0"/>
                <w:spacing w:val="-10"/>
              </w:rPr>
              <w:t>9</w:t>
            </w:r>
          </w:hyperlink>
        </w:p>
        <w:p>
          <w:pPr>
            <w:pStyle w:val="TOC1"/>
            <w:tabs>
              <w:tab w:pos="8415" w:val="right" w:leader="dot"/>
            </w:tabs>
            <w:rPr>
              <w:rFonts w:ascii="Times New Roman" w:eastAsia="Times New Roman"/>
              <w:b w:val="0"/>
            </w:rPr>
          </w:pPr>
          <w:hyperlink w:history="true" w:anchor="_bookmark33">
            <w:r>
              <w:rPr/>
              <w:t>第</w:t>
            </w:r>
            <w:r>
              <w:rPr/>
              <w:t>五</w:t>
            </w:r>
            <w:r>
              <w:rPr/>
              <w:t>部</w:t>
            </w:r>
            <w:r>
              <w:rPr/>
              <w:t>分</w:t>
            </w:r>
            <w:r>
              <w:rPr>
                <w:spacing w:val="-4"/>
              </w:rPr>
              <w:t> </w:t>
            </w:r>
            <w:r>
              <w:rPr/>
              <w:t>其</w:t>
            </w:r>
            <w:r>
              <w:rPr/>
              <w:t>他</w:t>
            </w:r>
            <w:r>
              <w:rPr/>
              <w:t>事</w:t>
            </w:r>
            <w:r>
              <w:rPr>
                <w:spacing w:val="-10"/>
              </w:rPr>
              <w:t>项</w:t>
            </w:r>
            <w:r>
              <w:rPr>
                <w:rFonts w:ascii="Times New Roman" w:eastAsia="Times New Roman"/>
                <w:b w:val="0"/>
              </w:rPr>
              <w:tab/>
            </w:r>
            <w:r>
              <w:rPr>
                <w:rFonts w:ascii="Times New Roman" w:eastAsia="Times New Roman"/>
                <w:b w:val="0"/>
                <w:spacing w:val="-10"/>
              </w:rPr>
              <w:t>9</w:t>
            </w:r>
          </w:hyperlink>
        </w:p>
        <w:p>
          <w:pPr>
            <w:pStyle w:val="TOC4"/>
            <w:tabs>
              <w:tab w:pos="8408" w:val="right" w:leader="dot"/>
            </w:tabs>
            <w:rPr>
              <w:rFonts w:ascii="Times New Roman" w:eastAsia="Times New Roman"/>
              <w:b w:val="0"/>
              <w:i w:val="0"/>
              <w:sz w:val="21"/>
            </w:rPr>
          </w:pPr>
          <w:hyperlink w:history="true" w:anchor="_bookmark34">
            <w:r>
              <w:rPr>
                <w:i w:val="0"/>
                <w:sz w:val="21"/>
              </w:rPr>
              <w:t>第</w:t>
            </w:r>
            <w:r>
              <w:rPr>
                <w:i w:val="0"/>
                <w:sz w:val="21"/>
              </w:rPr>
              <w:t>三</w:t>
            </w:r>
            <w:r>
              <w:rPr>
                <w:i w:val="0"/>
                <w:sz w:val="21"/>
              </w:rPr>
              <w:t>十</w:t>
            </w:r>
            <w:r>
              <w:rPr>
                <w:i w:val="0"/>
                <w:sz w:val="21"/>
              </w:rPr>
              <w:t>条</w:t>
            </w:r>
            <w:r>
              <w:rPr>
                <w:i w:val="0"/>
                <w:spacing w:val="43"/>
                <w:w w:val="150"/>
                <w:sz w:val="21"/>
              </w:rPr>
              <w:t> </w:t>
            </w:r>
            <w:r>
              <w:rPr>
                <w:i w:val="0"/>
                <w:sz w:val="21"/>
              </w:rPr>
              <w:t>释</w:t>
            </w:r>
            <w:r>
              <w:rPr>
                <w:i w:val="0"/>
                <w:spacing w:val="-10"/>
                <w:sz w:val="21"/>
              </w:rPr>
              <w:t>义</w:t>
            </w:r>
            <w:r>
              <w:rPr>
                <w:rFonts w:ascii="Times New Roman" w:eastAsia="Times New Roman"/>
                <w:b w:val="0"/>
                <w:i w:val="0"/>
                <w:sz w:val="21"/>
              </w:rPr>
              <w:tab/>
            </w:r>
            <w:r>
              <w:rPr>
                <w:rFonts w:ascii="Times New Roman" w:eastAsia="Times New Roman"/>
                <w:b w:val="0"/>
                <w:i w:val="0"/>
                <w:spacing w:val="-10"/>
                <w:sz w:val="21"/>
              </w:rPr>
              <w:t>9</w:t>
            </w:r>
          </w:hyperlink>
        </w:p>
      </w:sdtContent>
    </w:sdt>
    <w:p>
      <w:pPr>
        <w:spacing w:after="0"/>
        <w:rPr>
          <w:rFonts w:ascii="Times New Roman" w:eastAsia="Times New Roman"/>
          <w:sz w:val="21"/>
        </w:rPr>
        <w:sectPr>
          <w:type w:val="continuous"/>
          <w:pgSz w:w="11910" w:h="16840"/>
          <w:pgMar w:header="0" w:footer="991" w:top="280" w:bottom="1180" w:left="1680" w:right="200"/>
        </w:sectPr>
      </w:pPr>
    </w:p>
    <w:p>
      <w:pPr>
        <w:pStyle w:val="Heading1"/>
        <w:spacing w:before="155"/>
        <w:ind w:left="3004" w:right="4479"/>
        <w:jc w:val="center"/>
      </w:pPr>
      <w:bookmarkStart w:name="_bookmark0" w:id="1"/>
      <w:bookmarkEnd w:id="1"/>
      <w:r>
        <w:rPr>
          <w:b w:val="0"/>
        </w:rPr>
      </w:r>
      <w:r>
        <w:rPr/>
        <w:t>第一</w:t>
      </w:r>
      <w:r>
        <w:rPr/>
        <w:t>部</w:t>
      </w:r>
      <w:r>
        <w:rPr/>
        <w:t>分</w:t>
      </w:r>
      <w:r>
        <w:rPr>
          <w:spacing w:val="-5"/>
        </w:rPr>
        <w:t> 总</w:t>
      </w:r>
      <w:r>
        <w:rPr>
          <w:spacing w:val="-10"/>
        </w:rPr>
        <w:t>则</w:t>
      </w:r>
    </w:p>
    <w:p>
      <w:pPr>
        <w:pStyle w:val="BodyText"/>
        <w:spacing w:before="1"/>
        <w:rPr>
          <w:b/>
          <w:sz w:val="26"/>
        </w:rPr>
      </w:pPr>
    </w:p>
    <w:p>
      <w:pPr>
        <w:pStyle w:val="Heading2"/>
      </w:pPr>
      <w:r>
        <w:rPr>
          <w:w w:val="95"/>
        </w:rPr>
        <w:t>第</w:t>
      </w:r>
      <w:r>
        <w:rPr>
          <w:w w:val="95"/>
        </w:rPr>
        <w:t>一</w:t>
      </w:r>
      <w:r>
        <w:rPr>
          <w:w w:val="95"/>
        </w:rPr>
        <w:t>条</w:t>
      </w:r>
      <w:r>
        <w:rPr>
          <w:spacing w:val="42"/>
        </w:rPr>
        <w:t> </w:t>
      </w:r>
      <w:bookmarkStart w:name="_bookmark1" w:id="2"/>
      <w:bookmarkEnd w:id="2"/>
      <w:r>
        <w:rPr>
          <w:w w:val="95"/>
        </w:rPr>
        <w:t>合</w:t>
      </w:r>
      <w:r>
        <w:rPr>
          <w:w w:val="95"/>
        </w:rPr>
        <w:t>同</w:t>
      </w:r>
      <w:r>
        <w:rPr>
          <w:w w:val="95"/>
        </w:rPr>
        <w:t>构</w:t>
      </w:r>
      <w:r>
        <w:rPr>
          <w:spacing w:val="-10"/>
          <w:w w:val="95"/>
        </w:rPr>
        <w:t>成</w:t>
      </w:r>
    </w:p>
    <w:p>
      <w:pPr>
        <w:pStyle w:val="BodyText"/>
        <w:spacing w:line="278" w:lineRule="auto" w:before="43"/>
        <w:ind w:left="120" w:right="1494" w:firstLine="420"/>
      </w:pPr>
      <w:r>
        <w:rPr>
          <w:spacing w:val="-6"/>
          <w:w w:val="99"/>
        </w:rPr>
        <w:t>“昆仑健康乐享年年终身护理保险合同”</w:t>
      </w:r>
      <w:r>
        <w:rPr>
          <w:spacing w:val="-1"/>
          <w:w w:val="99"/>
        </w:rPr>
        <w:t>（</w:t>
      </w:r>
      <w:r>
        <w:rPr>
          <w:spacing w:val="-6"/>
          <w:w w:val="99"/>
        </w:rPr>
        <w:t>以下简称“本合同</w:t>
      </w:r>
      <w:r>
        <w:rPr>
          <w:spacing w:val="-39"/>
          <w:w w:val="99"/>
        </w:rPr>
        <w:t>”）</w:t>
      </w:r>
      <w:r>
        <w:rPr>
          <w:spacing w:val="-1"/>
          <w:w w:val="99"/>
        </w:rPr>
        <w:t>由保险单及所附条款、</w:t>
      </w:r>
      <w:r>
        <w:rPr>
          <w:spacing w:val="-14"/>
          <w:w w:val="99"/>
        </w:rPr>
        <w:t>投保单、与本合同有关的投保文件、合法有效的声明、批注、附贴批单和其他书面协议构成。</w:t>
      </w:r>
    </w:p>
    <w:p>
      <w:pPr>
        <w:pStyle w:val="BodyText"/>
        <w:spacing w:line="269" w:lineRule="exact"/>
        <w:ind w:left="540"/>
      </w:pPr>
      <w:r>
        <w:rPr>
          <w:spacing w:val="-1"/>
          <w:w w:val="95"/>
        </w:rPr>
        <w:t>凡涉及本合同的约定，均应采取书面形式。</w:t>
      </w:r>
    </w:p>
    <w:p>
      <w:pPr>
        <w:pStyle w:val="BodyText"/>
        <w:spacing w:before="9"/>
        <w:rPr>
          <w:sz w:val="27"/>
        </w:rPr>
      </w:pPr>
    </w:p>
    <w:p>
      <w:pPr>
        <w:pStyle w:val="Heading2"/>
        <w:jc w:val="both"/>
      </w:pPr>
      <w:r>
        <w:rPr>
          <w:w w:val="95"/>
        </w:rPr>
        <w:t>第</w:t>
      </w:r>
      <w:r>
        <w:rPr>
          <w:w w:val="95"/>
        </w:rPr>
        <w:t>二</w:t>
      </w:r>
      <w:r>
        <w:rPr>
          <w:w w:val="95"/>
        </w:rPr>
        <w:t>条</w:t>
      </w:r>
      <w:r>
        <w:rPr>
          <w:spacing w:val="70"/>
        </w:rPr>
        <w:t> </w:t>
      </w:r>
      <w:bookmarkStart w:name="_bookmark2" w:id="3"/>
      <w:bookmarkEnd w:id="3"/>
      <w:r>
        <w:rPr>
          <w:w w:val="95"/>
        </w:rPr>
        <w:t>合</w:t>
      </w:r>
      <w:r>
        <w:rPr>
          <w:w w:val="95"/>
        </w:rPr>
        <w:t>同</w:t>
      </w:r>
      <w:r>
        <w:rPr>
          <w:w w:val="95"/>
        </w:rPr>
        <w:t>成</w:t>
      </w:r>
      <w:r>
        <w:rPr>
          <w:w w:val="95"/>
        </w:rPr>
        <w:t>立</w:t>
      </w:r>
      <w:r>
        <w:rPr>
          <w:w w:val="95"/>
        </w:rPr>
        <w:t>与</w:t>
      </w:r>
      <w:r>
        <w:rPr>
          <w:w w:val="95"/>
        </w:rPr>
        <w:t>生</w:t>
      </w:r>
      <w:r>
        <w:rPr>
          <w:spacing w:val="-10"/>
          <w:w w:val="95"/>
        </w:rPr>
        <w:t>效</w:t>
      </w:r>
    </w:p>
    <w:p>
      <w:pPr>
        <w:pStyle w:val="BodyText"/>
        <w:spacing w:line="278" w:lineRule="auto" w:before="43"/>
        <w:ind w:left="120" w:right="1597" w:firstLine="420"/>
        <w:jc w:val="both"/>
      </w:pPr>
      <w:r>
        <w:rPr>
          <w:spacing w:val="-8"/>
          <w:w w:val="99"/>
        </w:rPr>
        <w:t>投保人提出保险申请、本公司同意承保，本合同成立。自本合同成立、本公司收取首期</w:t>
      </w:r>
      <w:r>
        <w:rPr>
          <w:spacing w:val="-6"/>
          <w:w w:val="99"/>
        </w:rPr>
        <w:t>保险费且签发保险单的次日零时起本合同生效，合同生效日期以保险单上载明的为准。</w:t>
      </w:r>
      <w:r>
        <w:rPr>
          <w:b/>
          <w:spacing w:val="1"/>
          <w:w w:val="99"/>
        </w:rPr>
        <w:t>保险单周年日</w:t>
      </w:r>
      <w:r>
        <w:rPr>
          <w:spacing w:val="2"/>
          <w:w w:val="99"/>
        </w:rPr>
        <w:t>、</w:t>
      </w:r>
      <w:r>
        <w:rPr>
          <w:b/>
          <w:spacing w:val="1"/>
          <w:w w:val="99"/>
        </w:rPr>
        <w:t>保险单年度</w:t>
      </w:r>
      <w:r>
        <w:rPr>
          <w:spacing w:val="-1"/>
          <w:w w:val="99"/>
        </w:rPr>
        <w:t>和</w:t>
      </w:r>
      <w:r>
        <w:rPr>
          <w:b/>
          <w:spacing w:val="1"/>
          <w:w w:val="99"/>
        </w:rPr>
        <w:t>保险费约定交纳日</w:t>
      </w:r>
      <w:r>
        <w:rPr>
          <w:spacing w:val="-1"/>
          <w:w w:val="99"/>
        </w:rPr>
        <w:t>均以合同生效日为计算基准。</w:t>
      </w:r>
    </w:p>
    <w:p>
      <w:pPr>
        <w:pStyle w:val="BodyText"/>
        <w:spacing w:before="4"/>
        <w:rPr>
          <w:sz w:val="24"/>
        </w:rPr>
      </w:pPr>
    </w:p>
    <w:p>
      <w:pPr>
        <w:pStyle w:val="Heading2"/>
      </w:pPr>
      <w:r>
        <w:rPr>
          <w:w w:val="95"/>
        </w:rPr>
        <w:t>第</w:t>
      </w:r>
      <w:r>
        <w:rPr>
          <w:w w:val="95"/>
        </w:rPr>
        <w:t>三</w:t>
      </w:r>
      <w:r>
        <w:rPr>
          <w:w w:val="95"/>
        </w:rPr>
        <w:t>条</w:t>
      </w:r>
      <w:r>
        <w:rPr>
          <w:spacing w:val="32"/>
        </w:rPr>
        <w:t> </w:t>
      </w:r>
      <w:bookmarkStart w:name="_bookmark3" w:id="4"/>
      <w:bookmarkEnd w:id="4"/>
      <w:r>
        <w:rPr>
          <w:spacing w:val="-4"/>
          <w:w w:val="95"/>
        </w:rPr>
        <w:t>犹豫期</w:t>
      </w:r>
    </w:p>
    <w:p>
      <w:pPr>
        <w:pStyle w:val="BodyText"/>
        <w:spacing w:line="278" w:lineRule="auto" w:before="43"/>
        <w:ind w:left="120" w:right="1494" w:firstLine="424"/>
      </w:pPr>
      <w:r>
        <w:rPr>
          <w:spacing w:val="-5"/>
          <w:w w:val="99"/>
        </w:rPr>
        <w:t>自投保人签收保险单之日起，有</w:t>
      </w:r>
      <w:r>
        <w:rPr>
          <w:spacing w:val="-53"/>
        </w:rPr>
        <w:t> </w:t>
      </w:r>
      <w:r>
        <w:rPr>
          <w:spacing w:val="1"/>
          <w:w w:val="99"/>
        </w:rPr>
        <w:t>1</w:t>
      </w:r>
      <w:r>
        <w:rPr>
          <w:w w:val="99"/>
        </w:rPr>
        <w:t>5</w:t>
      </w:r>
      <w:r>
        <w:rPr>
          <w:spacing w:val="-54"/>
        </w:rPr>
        <w:t> </w:t>
      </w:r>
      <w:r>
        <w:rPr>
          <w:spacing w:val="-7"/>
          <w:w w:val="99"/>
        </w:rPr>
        <w:t>日的犹豫期。如果投保人在此期间提出解除本合同，投保人应当填写书面申请书，并提供保险合同及有效身份证件，本公司将无息退还投保人所</w:t>
      </w:r>
      <w:r>
        <w:rPr>
          <w:spacing w:val="-6"/>
          <w:w w:val="99"/>
        </w:rPr>
        <w:t>交的保险费。</w:t>
      </w:r>
      <w:r>
        <w:rPr>
          <w:color w:val="000000"/>
          <w:spacing w:val="-5"/>
          <w:w w:val="99"/>
          <w:shd w:fill="C0C0C0" w:color="auto" w:val="clear"/>
        </w:rPr>
        <w:t>自投保人书面申请解除本合同之日起，本合同即被解除，本公司自始不承担保</w:t>
      </w:r>
      <w:r>
        <w:rPr>
          <w:color w:val="000000"/>
          <w:spacing w:val="-5"/>
          <w:w w:val="99"/>
          <w:shd w:fill="C0C0C0" w:color="auto" w:val="clear"/>
        </w:rPr>
        <w:t>                                                                                                                                                              </w:t>
      </w:r>
      <w:r>
        <w:rPr>
          <w:color w:val="000000"/>
          <w:spacing w:val="-1"/>
          <w:w w:val="99"/>
          <w:shd w:fill="C0C0C0" w:color="auto" w:val="clear"/>
        </w:rPr>
        <w:t>险责任。</w:t>
      </w:r>
    </w:p>
    <w:p>
      <w:pPr>
        <w:pStyle w:val="BodyText"/>
        <w:spacing w:before="4"/>
        <w:rPr>
          <w:sz w:val="24"/>
        </w:rPr>
      </w:pPr>
    </w:p>
    <w:p>
      <w:pPr>
        <w:pStyle w:val="Heading2"/>
      </w:pPr>
      <w:r>
        <w:rPr>
          <w:w w:val="95"/>
        </w:rPr>
        <w:t>第</w:t>
      </w:r>
      <w:r>
        <w:rPr>
          <w:w w:val="95"/>
        </w:rPr>
        <w:t>四</w:t>
      </w:r>
      <w:r>
        <w:rPr>
          <w:w w:val="95"/>
        </w:rPr>
        <w:t>条</w:t>
      </w:r>
      <w:r>
        <w:rPr>
          <w:spacing w:val="38"/>
          <w:w w:val="150"/>
        </w:rPr>
        <w:t> </w:t>
      </w:r>
      <w:bookmarkStart w:name="_bookmark4" w:id="5"/>
      <w:bookmarkEnd w:id="5"/>
      <w:r>
        <w:rPr>
          <w:w w:val="95"/>
        </w:rPr>
        <w:t>明</w:t>
      </w:r>
      <w:r>
        <w:rPr>
          <w:w w:val="95"/>
        </w:rPr>
        <w:t>确</w:t>
      </w:r>
      <w:r>
        <w:rPr>
          <w:w w:val="95"/>
        </w:rPr>
        <w:t>说</w:t>
      </w:r>
      <w:r>
        <w:rPr>
          <w:w w:val="95"/>
        </w:rPr>
        <w:t>明</w:t>
      </w:r>
      <w:r>
        <w:rPr>
          <w:w w:val="95"/>
        </w:rPr>
        <w:t>与</w:t>
      </w:r>
      <w:r>
        <w:rPr>
          <w:w w:val="95"/>
        </w:rPr>
        <w:t>如</w:t>
      </w:r>
      <w:r>
        <w:rPr>
          <w:w w:val="95"/>
        </w:rPr>
        <w:t>实</w:t>
      </w:r>
      <w:r>
        <w:rPr>
          <w:w w:val="95"/>
        </w:rPr>
        <w:t>告</w:t>
      </w:r>
      <w:r>
        <w:rPr>
          <w:spacing w:val="-10"/>
          <w:w w:val="95"/>
        </w:rPr>
        <w:t>知</w:t>
      </w:r>
    </w:p>
    <w:p>
      <w:pPr>
        <w:pStyle w:val="BodyText"/>
        <w:spacing w:before="43"/>
        <w:ind w:left="540"/>
      </w:pPr>
      <w:r>
        <w:rPr>
          <w:spacing w:val="-1"/>
          <w:w w:val="95"/>
        </w:rPr>
        <w:t>订立本合同时，本公司应当向投保人说明本合同内容。</w:t>
      </w:r>
    </w:p>
    <w:p>
      <w:pPr>
        <w:pStyle w:val="BodyText"/>
        <w:spacing w:line="278" w:lineRule="auto" w:before="43"/>
        <w:ind w:left="120" w:right="1599" w:firstLine="420"/>
        <w:jc w:val="both"/>
      </w:pPr>
      <w:r>
        <w:rPr>
          <w:spacing w:val="-6"/>
          <w:w w:val="99"/>
        </w:rPr>
        <w:t>对保险条款中免除本公司责任的条款，本公司在订立合同时应当在投保单、保险单或者其他保险凭证上作出足以引起投保人注意的提示，并对该条款的内容以书面或者口头形式向</w:t>
      </w:r>
      <w:r>
        <w:rPr>
          <w:spacing w:val="-1"/>
          <w:w w:val="99"/>
        </w:rPr>
        <w:t>投保人作出明确说明，未作提示或者明确说明的，该条款不产生效力。</w:t>
      </w:r>
    </w:p>
    <w:p>
      <w:pPr>
        <w:pStyle w:val="BodyText"/>
        <w:spacing w:line="269" w:lineRule="exact"/>
        <w:ind w:left="540"/>
      </w:pPr>
      <w:r>
        <w:rPr>
          <w:spacing w:val="-1"/>
          <w:w w:val="95"/>
        </w:rPr>
        <w:t>本公司就投保人和被保险人的有关情况提出书面询问，投保人应当如实告知。</w:t>
      </w:r>
    </w:p>
    <w:p>
      <w:pPr>
        <w:pStyle w:val="BodyText"/>
        <w:spacing w:line="278" w:lineRule="auto" w:before="43"/>
        <w:ind w:left="120" w:right="1599" w:firstLine="420"/>
      </w:pPr>
      <w:r>
        <w:rPr>
          <w:color w:val="000000"/>
          <w:spacing w:val="-7"/>
          <w:w w:val="95"/>
          <w:shd w:fill="C0C0C0" w:color="auto" w:val="clear"/>
        </w:rPr>
        <w:t>投保人故意或者因重大过失未履行如实告知义务，足以影响本公司决定是否同意承保或</w:t>
      </w:r>
      <w:r>
        <w:rPr>
          <w:color w:val="000000"/>
          <w:spacing w:val="80"/>
          <w:w w:val="150"/>
          <w:shd w:fill="C0C0C0" w:color="auto" w:val="clear"/>
        </w:rPr>
        <w:t>                                             </w:t>
      </w:r>
      <w:r>
        <w:rPr>
          <w:color w:val="000000"/>
          <w:spacing w:val="-2"/>
          <w:shd w:fill="C0C0C0" w:color="auto" w:val="clear"/>
        </w:rPr>
        <w:t>提高保险费率的，本公司有权解除本合同。</w:t>
      </w:r>
    </w:p>
    <w:p>
      <w:pPr>
        <w:pStyle w:val="BodyText"/>
        <w:spacing w:line="278" w:lineRule="auto"/>
        <w:ind w:left="120" w:right="1599" w:firstLine="420"/>
      </w:pPr>
      <w:r>
        <w:rPr>
          <w:color w:val="000000"/>
          <w:spacing w:val="-2"/>
          <w:w w:val="95"/>
          <w:shd w:fill="C0C0C0" w:color="auto" w:val="clear"/>
        </w:rPr>
        <w:t>投保人故意不履行如实告知义务的，对于本合同解除前发生的保险</w:t>
      </w:r>
      <w:r>
        <w:rPr>
          <w:color w:val="000000"/>
          <w:spacing w:val="-2"/>
          <w:w w:val="95"/>
          <w:shd w:fill="C0C0C0" w:color="auto" w:val="clear"/>
        </w:rPr>
        <w:t>事</w:t>
      </w:r>
      <w:r>
        <w:rPr>
          <w:color w:val="000000"/>
          <w:spacing w:val="-2"/>
          <w:w w:val="95"/>
          <w:shd w:fill="C0C0C0" w:color="auto" w:val="clear"/>
        </w:rPr>
        <w:t>故</w:t>
      </w:r>
      <w:r>
        <w:rPr>
          <w:color w:val="000000"/>
          <w:spacing w:val="-2"/>
          <w:w w:val="95"/>
          <w:shd w:fill="C0C0C0" w:color="auto" w:val="clear"/>
        </w:rPr>
        <w:t>，本公司不承担</w:t>
      </w:r>
      <w:r>
        <w:rPr>
          <w:color w:val="000000"/>
          <w:spacing w:val="80"/>
          <w:w w:val="150"/>
          <w:shd w:fill="C0C0C0" w:color="auto" w:val="clear"/>
        </w:rPr>
        <w:t>                                             </w:t>
      </w:r>
      <w:r>
        <w:rPr>
          <w:color w:val="000000"/>
          <w:spacing w:val="-2"/>
          <w:shd w:fill="C0C0C0" w:color="auto" w:val="clear"/>
        </w:rPr>
        <w:t>给付保险金责任，并不退还保险费。</w:t>
      </w:r>
    </w:p>
    <w:p>
      <w:pPr>
        <w:pStyle w:val="BodyText"/>
        <w:spacing w:line="278" w:lineRule="auto"/>
        <w:ind w:left="120" w:right="1599" w:firstLine="420"/>
      </w:pPr>
      <w:r>
        <w:rPr>
          <w:color w:val="000000"/>
          <w:spacing w:val="-2"/>
          <w:w w:val="95"/>
          <w:shd w:fill="C0C0C0" w:color="auto" w:val="clear"/>
        </w:rPr>
        <w:t>投保人因重大过失未履行如实告知义务，对保险事故的发生有严重影响的，对于本合同</w:t>
      </w:r>
      <w:r>
        <w:rPr>
          <w:color w:val="000000"/>
          <w:spacing w:val="80"/>
          <w:w w:val="150"/>
          <w:shd w:fill="C0C0C0" w:color="auto" w:val="clear"/>
        </w:rPr>
        <w:t>                                             </w:t>
      </w:r>
      <w:r>
        <w:rPr>
          <w:color w:val="000000"/>
          <w:spacing w:val="-2"/>
          <w:shd w:fill="C0C0C0" w:color="auto" w:val="clear"/>
        </w:rPr>
        <w:t>解除前发生的保险事故，本公司不承担给付保险金责任，但会向投保人无息退还保险费。</w:t>
      </w:r>
    </w:p>
    <w:p>
      <w:pPr>
        <w:pStyle w:val="BodyText"/>
        <w:spacing w:line="278" w:lineRule="auto"/>
        <w:ind w:left="120" w:right="1599" w:firstLine="420"/>
      </w:pPr>
      <w:r>
        <w:rPr>
          <w:spacing w:val="-5"/>
          <w:w w:val="99"/>
        </w:rPr>
        <w:t>本公司在合同订立时已经知道投保人未如实告知的情况的，本公司不得解除合同；发生</w:t>
      </w:r>
      <w:r>
        <w:rPr>
          <w:spacing w:val="-1"/>
          <w:w w:val="99"/>
        </w:rPr>
        <w:t>保险事故的，本公司承担给付保险金的责任。</w:t>
      </w:r>
    </w:p>
    <w:p>
      <w:pPr>
        <w:pStyle w:val="BodyText"/>
        <w:spacing w:before="3"/>
        <w:rPr>
          <w:sz w:val="24"/>
        </w:rPr>
      </w:pPr>
    </w:p>
    <w:p>
      <w:pPr>
        <w:pStyle w:val="Heading2"/>
        <w:spacing w:before="1"/>
        <w:jc w:val="both"/>
      </w:pPr>
      <w:r>
        <w:rPr>
          <w:w w:val="95"/>
        </w:rPr>
        <w:t>第</w:t>
      </w:r>
      <w:r>
        <w:rPr>
          <w:w w:val="95"/>
        </w:rPr>
        <w:t>五</w:t>
      </w:r>
      <w:r>
        <w:rPr>
          <w:w w:val="95"/>
        </w:rPr>
        <w:t>条</w:t>
      </w:r>
      <w:r>
        <w:rPr>
          <w:spacing w:val="56"/>
          <w:w w:val="150"/>
        </w:rPr>
        <w:t> </w:t>
      </w:r>
      <w:bookmarkStart w:name="_bookmark5" w:id="6"/>
      <w:bookmarkEnd w:id="6"/>
      <w:r>
        <w:rPr>
          <w:w w:val="95"/>
        </w:rPr>
        <w:t>本</w:t>
      </w:r>
      <w:r>
        <w:rPr>
          <w:w w:val="95"/>
        </w:rPr>
        <w:t>公</w:t>
      </w:r>
      <w:r>
        <w:rPr>
          <w:w w:val="95"/>
        </w:rPr>
        <w:t>司</w:t>
      </w:r>
      <w:r>
        <w:rPr>
          <w:w w:val="95"/>
        </w:rPr>
        <w:t>合</w:t>
      </w:r>
      <w:r>
        <w:rPr>
          <w:w w:val="95"/>
        </w:rPr>
        <w:t>同</w:t>
      </w:r>
      <w:r>
        <w:rPr>
          <w:w w:val="95"/>
        </w:rPr>
        <w:t>解</w:t>
      </w:r>
      <w:r>
        <w:rPr>
          <w:w w:val="95"/>
        </w:rPr>
        <w:t>除</w:t>
      </w:r>
      <w:r>
        <w:rPr>
          <w:w w:val="95"/>
        </w:rPr>
        <w:t>权</w:t>
      </w:r>
      <w:r>
        <w:rPr>
          <w:w w:val="95"/>
        </w:rPr>
        <w:t>的</w:t>
      </w:r>
      <w:r>
        <w:rPr>
          <w:spacing w:val="-5"/>
          <w:w w:val="95"/>
        </w:rPr>
        <w:t>限制</w:t>
      </w:r>
    </w:p>
    <w:p>
      <w:pPr>
        <w:pStyle w:val="BodyText"/>
        <w:spacing w:line="278" w:lineRule="auto" w:before="42"/>
        <w:ind w:left="120" w:right="1597" w:firstLine="420"/>
        <w:jc w:val="both"/>
      </w:pPr>
      <w:r>
        <w:rPr>
          <w:spacing w:val="-2"/>
          <w:w w:val="95"/>
        </w:rPr>
        <w:t>本合同第四条和第十九条中规定的合同解除权，自本公司知道有解除事由之日起，超过</w:t>
      </w:r>
      <w:r>
        <w:rPr>
          <w:spacing w:val="80"/>
          <w:w w:val="150"/>
        </w:rPr>
        <w:t> </w:t>
      </w:r>
      <w:r>
        <w:rPr>
          <w:w w:val="95"/>
        </w:rPr>
        <w:t>30</w:t>
      </w:r>
      <w:r>
        <w:rPr>
          <w:spacing w:val="37"/>
        </w:rPr>
        <w:t> </w:t>
      </w:r>
      <w:r>
        <w:rPr>
          <w:w w:val="95"/>
        </w:rPr>
        <w:t>日</w:t>
      </w:r>
      <w:r>
        <w:rPr>
          <w:w w:val="95"/>
        </w:rPr>
        <w:t>不</w:t>
      </w:r>
      <w:r>
        <w:rPr>
          <w:w w:val="95"/>
        </w:rPr>
        <w:t>行</w:t>
      </w:r>
      <w:r>
        <w:rPr>
          <w:w w:val="95"/>
        </w:rPr>
        <w:t>使</w:t>
      </w:r>
      <w:r>
        <w:rPr>
          <w:w w:val="95"/>
        </w:rPr>
        <w:t>而</w:t>
      </w:r>
      <w:r>
        <w:rPr>
          <w:w w:val="95"/>
        </w:rPr>
        <w:t>消</w:t>
      </w:r>
      <w:r>
        <w:rPr>
          <w:w w:val="95"/>
        </w:rPr>
        <w:t>灭</w:t>
      </w:r>
      <w:r>
        <w:rPr>
          <w:w w:val="95"/>
        </w:rPr>
        <w:t>。</w:t>
      </w:r>
      <w:r>
        <w:rPr>
          <w:w w:val="95"/>
        </w:rPr>
        <w:t>自</w:t>
      </w:r>
      <w:r>
        <w:rPr>
          <w:w w:val="95"/>
        </w:rPr>
        <w:t>本</w:t>
      </w:r>
      <w:r>
        <w:rPr>
          <w:w w:val="95"/>
        </w:rPr>
        <w:t>合</w:t>
      </w:r>
      <w:r>
        <w:rPr>
          <w:w w:val="95"/>
        </w:rPr>
        <w:t>同</w:t>
      </w:r>
      <w:r>
        <w:rPr>
          <w:w w:val="95"/>
        </w:rPr>
        <w:t>成</w:t>
      </w:r>
      <w:r>
        <w:rPr>
          <w:w w:val="95"/>
        </w:rPr>
        <w:t>立</w:t>
      </w:r>
      <w:r>
        <w:rPr>
          <w:w w:val="95"/>
        </w:rPr>
        <w:t>之</w:t>
      </w:r>
      <w:r>
        <w:rPr>
          <w:w w:val="95"/>
        </w:rPr>
        <w:t>日</w:t>
      </w:r>
      <w:r>
        <w:rPr>
          <w:w w:val="95"/>
        </w:rPr>
        <w:t>起超过</w:t>
      </w:r>
      <w:r>
        <w:rPr>
          <w:spacing w:val="40"/>
        </w:rPr>
        <w:t> </w:t>
      </w:r>
      <w:r>
        <w:rPr>
          <w:w w:val="95"/>
        </w:rPr>
        <w:t>2</w:t>
      </w:r>
      <w:r>
        <w:rPr>
          <w:spacing w:val="37"/>
        </w:rPr>
        <w:t> </w:t>
      </w:r>
      <w:r>
        <w:rPr>
          <w:w w:val="95"/>
        </w:rPr>
        <w:t>年</w:t>
      </w:r>
      <w:r>
        <w:rPr>
          <w:w w:val="95"/>
        </w:rPr>
        <w:t>的</w:t>
      </w:r>
      <w:r>
        <w:rPr>
          <w:w w:val="95"/>
        </w:rPr>
        <w:t>，</w:t>
      </w:r>
      <w:r>
        <w:rPr>
          <w:w w:val="95"/>
        </w:rPr>
        <w:t>本</w:t>
      </w:r>
      <w:r>
        <w:rPr>
          <w:w w:val="95"/>
        </w:rPr>
        <w:t>公</w:t>
      </w:r>
      <w:r>
        <w:rPr>
          <w:w w:val="95"/>
        </w:rPr>
        <w:t>司</w:t>
      </w:r>
      <w:r>
        <w:rPr>
          <w:w w:val="95"/>
        </w:rPr>
        <w:t>不</w:t>
      </w:r>
      <w:r>
        <w:rPr>
          <w:w w:val="95"/>
        </w:rPr>
        <w:t>得</w:t>
      </w:r>
      <w:r>
        <w:rPr>
          <w:w w:val="95"/>
        </w:rPr>
        <w:t>解</w:t>
      </w:r>
      <w:r>
        <w:rPr>
          <w:w w:val="95"/>
        </w:rPr>
        <w:t>除</w:t>
      </w:r>
      <w:r>
        <w:rPr>
          <w:w w:val="95"/>
        </w:rPr>
        <w:t>合</w:t>
      </w:r>
      <w:r>
        <w:rPr>
          <w:w w:val="95"/>
        </w:rPr>
        <w:t>同；</w:t>
      </w:r>
      <w:r>
        <w:rPr>
          <w:w w:val="95"/>
        </w:rPr>
        <w:t>发</w:t>
      </w:r>
      <w:r>
        <w:rPr>
          <w:w w:val="95"/>
        </w:rPr>
        <w:t>生</w:t>
      </w:r>
      <w:r>
        <w:rPr>
          <w:w w:val="95"/>
        </w:rPr>
        <w:t>保</w:t>
      </w:r>
      <w:r>
        <w:rPr>
          <w:w w:val="95"/>
        </w:rPr>
        <w:t>险事</w:t>
      </w:r>
      <w:r>
        <w:rPr>
          <w:spacing w:val="-2"/>
        </w:rPr>
        <w:t>故的，本公司承担给付保险金的责任。</w:t>
      </w:r>
    </w:p>
    <w:p>
      <w:pPr>
        <w:pStyle w:val="BodyText"/>
        <w:rPr>
          <w:sz w:val="20"/>
        </w:rPr>
      </w:pPr>
    </w:p>
    <w:p>
      <w:pPr>
        <w:pStyle w:val="BodyText"/>
        <w:spacing w:before="4"/>
        <w:rPr>
          <w:sz w:val="27"/>
        </w:rPr>
      </w:pPr>
    </w:p>
    <w:p>
      <w:pPr>
        <w:pStyle w:val="Heading1"/>
        <w:ind w:left="3009" w:right="4479"/>
        <w:jc w:val="center"/>
      </w:pPr>
      <w:bookmarkStart w:name="_bookmark6" w:id="7"/>
      <w:bookmarkEnd w:id="7"/>
      <w:r>
        <w:rPr>
          <w:b w:val="0"/>
        </w:rPr>
      </w:r>
      <w:r>
        <w:rPr/>
        <w:t>第二</w:t>
      </w:r>
      <w:r>
        <w:rPr/>
        <w:t>部</w:t>
      </w:r>
      <w:r>
        <w:rPr/>
        <w:t>分</w:t>
      </w:r>
      <w:r>
        <w:rPr>
          <w:spacing w:val="-4"/>
        </w:rPr>
        <w:t> 保障利益</w:t>
      </w:r>
      <w:r>
        <w:rPr/>
        <w:t>条</w:t>
      </w:r>
      <w:r>
        <w:rPr>
          <w:spacing w:val="-10"/>
        </w:rPr>
        <w:t>款</w:t>
      </w:r>
    </w:p>
    <w:p>
      <w:pPr>
        <w:pStyle w:val="BodyText"/>
        <w:spacing w:before="1"/>
        <w:rPr>
          <w:b/>
          <w:sz w:val="26"/>
        </w:rPr>
      </w:pPr>
    </w:p>
    <w:p>
      <w:pPr>
        <w:pStyle w:val="Heading2"/>
        <w:jc w:val="both"/>
      </w:pPr>
      <w:r>
        <w:rPr>
          <w:w w:val="95"/>
        </w:rPr>
        <w:t>第</w:t>
      </w:r>
      <w:r>
        <w:rPr>
          <w:w w:val="95"/>
        </w:rPr>
        <w:t>六</w:t>
      </w:r>
      <w:r>
        <w:rPr>
          <w:w w:val="95"/>
        </w:rPr>
        <w:t>条</w:t>
      </w:r>
      <w:r>
        <w:rPr>
          <w:spacing w:val="42"/>
        </w:rPr>
        <w:t> </w:t>
      </w:r>
      <w:bookmarkStart w:name="_bookmark7" w:id="8"/>
      <w:bookmarkEnd w:id="8"/>
      <w:r>
        <w:rPr>
          <w:w w:val="95"/>
        </w:rPr>
        <w:t>投</w:t>
      </w:r>
      <w:r>
        <w:rPr>
          <w:w w:val="95"/>
        </w:rPr>
        <w:t>保</w:t>
      </w:r>
      <w:r>
        <w:rPr>
          <w:w w:val="95"/>
        </w:rPr>
        <w:t>范</w:t>
      </w:r>
      <w:r>
        <w:rPr>
          <w:spacing w:val="-10"/>
          <w:w w:val="95"/>
        </w:rPr>
        <w:t>围</w:t>
      </w:r>
    </w:p>
    <w:p>
      <w:pPr>
        <w:pStyle w:val="BodyText"/>
        <w:spacing w:line="278" w:lineRule="auto" w:before="43"/>
        <w:ind w:left="120" w:right="1488" w:firstLine="424"/>
      </w:pPr>
      <w:r>
        <w:rPr>
          <w:w w:val="95"/>
        </w:rPr>
        <w:t>本合同接受的</w:t>
      </w:r>
      <w:r>
        <w:rPr>
          <w:w w:val="95"/>
        </w:rPr>
        <w:t>被</w:t>
      </w:r>
      <w:r>
        <w:rPr>
          <w:w w:val="95"/>
        </w:rPr>
        <w:t>保</w:t>
      </w:r>
      <w:r>
        <w:rPr>
          <w:w w:val="95"/>
        </w:rPr>
        <w:t>险人的投保</w:t>
      </w:r>
      <w:r>
        <w:rPr>
          <w:w w:val="95"/>
        </w:rPr>
        <w:t>年</w:t>
      </w:r>
      <w:r>
        <w:rPr>
          <w:w w:val="95"/>
        </w:rPr>
        <w:t>龄</w:t>
      </w:r>
      <w:r>
        <w:rPr>
          <w:spacing w:val="-1"/>
          <w:w w:val="95"/>
        </w:rPr>
        <w:t>为出生满 </w:t>
      </w:r>
      <w:r>
        <w:rPr>
          <w:w w:val="95"/>
        </w:rPr>
        <w:t>28</w:t>
      </w:r>
      <w:r>
        <w:rPr>
          <w:spacing w:val="-2"/>
          <w:w w:val="95"/>
        </w:rPr>
        <w:t> 日至 </w:t>
      </w:r>
      <w:r>
        <w:rPr>
          <w:w w:val="95"/>
        </w:rPr>
        <w:t>70</w:t>
      </w:r>
      <w:r>
        <w:rPr>
          <w:spacing w:val="-5"/>
          <w:w w:val="95"/>
        </w:rPr>
        <w:t> </w:t>
      </w:r>
      <w:r>
        <w:rPr>
          <w:b/>
          <w:w w:val="95"/>
        </w:rPr>
        <w:t>周</w:t>
      </w:r>
      <w:r>
        <w:rPr>
          <w:b/>
          <w:w w:val="95"/>
        </w:rPr>
        <w:t>岁</w:t>
      </w:r>
      <w:r>
        <w:rPr>
          <w:spacing w:val="-50"/>
          <w:w w:val="95"/>
        </w:rPr>
        <w:t>之间</w:t>
      </w:r>
      <w:r>
        <w:rPr>
          <w:w w:val="95"/>
        </w:rPr>
        <w:t>（含 28</w:t>
      </w:r>
      <w:r>
        <w:rPr>
          <w:spacing w:val="-3"/>
          <w:w w:val="95"/>
        </w:rPr>
        <w:t> 日和 </w:t>
      </w:r>
      <w:r>
        <w:rPr>
          <w:w w:val="95"/>
        </w:rPr>
        <w:t>70</w:t>
      </w:r>
      <w:r>
        <w:rPr>
          <w:spacing w:val="-2"/>
          <w:w w:val="95"/>
        </w:rPr>
        <w:t> 周岁</w:t>
      </w:r>
      <w:r>
        <w:rPr>
          <w:spacing w:val="-101"/>
          <w:w w:val="95"/>
        </w:rPr>
        <w:t>）</w:t>
      </w:r>
      <w:r>
        <w:rPr>
          <w:w w:val="95"/>
        </w:rPr>
        <w:t>。</w:t>
      </w:r>
      <w:r>
        <w:rPr>
          <w:spacing w:val="-2"/>
        </w:rPr>
        <w:t>被保险人本人或对被保险人具有保险利益的其他人可作为本合同投保人。</w:t>
      </w:r>
    </w:p>
    <w:p>
      <w:pPr>
        <w:spacing w:after="0" w:line="278" w:lineRule="auto"/>
        <w:sectPr>
          <w:pgSz w:w="11910" w:h="16840"/>
          <w:pgMar w:header="0" w:footer="991" w:top="1580" w:bottom="1180" w:left="1680" w:right="200"/>
        </w:sectPr>
      </w:pPr>
    </w:p>
    <w:p>
      <w:pPr>
        <w:pStyle w:val="BodyText"/>
        <w:spacing w:before="3"/>
        <w:rPr>
          <w:sz w:val="8"/>
        </w:rPr>
      </w:pPr>
    </w:p>
    <w:p>
      <w:pPr>
        <w:pStyle w:val="Heading2"/>
        <w:spacing w:before="70"/>
      </w:pPr>
      <w:r>
        <w:rPr>
          <w:w w:val="95"/>
        </w:rPr>
        <w:t>第</w:t>
      </w:r>
      <w:r>
        <w:rPr>
          <w:w w:val="95"/>
        </w:rPr>
        <w:t>七</w:t>
      </w:r>
      <w:r>
        <w:rPr>
          <w:w w:val="95"/>
        </w:rPr>
        <w:t>条</w:t>
      </w:r>
      <w:r>
        <w:rPr>
          <w:spacing w:val="42"/>
        </w:rPr>
        <w:t> </w:t>
      </w:r>
      <w:bookmarkStart w:name="_bookmark8" w:id="9"/>
      <w:bookmarkEnd w:id="9"/>
      <w:r>
        <w:rPr>
          <w:w w:val="95"/>
        </w:rPr>
        <w:t>保</w:t>
      </w:r>
      <w:r>
        <w:rPr>
          <w:w w:val="95"/>
        </w:rPr>
        <w:t>险</w:t>
      </w:r>
      <w:r>
        <w:rPr>
          <w:w w:val="95"/>
        </w:rPr>
        <w:t>责</w:t>
      </w:r>
      <w:r>
        <w:rPr>
          <w:spacing w:val="-10"/>
          <w:w w:val="95"/>
        </w:rPr>
        <w:t>任</w:t>
      </w:r>
    </w:p>
    <w:p>
      <w:pPr>
        <w:pStyle w:val="BodyText"/>
        <w:spacing w:before="43"/>
        <w:ind w:left="540"/>
      </w:pPr>
      <w:r>
        <w:rPr>
          <w:spacing w:val="-1"/>
          <w:w w:val="95"/>
        </w:rPr>
        <w:t>在本合同有效期内，本公司承担如下保险责任：</w:t>
      </w:r>
    </w:p>
    <w:p>
      <w:pPr>
        <w:pStyle w:val="BodyText"/>
        <w:spacing w:before="42"/>
        <w:ind w:left="540"/>
      </w:pPr>
      <w:r>
        <w:rPr>
          <w:w w:val="95"/>
        </w:rPr>
        <w:t>（一）</w:t>
      </w:r>
      <w:r>
        <w:rPr>
          <w:spacing w:val="-2"/>
          <w:w w:val="95"/>
        </w:rPr>
        <w:t>疾病身故保险金</w:t>
      </w:r>
    </w:p>
    <w:p>
      <w:pPr>
        <w:pStyle w:val="ListParagraph"/>
        <w:numPr>
          <w:ilvl w:val="0"/>
          <w:numId w:val="1"/>
        </w:numPr>
        <w:tabs>
          <w:tab w:pos="752" w:val="left" w:leader="none"/>
        </w:tabs>
        <w:spacing w:line="278" w:lineRule="auto" w:before="43" w:after="0"/>
        <w:ind w:left="120" w:right="1597" w:firstLine="420"/>
        <w:jc w:val="left"/>
        <w:rPr>
          <w:sz w:val="21"/>
        </w:rPr>
      </w:pPr>
      <w:r>
        <w:rPr>
          <w:spacing w:val="-1"/>
          <w:w w:val="99"/>
          <w:sz w:val="21"/>
        </w:rPr>
        <w:t>若被保险人在年满</w:t>
      </w:r>
      <w:r>
        <w:rPr>
          <w:spacing w:val="-50"/>
          <w:sz w:val="21"/>
        </w:rPr>
        <w:t> </w:t>
      </w:r>
      <w:r>
        <w:rPr>
          <w:spacing w:val="1"/>
          <w:w w:val="99"/>
          <w:sz w:val="21"/>
        </w:rPr>
        <w:t>1</w:t>
      </w:r>
      <w:r>
        <w:rPr>
          <w:w w:val="99"/>
          <w:sz w:val="21"/>
        </w:rPr>
        <w:t>8</w:t>
      </w:r>
      <w:r>
        <w:rPr>
          <w:spacing w:val="-52"/>
          <w:sz w:val="21"/>
        </w:rPr>
        <w:t> </w:t>
      </w:r>
      <w:r>
        <w:rPr>
          <w:spacing w:val="-1"/>
          <w:w w:val="99"/>
          <w:sz w:val="21"/>
        </w:rPr>
        <w:t>周岁的首个保险单周年日</w:t>
      </w:r>
      <w:r>
        <w:rPr>
          <w:spacing w:val="2"/>
          <w:w w:val="99"/>
          <w:sz w:val="21"/>
        </w:rPr>
        <w:t>（</w:t>
      </w:r>
      <w:r>
        <w:rPr>
          <w:spacing w:val="-1"/>
          <w:w w:val="99"/>
          <w:sz w:val="21"/>
        </w:rPr>
        <w:t>不含当日</w:t>
      </w:r>
      <w:r>
        <w:rPr>
          <w:spacing w:val="2"/>
          <w:w w:val="99"/>
          <w:sz w:val="21"/>
        </w:rPr>
        <w:t>）</w:t>
      </w:r>
      <w:r>
        <w:rPr>
          <w:spacing w:val="-1"/>
          <w:w w:val="99"/>
          <w:sz w:val="21"/>
        </w:rPr>
        <w:t>之前因疾病导致身故，本公司按照下列两项金额的较大者给付疾病身故保险金，本合同效力终止：</w:t>
      </w:r>
    </w:p>
    <w:p>
      <w:pPr>
        <w:pStyle w:val="ListParagraph"/>
        <w:numPr>
          <w:ilvl w:val="0"/>
          <w:numId w:val="2"/>
        </w:numPr>
        <w:tabs>
          <w:tab w:pos="1065" w:val="left" w:leader="none"/>
        </w:tabs>
        <w:spacing w:line="269" w:lineRule="exact" w:before="0" w:after="0"/>
        <w:ind w:left="1064" w:right="0" w:hanging="525"/>
        <w:jc w:val="left"/>
        <w:rPr>
          <w:sz w:val="21"/>
        </w:rPr>
      </w:pPr>
      <w:r>
        <w:rPr>
          <w:spacing w:val="-1"/>
          <w:w w:val="95"/>
          <w:sz w:val="21"/>
        </w:rPr>
        <w:t>被保险人疾病身故之日的基本保险金额所对应的累计已交保险费；</w:t>
      </w:r>
    </w:p>
    <w:p>
      <w:pPr>
        <w:pStyle w:val="ListParagraph"/>
        <w:numPr>
          <w:ilvl w:val="0"/>
          <w:numId w:val="2"/>
        </w:numPr>
        <w:tabs>
          <w:tab w:pos="1065" w:val="left" w:leader="none"/>
        </w:tabs>
        <w:spacing w:line="240" w:lineRule="auto" w:before="43" w:after="0"/>
        <w:ind w:left="1064" w:right="0" w:hanging="525"/>
        <w:jc w:val="left"/>
        <w:rPr>
          <w:sz w:val="21"/>
        </w:rPr>
      </w:pPr>
      <w:r>
        <w:rPr>
          <w:w w:val="95"/>
          <w:sz w:val="21"/>
        </w:rPr>
        <w:t>被保险人疾病身故之日本合同的</w:t>
      </w:r>
      <w:r>
        <w:rPr>
          <w:b/>
          <w:w w:val="95"/>
          <w:sz w:val="21"/>
        </w:rPr>
        <w:t>现金价值</w:t>
      </w:r>
      <w:r>
        <w:rPr>
          <w:spacing w:val="-10"/>
          <w:w w:val="95"/>
          <w:sz w:val="21"/>
        </w:rPr>
        <w:t>。</w:t>
      </w:r>
    </w:p>
    <w:p>
      <w:pPr>
        <w:pStyle w:val="ListParagraph"/>
        <w:numPr>
          <w:ilvl w:val="0"/>
          <w:numId w:val="1"/>
        </w:numPr>
        <w:tabs>
          <w:tab w:pos="752" w:val="left" w:leader="none"/>
        </w:tabs>
        <w:spacing w:line="278" w:lineRule="auto" w:before="43" w:after="0"/>
        <w:ind w:left="120" w:right="1596" w:firstLine="420"/>
        <w:jc w:val="both"/>
        <w:rPr>
          <w:sz w:val="21"/>
        </w:rPr>
      </w:pPr>
      <w:r>
        <w:rPr>
          <w:spacing w:val="-1"/>
          <w:w w:val="99"/>
          <w:sz w:val="21"/>
        </w:rPr>
        <w:t>若被保险人在年满</w:t>
      </w:r>
      <w:r>
        <w:rPr>
          <w:spacing w:val="-50"/>
          <w:sz w:val="21"/>
        </w:rPr>
        <w:t> </w:t>
      </w:r>
      <w:r>
        <w:rPr>
          <w:spacing w:val="1"/>
          <w:w w:val="99"/>
          <w:sz w:val="21"/>
        </w:rPr>
        <w:t>1</w:t>
      </w:r>
      <w:r>
        <w:rPr>
          <w:w w:val="99"/>
          <w:sz w:val="21"/>
        </w:rPr>
        <w:t>8</w:t>
      </w:r>
      <w:r>
        <w:rPr>
          <w:spacing w:val="-54"/>
          <w:sz w:val="21"/>
        </w:rPr>
        <w:t> </w:t>
      </w:r>
      <w:r>
        <w:rPr>
          <w:spacing w:val="-6"/>
          <w:w w:val="99"/>
          <w:sz w:val="21"/>
        </w:rPr>
        <w:t>周岁的首个保险单周年日</w:t>
      </w:r>
      <w:r>
        <w:rPr>
          <w:spacing w:val="-1"/>
          <w:w w:val="99"/>
          <w:sz w:val="21"/>
        </w:rPr>
        <w:t>（</w:t>
      </w:r>
      <w:r>
        <w:rPr>
          <w:w w:val="99"/>
          <w:sz w:val="21"/>
        </w:rPr>
        <w:t>含当日</w:t>
      </w:r>
      <w:r>
        <w:rPr>
          <w:spacing w:val="-51"/>
          <w:w w:val="99"/>
          <w:sz w:val="21"/>
        </w:rPr>
        <w:t>）</w:t>
      </w:r>
      <w:r>
        <w:rPr>
          <w:spacing w:val="-11"/>
          <w:w w:val="99"/>
          <w:sz w:val="21"/>
        </w:rPr>
        <w:t>之后，且在</w:t>
      </w:r>
      <w:r>
        <w:rPr>
          <w:b/>
          <w:spacing w:val="-9"/>
          <w:w w:val="99"/>
          <w:sz w:val="21"/>
        </w:rPr>
        <w:t>交费期满日</w:t>
      </w:r>
      <w:r>
        <w:rPr>
          <w:spacing w:val="-1"/>
          <w:w w:val="99"/>
          <w:sz w:val="21"/>
        </w:rPr>
        <w:t>（</w:t>
      </w:r>
      <w:r>
        <w:rPr>
          <w:w w:val="99"/>
          <w:sz w:val="21"/>
        </w:rPr>
        <w:t>不</w:t>
      </w:r>
      <w:r>
        <w:rPr>
          <w:spacing w:val="-1"/>
          <w:w w:val="99"/>
          <w:sz w:val="21"/>
        </w:rPr>
        <w:t>含当日</w:t>
      </w:r>
      <w:r>
        <w:rPr>
          <w:spacing w:val="-29"/>
          <w:w w:val="99"/>
          <w:sz w:val="21"/>
        </w:rPr>
        <w:t>）</w:t>
      </w:r>
      <w:r>
        <w:rPr>
          <w:spacing w:val="-6"/>
          <w:w w:val="99"/>
          <w:sz w:val="21"/>
        </w:rPr>
        <w:t>之前因疾病导致身故，本公司按照下列两项金额的较大者给付疾病身故保险金，本</w:t>
      </w:r>
      <w:r>
        <w:rPr>
          <w:spacing w:val="-1"/>
          <w:w w:val="99"/>
          <w:sz w:val="21"/>
        </w:rPr>
        <w:t>合同效力终止：</w:t>
      </w:r>
    </w:p>
    <w:p>
      <w:pPr>
        <w:pStyle w:val="ListParagraph"/>
        <w:numPr>
          <w:ilvl w:val="0"/>
          <w:numId w:val="3"/>
        </w:numPr>
        <w:tabs>
          <w:tab w:pos="1066" w:val="left" w:leader="none"/>
        </w:tabs>
        <w:spacing w:line="269" w:lineRule="exact" w:before="0" w:after="0"/>
        <w:ind w:left="1065" w:right="0" w:hanging="526"/>
        <w:jc w:val="left"/>
        <w:rPr>
          <w:sz w:val="21"/>
        </w:rPr>
      </w:pPr>
      <w:r>
        <w:rPr>
          <w:spacing w:val="-1"/>
          <w:w w:val="95"/>
          <w:sz w:val="21"/>
        </w:rPr>
        <w:t>被保险人疾病身故之日的基本保险金额所对应的累计已交保险费乘以以下给付比</w:t>
      </w:r>
    </w:p>
    <w:p>
      <w:pPr>
        <w:pStyle w:val="BodyText"/>
        <w:spacing w:before="43" w:after="22"/>
        <w:ind w:left="120"/>
      </w:pPr>
      <w:r>
        <w:rPr>
          <w:w w:val="95"/>
        </w:rPr>
        <w:t>例</w:t>
      </w:r>
      <w:r>
        <w:rPr>
          <w:spacing w:val="-10"/>
        </w:rPr>
        <w:t>：</w:t>
      </w: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33"/>
              <w:ind w:left="452"/>
              <w:rPr>
                <w:sz w:val="21"/>
              </w:rPr>
            </w:pPr>
            <w:r>
              <w:rPr>
                <w:spacing w:val="-3"/>
                <w:w w:val="95"/>
                <w:sz w:val="21"/>
              </w:rPr>
              <w:t>到达年龄</w:t>
            </w:r>
          </w:p>
        </w:tc>
        <w:tc>
          <w:tcPr>
            <w:tcW w:w="2251" w:type="dxa"/>
          </w:tcPr>
          <w:p>
            <w:pPr>
              <w:pStyle w:val="TableParagraph"/>
              <w:spacing w:before="33"/>
              <w:ind w:right="704"/>
              <w:rPr>
                <w:sz w:val="21"/>
              </w:rPr>
            </w:pPr>
            <w:r>
              <w:rPr>
                <w:spacing w:val="-3"/>
                <w:w w:val="95"/>
                <w:sz w:val="21"/>
              </w:rPr>
              <w:t>给付比例</w:t>
            </w:r>
          </w:p>
        </w:tc>
      </w:tr>
      <w:tr>
        <w:trPr>
          <w:trHeight w:val="325" w:hRule="atLeast"/>
        </w:trPr>
        <w:tc>
          <w:tcPr>
            <w:tcW w:w="2225" w:type="dxa"/>
          </w:tcPr>
          <w:p>
            <w:pPr>
              <w:pStyle w:val="TableParagraph"/>
              <w:ind w:left="454"/>
              <w:rPr>
                <w:sz w:val="21"/>
              </w:rPr>
            </w:pPr>
            <w:r>
              <w:rPr>
                <w:w w:val="95"/>
                <w:sz w:val="21"/>
              </w:rPr>
              <w:t>18-40</w:t>
            </w:r>
            <w:r>
              <w:rPr>
                <w:spacing w:val="-10"/>
                <w:w w:val="95"/>
                <w:sz w:val="21"/>
              </w:rPr>
              <w:t> 周岁</w:t>
            </w:r>
          </w:p>
        </w:tc>
        <w:tc>
          <w:tcPr>
            <w:tcW w:w="2251" w:type="dxa"/>
          </w:tcPr>
          <w:p>
            <w:pPr>
              <w:pStyle w:val="TableParagraph"/>
              <w:ind w:right="703"/>
              <w:rPr>
                <w:sz w:val="21"/>
              </w:rPr>
            </w:pPr>
            <w:r>
              <w:rPr>
                <w:spacing w:val="-4"/>
                <w:sz w:val="21"/>
              </w:rPr>
              <w:t>160%</w:t>
            </w:r>
          </w:p>
        </w:tc>
      </w:tr>
      <w:tr>
        <w:trPr>
          <w:trHeight w:val="333" w:hRule="atLeast"/>
        </w:trPr>
        <w:tc>
          <w:tcPr>
            <w:tcW w:w="2225" w:type="dxa"/>
          </w:tcPr>
          <w:p>
            <w:pPr>
              <w:pStyle w:val="TableParagraph"/>
              <w:spacing w:before="31"/>
              <w:ind w:left="454"/>
              <w:rPr>
                <w:sz w:val="21"/>
              </w:rPr>
            </w:pPr>
            <w:r>
              <w:rPr>
                <w:w w:val="95"/>
                <w:sz w:val="21"/>
              </w:rPr>
              <w:t>41-60</w:t>
            </w:r>
            <w:r>
              <w:rPr>
                <w:spacing w:val="-10"/>
                <w:w w:val="95"/>
                <w:sz w:val="21"/>
              </w:rPr>
              <w:t> 周岁</w:t>
            </w:r>
          </w:p>
        </w:tc>
        <w:tc>
          <w:tcPr>
            <w:tcW w:w="2251" w:type="dxa"/>
          </w:tcPr>
          <w:p>
            <w:pPr>
              <w:pStyle w:val="TableParagraph"/>
              <w:spacing w:before="31"/>
              <w:ind w:right="703"/>
              <w:rPr>
                <w:sz w:val="21"/>
              </w:rPr>
            </w:pPr>
            <w:r>
              <w:rPr>
                <w:spacing w:val="-4"/>
                <w:sz w:val="21"/>
              </w:rPr>
              <w:t>140%</w:t>
            </w:r>
          </w:p>
        </w:tc>
      </w:tr>
      <w:tr>
        <w:trPr>
          <w:trHeight w:val="325" w:hRule="atLeast"/>
        </w:trPr>
        <w:tc>
          <w:tcPr>
            <w:tcW w:w="2225" w:type="dxa"/>
          </w:tcPr>
          <w:p>
            <w:pPr>
              <w:pStyle w:val="TableParagraph"/>
              <w:ind w:left="454"/>
              <w:rPr>
                <w:sz w:val="21"/>
              </w:rPr>
            </w:pPr>
            <w:r>
              <w:rPr>
                <w:w w:val="95"/>
                <w:sz w:val="21"/>
              </w:rPr>
              <w:t>61</w:t>
            </w:r>
            <w:r>
              <w:rPr>
                <w:spacing w:val="-4"/>
                <w:w w:val="95"/>
                <w:sz w:val="21"/>
              </w:rPr>
              <w:t> 周岁及以上</w:t>
            </w:r>
          </w:p>
        </w:tc>
        <w:tc>
          <w:tcPr>
            <w:tcW w:w="2251" w:type="dxa"/>
          </w:tcPr>
          <w:p>
            <w:pPr>
              <w:pStyle w:val="TableParagraph"/>
              <w:ind w:right="703"/>
              <w:rPr>
                <w:sz w:val="21"/>
              </w:rPr>
            </w:pPr>
            <w:r>
              <w:rPr>
                <w:spacing w:val="-4"/>
                <w:sz w:val="21"/>
              </w:rPr>
              <w:t>120%</w:t>
            </w:r>
          </w:p>
        </w:tc>
      </w:tr>
    </w:tbl>
    <w:p>
      <w:pPr>
        <w:pStyle w:val="BodyText"/>
        <w:spacing w:before="5"/>
        <w:rPr>
          <w:sz w:val="10"/>
        </w:rPr>
      </w:pPr>
      <w:r>
        <w:rPr/>
        <w:pict>
          <v:shape style="position:absolute;margin-left:111pt;margin-top:7.9pt;width:394.45pt;height:14.6pt;mso-position-horizontal-relative:page;mso-position-vertical-relative:paragraph;z-index:-15728640;mso-wrap-distance-left:0;mso-wrap-distance-right:0" type="#_x0000_t202" id="docshape2" filled="true" fillcolor="#c0c0c0" stroked="false">
            <v:textbox inset="0,0,0,0">
              <w:txbxContent>
                <w:p>
                  <w:pPr>
                    <w:pStyle w:val="BodyText"/>
                    <w:spacing w:before="21"/>
                    <w:rPr>
                      <w:color w:val="000000"/>
                    </w:rPr>
                  </w:pPr>
                  <w:r>
                    <w:rPr>
                      <w:color w:val="000000"/>
                      <w:w w:val="95"/>
                    </w:rPr>
                    <w:t>其中，到达年龄指的是被保险人原始投</w:t>
                  </w:r>
                  <w:r>
                    <w:rPr>
                      <w:color w:val="000000"/>
                      <w:w w:val="95"/>
                    </w:rPr>
                    <w:t>保</w:t>
                  </w:r>
                  <w:r>
                    <w:rPr>
                      <w:color w:val="000000"/>
                      <w:w w:val="95"/>
                    </w:rPr>
                    <w:t>年</w:t>
                  </w:r>
                  <w:r>
                    <w:rPr>
                      <w:color w:val="000000"/>
                      <w:w w:val="95"/>
                    </w:rPr>
                    <w:t>龄，加上当时保险单年度数，再减去</w:t>
                  </w:r>
                  <w:r>
                    <w:rPr>
                      <w:color w:val="000000"/>
                      <w:spacing w:val="63"/>
                    </w:rPr>
                    <w:t> </w:t>
                  </w:r>
                  <w:r>
                    <w:rPr>
                      <w:color w:val="000000"/>
                      <w:w w:val="95"/>
                    </w:rPr>
                    <w:t>1</w:t>
                  </w:r>
                  <w:r>
                    <w:rPr>
                      <w:color w:val="000000"/>
                      <w:spacing w:val="67"/>
                    </w:rPr>
                    <w:t> </w:t>
                  </w:r>
                  <w:r>
                    <w:rPr>
                      <w:color w:val="000000"/>
                      <w:spacing w:val="-5"/>
                      <w:w w:val="95"/>
                    </w:rPr>
                    <w:t>后所</w:t>
                  </w:r>
                </w:p>
              </w:txbxContent>
            </v:textbox>
            <v:fill type="solid"/>
            <w10:wrap type="topAndBottom"/>
          </v:shape>
        </w:pict>
      </w:r>
    </w:p>
    <w:p>
      <w:pPr>
        <w:pStyle w:val="BodyText"/>
        <w:ind w:left="120"/>
        <w:rPr>
          <w:sz w:val="20"/>
        </w:rPr>
      </w:pPr>
      <w:r>
        <w:rPr>
          <w:sz w:val="20"/>
        </w:rPr>
        <w:pict>
          <v:shape style="width:63pt;height:14.6pt;mso-position-horizontal-relative:char;mso-position-vertical-relative:line" type="#_x0000_t202" id="docshape3" filled="true" fillcolor="#c0c0c0" stroked="false">
            <w10:anchorlock/>
            <v:textbox inset="0,0,0,0">
              <w:txbxContent>
                <w:p>
                  <w:pPr>
                    <w:pStyle w:val="BodyText"/>
                    <w:spacing w:before="21"/>
                    <w:rPr>
                      <w:color w:val="000000"/>
                    </w:rPr>
                  </w:pPr>
                  <w:r>
                    <w:rPr>
                      <w:color w:val="000000"/>
                      <w:spacing w:val="-4"/>
                      <w:w w:val="95"/>
                    </w:rPr>
                    <w:t>得到的年龄。</w:t>
                  </w:r>
                </w:p>
              </w:txbxContent>
            </v:textbox>
            <v:fill type="solid"/>
          </v:shape>
        </w:pict>
      </w:r>
      <w:r>
        <w:rPr>
          <w:sz w:val="20"/>
        </w:rPr>
      </w:r>
    </w:p>
    <w:p>
      <w:pPr>
        <w:pStyle w:val="ListParagraph"/>
        <w:numPr>
          <w:ilvl w:val="0"/>
          <w:numId w:val="3"/>
        </w:numPr>
        <w:tabs>
          <w:tab w:pos="1065" w:val="left" w:leader="none"/>
        </w:tabs>
        <w:spacing w:line="240" w:lineRule="auto" w:before="38" w:after="0"/>
        <w:ind w:left="1064" w:right="0" w:hanging="525"/>
        <w:jc w:val="left"/>
        <w:rPr>
          <w:sz w:val="21"/>
        </w:rPr>
      </w:pPr>
      <w:r>
        <w:rPr>
          <w:spacing w:val="-1"/>
          <w:w w:val="95"/>
          <w:sz w:val="21"/>
        </w:rPr>
        <w:t>被保险人疾病身故之日本合同的现金价值。</w:t>
      </w:r>
    </w:p>
    <w:p>
      <w:pPr>
        <w:pStyle w:val="ListParagraph"/>
        <w:numPr>
          <w:ilvl w:val="0"/>
          <w:numId w:val="1"/>
        </w:numPr>
        <w:tabs>
          <w:tab w:pos="752" w:val="left" w:leader="none"/>
        </w:tabs>
        <w:spacing w:line="278" w:lineRule="auto" w:before="43" w:after="0"/>
        <w:ind w:left="120" w:right="1494" w:firstLine="420"/>
        <w:jc w:val="left"/>
        <w:rPr>
          <w:sz w:val="21"/>
        </w:rPr>
      </w:pPr>
      <w:r>
        <w:rPr>
          <w:spacing w:val="-1"/>
          <w:w w:val="99"/>
          <w:sz w:val="21"/>
        </w:rPr>
        <w:t>被保险人在年满</w:t>
      </w:r>
      <w:r>
        <w:rPr>
          <w:spacing w:val="-50"/>
          <w:sz w:val="21"/>
        </w:rPr>
        <w:t> </w:t>
      </w:r>
      <w:r>
        <w:rPr>
          <w:spacing w:val="1"/>
          <w:w w:val="99"/>
          <w:sz w:val="21"/>
        </w:rPr>
        <w:t>1</w:t>
      </w:r>
      <w:r>
        <w:rPr>
          <w:w w:val="99"/>
          <w:sz w:val="21"/>
        </w:rPr>
        <w:t>8</w:t>
      </w:r>
      <w:r>
        <w:rPr>
          <w:spacing w:val="-54"/>
          <w:sz w:val="21"/>
        </w:rPr>
        <w:t> </w:t>
      </w:r>
      <w:r>
        <w:rPr>
          <w:spacing w:val="-1"/>
          <w:w w:val="99"/>
          <w:sz w:val="21"/>
        </w:rPr>
        <w:t>周岁的首个保险单周年日</w:t>
      </w:r>
      <w:r>
        <w:rPr>
          <w:spacing w:val="2"/>
          <w:w w:val="99"/>
          <w:sz w:val="21"/>
        </w:rPr>
        <w:t>（</w:t>
      </w:r>
      <w:r>
        <w:rPr>
          <w:w w:val="99"/>
          <w:sz w:val="21"/>
        </w:rPr>
        <w:t>含当日</w:t>
      </w:r>
      <w:r>
        <w:rPr>
          <w:spacing w:val="-1"/>
          <w:w w:val="99"/>
          <w:sz w:val="21"/>
        </w:rPr>
        <w:t>）之后，且在本合同交费期满</w:t>
      </w:r>
      <w:r>
        <w:rPr>
          <w:spacing w:val="-65"/>
          <w:w w:val="99"/>
          <w:sz w:val="21"/>
        </w:rPr>
        <w:t>日</w:t>
      </w:r>
      <w:r>
        <w:rPr>
          <w:spacing w:val="-1"/>
          <w:w w:val="99"/>
          <w:sz w:val="21"/>
        </w:rPr>
        <w:t>（</w:t>
      </w:r>
      <w:r>
        <w:rPr>
          <w:w w:val="99"/>
          <w:sz w:val="21"/>
        </w:rPr>
        <w:t>含当日</w:t>
      </w:r>
      <w:r>
        <w:rPr>
          <w:spacing w:val="-65"/>
          <w:w w:val="99"/>
          <w:sz w:val="21"/>
        </w:rPr>
        <w:t>）</w:t>
      </w:r>
      <w:r>
        <w:rPr>
          <w:spacing w:val="-8"/>
          <w:w w:val="99"/>
          <w:sz w:val="21"/>
        </w:rPr>
        <w:t>之后因疾病导致身故，本公司按照下列三项金额的较大者给付疾病身故保险金，</w:t>
      </w:r>
      <w:r>
        <w:rPr>
          <w:spacing w:val="-1"/>
          <w:w w:val="99"/>
          <w:sz w:val="21"/>
        </w:rPr>
        <w:t>本合同效力终止：</w:t>
      </w:r>
    </w:p>
    <w:p>
      <w:pPr>
        <w:pStyle w:val="ListParagraph"/>
        <w:numPr>
          <w:ilvl w:val="0"/>
          <w:numId w:val="4"/>
        </w:numPr>
        <w:tabs>
          <w:tab w:pos="1066" w:val="left" w:leader="none"/>
        </w:tabs>
        <w:spacing w:line="269" w:lineRule="exact" w:before="0" w:after="0"/>
        <w:ind w:left="1065" w:right="0" w:hanging="526"/>
        <w:jc w:val="left"/>
        <w:rPr>
          <w:sz w:val="21"/>
        </w:rPr>
      </w:pPr>
      <w:r>
        <w:rPr>
          <w:spacing w:val="-1"/>
          <w:w w:val="95"/>
          <w:sz w:val="21"/>
        </w:rPr>
        <w:t>被保险人疾病身故之日的基本保险金额所对应的累计已交保险费乘以以下给付比</w:t>
      </w:r>
    </w:p>
    <w:p>
      <w:pPr>
        <w:pStyle w:val="BodyText"/>
        <w:spacing w:before="43" w:after="22"/>
        <w:ind w:left="120"/>
      </w:pPr>
      <w:r>
        <w:rPr>
          <w:w w:val="95"/>
        </w:rPr>
        <w:t>例</w:t>
      </w:r>
      <w:r>
        <w:rPr>
          <w:spacing w:val="-10"/>
        </w:rPr>
        <w:t>：</w:t>
      </w: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33"/>
              <w:ind w:left="452"/>
              <w:rPr>
                <w:sz w:val="21"/>
              </w:rPr>
            </w:pPr>
            <w:r>
              <w:rPr>
                <w:spacing w:val="-3"/>
                <w:w w:val="95"/>
                <w:sz w:val="21"/>
              </w:rPr>
              <w:t>到达年龄</w:t>
            </w:r>
          </w:p>
        </w:tc>
        <w:tc>
          <w:tcPr>
            <w:tcW w:w="2251" w:type="dxa"/>
          </w:tcPr>
          <w:p>
            <w:pPr>
              <w:pStyle w:val="TableParagraph"/>
              <w:spacing w:before="33"/>
              <w:ind w:right="704"/>
              <w:rPr>
                <w:sz w:val="21"/>
              </w:rPr>
            </w:pPr>
            <w:r>
              <w:rPr>
                <w:spacing w:val="-3"/>
                <w:w w:val="95"/>
                <w:sz w:val="21"/>
              </w:rPr>
              <w:t>给付比例</w:t>
            </w:r>
          </w:p>
        </w:tc>
      </w:tr>
      <w:tr>
        <w:trPr>
          <w:trHeight w:val="325" w:hRule="atLeast"/>
        </w:trPr>
        <w:tc>
          <w:tcPr>
            <w:tcW w:w="2225" w:type="dxa"/>
          </w:tcPr>
          <w:p>
            <w:pPr>
              <w:pStyle w:val="TableParagraph"/>
              <w:ind w:left="454"/>
              <w:rPr>
                <w:sz w:val="21"/>
              </w:rPr>
            </w:pPr>
            <w:r>
              <w:rPr>
                <w:w w:val="95"/>
                <w:sz w:val="21"/>
              </w:rPr>
              <w:t>18-40</w:t>
            </w:r>
            <w:r>
              <w:rPr>
                <w:spacing w:val="-10"/>
                <w:w w:val="95"/>
                <w:sz w:val="21"/>
              </w:rPr>
              <w:t> 周岁</w:t>
            </w:r>
          </w:p>
        </w:tc>
        <w:tc>
          <w:tcPr>
            <w:tcW w:w="2251" w:type="dxa"/>
          </w:tcPr>
          <w:p>
            <w:pPr>
              <w:pStyle w:val="TableParagraph"/>
              <w:ind w:right="703"/>
              <w:rPr>
                <w:sz w:val="21"/>
              </w:rPr>
            </w:pPr>
            <w:r>
              <w:rPr>
                <w:spacing w:val="-4"/>
                <w:sz w:val="21"/>
              </w:rPr>
              <w:t>160%</w:t>
            </w:r>
          </w:p>
        </w:tc>
      </w:tr>
      <w:tr>
        <w:trPr>
          <w:trHeight w:val="334" w:hRule="atLeast"/>
        </w:trPr>
        <w:tc>
          <w:tcPr>
            <w:tcW w:w="2225" w:type="dxa"/>
          </w:tcPr>
          <w:p>
            <w:pPr>
              <w:pStyle w:val="TableParagraph"/>
              <w:spacing w:before="31"/>
              <w:ind w:left="454"/>
              <w:rPr>
                <w:sz w:val="21"/>
              </w:rPr>
            </w:pPr>
            <w:r>
              <w:rPr>
                <w:w w:val="95"/>
                <w:sz w:val="21"/>
              </w:rPr>
              <w:t>41-60</w:t>
            </w:r>
            <w:r>
              <w:rPr>
                <w:spacing w:val="-10"/>
                <w:w w:val="95"/>
                <w:sz w:val="21"/>
              </w:rPr>
              <w:t> 周岁</w:t>
            </w:r>
          </w:p>
        </w:tc>
        <w:tc>
          <w:tcPr>
            <w:tcW w:w="2251" w:type="dxa"/>
          </w:tcPr>
          <w:p>
            <w:pPr>
              <w:pStyle w:val="TableParagraph"/>
              <w:spacing w:before="31"/>
              <w:ind w:right="703"/>
              <w:rPr>
                <w:sz w:val="21"/>
              </w:rPr>
            </w:pPr>
            <w:r>
              <w:rPr>
                <w:spacing w:val="-4"/>
                <w:sz w:val="21"/>
              </w:rPr>
              <w:t>140%</w:t>
            </w:r>
          </w:p>
        </w:tc>
      </w:tr>
      <w:tr>
        <w:trPr>
          <w:trHeight w:val="325" w:hRule="atLeast"/>
        </w:trPr>
        <w:tc>
          <w:tcPr>
            <w:tcW w:w="2225" w:type="dxa"/>
          </w:tcPr>
          <w:p>
            <w:pPr>
              <w:pStyle w:val="TableParagraph"/>
              <w:ind w:left="454"/>
              <w:rPr>
                <w:sz w:val="21"/>
              </w:rPr>
            </w:pPr>
            <w:r>
              <w:rPr>
                <w:w w:val="95"/>
                <w:sz w:val="21"/>
              </w:rPr>
              <w:t>61</w:t>
            </w:r>
            <w:r>
              <w:rPr>
                <w:spacing w:val="-4"/>
                <w:w w:val="95"/>
                <w:sz w:val="21"/>
              </w:rPr>
              <w:t> 周岁及以上</w:t>
            </w:r>
          </w:p>
        </w:tc>
        <w:tc>
          <w:tcPr>
            <w:tcW w:w="2251" w:type="dxa"/>
          </w:tcPr>
          <w:p>
            <w:pPr>
              <w:pStyle w:val="TableParagraph"/>
              <w:ind w:right="703"/>
              <w:rPr>
                <w:sz w:val="21"/>
              </w:rPr>
            </w:pPr>
            <w:r>
              <w:rPr>
                <w:spacing w:val="-4"/>
                <w:sz w:val="21"/>
              </w:rPr>
              <w:t>120%</w:t>
            </w:r>
          </w:p>
        </w:tc>
      </w:tr>
    </w:tbl>
    <w:p>
      <w:pPr>
        <w:pStyle w:val="BodyText"/>
        <w:spacing w:before="4"/>
        <w:rPr>
          <w:sz w:val="10"/>
        </w:rPr>
      </w:pPr>
      <w:r>
        <w:rPr/>
        <w:pict>
          <v:shape style="position:absolute;margin-left:111pt;margin-top:7.85pt;width:394.45pt;height:14.6pt;mso-position-horizontal-relative:page;mso-position-vertical-relative:paragraph;z-index:-15727616;mso-wrap-distance-left:0;mso-wrap-distance-right:0" type="#_x0000_t202" id="docshape4" filled="true" fillcolor="#c0c0c0" stroked="false">
            <v:textbox inset="0,0,0,0">
              <w:txbxContent>
                <w:p>
                  <w:pPr>
                    <w:pStyle w:val="BodyText"/>
                    <w:spacing w:before="21"/>
                    <w:rPr>
                      <w:color w:val="000000"/>
                    </w:rPr>
                  </w:pPr>
                  <w:r>
                    <w:rPr>
                      <w:color w:val="000000"/>
                      <w:w w:val="95"/>
                    </w:rPr>
                    <w:t>其中，到达年龄指的是被保险人原始投</w:t>
                  </w:r>
                  <w:r>
                    <w:rPr>
                      <w:color w:val="000000"/>
                      <w:w w:val="95"/>
                    </w:rPr>
                    <w:t>保</w:t>
                  </w:r>
                  <w:r>
                    <w:rPr>
                      <w:color w:val="000000"/>
                      <w:w w:val="95"/>
                    </w:rPr>
                    <w:t>年</w:t>
                  </w:r>
                  <w:r>
                    <w:rPr>
                      <w:color w:val="000000"/>
                      <w:w w:val="95"/>
                    </w:rPr>
                    <w:t>龄，加上当时保险单年度数，再减去</w:t>
                  </w:r>
                  <w:r>
                    <w:rPr>
                      <w:color w:val="000000"/>
                      <w:spacing w:val="63"/>
                    </w:rPr>
                    <w:t> </w:t>
                  </w:r>
                  <w:r>
                    <w:rPr>
                      <w:color w:val="000000"/>
                      <w:w w:val="95"/>
                    </w:rPr>
                    <w:t>1</w:t>
                  </w:r>
                  <w:r>
                    <w:rPr>
                      <w:color w:val="000000"/>
                      <w:spacing w:val="67"/>
                    </w:rPr>
                    <w:t> </w:t>
                  </w:r>
                  <w:r>
                    <w:rPr>
                      <w:color w:val="000000"/>
                      <w:spacing w:val="-5"/>
                      <w:w w:val="95"/>
                    </w:rPr>
                    <w:t>后所</w:t>
                  </w:r>
                </w:p>
              </w:txbxContent>
            </v:textbox>
            <v:fill type="solid"/>
            <w10:wrap type="topAndBottom"/>
          </v:shape>
        </w:pict>
      </w:r>
    </w:p>
    <w:p>
      <w:pPr>
        <w:pStyle w:val="BodyText"/>
        <w:ind w:left="120"/>
        <w:rPr>
          <w:sz w:val="20"/>
        </w:rPr>
      </w:pPr>
      <w:r>
        <w:rPr>
          <w:sz w:val="20"/>
        </w:rPr>
        <w:pict>
          <v:shape style="width:63pt;height:14.6pt;mso-position-horizontal-relative:char;mso-position-vertical-relative:line" type="#_x0000_t202" id="docshape5" filled="true" fillcolor="#c0c0c0" stroked="false">
            <w10:anchorlock/>
            <v:textbox inset="0,0,0,0">
              <w:txbxContent>
                <w:p>
                  <w:pPr>
                    <w:pStyle w:val="BodyText"/>
                    <w:spacing w:before="21"/>
                    <w:rPr>
                      <w:color w:val="000000"/>
                    </w:rPr>
                  </w:pPr>
                  <w:r>
                    <w:rPr>
                      <w:color w:val="000000"/>
                      <w:spacing w:val="-4"/>
                      <w:w w:val="95"/>
                    </w:rPr>
                    <w:t>得到的年龄。</w:t>
                  </w:r>
                </w:p>
              </w:txbxContent>
            </v:textbox>
            <v:fill type="solid"/>
          </v:shape>
        </w:pict>
      </w:r>
      <w:r>
        <w:rPr>
          <w:sz w:val="20"/>
        </w:rPr>
      </w:r>
    </w:p>
    <w:p>
      <w:pPr>
        <w:pStyle w:val="ListParagraph"/>
        <w:numPr>
          <w:ilvl w:val="0"/>
          <w:numId w:val="4"/>
        </w:numPr>
        <w:tabs>
          <w:tab w:pos="1065" w:val="left" w:leader="none"/>
        </w:tabs>
        <w:spacing w:line="240" w:lineRule="auto" w:before="38" w:after="0"/>
        <w:ind w:left="1064" w:right="0" w:hanging="525"/>
        <w:jc w:val="left"/>
        <w:rPr>
          <w:sz w:val="21"/>
        </w:rPr>
      </w:pPr>
      <w:r>
        <w:rPr>
          <w:spacing w:val="-1"/>
          <w:w w:val="95"/>
          <w:sz w:val="21"/>
        </w:rPr>
        <w:t>被保险人疾病身故之日本合同的现金价值；</w:t>
      </w:r>
    </w:p>
    <w:p>
      <w:pPr>
        <w:pStyle w:val="ListParagraph"/>
        <w:numPr>
          <w:ilvl w:val="0"/>
          <w:numId w:val="4"/>
        </w:numPr>
        <w:tabs>
          <w:tab w:pos="1065" w:val="left" w:leader="none"/>
        </w:tabs>
        <w:spacing w:line="240" w:lineRule="auto" w:before="43" w:after="0"/>
        <w:ind w:left="1064" w:right="0" w:hanging="525"/>
        <w:jc w:val="left"/>
        <w:rPr>
          <w:sz w:val="21"/>
        </w:rPr>
      </w:pPr>
      <w:r>
        <w:rPr>
          <w:spacing w:val="-1"/>
          <w:w w:val="95"/>
          <w:sz w:val="21"/>
        </w:rPr>
        <w:t>被保险人疾病身故之日的当年度有效保险金额。</w:t>
      </w:r>
    </w:p>
    <w:p>
      <w:pPr>
        <w:pStyle w:val="BodyText"/>
        <w:spacing w:before="43"/>
        <w:ind w:left="540"/>
      </w:pPr>
      <w:r>
        <w:rPr>
          <w:w w:val="95"/>
        </w:rPr>
        <w:t>（二）</w:t>
      </w:r>
      <w:r>
        <w:rPr>
          <w:spacing w:val="-2"/>
          <w:w w:val="95"/>
        </w:rPr>
        <w:t>长期护理保险金</w:t>
      </w:r>
    </w:p>
    <w:p>
      <w:pPr>
        <w:pStyle w:val="ListParagraph"/>
        <w:numPr>
          <w:ilvl w:val="0"/>
          <w:numId w:val="5"/>
        </w:numPr>
        <w:tabs>
          <w:tab w:pos="752" w:val="left" w:leader="none"/>
        </w:tabs>
        <w:spacing w:line="278" w:lineRule="auto" w:before="43" w:after="0"/>
        <w:ind w:left="120" w:right="1592" w:firstLine="420"/>
        <w:jc w:val="both"/>
        <w:rPr>
          <w:sz w:val="21"/>
        </w:rPr>
      </w:pPr>
      <w:r>
        <w:rPr>
          <w:spacing w:val="-1"/>
          <w:w w:val="99"/>
          <w:sz w:val="21"/>
        </w:rPr>
        <w:t>若被保险人在年满</w:t>
      </w:r>
      <w:r>
        <w:rPr>
          <w:spacing w:val="-50"/>
          <w:sz w:val="21"/>
        </w:rPr>
        <w:t> </w:t>
      </w:r>
      <w:r>
        <w:rPr>
          <w:spacing w:val="1"/>
          <w:w w:val="99"/>
          <w:sz w:val="21"/>
        </w:rPr>
        <w:t>1</w:t>
      </w:r>
      <w:r>
        <w:rPr>
          <w:w w:val="99"/>
          <w:sz w:val="21"/>
        </w:rPr>
        <w:t>8</w:t>
      </w:r>
      <w:r>
        <w:rPr>
          <w:spacing w:val="-52"/>
          <w:sz w:val="21"/>
        </w:rPr>
        <w:t> </w:t>
      </w:r>
      <w:r>
        <w:rPr>
          <w:spacing w:val="-1"/>
          <w:w w:val="99"/>
          <w:sz w:val="21"/>
        </w:rPr>
        <w:t>周岁的首个保险单周年日</w:t>
      </w:r>
      <w:r>
        <w:rPr>
          <w:spacing w:val="2"/>
          <w:w w:val="99"/>
          <w:sz w:val="21"/>
        </w:rPr>
        <w:t>（</w:t>
      </w:r>
      <w:r>
        <w:rPr>
          <w:spacing w:val="-1"/>
          <w:w w:val="99"/>
          <w:sz w:val="21"/>
        </w:rPr>
        <w:t>不含当日</w:t>
      </w:r>
      <w:r>
        <w:rPr>
          <w:spacing w:val="2"/>
          <w:w w:val="99"/>
          <w:sz w:val="21"/>
        </w:rPr>
        <w:t>）</w:t>
      </w:r>
      <w:r>
        <w:rPr>
          <w:w w:val="99"/>
          <w:sz w:val="21"/>
        </w:rPr>
        <w:t>之前</w:t>
      </w:r>
      <w:r>
        <w:rPr>
          <w:b/>
          <w:spacing w:val="1"/>
          <w:w w:val="99"/>
          <w:sz w:val="21"/>
        </w:rPr>
        <w:t>丧失日常生活能力</w:t>
      </w:r>
      <w:r>
        <w:rPr>
          <w:spacing w:val="4"/>
          <w:w w:val="99"/>
          <w:sz w:val="21"/>
        </w:rPr>
        <w:t>且持续至</w:t>
      </w:r>
      <w:r>
        <w:rPr>
          <w:b/>
          <w:spacing w:val="5"/>
          <w:w w:val="99"/>
          <w:sz w:val="21"/>
        </w:rPr>
        <w:t>观察期</w:t>
      </w:r>
      <w:r>
        <w:rPr>
          <w:spacing w:val="5"/>
          <w:w w:val="99"/>
          <w:sz w:val="21"/>
        </w:rPr>
        <w:t>结束</w:t>
      </w:r>
      <w:r>
        <w:rPr>
          <w:color w:val="000000"/>
          <w:spacing w:val="4"/>
          <w:w w:val="99"/>
          <w:sz w:val="21"/>
          <w:shd w:fill="C0C0C0" w:color="auto" w:val="clear"/>
        </w:rPr>
        <w:t>（</w:t>
      </w:r>
      <w:r>
        <w:rPr>
          <w:color w:val="000000"/>
          <w:spacing w:val="3"/>
          <w:w w:val="99"/>
          <w:sz w:val="21"/>
          <w:shd w:fill="C0C0C0" w:color="auto" w:val="clear"/>
        </w:rPr>
        <w:t>观察期结束时被保险人未满</w:t>
      </w:r>
      <w:r>
        <w:rPr>
          <w:color w:val="000000"/>
          <w:spacing w:val="-46"/>
          <w:sz w:val="21"/>
          <w:shd w:fill="C0C0C0" w:color="auto" w:val="clear"/>
        </w:rPr>
        <w:t> </w:t>
      </w:r>
      <w:r>
        <w:rPr>
          <w:color w:val="000000"/>
          <w:w w:val="99"/>
          <w:sz w:val="21"/>
          <w:shd w:fill="C0C0C0" w:color="auto" w:val="clear"/>
        </w:rPr>
        <w:t>6</w:t>
      </w:r>
      <w:r>
        <w:rPr>
          <w:color w:val="000000"/>
          <w:spacing w:val="-49"/>
          <w:sz w:val="21"/>
          <w:shd w:fill="C0C0C0" w:color="auto" w:val="clear"/>
        </w:rPr>
        <w:t> </w:t>
      </w:r>
      <w:r>
        <w:rPr>
          <w:color w:val="000000"/>
          <w:spacing w:val="3"/>
          <w:w w:val="99"/>
          <w:sz w:val="21"/>
          <w:shd w:fill="C0C0C0" w:color="auto" w:val="clear"/>
        </w:rPr>
        <w:t>周岁的，则应持续至被保险人年满</w:t>
      </w:r>
      <w:r>
        <w:rPr>
          <w:color w:val="000000"/>
          <w:spacing w:val="-48"/>
          <w:sz w:val="21"/>
          <w:shd w:fill="C0C0C0" w:color="auto" w:val="clear"/>
        </w:rPr>
        <w:t> </w:t>
      </w:r>
      <w:r>
        <w:rPr>
          <w:color w:val="000000"/>
          <w:w w:val="99"/>
          <w:sz w:val="21"/>
          <w:shd w:fill="C0C0C0" w:color="auto" w:val="clear"/>
        </w:rPr>
        <w:t>6</w:t>
      </w:r>
      <w:r>
        <w:rPr>
          <w:color w:val="000000"/>
          <w:w w:val="99"/>
          <w:sz w:val="21"/>
          <w:shd w:fill="C0C0C0" w:color="auto" w:val="clear"/>
        </w:rPr>
        <w:t>                                                                                                                                                            </w:t>
      </w:r>
      <w:r>
        <w:rPr>
          <w:color w:val="000000"/>
          <w:spacing w:val="-1"/>
          <w:w w:val="99"/>
          <w:sz w:val="21"/>
          <w:shd w:fill="C0C0C0" w:color="auto" w:val="clear"/>
        </w:rPr>
        <w:t>周岁之日</w:t>
      </w:r>
      <w:r>
        <w:rPr>
          <w:color w:val="000000"/>
          <w:spacing w:val="-104"/>
          <w:w w:val="99"/>
          <w:sz w:val="21"/>
          <w:shd w:fill="C0C0C0" w:color="auto" w:val="clear"/>
        </w:rPr>
        <w:t>）</w:t>
      </w:r>
      <w:r>
        <w:rPr>
          <w:color w:val="000000"/>
          <w:spacing w:val="-1"/>
          <w:w w:val="99"/>
          <w:sz w:val="21"/>
        </w:rPr>
        <w:t>，本公司按照下列两项金额的较大者给付长期护理保险金，本合同效力终止：</w:t>
      </w:r>
    </w:p>
    <w:p>
      <w:pPr>
        <w:pStyle w:val="ListParagraph"/>
        <w:numPr>
          <w:ilvl w:val="0"/>
          <w:numId w:val="6"/>
        </w:numPr>
        <w:tabs>
          <w:tab w:pos="1065" w:val="left" w:leader="none"/>
        </w:tabs>
        <w:spacing w:line="269" w:lineRule="exact" w:before="0" w:after="0"/>
        <w:ind w:left="1064" w:right="0" w:hanging="525"/>
        <w:jc w:val="left"/>
        <w:rPr>
          <w:sz w:val="21"/>
        </w:rPr>
      </w:pPr>
      <w:r>
        <w:rPr>
          <w:spacing w:val="-1"/>
          <w:w w:val="95"/>
          <w:sz w:val="21"/>
        </w:rPr>
        <w:t>观察期结束之日的基本保险金额所对应的累计已交保险费；</w:t>
      </w:r>
    </w:p>
    <w:p>
      <w:pPr>
        <w:pStyle w:val="ListParagraph"/>
        <w:numPr>
          <w:ilvl w:val="0"/>
          <w:numId w:val="6"/>
        </w:numPr>
        <w:tabs>
          <w:tab w:pos="1065" w:val="left" w:leader="none"/>
        </w:tabs>
        <w:spacing w:line="240" w:lineRule="auto" w:before="43" w:after="0"/>
        <w:ind w:left="1064" w:right="0" w:hanging="525"/>
        <w:jc w:val="left"/>
        <w:rPr>
          <w:sz w:val="21"/>
        </w:rPr>
      </w:pPr>
      <w:r>
        <w:rPr>
          <w:spacing w:val="-1"/>
          <w:w w:val="95"/>
          <w:sz w:val="21"/>
        </w:rPr>
        <w:t>观察期结束之日本合同的现金价值。</w:t>
      </w:r>
    </w:p>
    <w:p>
      <w:pPr>
        <w:pStyle w:val="ListParagraph"/>
        <w:numPr>
          <w:ilvl w:val="0"/>
          <w:numId w:val="5"/>
        </w:numPr>
        <w:tabs>
          <w:tab w:pos="752" w:val="left" w:leader="none"/>
        </w:tabs>
        <w:spacing w:line="278" w:lineRule="auto" w:before="43" w:after="0"/>
        <w:ind w:left="120" w:right="1597" w:firstLine="420"/>
        <w:jc w:val="both"/>
        <w:rPr>
          <w:sz w:val="21"/>
        </w:rPr>
      </w:pPr>
      <w:r>
        <w:rPr>
          <w:spacing w:val="-1"/>
          <w:w w:val="99"/>
          <w:sz w:val="21"/>
        </w:rPr>
        <w:t>被保险人在年满</w:t>
      </w:r>
      <w:r>
        <w:rPr>
          <w:spacing w:val="-50"/>
          <w:sz w:val="21"/>
        </w:rPr>
        <w:t> </w:t>
      </w:r>
      <w:r>
        <w:rPr>
          <w:spacing w:val="1"/>
          <w:w w:val="99"/>
          <w:sz w:val="21"/>
        </w:rPr>
        <w:t>1</w:t>
      </w:r>
      <w:r>
        <w:rPr>
          <w:w w:val="99"/>
          <w:sz w:val="21"/>
        </w:rPr>
        <w:t>8</w:t>
      </w:r>
      <w:r>
        <w:rPr>
          <w:spacing w:val="-54"/>
          <w:sz w:val="21"/>
        </w:rPr>
        <w:t> </w:t>
      </w:r>
      <w:r>
        <w:rPr>
          <w:spacing w:val="-1"/>
          <w:w w:val="99"/>
          <w:sz w:val="21"/>
        </w:rPr>
        <w:t>周岁的首个保险单周年日</w:t>
      </w:r>
      <w:r>
        <w:rPr>
          <w:spacing w:val="2"/>
          <w:w w:val="99"/>
          <w:sz w:val="21"/>
        </w:rPr>
        <w:t>（</w:t>
      </w:r>
      <w:r>
        <w:rPr>
          <w:w w:val="99"/>
          <w:sz w:val="21"/>
        </w:rPr>
        <w:t>含当日</w:t>
      </w:r>
      <w:r>
        <w:rPr>
          <w:spacing w:val="-1"/>
          <w:w w:val="99"/>
          <w:sz w:val="21"/>
        </w:rPr>
        <w:t>）之后，且在本合同交费期满</w:t>
      </w:r>
      <w:r>
        <w:rPr>
          <w:spacing w:val="-29"/>
          <w:w w:val="99"/>
          <w:sz w:val="21"/>
        </w:rPr>
        <w:t>日</w:t>
      </w:r>
      <w:r>
        <w:rPr>
          <w:spacing w:val="-1"/>
          <w:w w:val="99"/>
          <w:sz w:val="21"/>
        </w:rPr>
        <w:t>（不含当日</w:t>
      </w:r>
      <w:r>
        <w:rPr>
          <w:spacing w:val="-32"/>
          <w:w w:val="99"/>
          <w:sz w:val="21"/>
        </w:rPr>
        <w:t>）</w:t>
      </w:r>
      <w:r>
        <w:rPr>
          <w:spacing w:val="-3"/>
          <w:w w:val="99"/>
          <w:sz w:val="21"/>
        </w:rPr>
        <w:t>之前丧失日常生活能力且持续至观察期结束，本公司按照下列两项金额的较</w:t>
      </w:r>
      <w:r>
        <w:rPr>
          <w:spacing w:val="-1"/>
          <w:w w:val="99"/>
          <w:sz w:val="21"/>
        </w:rPr>
        <w:t>大者给付长期护理保险金，本合同效力终止：</w:t>
      </w:r>
    </w:p>
    <w:p>
      <w:pPr>
        <w:pStyle w:val="ListParagraph"/>
        <w:numPr>
          <w:ilvl w:val="0"/>
          <w:numId w:val="7"/>
        </w:numPr>
        <w:tabs>
          <w:tab w:pos="1065" w:val="left" w:leader="none"/>
        </w:tabs>
        <w:spacing w:line="269" w:lineRule="exact" w:before="0" w:after="0"/>
        <w:ind w:left="1064" w:right="0" w:hanging="525"/>
        <w:jc w:val="left"/>
        <w:rPr>
          <w:sz w:val="21"/>
        </w:rPr>
      </w:pPr>
      <w:r>
        <w:rPr>
          <w:spacing w:val="-1"/>
          <w:w w:val="95"/>
          <w:sz w:val="21"/>
        </w:rPr>
        <w:t>观察期结束之日的基本保险金额所对应的累计已交保险费乘以以下给付比例：</w:t>
      </w:r>
    </w:p>
    <w:p>
      <w:pPr>
        <w:spacing w:after="0" w:line="269" w:lineRule="exact"/>
        <w:jc w:val="left"/>
        <w:rPr>
          <w:sz w:val="21"/>
        </w:rPr>
        <w:sectPr>
          <w:pgSz w:w="11910" w:h="16840"/>
          <w:pgMar w:header="0" w:footer="991" w:top="1580" w:bottom="1180" w:left="1680" w:right="200"/>
        </w:sectPr>
      </w:pP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33"/>
              <w:ind w:left="452"/>
              <w:rPr>
                <w:sz w:val="21"/>
              </w:rPr>
            </w:pPr>
            <w:r>
              <w:rPr>
                <w:spacing w:val="-3"/>
                <w:w w:val="95"/>
                <w:sz w:val="21"/>
              </w:rPr>
              <w:t>到达年龄</w:t>
            </w:r>
          </w:p>
        </w:tc>
        <w:tc>
          <w:tcPr>
            <w:tcW w:w="2251" w:type="dxa"/>
          </w:tcPr>
          <w:p>
            <w:pPr>
              <w:pStyle w:val="TableParagraph"/>
              <w:spacing w:before="33"/>
              <w:ind w:right="704"/>
              <w:rPr>
                <w:sz w:val="21"/>
              </w:rPr>
            </w:pPr>
            <w:r>
              <w:rPr>
                <w:spacing w:val="-3"/>
                <w:w w:val="95"/>
                <w:sz w:val="21"/>
              </w:rPr>
              <w:t>给付比例</w:t>
            </w:r>
          </w:p>
        </w:tc>
      </w:tr>
      <w:tr>
        <w:trPr>
          <w:trHeight w:val="325" w:hRule="atLeast"/>
        </w:trPr>
        <w:tc>
          <w:tcPr>
            <w:tcW w:w="2225" w:type="dxa"/>
          </w:tcPr>
          <w:p>
            <w:pPr>
              <w:pStyle w:val="TableParagraph"/>
              <w:ind w:left="454"/>
              <w:rPr>
                <w:sz w:val="21"/>
              </w:rPr>
            </w:pPr>
            <w:r>
              <w:rPr>
                <w:w w:val="95"/>
                <w:sz w:val="21"/>
              </w:rPr>
              <w:t>18-40</w:t>
            </w:r>
            <w:r>
              <w:rPr>
                <w:spacing w:val="-10"/>
                <w:w w:val="95"/>
                <w:sz w:val="21"/>
              </w:rPr>
              <w:t> 周岁</w:t>
            </w:r>
          </w:p>
        </w:tc>
        <w:tc>
          <w:tcPr>
            <w:tcW w:w="2251" w:type="dxa"/>
          </w:tcPr>
          <w:p>
            <w:pPr>
              <w:pStyle w:val="TableParagraph"/>
              <w:ind w:right="703"/>
              <w:rPr>
                <w:sz w:val="21"/>
              </w:rPr>
            </w:pPr>
            <w:r>
              <w:rPr>
                <w:spacing w:val="-4"/>
                <w:sz w:val="21"/>
              </w:rPr>
              <w:t>160%</w:t>
            </w:r>
          </w:p>
        </w:tc>
      </w:tr>
      <w:tr>
        <w:trPr>
          <w:trHeight w:val="334" w:hRule="atLeast"/>
        </w:trPr>
        <w:tc>
          <w:tcPr>
            <w:tcW w:w="2225" w:type="dxa"/>
          </w:tcPr>
          <w:p>
            <w:pPr>
              <w:pStyle w:val="TableParagraph"/>
              <w:spacing w:before="31"/>
              <w:ind w:left="454"/>
              <w:rPr>
                <w:sz w:val="21"/>
              </w:rPr>
            </w:pPr>
            <w:r>
              <w:rPr>
                <w:w w:val="95"/>
                <w:sz w:val="21"/>
              </w:rPr>
              <w:t>41-60</w:t>
            </w:r>
            <w:r>
              <w:rPr>
                <w:spacing w:val="-10"/>
                <w:w w:val="95"/>
                <w:sz w:val="21"/>
              </w:rPr>
              <w:t> 周岁</w:t>
            </w:r>
          </w:p>
        </w:tc>
        <w:tc>
          <w:tcPr>
            <w:tcW w:w="2251" w:type="dxa"/>
          </w:tcPr>
          <w:p>
            <w:pPr>
              <w:pStyle w:val="TableParagraph"/>
              <w:spacing w:before="31"/>
              <w:ind w:right="703"/>
              <w:rPr>
                <w:sz w:val="21"/>
              </w:rPr>
            </w:pPr>
            <w:r>
              <w:rPr>
                <w:spacing w:val="-4"/>
                <w:sz w:val="21"/>
              </w:rPr>
              <w:t>140%</w:t>
            </w:r>
          </w:p>
        </w:tc>
      </w:tr>
      <w:tr>
        <w:trPr>
          <w:trHeight w:val="325" w:hRule="atLeast"/>
        </w:trPr>
        <w:tc>
          <w:tcPr>
            <w:tcW w:w="2225" w:type="dxa"/>
          </w:tcPr>
          <w:p>
            <w:pPr>
              <w:pStyle w:val="TableParagraph"/>
              <w:spacing w:before="28"/>
              <w:ind w:left="454"/>
              <w:rPr>
                <w:sz w:val="21"/>
              </w:rPr>
            </w:pPr>
            <w:r>
              <w:rPr>
                <w:w w:val="95"/>
                <w:sz w:val="21"/>
              </w:rPr>
              <w:t>61</w:t>
            </w:r>
            <w:r>
              <w:rPr>
                <w:spacing w:val="-4"/>
                <w:w w:val="95"/>
                <w:sz w:val="21"/>
              </w:rPr>
              <w:t> 周岁及以上</w:t>
            </w:r>
          </w:p>
        </w:tc>
        <w:tc>
          <w:tcPr>
            <w:tcW w:w="2251" w:type="dxa"/>
          </w:tcPr>
          <w:p>
            <w:pPr>
              <w:pStyle w:val="TableParagraph"/>
              <w:spacing w:before="28"/>
              <w:ind w:right="703"/>
              <w:rPr>
                <w:sz w:val="21"/>
              </w:rPr>
            </w:pPr>
            <w:r>
              <w:rPr>
                <w:spacing w:val="-4"/>
                <w:sz w:val="21"/>
              </w:rPr>
              <w:t>120%</w:t>
            </w:r>
          </w:p>
        </w:tc>
      </w:tr>
    </w:tbl>
    <w:p>
      <w:pPr>
        <w:pStyle w:val="BodyText"/>
        <w:spacing w:before="4"/>
        <w:rPr>
          <w:sz w:val="10"/>
        </w:rPr>
      </w:pPr>
      <w:r>
        <w:rPr/>
        <w:drawing>
          <wp:anchor distT="0" distB="0" distL="0" distR="0" allowOverlap="1" layoutInCell="1" locked="0" behindDoc="1" simplePos="0" relativeHeight="487181312">
            <wp:simplePos x="0" y="0"/>
            <wp:positionH relativeFrom="page">
              <wp:posOffset>1143000</wp:posOffset>
            </wp:positionH>
            <wp:positionV relativeFrom="paragraph">
              <wp:posOffset>99694</wp:posOffset>
            </wp:positionV>
            <wp:extent cx="5276215" cy="38354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5276215" cy="383540"/>
                    </a:xfrm>
                    <a:prstGeom prst="rect">
                      <a:avLst/>
                    </a:prstGeom>
                  </pic:spPr>
                </pic:pic>
              </a:graphicData>
            </a:graphic>
          </wp:anchor>
        </w:drawing>
      </w:r>
      <w:r>
        <w:rPr/>
        <w:pict>
          <v:shape style="position:absolute;margin-left:90pt;margin-top:7.85pt;width:415.45pt;height:30.2pt;mso-position-horizontal-relative:page;mso-position-vertical-relative:paragraph;z-index:-15726080;mso-wrap-distance-left:0;mso-wrap-distance-right:0" type="#_x0000_t202" id="docshape6" filled="false" stroked="false">
            <v:textbox inset="0,0,0,0">
              <w:txbxContent>
                <w:p>
                  <w:pPr>
                    <w:pStyle w:val="BodyText"/>
                    <w:spacing w:before="21"/>
                    <w:ind w:left="420"/>
                  </w:pPr>
                  <w:r>
                    <w:rPr>
                      <w:w w:val="95"/>
                    </w:rPr>
                    <w:t>其中，到达年龄指的是被保险人原始投</w:t>
                  </w:r>
                  <w:r>
                    <w:rPr>
                      <w:w w:val="95"/>
                    </w:rPr>
                    <w:t>保</w:t>
                  </w:r>
                  <w:r>
                    <w:rPr>
                      <w:w w:val="95"/>
                    </w:rPr>
                    <w:t>年</w:t>
                  </w:r>
                  <w:r>
                    <w:rPr>
                      <w:w w:val="95"/>
                    </w:rPr>
                    <w:t>龄，加上当时保险单年度数，再减去</w:t>
                  </w:r>
                  <w:r>
                    <w:rPr>
                      <w:spacing w:val="63"/>
                    </w:rPr>
                    <w:t> </w:t>
                  </w:r>
                  <w:r>
                    <w:rPr>
                      <w:w w:val="95"/>
                    </w:rPr>
                    <w:t>1</w:t>
                  </w:r>
                  <w:r>
                    <w:rPr>
                      <w:spacing w:val="67"/>
                    </w:rPr>
                    <w:t> </w:t>
                  </w:r>
                  <w:r>
                    <w:rPr>
                      <w:spacing w:val="-5"/>
                      <w:w w:val="95"/>
                    </w:rPr>
                    <w:t>后所</w:t>
                  </w:r>
                </w:p>
                <w:p>
                  <w:pPr>
                    <w:pStyle w:val="BodyText"/>
                    <w:spacing w:before="43"/>
                  </w:pPr>
                  <w:r>
                    <w:rPr>
                      <w:spacing w:val="-2"/>
                      <w:w w:val="95"/>
                    </w:rPr>
                    <w:t>得到的年龄。</w:t>
                  </w:r>
                </w:p>
              </w:txbxContent>
            </v:textbox>
            <w10:wrap type="topAndBottom"/>
          </v:shape>
        </w:pict>
      </w:r>
      <w:r>
        <w:rPr/>
        <w:drawing>
          <wp:anchor distT="0" distB="0" distL="0" distR="0" allowOverlap="1" layoutInCell="1" locked="0" behindDoc="1" simplePos="0" relativeHeight="487189504">
            <wp:simplePos x="0" y="0"/>
            <wp:positionH relativeFrom="page">
              <wp:posOffset>1409700</wp:posOffset>
            </wp:positionH>
            <wp:positionV relativeFrom="page">
              <wp:posOffset>7406640</wp:posOffset>
            </wp:positionV>
            <wp:extent cx="5040630" cy="383539"/>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5040630" cy="383539"/>
                    </a:xfrm>
                    <a:prstGeom prst="rect">
                      <a:avLst/>
                    </a:prstGeom>
                  </pic:spPr>
                </pic:pic>
              </a:graphicData>
            </a:graphic>
          </wp:anchor>
        </w:drawing>
      </w:r>
      <w:r>
        <w:rPr/>
        <w:pict>
          <v:shape style="position:absolute;margin-left:111pt;margin-top:583.200012pt;width:402.15pt;height:30.2pt;mso-position-horizontal-relative:page;mso-position-vertical-relative:page;z-index:-16126464" type="#_x0000_t202" id="docshape7" filled="false" stroked="false">
            <v:textbox inset="0,0,0,0">
              <w:txbxContent>
                <w:p>
                  <w:pPr>
                    <w:pStyle w:val="BodyText"/>
                    <w:spacing w:before="21"/>
                    <w:rPr>
                      <w:rFonts w:ascii="黑体" w:eastAsia="黑体"/>
                    </w:rPr>
                  </w:pPr>
                  <w:r>
                    <w:rPr>
                      <w:rFonts w:ascii="黑体" w:eastAsia="黑体"/>
                      <w:w w:val="95"/>
                    </w:rPr>
                    <w:t>（八）不孕不育</w:t>
                  </w:r>
                  <w:r>
                    <w:rPr>
                      <w:rFonts w:ascii="黑体" w:eastAsia="黑体"/>
                      <w:w w:val="95"/>
                    </w:rPr>
                    <w:t>治</w:t>
                  </w:r>
                  <w:r>
                    <w:rPr>
                      <w:rFonts w:ascii="黑体" w:eastAsia="黑体"/>
                      <w:w w:val="95"/>
                    </w:rPr>
                    <w:t>疗</w:t>
                  </w:r>
                  <w:r>
                    <w:rPr>
                      <w:rFonts w:ascii="黑体" w:eastAsia="黑体"/>
                      <w:w w:val="95"/>
                    </w:rPr>
                    <w:t>、人工</w:t>
                  </w:r>
                  <w:r>
                    <w:rPr>
                      <w:rFonts w:ascii="黑体" w:eastAsia="黑体"/>
                      <w:w w:val="95"/>
                    </w:rPr>
                    <w:t>受</w:t>
                  </w:r>
                  <w:r>
                    <w:rPr>
                      <w:rFonts w:ascii="黑体" w:eastAsia="黑体"/>
                      <w:w w:val="95"/>
                    </w:rPr>
                    <w:t>精</w:t>
                  </w:r>
                  <w:r>
                    <w:rPr>
                      <w:rFonts w:ascii="黑体" w:eastAsia="黑体"/>
                      <w:w w:val="95"/>
                    </w:rPr>
                    <w:t>、怀孕、分娩（含难产</w:t>
                  </w:r>
                  <w:r>
                    <w:rPr>
                      <w:rFonts w:ascii="黑体" w:eastAsia="黑体"/>
                      <w:spacing w:val="-104"/>
                      <w:w w:val="95"/>
                    </w:rPr>
                    <w:t>）</w:t>
                  </w:r>
                  <w:r>
                    <w:rPr>
                      <w:rFonts w:ascii="黑体" w:eastAsia="黑体"/>
                      <w:w w:val="95"/>
                    </w:rPr>
                    <w:t>、</w:t>
                  </w:r>
                  <w:r>
                    <w:rPr>
                      <w:rFonts w:ascii="黑体" w:eastAsia="黑体"/>
                      <w:w w:val="95"/>
                    </w:rPr>
                    <w:t>流</w:t>
                  </w:r>
                  <w:r>
                    <w:rPr>
                      <w:rFonts w:ascii="黑体" w:eastAsia="黑体"/>
                      <w:w w:val="95"/>
                    </w:rPr>
                    <w:t>产</w:t>
                  </w:r>
                  <w:r>
                    <w:rPr>
                      <w:rFonts w:ascii="黑体" w:eastAsia="黑体"/>
                      <w:w w:val="95"/>
                    </w:rPr>
                    <w:t>、堕胎、节育（含绝育</w:t>
                  </w:r>
                  <w:r>
                    <w:rPr>
                      <w:rFonts w:ascii="黑体" w:eastAsia="黑体"/>
                      <w:spacing w:val="-104"/>
                      <w:w w:val="95"/>
                    </w:rPr>
                    <w:t>）</w:t>
                  </w:r>
                  <w:r>
                    <w:rPr>
                      <w:rFonts w:ascii="黑体" w:eastAsia="黑体"/>
                      <w:spacing w:val="-10"/>
                      <w:w w:val="95"/>
                    </w:rPr>
                    <w:t>、</w:t>
                  </w:r>
                </w:p>
              </w:txbxContent>
            </v:textbox>
            <w10:wrap type="none"/>
          </v:shape>
        </w:pict>
      </w:r>
      <w:r>
        <w:rPr/>
        <w:pict>
          <v:shape style="position:absolute;margin-left:111pt;margin-top:567.600037pt;width:210.45pt;height:14.6pt;mso-position-horizontal-relative:page;mso-position-vertical-relative:page;z-index:15739904" type="#_x0000_t202" id="docshape8" filled="true" fillcolor="#c0c0c0" stroked="false">
            <v:textbox inset="0,0,0,0">
              <w:txbxContent>
                <w:p>
                  <w:pPr>
                    <w:spacing w:before="21"/>
                    <w:ind w:left="0" w:right="0" w:firstLine="0"/>
                    <w:jc w:val="left"/>
                    <w:rPr>
                      <w:rFonts w:ascii="黑体" w:eastAsia="黑体"/>
                      <w:color w:val="000000"/>
                      <w:sz w:val="21"/>
                    </w:rPr>
                  </w:pPr>
                  <w:r>
                    <w:rPr>
                      <w:rFonts w:ascii="黑体" w:eastAsia="黑体"/>
                      <w:color w:val="000000"/>
                      <w:w w:val="95"/>
                      <w:sz w:val="21"/>
                    </w:rPr>
                    <w:t>（七）被保险人</w:t>
                  </w:r>
                  <w:r>
                    <w:rPr>
                      <w:rFonts w:ascii="黑体" w:eastAsia="黑体" w:hint="eastAsia"/>
                      <w:b/>
                      <w:color w:val="000000"/>
                      <w:w w:val="95"/>
                      <w:sz w:val="21"/>
                    </w:rPr>
                    <w:t>感</w:t>
                  </w:r>
                  <w:r>
                    <w:rPr>
                      <w:rFonts w:ascii="黑体" w:eastAsia="黑体" w:hint="eastAsia"/>
                      <w:b/>
                      <w:color w:val="000000"/>
                      <w:w w:val="95"/>
                      <w:sz w:val="21"/>
                    </w:rPr>
                    <w:t>染</w:t>
                  </w:r>
                  <w:r>
                    <w:rPr>
                      <w:rFonts w:ascii="黑体" w:eastAsia="黑体" w:hint="eastAsia"/>
                      <w:b/>
                      <w:color w:val="000000"/>
                      <w:w w:val="95"/>
                      <w:sz w:val="21"/>
                    </w:rPr>
                    <w:t>艾</w:t>
                  </w:r>
                  <w:r>
                    <w:rPr>
                      <w:rFonts w:ascii="黑体" w:eastAsia="黑体" w:hint="eastAsia"/>
                      <w:b/>
                      <w:color w:val="000000"/>
                      <w:w w:val="95"/>
                      <w:sz w:val="21"/>
                    </w:rPr>
                    <w:t>滋</w:t>
                  </w:r>
                  <w:r>
                    <w:rPr>
                      <w:rFonts w:ascii="黑体" w:eastAsia="黑体" w:hint="eastAsia"/>
                      <w:b/>
                      <w:color w:val="000000"/>
                      <w:w w:val="95"/>
                      <w:sz w:val="21"/>
                    </w:rPr>
                    <w:t>病</w:t>
                  </w:r>
                  <w:r>
                    <w:rPr>
                      <w:rFonts w:ascii="黑体" w:eastAsia="黑体" w:hint="eastAsia"/>
                      <w:b/>
                      <w:color w:val="000000"/>
                      <w:w w:val="95"/>
                      <w:sz w:val="21"/>
                    </w:rPr>
                    <w:t>病</w:t>
                  </w:r>
                  <w:r>
                    <w:rPr>
                      <w:rFonts w:ascii="黑体" w:eastAsia="黑体" w:hint="eastAsia"/>
                      <w:b/>
                      <w:color w:val="000000"/>
                      <w:w w:val="95"/>
                      <w:sz w:val="21"/>
                    </w:rPr>
                    <w:t>毒</w:t>
                  </w:r>
                  <w:r>
                    <w:rPr>
                      <w:rFonts w:ascii="黑体" w:eastAsia="黑体" w:hint="eastAsia"/>
                      <w:b/>
                      <w:color w:val="000000"/>
                      <w:w w:val="95"/>
                      <w:sz w:val="21"/>
                    </w:rPr>
                    <w:t>或</w:t>
                  </w:r>
                  <w:r>
                    <w:rPr>
                      <w:rFonts w:ascii="黑体" w:eastAsia="黑体" w:hint="eastAsia"/>
                      <w:b/>
                      <w:color w:val="000000"/>
                      <w:w w:val="95"/>
                      <w:sz w:val="21"/>
                    </w:rPr>
                    <w:t>患</w:t>
                  </w:r>
                  <w:r>
                    <w:rPr>
                      <w:rFonts w:ascii="黑体" w:eastAsia="黑体" w:hint="eastAsia"/>
                      <w:b/>
                      <w:color w:val="000000"/>
                      <w:w w:val="95"/>
                      <w:sz w:val="21"/>
                    </w:rPr>
                    <w:t>艾</w:t>
                  </w:r>
                  <w:r>
                    <w:rPr>
                      <w:rFonts w:ascii="黑体" w:eastAsia="黑体" w:hint="eastAsia"/>
                      <w:b/>
                      <w:color w:val="000000"/>
                      <w:w w:val="95"/>
                      <w:sz w:val="21"/>
                    </w:rPr>
                    <w:t>滋</w:t>
                  </w:r>
                  <w:r>
                    <w:rPr>
                      <w:rFonts w:ascii="黑体" w:eastAsia="黑体" w:hint="eastAsia"/>
                      <w:b/>
                      <w:color w:val="000000"/>
                      <w:w w:val="95"/>
                      <w:sz w:val="21"/>
                    </w:rPr>
                    <w:t>病</w:t>
                  </w:r>
                  <w:r>
                    <w:rPr>
                      <w:rFonts w:ascii="黑体" w:eastAsia="黑体"/>
                      <w:color w:val="000000"/>
                      <w:spacing w:val="-10"/>
                      <w:w w:val="95"/>
                      <w:sz w:val="21"/>
                    </w:rPr>
                    <w:t>；</w:t>
                  </w:r>
                </w:p>
              </w:txbxContent>
            </v:textbox>
            <v:fill type="solid"/>
            <w10:wrap type="none"/>
          </v:shape>
        </w:pict>
      </w:r>
      <w:r>
        <w:rPr/>
        <w:pict>
          <v:shape style="position:absolute;margin-left:111pt;margin-top:552pt;width:252.75pt;height:14.6pt;mso-position-horizontal-relative:page;mso-position-vertical-relative:page;z-index:15740416" type="#_x0000_t202" id="docshape9" filled="true" fillcolor="#c0c0c0" stroked="false">
            <v:textbox inset="0,0,0,0">
              <w:txbxContent>
                <w:p>
                  <w:pPr>
                    <w:spacing w:before="21"/>
                    <w:ind w:left="0" w:right="0" w:firstLine="0"/>
                    <w:jc w:val="left"/>
                    <w:rPr>
                      <w:rFonts w:ascii="黑体" w:eastAsia="黑体"/>
                      <w:color w:val="000000"/>
                      <w:sz w:val="21"/>
                    </w:rPr>
                  </w:pPr>
                  <w:r>
                    <w:rPr>
                      <w:rFonts w:ascii="黑体" w:eastAsia="黑体"/>
                      <w:color w:val="000000"/>
                      <w:w w:val="95"/>
                      <w:sz w:val="21"/>
                    </w:rPr>
                    <w:t>（六）</w:t>
                  </w:r>
                  <w:r>
                    <w:rPr>
                      <w:rFonts w:ascii="黑体" w:eastAsia="黑体" w:hint="eastAsia"/>
                      <w:b/>
                      <w:color w:val="000000"/>
                      <w:w w:val="95"/>
                      <w:sz w:val="21"/>
                    </w:rPr>
                    <w:t>遗</w:t>
                  </w:r>
                  <w:r>
                    <w:rPr>
                      <w:rFonts w:ascii="黑体" w:eastAsia="黑体" w:hint="eastAsia"/>
                      <w:b/>
                      <w:color w:val="000000"/>
                      <w:w w:val="95"/>
                      <w:sz w:val="21"/>
                    </w:rPr>
                    <w:t>传</w:t>
                  </w:r>
                  <w:r>
                    <w:rPr>
                      <w:rFonts w:ascii="黑体" w:eastAsia="黑体" w:hint="eastAsia"/>
                      <w:b/>
                      <w:color w:val="000000"/>
                      <w:w w:val="95"/>
                      <w:sz w:val="21"/>
                    </w:rPr>
                    <w:t>性</w:t>
                  </w:r>
                  <w:r>
                    <w:rPr>
                      <w:rFonts w:ascii="黑体" w:eastAsia="黑体" w:hint="eastAsia"/>
                      <w:b/>
                      <w:color w:val="000000"/>
                      <w:w w:val="95"/>
                      <w:sz w:val="21"/>
                    </w:rPr>
                    <w:t>疾病</w:t>
                  </w:r>
                  <w:r>
                    <w:rPr>
                      <w:rFonts w:ascii="黑体" w:eastAsia="黑体"/>
                      <w:color w:val="000000"/>
                      <w:w w:val="95"/>
                      <w:sz w:val="21"/>
                    </w:rPr>
                    <w:t>、</w:t>
                  </w:r>
                  <w:r>
                    <w:rPr>
                      <w:rFonts w:ascii="黑体" w:eastAsia="黑体" w:hint="eastAsia"/>
                      <w:b/>
                      <w:color w:val="000000"/>
                      <w:w w:val="95"/>
                      <w:sz w:val="21"/>
                    </w:rPr>
                    <w:t>先</w:t>
                  </w:r>
                  <w:r>
                    <w:rPr>
                      <w:rFonts w:ascii="黑体" w:eastAsia="黑体" w:hint="eastAsia"/>
                      <w:b/>
                      <w:color w:val="000000"/>
                      <w:w w:val="95"/>
                      <w:sz w:val="21"/>
                    </w:rPr>
                    <w:t>天</w:t>
                  </w:r>
                  <w:r>
                    <w:rPr>
                      <w:rFonts w:ascii="黑体" w:eastAsia="黑体" w:hint="eastAsia"/>
                      <w:b/>
                      <w:color w:val="000000"/>
                      <w:w w:val="95"/>
                      <w:sz w:val="21"/>
                    </w:rPr>
                    <w:t>性</w:t>
                  </w:r>
                  <w:r>
                    <w:rPr>
                      <w:rFonts w:ascii="黑体" w:eastAsia="黑体" w:hint="eastAsia"/>
                      <w:b/>
                      <w:color w:val="000000"/>
                      <w:w w:val="95"/>
                      <w:sz w:val="21"/>
                    </w:rPr>
                    <w:t>畸</w:t>
                  </w:r>
                  <w:r>
                    <w:rPr>
                      <w:rFonts w:ascii="黑体" w:eastAsia="黑体" w:hint="eastAsia"/>
                      <w:b/>
                      <w:color w:val="000000"/>
                      <w:w w:val="95"/>
                      <w:sz w:val="21"/>
                    </w:rPr>
                    <w:t>形</w:t>
                  </w:r>
                  <w:r>
                    <w:rPr>
                      <w:rFonts w:ascii="黑体" w:eastAsia="黑体" w:hint="eastAsia"/>
                      <w:b/>
                      <w:color w:val="000000"/>
                      <w:w w:val="95"/>
                      <w:sz w:val="21"/>
                    </w:rPr>
                    <w:t>、</w:t>
                  </w:r>
                  <w:r>
                    <w:rPr>
                      <w:rFonts w:ascii="黑体" w:eastAsia="黑体" w:hint="eastAsia"/>
                      <w:b/>
                      <w:color w:val="000000"/>
                      <w:w w:val="95"/>
                      <w:sz w:val="21"/>
                    </w:rPr>
                    <w:t>变</w:t>
                  </w:r>
                  <w:r>
                    <w:rPr>
                      <w:rFonts w:ascii="黑体" w:eastAsia="黑体" w:hint="eastAsia"/>
                      <w:b/>
                      <w:color w:val="000000"/>
                      <w:w w:val="95"/>
                      <w:sz w:val="21"/>
                    </w:rPr>
                    <w:t>形</w:t>
                  </w:r>
                  <w:r>
                    <w:rPr>
                      <w:rFonts w:ascii="黑体" w:eastAsia="黑体" w:hint="eastAsia"/>
                      <w:b/>
                      <w:color w:val="000000"/>
                      <w:w w:val="95"/>
                      <w:sz w:val="21"/>
                    </w:rPr>
                    <w:t>或</w:t>
                  </w:r>
                  <w:r>
                    <w:rPr>
                      <w:rFonts w:ascii="黑体" w:eastAsia="黑体" w:hint="eastAsia"/>
                      <w:b/>
                      <w:color w:val="000000"/>
                      <w:w w:val="95"/>
                      <w:sz w:val="21"/>
                    </w:rPr>
                    <w:t>染</w:t>
                  </w:r>
                  <w:r>
                    <w:rPr>
                      <w:rFonts w:ascii="黑体" w:eastAsia="黑体" w:hint="eastAsia"/>
                      <w:b/>
                      <w:color w:val="000000"/>
                      <w:w w:val="95"/>
                      <w:sz w:val="21"/>
                    </w:rPr>
                    <w:t>色</w:t>
                  </w:r>
                  <w:r>
                    <w:rPr>
                      <w:rFonts w:ascii="黑体" w:eastAsia="黑体" w:hint="eastAsia"/>
                      <w:b/>
                      <w:color w:val="000000"/>
                      <w:w w:val="95"/>
                      <w:sz w:val="21"/>
                    </w:rPr>
                    <w:t>体</w:t>
                  </w:r>
                  <w:r>
                    <w:rPr>
                      <w:rFonts w:ascii="黑体" w:eastAsia="黑体" w:hint="eastAsia"/>
                      <w:b/>
                      <w:color w:val="000000"/>
                      <w:w w:val="95"/>
                      <w:sz w:val="21"/>
                    </w:rPr>
                    <w:t>异</w:t>
                  </w:r>
                  <w:r>
                    <w:rPr>
                      <w:rFonts w:ascii="黑体" w:eastAsia="黑体" w:hint="eastAsia"/>
                      <w:b/>
                      <w:color w:val="000000"/>
                      <w:w w:val="95"/>
                      <w:sz w:val="21"/>
                    </w:rPr>
                    <w:t>常</w:t>
                  </w:r>
                  <w:r>
                    <w:rPr>
                      <w:rFonts w:ascii="黑体" w:eastAsia="黑体"/>
                      <w:color w:val="000000"/>
                      <w:spacing w:val="-10"/>
                      <w:w w:val="95"/>
                      <w:sz w:val="21"/>
                    </w:rPr>
                    <w:t>；</w:t>
                  </w:r>
                </w:p>
              </w:txbxContent>
            </v:textbox>
            <v:fill type="solid"/>
            <w10:wrap type="none"/>
          </v:shape>
        </w:pict>
      </w:r>
      <w:r>
        <w:rPr/>
        <w:drawing>
          <wp:anchor distT="0" distB="0" distL="0" distR="0" allowOverlap="1" layoutInCell="1" locked="0" behindDoc="1" simplePos="0" relativeHeight="487191552">
            <wp:simplePos x="0" y="0"/>
            <wp:positionH relativeFrom="page">
              <wp:posOffset>1952625</wp:posOffset>
            </wp:positionH>
            <wp:positionV relativeFrom="page">
              <wp:posOffset>8397240</wp:posOffset>
            </wp:positionV>
            <wp:extent cx="4278323" cy="185737"/>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4278323" cy="185737"/>
                    </a:xfrm>
                    <a:prstGeom prst="rect">
                      <a:avLst/>
                    </a:prstGeom>
                  </pic:spPr>
                </pic:pic>
              </a:graphicData>
            </a:graphic>
          </wp:anchor>
        </w:drawing>
      </w:r>
      <w:r>
        <w:rPr/>
        <w:drawing>
          <wp:anchor distT="0" distB="0" distL="0" distR="0" allowOverlap="1" layoutInCell="1" locked="0" behindDoc="0" simplePos="0" relativeHeight="15741440">
            <wp:simplePos x="0" y="0"/>
            <wp:positionH relativeFrom="page">
              <wp:posOffset>1409700</wp:posOffset>
            </wp:positionH>
            <wp:positionV relativeFrom="page">
              <wp:posOffset>9387840</wp:posOffset>
            </wp:positionV>
            <wp:extent cx="5008880" cy="185420"/>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5008880" cy="185420"/>
                    </a:xfrm>
                    <a:prstGeom prst="rect">
                      <a:avLst/>
                    </a:prstGeom>
                  </pic:spPr>
                </pic:pic>
              </a:graphicData>
            </a:graphic>
          </wp:anchor>
        </w:drawing>
      </w:r>
      <w:r>
        <w:rPr/>
        <w:pict>
          <v:shape style="position:absolute;margin-left:90pt;margin-top:754.800049pt;width:115.5pt;height:14.6pt;mso-position-horizontal-relative:page;mso-position-vertical-relative:page;z-index:15741952" type="#_x0000_t202" id="docshape10" filled="true" fillcolor="#c0c0c0" stroked="false">
            <v:textbox inset="0,0,0,0">
              <w:txbxContent>
                <w:p>
                  <w:pPr>
                    <w:pStyle w:val="BodyText"/>
                    <w:spacing w:before="21"/>
                    <w:rPr>
                      <w:rFonts w:ascii="黑体" w:eastAsia="黑体"/>
                      <w:color w:val="000000"/>
                    </w:rPr>
                  </w:pPr>
                  <w:r>
                    <w:rPr>
                      <w:rFonts w:ascii="黑体" w:eastAsia="黑体"/>
                      <w:color w:val="000000"/>
                      <w:spacing w:val="-1"/>
                      <w:w w:val="95"/>
                    </w:rPr>
                    <w:t>现金价值，本合同终止。</w:t>
                  </w:r>
                </w:p>
              </w:txbxContent>
            </v:textbox>
            <v:fill type="solid"/>
            <w10:wrap type="none"/>
          </v:shape>
        </w:pict>
      </w:r>
      <w:r>
        <w:rPr/>
        <w:pict>
          <v:shape style="position:absolute;margin-left:90pt;margin-top:723.600037pt;width:94.5pt;height:14.6pt;mso-position-horizontal-relative:page;mso-position-vertical-relative:page;z-index:15742464" type="#_x0000_t202" id="docshape11" filled="true" fillcolor="#c0c0c0" stroked="false">
            <v:textbox inset="0,0,0,0">
              <w:txbxContent>
                <w:p>
                  <w:pPr>
                    <w:pStyle w:val="BodyText"/>
                    <w:spacing w:before="21"/>
                    <w:rPr>
                      <w:rFonts w:ascii="黑体" w:eastAsia="黑体"/>
                      <w:color w:val="000000"/>
                    </w:rPr>
                  </w:pPr>
                  <w:r>
                    <w:rPr>
                      <w:rFonts w:ascii="黑体" w:eastAsia="黑体"/>
                      <w:color w:val="000000"/>
                      <w:spacing w:val="-2"/>
                      <w:w w:val="95"/>
                    </w:rPr>
                    <w:t>价值，本合同终止。</w:t>
                  </w:r>
                </w:p>
              </w:txbxContent>
            </v:textbox>
            <v:fill type="solid"/>
            <w10:wrap type="none"/>
          </v:shape>
        </w:pict>
      </w:r>
      <w:r>
        <w:rPr/>
        <w:pict>
          <v:shape style="position:absolute;margin-left:111pt;margin-top:739.200012pt;width:394.4pt;height:14.6pt;mso-position-horizontal-relative:page;mso-position-vertical-relative:page;z-index:15742976" type="#_x0000_t202" id="docshape12" filled="false" stroked="false">
            <v:textbox inset="0,0,0,0">
              <w:txbxContent>
                <w:p>
                  <w:pPr>
                    <w:pStyle w:val="BodyText"/>
                    <w:spacing w:before="21"/>
                    <w:rPr>
                      <w:rFonts w:ascii="黑体" w:eastAsia="黑体"/>
                    </w:rPr>
                  </w:pPr>
                  <w:r>
                    <w:rPr>
                      <w:rFonts w:ascii="黑体" w:eastAsia="黑体"/>
                      <w:w w:val="95"/>
                    </w:rPr>
                    <w:t>被保险人因上述第（一）项情形丧失日常生活能</w:t>
                  </w:r>
                  <w:r>
                    <w:rPr>
                      <w:rFonts w:ascii="黑体" w:eastAsia="黑体"/>
                      <w:w w:val="95"/>
                    </w:rPr>
                    <w:t>力</w:t>
                  </w:r>
                  <w:r>
                    <w:rPr>
                      <w:rFonts w:ascii="黑体" w:eastAsia="黑体"/>
                      <w:w w:val="95"/>
                    </w:rPr>
                    <w:t>的</w:t>
                  </w:r>
                  <w:r>
                    <w:rPr>
                      <w:rFonts w:ascii="黑体" w:eastAsia="黑体"/>
                      <w:spacing w:val="-1"/>
                      <w:w w:val="95"/>
                    </w:rPr>
                    <w:t>，本公司向被保险人退还本合同的</w:t>
                  </w:r>
                </w:p>
              </w:txbxContent>
            </v:textbox>
            <w10:wrap type="none"/>
          </v:shape>
        </w:pict>
      </w:r>
      <w:r>
        <w:rPr/>
        <w:pict>
          <v:shape style="position:absolute;margin-left:111pt;margin-top:676.800049pt;width:210pt;height:14.6pt;mso-position-horizontal-relative:page;mso-position-vertical-relative:page;z-index:15743488" type="#_x0000_t202" id="docshape13" filled="true" fillcolor="#c0c0c0" stroked="false">
            <v:textbox inset="0,0,0,0">
              <w:txbxContent>
                <w:p>
                  <w:pPr>
                    <w:pStyle w:val="BodyText"/>
                    <w:spacing w:before="21"/>
                    <w:rPr>
                      <w:rFonts w:ascii="黑体" w:eastAsia="黑体"/>
                      <w:color w:val="000000"/>
                    </w:rPr>
                  </w:pPr>
                  <w:r>
                    <w:rPr>
                      <w:rFonts w:ascii="黑体" w:eastAsia="黑体"/>
                      <w:color w:val="000000"/>
                      <w:w w:val="95"/>
                    </w:rPr>
                    <w:t>（十二）</w:t>
                  </w:r>
                  <w:r>
                    <w:rPr>
                      <w:rFonts w:ascii="黑体" w:eastAsia="黑体"/>
                      <w:color w:val="000000"/>
                      <w:spacing w:val="-1"/>
                      <w:w w:val="95"/>
                    </w:rPr>
                    <w:t>战争、军事冲突、暴乱或武装叛乱；</w:t>
                  </w:r>
                </w:p>
              </w:txbxContent>
            </v:textbox>
            <v:fill type="solid"/>
            <w10:wrap type="none"/>
          </v:shape>
        </w:pict>
      </w:r>
    </w:p>
    <w:p>
      <w:pPr>
        <w:pStyle w:val="ListParagraph"/>
        <w:numPr>
          <w:ilvl w:val="0"/>
          <w:numId w:val="7"/>
        </w:numPr>
        <w:tabs>
          <w:tab w:pos="1065" w:val="left" w:leader="none"/>
        </w:tabs>
        <w:spacing w:line="240" w:lineRule="auto" w:before="41" w:after="0"/>
        <w:ind w:left="1064" w:right="0" w:hanging="525"/>
        <w:jc w:val="left"/>
        <w:rPr>
          <w:sz w:val="21"/>
        </w:rPr>
      </w:pPr>
      <w:r>
        <w:rPr>
          <w:spacing w:val="-1"/>
          <w:w w:val="95"/>
          <w:sz w:val="21"/>
        </w:rPr>
        <w:t>观察期结束之日本合同的现金价值。</w:t>
      </w:r>
    </w:p>
    <w:p>
      <w:pPr>
        <w:pStyle w:val="ListParagraph"/>
        <w:numPr>
          <w:ilvl w:val="0"/>
          <w:numId w:val="5"/>
        </w:numPr>
        <w:tabs>
          <w:tab w:pos="752" w:val="left" w:leader="none"/>
        </w:tabs>
        <w:spacing w:line="278" w:lineRule="auto" w:before="43" w:after="0"/>
        <w:ind w:left="120" w:right="1597" w:firstLine="420"/>
        <w:jc w:val="both"/>
        <w:rPr>
          <w:sz w:val="21"/>
        </w:rPr>
      </w:pPr>
      <w:r>
        <w:rPr>
          <w:spacing w:val="-1"/>
          <w:w w:val="99"/>
          <w:sz w:val="21"/>
        </w:rPr>
        <w:t>被保险人在年满</w:t>
      </w:r>
      <w:r>
        <w:rPr>
          <w:spacing w:val="-50"/>
          <w:sz w:val="21"/>
        </w:rPr>
        <w:t> </w:t>
      </w:r>
      <w:r>
        <w:rPr>
          <w:spacing w:val="1"/>
          <w:w w:val="99"/>
          <w:sz w:val="21"/>
        </w:rPr>
        <w:t>1</w:t>
      </w:r>
      <w:r>
        <w:rPr>
          <w:w w:val="99"/>
          <w:sz w:val="21"/>
        </w:rPr>
        <w:t>8</w:t>
      </w:r>
      <w:r>
        <w:rPr>
          <w:spacing w:val="-54"/>
          <w:sz w:val="21"/>
        </w:rPr>
        <w:t> </w:t>
      </w:r>
      <w:r>
        <w:rPr>
          <w:spacing w:val="-1"/>
          <w:w w:val="99"/>
          <w:sz w:val="21"/>
        </w:rPr>
        <w:t>周岁的首个保险单周年日</w:t>
      </w:r>
      <w:r>
        <w:rPr>
          <w:spacing w:val="2"/>
          <w:w w:val="99"/>
          <w:sz w:val="21"/>
        </w:rPr>
        <w:t>（</w:t>
      </w:r>
      <w:r>
        <w:rPr>
          <w:w w:val="99"/>
          <w:sz w:val="21"/>
        </w:rPr>
        <w:t>含当日</w:t>
      </w:r>
      <w:r>
        <w:rPr>
          <w:spacing w:val="-1"/>
          <w:w w:val="99"/>
          <w:sz w:val="21"/>
        </w:rPr>
        <w:t>）之后，且在本合同交费期满</w:t>
      </w:r>
      <w:r>
        <w:rPr>
          <w:spacing w:val="-29"/>
          <w:w w:val="99"/>
          <w:sz w:val="21"/>
        </w:rPr>
        <w:t>日</w:t>
      </w:r>
      <w:r>
        <w:rPr>
          <w:spacing w:val="-1"/>
          <w:w w:val="99"/>
          <w:sz w:val="21"/>
        </w:rPr>
        <w:t>（含当日</w:t>
      </w:r>
      <w:r>
        <w:rPr>
          <w:spacing w:val="-29"/>
          <w:w w:val="99"/>
          <w:sz w:val="21"/>
        </w:rPr>
        <w:t>）</w:t>
      </w:r>
      <w:r>
        <w:rPr>
          <w:spacing w:val="-3"/>
          <w:w w:val="99"/>
          <w:sz w:val="21"/>
        </w:rPr>
        <w:t>之后丧失日常生活能力且持续至观察期结束，本公司按照下列三项金额的较大</w:t>
      </w:r>
      <w:r>
        <w:rPr>
          <w:spacing w:val="-1"/>
          <w:w w:val="99"/>
          <w:sz w:val="21"/>
        </w:rPr>
        <w:t>者给付长期护理保险金，本合同效力终止：</w:t>
      </w:r>
    </w:p>
    <w:p>
      <w:pPr>
        <w:pStyle w:val="ListParagraph"/>
        <w:numPr>
          <w:ilvl w:val="0"/>
          <w:numId w:val="8"/>
        </w:numPr>
        <w:tabs>
          <w:tab w:pos="1065" w:val="left" w:leader="none"/>
        </w:tabs>
        <w:spacing w:line="269" w:lineRule="exact" w:before="0" w:after="22"/>
        <w:ind w:left="1064" w:right="0" w:hanging="525"/>
        <w:jc w:val="left"/>
        <w:rPr>
          <w:sz w:val="21"/>
        </w:rPr>
      </w:pPr>
      <w:r>
        <w:rPr>
          <w:spacing w:val="-1"/>
          <w:w w:val="95"/>
          <w:sz w:val="21"/>
        </w:rPr>
        <w:t>观察期结束之日的基本保险金额所对应的累计已交保险费乘以以下给付比例：</w:t>
      </w: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4" w:hRule="atLeast"/>
        </w:trPr>
        <w:tc>
          <w:tcPr>
            <w:tcW w:w="2225" w:type="dxa"/>
          </w:tcPr>
          <w:p>
            <w:pPr>
              <w:pStyle w:val="TableParagraph"/>
              <w:spacing w:before="33"/>
              <w:ind w:left="452"/>
              <w:rPr>
                <w:sz w:val="21"/>
              </w:rPr>
            </w:pPr>
            <w:r>
              <w:rPr>
                <w:spacing w:val="-3"/>
                <w:w w:val="95"/>
                <w:sz w:val="21"/>
              </w:rPr>
              <w:t>到达年龄</w:t>
            </w:r>
          </w:p>
        </w:tc>
        <w:tc>
          <w:tcPr>
            <w:tcW w:w="2251" w:type="dxa"/>
          </w:tcPr>
          <w:p>
            <w:pPr>
              <w:pStyle w:val="TableParagraph"/>
              <w:spacing w:before="33"/>
              <w:ind w:right="704"/>
              <w:rPr>
                <w:sz w:val="21"/>
              </w:rPr>
            </w:pPr>
            <w:r>
              <w:rPr>
                <w:spacing w:val="-3"/>
                <w:w w:val="95"/>
                <w:sz w:val="21"/>
              </w:rPr>
              <w:t>给付比例</w:t>
            </w:r>
          </w:p>
        </w:tc>
      </w:tr>
      <w:tr>
        <w:trPr>
          <w:trHeight w:val="325" w:hRule="atLeast"/>
        </w:trPr>
        <w:tc>
          <w:tcPr>
            <w:tcW w:w="2225" w:type="dxa"/>
          </w:tcPr>
          <w:p>
            <w:pPr>
              <w:pStyle w:val="TableParagraph"/>
              <w:ind w:left="454"/>
              <w:rPr>
                <w:sz w:val="21"/>
              </w:rPr>
            </w:pPr>
            <w:r>
              <w:rPr>
                <w:w w:val="95"/>
                <w:sz w:val="21"/>
              </w:rPr>
              <w:t>18-40</w:t>
            </w:r>
            <w:r>
              <w:rPr>
                <w:spacing w:val="-10"/>
                <w:w w:val="95"/>
                <w:sz w:val="21"/>
              </w:rPr>
              <w:t> 周岁</w:t>
            </w:r>
          </w:p>
        </w:tc>
        <w:tc>
          <w:tcPr>
            <w:tcW w:w="2251" w:type="dxa"/>
          </w:tcPr>
          <w:p>
            <w:pPr>
              <w:pStyle w:val="TableParagraph"/>
              <w:ind w:right="703"/>
              <w:rPr>
                <w:sz w:val="21"/>
              </w:rPr>
            </w:pPr>
            <w:r>
              <w:rPr>
                <w:spacing w:val="-4"/>
                <w:sz w:val="21"/>
              </w:rPr>
              <w:t>160%</w:t>
            </w:r>
          </w:p>
        </w:tc>
      </w:tr>
      <w:tr>
        <w:trPr>
          <w:trHeight w:val="334" w:hRule="atLeast"/>
        </w:trPr>
        <w:tc>
          <w:tcPr>
            <w:tcW w:w="2225" w:type="dxa"/>
          </w:tcPr>
          <w:p>
            <w:pPr>
              <w:pStyle w:val="TableParagraph"/>
              <w:spacing w:before="31"/>
              <w:ind w:left="454"/>
              <w:rPr>
                <w:sz w:val="21"/>
              </w:rPr>
            </w:pPr>
            <w:r>
              <w:rPr>
                <w:w w:val="95"/>
                <w:sz w:val="21"/>
              </w:rPr>
              <w:t>41-60</w:t>
            </w:r>
            <w:r>
              <w:rPr>
                <w:spacing w:val="-10"/>
                <w:w w:val="95"/>
                <w:sz w:val="21"/>
              </w:rPr>
              <w:t> 周岁</w:t>
            </w:r>
          </w:p>
        </w:tc>
        <w:tc>
          <w:tcPr>
            <w:tcW w:w="2251" w:type="dxa"/>
          </w:tcPr>
          <w:p>
            <w:pPr>
              <w:pStyle w:val="TableParagraph"/>
              <w:spacing w:before="31"/>
              <w:ind w:right="703"/>
              <w:rPr>
                <w:sz w:val="21"/>
              </w:rPr>
            </w:pPr>
            <w:r>
              <w:rPr>
                <w:spacing w:val="-4"/>
                <w:sz w:val="21"/>
              </w:rPr>
              <w:t>140%</w:t>
            </w:r>
          </w:p>
        </w:tc>
      </w:tr>
      <w:tr>
        <w:trPr>
          <w:trHeight w:val="325" w:hRule="atLeast"/>
        </w:trPr>
        <w:tc>
          <w:tcPr>
            <w:tcW w:w="2225" w:type="dxa"/>
          </w:tcPr>
          <w:p>
            <w:pPr>
              <w:pStyle w:val="TableParagraph"/>
              <w:spacing w:before="28"/>
              <w:ind w:left="454"/>
              <w:rPr>
                <w:sz w:val="21"/>
              </w:rPr>
            </w:pPr>
            <w:r>
              <w:rPr>
                <w:w w:val="95"/>
                <w:sz w:val="21"/>
              </w:rPr>
              <w:t>61</w:t>
            </w:r>
            <w:r>
              <w:rPr>
                <w:spacing w:val="-4"/>
                <w:w w:val="95"/>
                <w:sz w:val="21"/>
              </w:rPr>
              <w:t> 周岁及以上</w:t>
            </w:r>
          </w:p>
        </w:tc>
        <w:tc>
          <w:tcPr>
            <w:tcW w:w="2251" w:type="dxa"/>
          </w:tcPr>
          <w:p>
            <w:pPr>
              <w:pStyle w:val="TableParagraph"/>
              <w:spacing w:before="28"/>
              <w:ind w:right="703"/>
              <w:rPr>
                <w:sz w:val="21"/>
              </w:rPr>
            </w:pPr>
            <w:r>
              <w:rPr>
                <w:spacing w:val="-4"/>
                <w:sz w:val="21"/>
              </w:rPr>
              <w:t>120%</w:t>
            </w:r>
          </w:p>
        </w:tc>
      </w:tr>
    </w:tbl>
    <w:p>
      <w:pPr>
        <w:pStyle w:val="BodyText"/>
        <w:spacing w:before="3"/>
        <w:rPr>
          <w:sz w:val="10"/>
        </w:rPr>
      </w:pPr>
      <w:r>
        <w:rPr/>
        <w:drawing>
          <wp:anchor distT="0" distB="0" distL="0" distR="0" allowOverlap="1" layoutInCell="1" locked="0" behindDoc="1" simplePos="0" relativeHeight="487182336">
            <wp:simplePos x="0" y="0"/>
            <wp:positionH relativeFrom="page">
              <wp:posOffset>1143000</wp:posOffset>
            </wp:positionH>
            <wp:positionV relativeFrom="paragraph">
              <wp:posOffset>99060</wp:posOffset>
            </wp:positionV>
            <wp:extent cx="5276215" cy="383539"/>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5276215" cy="383539"/>
                    </a:xfrm>
                    <a:prstGeom prst="rect">
                      <a:avLst/>
                    </a:prstGeom>
                  </pic:spPr>
                </pic:pic>
              </a:graphicData>
            </a:graphic>
          </wp:anchor>
        </w:drawing>
      </w:r>
      <w:r>
        <w:rPr/>
        <w:pict>
          <v:shape style="position:absolute;margin-left:90pt;margin-top:7.8pt;width:415.45pt;height:30.2pt;mso-position-horizontal-relative:page;mso-position-vertical-relative:paragraph;z-index:-15725056;mso-wrap-distance-left:0;mso-wrap-distance-right:0" type="#_x0000_t202" id="docshape14" filled="false" stroked="false">
            <v:textbox inset="0,0,0,0">
              <w:txbxContent>
                <w:p>
                  <w:pPr>
                    <w:pStyle w:val="BodyText"/>
                    <w:spacing w:before="21"/>
                    <w:ind w:left="420"/>
                  </w:pPr>
                  <w:r>
                    <w:rPr>
                      <w:w w:val="95"/>
                    </w:rPr>
                    <w:t>其中，到达年龄指的是被保险人原始投</w:t>
                  </w:r>
                  <w:r>
                    <w:rPr>
                      <w:w w:val="95"/>
                    </w:rPr>
                    <w:t>保</w:t>
                  </w:r>
                  <w:r>
                    <w:rPr>
                      <w:w w:val="95"/>
                    </w:rPr>
                    <w:t>年</w:t>
                  </w:r>
                  <w:r>
                    <w:rPr>
                      <w:w w:val="95"/>
                    </w:rPr>
                    <w:t>龄，加上当时保险单年度数，再减去</w:t>
                  </w:r>
                  <w:r>
                    <w:rPr>
                      <w:spacing w:val="63"/>
                    </w:rPr>
                    <w:t> </w:t>
                  </w:r>
                  <w:r>
                    <w:rPr>
                      <w:w w:val="95"/>
                    </w:rPr>
                    <w:t>1</w:t>
                  </w:r>
                  <w:r>
                    <w:rPr>
                      <w:spacing w:val="67"/>
                    </w:rPr>
                    <w:t> </w:t>
                  </w:r>
                  <w:r>
                    <w:rPr>
                      <w:spacing w:val="-5"/>
                      <w:w w:val="95"/>
                    </w:rPr>
                    <w:t>后所</w:t>
                  </w:r>
                </w:p>
                <w:p>
                  <w:pPr>
                    <w:pStyle w:val="BodyText"/>
                    <w:spacing w:before="43"/>
                  </w:pPr>
                  <w:r>
                    <w:rPr>
                      <w:spacing w:val="-2"/>
                      <w:w w:val="95"/>
                    </w:rPr>
                    <w:t>得到的年龄。</w:t>
                  </w:r>
                </w:p>
              </w:txbxContent>
            </v:textbox>
            <w10:wrap type="topAndBottom"/>
          </v:shape>
        </w:pict>
      </w:r>
    </w:p>
    <w:p>
      <w:pPr>
        <w:pStyle w:val="ListParagraph"/>
        <w:numPr>
          <w:ilvl w:val="0"/>
          <w:numId w:val="8"/>
        </w:numPr>
        <w:tabs>
          <w:tab w:pos="1065" w:val="left" w:leader="none"/>
        </w:tabs>
        <w:spacing w:line="240" w:lineRule="auto" w:before="41" w:after="0"/>
        <w:ind w:left="1064" w:right="0" w:hanging="525"/>
        <w:jc w:val="left"/>
        <w:rPr>
          <w:sz w:val="21"/>
        </w:rPr>
      </w:pPr>
      <w:r>
        <w:rPr>
          <w:spacing w:val="-1"/>
          <w:w w:val="95"/>
          <w:sz w:val="21"/>
        </w:rPr>
        <w:t>观察期结束之日本合同的现金价值；</w:t>
      </w:r>
    </w:p>
    <w:p>
      <w:pPr>
        <w:pStyle w:val="ListParagraph"/>
        <w:numPr>
          <w:ilvl w:val="0"/>
          <w:numId w:val="8"/>
        </w:numPr>
        <w:tabs>
          <w:tab w:pos="1065" w:val="left" w:leader="none"/>
        </w:tabs>
        <w:spacing w:line="556" w:lineRule="auto" w:before="43" w:after="0"/>
        <w:ind w:left="120" w:right="5180" w:firstLine="420"/>
        <w:jc w:val="left"/>
        <w:rPr>
          <w:rFonts w:ascii="黑体" w:eastAsia="黑体" w:hint="eastAsia"/>
          <w:b/>
          <w:sz w:val="21"/>
        </w:rPr>
      </w:pPr>
      <w:r>
        <w:rPr/>
        <w:drawing>
          <wp:anchor distT="0" distB="0" distL="0" distR="0" allowOverlap="1" layoutInCell="1" locked="0" behindDoc="1" simplePos="0" relativeHeight="487186432">
            <wp:simplePos x="0" y="0"/>
            <wp:positionH relativeFrom="page">
              <wp:posOffset>1143000</wp:posOffset>
            </wp:positionH>
            <wp:positionV relativeFrom="paragraph">
              <wp:posOffset>608088</wp:posOffset>
            </wp:positionV>
            <wp:extent cx="5274310" cy="383540"/>
            <wp:effectExtent l="0" t="0" r="0" b="0"/>
            <wp:wrapNone/>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5274310" cy="383540"/>
                    </a:xfrm>
                    <a:prstGeom prst="rect">
                      <a:avLst/>
                    </a:prstGeom>
                  </pic:spPr>
                </pic:pic>
              </a:graphicData>
            </a:graphic>
          </wp:anchor>
        </w:drawing>
      </w:r>
      <w:r>
        <w:rPr/>
        <w:pict>
          <v:shape style="position:absolute;margin-left:90pt;margin-top:47.881001pt;width:415.3pt;height:30.2pt;mso-position-horizontal-relative:page;mso-position-vertical-relative:paragraph;z-index:-16129536" type="#_x0000_t202" id="docshape15" filled="false" stroked="false">
            <v:textbox inset="0,0,0,0">
              <w:txbxContent>
                <w:p>
                  <w:pPr>
                    <w:pStyle w:val="BodyText"/>
                    <w:spacing w:before="21"/>
                    <w:ind w:left="420"/>
                    <w:rPr>
                      <w:rFonts w:ascii="黑体" w:eastAsia="黑体"/>
                    </w:rPr>
                  </w:pPr>
                  <w:r>
                    <w:rPr>
                      <w:rFonts w:ascii="黑体" w:eastAsia="黑体"/>
                      <w:spacing w:val="-5"/>
                      <w:w w:val="95"/>
                    </w:rPr>
                    <w:t>因下述一种或多种情形导致被保险人身故或丧失日常生活能力的，本公司不承担给付保</w:t>
                  </w:r>
                </w:p>
                <w:p>
                  <w:pPr>
                    <w:pStyle w:val="BodyText"/>
                    <w:spacing w:before="43"/>
                    <w:rPr>
                      <w:rFonts w:ascii="黑体" w:eastAsia="黑体"/>
                    </w:rPr>
                  </w:pPr>
                  <w:r>
                    <w:rPr>
                      <w:rFonts w:ascii="黑体" w:eastAsia="黑体"/>
                      <w:spacing w:val="-2"/>
                      <w:w w:val="95"/>
                    </w:rPr>
                    <w:t>险金的责任：</w:t>
                  </w:r>
                </w:p>
              </w:txbxContent>
            </v:textbox>
            <w10:wrap type="none"/>
          </v:shape>
        </w:pict>
      </w:r>
      <w:r>
        <w:rPr/>
        <w:drawing>
          <wp:anchor distT="0" distB="0" distL="0" distR="0" allowOverlap="1" layoutInCell="1" locked="0" behindDoc="0" simplePos="0" relativeHeight="15736832">
            <wp:simplePos x="0" y="0"/>
            <wp:positionH relativeFrom="page">
              <wp:posOffset>1409700</wp:posOffset>
            </wp:positionH>
            <wp:positionV relativeFrom="paragraph">
              <wp:posOffset>1598688</wp:posOffset>
            </wp:positionV>
            <wp:extent cx="5036185" cy="581660"/>
            <wp:effectExtent l="0" t="0" r="0" b="0"/>
            <wp:wrapNone/>
            <wp:docPr id="15" name="image8.png"/>
            <wp:cNvGraphicFramePr>
              <a:graphicFrameLocks noChangeAspect="1"/>
            </wp:cNvGraphicFramePr>
            <a:graphic>
              <a:graphicData uri="http://schemas.openxmlformats.org/drawingml/2006/picture">
                <pic:pic>
                  <pic:nvPicPr>
                    <pic:cNvPr id="16" name="image8.png"/>
                    <pic:cNvPicPr/>
                  </pic:nvPicPr>
                  <pic:blipFill>
                    <a:blip r:embed="rId13" cstate="print"/>
                    <a:stretch>
                      <a:fillRect/>
                    </a:stretch>
                  </pic:blipFill>
                  <pic:spPr>
                    <a:xfrm>
                      <a:off x="0" y="0"/>
                      <a:ext cx="5036185" cy="581660"/>
                    </a:xfrm>
                    <a:prstGeom prst="rect">
                      <a:avLst/>
                    </a:prstGeom>
                  </pic:spPr>
                </pic:pic>
              </a:graphicData>
            </a:graphic>
          </wp:anchor>
        </w:drawing>
      </w:r>
      <w:r>
        <w:rPr/>
        <w:pict>
          <v:shape style="position:absolute;margin-left:111pt;margin-top:125.880997pt;width:401.8pt;height:45.8pt;mso-position-horizontal-relative:page;mso-position-vertical-relative:paragraph;z-index:15737344" type="#_x0000_t202" id="docshape16" filled="false" stroked="false">
            <v:textbox inset="0,0,0,0">
              <w:txbxContent>
                <w:p>
                  <w:pPr>
                    <w:pStyle w:val="BodyText"/>
                    <w:rPr>
                      <w:rFonts w:ascii="黑体"/>
                      <w:b/>
                      <w:sz w:val="26"/>
                    </w:rPr>
                  </w:pPr>
                </w:p>
                <w:p>
                  <w:pPr>
                    <w:pStyle w:val="BodyText"/>
                    <w:rPr>
                      <w:rFonts w:ascii="黑体" w:eastAsia="黑体"/>
                    </w:rPr>
                  </w:pPr>
                  <w:r>
                    <w:rPr>
                      <w:rFonts w:ascii="黑体" w:eastAsia="黑体"/>
                      <w:w w:val="95"/>
                    </w:rPr>
                    <w:t>（四）被保险人醉酒，斗殴，服用、吸食或注射</w:t>
                  </w:r>
                  <w:r>
                    <w:rPr>
                      <w:rFonts w:ascii="黑体" w:eastAsia="黑体" w:hint="eastAsia"/>
                      <w:b/>
                      <w:w w:val="95"/>
                    </w:rPr>
                    <w:t>毒</w:t>
                  </w:r>
                  <w:r>
                    <w:rPr>
                      <w:rFonts w:ascii="黑体" w:eastAsia="黑体" w:hint="eastAsia"/>
                      <w:b/>
                      <w:w w:val="95"/>
                    </w:rPr>
                    <w:t>品</w:t>
                  </w:r>
                  <w:r>
                    <w:rPr>
                      <w:rFonts w:ascii="黑体" w:eastAsia="黑体"/>
                      <w:spacing w:val="-10"/>
                      <w:w w:val="95"/>
                    </w:rPr>
                    <w:t>；</w:t>
                  </w:r>
                </w:p>
                <w:p>
                  <w:pPr>
                    <w:spacing w:before="43"/>
                    <w:ind w:left="0" w:right="0" w:firstLine="0"/>
                    <w:jc w:val="left"/>
                    <w:rPr>
                      <w:rFonts w:ascii="黑体" w:eastAsia="黑体"/>
                      <w:sz w:val="21"/>
                    </w:rPr>
                  </w:pPr>
                  <w:r>
                    <w:rPr>
                      <w:rFonts w:ascii="黑体" w:eastAsia="黑体"/>
                      <w:w w:val="95"/>
                      <w:sz w:val="21"/>
                    </w:rPr>
                    <w:t>（五</w:t>
                  </w:r>
                  <w:r>
                    <w:rPr>
                      <w:rFonts w:ascii="黑体" w:eastAsia="黑体"/>
                      <w:spacing w:val="-58"/>
                      <w:w w:val="95"/>
                      <w:sz w:val="21"/>
                    </w:rPr>
                    <w:t>）</w:t>
                  </w:r>
                  <w:r>
                    <w:rPr>
                      <w:rFonts w:ascii="黑体" w:eastAsia="黑体"/>
                      <w:w w:val="95"/>
                      <w:sz w:val="21"/>
                    </w:rPr>
                    <w:t>被保险人</w:t>
                  </w:r>
                  <w:r>
                    <w:rPr>
                      <w:rFonts w:ascii="黑体" w:eastAsia="黑体" w:hint="eastAsia"/>
                      <w:b/>
                      <w:w w:val="95"/>
                      <w:sz w:val="21"/>
                    </w:rPr>
                    <w:t>酒</w:t>
                  </w:r>
                  <w:r>
                    <w:rPr>
                      <w:rFonts w:ascii="黑体" w:eastAsia="黑体" w:hint="eastAsia"/>
                      <w:b/>
                      <w:w w:val="95"/>
                      <w:sz w:val="21"/>
                    </w:rPr>
                    <w:t>后</w:t>
                  </w:r>
                  <w:r>
                    <w:rPr>
                      <w:rFonts w:ascii="黑体" w:eastAsia="黑体" w:hint="eastAsia"/>
                      <w:b/>
                      <w:w w:val="95"/>
                      <w:sz w:val="21"/>
                    </w:rPr>
                    <w:t>驾</w:t>
                  </w:r>
                  <w:r>
                    <w:rPr>
                      <w:rFonts w:ascii="黑体" w:eastAsia="黑体" w:hint="eastAsia"/>
                      <w:b/>
                      <w:w w:val="95"/>
                      <w:sz w:val="21"/>
                    </w:rPr>
                    <w:t>驶</w:t>
                  </w:r>
                  <w:r>
                    <w:rPr>
                      <w:rFonts w:ascii="黑体" w:eastAsia="黑体"/>
                      <w:spacing w:val="-58"/>
                      <w:w w:val="95"/>
                      <w:sz w:val="21"/>
                    </w:rPr>
                    <w:t>，</w:t>
                  </w:r>
                  <w:r>
                    <w:rPr>
                      <w:rFonts w:ascii="黑体" w:eastAsia="黑体" w:hint="eastAsia"/>
                      <w:b/>
                      <w:w w:val="95"/>
                      <w:sz w:val="21"/>
                    </w:rPr>
                    <w:t>无</w:t>
                  </w:r>
                  <w:r>
                    <w:rPr>
                      <w:rFonts w:ascii="黑体" w:eastAsia="黑体" w:hint="eastAsia"/>
                      <w:b/>
                      <w:w w:val="95"/>
                      <w:sz w:val="21"/>
                    </w:rPr>
                    <w:t>合</w:t>
                  </w:r>
                  <w:r>
                    <w:rPr>
                      <w:rFonts w:ascii="黑体" w:eastAsia="黑体" w:hint="eastAsia"/>
                      <w:b/>
                      <w:w w:val="95"/>
                      <w:sz w:val="21"/>
                    </w:rPr>
                    <w:t>法</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证</w:t>
                  </w:r>
                  <w:r>
                    <w:rPr>
                      <w:rFonts w:ascii="黑体" w:eastAsia="黑体" w:hint="eastAsia"/>
                      <w:b/>
                      <w:w w:val="95"/>
                      <w:sz w:val="21"/>
                    </w:rPr>
                    <w:t>驾</w:t>
                  </w:r>
                  <w:r>
                    <w:rPr>
                      <w:rFonts w:ascii="黑体" w:eastAsia="黑体" w:hint="eastAsia"/>
                      <w:b/>
                      <w:w w:val="95"/>
                      <w:sz w:val="21"/>
                    </w:rPr>
                    <w:t>驶</w:t>
                  </w:r>
                  <w:r>
                    <w:rPr>
                      <w:rFonts w:ascii="黑体" w:eastAsia="黑体"/>
                      <w:spacing w:val="-29"/>
                      <w:w w:val="95"/>
                      <w:sz w:val="21"/>
                    </w:rPr>
                    <w:t>，或</w:t>
                  </w:r>
                  <w:r>
                    <w:rPr>
                      <w:rFonts w:ascii="黑体" w:eastAsia="黑体"/>
                      <w:w w:val="95"/>
                      <w:sz w:val="21"/>
                    </w:rPr>
                    <w:t>驾</w:t>
                  </w:r>
                  <w:r>
                    <w:rPr>
                      <w:rFonts w:ascii="黑体" w:eastAsia="黑体"/>
                      <w:w w:val="95"/>
                      <w:sz w:val="21"/>
                    </w:rPr>
                    <w:t>驶</w:t>
                  </w:r>
                  <w:r>
                    <w:rPr>
                      <w:rFonts w:ascii="黑体" w:eastAsia="黑体" w:hint="eastAsia"/>
                      <w:b/>
                      <w:w w:val="95"/>
                      <w:sz w:val="21"/>
                    </w:rPr>
                    <w:t>无</w:t>
                  </w:r>
                  <w:r>
                    <w:rPr>
                      <w:rFonts w:ascii="黑体" w:eastAsia="黑体" w:hint="eastAsia"/>
                      <w:b/>
                      <w:w w:val="95"/>
                      <w:sz w:val="21"/>
                    </w:rPr>
                    <w:t>合</w:t>
                  </w:r>
                  <w:r>
                    <w:rPr>
                      <w:rFonts w:ascii="黑体" w:eastAsia="黑体" w:hint="eastAsia"/>
                      <w:b/>
                      <w:w w:val="95"/>
                      <w:sz w:val="21"/>
                    </w:rPr>
                    <w:t>法</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行</w:t>
                  </w:r>
                  <w:r>
                    <w:rPr>
                      <w:rFonts w:ascii="黑体" w:eastAsia="黑体" w:hint="eastAsia"/>
                      <w:b/>
                      <w:w w:val="95"/>
                      <w:sz w:val="21"/>
                    </w:rPr>
                    <w:t>驶</w:t>
                  </w:r>
                  <w:r>
                    <w:rPr>
                      <w:rFonts w:ascii="黑体" w:eastAsia="黑体" w:hint="eastAsia"/>
                      <w:b/>
                      <w:w w:val="95"/>
                      <w:sz w:val="21"/>
                    </w:rPr>
                    <w:t>证</w:t>
                  </w:r>
                  <w:r>
                    <w:rPr>
                      <w:rFonts w:ascii="黑体" w:eastAsia="黑体"/>
                      <w:spacing w:val="-2"/>
                      <w:w w:val="95"/>
                      <w:sz w:val="21"/>
                    </w:rPr>
                    <w:t>的机动车；</w:t>
                  </w:r>
                </w:p>
              </w:txbxContent>
            </v:textbox>
            <w10:wrap type="none"/>
          </v:shape>
        </w:pict>
      </w:r>
      <w:r>
        <w:rPr/>
        <w:pict>
          <v:shape style="position:absolute;margin-left:111pt;margin-top:110.280998pt;width:396.55pt;height:14.6pt;mso-position-horizontal-relative:page;mso-position-vertical-relative:paragraph;z-index:15737856" type="#_x0000_t202" id="docshape17" filled="true" fillcolor="#c0c0c0" stroked="false">
            <v:textbox inset="0,0,0,0">
              <w:txbxContent>
                <w:p>
                  <w:pPr>
                    <w:pStyle w:val="BodyText"/>
                    <w:spacing w:before="21"/>
                    <w:rPr>
                      <w:rFonts w:ascii="黑体" w:eastAsia="黑体"/>
                      <w:color w:val="000000"/>
                    </w:rPr>
                  </w:pPr>
                  <w:r>
                    <w:rPr>
                      <w:rFonts w:ascii="黑体" w:eastAsia="黑体"/>
                      <w:color w:val="000000"/>
                      <w:w w:val="95"/>
                    </w:rPr>
                    <w:t>（三）被保险人自本合同成立或本合同效力恢复之日起</w:t>
                  </w:r>
                  <w:r>
                    <w:rPr>
                      <w:rFonts w:ascii="黑体" w:eastAsia="黑体"/>
                      <w:color w:val="000000"/>
                      <w:spacing w:val="39"/>
                      <w:w w:val="150"/>
                    </w:rPr>
                    <w:t> </w:t>
                  </w:r>
                  <w:r>
                    <w:rPr>
                      <w:rFonts w:ascii="黑体" w:eastAsia="黑体"/>
                      <w:color w:val="000000"/>
                      <w:w w:val="95"/>
                    </w:rPr>
                    <w:t>2</w:t>
                  </w:r>
                  <w:r>
                    <w:rPr>
                      <w:rFonts w:ascii="黑体" w:eastAsia="黑体"/>
                      <w:color w:val="000000"/>
                      <w:spacing w:val="79"/>
                    </w:rPr>
                    <w:t> </w:t>
                  </w:r>
                  <w:r>
                    <w:rPr>
                      <w:rFonts w:ascii="黑体" w:eastAsia="黑体"/>
                      <w:color w:val="000000"/>
                      <w:spacing w:val="-1"/>
                      <w:w w:val="95"/>
                    </w:rPr>
                    <w:t>年内自杀，但被保险人自杀时</w:t>
                  </w:r>
                </w:p>
              </w:txbxContent>
            </v:textbox>
            <v:fill type="solid"/>
            <w10:wrap type="none"/>
          </v:shape>
        </w:pict>
      </w:r>
      <w:r>
        <w:rPr/>
        <w:pict>
          <v:shape style="position:absolute;margin-left:142.5pt;margin-top:125.880997pt;width:136.5pt;height:14.6pt;mso-position-horizontal-relative:page;mso-position-vertical-relative:paragraph;z-index:15738368" type="#_x0000_t202" id="docshape18" filled="false" stroked="false">
            <v:textbox inset="0,0,0,0">
              <w:txbxContent>
                <w:p>
                  <w:pPr>
                    <w:pStyle w:val="BodyText"/>
                    <w:spacing w:before="21"/>
                    <w:ind w:left="-2"/>
                    <w:rPr>
                      <w:rFonts w:ascii="黑体" w:eastAsia="黑体"/>
                    </w:rPr>
                  </w:pPr>
                  <w:r>
                    <w:rPr>
                      <w:rFonts w:ascii="黑体" w:eastAsia="黑体"/>
                      <w:spacing w:val="-1"/>
                      <w:w w:val="95"/>
                    </w:rPr>
                    <w:t>为无民事行为能力人的除外；</w:t>
                  </w:r>
                </w:p>
              </w:txbxContent>
            </v:textbox>
            <w10:wrap type="none"/>
          </v:shape>
        </w:pict>
      </w:r>
      <w:r>
        <w:rPr>
          <w:spacing w:val="-1"/>
          <w:w w:val="99"/>
          <w:sz w:val="21"/>
        </w:rPr>
        <w:t>观察期结束之日的当年度有效保险金额。</w:t>
      </w:r>
      <w:r>
        <w:rPr>
          <w:b/>
          <w:spacing w:val="1"/>
          <w:w w:val="99"/>
          <w:sz w:val="21"/>
        </w:rPr>
        <w:t>第八条</w:t>
      </w:r>
      <w:r>
        <w:rPr>
          <w:b/>
          <w:spacing w:val="-18"/>
          <w:sz w:val="21"/>
        </w:rPr>
        <w:t> </w:t>
      </w:r>
      <w:r>
        <w:rPr>
          <w:rFonts w:ascii="黑体" w:eastAsia="黑体" w:hint="eastAsia"/>
          <w:b/>
          <w:spacing w:val="1"/>
          <w:w w:val="99"/>
          <w:sz w:val="21"/>
        </w:rPr>
        <w:t>责任免除</w:t>
      </w:r>
    </w:p>
    <w:p>
      <w:pPr>
        <w:pStyle w:val="BodyText"/>
        <w:spacing w:before="1"/>
        <w:rPr>
          <w:rFonts w:ascii="黑体"/>
          <w:b/>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20"/>
        <w:gridCol w:w="2100"/>
      </w:tblGrid>
      <w:tr>
        <w:trPr>
          <w:trHeight w:val="292" w:hRule="atLeast"/>
        </w:trPr>
        <w:tc>
          <w:tcPr>
            <w:tcW w:w="4620" w:type="dxa"/>
            <w:tcBorders>
              <w:top w:val="single" w:sz="8" w:space="0" w:color="FFFFFF"/>
              <w:bottom w:val="single" w:sz="8" w:space="0" w:color="FFFFFF"/>
            </w:tcBorders>
            <w:shd w:val="clear" w:color="auto" w:fill="C0C0C0"/>
          </w:tcPr>
          <w:p>
            <w:pPr>
              <w:pStyle w:val="TableParagraph"/>
              <w:spacing w:line="251" w:lineRule="exact" w:before="21"/>
              <w:ind w:left="0" w:right="0"/>
              <w:jc w:val="left"/>
              <w:rPr>
                <w:rFonts w:ascii="黑体" w:eastAsia="黑体"/>
                <w:sz w:val="21"/>
              </w:rPr>
            </w:pPr>
            <w:r>
              <w:rPr>
                <w:rFonts w:ascii="黑体" w:eastAsia="黑体"/>
                <w:w w:val="95"/>
                <w:sz w:val="21"/>
              </w:rPr>
              <w:t>（一）</w:t>
            </w:r>
            <w:r>
              <w:rPr>
                <w:rFonts w:ascii="黑体" w:eastAsia="黑体"/>
                <w:spacing w:val="-1"/>
                <w:w w:val="95"/>
                <w:sz w:val="21"/>
              </w:rPr>
              <w:t>投保人对被保险人的故意杀害、故意伤害；</w:t>
            </w:r>
          </w:p>
        </w:tc>
        <w:tc>
          <w:tcPr>
            <w:tcW w:w="2100" w:type="dxa"/>
            <w:tcBorders>
              <w:top w:val="single" w:sz="8" w:space="0" w:color="FFFFFF"/>
              <w:bottom w:val="single" w:sz="8" w:space="0" w:color="FFFFFF"/>
            </w:tcBorders>
          </w:tcPr>
          <w:p>
            <w:pPr>
              <w:pStyle w:val="TableParagraph"/>
              <w:spacing w:before="0"/>
              <w:ind w:left="0" w:right="0"/>
              <w:jc w:val="left"/>
              <w:rPr>
                <w:rFonts w:ascii="Times New Roman"/>
                <w:sz w:val="20"/>
              </w:rPr>
            </w:pPr>
          </w:p>
        </w:tc>
      </w:tr>
      <w:tr>
        <w:trPr>
          <w:trHeight w:val="292" w:hRule="atLeast"/>
        </w:trPr>
        <w:tc>
          <w:tcPr>
            <w:tcW w:w="6720" w:type="dxa"/>
            <w:gridSpan w:val="2"/>
            <w:tcBorders>
              <w:top w:val="single" w:sz="8" w:space="0" w:color="FFFFFF"/>
              <w:bottom w:val="single" w:sz="8" w:space="0" w:color="FFFFFF"/>
            </w:tcBorders>
            <w:shd w:val="clear" w:color="auto" w:fill="C0C0C0"/>
          </w:tcPr>
          <w:p>
            <w:pPr>
              <w:pStyle w:val="TableParagraph"/>
              <w:spacing w:line="251" w:lineRule="exact" w:before="21"/>
              <w:ind w:left="0" w:right="0"/>
              <w:jc w:val="left"/>
              <w:rPr>
                <w:rFonts w:ascii="黑体" w:eastAsia="黑体"/>
                <w:sz w:val="21"/>
              </w:rPr>
            </w:pPr>
            <w:r>
              <w:rPr>
                <w:rFonts w:ascii="黑体" w:eastAsia="黑体"/>
                <w:w w:val="95"/>
                <w:sz w:val="21"/>
              </w:rPr>
              <w:t>（二）</w:t>
            </w:r>
            <w:r>
              <w:rPr>
                <w:rFonts w:ascii="黑体" w:eastAsia="黑体"/>
                <w:spacing w:val="-1"/>
                <w:w w:val="95"/>
                <w:sz w:val="21"/>
              </w:rPr>
              <w:t>被保险人故意自伤、故意犯罪或者抗拒依法采取的刑事强制措施；</w:t>
            </w:r>
          </w:p>
        </w:tc>
      </w:tr>
    </w:tbl>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7"/>
        <w:rPr>
          <w:rFonts w:ascii="黑体"/>
          <w:b/>
          <w:sz w:val="28"/>
        </w:rPr>
      </w:pPr>
      <w:r>
        <w:rPr/>
        <w:drawing>
          <wp:anchor distT="0" distB="0" distL="0" distR="0" allowOverlap="1" layoutInCell="1" locked="0" behindDoc="1" simplePos="0" relativeHeight="487183360">
            <wp:simplePos x="0" y="0"/>
            <wp:positionH relativeFrom="page">
              <wp:posOffset>1409700</wp:posOffset>
            </wp:positionH>
            <wp:positionV relativeFrom="paragraph">
              <wp:posOffset>644048</wp:posOffset>
            </wp:positionV>
            <wp:extent cx="3333750" cy="185420"/>
            <wp:effectExtent l="0" t="0" r="0" b="0"/>
            <wp:wrapNone/>
            <wp:docPr id="17" name="image9.png"/>
            <wp:cNvGraphicFramePr>
              <a:graphicFrameLocks noChangeAspect="1"/>
            </wp:cNvGraphicFramePr>
            <a:graphic>
              <a:graphicData uri="http://schemas.openxmlformats.org/drawingml/2006/picture">
                <pic:pic>
                  <pic:nvPicPr>
                    <pic:cNvPr id="18" name="image9.png"/>
                    <pic:cNvPicPr/>
                  </pic:nvPicPr>
                  <pic:blipFill>
                    <a:blip r:embed="rId14" cstate="print"/>
                    <a:stretch>
                      <a:fillRect/>
                    </a:stretch>
                  </pic:blipFill>
                  <pic:spPr>
                    <a:xfrm>
                      <a:off x="0" y="0"/>
                      <a:ext cx="3333750" cy="185420"/>
                    </a:xfrm>
                    <a:prstGeom prst="rect">
                      <a:avLst/>
                    </a:prstGeom>
                  </pic:spPr>
                </pic:pic>
              </a:graphicData>
            </a:graphic>
          </wp:anchor>
        </w:drawing>
      </w:r>
      <w:r>
        <w:rPr/>
        <w:pict>
          <v:shape style="position:absolute;margin-left:111pt;margin-top:66.3125pt;width:396.85pt;height:14.6pt;mso-position-horizontal-relative:page;mso-position-vertical-relative:paragraph;z-index:-16132608" type="#_x0000_t202" id="docshape19" filled="true" fillcolor="#c0c0c0" stroked="false">
            <v:textbox inset="0,0,0,0">
              <w:txbxContent>
                <w:p>
                  <w:pPr>
                    <w:pStyle w:val="BodyText"/>
                    <w:spacing w:before="21"/>
                    <w:ind w:right="-15"/>
                    <w:rPr>
                      <w:rFonts w:ascii="黑体" w:eastAsia="黑体"/>
                      <w:color w:val="000000"/>
                    </w:rPr>
                  </w:pPr>
                  <w:r>
                    <w:rPr>
                      <w:rFonts w:ascii="黑体" w:eastAsia="黑体"/>
                      <w:color w:val="000000"/>
                      <w:w w:val="95"/>
                    </w:rPr>
                    <w:t>（</w:t>
                  </w:r>
                  <w:r>
                    <w:rPr>
                      <w:rFonts w:ascii="黑体" w:eastAsia="黑体"/>
                      <w:color w:val="000000"/>
                      <w:w w:val="95"/>
                    </w:rPr>
                    <w:t>十</w:t>
                  </w:r>
                  <w:r>
                    <w:rPr>
                      <w:rFonts w:ascii="黑体" w:eastAsia="黑体"/>
                      <w:color w:val="000000"/>
                      <w:w w:val="95"/>
                    </w:rPr>
                    <w:t>一</w:t>
                  </w:r>
                  <w:r>
                    <w:rPr>
                      <w:rFonts w:ascii="黑体" w:eastAsia="黑体"/>
                      <w:color w:val="000000"/>
                      <w:w w:val="95"/>
                    </w:rPr>
                    <w:t>）被保险人从事</w:t>
                  </w:r>
                  <w:r>
                    <w:rPr>
                      <w:rFonts w:ascii="黑体" w:eastAsia="黑体"/>
                      <w:color w:val="000000"/>
                      <w:w w:val="95"/>
                    </w:rPr>
                    <w:t>高</w:t>
                  </w:r>
                  <w:r>
                    <w:rPr>
                      <w:rFonts w:ascii="黑体" w:eastAsia="黑体"/>
                      <w:color w:val="000000"/>
                      <w:w w:val="95"/>
                    </w:rPr>
                    <w:t>风</w:t>
                  </w:r>
                  <w:r>
                    <w:rPr>
                      <w:rFonts w:ascii="黑体" w:eastAsia="黑体"/>
                      <w:color w:val="000000"/>
                      <w:w w:val="95"/>
                    </w:rPr>
                    <w:t>险运动，包括但不限于</w:t>
                  </w:r>
                  <w:r>
                    <w:rPr>
                      <w:rFonts w:ascii="黑体" w:eastAsia="黑体" w:hint="eastAsia"/>
                      <w:b/>
                      <w:color w:val="000000"/>
                      <w:w w:val="95"/>
                    </w:rPr>
                    <w:t>潜</w:t>
                  </w:r>
                  <w:r>
                    <w:rPr>
                      <w:rFonts w:ascii="黑体" w:eastAsia="黑体" w:hint="eastAsia"/>
                      <w:b/>
                      <w:color w:val="000000"/>
                      <w:w w:val="95"/>
                    </w:rPr>
                    <w:t>水</w:t>
                  </w:r>
                  <w:r>
                    <w:rPr>
                      <w:rFonts w:ascii="黑体" w:eastAsia="黑体"/>
                      <w:color w:val="000000"/>
                      <w:w w:val="95"/>
                    </w:rPr>
                    <w:t>、跳伞、</w:t>
                  </w:r>
                  <w:r>
                    <w:rPr>
                      <w:rFonts w:ascii="黑体" w:eastAsia="黑体" w:hint="eastAsia"/>
                      <w:b/>
                      <w:color w:val="000000"/>
                      <w:w w:val="95"/>
                    </w:rPr>
                    <w:t>攀</w:t>
                  </w:r>
                  <w:r>
                    <w:rPr>
                      <w:rFonts w:ascii="黑体" w:eastAsia="黑体" w:hint="eastAsia"/>
                      <w:b/>
                      <w:color w:val="000000"/>
                      <w:w w:val="95"/>
                    </w:rPr>
                    <w:t>岩</w:t>
                  </w:r>
                  <w:r>
                    <w:rPr>
                      <w:rFonts w:ascii="黑体" w:eastAsia="黑体"/>
                      <w:color w:val="000000"/>
                      <w:w w:val="95"/>
                    </w:rPr>
                    <w:t>、</w:t>
                  </w:r>
                  <w:r>
                    <w:rPr>
                      <w:rFonts w:ascii="黑体" w:eastAsia="黑体" w:hint="eastAsia"/>
                      <w:b/>
                      <w:color w:val="000000"/>
                      <w:w w:val="95"/>
                    </w:rPr>
                    <w:t>探</w:t>
                  </w:r>
                  <w:r>
                    <w:rPr>
                      <w:rFonts w:ascii="黑体" w:eastAsia="黑体" w:hint="eastAsia"/>
                      <w:b/>
                      <w:color w:val="000000"/>
                      <w:w w:val="95"/>
                    </w:rPr>
                    <w:t>险</w:t>
                  </w:r>
                  <w:r>
                    <w:rPr>
                      <w:rFonts w:ascii="黑体" w:eastAsia="黑体"/>
                      <w:color w:val="000000"/>
                      <w:spacing w:val="-2"/>
                      <w:w w:val="95"/>
                    </w:rPr>
                    <w:t>、蹦极、飞</w:t>
                  </w:r>
                </w:p>
              </w:txbxContent>
            </v:textbox>
            <v:fill type="solid"/>
            <w10:wrap type="none"/>
          </v:shape>
        </w:pict>
      </w:r>
      <w:r>
        <w:rPr/>
        <w:pict>
          <v:shape style="position:absolute;margin-left:111pt;margin-top:35.112499pt;width:325.5pt;height:14.6pt;mso-position-horizontal-relative:page;mso-position-vertical-relative:paragraph;z-index:-16132096" type="#_x0000_t202" id="docshape20" filled="true" fillcolor="#c0c0c0" stroked="false">
            <v:textbox inset="0,0,0,0">
              <w:txbxContent>
                <w:p>
                  <w:pPr>
                    <w:pStyle w:val="BodyText"/>
                    <w:spacing w:before="21"/>
                    <w:rPr>
                      <w:rFonts w:ascii="黑体" w:eastAsia="黑体"/>
                      <w:color w:val="000000"/>
                    </w:rPr>
                  </w:pPr>
                  <w:r>
                    <w:rPr>
                      <w:rFonts w:ascii="黑体" w:eastAsia="黑体"/>
                      <w:color w:val="000000"/>
                      <w:w w:val="95"/>
                    </w:rPr>
                    <w:t>（九）</w:t>
                  </w:r>
                  <w:r>
                    <w:rPr>
                      <w:rFonts w:ascii="黑体" w:eastAsia="黑体"/>
                      <w:color w:val="000000"/>
                      <w:spacing w:val="-1"/>
                      <w:w w:val="95"/>
                    </w:rPr>
                    <w:t>被保险人药物过敏、发生医疗事故或因非意外事故所致的整容；</w:t>
                  </w:r>
                </w:p>
              </w:txbxContent>
            </v:textbox>
            <v:fill type="solid"/>
            <w10:wrap type="none"/>
          </v:shape>
        </w:pict>
      </w:r>
      <w:r>
        <w:rPr/>
        <w:pict>
          <v:shape style="position:absolute;margin-left:153.75pt;margin-top:81.912498pt;width:336.3pt;height:14.6pt;mso-position-horizontal-relative:page;mso-position-vertical-relative:paragraph;z-index:-16131584" type="#_x0000_t202" id="docshape21" filled="false" stroked="false">
            <v:textbox inset="0,0,0,0">
              <w:txbxContent>
                <w:p>
                  <w:pPr>
                    <w:spacing w:before="21"/>
                    <w:ind w:left="-1" w:right="0" w:firstLine="0"/>
                    <w:jc w:val="left"/>
                    <w:rPr>
                      <w:rFonts w:ascii="黑体" w:eastAsia="黑体"/>
                      <w:sz w:val="21"/>
                    </w:rPr>
                  </w:pPr>
                  <w:r>
                    <w:rPr>
                      <w:rFonts w:ascii="黑体" w:eastAsia="黑体"/>
                      <w:w w:val="95"/>
                      <w:sz w:val="21"/>
                    </w:rPr>
                    <w:t>行、驾驶滑翔机或滑翔伞、</w:t>
                  </w:r>
                  <w:r>
                    <w:rPr>
                      <w:rFonts w:ascii="黑体" w:eastAsia="黑体" w:hint="eastAsia"/>
                      <w:b/>
                      <w:w w:val="95"/>
                      <w:sz w:val="21"/>
                    </w:rPr>
                    <w:t>武</w:t>
                  </w:r>
                  <w:r>
                    <w:rPr>
                      <w:rFonts w:ascii="黑体" w:eastAsia="黑体" w:hint="eastAsia"/>
                      <w:b/>
                      <w:w w:val="95"/>
                      <w:sz w:val="21"/>
                    </w:rPr>
                    <w:t>术</w:t>
                  </w:r>
                  <w:r>
                    <w:rPr>
                      <w:rFonts w:ascii="黑体" w:eastAsia="黑体" w:hint="eastAsia"/>
                      <w:b/>
                      <w:w w:val="95"/>
                      <w:sz w:val="21"/>
                    </w:rPr>
                    <w:t>比</w:t>
                  </w:r>
                  <w:r>
                    <w:rPr>
                      <w:rFonts w:ascii="黑体" w:eastAsia="黑体" w:hint="eastAsia"/>
                      <w:b/>
                      <w:w w:val="95"/>
                      <w:sz w:val="21"/>
                    </w:rPr>
                    <w:t>赛</w:t>
                  </w:r>
                  <w:r>
                    <w:rPr>
                      <w:rFonts w:ascii="黑体" w:eastAsia="黑体"/>
                      <w:w w:val="95"/>
                      <w:sz w:val="21"/>
                    </w:rPr>
                    <w:t>、摔跤、</w:t>
                  </w:r>
                  <w:r>
                    <w:rPr>
                      <w:rFonts w:ascii="黑体" w:eastAsia="黑体" w:hint="eastAsia"/>
                      <w:b/>
                      <w:w w:val="95"/>
                      <w:sz w:val="21"/>
                    </w:rPr>
                    <w:t>特</w:t>
                  </w:r>
                  <w:r>
                    <w:rPr>
                      <w:rFonts w:ascii="黑体" w:eastAsia="黑体" w:hint="eastAsia"/>
                      <w:b/>
                      <w:w w:val="95"/>
                      <w:sz w:val="21"/>
                    </w:rPr>
                    <w:t>技</w:t>
                  </w:r>
                  <w:r>
                    <w:rPr>
                      <w:rFonts w:ascii="黑体" w:eastAsia="黑体" w:hint="eastAsia"/>
                      <w:b/>
                      <w:w w:val="95"/>
                      <w:sz w:val="21"/>
                    </w:rPr>
                    <w:t>表</w:t>
                  </w:r>
                  <w:r>
                    <w:rPr>
                      <w:rFonts w:ascii="黑体" w:eastAsia="黑体" w:hint="eastAsia"/>
                      <w:b/>
                      <w:w w:val="95"/>
                      <w:sz w:val="21"/>
                    </w:rPr>
                    <w:t>演</w:t>
                  </w:r>
                  <w:r>
                    <w:rPr>
                      <w:rFonts w:ascii="黑体" w:eastAsia="黑体"/>
                      <w:spacing w:val="-2"/>
                      <w:w w:val="95"/>
                      <w:sz w:val="21"/>
                    </w:rPr>
                    <w:t>、赛马、赛车等；</w:t>
                  </w:r>
                </w:p>
              </w:txbxContent>
            </v:textbox>
            <w10:wrap type="none"/>
          </v:shape>
        </w:pict>
      </w:r>
      <w:r>
        <w:rPr/>
        <w:pict>
          <v:shape style="position:absolute;margin-left:111pt;margin-top:50.712502pt;width:262.5pt;height:14.6pt;mso-position-horizontal-relative:page;mso-position-vertical-relative:paragraph;z-index:-16131072" type="#_x0000_t202" id="docshape22" filled="false" stroked="false">
            <v:textbox inset="0,0,0,0">
              <w:txbxContent>
                <w:p>
                  <w:pPr>
                    <w:pStyle w:val="BodyText"/>
                    <w:spacing w:before="21"/>
                    <w:rPr>
                      <w:rFonts w:ascii="黑体" w:eastAsia="黑体"/>
                    </w:rPr>
                  </w:pPr>
                  <w:r>
                    <w:rPr>
                      <w:rFonts w:ascii="黑体" w:eastAsia="黑体"/>
                      <w:w w:val="95"/>
                    </w:rPr>
                    <w:t>（十）</w:t>
                  </w:r>
                  <w:r>
                    <w:rPr>
                      <w:rFonts w:ascii="黑体" w:eastAsia="黑体"/>
                      <w:spacing w:val="-1"/>
                      <w:w w:val="95"/>
                    </w:rPr>
                    <w:t>被保险人未遵医嘱，私自服用、涂用、注射药物；</w:t>
                  </w:r>
                </w:p>
              </w:txbxContent>
            </v:textbox>
            <w10:wrap type="none"/>
          </v:shape>
        </w:pict>
      </w:r>
      <w:r>
        <w:rPr/>
        <w:pict>
          <v:shape style="position:absolute;margin-left:142.5pt;margin-top:19.512501pt;width:199.5pt;height:14.6pt;mso-position-horizontal-relative:page;mso-position-vertical-relative:paragraph;z-index:-15721984;mso-wrap-distance-left:0;mso-wrap-distance-right:0" type="#_x0000_t202" id="docshape23" filled="false" stroked="false">
            <v:textbox inset="0,0,0,0">
              <w:txbxContent>
                <w:p>
                  <w:pPr>
                    <w:pStyle w:val="BodyText"/>
                    <w:spacing w:before="21"/>
                    <w:ind w:left="-2"/>
                    <w:rPr>
                      <w:rFonts w:ascii="黑体" w:eastAsia="黑体"/>
                    </w:rPr>
                  </w:pPr>
                  <w:r>
                    <w:rPr>
                      <w:rFonts w:ascii="黑体" w:eastAsia="黑体"/>
                      <w:spacing w:val="-1"/>
                      <w:w w:val="95"/>
                    </w:rPr>
                    <w:t>产前产后检查以及上述原因引起的并发症；</w:t>
                  </w:r>
                </w:p>
              </w:txbxContent>
            </v:textbox>
            <w10:wrap type="topAndBottom"/>
          </v:shape>
        </w:pict>
      </w:r>
    </w:p>
    <w:p>
      <w:pPr>
        <w:pStyle w:val="BodyText"/>
        <w:spacing w:before="4"/>
        <w:rPr>
          <w:rFonts w:ascii="黑体"/>
          <w:b/>
          <w:sz w:val="24"/>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58"/>
        <w:gridCol w:w="4529"/>
      </w:tblGrid>
      <w:tr>
        <w:trPr>
          <w:trHeight w:val="292" w:hRule="atLeast"/>
        </w:trPr>
        <w:tc>
          <w:tcPr>
            <w:tcW w:w="3358" w:type="dxa"/>
            <w:tcBorders>
              <w:top w:val="single" w:sz="8" w:space="0" w:color="FFFFFF"/>
              <w:bottom w:val="single" w:sz="8" w:space="0" w:color="FFFFFF"/>
            </w:tcBorders>
            <w:shd w:val="clear" w:color="auto" w:fill="C0C0C0"/>
          </w:tcPr>
          <w:p>
            <w:pPr>
              <w:pStyle w:val="TableParagraph"/>
              <w:spacing w:line="251" w:lineRule="exact" w:before="21"/>
              <w:ind w:left="-3" w:right="0"/>
              <w:jc w:val="left"/>
              <w:rPr>
                <w:rFonts w:ascii="黑体" w:eastAsia="黑体"/>
                <w:sz w:val="21"/>
              </w:rPr>
            </w:pPr>
            <w:r>
              <w:rPr>
                <w:rFonts w:ascii="黑体" w:eastAsia="黑体"/>
                <w:w w:val="95"/>
                <w:sz w:val="21"/>
              </w:rPr>
              <w:t>（十三）</w:t>
            </w:r>
            <w:r>
              <w:rPr>
                <w:rFonts w:ascii="黑体" w:eastAsia="黑体"/>
                <w:spacing w:val="-1"/>
                <w:w w:val="95"/>
                <w:sz w:val="21"/>
              </w:rPr>
              <w:t>核爆炸、核辐射或核污染。</w:t>
            </w:r>
          </w:p>
        </w:tc>
        <w:tc>
          <w:tcPr>
            <w:tcW w:w="4529" w:type="dxa"/>
            <w:tcBorders>
              <w:top w:val="single" w:sz="8" w:space="0" w:color="FFFFFF"/>
              <w:bottom w:val="single" w:sz="8" w:space="0" w:color="FFFFFF"/>
            </w:tcBorders>
          </w:tcPr>
          <w:p>
            <w:pPr>
              <w:pStyle w:val="TableParagraph"/>
              <w:spacing w:before="0"/>
              <w:ind w:left="0" w:right="0"/>
              <w:jc w:val="left"/>
              <w:rPr>
                <w:rFonts w:ascii="Times New Roman"/>
                <w:sz w:val="20"/>
              </w:rPr>
            </w:pPr>
          </w:p>
        </w:tc>
      </w:tr>
      <w:tr>
        <w:trPr>
          <w:trHeight w:val="292" w:hRule="atLeast"/>
        </w:trPr>
        <w:tc>
          <w:tcPr>
            <w:tcW w:w="7887" w:type="dxa"/>
            <w:gridSpan w:val="2"/>
            <w:tcBorders>
              <w:top w:val="single" w:sz="8" w:space="0" w:color="FFFFFF"/>
              <w:bottom w:val="single" w:sz="8" w:space="0" w:color="FFFFFF"/>
            </w:tcBorders>
            <w:shd w:val="clear" w:color="auto" w:fill="C0C0C0"/>
          </w:tcPr>
          <w:p>
            <w:pPr>
              <w:pStyle w:val="TableParagraph"/>
              <w:spacing w:line="251" w:lineRule="exact" w:before="21"/>
              <w:ind w:left="0" w:right="0"/>
              <w:jc w:val="left"/>
              <w:rPr>
                <w:rFonts w:ascii="黑体" w:eastAsia="黑体"/>
                <w:sz w:val="21"/>
              </w:rPr>
            </w:pPr>
            <w:r>
              <w:rPr>
                <w:rFonts w:ascii="黑体" w:eastAsia="黑体"/>
                <w:w w:val="95"/>
                <w:sz w:val="21"/>
              </w:rPr>
              <w:t>被保险人因上述第（一）项情形身</w:t>
            </w:r>
            <w:r>
              <w:rPr>
                <w:rFonts w:ascii="黑体" w:eastAsia="黑体"/>
                <w:w w:val="95"/>
                <w:sz w:val="21"/>
              </w:rPr>
              <w:t>故</w:t>
            </w:r>
            <w:r>
              <w:rPr>
                <w:rFonts w:ascii="黑体" w:eastAsia="黑体"/>
                <w:w w:val="95"/>
                <w:sz w:val="21"/>
              </w:rPr>
              <w:t>的</w:t>
            </w:r>
            <w:r>
              <w:rPr>
                <w:rFonts w:ascii="黑体" w:eastAsia="黑体"/>
                <w:spacing w:val="-1"/>
                <w:w w:val="95"/>
                <w:sz w:val="21"/>
              </w:rPr>
              <w:t>，本公司向被保险人的继承人退还本合同的现金</w:t>
            </w:r>
          </w:p>
        </w:tc>
      </w:tr>
    </w:tbl>
    <w:p>
      <w:pPr>
        <w:spacing w:after="0" w:line="251" w:lineRule="exact"/>
        <w:jc w:val="left"/>
        <w:rPr>
          <w:rFonts w:ascii="黑体" w:eastAsia="黑体"/>
          <w:sz w:val="21"/>
        </w:rPr>
        <w:sectPr>
          <w:pgSz w:w="11910" w:h="16840"/>
          <w:pgMar w:header="0" w:footer="991" w:top="1420" w:bottom="1180" w:left="1680" w:right="200"/>
        </w:sectPr>
      </w:pPr>
    </w:p>
    <w:p>
      <w:pPr>
        <w:pStyle w:val="BodyText"/>
        <w:ind w:left="540"/>
        <w:rPr>
          <w:rFonts w:ascii="黑体"/>
          <w:sz w:val="20"/>
        </w:rPr>
      </w:pPr>
      <w:r>
        <w:rPr>
          <w:rFonts w:ascii="黑体"/>
          <w:sz w:val="20"/>
        </w:rPr>
        <w:pict>
          <v:shape style="width:394.3pt;height:14.6pt;mso-position-horizontal-relative:char;mso-position-vertical-relative:line" type="#_x0000_t202" id="docshape24" filled="true" fillcolor="#c0c0c0" stroked="false">
            <w10:anchorlock/>
            <v:textbox inset="0,0,0,0">
              <w:txbxContent>
                <w:p>
                  <w:pPr>
                    <w:pStyle w:val="BodyText"/>
                    <w:spacing w:before="21"/>
                    <w:rPr>
                      <w:rFonts w:ascii="黑体" w:eastAsia="黑体"/>
                      <w:color w:val="000000"/>
                    </w:rPr>
                  </w:pPr>
                  <w:r>
                    <w:rPr>
                      <w:rFonts w:ascii="黑体" w:eastAsia="黑体"/>
                      <w:color w:val="000000"/>
                      <w:spacing w:val="-7"/>
                      <w:w w:val="95"/>
                    </w:rPr>
                    <w:t>被保险人因上述其他情形身故或丧失日常生活能力的，本公司向投保人退还本合同的现</w:t>
                  </w:r>
                </w:p>
              </w:txbxContent>
            </v:textbox>
            <v:fill type="solid"/>
          </v:shape>
        </w:pict>
      </w:r>
      <w:r>
        <w:rPr>
          <w:rFonts w:ascii="黑体"/>
          <w:sz w:val="20"/>
        </w:rPr>
      </w:r>
    </w:p>
    <w:p>
      <w:pPr>
        <w:pStyle w:val="BodyText"/>
        <w:ind w:left="120"/>
        <w:rPr>
          <w:rFonts w:ascii="黑体"/>
          <w:sz w:val="20"/>
        </w:rPr>
      </w:pPr>
      <w:r>
        <w:rPr>
          <w:rFonts w:ascii="黑体"/>
          <w:sz w:val="20"/>
        </w:rPr>
        <w:pict>
          <v:shape style="width:105pt;height:14.6pt;mso-position-horizontal-relative:char;mso-position-vertical-relative:line" type="#_x0000_t202" id="docshape25" filled="true" fillcolor="#c0c0c0" stroked="false">
            <w10:anchorlock/>
            <v:textbox inset="0,0,0,0">
              <w:txbxContent>
                <w:p>
                  <w:pPr>
                    <w:pStyle w:val="BodyText"/>
                    <w:spacing w:before="21"/>
                    <w:rPr>
                      <w:rFonts w:ascii="黑体" w:eastAsia="黑体"/>
                      <w:color w:val="000000"/>
                    </w:rPr>
                  </w:pPr>
                  <w:r>
                    <w:rPr>
                      <w:rFonts w:ascii="黑体" w:eastAsia="黑体"/>
                      <w:color w:val="000000"/>
                      <w:spacing w:val="-3"/>
                      <w:w w:val="95"/>
                    </w:rPr>
                    <w:t>金价值，本合同终止。</w:t>
                  </w:r>
                </w:p>
              </w:txbxContent>
            </v:textbox>
            <v:fill type="solid"/>
          </v:shape>
        </w:pict>
      </w:r>
      <w:r>
        <w:rPr>
          <w:rFonts w:ascii="黑体"/>
          <w:sz w:val="20"/>
        </w:rPr>
      </w:r>
    </w:p>
    <w:p>
      <w:pPr>
        <w:pStyle w:val="BodyText"/>
        <w:spacing w:before="3"/>
        <w:rPr>
          <w:rFonts w:ascii="黑体"/>
          <w:b/>
          <w:sz w:val="20"/>
        </w:rPr>
      </w:pPr>
    </w:p>
    <w:p>
      <w:pPr>
        <w:pStyle w:val="Heading2"/>
        <w:spacing w:before="70"/>
        <w:rPr>
          <w:rFonts w:ascii="黑体" w:eastAsia="黑体" w:hint="eastAsia"/>
        </w:rPr>
      </w:pPr>
      <w:r>
        <w:rPr/>
        <w:drawing>
          <wp:anchor distT="0" distB="0" distL="0" distR="0" allowOverlap="1" layoutInCell="1" locked="0" behindDoc="1" simplePos="0" relativeHeight="487195648">
            <wp:simplePos x="0" y="0"/>
            <wp:positionH relativeFrom="page">
              <wp:posOffset>1143000</wp:posOffset>
            </wp:positionH>
            <wp:positionV relativeFrom="paragraph">
              <wp:posOffset>625221</wp:posOffset>
            </wp:positionV>
            <wp:extent cx="5133975" cy="185419"/>
            <wp:effectExtent l="0" t="0" r="0" b="0"/>
            <wp:wrapNone/>
            <wp:docPr id="19" name="image10.png"/>
            <wp:cNvGraphicFramePr>
              <a:graphicFrameLocks noChangeAspect="1"/>
            </wp:cNvGraphicFramePr>
            <a:graphic>
              <a:graphicData uri="http://schemas.openxmlformats.org/drawingml/2006/picture">
                <pic:pic>
                  <pic:nvPicPr>
                    <pic:cNvPr id="20" name="image10.png"/>
                    <pic:cNvPicPr/>
                  </pic:nvPicPr>
                  <pic:blipFill>
                    <a:blip r:embed="rId15" cstate="print"/>
                    <a:stretch>
                      <a:fillRect/>
                    </a:stretch>
                  </pic:blipFill>
                  <pic:spPr>
                    <a:xfrm>
                      <a:off x="0" y="0"/>
                      <a:ext cx="5133975" cy="185419"/>
                    </a:xfrm>
                    <a:prstGeom prst="rect">
                      <a:avLst/>
                    </a:prstGeom>
                  </pic:spPr>
                </pic:pic>
              </a:graphicData>
            </a:graphic>
          </wp:anchor>
        </w:drawing>
      </w:r>
      <w:r>
        <w:rPr/>
        <w:pict>
          <v:shape style="position:absolute;margin-left:90pt;margin-top:49.23003pt;width:409.45pt;height:14.6pt;mso-position-horizontal-relative:page;mso-position-vertical-relative:paragraph;z-index:-16120320" type="#_x0000_t202" id="docshape26" filled="false" stroked="false">
            <v:textbox inset="0,0,0,0">
              <w:txbxContent>
                <w:p>
                  <w:pPr>
                    <w:pStyle w:val="BodyText"/>
                    <w:spacing w:before="21"/>
                    <w:rPr>
                      <w:rFonts w:ascii="黑体" w:hAnsi="黑体" w:eastAsia="黑体"/>
                    </w:rPr>
                  </w:pPr>
                  <w:r>
                    <w:rPr>
                      <w:rFonts w:ascii="黑体" w:hAnsi="黑体" w:eastAsia="黑体"/>
                      <w:spacing w:val="-14"/>
                    </w:rPr>
                    <w:t>期”“第十四条 保险单</w:t>
                  </w:r>
                  <w:r>
                    <w:rPr>
                      <w:rFonts w:ascii="黑体" w:hAnsi="黑体" w:eastAsia="黑体"/>
                    </w:rPr>
                    <w:t>贷</w:t>
                  </w:r>
                  <w:r>
                    <w:rPr>
                      <w:rFonts w:ascii="黑体" w:hAnsi="黑体" w:eastAsia="黑体"/>
                    </w:rPr>
                    <w:t>款</w:t>
                  </w:r>
                  <w:r>
                    <w:rPr>
                      <w:rFonts w:ascii="黑体" w:hAnsi="黑体" w:eastAsia="黑体"/>
                      <w:spacing w:val="-53"/>
                    </w:rPr>
                    <w:t>”“</w:t>
                  </w:r>
                  <w:r>
                    <w:rPr>
                      <w:rFonts w:ascii="黑体" w:hAnsi="黑体" w:eastAsia="黑体"/>
                    </w:rPr>
                    <w:t>第</w:t>
                  </w:r>
                  <w:r>
                    <w:rPr>
                      <w:rFonts w:ascii="黑体" w:hAnsi="黑体" w:eastAsia="黑体"/>
                      <w:spacing w:val="-13"/>
                    </w:rPr>
                    <w:t>十五条 减少基本保险金额”“</w:t>
                  </w:r>
                  <w:r>
                    <w:rPr>
                      <w:rFonts w:ascii="黑体" w:hAnsi="黑体" w:eastAsia="黑体"/>
                    </w:rPr>
                    <w:t>第</w:t>
                  </w:r>
                  <w:r>
                    <w:rPr>
                      <w:rFonts w:ascii="黑体" w:hAnsi="黑体" w:eastAsia="黑体"/>
                      <w:spacing w:val="-6"/>
                    </w:rPr>
                    <w:t>十九条 年龄性别错误”</w:t>
                  </w:r>
                </w:p>
              </w:txbxContent>
            </v:textbox>
            <w10:wrap type="none"/>
          </v:shape>
        </w:pict>
      </w:r>
      <w:r>
        <w:rPr/>
        <w:pict>
          <v:shape style="position:absolute;margin-left:90pt;margin-top:64.830032pt;width:415.05pt;height:14.6pt;mso-position-horizontal-relative:page;mso-position-vertical-relative:paragraph;z-index:-16119808" type="#_x0000_t202" id="docshape27" filled="true" fillcolor="#c0c0c0" stroked="false">
            <v:textbox inset="0,0,0,0">
              <w:txbxContent>
                <w:p>
                  <w:pPr>
                    <w:pStyle w:val="BodyText"/>
                    <w:spacing w:before="21"/>
                    <w:ind w:right="-15"/>
                    <w:rPr>
                      <w:rFonts w:ascii="黑体" w:hAnsi="黑体" w:eastAsia="黑体"/>
                      <w:color w:val="000000"/>
                    </w:rPr>
                  </w:pPr>
                  <w:r>
                    <w:rPr>
                      <w:rFonts w:ascii="黑体" w:hAnsi="黑体" w:eastAsia="黑体"/>
                      <w:color w:val="000000"/>
                      <w:w w:val="95"/>
                    </w:rPr>
                    <w:t>“</w:t>
                  </w:r>
                  <w:r>
                    <w:rPr>
                      <w:rFonts w:ascii="黑体" w:hAnsi="黑体" w:eastAsia="黑体"/>
                      <w:color w:val="000000"/>
                      <w:w w:val="95"/>
                    </w:rPr>
                    <w:t>第</w:t>
                  </w:r>
                  <w:r>
                    <w:rPr>
                      <w:rFonts w:ascii="黑体" w:hAnsi="黑体" w:eastAsia="黑体"/>
                      <w:color w:val="000000"/>
                      <w:w w:val="95"/>
                    </w:rPr>
                    <w:t>二十一条</w:t>
                  </w:r>
                  <w:r>
                    <w:rPr>
                      <w:rFonts w:ascii="黑体" w:hAnsi="黑体" w:eastAsia="黑体"/>
                      <w:color w:val="000000"/>
                      <w:spacing w:val="64"/>
                      <w:w w:val="150"/>
                    </w:rPr>
                    <w:t> </w:t>
                  </w:r>
                  <w:r>
                    <w:rPr>
                      <w:rFonts w:ascii="黑体" w:hAnsi="黑体" w:eastAsia="黑体"/>
                      <w:color w:val="000000"/>
                      <w:w w:val="95"/>
                    </w:rPr>
                    <w:t>合同中止与复效</w:t>
                  </w:r>
                  <w:r>
                    <w:rPr>
                      <w:rFonts w:ascii="黑体" w:hAnsi="黑体" w:eastAsia="黑体"/>
                      <w:color w:val="000000"/>
                      <w:spacing w:val="-68"/>
                      <w:w w:val="95"/>
                    </w:rPr>
                    <w:t>”“</w:t>
                  </w:r>
                  <w:r>
                    <w:rPr>
                      <w:rFonts w:ascii="黑体" w:hAnsi="黑体" w:eastAsia="黑体"/>
                      <w:color w:val="000000"/>
                      <w:w w:val="95"/>
                    </w:rPr>
                    <w:t>第</w:t>
                  </w:r>
                  <w:r>
                    <w:rPr>
                      <w:rFonts w:ascii="黑体" w:hAnsi="黑体" w:eastAsia="黑体"/>
                      <w:color w:val="000000"/>
                      <w:w w:val="95"/>
                    </w:rPr>
                    <w:t>二十二条</w:t>
                  </w:r>
                  <w:r>
                    <w:rPr>
                      <w:rFonts w:ascii="黑体" w:hAnsi="黑体" w:eastAsia="黑体"/>
                      <w:color w:val="000000"/>
                      <w:spacing w:val="60"/>
                      <w:w w:val="150"/>
                    </w:rPr>
                    <w:t> </w:t>
                  </w:r>
                  <w:r>
                    <w:rPr>
                      <w:rFonts w:ascii="黑体" w:hAnsi="黑体" w:eastAsia="黑体"/>
                      <w:color w:val="000000"/>
                      <w:w w:val="95"/>
                    </w:rPr>
                    <w:t>合同解除</w:t>
                  </w:r>
                  <w:r>
                    <w:rPr>
                      <w:rFonts w:ascii="黑体" w:hAnsi="黑体" w:eastAsia="黑体"/>
                      <w:color w:val="000000"/>
                      <w:spacing w:val="-21"/>
                      <w:w w:val="95"/>
                    </w:rPr>
                    <w:t>”“第二十四条</w:t>
                  </w:r>
                  <w:r>
                    <w:rPr>
                      <w:rFonts w:ascii="黑体" w:hAnsi="黑体" w:eastAsia="黑体"/>
                      <w:color w:val="000000"/>
                      <w:spacing w:val="60"/>
                      <w:w w:val="150"/>
                    </w:rPr>
                    <w:t> </w:t>
                  </w:r>
                  <w:r>
                    <w:rPr>
                      <w:rFonts w:ascii="黑体" w:hAnsi="黑体" w:eastAsia="黑体"/>
                      <w:color w:val="000000"/>
                      <w:w w:val="95"/>
                    </w:rPr>
                    <w:t>保险事故通知</w:t>
                  </w:r>
                  <w:r>
                    <w:rPr>
                      <w:rFonts w:ascii="黑体" w:hAnsi="黑体" w:eastAsia="黑体"/>
                      <w:color w:val="000000"/>
                      <w:spacing w:val="-49"/>
                      <w:w w:val="95"/>
                    </w:rPr>
                    <w:t>”“第</w:t>
                  </w:r>
                </w:p>
              </w:txbxContent>
            </v:textbox>
            <v:fill type="solid"/>
            <w10:wrap type="none"/>
          </v:shape>
        </w:pict>
      </w:r>
      <w:r>
        <w:rPr/>
        <w:pict>
          <v:shape style="position:absolute;margin-left:90pt;margin-top:33.630028pt;width:415.05pt;height:14.6pt;mso-position-horizontal-relative:page;mso-position-vertical-relative:paragraph;z-index:-16119296" type="#_x0000_t202" id="docshape28" filled="true" fillcolor="#c0c0c0" stroked="false">
            <v:textbox inset="0,0,0,0">
              <w:txbxContent>
                <w:p>
                  <w:pPr>
                    <w:pStyle w:val="BodyText"/>
                    <w:spacing w:before="21"/>
                    <w:rPr>
                      <w:rFonts w:ascii="黑体" w:hAnsi="黑体" w:eastAsia="黑体"/>
                      <w:color w:val="000000"/>
                    </w:rPr>
                  </w:pPr>
                  <w:r>
                    <w:rPr>
                      <w:rFonts w:ascii="黑体" w:hAnsi="黑体" w:eastAsia="黑体"/>
                      <w:color w:val="000000"/>
                      <w:spacing w:val="-3"/>
                    </w:rPr>
                    <w:t>同“第三条 犹</w:t>
                  </w:r>
                  <w:r>
                    <w:rPr>
                      <w:rFonts w:ascii="黑体" w:hAnsi="黑体" w:eastAsia="黑体"/>
                      <w:color w:val="000000"/>
                    </w:rPr>
                    <w:t>豫</w:t>
                  </w:r>
                  <w:r>
                    <w:rPr>
                      <w:rFonts w:ascii="黑体" w:hAnsi="黑体" w:eastAsia="黑体"/>
                      <w:color w:val="000000"/>
                    </w:rPr>
                    <w:t>期</w:t>
                  </w:r>
                  <w:r>
                    <w:rPr>
                      <w:rFonts w:ascii="黑体" w:hAnsi="黑体" w:eastAsia="黑体"/>
                      <w:color w:val="000000"/>
                      <w:spacing w:val="-12"/>
                    </w:rPr>
                    <w:t>”“第四条 明确说明与如实</w:t>
                  </w:r>
                  <w:r>
                    <w:rPr>
                      <w:rFonts w:ascii="黑体" w:hAnsi="黑体" w:eastAsia="黑体"/>
                      <w:color w:val="000000"/>
                    </w:rPr>
                    <w:t>告</w:t>
                  </w:r>
                  <w:r>
                    <w:rPr>
                      <w:rFonts w:ascii="黑体" w:hAnsi="黑体" w:eastAsia="黑体"/>
                      <w:color w:val="000000"/>
                    </w:rPr>
                    <w:t>知</w:t>
                  </w:r>
                  <w:r>
                    <w:rPr>
                      <w:rFonts w:ascii="黑体" w:hAnsi="黑体" w:eastAsia="黑体"/>
                      <w:color w:val="000000"/>
                      <w:spacing w:val="-23"/>
                    </w:rPr>
                    <w:t>”“第七条 保险责任”“</w:t>
                  </w:r>
                  <w:r>
                    <w:rPr>
                      <w:rFonts w:ascii="黑体" w:hAnsi="黑体" w:eastAsia="黑体"/>
                      <w:color w:val="000000"/>
                    </w:rPr>
                    <w:t>第</w:t>
                  </w:r>
                  <w:r>
                    <w:rPr>
                      <w:rFonts w:ascii="黑体" w:hAnsi="黑体" w:eastAsia="黑体"/>
                      <w:color w:val="000000"/>
                      <w:spacing w:val="-5"/>
                    </w:rPr>
                    <w:t>十三条 宽限</w:t>
                  </w:r>
                </w:p>
              </w:txbxContent>
            </v:textbox>
            <v:fill type="solid"/>
            <w10:wrap type="none"/>
          </v:shape>
        </w:pict>
      </w:r>
      <w:r>
        <w:rPr/>
        <w:pict>
          <v:shape style="position:absolute;margin-left:111.300003pt;margin-top:18.030029pt;width:393.75pt;height:14.6pt;mso-position-horizontal-relative:page;mso-position-vertical-relative:paragraph;z-index:-15710208;mso-wrap-distance-left:0;mso-wrap-distance-right:0" type="#_x0000_t202" id="docshape29" filled="true" fillcolor="#c0c0c0" stroked="false">
            <v:textbox inset="0,0,0,0">
              <w:txbxContent>
                <w:p>
                  <w:pPr>
                    <w:pStyle w:val="BodyText"/>
                    <w:spacing w:before="21"/>
                    <w:ind w:left="-2"/>
                    <w:rPr>
                      <w:rFonts w:ascii="黑体" w:hAnsi="黑体" w:eastAsia="黑体"/>
                      <w:color w:val="000000"/>
                    </w:rPr>
                  </w:pPr>
                  <w:r>
                    <w:rPr>
                      <w:rFonts w:ascii="黑体" w:hAnsi="黑体" w:eastAsia="黑体"/>
                      <w:color w:val="000000"/>
                      <w:w w:val="95"/>
                    </w:rPr>
                    <w:t>除</w:t>
                  </w:r>
                  <w:r>
                    <w:rPr>
                      <w:rFonts w:ascii="黑体" w:hAnsi="黑体" w:eastAsia="黑体"/>
                      <w:color w:val="000000"/>
                      <w:w w:val="95"/>
                    </w:rPr>
                    <w:t>以</w:t>
                  </w:r>
                  <w:r>
                    <w:rPr>
                      <w:rFonts w:ascii="黑体" w:hAnsi="黑体" w:eastAsia="黑体"/>
                      <w:color w:val="000000"/>
                      <w:w w:val="95"/>
                    </w:rPr>
                    <w:t>上</w:t>
                  </w:r>
                  <w:r>
                    <w:rPr>
                      <w:rFonts w:ascii="黑体" w:hAnsi="黑体" w:eastAsia="黑体"/>
                      <w:color w:val="000000"/>
                      <w:w w:val="95"/>
                    </w:rPr>
                    <w:t>“</w:t>
                  </w:r>
                  <w:r>
                    <w:rPr>
                      <w:rFonts w:ascii="黑体" w:hAnsi="黑体" w:eastAsia="黑体"/>
                      <w:color w:val="000000"/>
                      <w:w w:val="95"/>
                    </w:rPr>
                    <w:t>第</w:t>
                  </w:r>
                  <w:r>
                    <w:rPr>
                      <w:rFonts w:ascii="黑体" w:hAnsi="黑体" w:eastAsia="黑体"/>
                      <w:color w:val="000000"/>
                      <w:w w:val="95"/>
                    </w:rPr>
                    <w:t>八条</w:t>
                  </w:r>
                  <w:r>
                    <w:rPr>
                      <w:rFonts w:ascii="黑体" w:hAnsi="黑体" w:eastAsia="黑体"/>
                      <w:color w:val="000000"/>
                      <w:spacing w:val="55"/>
                      <w:w w:val="150"/>
                    </w:rPr>
                    <w:t>  </w:t>
                  </w:r>
                  <w:r>
                    <w:rPr>
                      <w:rFonts w:ascii="黑体" w:hAnsi="黑体" w:eastAsia="黑体"/>
                      <w:color w:val="000000"/>
                      <w:w w:val="95"/>
                    </w:rPr>
                    <w:t>责任免除”</w:t>
                  </w:r>
                  <w:r>
                    <w:rPr>
                      <w:rFonts w:ascii="黑体" w:hAnsi="黑体" w:eastAsia="黑体"/>
                      <w:color w:val="000000"/>
                      <w:w w:val="95"/>
                    </w:rPr>
                    <w:t>外</w:t>
                  </w:r>
                  <w:r>
                    <w:rPr>
                      <w:rFonts w:ascii="黑体" w:hAnsi="黑体" w:eastAsia="黑体"/>
                      <w:color w:val="000000"/>
                      <w:spacing w:val="-1"/>
                      <w:w w:val="95"/>
                    </w:rPr>
                    <w:t>，本合同中还有其他免除本公司责任的条款，详见本合</w:t>
                  </w:r>
                </w:p>
              </w:txbxContent>
            </v:textbox>
            <v:fill type="solid"/>
            <w10:wrap type="topAndBottom"/>
          </v:shape>
        </w:pict>
      </w:r>
      <w:r>
        <w:rPr>
          <w:w w:val="95"/>
        </w:rPr>
        <w:t>第</w:t>
      </w:r>
      <w:r>
        <w:rPr>
          <w:w w:val="95"/>
        </w:rPr>
        <w:t>九</w:t>
      </w:r>
      <w:r>
        <w:rPr>
          <w:w w:val="95"/>
        </w:rPr>
        <w:t>条</w:t>
      </w:r>
      <w:r>
        <w:rPr>
          <w:spacing w:val="60"/>
        </w:rPr>
        <w:t> </w:t>
      </w:r>
      <w:r>
        <w:rPr>
          <w:rFonts w:ascii="黑体" w:eastAsia="黑体" w:hint="eastAsia"/>
          <w:w w:val="95"/>
        </w:rPr>
        <w:t>其</w:t>
      </w:r>
      <w:r>
        <w:rPr>
          <w:rFonts w:ascii="黑体" w:eastAsia="黑体" w:hint="eastAsia"/>
          <w:w w:val="95"/>
        </w:rPr>
        <w:t>他</w:t>
      </w:r>
      <w:r>
        <w:rPr>
          <w:rFonts w:ascii="黑体" w:eastAsia="黑体" w:hint="eastAsia"/>
          <w:w w:val="95"/>
        </w:rPr>
        <w:t>责</w:t>
      </w:r>
      <w:r>
        <w:rPr>
          <w:rFonts w:ascii="黑体" w:eastAsia="黑体" w:hint="eastAsia"/>
          <w:spacing w:val="-4"/>
          <w:w w:val="95"/>
        </w:rPr>
        <w:t>任免除</w:t>
      </w:r>
    </w:p>
    <w:p>
      <w:pPr>
        <w:pStyle w:val="BodyText"/>
        <w:ind w:left="120"/>
        <w:rPr>
          <w:rFonts w:ascii="黑体"/>
          <w:sz w:val="20"/>
        </w:rPr>
      </w:pPr>
      <w:r>
        <w:rPr>
          <w:rFonts w:ascii="黑体"/>
          <w:sz w:val="20"/>
        </w:rPr>
        <w:pict>
          <v:shape style="width:309.75pt;height:14.6pt;mso-position-horizontal-relative:char;mso-position-vertical-relative:line" type="#_x0000_t202" id="docshape30" filled="true" fillcolor="#c0c0c0" stroked="false">
            <w10:anchorlock/>
            <v:textbox inset="0,0,0,0">
              <w:txbxContent>
                <w:p>
                  <w:pPr>
                    <w:pStyle w:val="BodyText"/>
                    <w:spacing w:before="21"/>
                    <w:rPr>
                      <w:rFonts w:ascii="黑体" w:hAnsi="黑体" w:eastAsia="黑体"/>
                      <w:color w:val="000000"/>
                    </w:rPr>
                  </w:pPr>
                  <w:r>
                    <w:rPr>
                      <w:rFonts w:ascii="黑体" w:hAnsi="黑体" w:eastAsia="黑体"/>
                      <w:color w:val="000000"/>
                      <w:spacing w:val="13"/>
                      <w:w w:val="95"/>
                    </w:rPr>
                    <w:t>二十五条 </w:t>
                  </w:r>
                  <w:r>
                    <w:rPr>
                      <w:rFonts w:ascii="黑体" w:hAnsi="黑体" w:eastAsia="黑体"/>
                      <w:color w:val="000000"/>
                      <w:w w:val="95"/>
                    </w:rPr>
                    <w:t>保险金申请”“第三十条</w:t>
                  </w:r>
                  <w:r>
                    <w:rPr>
                      <w:rFonts w:ascii="黑体" w:hAnsi="黑体" w:eastAsia="黑体"/>
                      <w:color w:val="000000"/>
                      <w:spacing w:val="63"/>
                    </w:rPr>
                    <w:t> </w:t>
                  </w:r>
                  <w:r>
                    <w:rPr>
                      <w:rFonts w:ascii="黑体" w:hAnsi="黑体" w:eastAsia="黑体"/>
                      <w:color w:val="000000"/>
                      <w:spacing w:val="-1"/>
                      <w:w w:val="95"/>
                    </w:rPr>
                    <w:t>释义”中背景突出显示的内容。</w:t>
                  </w:r>
                </w:p>
              </w:txbxContent>
            </v:textbox>
            <v:fill type="solid"/>
          </v:shape>
        </w:pict>
      </w:r>
      <w:r>
        <w:rPr>
          <w:rFonts w:ascii="黑体"/>
          <w:sz w:val="20"/>
        </w:rPr>
      </w:r>
    </w:p>
    <w:p>
      <w:pPr>
        <w:pStyle w:val="BodyText"/>
        <w:spacing w:before="11"/>
        <w:rPr>
          <w:rFonts w:ascii="黑体"/>
          <w:b/>
        </w:rPr>
      </w:pPr>
    </w:p>
    <w:p>
      <w:pPr>
        <w:pStyle w:val="Heading2"/>
        <w:spacing w:before="70"/>
      </w:pPr>
      <w:r>
        <w:rPr>
          <w:w w:val="95"/>
        </w:rPr>
        <w:t>第</w:t>
      </w:r>
      <w:r>
        <w:rPr>
          <w:w w:val="95"/>
        </w:rPr>
        <w:t>十</w:t>
      </w:r>
      <w:r>
        <w:rPr>
          <w:w w:val="95"/>
        </w:rPr>
        <w:t>条</w:t>
      </w:r>
      <w:r>
        <w:rPr>
          <w:spacing w:val="42"/>
        </w:rPr>
        <w:t> </w:t>
      </w:r>
      <w:bookmarkStart w:name="_bookmark11" w:id="10"/>
      <w:bookmarkEnd w:id="10"/>
      <w:r>
        <w:rPr>
          <w:w w:val="95"/>
        </w:rPr>
        <w:t>保</w:t>
      </w:r>
      <w:r>
        <w:rPr>
          <w:w w:val="95"/>
        </w:rPr>
        <w:t>险</w:t>
      </w:r>
      <w:r>
        <w:rPr>
          <w:w w:val="95"/>
        </w:rPr>
        <w:t>期</w:t>
      </w:r>
      <w:r>
        <w:rPr>
          <w:spacing w:val="-10"/>
          <w:w w:val="95"/>
        </w:rPr>
        <w:t>间</w:t>
      </w:r>
    </w:p>
    <w:p>
      <w:pPr>
        <w:pStyle w:val="BodyText"/>
        <w:spacing w:before="43"/>
        <w:ind w:left="540"/>
      </w:pPr>
      <w:r>
        <w:rPr>
          <w:spacing w:val="-1"/>
          <w:w w:val="95"/>
        </w:rPr>
        <w:t>本合同的保险期间为终身，并在保险单上载明。</w:t>
      </w:r>
    </w:p>
    <w:p>
      <w:pPr>
        <w:pStyle w:val="BodyText"/>
        <w:spacing w:before="9"/>
        <w:rPr>
          <w:sz w:val="27"/>
        </w:rPr>
      </w:pPr>
    </w:p>
    <w:p>
      <w:pPr>
        <w:pStyle w:val="Heading2"/>
      </w:pPr>
      <w:r>
        <w:rPr>
          <w:w w:val="95"/>
        </w:rPr>
        <w:t>第</w:t>
      </w:r>
      <w:r>
        <w:rPr>
          <w:w w:val="95"/>
        </w:rPr>
        <w:t>十</w:t>
      </w:r>
      <w:r>
        <w:rPr>
          <w:w w:val="95"/>
        </w:rPr>
        <w:t>一</w:t>
      </w:r>
      <w:r>
        <w:rPr>
          <w:w w:val="95"/>
        </w:rPr>
        <w:t>条</w:t>
      </w:r>
      <w:r>
        <w:rPr>
          <w:spacing w:val="35"/>
        </w:rPr>
        <w:t>  </w:t>
      </w:r>
      <w:bookmarkStart w:name="_bookmark12" w:id="11"/>
      <w:bookmarkEnd w:id="11"/>
      <w:r>
        <w:rPr>
          <w:w w:val="95"/>
        </w:rPr>
        <w:t>基</w:t>
      </w:r>
      <w:r>
        <w:rPr>
          <w:w w:val="95"/>
        </w:rPr>
        <w:t>本</w:t>
      </w:r>
      <w:r>
        <w:rPr>
          <w:w w:val="95"/>
        </w:rPr>
        <w:t>保</w:t>
      </w:r>
      <w:r>
        <w:rPr>
          <w:w w:val="95"/>
        </w:rPr>
        <w:t>险</w:t>
      </w:r>
      <w:r>
        <w:rPr>
          <w:w w:val="95"/>
        </w:rPr>
        <w:t>金</w:t>
      </w:r>
      <w:r>
        <w:rPr>
          <w:w w:val="95"/>
        </w:rPr>
        <w:t>额</w:t>
      </w:r>
      <w:r>
        <w:rPr>
          <w:w w:val="95"/>
        </w:rPr>
        <w:t>和</w:t>
      </w:r>
      <w:r>
        <w:rPr>
          <w:w w:val="95"/>
        </w:rPr>
        <w:t>年</w:t>
      </w:r>
      <w:r>
        <w:rPr>
          <w:w w:val="95"/>
        </w:rPr>
        <w:t>度</w:t>
      </w:r>
      <w:r>
        <w:rPr>
          <w:w w:val="95"/>
        </w:rPr>
        <w:t>有</w:t>
      </w:r>
      <w:r>
        <w:rPr>
          <w:w w:val="95"/>
        </w:rPr>
        <w:t>效</w:t>
      </w:r>
      <w:r>
        <w:rPr>
          <w:w w:val="95"/>
        </w:rPr>
        <w:t>保</w:t>
      </w:r>
      <w:r>
        <w:rPr>
          <w:w w:val="95"/>
        </w:rPr>
        <w:t>险</w:t>
      </w:r>
      <w:r>
        <w:rPr>
          <w:w w:val="95"/>
        </w:rPr>
        <w:t>金</w:t>
      </w:r>
      <w:r>
        <w:rPr>
          <w:spacing w:val="-10"/>
          <w:w w:val="95"/>
        </w:rPr>
        <w:t>额</w:t>
      </w:r>
    </w:p>
    <w:p>
      <w:pPr>
        <w:pStyle w:val="BodyText"/>
        <w:spacing w:before="43"/>
        <w:ind w:left="540"/>
      </w:pPr>
      <w:r>
        <w:rPr>
          <w:w w:val="95"/>
        </w:rPr>
        <w:t>（一）本合同</w:t>
      </w:r>
      <w:r>
        <w:rPr>
          <w:w w:val="95"/>
        </w:rPr>
        <w:t>的</w:t>
      </w:r>
      <w:r>
        <w:rPr>
          <w:w w:val="95"/>
        </w:rPr>
        <w:t>基</w:t>
      </w:r>
      <w:r>
        <w:rPr>
          <w:w w:val="95"/>
        </w:rPr>
        <w:t>本保险金额由投保人和本公司双方协商约定，并在保险单上</w:t>
      </w:r>
      <w:r>
        <w:rPr>
          <w:w w:val="95"/>
        </w:rPr>
        <w:t>载</w:t>
      </w:r>
      <w:r>
        <w:rPr>
          <w:w w:val="95"/>
        </w:rPr>
        <w:t>明</w:t>
      </w:r>
      <w:r>
        <w:rPr>
          <w:spacing w:val="-10"/>
          <w:w w:val="95"/>
        </w:rPr>
        <w:t>。</w:t>
      </w:r>
    </w:p>
    <w:p>
      <w:pPr>
        <w:pStyle w:val="BodyText"/>
        <w:spacing w:line="278" w:lineRule="auto" w:before="43"/>
        <w:ind w:left="120" w:right="1597" w:firstLine="420"/>
        <w:jc w:val="both"/>
      </w:pPr>
      <w:r>
        <w:rPr>
          <w:spacing w:val="2"/>
          <w:w w:val="99"/>
        </w:rPr>
        <w:t>（</w:t>
      </w:r>
      <w:r>
        <w:rPr>
          <w:spacing w:val="-1"/>
          <w:w w:val="99"/>
        </w:rPr>
        <w:t>二</w:t>
      </w:r>
      <w:r>
        <w:rPr>
          <w:spacing w:val="-32"/>
          <w:w w:val="99"/>
        </w:rPr>
        <w:t>）</w:t>
      </w:r>
      <w:r>
        <w:rPr>
          <w:spacing w:val="-5"/>
          <w:w w:val="99"/>
        </w:rPr>
        <w:t>本合同首个保险单年度内，当年度有效保险金额等于本合同的基本保险金额；从</w:t>
      </w:r>
      <w:r>
        <w:rPr>
          <w:spacing w:val="1"/>
          <w:w w:val="99"/>
        </w:rPr>
        <w:t>第二个保险单年度起，年度有效保险金额每年按</w:t>
      </w:r>
      <w:r>
        <w:rPr>
          <w:spacing w:val="-50"/>
        </w:rPr>
        <w:t> </w:t>
      </w:r>
      <w:r>
        <w:rPr>
          <w:spacing w:val="1"/>
          <w:w w:val="99"/>
        </w:rPr>
        <w:t>3.5%以年复利增加，即当年度有效保险金</w:t>
      </w:r>
      <w:r>
        <w:rPr>
          <w:spacing w:val="-1"/>
          <w:w w:val="99"/>
        </w:rPr>
        <w:t>额等于上一个保险单年度的有效保险金额×</w:t>
      </w:r>
      <w:r>
        <w:rPr>
          <w:spacing w:val="2"/>
          <w:w w:val="99"/>
        </w:rPr>
        <w:t>（</w:t>
      </w:r>
      <w:r>
        <w:rPr>
          <w:spacing w:val="1"/>
          <w:w w:val="99"/>
        </w:rPr>
        <w:t>1+3</w:t>
      </w:r>
      <w:r>
        <w:rPr>
          <w:spacing w:val="-2"/>
          <w:w w:val="99"/>
        </w:rPr>
        <w:t>.</w:t>
      </w:r>
      <w:r>
        <w:rPr>
          <w:spacing w:val="1"/>
          <w:w w:val="99"/>
        </w:rPr>
        <w:t>5</w:t>
      </w:r>
      <w:r>
        <w:rPr>
          <w:spacing w:val="-2"/>
          <w:w w:val="99"/>
        </w:rPr>
        <w:t>%</w:t>
      </w:r>
      <w:r>
        <w:rPr>
          <w:spacing w:val="-104"/>
          <w:w w:val="99"/>
        </w:rPr>
        <w:t>）</w:t>
      </w:r>
      <w:r>
        <w:rPr>
          <w:w w:val="99"/>
        </w:rPr>
        <w:t>。</w:t>
      </w:r>
    </w:p>
    <w:p>
      <w:pPr>
        <w:pStyle w:val="BodyText"/>
        <w:spacing w:line="278" w:lineRule="auto"/>
        <w:ind w:left="120" w:right="1599" w:firstLine="420"/>
        <w:jc w:val="both"/>
      </w:pPr>
      <w:r>
        <w:rPr>
          <w:spacing w:val="2"/>
          <w:w w:val="99"/>
        </w:rPr>
        <w:t>（</w:t>
      </w:r>
      <w:r>
        <w:rPr>
          <w:spacing w:val="-1"/>
          <w:w w:val="99"/>
        </w:rPr>
        <w:t>三</w:t>
      </w:r>
      <w:r>
        <w:rPr>
          <w:spacing w:val="2"/>
          <w:w w:val="99"/>
        </w:rPr>
        <w:t>）</w:t>
      </w:r>
      <w:r>
        <w:rPr>
          <w:spacing w:val="-1"/>
          <w:w w:val="99"/>
        </w:rPr>
        <w:t>若本合同的基本保险金额按本合同“第十五条</w:t>
      </w:r>
      <w:r>
        <w:rPr/>
        <w:t> </w:t>
      </w:r>
      <w:r>
        <w:rPr>
          <w:spacing w:val="-1"/>
          <w:w w:val="99"/>
        </w:rPr>
        <w:t>减少基本保险金额”约定发生变</w:t>
      </w:r>
      <w:r>
        <w:rPr>
          <w:spacing w:val="-10"/>
          <w:w w:val="99"/>
        </w:rPr>
        <w:t>更，则以变更后的基本保险金额为准。本合同各保险单年度内的当年度有效保险金额按变更</w:t>
      </w:r>
      <w:r>
        <w:rPr>
          <w:spacing w:val="-1"/>
          <w:w w:val="99"/>
        </w:rPr>
        <w:t>后的基本保险金额重新计算。</w:t>
      </w:r>
    </w:p>
    <w:p>
      <w:pPr>
        <w:pStyle w:val="BodyText"/>
        <w:spacing w:before="3"/>
        <w:rPr>
          <w:sz w:val="24"/>
        </w:rPr>
      </w:pPr>
    </w:p>
    <w:p>
      <w:pPr>
        <w:pStyle w:val="Heading2"/>
        <w:spacing w:before="1"/>
      </w:pPr>
      <w:r>
        <w:rPr/>
        <w:t>第</w:t>
      </w:r>
      <w:r>
        <w:rPr/>
        <w:t>十</w:t>
      </w:r>
      <w:r>
        <w:rPr/>
        <w:t>二</w:t>
      </w:r>
      <w:r>
        <w:rPr>
          <w:spacing w:val="-4"/>
        </w:rPr>
        <w:t>条 保险费</w:t>
      </w:r>
    </w:p>
    <w:p>
      <w:pPr>
        <w:pStyle w:val="BodyText"/>
        <w:spacing w:line="278" w:lineRule="auto" w:before="43"/>
        <w:ind w:left="120" w:right="1506" w:firstLine="420"/>
      </w:pPr>
      <w:r>
        <w:rPr>
          <w:spacing w:val="-4"/>
          <w:w w:val="99"/>
        </w:rPr>
        <w:t>本合同的保险费按照约定的基本保险金额和约定的费率标准确定并在保险单上载明。交</w:t>
      </w:r>
      <w:r>
        <w:rPr>
          <w:spacing w:val="-1"/>
          <w:w w:val="99"/>
        </w:rPr>
        <w:t>费方式、保险费约定交纳日和交费期间由投保人和本公司双方协商约定并在保险单上载明。</w:t>
      </w:r>
      <w:r>
        <w:rPr>
          <w:spacing w:val="-8"/>
          <w:w w:val="99"/>
        </w:rPr>
        <w:t>趸交保险费的，投保人应在合同成立时一次性交清保险费。分期支付保险费的，在交纳首期</w:t>
      </w:r>
      <w:r>
        <w:rPr>
          <w:spacing w:val="-1"/>
          <w:w w:val="99"/>
        </w:rPr>
        <w:t>保险费后，投保人应按保险费约定交纳日交纳其余各期的保险费。</w:t>
      </w:r>
    </w:p>
    <w:p>
      <w:pPr>
        <w:pStyle w:val="BodyText"/>
        <w:spacing w:before="3"/>
        <w:rPr>
          <w:sz w:val="24"/>
        </w:rPr>
      </w:pPr>
    </w:p>
    <w:p>
      <w:pPr>
        <w:pStyle w:val="Heading2"/>
        <w:spacing w:before="1"/>
      </w:pPr>
      <w:r>
        <w:rPr/>
        <w:t>第</w:t>
      </w:r>
      <w:r>
        <w:rPr/>
        <w:t>十</w:t>
      </w:r>
      <w:r>
        <w:rPr/>
        <w:t>三</w:t>
      </w:r>
      <w:r>
        <w:rPr>
          <w:spacing w:val="-4"/>
        </w:rPr>
        <w:t>条 宽限期</w:t>
      </w:r>
    </w:p>
    <w:p>
      <w:pPr>
        <w:pStyle w:val="BodyText"/>
        <w:spacing w:line="278" w:lineRule="auto" w:before="43"/>
        <w:ind w:left="120" w:right="1494" w:firstLine="420"/>
      </w:pPr>
      <w:r>
        <w:rPr/>
        <w:drawing>
          <wp:anchor distT="0" distB="0" distL="0" distR="0" allowOverlap="1" layoutInCell="1" locked="0" behindDoc="1" simplePos="0" relativeHeight="487199744">
            <wp:simplePos x="0" y="0"/>
            <wp:positionH relativeFrom="page">
              <wp:posOffset>4883784</wp:posOffset>
            </wp:positionH>
            <wp:positionV relativeFrom="paragraph">
              <wp:posOffset>211848</wp:posOffset>
            </wp:positionV>
            <wp:extent cx="1533525" cy="185420"/>
            <wp:effectExtent l="0" t="0" r="0" b="0"/>
            <wp:wrapNone/>
            <wp:docPr id="21" name="image11.png"/>
            <wp:cNvGraphicFramePr>
              <a:graphicFrameLocks noChangeAspect="1"/>
            </wp:cNvGraphicFramePr>
            <a:graphic>
              <a:graphicData uri="http://schemas.openxmlformats.org/drawingml/2006/picture">
                <pic:pic>
                  <pic:nvPicPr>
                    <pic:cNvPr id="22" name="image11.png"/>
                    <pic:cNvPicPr/>
                  </pic:nvPicPr>
                  <pic:blipFill>
                    <a:blip r:embed="rId16" cstate="print"/>
                    <a:stretch>
                      <a:fillRect/>
                    </a:stretch>
                  </pic:blipFill>
                  <pic:spPr>
                    <a:xfrm>
                      <a:off x="0" y="0"/>
                      <a:ext cx="1533525" cy="185420"/>
                    </a:xfrm>
                    <a:prstGeom prst="rect">
                      <a:avLst/>
                    </a:prstGeom>
                  </pic:spPr>
                </pic:pic>
              </a:graphicData>
            </a:graphic>
          </wp:anchor>
        </w:drawing>
      </w:r>
      <w:r>
        <w:rPr/>
        <w:pict>
          <v:shape style="position:absolute;margin-left:90pt;margin-top:32.280998pt;width:336pt;height:14.6pt;mso-position-horizontal-relative:page;mso-position-vertical-relative:paragraph;z-index:15749632" type="#_x0000_t202" id="docshape31" filled="true" fillcolor="#c0c0c0" stroked="false">
            <v:textbox inset="0,0,0,0">
              <w:txbxContent>
                <w:p>
                  <w:pPr>
                    <w:pStyle w:val="BodyText"/>
                    <w:spacing w:before="21"/>
                    <w:rPr>
                      <w:color w:val="000000"/>
                    </w:rPr>
                  </w:pPr>
                  <w:r>
                    <w:rPr>
                      <w:color w:val="000000"/>
                      <w:spacing w:val="-1"/>
                      <w:w w:val="95"/>
                    </w:rPr>
                    <w:t>本公司仍会承担保险责任，但在给付保险金时会扣减投保人欠交的保险费</w:t>
                  </w:r>
                </w:p>
              </w:txbxContent>
            </v:textbox>
            <v:fill type="solid"/>
            <w10:wrap type="none"/>
          </v:shape>
        </w:pict>
      </w:r>
      <w:r>
        <w:rPr>
          <w:spacing w:val="-2"/>
        </w:rPr>
        <w:t>分期支付保险费的，投保人支付首期保险</w:t>
      </w:r>
      <w:r>
        <w:rPr>
          <w:spacing w:val="-2"/>
        </w:rPr>
        <w:t>费</w:t>
      </w:r>
      <w:r>
        <w:rPr>
          <w:spacing w:val="-2"/>
        </w:rPr>
        <w:t>后</w:t>
      </w:r>
      <w:r>
        <w:rPr>
          <w:spacing w:val="-2"/>
        </w:rPr>
        <w:t>，除本合同另有约</w:t>
      </w:r>
      <w:r>
        <w:rPr>
          <w:spacing w:val="-2"/>
        </w:rPr>
        <w:t>定</w:t>
      </w:r>
      <w:r>
        <w:rPr>
          <w:spacing w:val="-2"/>
        </w:rPr>
        <w:t>外</w:t>
      </w:r>
      <w:r>
        <w:rPr>
          <w:spacing w:val="-2"/>
        </w:rPr>
        <w:t>，若投保人到期未</w:t>
      </w:r>
      <w:r>
        <w:rPr>
          <w:w w:val="95"/>
        </w:rPr>
        <w:t>支付保</w:t>
      </w:r>
      <w:r>
        <w:rPr>
          <w:w w:val="95"/>
        </w:rPr>
        <w:t>险</w:t>
      </w:r>
      <w:r>
        <w:rPr>
          <w:w w:val="95"/>
        </w:rPr>
        <w:t>费</w:t>
      </w:r>
      <w:r>
        <w:rPr>
          <w:w w:val="95"/>
        </w:rPr>
        <w:t>，自保险费约定交纳日的次日零时起</w:t>
      </w:r>
      <w:r>
        <w:rPr>
          <w:spacing w:val="4"/>
        </w:rPr>
        <w:t> </w:t>
      </w:r>
      <w:r>
        <w:rPr>
          <w:w w:val="95"/>
        </w:rPr>
        <w:t>60</w:t>
      </w:r>
      <w:r>
        <w:rPr>
          <w:spacing w:val="-3"/>
        </w:rPr>
        <w:t> </w:t>
      </w:r>
      <w:r>
        <w:rPr>
          <w:w w:val="95"/>
        </w:rPr>
        <w:t>日为宽限期。宽限期内发生的保险</w:t>
      </w:r>
      <w:r>
        <w:rPr>
          <w:w w:val="95"/>
        </w:rPr>
        <w:t>事</w:t>
      </w:r>
      <w:r>
        <w:rPr>
          <w:w w:val="95"/>
        </w:rPr>
        <w:t>故</w:t>
      </w:r>
      <w:r>
        <w:rPr>
          <w:w w:val="95"/>
        </w:rPr>
        <w:t>，</w:t>
      </w:r>
    </w:p>
    <w:p>
      <w:pPr>
        <w:spacing w:line="269" w:lineRule="exact" w:before="0"/>
        <w:ind w:left="6840" w:right="0" w:firstLine="0"/>
        <w:jc w:val="left"/>
        <w:rPr>
          <w:sz w:val="21"/>
        </w:rPr>
      </w:pPr>
      <w:r>
        <w:rPr/>
        <w:pict>
          <v:shape style="position:absolute;margin-left:111pt;margin-top:14.51975pt;width:394.3pt;height:14.6pt;mso-position-horizontal-relative:page;mso-position-vertical-relative:paragraph;z-index:-15709184;mso-wrap-distance-left:0;mso-wrap-distance-right:0" type="#_x0000_t202" id="docshape32" filled="true" fillcolor="#c0c0c0" stroked="false">
            <v:textbox inset="0,0,0,0">
              <w:txbxContent>
                <w:p>
                  <w:pPr>
                    <w:pStyle w:val="BodyText"/>
                    <w:spacing w:before="21"/>
                    <w:rPr>
                      <w:color w:val="000000"/>
                    </w:rPr>
                  </w:pPr>
                  <w:r>
                    <w:rPr>
                      <w:color w:val="000000"/>
                      <w:spacing w:val="-6"/>
                      <w:w w:val="95"/>
                    </w:rPr>
                    <w:t>若投保人在本合同宽限期结束之后仍未交纳保险费，则本合同自宽限期结束次日零时起</w:t>
                  </w:r>
                </w:p>
              </w:txbxContent>
            </v:textbox>
            <v:fill type="solid"/>
            <w10:wrap type="topAndBottom"/>
          </v:shape>
        </w:pict>
      </w:r>
      <w:r>
        <w:rPr>
          <w:w w:val="99"/>
          <w:sz w:val="21"/>
        </w:rPr>
        <w:t>。</w:t>
      </w:r>
    </w:p>
    <w:p>
      <w:pPr>
        <w:pStyle w:val="BodyText"/>
        <w:ind w:left="120"/>
        <w:rPr>
          <w:sz w:val="20"/>
        </w:rPr>
      </w:pPr>
      <w:r>
        <w:rPr>
          <w:sz w:val="20"/>
        </w:rPr>
        <w:pict>
          <v:shape style="width:283.5pt;height:14.6pt;mso-position-horizontal-relative:char;mso-position-vertical-relative:line" type="#_x0000_t202" id="docshape33" filled="true" fillcolor="#c0c0c0" stroked="false">
            <w10:anchorlock/>
            <v:textbox inset="0,0,0,0">
              <w:txbxContent>
                <w:p>
                  <w:pPr>
                    <w:pStyle w:val="BodyText"/>
                    <w:spacing w:before="21"/>
                    <w:rPr>
                      <w:color w:val="000000"/>
                    </w:rPr>
                  </w:pPr>
                  <w:r>
                    <w:rPr>
                      <w:color w:val="000000"/>
                      <w:spacing w:val="-3"/>
                      <w:w w:val="95"/>
                    </w:rPr>
                    <w:t>效力中止。在本合同效力中止期间，本公司不承担保险责任。</w:t>
                  </w:r>
                </w:p>
              </w:txbxContent>
            </v:textbox>
            <v:fill type="solid"/>
          </v:shape>
        </w:pict>
      </w:r>
      <w:r>
        <w:rPr>
          <w:sz w:val="20"/>
        </w:rPr>
      </w:r>
    </w:p>
    <w:p>
      <w:pPr>
        <w:pStyle w:val="BodyText"/>
        <w:rPr>
          <w:sz w:val="20"/>
        </w:rPr>
      </w:pPr>
    </w:p>
    <w:p>
      <w:pPr>
        <w:pStyle w:val="BodyText"/>
        <w:spacing w:before="12"/>
        <w:rPr>
          <w:sz w:val="24"/>
        </w:rPr>
      </w:pPr>
    </w:p>
    <w:p>
      <w:pPr>
        <w:pStyle w:val="Heading1"/>
        <w:spacing w:before="66"/>
      </w:pPr>
      <w:bookmarkStart w:name="_bookmark15" w:id="12"/>
      <w:bookmarkEnd w:id="12"/>
      <w:r>
        <w:rPr>
          <w:b w:val="0"/>
        </w:rPr>
      </w:r>
      <w:r>
        <w:rPr/>
        <w:t>第三</w:t>
      </w:r>
      <w:r>
        <w:rPr/>
        <w:t>部</w:t>
      </w:r>
      <w:r>
        <w:rPr/>
        <w:t>分</w:t>
      </w:r>
      <w:r>
        <w:rPr>
          <w:spacing w:val="-4"/>
        </w:rPr>
        <w:t> 保险服务</w:t>
      </w:r>
      <w:r>
        <w:rPr/>
        <w:t>条</w:t>
      </w:r>
      <w:r>
        <w:rPr>
          <w:spacing w:val="-10"/>
        </w:rPr>
        <w:t>款</w:t>
      </w:r>
    </w:p>
    <w:p>
      <w:pPr>
        <w:pStyle w:val="BodyText"/>
        <w:spacing w:before="1"/>
        <w:rPr>
          <w:b/>
          <w:sz w:val="26"/>
        </w:rPr>
      </w:pPr>
    </w:p>
    <w:p>
      <w:pPr>
        <w:pStyle w:val="Heading2"/>
        <w:jc w:val="both"/>
      </w:pPr>
      <w:r>
        <w:rPr/>
        <w:t>第</w:t>
      </w:r>
      <w:r>
        <w:rPr/>
        <w:t>十</w:t>
      </w:r>
      <w:r>
        <w:rPr/>
        <w:t>四</w:t>
      </w:r>
      <w:r>
        <w:rPr/>
        <w:t>条 保</w:t>
      </w:r>
      <w:r>
        <w:rPr/>
        <w:t>险</w:t>
      </w:r>
      <w:r>
        <w:rPr/>
        <w:t>单</w:t>
      </w:r>
      <w:r>
        <w:rPr>
          <w:spacing w:val="-5"/>
        </w:rPr>
        <w:t>贷款</w:t>
      </w:r>
    </w:p>
    <w:p>
      <w:pPr>
        <w:pStyle w:val="BodyText"/>
        <w:spacing w:line="278" w:lineRule="auto" w:before="43"/>
        <w:ind w:left="120" w:right="1597" w:firstLine="420"/>
        <w:jc w:val="both"/>
      </w:pPr>
      <w:r>
        <w:rPr>
          <w:spacing w:val="-8"/>
          <w:w w:val="99"/>
        </w:rPr>
        <w:t>在本合同有效期内，经本公司同意，投保人可以凭保险单向本公司申请贷款。贷款金额</w:t>
      </w:r>
      <w:r>
        <w:rPr>
          <w:spacing w:val="-1"/>
          <w:w w:val="99"/>
        </w:rPr>
        <w:t>不得超过本合同的现金价值扣除各项欠款及利息后余额的</w:t>
      </w:r>
      <w:r>
        <w:rPr>
          <w:spacing w:val="-50"/>
        </w:rPr>
        <w:t> </w:t>
      </w:r>
      <w:r>
        <w:rPr>
          <w:spacing w:val="1"/>
          <w:w w:val="99"/>
        </w:rPr>
        <w:t>8</w:t>
      </w:r>
      <w:r>
        <w:rPr>
          <w:spacing w:val="-2"/>
          <w:w w:val="99"/>
        </w:rPr>
        <w:t>0</w:t>
      </w:r>
      <w:r>
        <w:rPr>
          <w:spacing w:val="-10"/>
          <w:w w:val="99"/>
        </w:rPr>
        <w:t>％，每次贷款期限最长不超过</w:t>
      </w:r>
      <w:r>
        <w:rPr>
          <w:spacing w:val="-53"/>
        </w:rPr>
        <w:t> </w:t>
      </w:r>
      <w:r>
        <w:rPr>
          <w:w w:val="99"/>
        </w:rPr>
        <w:t>6</w:t>
      </w:r>
      <w:r>
        <w:rPr>
          <w:spacing w:val="-8"/>
          <w:w w:val="99"/>
        </w:rPr>
        <w:t>个月，贷款利率按本公司办理贷款时确定的利率执行，并在贷款协议中载明。贷款本息在贷款到期时一并归还。若投保人到期未能足额偿还贷款本息，则投保人所欠的贷款本金及利息</w:t>
      </w:r>
      <w:r>
        <w:rPr>
          <w:spacing w:val="-7"/>
          <w:w w:val="99"/>
        </w:rPr>
        <w:t>将作为新的贷款本金计息，新的贷款利率按本公司届时新确定的利率执行，并在贷款偿还通</w:t>
      </w:r>
      <w:r>
        <w:rPr>
          <w:spacing w:val="-1"/>
          <w:w w:val="99"/>
        </w:rPr>
        <w:t>知书中载明。</w:t>
      </w:r>
    </w:p>
    <w:p>
      <w:pPr>
        <w:spacing w:after="0" w:line="278" w:lineRule="auto"/>
        <w:jc w:val="both"/>
        <w:sectPr>
          <w:pgSz w:w="11910" w:h="16840"/>
          <w:pgMar w:header="0" w:footer="991" w:top="1420" w:bottom="1180" w:left="1680" w:right="200"/>
        </w:sectPr>
      </w:pPr>
    </w:p>
    <w:p>
      <w:pPr>
        <w:pStyle w:val="BodyText"/>
        <w:spacing w:before="43"/>
        <w:ind w:left="540"/>
      </w:pPr>
      <w:r>
        <w:rPr>
          <w:color w:val="000000"/>
          <w:spacing w:val="-5"/>
          <w:w w:val="95"/>
          <w:shd w:fill="C0C0C0" w:color="auto" w:val="clear"/>
        </w:rPr>
        <w:t>当未还贷款本金及利息加上其他各项欠款达到本合同的现金价值时，本合同效力即行中</w:t>
      </w:r>
    </w:p>
    <w:p>
      <w:pPr>
        <w:pStyle w:val="BodyText"/>
        <w:spacing w:before="43"/>
        <w:ind w:left="120"/>
      </w:pPr>
      <w:r>
        <w:rPr>
          <w:color w:val="000000"/>
          <w:w w:val="95"/>
          <w:shd w:fill="C0C0C0" w:color="auto" w:val="clear"/>
        </w:rPr>
        <w:t>止</w:t>
      </w:r>
      <w:r>
        <w:rPr>
          <w:color w:val="000000"/>
          <w:spacing w:val="-10"/>
          <w:shd w:fill="C0C0C0" w:color="auto" w:val="clear"/>
        </w:rPr>
        <w:t>。</w:t>
      </w:r>
    </w:p>
    <w:p>
      <w:pPr>
        <w:pStyle w:val="BodyText"/>
        <w:spacing w:before="3"/>
        <w:rPr>
          <w:sz w:val="22"/>
        </w:rPr>
      </w:pPr>
    </w:p>
    <w:p>
      <w:pPr>
        <w:pStyle w:val="Heading2"/>
        <w:spacing w:before="70"/>
        <w:jc w:val="both"/>
      </w:pPr>
      <w:r>
        <w:rPr/>
        <w:t>第</w:t>
      </w:r>
      <w:r>
        <w:rPr/>
        <w:t>十</w:t>
      </w:r>
      <w:r>
        <w:rPr/>
        <w:t>五</w:t>
      </w:r>
      <w:r>
        <w:rPr>
          <w:spacing w:val="-1"/>
        </w:rPr>
        <w:t>条 减</w:t>
      </w:r>
      <w:r>
        <w:rPr/>
        <w:t>少</w:t>
      </w:r>
      <w:r>
        <w:rPr/>
        <w:t>基</w:t>
      </w:r>
      <w:r>
        <w:rPr/>
        <w:t>本</w:t>
      </w:r>
      <w:r>
        <w:rPr/>
        <w:t>保</w:t>
      </w:r>
      <w:r>
        <w:rPr/>
        <w:t>险</w:t>
      </w:r>
      <w:r>
        <w:rPr/>
        <w:t>金</w:t>
      </w:r>
      <w:r>
        <w:rPr>
          <w:spacing w:val="-10"/>
        </w:rPr>
        <w:t>额</w:t>
      </w:r>
    </w:p>
    <w:p>
      <w:pPr>
        <w:pStyle w:val="BodyText"/>
        <w:spacing w:line="278" w:lineRule="auto" w:before="43"/>
        <w:ind w:left="120" w:right="1599" w:firstLine="420"/>
        <w:jc w:val="both"/>
      </w:pPr>
      <w:r>
        <w:rPr/>
        <w:drawing>
          <wp:anchor distT="0" distB="0" distL="0" distR="0" allowOverlap="1" layoutInCell="1" locked="0" behindDoc="0" simplePos="0" relativeHeight="15751168">
            <wp:simplePos x="0" y="0"/>
            <wp:positionH relativeFrom="page">
              <wp:posOffset>1409700</wp:posOffset>
            </wp:positionH>
            <wp:positionV relativeFrom="paragraph">
              <wp:posOffset>1004315</wp:posOffset>
            </wp:positionV>
            <wp:extent cx="5007610" cy="185420"/>
            <wp:effectExtent l="0" t="0" r="0" b="0"/>
            <wp:wrapNone/>
            <wp:docPr id="23" name="image12.png"/>
            <wp:cNvGraphicFramePr>
              <a:graphicFrameLocks noChangeAspect="1"/>
            </wp:cNvGraphicFramePr>
            <a:graphic>
              <a:graphicData uri="http://schemas.openxmlformats.org/drawingml/2006/picture">
                <pic:pic>
                  <pic:nvPicPr>
                    <pic:cNvPr id="24" name="image12.png"/>
                    <pic:cNvPicPr/>
                  </pic:nvPicPr>
                  <pic:blipFill>
                    <a:blip r:embed="rId17" cstate="print"/>
                    <a:stretch>
                      <a:fillRect/>
                    </a:stretch>
                  </pic:blipFill>
                  <pic:spPr>
                    <a:xfrm>
                      <a:off x="0" y="0"/>
                      <a:ext cx="5007610" cy="185420"/>
                    </a:xfrm>
                    <a:prstGeom prst="rect">
                      <a:avLst/>
                    </a:prstGeom>
                  </pic:spPr>
                </pic:pic>
              </a:graphicData>
            </a:graphic>
          </wp:anchor>
        </w:drawing>
      </w:r>
      <w:r>
        <w:rPr/>
        <w:pict>
          <v:shape style="position:absolute;margin-left:111pt;margin-top:79.079994pt;width:394.3pt;height:14.6pt;mso-position-horizontal-relative:page;mso-position-vertical-relative:paragraph;z-index:15751680" type="#_x0000_t202" id="docshape34" filled="false" stroked="false">
            <v:textbox inset="0,0,0,0">
              <w:txbxContent>
                <w:p>
                  <w:pPr>
                    <w:pStyle w:val="BodyText"/>
                    <w:spacing w:before="21"/>
                  </w:pPr>
                  <w:r>
                    <w:rPr>
                      <w:w w:val="95"/>
                    </w:rPr>
                    <w:t>减少基本保险金额后，本合同各保险单年度的当年度有效保险</w:t>
                  </w:r>
                  <w:r>
                    <w:rPr>
                      <w:w w:val="95"/>
                    </w:rPr>
                    <w:t>金</w:t>
                  </w:r>
                  <w:r>
                    <w:rPr>
                      <w:w w:val="95"/>
                    </w:rPr>
                    <w:t>额</w:t>
                  </w:r>
                  <w:r>
                    <w:rPr>
                      <w:spacing w:val="-2"/>
                      <w:w w:val="95"/>
                    </w:rPr>
                    <w:t>、累计已交保险费和</w:t>
                  </w:r>
                </w:p>
              </w:txbxContent>
            </v:textbox>
            <w10:wrap type="none"/>
          </v:shape>
        </w:pict>
      </w:r>
      <w:r>
        <w:rPr/>
        <w:pict>
          <v:shape style="position:absolute;margin-left:90pt;margin-top:94.679993pt;width:415.3pt;height:14.6pt;mso-position-horizontal-relative:page;mso-position-vertical-relative:paragraph;z-index:15752192" type="#_x0000_t202" id="docshape35" filled="true" fillcolor="#c0c0c0" stroked="false">
            <v:textbox inset="0,0,0,0">
              <w:txbxContent>
                <w:p>
                  <w:pPr>
                    <w:pStyle w:val="BodyText"/>
                    <w:spacing w:before="21"/>
                    <w:rPr>
                      <w:color w:val="000000"/>
                    </w:rPr>
                  </w:pPr>
                  <w:r>
                    <w:rPr>
                      <w:color w:val="000000"/>
                      <w:spacing w:val="-10"/>
                      <w:w w:val="95"/>
                    </w:rPr>
                    <w:t>现金价值同比例减少。本合同自基本保险金额减少后的各期保险费按减少后的基本保险金额</w:t>
                  </w:r>
                </w:p>
              </w:txbxContent>
            </v:textbox>
            <v:fill type="solid"/>
            <w10:wrap type="none"/>
          </v:shape>
        </w:pict>
      </w:r>
      <w:r>
        <w:rPr>
          <w:spacing w:val="-7"/>
          <w:w w:val="99"/>
        </w:rPr>
        <w:t>本合同犹豫期后且本合同有效，投保人可向本公司申请减少本合同的基本保险金额，经</w:t>
      </w:r>
      <w:r>
        <w:rPr>
          <w:spacing w:val="-9"/>
          <w:w w:val="99"/>
        </w:rPr>
        <w:t>本公司审核同意后，基本保险金额减少，本公司向投保人退还基本保险金额减少部分对应的</w:t>
      </w:r>
      <w:r>
        <w:rPr>
          <w:spacing w:val="-20"/>
          <w:w w:val="99"/>
        </w:rPr>
        <w:t>现金价值。</w:t>
      </w:r>
      <w:r>
        <w:rPr>
          <w:color w:val="000000"/>
          <w:spacing w:val="-1"/>
          <w:w w:val="99"/>
          <w:shd w:fill="C0C0C0" w:color="auto" w:val="clear"/>
        </w:rPr>
        <w:t>投保人每个保险单年度内累计申请减少的基本保险金额之和不得超过本合同生效</w:t>
      </w:r>
      <w:r>
        <w:rPr>
          <w:color w:val="000000"/>
          <w:spacing w:val="-1"/>
          <w:w w:val="99"/>
          <w:shd w:fill="C0C0C0" w:color="auto" w:val="clear"/>
        </w:rPr>
        <w:t>                                                                                                                                                            </w:t>
      </w:r>
      <w:r>
        <w:rPr>
          <w:color w:val="000000"/>
          <w:spacing w:val="3"/>
          <w:w w:val="99"/>
          <w:shd w:fill="C0C0C0" w:color="auto" w:val="clear"/>
        </w:rPr>
        <w:t>时基本保险金额的</w:t>
      </w:r>
      <w:r>
        <w:rPr>
          <w:color w:val="000000"/>
          <w:spacing w:val="-48"/>
          <w:shd w:fill="C0C0C0" w:color="auto" w:val="clear"/>
        </w:rPr>
        <w:t> </w:t>
      </w:r>
      <w:r>
        <w:rPr>
          <w:color w:val="000000"/>
          <w:spacing w:val="1"/>
          <w:w w:val="99"/>
          <w:shd w:fill="C0C0C0" w:color="auto" w:val="clear"/>
        </w:rPr>
        <w:t>20</w:t>
      </w:r>
      <w:r>
        <w:rPr>
          <w:color w:val="000000"/>
          <w:spacing w:val="5"/>
          <w:w w:val="99"/>
          <w:shd w:fill="C0C0C0" w:color="auto" w:val="clear"/>
        </w:rPr>
        <w:t>%。</w:t>
      </w:r>
      <w:r>
        <w:rPr>
          <w:color w:val="000000"/>
          <w:spacing w:val="2"/>
          <w:w w:val="99"/>
        </w:rPr>
        <w:t>减少后的基本保险金额需符合本公司规定的最低基本保险金额要</w:t>
      </w:r>
      <w:r>
        <w:rPr>
          <w:color w:val="000000"/>
          <w:spacing w:val="-1"/>
          <w:w w:val="99"/>
        </w:rPr>
        <w:t>求。</w:t>
      </w:r>
    </w:p>
    <w:p>
      <w:pPr>
        <w:pStyle w:val="BodyText"/>
        <w:rPr>
          <w:sz w:val="20"/>
        </w:rPr>
      </w:pPr>
    </w:p>
    <w:p>
      <w:pPr>
        <w:pStyle w:val="BodyText"/>
        <w:spacing w:before="1"/>
        <w:rPr>
          <w:sz w:val="25"/>
        </w:rPr>
      </w:pPr>
      <w:r>
        <w:rPr/>
        <w:drawing>
          <wp:anchor distT="0" distB="0" distL="0" distR="0" allowOverlap="1" layoutInCell="1" locked="0" behindDoc="1" simplePos="0" relativeHeight="487200768">
            <wp:simplePos x="0" y="0"/>
            <wp:positionH relativeFrom="page">
              <wp:posOffset>1143000</wp:posOffset>
            </wp:positionH>
            <wp:positionV relativeFrom="paragraph">
              <wp:posOffset>219789</wp:posOffset>
            </wp:positionV>
            <wp:extent cx="5274310" cy="185419"/>
            <wp:effectExtent l="0" t="0" r="0" b="0"/>
            <wp:wrapNone/>
            <wp:docPr id="25" name="image13.png"/>
            <wp:cNvGraphicFramePr>
              <a:graphicFrameLocks noChangeAspect="1"/>
            </wp:cNvGraphicFramePr>
            <a:graphic>
              <a:graphicData uri="http://schemas.openxmlformats.org/drawingml/2006/picture">
                <pic:pic>
                  <pic:nvPicPr>
                    <pic:cNvPr id="26" name="image13.png"/>
                    <pic:cNvPicPr/>
                  </pic:nvPicPr>
                  <pic:blipFill>
                    <a:blip r:embed="rId18" cstate="print"/>
                    <a:stretch>
                      <a:fillRect/>
                    </a:stretch>
                  </pic:blipFill>
                  <pic:spPr>
                    <a:xfrm>
                      <a:off x="0" y="0"/>
                      <a:ext cx="5274310" cy="185419"/>
                    </a:xfrm>
                    <a:prstGeom prst="rect">
                      <a:avLst/>
                    </a:prstGeom>
                  </pic:spPr>
                </pic:pic>
              </a:graphicData>
            </a:graphic>
          </wp:anchor>
        </w:drawing>
      </w:r>
      <w:r>
        <w:rPr/>
        <w:pict>
          <v:shape style="position:absolute;margin-left:90pt;margin-top:17.306250pt;width:419.9pt;height:14.6pt;mso-position-horizontal-relative:page;mso-position-vertical-relative:paragraph;z-index:-15706624;mso-wrap-distance-left:0;mso-wrap-distance-right:0" type="#_x0000_t202" id="docshape36" filled="false" stroked="false">
            <v:textbox inset="0,0,0,0">
              <w:txbxContent>
                <w:p>
                  <w:pPr>
                    <w:pStyle w:val="BodyText"/>
                    <w:spacing w:before="21"/>
                  </w:pPr>
                  <w:r>
                    <w:rPr>
                      <w:w w:val="95"/>
                    </w:rPr>
                    <w:t>重新计算，本公司按减少后的保险费和各保险单年度的当年度有效保险金额承担保险责</w:t>
                  </w:r>
                  <w:r>
                    <w:rPr>
                      <w:w w:val="95"/>
                    </w:rPr>
                    <w:t>任</w:t>
                  </w:r>
                  <w:r>
                    <w:rPr>
                      <w:spacing w:val="-10"/>
                      <w:w w:val="95"/>
                    </w:rPr>
                    <w:t>。</w:t>
                  </w:r>
                </w:p>
              </w:txbxContent>
            </v:textbox>
            <w10:wrap type="topAndBottom"/>
          </v:shape>
        </w:pict>
      </w:r>
    </w:p>
    <w:p>
      <w:pPr>
        <w:pStyle w:val="BodyText"/>
        <w:spacing w:before="1"/>
        <w:rPr>
          <w:sz w:val="22"/>
        </w:rPr>
      </w:pPr>
    </w:p>
    <w:p>
      <w:pPr>
        <w:pStyle w:val="Heading2"/>
        <w:spacing w:before="70"/>
        <w:jc w:val="both"/>
      </w:pPr>
      <w:r>
        <w:rPr/>
        <w:t>第</w:t>
      </w:r>
      <w:r>
        <w:rPr/>
        <w:t>十</w:t>
      </w:r>
      <w:r>
        <w:rPr/>
        <w:t>六</w:t>
      </w:r>
      <w:r>
        <w:rPr/>
        <w:t>条 合</w:t>
      </w:r>
      <w:r>
        <w:rPr/>
        <w:t>同</w:t>
      </w:r>
      <w:r>
        <w:rPr/>
        <w:t>内</w:t>
      </w:r>
      <w:r>
        <w:rPr>
          <w:spacing w:val="-4"/>
        </w:rPr>
        <w:t>容变更</w:t>
      </w:r>
    </w:p>
    <w:p>
      <w:pPr>
        <w:pStyle w:val="BodyText"/>
        <w:spacing w:line="278" w:lineRule="auto" w:before="43"/>
        <w:ind w:left="120" w:right="1597" w:firstLine="420"/>
        <w:jc w:val="both"/>
      </w:pPr>
      <w:r>
        <w:rPr>
          <w:spacing w:val="-8"/>
          <w:w w:val="99"/>
        </w:rPr>
        <w:t>在本合同有效期内，经投保人和本公司协商，可以变更本合同的有关内容。变更本合同</w:t>
      </w:r>
      <w:r>
        <w:rPr>
          <w:spacing w:val="-9"/>
          <w:w w:val="99"/>
        </w:rPr>
        <w:t>的，应当由本公司在原保险单上批注或附贴批单，或由投保人和本公司订立变更的书面协议</w:t>
      </w:r>
      <w:r>
        <w:rPr>
          <w:spacing w:val="-1"/>
          <w:w w:val="99"/>
        </w:rPr>
        <w:t>后，变更方为生效。</w:t>
      </w:r>
    </w:p>
    <w:p>
      <w:pPr>
        <w:pStyle w:val="BodyText"/>
        <w:spacing w:line="278" w:lineRule="auto"/>
        <w:ind w:left="120" w:right="1494" w:firstLine="420"/>
      </w:pPr>
      <w:r>
        <w:rPr>
          <w:spacing w:val="-6"/>
          <w:w w:val="99"/>
        </w:rPr>
        <w:t>上述批注或附贴批单、变更的书面协议及本合同第一条中的“合法有效的声明”是本合</w:t>
      </w:r>
      <w:r>
        <w:rPr>
          <w:spacing w:val="-14"/>
          <w:w w:val="99"/>
        </w:rPr>
        <w:t>同的有效组成部分，本合同条款与批注或附贴批单、变更的书面协议及前述声明不一致之处，</w:t>
      </w:r>
      <w:r>
        <w:rPr>
          <w:spacing w:val="-8"/>
          <w:w w:val="99"/>
        </w:rPr>
        <w:t>以批注或附贴批单、变更的书面协议及前述声明为准；就同一内容或事项，有两份以上批注</w:t>
      </w:r>
      <w:r>
        <w:rPr>
          <w:spacing w:val="-7"/>
          <w:w w:val="99"/>
        </w:rPr>
        <w:t>或附贴批单、变更的书面协议及前述声明，且存在不一致之处的，以日期在后者为准；批注</w:t>
      </w:r>
      <w:r>
        <w:rPr>
          <w:spacing w:val="-1"/>
          <w:w w:val="99"/>
        </w:rPr>
        <w:t>或附贴批单、变更的书面协议及前述声明未尽之处，以本合同条款为准。</w:t>
      </w:r>
    </w:p>
    <w:p>
      <w:pPr>
        <w:pStyle w:val="BodyText"/>
        <w:spacing w:before="4"/>
        <w:rPr>
          <w:sz w:val="24"/>
        </w:rPr>
      </w:pPr>
    </w:p>
    <w:p>
      <w:pPr>
        <w:spacing w:line="278" w:lineRule="auto" w:before="0"/>
        <w:ind w:left="540" w:right="7263" w:hanging="420"/>
        <w:jc w:val="left"/>
        <w:rPr>
          <w:sz w:val="21"/>
        </w:rPr>
      </w:pPr>
      <w:r>
        <w:rPr>
          <w:b/>
          <w:sz w:val="21"/>
        </w:rPr>
        <w:t>第</w:t>
      </w:r>
      <w:r>
        <w:rPr>
          <w:b/>
          <w:sz w:val="21"/>
        </w:rPr>
        <w:t>十</w:t>
      </w:r>
      <w:r>
        <w:rPr>
          <w:b/>
          <w:sz w:val="21"/>
        </w:rPr>
        <w:t>七</w:t>
      </w:r>
      <w:r>
        <w:rPr>
          <w:b/>
          <w:spacing w:val="-10"/>
          <w:sz w:val="21"/>
        </w:rPr>
        <w:t>条 受</w:t>
      </w:r>
      <w:r>
        <w:rPr>
          <w:b/>
          <w:sz w:val="21"/>
        </w:rPr>
        <w:t>益</w:t>
      </w:r>
      <w:r>
        <w:rPr>
          <w:b/>
          <w:sz w:val="21"/>
        </w:rPr>
        <w:t>人</w:t>
      </w:r>
      <w:r>
        <w:rPr>
          <w:b/>
          <w:sz w:val="21"/>
        </w:rPr>
        <w:t>指</w:t>
      </w:r>
      <w:r>
        <w:rPr>
          <w:b/>
          <w:sz w:val="21"/>
        </w:rPr>
        <w:t>定</w:t>
      </w:r>
      <w:r>
        <w:rPr>
          <w:b/>
          <w:sz w:val="21"/>
        </w:rPr>
        <w:t>和</w:t>
      </w:r>
      <w:r>
        <w:rPr>
          <w:b/>
          <w:sz w:val="21"/>
        </w:rPr>
        <w:t>变</w:t>
      </w:r>
      <w:r>
        <w:rPr>
          <w:b/>
          <w:sz w:val="21"/>
        </w:rPr>
        <w:t>更</w:t>
      </w:r>
      <w:r>
        <w:rPr>
          <w:spacing w:val="-2"/>
          <w:sz w:val="21"/>
        </w:rPr>
        <w:t>本合同的受益人包括：</w:t>
      </w:r>
    </w:p>
    <w:p>
      <w:pPr>
        <w:pStyle w:val="BodyText"/>
        <w:spacing w:line="269" w:lineRule="exact"/>
        <w:ind w:left="540"/>
      </w:pPr>
      <w:r>
        <w:rPr>
          <w:w w:val="95"/>
        </w:rPr>
        <w:t>（一）</w:t>
      </w:r>
      <w:r>
        <w:rPr>
          <w:spacing w:val="-1"/>
          <w:w w:val="95"/>
        </w:rPr>
        <w:t>疾病身故保险金受益人</w:t>
      </w:r>
    </w:p>
    <w:p>
      <w:pPr>
        <w:pStyle w:val="BodyText"/>
        <w:spacing w:line="278" w:lineRule="auto" w:before="43"/>
        <w:ind w:left="120" w:right="1597" w:firstLine="420"/>
        <w:jc w:val="both"/>
      </w:pPr>
      <w:r>
        <w:rPr>
          <w:spacing w:val="-5"/>
          <w:w w:val="99"/>
        </w:rPr>
        <w:t>被保险人或者投保人可指定一人或数人为疾病身故保险金的受益人。疾病身故保险金受</w:t>
      </w:r>
      <w:r>
        <w:rPr>
          <w:spacing w:val="-7"/>
          <w:w w:val="99"/>
        </w:rPr>
        <w:t>益人为数人时，被保险人或者投保人可以确定受益顺序和受益份额，未确定受益顺序的，疾</w:t>
      </w:r>
      <w:r>
        <w:rPr>
          <w:spacing w:val="-6"/>
          <w:w w:val="99"/>
        </w:rPr>
        <w:t>病身故保险金受益人按照相同的顺序享有受益权；未确定受益份额的，疾病身故保险金受益</w:t>
      </w:r>
      <w:r>
        <w:rPr>
          <w:spacing w:val="-1"/>
          <w:w w:val="99"/>
        </w:rPr>
        <w:t>人按照相等份额享有受益权。</w:t>
      </w:r>
    </w:p>
    <w:p>
      <w:pPr>
        <w:pStyle w:val="BodyText"/>
        <w:spacing w:line="278" w:lineRule="auto"/>
        <w:ind w:left="540" w:right="1506"/>
      </w:pPr>
      <w:r>
        <w:rPr>
          <w:spacing w:val="-1"/>
          <w:w w:val="99"/>
        </w:rPr>
        <w:t>被保险人为无民事行为能力人或限制民事行为能力人的，可以由其监护人指定受益人。</w:t>
      </w:r>
      <w:r>
        <w:rPr>
          <w:spacing w:val="-5"/>
          <w:w w:val="99"/>
        </w:rPr>
        <w:t>被保险人或者投保人可以变更疾病身故保险金受益人，但需书面通知本公司。本公司收</w:t>
      </w:r>
    </w:p>
    <w:p>
      <w:pPr>
        <w:pStyle w:val="BodyText"/>
        <w:spacing w:line="278" w:lineRule="auto"/>
        <w:ind w:left="540" w:right="1926" w:hanging="420"/>
      </w:pPr>
      <w:r>
        <w:rPr>
          <w:spacing w:val="-1"/>
          <w:w w:val="99"/>
        </w:rPr>
        <w:t>到变更受益人的书面通知后，由本公司在保险单上或其他保险凭证上批注或附贴批单。投保人在指定或变更受益人时，须经被保险人书面同意。</w:t>
      </w:r>
    </w:p>
    <w:p>
      <w:pPr>
        <w:pStyle w:val="BodyText"/>
        <w:spacing w:line="278" w:lineRule="auto"/>
        <w:ind w:left="120" w:right="1599" w:firstLine="420"/>
      </w:pPr>
      <w:r>
        <w:rPr>
          <w:spacing w:val="-9"/>
          <w:w w:val="99"/>
        </w:rPr>
        <w:t>被保险人身故，有下列情形之一的，保险金作为被保险人的遗产，由本公司依照国家现</w:t>
      </w:r>
      <w:r>
        <w:rPr>
          <w:spacing w:val="-1"/>
          <w:w w:val="99"/>
        </w:rPr>
        <w:t>行有效的法律规定履行给付保险金的义务：</w:t>
      </w:r>
    </w:p>
    <w:p>
      <w:pPr>
        <w:pStyle w:val="ListParagraph"/>
        <w:numPr>
          <w:ilvl w:val="0"/>
          <w:numId w:val="9"/>
        </w:numPr>
        <w:tabs>
          <w:tab w:pos="828" w:val="left" w:leader="none"/>
        </w:tabs>
        <w:spacing w:line="269" w:lineRule="exact" w:before="0" w:after="0"/>
        <w:ind w:left="828" w:right="0" w:hanging="288"/>
        <w:jc w:val="left"/>
        <w:rPr>
          <w:sz w:val="21"/>
        </w:rPr>
      </w:pPr>
      <w:r>
        <w:rPr>
          <w:spacing w:val="-1"/>
          <w:w w:val="95"/>
          <w:sz w:val="21"/>
        </w:rPr>
        <w:t>没有指定受益人，或者受益人指定不明无法确定的；</w:t>
      </w:r>
    </w:p>
    <w:p>
      <w:pPr>
        <w:pStyle w:val="ListParagraph"/>
        <w:numPr>
          <w:ilvl w:val="0"/>
          <w:numId w:val="9"/>
        </w:numPr>
        <w:tabs>
          <w:tab w:pos="828" w:val="left" w:leader="none"/>
        </w:tabs>
        <w:spacing w:line="240" w:lineRule="auto" w:before="42" w:after="0"/>
        <w:ind w:left="828" w:right="0" w:hanging="288"/>
        <w:jc w:val="left"/>
        <w:rPr>
          <w:sz w:val="21"/>
        </w:rPr>
      </w:pPr>
      <w:r>
        <w:rPr>
          <w:spacing w:val="-1"/>
          <w:w w:val="95"/>
          <w:sz w:val="21"/>
        </w:rPr>
        <w:t>受益人先于被保险人身故，没有其他受益人的；</w:t>
      </w:r>
    </w:p>
    <w:p>
      <w:pPr>
        <w:pStyle w:val="ListParagraph"/>
        <w:numPr>
          <w:ilvl w:val="0"/>
          <w:numId w:val="9"/>
        </w:numPr>
        <w:tabs>
          <w:tab w:pos="828" w:val="left" w:leader="none"/>
        </w:tabs>
        <w:spacing w:line="240" w:lineRule="auto" w:before="43" w:after="0"/>
        <w:ind w:left="828" w:right="0" w:hanging="288"/>
        <w:jc w:val="left"/>
        <w:rPr>
          <w:sz w:val="21"/>
        </w:rPr>
      </w:pPr>
      <w:r>
        <w:rPr>
          <w:spacing w:val="-1"/>
          <w:w w:val="95"/>
          <w:sz w:val="21"/>
        </w:rPr>
        <w:t>受益人依法丧失受益权或者放弃受益权，没有其他受益人的。</w:t>
      </w:r>
    </w:p>
    <w:p>
      <w:pPr>
        <w:pStyle w:val="BodyText"/>
        <w:spacing w:line="278" w:lineRule="auto" w:before="43"/>
        <w:ind w:left="120" w:right="1525" w:firstLine="400"/>
      </w:pPr>
      <w:r>
        <w:rPr>
          <w:spacing w:val="-1"/>
          <w:w w:val="99"/>
        </w:rPr>
        <w:t>受益人与被保险人在同一事故中身故，且不能确定身故顺序的，推定受益人身故在先。</w:t>
      </w:r>
      <w:r>
        <w:rPr>
          <w:spacing w:val="-7"/>
          <w:w w:val="99"/>
        </w:rPr>
        <w:t>受益人故意造成被保险人身故、伤残、疾病的，或者故意杀害被保险人未遂的，该受益人丧</w:t>
      </w:r>
      <w:r>
        <w:rPr>
          <w:spacing w:val="-1"/>
          <w:w w:val="99"/>
        </w:rPr>
        <w:t>失受益权。</w:t>
      </w:r>
    </w:p>
    <w:p>
      <w:pPr>
        <w:pStyle w:val="BodyText"/>
        <w:spacing w:line="269" w:lineRule="exact"/>
        <w:ind w:left="540"/>
      </w:pPr>
      <w:r>
        <w:rPr>
          <w:w w:val="95"/>
        </w:rPr>
        <w:t>（二）除合同另有约定外，本合</w:t>
      </w:r>
      <w:r>
        <w:rPr>
          <w:w w:val="95"/>
        </w:rPr>
        <w:t>同</w:t>
      </w:r>
      <w:r>
        <w:rPr>
          <w:w w:val="95"/>
        </w:rPr>
        <w:t>其</w:t>
      </w:r>
      <w:r>
        <w:rPr>
          <w:w w:val="95"/>
        </w:rPr>
        <w:t>他保</w:t>
      </w:r>
      <w:r>
        <w:rPr>
          <w:w w:val="95"/>
        </w:rPr>
        <w:t>险</w:t>
      </w:r>
      <w:r>
        <w:rPr>
          <w:w w:val="95"/>
        </w:rPr>
        <w:t>金</w:t>
      </w:r>
      <w:r>
        <w:rPr>
          <w:spacing w:val="-1"/>
          <w:w w:val="95"/>
        </w:rPr>
        <w:t>的受益人均为被保险人本人。</w:t>
      </w:r>
    </w:p>
    <w:p>
      <w:pPr>
        <w:spacing w:after="0" w:line="269" w:lineRule="exact"/>
        <w:sectPr>
          <w:pgSz w:w="11910" w:h="16840"/>
          <w:pgMar w:header="0" w:footer="991" w:top="1400" w:bottom="1180" w:left="1680" w:right="200"/>
        </w:sectPr>
      </w:pPr>
    </w:p>
    <w:p>
      <w:pPr>
        <w:pStyle w:val="Heading2"/>
        <w:spacing w:before="43"/>
      </w:pPr>
      <w:r>
        <w:rPr/>
        <w:t>第</w:t>
      </w:r>
      <w:r>
        <w:rPr/>
        <w:t>十</w:t>
      </w:r>
      <w:r>
        <w:rPr/>
        <w:t>八</w:t>
      </w:r>
      <w:r>
        <w:rPr>
          <w:spacing w:val="-4"/>
        </w:rPr>
        <w:t>条 联</w:t>
      </w:r>
      <w:r>
        <w:rPr/>
        <w:t>系</w:t>
      </w:r>
      <w:r>
        <w:rPr/>
        <w:t>方</w:t>
      </w:r>
      <w:r>
        <w:rPr>
          <w:spacing w:val="-4"/>
        </w:rPr>
        <w:t>式变更</w:t>
      </w:r>
    </w:p>
    <w:p>
      <w:pPr>
        <w:pStyle w:val="BodyText"/>
        <w:spacing w:line="278" w:lineRule="auto" w:before="43"/>
        <w:ind w:left="120" w:right="1506" w:firstLine="420"/>
      </w:pPr>
      <w:r>
        <w:rPr>
          <w:spacing w:val="-2"/>
        </w:rPr>
        <w:t>投保人变更通讯地址、电子邮箱或者电话等联系方式时，应及时通知本公司。投保人未</w:t>
      </w:r>
      <w:r>
        <w:rPr>
          <w:spacing w:val="-2"/>
          <w:w w:val="95"/>
        </w:rPr>
        <w:t>及时通知本公司的，本公司将按本合同载明的最后联系方式发送有关通知，并视为已送</w:t>
      </w:r>
      <w:r>
        <w:rPr>
          <w:spacing w:val="-2"/>
          <w:w w:val="95"/>
        </w:rPr>
        <w:t>达</w:t>
      </w:r>
      <w:r>
        <w:rPr>
          <w:spacing w:val="-2"/>
          <w:w w:val="95"/>
        </w:rPr>
        <w:t>。</w:t>
      </w:r>
    </w:p>
    <w:p>
      <w:pPr>
        <w:pStyle w:val="BodyText"/>
        <w:spacing w:before="4"/>
        <w:rPr>
          <w:sz w:val="24"/>
        </w:rPr>
      </w:pPr>
    </w:p>
    <w:p>
      <w:pPr>
        <w:pStyle w:val="Heading2"/>
      </w:pPr>
      <w:r>
        <w:rPr/>
        <w:t>第</w:t>
      </w:r>
      <w:r>
        <w:rPr/>
        <w:t>十</w:t>
      </w:r>
      <w:r>
        <w:rPr/>
        <w:t>九</w:t>
      </w:r>
      <w:r>
        <w:rPr>
          <w:spacing w:val="-4"/>
        </w:rPr>
        <w:t>条 年</w:t>
      </w:r>
      <w:r>
        <w:rPr/>
        <w:t>龄</w:t>
      </w:r>
      <w:r>
        <w:rPr/>
        <w:t>性</w:t>
      </w:r>
      <w:r>
        <w:rPr>
          <w:spacing w:val="-4"/>
        </w:rPr>
        <w:t>别错误</w:t>
      </w:r>
    </w:p>
    <w:p>
      <w:pPr>
        <w:pStyle w:val="BodyText"/>
        <w:spacing w:line="278" w:lineRule="auto" w:before="43"/>
        <w:ind w:left="120" w:right="1599" w:firstLine="420"/>
      </w:pPr>
      <w:r>
        <w:rPr/>
        <w:drawing>
          <wp:anchor distT="0" distB="0" distL="0" distR="0" allowOverlap="1" layoutInCell="1" locked="0" behindDoc="0" simplePos="0" relativeHeight="15754240">
            <wp:simplePos x="0" y="0"/>
            <wp:positionH relativeFrom="page">
              <wp:posOffset>1143000</wp:posOffset>
            </wp:positionH>
            <wp:positionV relativeFrom="paragraph">
              <wp:posOffset>608076</wp:posOffset>
            </wp:positionV>
            <wp:extent cx="5274310" cy="185419"/>
            <wp:effectExtent l="0" t="0" r="0" b="0"/>
            <wp:wrapNone/>
            <wp:docPr id="27" name="image14.png"/>
            <wp:cNvGraphicFramePr>
              <a:graphicFrameLocks noChangeAspect="1"/>
            </wp:cNvGraphicFramePr>
            <a:graphic>
              <a:graphicData uri="http://schemas.openxmlformats.org/drawingml/2006/picture">
                <pic:pic>
                  <pic:nvPicPr>
                    <pic:cNvPr id="28" name="image14.png"/>
                    <pic:cNvPicPr/>
                  </pic:nvPicPr>
                  <pic:blipFill>
                    <a:blip r:embed="rId19" cstate="print"/>
                    <a:stretch>
                      <a:fillRect/>
                    </a:stretch>
                  </pic:blipFill>
                  <pic:spPr>
                    <a:xfrm>
                      <a:off x="0" y="0"/>
                      <a:ext cx="5274310" cy="185419"/>
                    </a:xfrm>
                    <a:prstGeom prst="rect">
                      <a:avLst/>
                    </a:prstGeom>
                  </pic:spPr>
                </pic:pic>
              </a:graphicData>
            </a:graphic>
          </wp:anchor>
        </w:drawing>
      </w:r>
      <w:r>
        <w:rPr/>
        <w:pict>
          <v:shape style="position:absolute;margin-left:90pt;margin-top:47.880016pt;width:420.5pt;height:14.6pt;mso-position-horizontal-relative:page;mso-position-vertical-relative:paragraph;z-index:15754752" type="#_x0000_t202" id="docshape37" filled="false" stroked="false">
            <v:textbox inset="0,0,0,0">
              <w:txbxContent>
                <w:p>
                  <w:pPr>
                    <w:pStyle w:val="BodyText"/>
                    <w:spacing w:before="21"/>
                  </w:pPr>
                  <w:r>
                    <w:rPr>
                      <w:spacing w:val="-12"/>
                      <w:w w:val="95"/>
                    </w:rPr>
                    <w:t>龄限制的，本公司有权解除合同。对于解除合</w:t>
                  </w:r>
                  <w:r>
                    <w:rPr>
                      <w:w w:val="95"/>
                    </w:rPr>
                    <w:t>同</w:t>
                  </w:r>
                  <w:r>
                    <w:rPr>
                      <w:w w:val="95"/>
                    </w:rPr>
                    <w:t>的</w:t>
                  </w:r>
                  <w:r>
                    <w:rPr>
                      <w:spacing w:val="-10"/>
                      <w:w w:val="95"/>
                    </w:rPr>
                    <w:t>，本公司向投保人退还本合同的现金价值。</w:t>
                  </w:r>
                </w:p>
              </w:txbxContent>
            </v:textbox>
            <w10:wrap type="none"/>
          </v:shape>
        </w:pict>
      </w:r>
      <w:r>
        <w:rPr/>
        <w:pict>
          <v:shape style="position:absolute;margin-left:111pt;margin-top:63.480019pt;width:394.3pt;height:14.6pt;mso-position-horizontal-relative:page;mso-position-vertical-relative:paragraph;z-index:15755264" type="#_x0000_t202" id="docshape38" filled="true" fillcolor="#c0c0c0" stroked="false">
            <v:textbox inset="0,0,0,0">
              <w:txbxContent>
                <w:p>
                  <w:pPr>
                    <w:pStyle w:val="BodyText"/>
                    <w:spacing w:before="21"/>
                    <w:rPr>
                      <w:color w:val="000000"/>
                    </w:rPr>
                  </w:pPr>
                  <w:r>
                    <w:rPr>
                      <w:color w:val="000000"/>
                      <w:w w:val="95"/>
                    </w:rPr>
                    <w:t>（二）</w:t>
                  </w:r>
                  <w:r>
                    <w:rPr>
                      <w:color w:val="000000"/>
                      <w:spacing w:val="-1"/>
                      <w:w w:val="95"/>
                    </w:rPr>
                    <w:t>若投保人申报的被保险人年龄或性别不真实，致使投保人实交保险费少于应交保</w:t>
                  </w:r>
                </w:p>
              </w:txbxContent>
            </v:textbox>
            <v:fill type="solid"/>
            <w10:wrap type="none"/>
          </v:shape>
        </w:pict>
      </w:r>
      <w:r>
        <w:rPr/>
        <w:pict>
          <v:shape style="position:absolute;margin-left:111pt;margin-top:32.280018pt;width:394.3pt;height:14.6pt;mso-position-horizontal-relative:page;mso-position-vertical-relative:paragraph;z-index:15755776" type="#_x0000_t202" id="docshape39" filled="true" fillcolor="#c0c0c0" stroked="false">
            <v:textbox inset="0,0,0,0">
              <w:txbxContent>
                <w:p>
                  <w:pPr>
                    <w:pStyle w:val="BodyText"/>
                    <w:spacing w:before="21"/>
                    <w:rPr>
                      <w:color w:val="000000"/>
                    </w:rPr>
                  </w:pPr>
                  <w:r>
                    <w:rPr>
                      <w:color w:val="000000"/>
                      <w:w w:val="95"/>
                    </w:rPr>
                    <w:t>（一）</w:t>
                  </w:r>
                  <w:r>
                    <w:rPr>
                      <w:color w:val="000000"/>
                      <w:spacing w:val="-1"/>
                      <w:w w:val="95"/>
                    </w:rPr>
                    <w:t>若投保人申报的被保险人年龄不真实，并且其真实年龄不符合本合同约定投保年</w:t>
                  </w:r>
                </w:p>
              </w:txbxContent>
            </v:textbox>
            <v:fill type="solid"/>
            <w10:wrap type="none"/>
          </v:shape>
        </w:pict>
      </w:r>
      <w:r>
        <w:rPr>
          <w:spacing w:val="-7"/>
          <w:w w:val="99"/>
        </w:rPr>
        <w:t>被保险人的年龄以周岁计算。投保人在申请投保时，应将与有效身份证件相符的被保险</w:t>
      </w:r>
      <w:r>
        <w:rPr>
          <w:spacing w:val="-1"/>
          <w:w w:val="99"/>
        </w:rPr>
        <w:t>人的出生日期、年龄和性别在投保单上填明，如果发生错误按照下列方式办理：</w:t>
      </w:r>
    </w:p>
    <w:p>
      <w:pPr>
        <w:pStyle w:val="BodyText"/>
        <w:rPr>
          <w:sz w:val="20"/>
        </w:rPr>
      </w:pPr>
    </w:p>
    <w:p>
      <w:pPr>
        <w:pStyle w:val="BodyText"/>
        <w:rPr>
          <w:sz w:val="20"/>
        </w:rPr>
      </w:pPr>
    </w:p>
    <w:p>
      <w:pPr>
        <w:pStyle w:val="BodyText"/>
        <w:spacing w:before="6"/>
        <w:rPr>
          <w:sz w:val="29"/>
        </w:rPr>
      </w:pPr>
      <w:r>
        <w:rPr/>
        <w:drawing>
          <wp:anchor distT="0" distB="0" distL="0" distR="0" allowOverlap="1" layoutInCell="1" locked="0" behindDoc="1" simplePos="0" relativeHeight="487203328">
            <wp:simplePos x="0" y="0"/>
            <wp:positionH relativeFrom="page">
              <wp:posOffset>1143000</wp:posOffset>
            </wp:positionH>
            <wp:positionV relativeFrom="paragraph">
              <wp:posOffset>255539</wp:posOffset>
            </wp:positionV>
            <wp:extent cx="5274310" cy="185420"/>
            <wp:effectExtent l="0" t="0" r="0" b="0"/>
            <wp:wrapNone/>
            <wp:docPr id="29" name="image15.png"/>
            <wp:cNvGraphicFramePr>
              <a:graphicFrameLocks noChangeAspect="1"/>
            </wp:cNvGraphicFramePr>
            <a:graphic>
              <a:graphicData uri="http://schemas.openxmlformats.org/drawingml/2006/picture">
                <pic:pic>
                  <pic:nvPicPr>
                    <pic:cNvPr id="30" name="image15.png"/>
                    <pic:cNvPicPr/>
                  </pic:nvPicPr>
                  <pic:blipFill>
                    <a:blip r:embed="rId20" cstate="print"/>
                    <a:stretch>
                      <a:fillRect/>
                    </a:stretch>
                  </pic:blipFill>
                  <pic:spPr>
                    <a:xfrm>
                      <a:off x="0" y="0"/>
                      <a:ext cx="5274310" cy="185420"/>
                    </a:xfrm>
                    <a:prstGeom prst="rect">
                      <a:avLst/>
                    </a:prstGeom>
                  </pic:spPr>
                </pic:pic>
              </a:graphicData>
            </a:graphic>
          </wp:anchor>
        </w:drawing>
      </w:r>
      <w:r>
        <w:rPr/>
        <w:pict>
          <v:shape style="position:absolute;margin-left:90pt;margin-top:20.12125pt;width:419.9pt;height:14.6pt;mso-position-horizontal-relative:page;mso-position-vertical-relative:paragraph;z-index:-16112640" type="#_x0000_t202" id="docshape40" filled="false" stroked="false">
            <v:textbox inset="0,0,0,0">
              <w:txbxContent>
                <w:p>
                  <w:pPr>
                    <w:pStyle w:val="BodyText"/>
                    <w:spacing w:before="21"/>
                  </w:pPr>
                  <w:r>
                    <w:rPr>
                      <w:w w:val="95"/>
                    </w:rPr>
                    <w:t>险费的，本公司有权更正并要求投保人补交保险费。如已发生保险事故，在给付保险金</w:t>
                  </w:r>
                  <w:r>
                    <w:rPr>
                      <w:w w:val="95"/>
                    </w:rPr>
                    <w:t>时</w:t>
                  </w:r>
                  <w:r>
                    <w:rPr>
                      <w:spacing w:val="-10"/>
                      <w:w w:val="95"/>
                    </w:rPr>
                    <w:t>，</w:t>
                  </w:r>
                </w:p>
              </w:txbxContent>
            </v:textbox>
            <w10:wrap type="none"/>
          </v:shape>
        </w:pict>
      </w:r>
      <w:r>
        <w:rPr/>
        <w:pict>
          <v:shape style="position:absolute;margin-left:90pt;margin-top:35.721249pt;width:220.5pt;height:14.6pt;mso-position-horizontal-relative:page;mso-position-vertical-relative:paragraph;z-index:-15703552;mso-wrap-distance-left:0;mso-wrap-distance-right:0" type="#_x0000_t202" id="docshape41" filled="true" fillcolor="#c0c0c0" stroked="false">
            <v:textbox inset="0,0,0,0">
              <w:txbxContent>
                <w:p>
                  <w:pPr>
                    <w:pStyle w:val="BodyText"/>
                    <w:spacing w:before="21"/>
                    <w:rPr>
                      <w:color w:val="000000"/>
                    </w:rPr>
                  </w:pPr>
                  <w:r>
                    <w:rPr>
                      <w:color w:val="000000"/>
                      <w:spacing w:val="-1"/>
                      <w:w w:val="95"/>
                    </w:rPr>
                    <w:t>本公司按实交保险费与应交保险费的比例给付。</w:t>
                  </w:r>
                </w:p>
              </w:txbxContent>
            </v:textbox>
            <v:fill type="solid"/>
            <w10:wrap type="topAndBottom"/>
          </v:shape>
        </w:pict>
      </w:r>
    </w:p>
    <w:p>
      <w:pPr>
        <w:pStyle w:val="BodyText"/>
        <w:spacing w:line="278" w:lineRule="auto" w:before="41"/>
        <w:ind w:left="120" w:right="1599" w:firstLine="420"/>
      </w:pPr>
      <w:r>
        <w:rPr>
          <w:spacing w:val="-1"/>
          <w:w w:val="99"/>
        </w:rPr>
        <w:t>（</w:t>
      </w:r>
      <w:r>
        <w:rPr>
          <w:spacing w:val="2"/>
          <w:w w:val="99"/>
        </w:rPr>
        <w:t>三</w:t>
      </w:r>
      <w:r>
        <w:rPr>
          <w:spacing w:val="-46"/>
          <w:w w:val="99"/>
        </w:rPr>
        <w:t>）</w:t>
      </w:r>
      <w:r>
        <w:rPr>
          <w:spacing w:val="-4"/>
          <w:w w:val="99"/>
        </w:rPr>
        <w:t>若投保人申报的被保险人年龄或性别不真实，致使投保人实交保险费多于应交保</w:t>
      </w:r>
      <w:r>
        <w:rPr>
          <w:spacing w:val="-1"/>
          <w:w w:val="99"/>
        </w:rPr>
        <w:t>险费的，本公司将向投保人无息退还多收的保险费。</w:t>
      </w:r>
    </w:p>
    <w:p>
      <w:pPr>
        <w:pStyle w:val="BodyText"/>
        <w:spacing w:before="4"/>
        <w:rPr>
          <w:sz w:val="24"/>
        </w:rPr>
      </w:pPr>
    </w:p>
    <w:p>
      <w:pPr>
        <w:pStyle w:val="Heading2"/>
      </w:pPr>
      <w:r>
        <w:rPr/>
        <w:t>第</w:t>
      </w:r>
      <w:r>
        <w:rPr/>
        <w:t>二</w:t>
      </w:r>
      <w:r>
        <w:rPr/>
        <w:t>十</w:t>
      </w:r>
      <w:r>
        <w:rPr>
          <w:spacing w:val="-2"/>
        </w:rPr>
        <w:t>条 未</w:t>
      </w:r>
      <w:r>
        <w:rPr/>
        <w:t>还</w:t>
      </w:r>
      <w:r>
        <w:rPr/>
        <w:t>款</w:t>
      </w:r>
      <w:r>
        <w:rPr>
          <w:spacing w:val="-10"/>
        </w:rPr>
        <w:t>项</w:t>
      </w:r>
    </w:p>
    <w:p>
      <w:pPr>
        <w:pStyle w:val="BodyText"/>
        <w:spacing w:line="278" w:lineRule="auto" w:before="43"/>
        <w:ind w:left="120" w:right="1599" w:firstLine="420"/>
      </w:pPr>
      <w:r>
        <w:rPr>
          <w:spacing w:val="-7"/>
          <w:w w:val="99"/>
        </w:rPr>
        <w:t>本公司在给付各项保险金、退还现金价值或返还保险费时，若投保人有欠交的保险费或</w:t>
      </w:r>
      <w:r>
        <w:rPr>
          <w:spacing w:val="-1"/>
          <w:w w:val="99"/>
        </w:rPr>
        <w:t>其他未还清款项，本公司将在扣除上述欠款及</w:t>
      </w:r>
      <w:r>
        <w:rPr>
          <w:b/>
          <w:spacing w:val="1"/>
          <w:w w:val="99"/>
        </w:rPr>
        <w:t>应付利息</w:t>
      </w:r>
      <w:r>
        <w:rPr>
          <w:spacing w:val="-1"/>
          <w:w w:val="99"/>
        </w:rPr>
        <w:t>后给付。</w:t>
      </w:r>
    </w:p>
    <w:p>
      <w:pPr>
        <w:pStyle w:val="BodyText"/>
        <w:spacing w:before="4"/>
        <w:rPr>
          <w:sz w:val="24"/>
        </w:rPr>
      </w:pPr>
    </w:p>
    <w:p>
      <w:pPr>
        <w:pStyle w:val="Heading2"/>
        <w:spacing w:before="1"/>
      </w:pPr>
      <w:r>
        <w:rPr/>
        <w:t>第</w:t>
      </w:r>
      <w:r>
        <w:rPr/>
        <w:t>二</w:t>
      </w:r>
      <w:r>
        <w:rPr/>
        <w:t>十</w:t>
      </w:r>
      <w:r>
        <w:rPr>
          <w:spacing w:val="-4"/>
        </w:rPr>
        <w:t>一条 合</w:t>
      </w:r>
      <w:r>
        <w:rPr/>
        <w:t>同</w:t>
      </w:r>
      <w:r>
        <w:rPr/>
        <w:t>中</w:t>
      </w:r>
      <w:r>
        <w:rPr/>
        <w:t>止</w:t>
      </w:r>
      <w:r>
        <w:rPr/>
        <w:t>与</w:t>
      </w:r>
      <w:r>
        <w:rPr/>
        <w:t>复</w:t>
      </w:r>
      <w:r>
        <w:rPr>
          <w:spacing w:val="-10"/>
        </w:rPr>
        <w:t>效</w:t>
      </w:r>
    </w:p>
    <w:p>
      <w:pPr>
        <w:pStyle w:val="BodyText"/>
        <w:spacing w:before="43"/>
        <w:ind w:left="540"/>
      </w:pPr>
      <w:r>
        <w:rPr>
          <w:color w:val="000000"/>
          <w:spacing w:val="-1"/>
          <w:w w:val="95"/>
          <w:shd w:fill="C0C0C0" w:color="auto" w:val="clear"/>
        </w:rPr>
        <w:t>在本合同效力中止期间，本公司不承担保险责任。</w:t>
      </w:r>
    </w:p>
    <w:p>
      <w:pPr>
        <w:pStyle w:val="BodyText"/>
        <w:spacing w:line="278" w:lineRule="auto" w:before="42"/>
        <w:ind w:left="120" w:right="1597" w:firstLine="420"/>
        <w:jc w:val="both"/>
      </w:pPr>
      <w:r>
        <w:rPr>
          <w:spacing w:val="-1"/>
          <w:w w:val="99"/>
        </w:rPr>
        <w:t>本合同效力中止后</w:t>
      </w:r>
      <w:r>
        <w:rPr>
          <w:spacing w:val="-53"/>
        </w:rPr>
        <w:t> </w:t>
      </w:r>
      <w:r>
        <w:rPr>
          <w:w w:val="99"/>
        </w:rPr>
        <w:t>2</w:t>
      </w:r>
      <w:r>
        <w:rPr>
          <w:spacing w:val="-54"/>
        </w:rPr>
        <w:t> </w:t>
      </w:r>
      <w:r>
        <w:rPr>
          <w:spacing w:val="-9"/>
          <w:w w:val="99"/>
        </w:rPr>
        <w:t>年内，投保人可以申请恢复合同效力。经投保人和本公司协商并达成协议，自投保人补交保险费、应付利息及其他未还款项之日起，合同效力恢复。应付利息</w:t>
      </w:r>
      <w:r>
        <w:rPr>
          <w:spacing w:val="-1"/>
          <w:w w:val="99"/>
        </w:rPr>
        <w:t>按照合同中止期间内的本公司保险单贷款利率计算，但本合同另有约定的除外。</w:t>
      </w:r>
    </w:p>
    <w:p>
      <w:pPr>
        <w:pStyle w:val="BodyText"/>
        <w:spacing w:line="278" w:lineRule="auto"/>
        <w:ind w:left="120" w:right="1503" w:firstLine="420"/>
        <w:jc w:val="both"/>
      </w:pPr>
      <w:r>
        <w:rPr>
          <w:color w:val="000000"/>
          <w:w w:val="95"/>
          <w:shd w:fill="C0C0C0" w:color="auto" w:val="clear"/>
        </w:rPr>
        <w:t>自本合同效力中止之日起满 2 年投保人和本公司未达成协议的，本公司有权解除</w:t>
      </w:r>
      <w:r>
        <w:rPr>
          <w:color w:val="000000"/>
          <w:w w:val="95"/>
          <w:shd w:fill="C0C0C0" w:color="auto" w:val="clear"/>
        </w:rPr>
        <w:t>合</w:t>
      </w:r>
      <w:r>
        <w:rPr>
          <w:color w:val="000000"/>
          <w:w w:val="95"/>
          <w:shd w:fill="C0C0C0" w:color="auto" w:val="clear"/>
        </w:rPr>
        <w:t>同</w:t>
      </w:r>
      <w:r>
        <w:rPr>
          <w:color w:val="000000"/>
          <w:w w:val="95"/>
          <w:shd w:fill="C0C0C0" w:color="auto" w:val="clear"/>
        </w:rPr>
        <w:t>。</w:t>
      </w:r>
      <w:r>
        <w:rPr>
          <w:color w:val="000000"/>
          <w:spacing w:val="40"/>
          <w:shd w:fill="C0C0C0" w:color="auto" w:val="clear"/>
        </w:rPr>
        <w:t> </w:t>
      </w:r>
      <w:r>
        <w:rPr>
          <w:color w:val="000000"/>
          <w:spacing w:val="-2"/>
          <w:shd w:fill="C0C0C0" w:color="auto" w:val="clear"/>
        </w:rPr>
        <w:t>对于解除合同的，本公司向投保人退还本合同效力中止时的现金价值。</w:t>
      </w:r>
    </w:p>
    <w:p>
      <w:pPr>
        <w:pStyle w:val="BodyText"/>
        <w:spacing w:before="4"/>
        <w:rPr>
          <w:sz w:val="24"/>
        </w:rPr>
      </w:pPr>
    </w:p>
    <w:p>
      <w:pPr>
        <w:pStyle w:val="Heading2"/>
      </w:pPr>
      <w:r>
        <w:rPr/>
        <w:t>第</w:t>
      </w:r>
      <w:r>
        <w:rPr/>
        <w:t>二</w:t>
      </w:r>
      <w:r>
        <w:rPr/>
        <w:t>十</w:t>
      </w:r>
      <w:r>
        <w:rPr>
          <w:spacing w:val="-3"/>
        </w:rPr>
        <w:t>二条 合</w:t>
      </w:r>
      <w:r>
        <w:rPr/>
        <w:t>同</w:t>
      </w:r>
      <w:r>
        <w:rPr/>
        <w:t>解</w:t>
      </w:r>
      <w:r>
        <w:rPr>
          <w:spacing w:val="-10"/>
        </w:rPr>
        <w:t>除</w:t>
      </w:r>
    </w:p>
    <w:p>
      <w:pPr>
        <w:pStyle w:val="BodyText"/>
        <w:spacing w:line="278" w:lineRule="auto" w:before="43"/>
        <w:ind w:left="120" w:right="1599" w:firstLine="420"/>
      </w:pPr>
      <w:r>
        <w:rPr>
          <w:spacing w:val="-7"/>
          <w:w w:val="99"/>
        </w:rPr>
        <w:t>如投保人在犹豫期后申请解除本合同，投保人应填写解除合同申请书并向本公司提供下</w:t>
      </w:r>
      <w:r>
        <w:rPr>
          <w:spacing w:val="-1"/>
          <w:w w:val="99"/>
        </w:rPr>
        <w:t>列资料：</w:t>
      </w:r>
    </w:p>
    <w:p>
      <w:pPr>
        <w:pStyle w:val="BodyText"/>
        <w:spacing w:line="269" w:lineRule="exact"/>
        <w:ind w:left="540"/>
      </w:pPr>
      <w:r>
        <w:rPr>
          <w:w w:val="95"/>
        </w:rPr>
        <w:t>（一）</w:t>
      </w:r>
      <w:r>
        <w:rPr>
          <w:spacing w:val="-2"/>
          <w:w w:val="95"/>
        </w:rPr>
        <w:t>保险合同；</w:t>
      </w:r>
    </w:p>
    <w:p>
      <w:pPr>
        <w:pStyle w:val="BodyText"/>
        <w:spacing w:before="43"/>
        <w:ind w:left="540"/>
      </w:pPr>
      <w:r>
        <w:rPr>
          <w:w w:val="95"/>
        </w:rPr>
        <w:t>（二）</w:t>
      </w:r>
      <w:r>
        <w:rPr>
          <w:spacing w:val="-1"/>
          <w:w w:val="95"/>
        </w:rPr>
        <w:t>投保人的有效身份证件。</w:t>
      </w:r>
    </w:p>
    <w:p>
      <w:pPr>
        <w:pStyle w:val="BodyText"/>
        <w:spacing w:line="278" w:lineRule="auto" w:before="43"/>
        <w:ind w:left="120" w:right="1599" w:firstLine="420"/>
      </w:pPr>
      <w:r>
        <w:rPr>
          <w:spacing w:val="-6"/>
          <w:w w:val="99"/>
        </w:rPr>
        <w:t>自本公司收到解除合同申请书之日起，本合同终止。本公司在收到上述证明和资料之日起</w:t>
      </w:r>
      <w:r>
        <w:rPr>
          <w:spacing w:val="-53"/>
        </w:rPr>
        <w:t> </w:t>
      </w:r>
      <w:r>
        <w:rPr>
          <w:spacing w:val="1"/>
          <w:w w:val="99"/>
        </w:rPr>
        <w:t>3</w:t>
      </w:r>
      <w:r>
        <w:rPr>
          <w:w w:val="99"/>
        </w:rPr>
        <w:t>0</w:t>
      </w:r>
      <w:r>
        <w:rPr>
          <w:spacing w:val="-52"/>
        </w:rPr>
        <w:t> </w:t>
      </w:r>
      <w:r>
        <w:rPr>
          <w:spacing w:val="-1"/>
          <w:w w:val="99"/>
        </w:rPr>
        <w:t>日内向投保人退还本合同终止之日的现金价值。</w:t>
      </w:r>
    </w:p>
    <w:p>
      <w:pPr>
        <w:pStyle w:val="BodyText"/>
        <w:spacing w:line="269" w:lineRule="exact"/>
        <w:ind w:left="540"/>
      </w:pPr>
      <w:r>
        <w:rPr>
          <w:color w:val="000000"/>
          <w:spacing w:val="-1"/>
          <w:w w:val="95"/>
          <w:shd w:fill="C0C0C0" w:color="auto" w:val="clear"/>
        </w:rPr>
        <w:t>投保人在犹豫期后解除合同会遭受一定损失。</w:t>
      </w:r>
    </w:p>
    <w:p>
      <w:pPr>
        <w:pStyle w:val="BodyText"/>
        <w:spacing w:before="9"/>
        <w:rPr>
          <w:sz w:val="27"/>
        </w:rPr>
      </w:pPr>
    </w:p>
    <w:p>
      <w:pPr>
        <w:pStyle w:val="Heading2"/>
      </w:pPr>
      <w:r>
        <w:rPr/>
        <w:t>第</w:t>
      </w:r>
      <w:r>
        <w:rPr/>
        <w:t>二</w:t>
      </w:r>
      <w:r>
        <w:rPr/>
        <w:t>十</w:t>
      </w:r>
      <w:r>
        <w:rPr>
          <w:spacing w:val="-3"/>
        </w:rPr>
        <w:t>三条 合</w:t>
      </w:r>
      <w:r>
        <w:rPr/>
        <w:t>同</w:t>
      </w:r>
      <w:r>
        <w:rPr/>
        <w:t>终</w:t>
      </w:r>
      <w:r>
        <w:rPr>
          <w:spacing w:val="-10"/>
        </w:rPr>
        <w:t>止</w:t>
      </w:r>
    </w:p>
    <w:p>
      <w:pPr>
        <w:pStyle w:val="BodyText"/>
        <w:spacing w:before="43"/>
        <w:ind w:left="540"/>
      </w:pPr>
      <w:r>
        <w:rPr>
          <w:spacing w:val="-1"/>
          <w:w w:val="95"/>
        </w:rPr>
        <w:t>当发生下列情形之一时，本合同效力终止：</w:t>
      </w:r>
    </w:p>
    <w:p>
      <w:pPr>
        <w:pStyle w:val="BodyText"/>
        <w:spacing w:line="278" w:lineRule="auto" w:before="43"/>
        <w:ind w:left="120" w:right="1600" w:firstLine="420"/>
      </w:pPr>
      <w:r>
        <w:rPr>
          <w:spacing w:val="-1"/>
          <w:w w:val="99"/>
        </w:rPr>
        <w:t>（</w:t>
      </w:r>
      <w:r>
        <w:rPr>
          <w:spacing w:val="2"/>
          <w:w w:val="99"/>
        </w:rPr>
        <w:t>一</w:t>
      </w:r>
      <w:r>
        <w:rPr>
          <w:spacing w:val="-94"/>
          <w:w w:val="99"/>
        </w:rPr>
        <w:t>）</w:t>
      </w:r>
      <w:r>
        <w:rPr>
          <w:spacing w:val="-1"/>
          <w:w w:val="99"/>
        </w:rPr>
        <w:t>被保险人因疾病以外的原因导致身故且依据本合同约定本公司无需承担保险责任的，本合同效力终止，本公司退还被保险人身故之日的现金价值；</w:t>
      </w:r>
    </w:p>
    <w:p>
      <w:pPr>
        <w:pStyle w:val="BodyText"/>
        <w:spacing w:line="269" w:lineRule="exact"/>
        <w:ind w:left="540"/>
      </w:pPr>
      <w:r>
        <w:rPr>
          <w:w w:val="95"/>
        </w:rPr>
        <w:t>（二）</w:t>
      </w:r>
      <w:r>
        <w:rPr>
          <w:spacing w:val="-1"/>
          <w:w w:val="95"/>
        </w:rPr>
        <w:t>本合同约定的其他终止情形。</w:t>
      </w:r>
    </w:p>
    <w:p>
      <w:pPr>
        <w:spacing w:after="0" w:line="269" w:lineRule="exact"/>
        <w:sectPr>
          <w:pgSz w:w="11910" w:h="16840"/>
          <w:pgMar w:header="0" w:footer="991" w:top="1400" w:bottom="1180" w:left="1680" w:right="200"/>
        </w:sectPr>
      </w:pPr>
    </w:p>
    <w:p>
      <w:pPr>
        <w:pStyle w:val="Heading1"/>
        <w:spacing w:before="43"/>
      </w:pPr>
      <w:bookmarkStart w:name="_bookmark26" w:id="13"/>
      <w:bookmarkEnd w:id="13"/>
      <w:r>
        <w:rPr>
          <w:b w:val="0"/>
        </w:rPr>
      </w:r>
      <w:r>
        <w:rPr/>
        <w:t>第四</w:t>
      </w:r>
      <w:r>
        <w:rPr/>
        <w:t>部</w:t>
      </w:r>
      <w:r>
        <w:rPr/>
        <w:t>分</w:t>
      </w:r>
      <w:r>
        <w:rPr>
          <w:spacing w:val="-4"/>
        </w:rPr>
        <w:t> 保险理赔</w:t>
      </w:r>
      <w:r>
        <w:rPr/>
        <w:t>条</w:t>
      </w:r>
      <w:r>
        <w:rPr>
          <w:spacing w:val="-10"/>
        </w:rPr>
        <w:t>款</w:t>
      </w:r>
    </w:p>
    <w:p>
      <w:pPr>
        <w:pStyle w:val="BodyText"/>
        <w:spacing w:before="1"/>
        <w:rPr>
          <w:b/>
          <w:sz w:val="26"/>
        </w:rPr>
      </w:pPr>
    </w:p>
    <w:p>
      <w:pPr>
        <w:pStyle w:val="Heading2"/>
      </w:pPr>
      <w:r>
        <w:rPr/>
        <w:t>第</w:t>
      </w:r>
      <w:r>
        <w:rPr/>
        <w:t>二</w:t>
      </w:r>
      <w:r>
        <w:rPr/>
        <w:t>十</w:t>
      </w:r>
      <w:r>
        <w:rPr>
          <w:spacing w:val="-4"/>
        </w:rPr>
        <w:t>四条 保</w:t>
      </w:r>
      <w:r>
        <w:rPr/>
        <w:t>险</w:t>
      </w:r>
      <w:r>
        <w:rPr/>
        <w:t>事</w:t>
      </w:r>
      <w:r>
        <w:rPr>
          <w:spacing w:val="-4"/>
        </w:rPr>
        <w:t>故通知</w:t>
      </w:r>
    </w:p>
    <w:p>
      <w:pPr>
        <w:pStyle w:val="BodyText"/>
        <w:spacing w:before="43" w:after="23"/>
        <w:ind w:left="540"/>
      </w:pPr>
      <w:r>
        <w:rPr>
          <w:w w:val="95"/>
        </w:rPr>
        <w:t>投</w:t>
      </w:r>
      <w:r>
        <w:rPr>
          <w:w w:val="95"/>
        </w:rPr>
        <w:t>保</w:t>
      </w:r>
      <w:r>
        <w:rPr>
          <w:w w:val="95"/>
        </w:rPr>
        <w:t>人</w:t>
      </w:r>
      <w:r>
        <w:rPr>
          <w:w w:val="95"/>
        </w:rPr>
        <w:t>、</w:t>
      </w:r>
      <w:r>
        <w:rPr>
          <w:w w:val="95"/>
        </w:rPr>
        <w:t>被</w:t>
      </w:r>
      <w:r>
        <w:rPr>
          <w:w w:val="95"/>
        </w:rPr>
        <w:t>保</w:t>
      </w:r>
      <w:r>
        <w:rPr>
          <w:w w:val="95"/>
        </w:rPr>
        <w:t>险</w:t>
      </w:r>
      <w:r>
        <w:rPr>
          <w:w w:val="95"/>
        </w:rPr>
        <w:t>人</w:t>
      </w:r>
      <w:r>
        <w:rPr>
          <w:w w:val="95"/>
        </w:rPr>
        <w:t>、</w:t>
      </w:r>
      <w:r>
        <w:rPr>
          <w:w w:val="95"/>
        </w:rPr>
        <w:t>受</w:t>
      </w:r>
      <w:r>
        <w:rPr>
          <w:w w:val="95"/>
        </w:rPr>
        <w:t>益</w:t>
      </w:r>
      <w:r>
        <w:rPr>
          <w:w w:val="95"/>
        </w:rPr>
        <w:t>人</w:t>
      </w:r>
      <w:r>
        <w:rPr>
          <w:w w:val="95"/>
        </w:rPr>
        <w:t>或</w:t>
      </w:r>
      <w:r>
        <w:rPr>
          <w:w w:val="95"/>
        </w:rPr>
        <w:t>其</w:t>
      </w:r>
      <w:r>
        <w:rPr>
          <w:w w:val="95"/>
        </w:rPr>
        <w:t>他</w:t>
      </w:r>
      <w:r>
        <w:rPr>
          <w:w w:val="95"/>
        </w:rPr>
        <w:t>有</w:t>
      </w:r>
      <w:r>
        <w:rPr>
          <w:w w:val="95"/>
        </w:rPr>
        <w:t>权</w:t>
      </w:r>
      <w:r>
        <w:rPr>
          <w:w w:val="95"/>
        </w:rPr>
        <w:t>领</w:t>
      </w:r>
      <w:r>
        <w:rPr>
          <w:w w:val="95"/>
        </w:rPr>
        <w:t>取</w:t>
      </w:r>
      <w:r>
        <w:rPr>
          <w:w w:val="95"/>
        </w:rPr>
        <w:t>保</w:t>
      </w:r>
      <w:r>
        <w:rPr>
          <w:w w:val="95"/>
        </w:rPr>
        <w:t>险</w:t>
      </w:r>
      <w:r>
        <w:rPr>
          <w:w w:val="95"/>
        </w:rPr>
        <w:t>金</w:t>
      </w:r>
      <w:r>
        <w:rPr>
          <w:w w:val="95"/>
        </w:rPr>
        <w:t>的</w:t>
      </w:r>
      <w:r>
        <w:rPr>
          <w:w w:val="95"/>
        </w:rPr>
        <w:t>人</w:t>
      </w:r>
      <w:r>
        <w:rPr>
          <w:w w:val="95"/>
        </w:rPr>
        <w:t>应</w:t>
      </w:r>
      <w:r>
        <w:rPr>
          <w:w w:val="95"/>
        </w:rPr>
        <w:t>于</w:t>
      </w:r>
      <w:r>
        <w:rPr>
          <w:w w:val="95"/>
        </w:rPr>
        <w:t>知</w:t>
      </w:r>
      <w:r>
        <w:rPr>
          <w:w w:val="95"/>
        </w:rPr>
        <w:t>道</w:t>
      </w:r>
      <w:r>
        <w:rPr>
          <w:w w:val="95"/>
        </w:rPr>
        <w:t>保</w:t>
      </w:r>
      <w:r>
        <w:rPr>
          <w:w w:val="95"/>
        </w:rPr>
        <w:t>险</w:t>
      </w:r>
      <w:r>
        <w:rPr>
          <w:w w:val="95"/>
        </w:rPr>
        <w:t>事</w:t>
      </w:r>
      <w:r>
        <w:rPr>
          <w:w w:val="95"/>
        </w:rPr>
        <w:t>故</w:t>
      </w:r>
      <w:r>
        <w:rPr>
          <w:w w:val="95"/>
        </w:rPr>
        <w:t>发</w:t>
      </w:r>
      <w:r>
        <w:rPr>
          <w:w w:val="95"/>
        </w:rPr>
        <w:t>生</w:t>
      </w:r>
      <w:r>
        <w:rPr>
          <w:w w:val="95"/>
        </w:rPr>
        <w:t>之</w:t>
      </w:r>
      <w:r>
        <w:rPr>
          <w:w w:val="95"/>
        </w:rPr>
        <w:t>日</w:t>
      </w:r>
      <w:r>
        <w:rPr>
          <w:spacing w:val="-10"/>
          <w:w w:val="95"/>
        </w:rPr>
        <w:t>起</w:t>
      </w: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57"/>
        <w:gridCol w:w="353"/>
        <w:gridCol w:w="5996"/>
      </w:tblGrid>
      <w:tr>
        <w:trPr>
          <w:trHeight w:val="291" w:hRule="atLeast"/>
        </w:trPr>
        <w:tc>
          <w:tcPr>
            <w:tcW w:w="1957" w:type="dxa"/>
            <w:tcBorders>
              <w:bottom w:val="single" w:sz="8" w:space="0" w:color="FFFFFF"/>
            </w:tcBorders>
          </w:tcPr>
          <w:p>
            <w:pPr>
              <w:pStyle w:val="TableParagraph"/>
              <w:spacing w:line="252" w:lineRule="exact" w:before="20"/>
              <w:ind w:left="0" w:right="0"/>
              <w:jc w:val="left"/>
              <w:rPr>
                <w:sz w:val="21"/>
              </w:rPr>
            </w:pPr>
            <w:r>
              <w:rPr>
                <w:w w:val="95"/>
                <w:sz w:val="21"/>
              </w:rPr>
              <w:t>10</w:t>
            </w:r>
            <w:r>
              <w:rPr>
                <w:spacing w:val="32"/>
                <w:sz w:val="21"/>
              </w:rPr>
              <w:t> </w:t>
            </w:r>
            <w:r>
              <w:rPr>
                <w:w w:val="95"/>
                <w:sz w:val="21"/>
              </w:rPr>
              <w:t>日内通知本公司</w:t>
            </w:r>
            <w:r>
              <w:rPr>
                <w:spacing w:val="-10"/>
                <w:w w:val="95"/>
                <w:sz w:val="21"/>
              </w:rPr>
              <w:t>。</w:t>
            </w:r>
          </w:p>
        </w:tc>
        <w:tc>
          <w:tcPr>
            <w:tcW w:w="6349" w:type="dxa"/>
            <w:gridSpan w:val="2"/>
            <w:tcBorders>
              <w:bottom w:val="single" w:sz="8" w:space="0" w:color="FFFFFF"/>
            </w:tcBorders>
            <w:shd w:val="clear" w:color="auto" w:fill="C0C0C0"/>
          </w:tcPr>
          <w:p>
            <w:pPr>
              <w:pStyle w:val="TableParagraph"/>
              <w:spacing w:line="252" w:lineRule="exact" w:before="20"/>
              <w:ind w:left="-1" w:right="0"/>
              <w:jc w:val="left"/>
              <w:rPr>
                <w:sz w:val="21"/>
              </w:rPr>
            </w:pPr>
            <w:r>
              <w:rPr>
                <w:w w:val="95"/>
                <w:sz w:val="21"/>
              </w:rPr>
              <w:t>投</w:t>
            </w:r>
            <w:r>
              <w:rPr>
                <w:w w:val="95"/>
                <w:sz w:val="21"/>
              </w:rPr>
              <w:t>保</w:t>
            </w:r>
            <w:r>
              <w:rPr>
                <w:w w:val="95"/>
                <w:sz w:val="21"/>
              </w:rPr>
              <w:t>人</w:t>
            </w:r>
            <w:r>
              <w:rPr>
                <w:w w:val="95"/>
                <w:sz w:val="21"/>
              </w:rPr>
              <w:t>、</w:t>
            </w:r>
            <w:r>
              <w:rPr>
                <w:w w:val="95"/>
                <w:sz w:val="21"/>
              </w:rPr>
              <w:t>被</w:t>
            </w:r>
            <w:r>
              <w:rPr>
                <w:w w:val="95"/>
                <w:sz w:val="21"/>
              </w:rPr>
              <w:t>保</w:t>
            </w:r>
            <w:r>
              <w:rPr>
                <w:w w:val="95"/>
                <w:sz w:val="21"/>
              </w:rPr>
              <w:t>险</w:t>
            </w:r>
            <w:r>
              <w:rPr>
                <w:w w:val="95"/>
                <w:sz w:val="21"/>
              </w:rPr>
              <w:t>人</w:t>
            </w:r>
            <w:r>
              <w:rPr>
                <w:w w:val="95"/>
                <w:sz w:val="21"/>
              </w:rPr>
              <w:t>、</w:t>
            </w:r>
            <w:r>
              <w:rPr>
                <w:w w:val="95"/>
                <w:sz w:val="21"/>
              </w:rPr>
              <w:t>受</w:t>
            </w:r>
            <w:r>
              <w:rPr>
                <w:w w:val="95"/>
                <w:sz w:val="21"/>
              </w:rPr>
              <w:t>益</w:t>
            </w:r>
            <w:r>
              <w:rPr>
                <w:w w:val="95"/>
                <w:sz w:val="21"/>
              </w:rPr>
              <w:t>人</w:t>
            </w:r>
            <w:r>
              <w:rPr>
                <w:w w:val="95"/>
                <w:sz w:val="21"/>
              </w:rPr>
              <w:t>或</w:t>
            </w:r>
            <w:r>
              <w:rPr>
                <w:w w:val="95"/>
                <w:sz w:val="21"/>
              </w:rPr>
              <w:t>其</w:t>
            </w:r>
            <w:r>
              <w:rPr>
                <w:w w:val="95"/>
                <w:sz w:val="21"/>
              </w:rPr>
              <w:t>他</w:t>
            </w:r>
            <w:r>
              <w:rPr>
                <w:w w:val="95"/>
                <w:sz w:val="21"/>
              </w:rPr>
              <w:t>有</w:t>
            </w:r>
            <w:r>
              <w:rPr>
                <w:w w:val="95"/>
                <w:sz w:val="21"/>
              </w:rPr>
              <w:t>权</w:t>
            </w:r>
            <w:r>
              <w:rPr>
                <w:w w:val="95"/>
                <w:sz w:val="21"/>
              </w:rPr>
              <w:t>领</w:t>
            </w:r>
            <w:r>
              <w:rPr>
                <w:w w:val="95"/>
                <w:sz w:val="21"/>
              </w:rPr>
              <w:t>取</w:t>
            </w:r>
            <w:r>
              <w:rPr>
                <w:w w:val="95"/>
                <w:sz w:val="21"/>
              </w:rPr>
              <w:t>保</w:t>
            </w:r>
            <w:r>
              <w:rPr>
                <w:w w:val="95"/>
                <w:sz w:val="21"/>
              </w:rPr>
              <w:t>险</w:t>
            </w:r>
            <w:r>
              <w:rPr>
                <w:w w:val="95"/>
                <w:sz w:val="21"/>
              </w:rPr>
              <w:t>金</w:t>
            </w:r>
            <w:r>
              <w:rPr>
                <w:w w:val="95"/>
                <w:sz w:val="21"/>
              </w:rPr>
              <w:t>的</w:t>
            </w:r>
            <w:r>
              <w:rPr>
                <w:w w:val="95"/>
                <w:sz w:val="21"/>
              </w:rPr>
              <w:t>人</w:t>
            </w:r>
            <w:r>
              <w:rPr>
                <w:w w:val="95"/>
                <w:sz w:val="21"/>
              </w:rPr>
              <w:t>故</w:t>
            </w:r>
            <w:r>
              <w:rPr>
                <w:w w:val="95"/>
                <w:sz w:val="21"/>
              </w:rPr>
              <w:t>意</w:t>
            </w:r>
            <w:r>
              <w:rPr>
                <w:w w:val="95"/>
                <w:sz w:val="21"/>
              </w:rPr>
              <w:t>或</w:t>
            </w:r>
            <w:r>
              <w:rPr>
                <w:spacing w:val="-4"/>
                <w:w w:val="95"/>
                <w:sz w:val="21"/>
              </w:rPr>
              <w:t>者因重</w:t>
            </w:r>
          </w:p>
        </w:tc>
      </w:tr>
      <w:tr>
        <w:trPr>
          <w:trHeight w:val="287" w:hRule="atLeast"/>
        </w:trPr>
        <w:tc>
          <w:tcPr>
            <w:tcW w:w="8306" w:type="dxa"/>
            <w:gridSpan w:val="3"/>
            <w:tcBorders>
              <w:top w:val="single" w:sz="8" w:space="0" w:color="FFFFFF"/>
              <w:bottom w:val="single" w:sz="12" w:space="0" w:color="FFFFFF"/>
            </w:tcBorders>
            <w:shd w:val="clear" w:color="auto" w:fill="C0C0C0"/>
          </w:tcPr>
          <w:p>
            <w:pPr>
              <w:pStyle w:val="TableParagraph"/>
              <w:spacing w:line="247" w:lineRule="exact" w:before="20"/>
              <w:ind w:left="0" w:right="-15"/>
              <w:jc w:val="left"/>
              <w:rPr>
                <w:sz w:val="21"/>
              </w:rPr>
            </w:pPr>
            <w:r>
              <w:rPr>
                <w:spacing w:val="-1"/>
                <w:w w:val="95"/>
                <w:sz w:val="21"/>
              </w:rPr>
              <w:t>大过失未及时通知，致使保险事故的性质、原因、损失程度等难以确定的，本公司对无法确</w:t>
            </w:r>
          </w:p>
        </w:tc>
      </w:tr>
      <w:tr>
        <w:trPr>
          <w:trHeight w:val="287" w:hRule="atLeast"/>
        </w:trPr>
        <w:tc>
          <w:tcPr>
            <w:tcW w:w="8306" w:type="dxa"/>
            <w:gridSpan w:val="3"/>
            <w:tcBorders>
              <w:top w:val="single" w:sz="12" w:space="0" w:color="FFFFFF"/>
              <w:bottom w:val="single" w:sz="8" w:space="0" w:color="FFFFFF"/>
            </w:tcBorders>
            <w:shd w:val="clear" w:color="auto" w:fill="C0C0C0"/>
          </w:tcPr>
          <w:p>
            <w:pPr>
              <w:pStyle w:val="TableParagraph"/>
              <w:spacing w:line="252" w:lineRule="exact" w:before="15"/>
              <w:ind w:left="0" w:right="0"/>
              <w:jc w:val="left"/>
              <w:rPr>
                <w:sz w:val="21"/>
              </w:rPr>
            </w:pPr>
            <w:r>
              <w:rPr>
                <w:spacing w:val="-1"/>
                <w:w w:val="95"/>
                <w:sz w:val="21"/>
              </w:rPr>
              <w:t>定的部分，不承担给付保险金的责任，但本公司通过其他途径已经及时知道或者应当及时知</w:t>
            </w:r>
          </w:p>
        </w:tc>
      </w:tr>
      <w:tr>
        <w:trPr>
          <w:trHeight w:val="291" w:hRule="atLeast"/>
        </w:trPr>
        <w:tc>
          <w:tcPr>
            <w:tcW w:w="2310" w:type="dxa"/>
            <w:gridSpan w:val="2"/>
            <w:tcBorders>
              <w:top w:val="single" w:sz="8" w:space="0" w:color="FFFFFF"/>
            </w:tcBorders>
            <w:shd w:val="clear" w:color="auto" w:fill="C0C0C0"/>
          </w:tcPr>
          <w:p>
            <w:pPr>
              <w:pStyle w:val="TableParagraph"/>
              <w:spacing w:line="252" w:lineRule="exact" w:before="20"/>
              <w:ind w:left="0" w:right="0"/>
              <w:jc w:val="left"/>
              <w:rPr>
                <w:sz w:val="21"/>
              </w:rPr>
            </w:pPr>
            <w:r>
              <w:rPr>
                <w:spacing w:val="-1"/>
                <w:w w:val="95"/>
                <w:sz w:val="21"/>
              </w:rPr>
              <w:t>道保险事故发生的除外。</w:t>
            </w:r>
          </w:p>
        </w:tc>
        <w:tc>
          <w:tcPr>
            <w:tcW w:w="5996" w:type="dxa"/>
            <w:tcBorders>
              <w:top w:val="single" w:sz="8" w:space="0" w:color="FFFFFF"/>
            </w:tcBorders>
          </w:tcPr>
          <w:p>
            <w:pPr>
              <w:pStyle w:val="TableParagraph"/>
              <w:spacing w:before="0"/>
              <w:ind w:left="0" w:right="0"/>
              <w:jc w:val="left"/>
              <w:rPr>
                <w:rFonts w:ascii="Times New Roman"/>
                <w:sz w:val="20"/>
              </w:rPr>
            </w:pPr>
          </w:p>
        </w:tc>
      </w:tr>
    </w:tbl>
    <w:p>
      <w:pPr>
        <w:pStyle w:val="BodyText"/>
        <w:spacing w:before="8"/>
        <w:rPr>
          <w:sz w:val="27"/>
        </w:rPr>
      </w:pPr>
    </w:p>
    <w:p>
      <w:pPr>
        <w:pStyle w:val="Heading2"/>
      </w:pPr>
      <w:r>
        <w:rPr/>
        <w:t>第</w:t>
      </w:r>
      <w:r>
        <w:rPr/>
        <w:t>二</w:t>
      </w:r>
      <w:r>
        <w:rPr/>
        <w:t>十</w:t>
      </w:r>
      <w:r>
        <w:rPr>
          <w:spacing w:val="-3"/>
        </w:rPr>
        <w:t>五条 保</w:t>
      </w:r>
      <w:r>
        <w:rPr/>
        <w:t>险</w:t>
      </w:r>
      <w:r>
        <w:rPr/>
        <w:t>金</w:t>
      </w:r>
      <w:r>
        <w:rPr>
          <w:spacing w:val="-5"/>
        </w:rPr>
        <w:t>申请</w:t>
      </w:r>
    </w:p>
    <w:p>
      <w:pPr>
        <w:pStyle w:val="BodyText"/>
        <w:spacing w:line="278" w:lineRule="auto" w:before="43"/>
        <w:ind w:left="120" w:right="1491" w:firstLine="420"/>
      </w:pPr>
      <w:r>
        <w:rPr/>
        <w:pict>
          <v:shape style="position:absolute;margin-left:90pt;margin-top:32.350014pt;width:210pt;height:14.6pt;mso-position-horizontal-relative:page;mso-position-vertical-relative:paragraph;z-index:15756288" type="#_x0000_t202" id="docshape42" filled="true" fillcolor="#c0c0c0" stroked="false">
            <v:textbox inset="0,0,0,0">
              <w:txbxContent>
                <w:p>
                  <w:pPr>
                    <w:pStyle w:val="BodyText"/>
                    <w:spacing w:before="20"/>
                    <w:rPr>
                      <w:color w:val="000000"/>
                    </w:rPr>
                  </w:pPr>
                  <w:r>
                    <w:rPr>
                      <w:color w:val="000000"/>
                      <w:spacing w:val="-1"/>
                      <w:w w:val="95"/>
                    </w:rPr>
                    <w:t>司对无法核实部分不承担给付保险金的责任。</w:t>
                  </w:r>
                </w:p>
              </w:txbxContent>
            </v:textbox>
            <v:fill type="solid"/>
            <w10:wrap type="none"/>
          </v:shape>
        </w:pict>
      </w:r>
      <w:r>
        <w:rPr/>
        <w:pict>
          <v:shape style="position:absolute;margin-left:172.449997pt;margin-top:16.750011pt;width:332.95pt;height:14.6pt;mso-position-horizontal-relative:page;mso-position-vertical-relative:paragraph;z-index:-16109056" type="#_x0000_t202" id="docshape43" filled="true" fillcolor="#c0c0c0" stroked="false">
            <v:textbox inset="0,0,0,0">
              <w:txbxContent>
                <w:p>
                  <w:pPr>
                    <w:pStyle w:val="BodyText"/>
                    <w:spacing w:before="20"/>
                    <w:ind w:left="-1"/>
                    <w:rPr>
                      <w:color w:val="000000"/>
                    </w:rPr>
                  </w:pPr>
                  <w:r>
                    <w:rPr>
                      <w:color w:val="000000"/>
                      <w:spacing w:val="-1"/>
                      <w:w w:val="95"/>
                    </w:rPr>
                    <w:t>申请人未能提供有关材料，导致本公司无法核实该申请的真实性的，本公</w:t>
                  </w:r>
                </w:p>
              </w:txbxContent>
            </v:textbox>
            <v:fill type="solid"/>
            <w10:wrap type="none"/>
          </v:shape>
        </w:pict>
      </w:r>
      <w:r>
        <w:rPr>
          <w:spacing w:val="-3"/>
          <w:w w:val="99"/>
        </w:rPr>
        <w:t>受益人或其他有权领取保险金的人</w:t>
      </w:r>
      <w:r>
        <w:rPr>
          <w:spacing w:val="-1"/>
          <w:w w:val="99"/>
        </w:rPr>
        <w:t>（</w:t>
      </w:r>
      <w:r>
        <w:rPr>
          <w:spacing w:val="-16"/>
          <w:w w:val="99"/>
        </w:rPr>
        <w:t>以下简称“申请人”</w:t>
      </w:r>
      <w:r>
        <w:rPr>
          <w:spacing w:val="-32"/>
          <w:w w:val="99"/>
        </w:rPr>
        <w:t>）</w:t>
      </w:r>
      <w:r>
        <w:rPr>
          <w:spacing w:val="-1"/>
          <w:w w:val="99"/>
        </w:rPr>
        <w:t>向本公司申请给付保险金时，</w:t>
      </w:r>
      <w:r>
        <w:rPr>
          <w:spacing w:val="-5"/>
          <w:w w:val="99"/>
        </w:rPr>
        <w:t>应提交以下材料。</w:t>
      </w:r>
    </w:p>
    <w:p>
      <w:pPr>
        <w:pStyle w:val="BodyText"/>
        <w:spacing w:before="11"/>
        <w:rPr>
          <w:sz w:val="18"/>
        </w:rPr>
      </w:pPr>
    </w:p>
    <w:p>
      <w:pPr>
        <w:pStyle w:val="BodyText"/>
        <w:spacing w:before="70"/>
        <w:ind w:left="540"/>
      </w:pPr>
      <w:r>
        <w:rPr>
          <w:w w:val="95"/>
        </w:rPr>
        <w:t>（一）疾</w:t>
      </w:r>
      <w:r>
        <w:rPr>
          <w:w w:val="95"/>
        </w:rPr>
        <w:t>病</w:t>
      </w:r>
      <w:r>
        <w:rPr>
          <w:w w:val="95"/>
        </w:rPr>
        <w:t>身</w:t>
      </w:r>
      <w:r>
        <w:rPr>
          <w:spacing w:val="-2"/>
          <w:w w:val="95"/>
        </w:rPr>
        <w:t>故保险金的申请</w:t>
      </w:r>
    </w:p>
    <w:p>
      <w:pPr>
        <w:pStyle w:val="BodyText"/>
        <w:spacing w:line="278" w:lineRule="auto" w:before="43"/>
        <w:ind w:left="540" w:right="1926" w:firstLine="19"/>
      </w:pPr>
      <w:r>
        <w:rPr>
          <w:spacing w:val="-2"/>
          <w:w w:val="95"/>
        </w:rPr>
        <w:t>在申请疾病身故保险</w:t>
      </w:r>
      <w:r>
        <w:rPr>
          <w:spacing w:val="-2"/>
          <w:w w:val="95"/>
        </w:rPr>
        <w:t>金</w:t>
      </w:r>
      <w:r>
        <w:rPr>
          <w:spacing w:val="-2"/>
          <w:w w:val="95"/>
        </w:rPr>
        <w:t>时</w:t>
      </w:r>
      <w:r>
        <w:rPr>
          <w:spacing w:val="-2"/>
          <w:w w:val="95"/>
        </w:rPr>
        <w:t>，申请人应填写保险金给付申请书，并提交下列证明和资料：</w:t>
      </w:r>
      <w:r>
        <w:rPr>
          <w:spacing w:val="80"/>
        </w:rPr>
        <w:t>  </w:t>
      </w:r>
      <w:r>
        <w:rPr>
          <w:spacing w:val="-2"/>
        </w:rPr>
        <w:t>1.保险合同；</w:t>
      </w:r>
    </w:p>
    <w:p>
      <w:pPr>
        <w:pStyle w:val="ListParagraph"/>
        <w:numPr>
          <w:ilvl w:val="0"/>
          <w:numId w:val="10"/>
        </w:numPr>
        <w:tabs>
          <w:tab w:pos="752" w:val="left" w:leader="none"/>
        </w:tabs>
        <w:spacing w:line="269" w:lineRule="exact" w:before="0" w:after="0"/>
        <w:ind w:left="751" w:right="0" w:hanging="212"/>
        <w:jc w:val="left"/>
        <w:rPr>
          <w:sz w:val="21"/>
        </w:rPr>
      </w:pPr>
      <w:r>
        <w:rPr>
          <w:spacing w:val="-1"/>
          <w:w w:val="95"/>
          <w:sz w:val="21"/>
        </w:rPr>
        <w:t>申请人的有效身份证件；</w:t>
      </w:r>
    </w:p>
    <w:p>
      <w:pPr>
        <w:pStyle w:val="ListParagraph"/>
        <w:numPr>
          <w:ilvl w:val="0"/>
          <w:numId w:val="10"/>
        </w:numPr>
        <w:tabs>
          <w:tab w:pos="752" w:val="left" w:leader="none"/>
        </w:tabs>
        <w:spacing w:line="278" w:lineRule="auto" w:before="43" w:after="0"/>
        <w:ind w:left="540" w:right="1599" w:firstLine="0"/>
        <w:jc w:val="left"/>
        <w:rPr>
          <w:sz w:val="21"/>
        </w:rPr>
      </w:pPr>
      <w:r>
        <w:rPr>
          <w:spacing w:val="-7"/>
          <w:w w:val="99"/>
          <w:sz w:val="21"/>
        </w:rPr>
        <w:t>国家卫生行政部门认定的医疗机构、公安部门或其他相关机构出具的被保险人的死亡</w:t>
      </w:r>
      <w:r>
        <w:rPr>
          <w:w w:val="99"/>
          <w:sz w:val="21"/>
        </w:rPr>
        <w:t>证明；</w:t>
      </w:r>
    </w:p>
    <w:p>
      <w:pPr>
        <w:pStyle w:val="ListParagraph"/>
        <w:numPr>
          <w:ilvl w:val="0"/>
          <w:numId w:val="10"/>
        </w:numPr>
        <w:tabs>
          <w:tab w:pos="752" w:val="left" w:leader="none"/>
        </w:tabs>
        <w:spacing w:line="269" w:lineRule="exact" w:before="0" w:after="0"/>
        <w:ind w:left="751" w:right="0" w:hanging="212"/>
        <w:jc w:val="left"/>
        <w:rPr>
          <w:sz w:val="21"/>
        </w:rPr>
      </w:pPr>
      <w:r>
        <w:rPr>
          <w:spacing w:val="-1"/>
          <w:w w:val="95"/>
          <w:sz w:val="21"/>
        </w:rPr>
        <w:t>所能提供的与确认保险事故的性质、原因等有关的其他证明和资料；</w:t>
      </w:r>
    </w:p>
    <w:p>
      <w:pPr>
        <w:pStyle w:val="ListParagraph"/>
        <w:numPr>
          <w:ilvl w:val="0"/>
          <w:numId w:val="10"/>
        </w:numPr>
        <w:tabs>
          <w:tab w:pos="752" w:val="left" w:leader="none"/>
        </w:tabs>
        <w:spacing w:line="278" w:lineRule="auto" w:before="43" w:after="0"/>
        <w:ind w:left="540" w:right="1599" w:firstLine="0"/>
        <w:jc w:val="left"/>
        <w:rPr>
          <w:sz w:val="21"/>
        </w:rPr>
      </w:pPr>
      <w:r>
        <w:rPr>
          <w:spacing w:val="-7"/>
          <w:w w:val="99"/>
          <w:sz w:val="21"/>
        </w:rPr>
        <w:t>若申请人委托他人申请的，还应提供授权委托书原件、委托人和受托人的有效身份证</w:t>
      </w:r>
      <w:r>
        <w:rPr>
          <w:spacing w:val="-1"/>
          <w:w w:val="99"/>
          <w:sz w:val="21"/>
        </w:rPr>
        <w:t>件等相关证明文件。</w:t>
      </w:r>
    </w:p>
    <w:p>
      <w:pPr>
        <w:pStyle w:val="BodyText"/>
        <w:spacing w:line="269" w:lineRule="exact"/>
        <w:ind w:left="540"/>
      </w:pPr>
      <w:r>
        <w:rPr>
          <w:spacing w:val="-1"/>
          <w:w w:val="95"/>
        </w:rPr>
        <w:t>疾病身故保险金作为被保险人遗产时，必须提供可证明合法继承权的相关权利文件。</w:t>
      </w:r>
    </w:p>
    <w:p>
      <w:pPr>
        <w:pStyle w:val="BodyText"/>
        <w:spacing w:before="43"/>
        <w:ind w:left="540"/>
      </w:pPr>
      <w:r>
        <w:rPr>
          <w:w w:val="95"/>
        </w:rPr>
        <w:t>（二）</w:t>
      </w:r>
      <w:r>
        <w:rPr>
          <w:w w:val="95"/>
        </w:rPr>
        <w:t>长</w:t>
      </w:r>
      <w:r>
        <w:rPr>
          <w:spacing w:val="-2"/>
          <w:w w:val="95"/>
        </w:rPr>
        <w:t>期护理保险金的申请</w:t>
      </w:r>
    </w:p>
    <w:p>
      <w:pPr>
        <w:pStyle w:val="BodyText"/>
        <w:spacing w:line="307" w:lineRule="auto" w:before="43"/>
        <w:ind w:left="540" w:right="1926" w:firstLine="4"/>
      </w:pPr>
      <w:r>
        <w:rPr>
          <w:spacing w:val="-2"/>
          <w:w w:val="95"/>
        </w:rPr>
        <w:t>在</w:t>
      </w:r>
      <w:r>
        <w:rPr>
          <w:spacing w:val="-2"/>
          <w:w w:val="95"/>
        </w:rPr>
        <w:t>申</w:t>
      </w:r>
      <w:r>
        <w:rPr>
          <w:spacing w:val="-2"/>
          <w:w w:val="95"/>
        </w:rPr>
        <w:t>请</w:t>
      </w:r>
      <w:r>
        <w:rPr>
          <w:spacing w:val="-2"/>
          <w:w w:val="95"/>
        </w:rPr>
        <w:t>长期护理保险</w:t>
      </w:r>
      <w:r>
        <w:rPr>
          <w:spacing w:val="-2"/>
          <w:w w:val="95"/>
        </w:rPr>
        <w:t>金</w:t>
      </w:r>
      <w:r>
        <w:rPr>
          <w:spacing w:val="-2"/>
          <w:w w:val="95"/>
        </w:rPr>
        <w:t>时</w:t>
      </w:r>
      <w:r>
        <w:rPr>
          <w:spacing w:val="-2"/>
          <w:w w:val="95"/>
        </w:rPr>
        <w:t>，申请人应填写保险金给付申请书，并提交下列证明和</w:t>
      </w:r>
      <w:r>
        <w:rPr>
          <w:spacing w:val="-2"/>
          <w:w w:val="95"/>
        </w:rPr>
        <w:t>资</w:t>
      </w:r>
      <w:r>
        <w:rPr>
          <w:spacing w:val="-2"/>
          <w:w w:val="95"/>
        </w:rPr>
        <w:t>料</w:t>
      </w:r>
      <w:r>
        <w:rPr>
          <w:spacing w:val="-2"/>
          <w:w w:val="95"/>
        </w:rPr>
        <w:t>：</w:t>
      </w:r>
      <w:r>
        <w:rPr>
          <w:spacing w:val="80"/>
        </w:rPr>
        <w:t>  </w:t>
      </w:r>
      <w:r>
        <w:rPr>
          <w:spacing w:val="-2"/>
        </w:rPr>
        <w:t>1.保险合同；</w:t>
      </w:r>
    </w:p>
    <w:p>
      <w:pPr>
        <w:pStyle w:val="ListParagraph"/>
        <w:numPr>
          <w:ilvl w:val="0"/>
          <w:numId w:val="11"/>
        </w:numPr>
        <w:tabs>
          <w:tab w:pos="752" w:val="left" w:leader="none"/>
        </w:tabs>
        <w:spacing w:line="235" w:lineRule="exact" w:before="0" w:after="0"/>
        <w:ind w:left="751" w:right="0" w:hanging="212"/>
        <w:jc w:val="left"/>
        <w:rPr>
          <w:sz w:val="21"/>
        </w:rPr>
      </w:pPr>
      <w:r>
        <w:rPr>
          <w:spacing w:val="-1"/>
          <w:w w:val="95"/>
          <w:sz w:val="21"/>
        </w:rPr>
        <w:t>申请人的有效身份证件；</w:t>
      </w:r>
    </w:p>
    <w:p>
      <w:pPr>
        <w:pStyle w:val="ListParagraph"/>
        <w:numPr>
          <w:ilvl w:val="0"/>
          <w:numId w:val="11"/>
        </w:numPr>
        <w:tabs>
          <w:tab w:pos="752" w:val="left" w:leader="none"/>
        </w:tabs>
        <w:spacing w:line="240" w:lineRule="auto" w:before="42" w:after="0"/>
        <w:ind w:left="751" w:right="0" w:hanging="212"/>
        <w:jc w:val="left"/>
        <w:rPr>
          <w:sz w:val="21"/>
        </w:rPr>
      </w:pPr>
      <w:r>
        <w:rPr>
          <w:spacing w:val="-1"/>
          <w:w w:val="95"/>
          <w:sz w:val="21"/>
        </w:rPr>
        <w:t>由双方认可的有资质的鉴定机构或者医院出具的被保险人丧失日常生活能力的证明；</w:t>
      </w:r>
    </w:p>
    <w:p>
      <w:pPr>
        <w:pStyle w:val="ListParagraph"/>
        <w:numPr>
          <w:ilvl w:val="0"/>
          <w:numId w:val="11"/>
        </w:numPr>
        <w:tabs>
          <w:tab w:pos="752" w:val="left" w:leader="none"/>
        </w:tabs>
        <w:spacing w:line="240" w:lineRule="auto" w:before="43" w:after="0"/>
        <w:ind w:left="751" w:right="0" w:hanging="212"/>
        <w:jc w:val="left"/>
        <w:rPr>
          <w:sz w:val="21"/>
        </w:rPr>
      </w:pPr>
      <w:r>
        <w:rPr>
          <w:spacing w:val="-1"/>
          <w:w w:val="95"/>
          <w:sz w:val="21"/>
        </w:rPr>
        <w:t>所能提供的与确认保险事故的性质、原因等有关的其他证明和资料；</w:t>
      </w:r>
    </w:p>
    <w:p>
      <w:pPr>
        <w:pStyle w:val="ListParagraph"/>
        <w:numPr>
          <w:ilvl w:val="0"/>
          <w:numId w:val="11"/>
        </w:numPr>
        <w:tabs>
          <w:tab w:pos="752" w:val="left" w:leader="none"/>
        </w:tabs>
        <w:spacing w:line="278" w:lineRule="auto" w:before="43" w:after="0"/>
        <w:ind w:left="540" w:right="1599" w:firstLine="0"/>
        <w:jc w:val="left"/>
        <w:rPr>
          <w:sz w:val="21"/>
        </w:rPr>
      </w:pPr>
      <w:r>
        <w:rPr>
          <w:spacing w:val="-7"/>
          <w:w w:val="99"/>
          <w:sz w:val="21"/>
        </w:rPr>
        <w:t>若申请人委托他人申请的，还应提供授权委托书原件、委托人和受托人的有效身份证</w:t>
      </w:r>
      <w:r>
        <w:rPr>
          <w:spacing w:val="-1"/>
          <w:w w:val="99"/>
          <w:sz w:val="21"/>
        </w:rPr>
        <w:t>件等相关证明文件。</w:t>
      </w:r>
    </w:p>
    <w:p>
      <w:pPr>
        <w:pStyle w:val="BodyText"/>
        <w:spacing w:line="269" w:lineRule="exact"/>
        <w:ind w:left="540"/>
      </w:pPr>
      <w:r>
        <w:rPr>
          <w:w w:val="95"/>
        </w:rPr>
        <w:t>以上证明和资料不完整的，本公司将及时一次性通知申请人补充提供有关证明和资</w:t>
      </w:r>
      <w:r>
        <w:rPr>
          <w:w w:val="95"/>
        </w:rPr>
        <w:t>料</w:t>
      </w:r>
      <w:r>
        <w:rPr>
          <w:spacing w:val="-10"/>
          <w:w w:val="95"/>
        </w:rPr>
        <w:t>。</w:t>
      </w:r>
    </w:p>
    <w:p>
      <w:pPr>
        <w:pStyle w:val="BodyText"/>
        <w:spacing w:before="9"/>
        <w:rPr>
          <w:sz w:val="27"/>
        </w:rPr>
      </w:pPr>
    </w:p>
    <w:p>
      <w:pPr>
        <w:pStyle w:val="Heading2"/>
        <w:jc w:val="both"/>
      </w:pPr>
      <w:r>
        <w:rPr/>
        <w:t>第</w:t>
      </w:r>
      <w:r>
        <w:rPr/>
        <w:t>二</w:t>
      </w:r>
      <w:r>
        <w:rPr/>
        <w:t>十</w:t>
      </w:r>
      <w:r>
        <w:rPr>
          <w:spacing w:val="-3"/>
        </w:rPr>
        <w:t>六条 保</w:t>
      </w:r>
      <w:r>
        <w:rPr/>
        <w:t>险</w:t>
      </w:r>
      <w:r>
        <w:rPr/>
        <w:t>金</w:t>
      </w:r>
      <w:r>
        <w:rPr>
          <w:spacing w:val="-5"/>
        </w:rPr>
        <w:t>给付</w:t>
      </w:r>
    </w:p>
    <w:p>
      <w:pPr>
        <w:pStyle w:val="BodyText"/>
        <w:spacing w:line="278" w:lineRule="auto" w:before="43"/>
        <w:ind w:left="120" w:right="1506" w:firstLine="420"/>
        <w:jc w:val="both"/>
      </w:pPr>
      <w:r>
        <w:rPr>
          <w:spacing w:val="-1"/>
          <w:w w:val="99"/>
        </w:rPr>
        <w:t>本公司在收到申请人的保险金给付申请书及上述有关证明和资料后，将及时作出核定；情形复杂的，在</w:t>
      </w:r>
      <w:r>
        <w:rPr>
          <w:spacing w:val="-53"/>
        </w:rPr>
        <w:t> </w:t>
      </w:r>
      <w:r>
        <w:rPr>
          <w:spacing w:val="1"/>
          <w:w w:val="99"/>
        </w:rPr>
        <w:t>3</w:t>
      </w:r>
      <w:r>
        <w:rPr>
          <w:w w:val="99"/>
        </w:rPr>
        <w:t>0</w:t>
      </w:r>
      <w:r>
        <w:rPr>
          <w:spacing w:val="-52"/>
        </w:rPr>
        <w:t> </w:t>
      </w:r>
      <w:r>
        <w:rPr>
          <w:spacing w:val="-1"/>
          <w:w w:val="99"/>
        </w:rPr>
        <w:t>日内作出核定。</w:t>
      </w:r>
    </w:p>
    <w:p>
      <w:pPr>
        <w:pStyle w:val="BodyText"/>
        <w:spacing w:line="278" w:lineRule="auto"/>
        <w:ind w:left="120" w:right="1597" w:firstLine="420"/>
        <w:jc w:val="both"/>
      </w:pPr>
      <w:r>
        <w:rPr>
          <w:spacing w:val="-2"/>
          <w:w w:val="95"/>
        </w:rPr>
        <w:t>本公司作出核定后，对确定属于保险责任的，本公司在与申请人达成给付保险金协议后</w:t>
      </w:r>
      <w:r>
        <w:rPr>
          <w:spacing w:val="80"/>
          <w:w w:val="150"/>
        </w:rPr>
        <w:t> </w:t>
      </w:r>
      <w:r>
        <w:rPr>
          <w:w w:val="95"/>
        </w:rPr>
        <w:t>10</w:t>
      </w:r>
      <w:r>
        <w:rPr>
          <w:spacing w:val="37"/>
        </w:rPr>
        <w:t> </w:t>
      </w:r>
      <w:r>
        <w:rPr>
          <w:w w:val="95"/>
        </w:rPr>
        <w:t>日</w:t>
      </w:r>
      <w:r>
        <w:rPr>
          <w:w w:val="95"/>
        </w:rPr>
        <w:t>内</w:t>
      </w:r>
      <w:r>
        <w:rPr>
          <w:w w:val="95"/>
        </w:rPr>
        <w:t>履</w:t>
      </w:r>
      <w:r>
        <w:rPr>
          <w:w w:val="95"/>
        </w:rPr>
        <w:t>行</w:t>
      </w:r>
      <w:r>
        <w:rPr>
          <w:w w:val="95"/>
        </w:rPr>
        <w:t>给</w:t>
      </w:r>
      <w:r>
        <w:rPr>
          <w:w w:val="95"/>
        </w:rPr>
        <w:t>付</w:t>
      </w:r>
      <w:r>
        <w:rPr>
          <w:w w:val="95"/>
        </w:rPr>
        <w:t>保</w:t>
      </w:r>
      <w:r>
        <w:rPr>
          <w:w w:val="95"/>
        </w:rPr>
        <w:t>险</w:t>
      </w:r>
      <w:r>
        <w:rPr>
          <w:w w:val="95"/>
        </w:rPr>
        <w:t>金</w:t>
      </w:r>
      <w:r>
        <w:rPr>
          <w:w w:val="95"/>
        </w:rPr>
        <w:t>责</w:t>
      </w:r>
      <w:r>
        <w:rPr>
          <w:w w:val="95"/>
        </w:rPr>
        <w:t>任</w:t>
      </w:r>
      <w:r>
        <w:rPr>
          <w:w w:val="95"/>
        </w:rPr>
        <w:t>；</w:t>
      </w:r>
      <w:r>
        <w:rPr>
          <w:w w:val="95"/>
        </w:rPr>
        <w:t>对</w:t>
      </w:r>
      <w:r>
        <w:rPr>
          <w:w w:val="95"/>
        </w:rPr>
        <w:t>不</w:t>
      </w:r>
      <w:r>
        <w:rPr>
          <w:w w:val="95"/>
        </w:rPr>
        <w:t>属</w:t>
      </w:r>
      <w:r>
        <w:rPr>
          <w:w w:val="95"/>
        </w:rPr>
        <w:t>于</w:t>
      </w:r>
      <w:r>
        <w:rPr>
          <w:w w:val="95"/>
        </w:rPr>
        <w:t>保</w:t>
      </w:r>
      <w:r>
        <w:rPr>
          <w:w w:val="95"/>
        </w:rPr>
        <w:t>险</w:t>
      </w:r>
      <w:r>
        <w:rPr>
          <w:w w:val="95"/>
        </w:rPr>
        <w:t>责</w:t>
      </w:r>
      <w:r>
        <w:rPr>
          <w:w w:val="95"/>
        </w:rPr>
        <w:t>任</w:t>
      </w:r>
      <w:r>
        <w:rPr>
          <w:w w:val="95"/>
        </w:rPr>
        <w:t>的</w:t>
      </w:r>
      <w:r>
        <w:rPr>
          <w:w w:val="95"/>
        </w:rPr>
        <w:t>，</w:t>
      </w:r>
      <w:r>
        <w:rPr>
          <w:w w:val="95"/>
        </w:rPr>
        <w:t>本</w:t>
      </w:r>
      <w:r>
        <w:rPr>
          <w:w w:val="95"/>
        </w:rPr>
        <w:t>公</w:t>
      </w:r>
      <w:r>
        <w:rPr>
          <w:w w:val="95"/>
        </w:rPr>
        <w:t>司</w:t>
      </w:r>
      <w:r>
        <w:rPr>
          <w:w w:val="95"/>
        </w:rPr>
        <w:t>自</w:t>
      </w:r>
      <w:r>
        <w:rPr>
          <w:w w:val="95"/>
        </w:rPr>
        <w:t>作</w:t>
      </w:r>
      <w:r>
        <w:rPr>
          <w:w w:val="95"/>
        </w:rPr>
        <w:t>出</w:t>
      </w:r>
      <w:r>
        <w:rPr>
          <w:w w:val="95"/>
        </w:rPr>
        <w:t>核</w:t>
      </w:r>
      <w:r>
        <w:rPr>
          <w:w w:val="95"/>
        </w:rPr>
        <w:t>定</w:t>
      </w:r>
      <w:r>
        <w:rPr>
          <w:w w:val="95"/>
        </w:rPr>
        <w:t>之日起</w:t>
      </w:r>
      <w:r>
        <w:rPr>
          <w:spacing w:val="40"/>
        </w:rPr>
        <w:t> </w:t>
      </w:r>
      <w:r>
        <w:rPr>
          <w:w w:val="95"/>
        </w:rPr>
        <w:t>3</w:t>
      </w:r>
      <w:r>
        <w:rPr>
          <w:spacing w:val="37"/>
        </w:rPr>
        <w:t> </w:t>
      </w:r>
      <w:r>
        <w:rPr>
          <w:w w:val="95"/>
        </w:rPr>
        <w:t>日</w:t>
      </w:r>
      <w:r>
        <w:rPr>
          <w:w w:val="95"/>
        </w:rPr>
        <w:t>内</w:t>
      </w:r>
      <w:r>
        <w:rPr>
          <w:w w:val="95"/>
        </w:rPr>
        <w:t>向申</w:t>
      </w:r>
      <w:r>
        <w:rPr>
          <w:spacing w:val="-2"/>
        </w:rPr>
        <w:t>请人发出拒绝给付保险金通知书并说明理由。</w:t>
      </w:r>
    </w:p>
    <w:p>
      <w:pPr>
        <w:pStyle w:val="BodyText"/>
        <w:spacing w:line="278" w:lineRule="auto"/>
        <w:ind w:left="120" w:right="1601" w:firstLine="420"/>
        <w:jc w:val="both"/>
      </w:pPr>
      <w:r>
        <w:rPr>
          <w:spacing w:val="-1"/>
          <w:w w:val="99"/>
        </w:rPr>
        <w:t>与申请人达成给付保险金协议后</w:t>
      </w:r>
      <w:r>
        <w:rPr>
          <w:spacing w:val="-50"/>
        </w:rPr>
        <w:t> </w:t>
      </w:r>
      <w:r>
        <w:rPr>
          <w:spacing w:val="1"/>
          <w:w w:val="99"/>
        </w:rPr>
        <w:t>1</w:t>
      </w:r>
      <w:r>
        <w:rPr>
          <w:w w:val="99"/>
        </w:rPr>
        <w:t>0</w:t>
      </w:r>
      <w:r>
        <w:rPr>
          <w:spacing w:val="-54"/>
        </w:rPr>
        <w:t> </w:t>
      </w:r>
      <w:r>
        <w:rPr>
          <w:spacing w:val="-1"/>
          <w:w w:val="99"/>
        </w:rPr>
        <w:t>日内，未履行给付保险金责任的，本公司除支付保险金外，还将赔偿申请人因此受到的损失。</w:t>
      </w:r>
    </w:p>
    <w:p>
      <w:pPr>
        <w:pStyle w:val="BodyText"/>
        <w:spacing w:line="278" w:lineRule="auto"/>
        <w:ind w:left="120" w:right="1597" w:firstLine="420"/>
        <w:jc w:val="both"/>
      </w:pPr>
      <w:r>
        <w:rPr>
          <w:spacing w:val="-1"/>
          <w:w w:val="99"/>
        </w:rPr>
        <w:t>本公司自收到申请人的保险金给付申请书及上述有关证明和资料之日起</w:t>
      </w:r>
      <w:r>
        <w:rPr>
          <w:spacing w:val="-53"/>
        </w:rPr>
        <w:t> </w:t>
      </w:r>
      <w:r>
        <w:rPr>
          <w:spacing w:val="1"/>
          <w:w w:val="99"/>
        </w:rPr>
        <w:t>6</w:t>
      </w:r>
      <w:r>
        <w:rPr>
          <w:w w:val="99"/>
        </w:rPr>
        <w:t>0</w:t>
      </w:r>
      <w:r>
        <w:rPr>
          <w:spacing w:val="-52"/>
        </w:rPr>
        <w:t> </w:t>
      </w:r>
      <w:r>
        <w:rPr>
          <w:w w:val="99"/>
        </w:rPr>
        <w:t>日内，对保</w:t>
      </w:r>
      <w:r>
        <w:rPr>
          <w:spacing w:val="-7"/>
          <w:w w:val="99"/>
        </w:rPr>
        <w:t>险金数额不能完全确定的，将根据已有证明和资料，按可以确定的数额先予支付，本公司最</w:t>
      </w:r>
      <w:r>
        <w:rPr>
          <w:spacing w:val="-1"/>
          <w:w w:val="99"/>
        </w:rPr>
        <w:t>终确定保险金数额后，给付相应的差额。</w:t>
      </w:r>
    </w:p>
    <w:p>
      <w:pPr>
        <w:spacing w:after="0" w:line="278" w:lineRule="auto"/>
        <w:jc w:val="both"/>
        <w:sectPr>
          <w:pgSz w:w="11910" w:h="16840"/>
          <w:pgMar w:header="0" w:footer="991" w:top="1380" w:bottom="1180" w:left="1680" w:right="200"/>
        </w:sectPr>
      </w:pPr>
    </w:p>
    <w:p>
      <w:pPr>
        <w:pStyle w:val="Heading2"/>
        <w:spacing w:before="43"/>
      </w:pPr>
      <w:r>
        <w:rPr/>
        <w:t>第</w:t>
      </w:r>
      <w:r>
        <w:rPr/>
        <w:t>二</w:t>
      </w:r>
      <w:r>
        <w:rPr/>
        <w:t>十</w:t>
      </w:r>
      <w:r>
        <w:rPr>
          <w:spacing w:val="-3"/>
        </w:rPr>
        <w:t>七条 诉</w:t>
      </w:r>
      <w:r>
        <w:rPr/>
        <w:t>讼</w:t>
      </w:r>
      <w:r>
        <w:rPr/>
        <w:t>时</w:t>
      </w:r>
      <w:r>
        <w:rPr>
          <w:spacing w:val="-10"/>
        </w:rPr>
        <w:t>效</w:t>
      </w:r>
    </w:p>
    <w:p>
      <w:pPr>
        <w:pStyle w:val="BodyText"/>
        <w:spacing w:line="278" w:lineRule="auto" w:before="43"/>
        <w:ind w:left="120" w:right="1619" w:firstLine="400"/>
      </w:pPr>
      <w:r>
        <w:rPr>
          <w:spacing w:val="1"/>
          <w:w w:val="99"/>
        </w:rPr>
        <w:t>本合同的疾病身故保险金受益人向本公司请求给付疾病身故保险金的诉讼时效期间为</w:t>
      </w:r>
      <w:r>
        <w:rPr>
          <w:spacing w:val="-1"/>
          <w:w w:val="99"/>
        </w:rPr>
        <w:t>五年，自其知道或者应当知道保险事故发生之日起计算。</w:t>
      </w:r>
    </w:p>
    <w:p>
      <w:pPr>
        <w:pStyle w:val="BodyText"/>
        <w:spacing w:line="278" w:lineRule="auto"/>
        <w:ind w:left="120" w:right="1621" w:firstLine="400"/>
      </w:pPr>
      <w:r>
        <w:rPr>
          <w:spacing w:val="-4"/>
          <w:w w:val="99"/>
        </w:rPr>
        <w:t>本合同的其他保险金受益人向本公司请求给付其他保险金的诉讼时效期间为二年，自其</w:t>
      </w:r>
      <w:r>
        <w:rPr>
          <w:spacing w:val="-1"/>
          <w:w w:val="99"/>
        </w:rPr>
        <w:t>知道或者应当知道保险事故发生之日起计算。</w:t>
      </w:r>
    </w:p>
    <w:p>
      <w:pPr>
        <w:pStyle w:val="BodyText"/>
        <w:spacing w:before="4"/>
        <w:rPr>
          <w:sz w:val="24"/>
        </w:rPr>
      </w:pPr>
    </w:p>
    <w:p>
      <w:pPr>
        <w:pStyle w:val="Heading2"/>
      </w:pPr>
      <w:r>
        <w:rPr/>
        <w:t>第</w:t>
      </w:r>
      <w:r>
        <w:rPr/>
        <w:t>二</w:t>
      </w:r>
      <w:r>
        <w:rPr/>
        <w:t>十</w:t>
      </w:r>
      <w:r>
        <w:rPr>
          <w:spacing w:val="-3"/>
        </w:rPr>
        <w:t>八条 争</w:t>
      </w:r>
      <w:r>
        <w:rPr/>
        <w:t>议</w:t>
      </w:r>
      <w:r>
        <w:rPr/>
        <w:t>处</w:t>
      </w:r>
      <w:r>
        <w:rPr>
          <w:spacing w:val="-10"/>
        </w:rPr>
        <w:t>理</w:t>
      </w:r>
    </w:p>
    <w:p>
      <w:pPr>
        <w:pStyle w:val="BodyText"/>
        <w:spacing w:line="278" w:lineRule="auto" w:before="43"/>
        <w:ind w:left="120" w:right="1506" w:firstLine="420"/>
      </w:pPr>
      <w:r>
        <w:rPr>
          <w:spacing w:val="-1"/>
          <w:w w:val="99"/>
        </w:rPr>
        <w:t>本合同履行过程中，双方发生争议不能协商解决的，可以达成仲裁协议通过仲裁解决，也可依法直接向法院提起诉讼。</w:t>
      </w:r>
    </w:p>
    <w:p>
      <w:pPr>
        <w:pStyle w:val="BodyText"/>
        <w:spacing w:before="4"/>
        <w:rPr>
          <w:sz w:val="24"/>
        </w:rPr>
      </w:pPr>
    </w:p>
    <w:p>
      <w:pPr>
        <w:pStyle w:val="Heading2"/>
      </w:pPr>
      <w:r>
        <w:rPr/>
        <w:t>第</w:t>
      </w:r>
      <w:r>
        <w:rPr/>
        <w:t>二</w:t>
      </w:r>
      <w:r>
        <w:rPr/>
        <w:t>十</w:t>
      </w:r>
      <w:r>
        <w:rPr>
          <w:spacing w:val="-3"/>
        </w:rPr>
        <w:t>九条 司</w:t>
      </w:r>
      <w:r>
        <w:rPr/>
        <w:t>法</w:t>
      </w:r>
      <w:r>
        <w:rPr/>
        <w:t>管</w:t>
      </w:r>
      <w:r>
        <w:rPr>
          <w:spacing w:val="-10"/>
        </w:rPr>
        <w:t>辖</w:t>
      </w:r>
    </w:p>
    <w:p>
      <w:pPr>
        <w:pStyle w:val="BodyText"/>
        <w:spacing w:line="278" w:lineRule="auto" w:before="43"/>
        <w:ind w:left="120" w:right="1599" w:firstLine="420"/>
      </w:pPr>
      <w:r>
        <w:rPr>
          <w:spacing w:val="2"/>
          <w:w w:val="99"/>
        </w:rPr>
        <w:t>本合同受中华人民共和国司法管辖，适用中华人民共和国法律</w:t>
      </w:r>
      <w:r>
        <w:rPr>
          <w:spacing w:val="4"/>
          <w:w w:val="99"/>
        </w:rPr>
        <w:t>（</w:t>
      </w:r>
      <w:r>
        <w:rPr>
          <w:spacing w:val="2"/>
          <w:w w:val="99"/>
        </w:rPr>
        <w:t>不包括港澳台地区法</w:t>
      </w:r>
      <w:r>
        <w:rPr>
          <w:spacing w:val="-1"/>
          <w:w w:val="99"/>
        </w:rPr>
        <w:t>律</w:t>
      </w:r>
      <w:r>
        <w:rPr>
          <w:spacing w:val="-104"/>
          <w:w w:val="99"/>
        </w:rPr>
        <w:t>）</w:t>
      </w:r>
      <w:r>
        <w:rPr>
          <w:w w:val="99"/>
        </w:rPr>
        <w:t>。</w:t>
      </w:r>
    </w:p>
    <w:p>
      <w:pPr>
        <w:pStyle w:val="BodyText"/>
        <w:rPr>
          <w:sz w:val="20"/>
        </w:rPr>
      </w:pPr>
    </w:p>
    <w:p>
      <w:pPr>
        <w:pStyle w:val="BodyText"/>
        <w:spacing w:before="1"/>
        <w:rPr>
          <w:sz w:val="27"/>
        </w:rPr>
      </w:pPr>
    </w:p>
    <w:p>
      <w:pPr>
        <w:pStyle w:val="Heading1"/>
        <w:ind w:left="3252"/>
      </w:pPr>
      <w:bookmarkStart w:name="_bookmark33" w:id="14"/>
      <w:bookmarkEnd w:id="14"/>
      <w:r>
        <w:rPr>
          <w:b w:val="0"/>
        </w:rPr>
      </w:r>
      <w:r>
        <w:rPr/>
        <w:t>第五</w:t>
      </w:r>
      <w:r>
        <w:rPr/>
        <w:t>部</w:t>
      </w:r>
      <w:r>
        <w:rPr/>
        <w:t>分</w:t>
      </w:r>
      <w:r>
        <w:rPr>
          <w:spacing w:val="-4"/>
        </w:rPr>
        <w:t> 其他</w:t>
      </w:r>
      <w:r>
        <w:rPr/>
        <w:t>事</w:t>
      </w:r>
      <w:r>
        <w:rPr>
          <w:spacing w:val="-10"/>
        </w:rPr>
        <w:t>项</w:t>
      </w:r>
    </w:p>
    <w:p>
      <w:pPr>
        <w:pStyle w:val="BodyText"/>
        <w:spacing w:before="2"/>
        <w:rPr>
          <w:b/>
          <w:sz w:val="26"/>
        </w:rPr>
      </w:pPr>
    </w:p>
    <w:p>
      <w:pPr>
        <w:pStyle w:val="Heading2"/>
      </w:pPr>
      <w:r>
        <w:rPr/>
        <w:t>第</w:t>
      </w:r>
      <w:r>
        <w:rPr/>
        <w:t>三</w:t>
      </w:r>
      <w:r>
        <w:rPr/>
        <w:t>十</w:t>
      </w:r>
      <w:r>
        <w:rPr>
          <w:spacing w:val="-4"/>
        </w:rPr>
        <w:t>条 释义</w:t>
      </w:r>
    </w:p>
    <w:p>
      <w:pPr>
        <w:pStyle w:val="BodyText"/>
        <w:spacing w:line="278" w:lineRule="auto" w:before="43"/>
        <w:ind w:left="686" w:right="1592" w:hanging="567"/>
      </w:pPr>
      <w:r>
        <w:rPr>
          <w:spacing w:val="-3"/>
        </w:rPr>
        <w:t>(一) </w:t>
      </w:r>
      <w:r>
        <w:rPr>
          <w:b/>
        </w:rPr>
        <w:t>保</w:t>
      </w:r>
      <w:r>
        <w:rPr>
          <w:b/>
        </w:rPr>
        <w:t>险</w:t>
      </w:r>
      <w:r>
        <w:rPr>
          <w:b/>
        </w:rPr>
        <w:t>单</w:t>
      </w:r>
      <w:r>
        <w:rPr>
          <w:b/>
        </w:rPr>
        <w:t>周</w:t>
      </w:r>
      <w:r>
        <w:rPr>
          <w:b/>
        </w:rPr>
        <w:t>年</w:t>
      </w:r>
      <w:r>
        <w:rPr>
          <w:b/>
        </w:rPr>
        <w:t>日</w:t>
      </w:r>
      <w:r>
        <w:rPr>
          <w:b/>
        </w:rPr>
        <w:t>：</w:t>
      </w:r>
      <w:r>
        <w:rPr/>
        <w:t>指本合同生效</w:t>
      </w:r>
      <w:r>
        <w:rPr/>
        <w:t>日</w:t>
      </w:r>
      <w:r>
        <w:rPr/>
        <w:t>以</w:t>
      </w:r>
      <w:r>
        <w:rPr/>
        <w:t>后每年</w:t>
      </w:r>
      <w:r>
        <w:rPr/>
        <w:t>的</w:t>
      </w:r>
      <w:r>
        <w:rPr/>
        <w:t>对</w:t>
      </w:r>
      <w:r>
        <w:rPr/>
        <w:t>应日。如果当月无对</w:t>
      </w:r>
      <w:r>
        <w:rPr/>
        <w:t>应</w:t>
      </w:r>
      <w:r>
        <w:rPr/>
        <w:t>的</w:t>
      </w:r>
      <w:r>
        <w:rPr/>
        <w:t>同</w:t>
      </w:r>
      <w:r>
        <w:rPr/>
        <w:t>一</w:t>
      </w:r>
      <w:r>
        <w:rPr/>
        <w:t>日</w:t>
      </w:r>
      <w:r>
        <w:rPr/>
        <w:t>，则以</w:t>
      </w:r>
      <w:r>
        <w:rPr>
          <w:spacing w:val="-2"/>
        </w:rPr>
        <w:t>该月最后一日作为对应日。</w:t>
      </w:r>
    </w:p>
    <w:p>
      <w:pPr>
        <w:pStyle w:val="BodyText"/>
        <w:spacing w:line="278" w:lineRule="auto"/>
        <w:ind w:left="686" w:right="1595" w:hanging="567"/>
      </w:pPr>
      <w:r>
        <w:rPr>
          <w:spacing w:val="-3"/>
        </w:rPr>
        <w:t>(二) </w:t>
      </w:r>
      <w:r>
        <w:rPr>
          <w:b/>
        </w:rPr>
        <w:t>保</w:t>
      </w:r>
      <w:r>
        <w:rPr>
          <w:b/>
        </w:rPr>
        <w:t>险</w:t>
      </w:r>
      <w:r>
        <w:rPr>
          <w:b/>
        </w:rPr>
        <w:t>单</w:t>
      </w:r>
      <w:r>
        <w:rPr>
          <w:b/>
        </w:rPr>
        <w:t>年</w:t>
      </w:r>
      <w:r>
        <w:rPr>
          <w:b/>
        </w:rPr>
        <w:t>度：</w:t>
      </w:r>
      <w:r>
        <w:rPr/>
        <w:t>从本合同生效日或</w:t>
      </w:r>
      <w:r>
        <w:rPr/>
        <w:t>生</w:t>
      </w:r>
      <w:r>
        <w:rPr/>
        <w:t>效</w:t>
      </w:r>
      <w:r>
        <w:rPr/>
        <w:t>对应日零时起至</w:t>
      </w:r>
      <w:r>
        <w:rPr/>
        <w:t>下</w:t>
      </w:r>
      <w:r>
        <w:rPr/>
        <w:t>一</w:t>
      </w:r>
      <w:r>
        <w:rPr/>
        <w:t>年度本合同</w:t>
      </w:r>
      <w:r>
        <w:rPr/>
        <w:t>生</w:t>
      </w:r>
      <w:r>
        <w:rPr/>
        <w:t>效</w:t>
      </w:r>
      <w:r>
        <w:rPr/>
        <w:t>对应日零时</w:t>
      </w:r>
      <w:r>
        <w:rPr>
          <w:spacing w:val="-2"/>
        </w:rPr>
        <w:t>止为一个保险单年度。</w:t>
      </w:r>
    </w:p>
    <w:p>
      <w:pPr>
        <w:pStyle w:val="BodyText"/>
        <w:spacing w:line="278" w:lineRule="auto"/>
        <w:ind w:left="686" w:right="1488" w:hanging="567"/>
      </w:pPr>
      <w:r>
        <w:rPr>
          <w:spacing w:val="-4"/>
        </w:rPr>
        <w:t>(三) </w:t>
      </w:r>
      <w:r>
        <w:rPr>
          <w:b/>
          <w:spacing w:val="-4"/>
        </w:rPr>
        <w:t>保</w:t>
      </w:r>
      <w:r>
        <w:rPr>
          <w:b/>
          <w:spacing w:val="-4"/>
        </w:rPr>
        <w:t>险</w:t>
      </w:r>
      <w:r>
        <w:rPr>
          <w:b/>
          <w:spacing w:val="-4"/>
        </w:rPr>
        <w:t>费</w:t>
      </w:r>
      <w:r>
        <w:rPr>
          <w:b/>
          <w:spacing w:val="-4"/>
        </w:rPr>
        <w:t>约</w:t>
      </w:r>
      <w:r>
        <w:rPr>
          <w:b/>
          <w:spacing w:val="-4"/>
        </w:rPr>
        <w:t>定</w:t>
      </w:r>
      <w:r>
        <w:rPr>
          <w:b/>
          <w:spacing w:val="-4"/>
        </w:rPr>
        <w:t>交</w:t>
      </w:r>
      <w:r>
        <w:rPr>
          <w:b/>
          <w:spacing w:val="-4"/>
        </w:rPr>
        <w:t>纳</w:t>
      </w:r>
      <w:r>
        <w:rPr>
          <w:b/>
          <w:spacing w:val="-4"/>
        </w:rPr>
        <w:t>日</w:t>
      </w:r>
      <w:r>
        <w:rPr>
          <w:b/>
          <w:spacing w:val="-4"/>
        </w:rPr>
        <w:t>：</w:t>
      </w:r>
      <w:r>
        <w:rPr>
          <w:spacing w:val="-4"/>
        </w:rPr>
        <w:t>本合同生</w:t>
      </w:r>
      <w:r>
        <w:rPr>
          <w:spacing w:val="-4"/>
        </w:rPr>
        <w:t>效</w:t>
      </w:r>
      <w:r>
        <w:rPr>
          <w:spacing w:val="-4"/>
        </w:rPr>
        <w:t>日</w:t>
      </w:r>
      <w:r>
        <w:rPr>
          <w:spacing w:val="-4"/>
        </w:rPr>
        <w:t>在</w:t>
      </w:r>
      <w:r>
        <w:rPr>
          <w:spacing w:val="-4"/>
        </w:rPr>
        <w:t>每</w:t>
      </w:r>
      <w:r>
        <w:rPr>
          <w:spacing w:val="-4"/>
        </w:rPr>
        <w:t>月</w:t>
      </w:r>
      <w:r>
        <w:rPr>
          <w:spacing w:val="-4"/>
        </w:rPr>
        <w:t>、</w:t>
      </w:r>
      <w:r>
        <w:rPr>
          <w:spacing w:val="-4"/>
        </w:rPr>
        <w:t>每</w:t>
      </w:r>
      <w:r>
        <w:rPr>
          <w:spacing w:val="-4"/>
        </w:rPr>
        <w:t>季</w:t>
      </w:r>
      <w:r>
        <w:rPr>
          <w:spacing w:val="-4"/>
        </w:rPr>
        <w:t>、每半年或每年（</w:t>
      </w:r>
      <w:r>
        <w:rPr>
          <w:spacing w:val="-4"/>
        </w:rPr>
        <w:t>根</w:t>
      </w:r>
      <w:r>
        <w:rPr>
          <w:spacing w:val="-4"/>
        </w:rPr>
        <w:t>据交费</w:t>
      </w:r>
      <w:r>
        <w:rPr>
          <w:spacing w:val="-4"/>
        </w:rPr>
        <w:t>方</w:t>
      </w:r>
      <w:r>
        <w:rPr>
          <w:spacing w:val="-4"/>
        </w:rPr>
        <w:t>式</w:t>
      </w:r>
      <w:r>
        <w:rPr>
          <w:spacing w:val="-4"/>
        </w:rPr>
        <w:t>确</w:t>
      </w:r>
      <w:r>
        <w:rPr>
          <w:spacing w:val="-4"/>
        </w:rPr>
        <w:t>定</w:t>
      </w:r>
      <w:r>
        <w:rPr>
          <w:spacing w:val="-4"/>
        </w:rPr>
        <w:t>）</w:t>
      </w:r>
      <w:r>
        <w:rPr>
          <w:spacing w:val="-2"/>
        </w:rPr>
        <w:t>的对应日。如果当月无对应的同一日，则以该月最后一日为对应日。</w:t>
      </w:r>
    </w:p>
    <w:p>
      <w:pPr>
        <w:pStyle w:val="BodyText"/>
        <w:spacing w:line="278" w:lineRule="auto"/>
        <w:ind w:left="686" w:right="1494" w:hanging="567"/>
      </w:pPr>
      <w:r>
        <w:rPr/>
        <w:t>(四) </w:t>
      </w:r>
      <w:r>
        <w:rPr>
          <w:b/>
        </w:rPr>
        <w:t>周</w:t>
      </w:r>
      <w:r>
        <w:rPr>
          <w:b/>
        </w:rPr>
        <w:t>岁</w:t>
      </w:r>
      <w:r>
        <w:rPr>
          <w:spacing w:val="-12"/>
        </w:rPr>
        <w:t>：指按法定身份证明文件中记载的出生日期计算的年龄，自出生之日起为零周岁，</w:t>
      </w:r>
      <w:r>
        <w:rPr>
          <w:spacing w:val="-2"/>
        </w:rPr>
        <w:t>每经过一年增加一岁，不足一年的不计。</w:t>
      </w:r>
    </w:p>
    <w:p>
      <w:pPr>
        <w:pStyle w:val="BodyText"/>
        <w:spacing w:line="278" w:lineRule="auto"/>
        <w:ind w:left="686" w:right="1595" w:hanging="567"/>
      </w:pPr>
      <w:r>
        <w:rPr>
          <w:spacing w:val="-3"/>
        </w:rPr>
        <w:t>(五) </w:t>
      </w:r>
      <w:r>
        <w:rPr>
          <w:b/>
        </w:rPr>
        <w:t>现</w:t>
      </w:r>
      <w:r>
        <w:rPr>
          <w:b/>
        </w:rPr>
        <w:t>金</w:t>
      </w:r>
      <w:r>
        <w:rPr>
          <w:b/>
        </w:rPr>
        <w:t>价</w:t>
      </w:r>
      <w:r>
        <w:rPr>
          <w:b/>
        </w:rPr>
        <w:t>值：</w:t>
      </w:r>
      <w:r>
        <w:rPr/>
        <w:t>指保险单的价值，通常体现为解除合</w:t>
      </w:r>
      <w:r>
        <w:rPr/>
        <w:t>同</w:t>
      </w:r>
      <w:r>
        <w:rPr/>
        <w:t>时</w:t>
      </w:r>
      <w:r>
        <w:rPr/>
        <w:t>，根据精算原理计算的，由本公</w:t>
      </w:r>
      <w:r>
        <w:rPr>
          <w:spacing w:val="-2"/>
        </w:rPr>
        <w:t>司退还的那部分金额。本合同保险单年度末的现金价值将在保险单上载明。</w:t>
      </w:r>
    </w:p>
    <w:p>
      <w:pPr>
        <w:spacing w:line="278" w:lineRule="auto" w:before="0"/>
        <w:ind w:left="120" w:right="1587" w:firstLine="0"/>
        <w:jc w:val="left"/>
        <w:rPr>
          <w:b/>
          <w:sz w:val="21"/>
        </w:rPr>
      </w:pPr>
      <w:r>
        <w:rPr>
          <w:spacing w:val="10"/>
          <w:sz w:val="21"/>
        </w:rPr>
        <w:t>(六) </w:t>
      </w:r>
      <w:r>
        <w:rPr>
          <w:b/>
          <w:sz w:val="21"/>
        </w:rPr>
        <w:t>交</w:t>
      </w:r>
      <w:r>
        <w:rPr>
          <w:b/>
          <w:sz w:val="21"/>
        </w:rPr>
        <w:t>费</w:t>
      </w:r>
      <w:r>
        <w:rPr>
          <w:b/>
          <w:sz w:val="21"/>
        </w:rPr>
        <w:t>期</w:t>
      </w:r>
      <w:r>
        <w:rPr>
          <w:b/>
          <w:sz w:val="21"/>
        </w:rPr>
        <w:t>满日</w:t>
      </w:r>
      <w:r>
        <w:rPr>
          <w:sz w:val="21"/>
        </w:rPr>
        <w:t>：指本合同最后一期应交保险费约定交纳日后的第一个保险单周年日。</w:t>
      </w:r>
      <w:r>
        <w:rPr>
          <w:spacing w:val="40"/>
          <w:sz w:val="21"/>
        </w:rPr>
        <w:t> </w:t>
      </w:r>
      <w:r>
        <w:rPr>
          <w:spacing w:val="-3"/>
          <w:sz w:val="21"/>
        </w:rPr>
        <w:t>(七) </w:t>
      </w:r>
      <w:r>
        <w:rPr>
          <w:b/>
          <w:sz w:val="21"/>
        </w:rPr>
        <w:t>丧</w:t>
      </w:r>
      <w:r>
        <w:rPr>
          <w:b/>
          <w:sz w:val="21"/>
        </w:rPr>
        <w:t>失</w:t>
      </w:r>
      <w:r>
        <w:rPr>
          <w:b/>
          <w:sz w:val="21"/>
        </w:rPr>
        <w:t>日</w:t>
      </w:r>
      <w:r>
        <w:rPr>
          <w:b/>
          <w:sz w:val="21"/>
        </w:rPr>
        <w:t>常</w:t>
      </w:r>
      <w:r>
        <w:rPr>
          <w:b/>
          <w:sz w:val="21"/>
        </w:rPr>
        <w:t>生</w:t>
      </w:r>
      <w:r>
        <w:rPr>
          <w:b/>
          <w:sz w:val="21"/>
        </w:rPr>
        <w:t>活</w:t>
      </w:r>
      <w:r>
        <w:rPr>
          <w:b/>
          <w:sz w:val="21"/>
        </w:rPr>
        <w:t>能</w:t>
      </w:r>
      <w:r>
        <w:rPr>
          <w:b/>
          <w:sz w:val="21"/>
        </w:rPr>
        <w:t>力</w:t>
      </w:r>
      <w:r>
        <w:rPr>
          <w:sz w:val="21"/>
        </w:rPr>
        <w:t>：被保</w:t>
      </w:r>
      <w:r>
        <w:rPr>
          <w:sz w:val="21"/>
        </w:rPr>
        <w:t>险</w:t>
      </w:r>
      <w:r>
        <w:rPr>
          <w:sz w:val="21"/>
        </w:rPr>
        <w:t>人</w:t>
      </w:r>
      <w:r>
        <w:rPr>
          <w:sz w:val="21"/>
        </w:rPr>
        <w:t>经</w:t>
      </w:r>
      <w:r>
        <w:rPr>
          <w:b/>
          <w:sz w:val="21"/>
        </w:rPr>
        <w:t>医</w:t>
      </w:r>
      <w:r>
        <w:rPr>
          <w:b/>
          <w:sz w:val="21"/>
        </w:rPr>
        <w:t>院</w:t>
      </w:r>
      <w:r>
        <w:rPr>
          <w:sz w:val="21"/>
        </w:rPr>
        <w:t>或司</w:t>
      </w:r>
      <w:r>
        <w:rPr>
          <w:sz w:val="21"/>
        </w:rPr>
        <w:t>法</w:t>
      </w:r>
      <w:r>
        <w:rPr>
          <w:sz w:val="21"/>
        </w:rPr>
        <w:t>鉴</w:t>
      </w:r>
      <w:r>
        <w:rPr>
          <w:sz w:val="21"/>
        </w:rPr>
        <w:t>定机构</w:t>
      </w:r>
      <w:r>
        <w:rPr>
          <w:sz w:val="21"/>
        </w:rPr>
        <w:t>诊</w:t>
      </w:r>
      <w:r>
        <w:rPr>
          <w:sz w:val="21"/>
        </w:rPr>
        <w:t>断</w:t>
      </w:r>
      <w:r>
        <w:rPr>
          <w:sz w:val="21"/>
        </w:rPr>
        <w:t>确</w:t>
      </w:r>
      <w:r>
        <w:rPr>
          <w:sz w:val="21"/>
        </w:rPr>
        <w:t>定</w:t>
      </w:r>
      <w:r>
        <w:rPr>
          <w:sz w:val="21"/>
        </w:rPr>
        <w:t>丧</w:t>
      </w:r>
      <w:r>
        <w:rPr>
          <w:sz w:val="21"/>
        </w:rPr>
        <w:t>失</w:t>
      </w:r>
      <w:r>
        <w:rPr>
          <w:sz w:val="21"/>
        </w:rPr>
        <w:t>独</w:t>
      </w:r>
      <w:r>
        <w:rPr>
          <w:sz w:val="21"/>
        </w:rPr>
        <w:t>立</w:t>
      </w:r>
      <w:r>
        <w:rPr>
          <w:sz w:val="21"/>
        </w:rPr>
        <w:t>完成</w:t>
      </w:r>
      <w:r>
        <w:rPr>
          <w:b/>
          <w:sz w:val="21"/>
        </w:rPr>
        <w:t>六</w:t>
      </w:r>
      <w:r>
        <w:rPr>
          <w:b/>
          <w:sz w:val="21"/>
        </w:rPr>
        <w:t>项</w:t>
      </w:r>
      <w:r>
        <w:rPr>
          <w:b/>
          <w:sz w:val="21"/>
        </w:rPr>
        <w:t>基</w:t>
      </w:r>
      <w:r>
        <w:rPr>
          <w:b/>
          <w:sz w:val="21"/>
        </w:rPr>
        <w:t>本</w:t>
      </w:r>
    </w:p>
    <w:p>
      <w:pPr>
        <w:spacing w:line="269" w:lineRule="exact" w:before="0"/>
        <w:ind w:left="686" w:right="0" w:firstLine="0"/>
        <w:jc w:val="left"/>
        <w:rPr>
          <w:sz w:val="21"/>
        </w:rPr>
      </w:pPr>
      <w:r>
        <w:rPr>
          <w:b/>
          <w:w w:val="95"/>
          <w:sz w:val="21"/>
        </w:rPr>
        <w:t>日</w:t>
      </w:r>
      <w:r>
        <w:rPr>
          <w:b/>
          <w:w w:val="95"/>
          <w:sz w:val="21"/>
        </w:rPr>
        <w:t>常</w:t>
      </w:r>
      <w:r>
        <w:rPr>
          <w:b/>
          <w:w w:val="95"/>
          <w:sz w:val="21"/>
        </w:rPr>
        <w:t>生</w:t>
      </w:r>
      <w:r>
        <w:rPr>
          <w:b/>
          <w:w w:val="95"/>
          <w:sz w:val="21"/>
        </w:rPr>
        <w:t>活</w:t>
      </w:r>
      <w:r>
        <w:rPr>
          <w:b/>
          <w:w w:val="95"/>
          <w:sz w:val="21"/>
        </w:rPr>
        <w:t>活</w:t>
      </w:r>
      <w:r>
        <w:rPr>
          <w:b/>
          <w:w w:val="95"/>
          <w:sz w:val="21"/>
        </w:rPr>
        <w:t>动</w:t>
      </w:r>
      <w:r>
        <w:rPr>
          <w:spacing w:val="-1"/>
          <w:w w:val="95"/>
          <w:sz w:val="21"/>
        </w:rPr>
        <w:t>中的三项或三项以上的活动能力。</w:t>
      </w:r>
    </w:p>
    <w:p>
      <w:pPr>
        <w:pStyle w:val="BodyText"/>
        <w:spacing w:line="278" w:lineRule="auto" w:before="42"/>
        <w:ind w:left="686" w:right="1597"/>
      </w:pPr>
      <w:r>
        <w:rPr/>
        <w:pict>
          <v:shape style="position:absolute;margin-left:463.350006pt;margin-top:32.300007pt;width:42.15pt;height:14.6pt;mso-position-horizontal-relative:page;mso-position-vertical-relative:paragraph;z-index:15758336" type="#_x0000_t202" id="docshape44" filled="true" fillcolor="#c0c0c0" stroked="false">
            <v:textbox inset="0,0,0,0">
              <w:txbxContent>
                <w:p>
                  <w:pPr>
                    <w:pStyle w:val="BodyText"/>
                    <w:spacing w:before="20"/>
                    <w:ind w:left="-1"/>
                    <w:rPr>
                      <w:color w:val="000000"/>
                    </w:rPr>
                  </w:pPr>
                  <w:r>
                    <w:rPr>
                      <w:color w:val="000000"/>
                      <w:spacing w:val="-3"/>
                      <w:w w:val="95"/>
                    </w:rPr>
                    <w:t>但不包括</w:t>
                  </w:r>
                </w:p>
              </w:txbxContent>
            </v:textbox>
            <v:fill type="solid"/>
            <w10:wrap type="none"/>
          </v:shape>
        </w:pict>
      </w:r>
      <w:r>
        <w:rPr>
          <w:spacing w:val="-4"/>
          <w:w w:val="99"/>
        </w:rPr>
        <w:t>若本公司或投保人、被保险人、受益人对医生诊断结果或鉴定结果有异议，则由双方</w:t>
      </w:r>
      <w:r>
        <w:rPr>
          <w:spacing w:val="-1"/>
          <w:w w:val="99"/>
        </w:rPr>
        <w:t>认可的有资质的鉴定机构进行再次鉴定。</w:t>
      </w:r>
    </w:p>
    <w:p>
      <w:pPr>
        <w:pStyle w:val="BodyText"/>
        <w:spacing w:line="269" w:lineRule="exact"/>
        <w:ind w:left="120"/>
      </w:pPr>
      <w:r>
        <w:rPr/>
        <w:pict>
          <v:shape style="position:absolute;margin-left:118.349998pt;margin-top:14.588757pt;width:387.15pt;height:14.6pt;mso-position-horizontal-relative:page;mso-position-vertical-relative:paragraph;z-index:-15699968;mso-wrap-distance-left:0;mso-wrap-distance-right:0" type="#_x0000_t202" id="docshape45" filled="true" fillcolor="#c0c0c0" stroked="false">
            <v:textbox inset="0,0,0,0">
              <w:txbxContent>
                <w:p>
                  <w:pPr>
                    <w:pStyle w:val="BodyText"/>
                    <w:spacing w:before="20"/>
                    <w:ind w:left="-1"/>
                    <w:rPr>
                      <w:color w:val="000000"/>
                    </w:rPr>
                  </w:pPr>
                  <w:r>
                    <w:rPr>
                      <w:color w:val="000000"/>
                      <w:w w:val="95"/>
                    </w:rPr>
                    <w:t>精神病院及专供康复、休养、戒毒、戒酒、护理、养老等非以直接诊治病</w:t>
                  </w:r>
                  <w:r>
                    <w:rPr>
                      <w:color w:val="000000"/>
                      <w:w w:val="95"/>
                    </w:rPr>
                    <w:t>人</w:t>
                  </w:r>
                  <w:r>
                    <w:rPr>
                      <w:color w:val="000000"/>
                      <w:w w:val="95"/>
                    </w:rPr>
                    <w:t>为</w:t>
                  </w:r>
                  <w:r>
                    <w:rPr>
                      <w:color w:val="000000"/>
                      <w:spacing w:val="-4"/>
                      <w:w w:val="95"/>
                    </w:rPr>
                    <w:t>目的的</w:t>
                  </w:r>
                </w:p>
              </w:txbxContent>
            </v:textbox>
            <v:fill type="solid"/>
            <w10:wrap type="topAndBottom"/>
          </v:shape>
        </w:pict>
      </w:r>
      <w:r>
        <w:rPr>
          <w:w w:val="95"/>
        </w:rPr>
        <w:t>(八)</w:t>
      </w:r>
      <w:r>
        <w:rPr>
          <w:spacing w:val="61"/>
          <w:w w:val="150"/>
        </w:rPr>
        <w:t>  </w:t>
      </w:r>
      <w:r>
        <w:rPr>
          <w:b/>
          <w:w w:val="95"/>
        </w:rPr>
        <w:t>医</w:t>
      </w:r>
      <w:r>
        <w:rPr>
          <w:b/>
          <w:w w:val="95"/>
        </w:rPr>
        <w:t>院</w:t>
      </w:r>
      <w:r>
        <w:rPr>
          <w:b/>
          <w:w w:val="95"/>
        </w:rPr>
        <w:t>：</w:t>
      </w:r>
      <w:r>
        <w:rPr>
          <w:w w:val="95"/>
        </w:rPr>
        <w:t>指中华人民共和国卫生部门评审确定的二级或</w:t>
      </w:r>
      <w:r>
        <w:rPr>
          <w:w w:val="95"/>
        </w:rPr>
        <w:t>二</w:t>
      </w:r>
      <w:r>
        <w:rPr>
          <w:w w:val="95"/>
        </w:rPr>
        <w:t>级</w:t>
      </w:r>
      <w:r>
        <w:rPr>
          <w:w w:val="95"/>
        </w:rPr>
        <w:t>以上的公立</w:t>
      </w:r>
      <w:r>
        <w:rPr>
          <w:w w:val="95"/>
        </w:rPr>
        <w:t>医</w:t>
      </w:r>
      <w:r>
        <w:rPr>
          <w:w w:val="95"/>
        </w:rPr>
        <w:t>院</w:t>
      </w:r>
      <w:r>
        <w:rPr>
          <w:spacing w:val="-10"/>
          <w:w w:val="95"/>
        </w:rPr>
        <w:t>，</w:t>
      </w:r>
    </w:p>
    <w:p>
      <w:pPr>
        <w:pStyle w:val="BodyText"/>
        <w:ind w:left="687"/>
        <w:rPr>
          <w:sz w:val="20"/>
        </w:rPr>
      </w:pPr>
      <w:r>
        <w:rPr>
          <w:sz w:val="20"/>
        </w:rPr>
        <w:pict>
          <v:shape style="width:52.5pt;height:14.6pt;mso-position-horizontal-relative:char;mso-position-vertical-relative:line" type="#_x0000_t202" id="docshape46" filled="true" fillcolor="#c0c0c0" stroked="false">
            <w10:anchorlock/>
            <v:textbox inset="0,0,0,0">
              <w:txbxContent>
                <w:p>
                  <w:pPr>
                    <w:pStyle w:val="BodyText"/>
                    <w:spacing w:before="20"/>
                    <w:ind w:left="-1"/>
                    <w:rPr>
                      <w:color w:val="000000"/>
                    </w:rPr>
                  </w:pPr>
                  <w:r>
                    <w:rPr>
                      <w:color w:val="000000"/>
                      <w:spacing w:val="-4"/>
                      <w:w w:val="95"/>
                    </w:rPr>
                    <w:t>医疗机构。</w:t>
                  </w:r>
                </w:p>
              </w:txbxContent>
            </v:textbox>
            <v:fill type="solid"/>
          </v:shape>
        </w:pict>
      </w:r>
      <w:r>
        <w:rPr>
          <w:sz w:val="20"/>
        </w:rPr>
      </w:r>
    </w:p>
    <w:p>
      <w:pPr>
        <w:pStyle w:val="BodyText"/>
        <w:spacing w:line="278" w:lineRule="auto" w:before="37"/>
        <w:ind w:left="686" w:right="1599"/>
      </w:pPr>
      <w:r>
        <w:rPr>
          <w:spacing w:val="-2"/>
          <w:w w:val="99"/>
        </w:rPr>
        <w:t>该医院必须具有符合国家有关医院管理规则设置标准的医疗设备，且全天二十四小时</w:t>
      </w:r>
      <w:r>
        <w:rPr>
          <w:spacing w:val="-1"/>
          <w:w w:val="99"/>
        </w:rPr>
        <w:t>有合格医师及护士驻院提供医疗及护理服务。</w:t>
      </w:r>
    </w:p>
    <w:p>
      <w:pPr>
        <w:spacing w:line="269" w:lineRule="exact" w:before="0"/>
        <w:ind w:left="120" w:right="0" w:firstLine="0"/>
        <w:jc w:val="left"/>
        <w:rPr>
          <w:b/>
          <w:sz w:val="21"/>
        </w:rPr>
      </w:pPr>
      <w:r>
        <w:rPr>
          <w:spacing w:val="7"/>
          <w:sz w:val="21"/>
        </w:rPr>
        <w:t>(九) </w:t>
      </w:r>
      <w:r>
        <w:rPr>
          <w:b/>
          <w:sz w:val="21"/>
        </w:rPr>
        <w:t>六</w:t>
      </w:r>
      <w:r>
        <w:rPr>
          <w:b/>
          <w:sz w:val="21"/>
        </w:rPr>
        <w:t>项</w:t>
      </w:r>
      <w:r>
        <w:rPr>
          <w:b/>
          <w:sz w:val="21"/>
        </w:rPr>
        <w:t>基</w:t>
      </w:r>
      <w:r>
        <w:rPr>
          <w:b/>
          <w:sz w:val="21"/>
        </w:rPr>
        <w:t>本</w:t>
      </w:r>
      <w:r>
        <w:rPr>
          <w:b/>
          <w:sz w:val="21"/>
        </w:rPr>
        <w:t>日</w:t>
      </w:r>
      <w:r>
        <w:rPr>
          <w:b/>
          <w:sz w:val="21"/>
        </w:rPr>
        <w:t>常</w:t>
      </w:r>
      <w:r>
        <w:rPr>
          <w:b/>
          <w:sz w:val="21"/>
        </w:rPr>
        <w:t>生</w:t>
      </w:r>
      <w:r>
        <w:rPr>
          <w:b/>
          <w:sz w:val="21"/>
        </w:rPr>
        <w:t>活</w:t>
      </w:r>
      <w:r>
        <w:rPr>
          <w:b/>
          <w:sz w:val="21"/>
        </w:rPr>
        <w:t>活</w:t>
      </w:r>
      <w:r>
        <w:rPr>
          <w:b/>
          <w:spacing w:val="-5"/>
          <w:sz w:val="21"/>
        </w:rPr>
        <w:t>动：</w:t>
      </w:r>
    </w:p>
    <w:p>
      <w:pPr>
        <w:pStyle w:val="ListParagraph"/>
        <w:numPr>
          <w:ilvl w:val="1"/>
          <w:numId w:val="11"/>
        </w:numPr>
        <w:tabs>
          <w:tab w:pos="898" w:val="left" w:leader="none"/>
        </w:tabs>
        <w:spacing w:line="240" w:lineRule="auto" w:before="43" w:after="0"/>
        <w:ind w:left="897" w:right="0" w:hanging="212"/>
        <w:jc w:val="left"/>
        <w:rPr>
          <w:sz w:val="21"/>
        </w:rPr>
      </w:pPr>
      <w:r>
        <w:rPr>
          <w:spacing w:val="-1"/>
          <w:w w:val="95"/>
          <w:sz w:val="21"/>
        </w:rPr>
        <w:t>穿衣：自己能够穿衣及脱衣。</w:t>
      </w:r>
    </w:p>
    <w:p>
      <w:pPr>
        <w:pStyle w:val="ListParagraph"/>
        <w:numPr>
          <w:ilvl w:val="1"/>
          <w:numId w:val="11"/>
        </w:numPr>
        <w:tabs>
          <w:tab w:pos="898" w:val="left" w:leader="none"/>
        </w:tabs>
        <w:spacing w:line="240" w:lineRule="auto" w:before="43" w:after="0"/>
        <w:ind w:left="897" w:right="0" w:hanging="212"/>
        <w:jc w:val="left"/>
        <w:rPr>
          <w:sz w:val="21"/>
        </w:rPr>
      </w:pPr>
      <w:r>
        <w:rPr>
          <w:spacing w:val="-1"/>
          <w:w w:val="95"/>
          <w:sz w:val="21"/>
        </w:rPr>
        <w:t>移动：自己从一个房间到另一个房间。</w:t>
      </w:r>
    </w:p>
    <w:p>
      <w:pPr>
        <w:pStyle w:val="ListParagraph"/>
        <w:numPr>
          <w:ilvl w:val="1"/>
          <w:numId w:val="11"/>
        </w:numPr>
        <w:tabs>
          <w:tab w:pos="898" w:val="left" w:leader="none"/>
        </w:tabs>
        <w:spacing w:line="240" w:lineRule="auto" w:before="43" w:after="0"/>
        <w:ind w:left="897" w:right="0" w:hanging="212"/>
        <w:jc w:val="left"/>
        <w:rPr>
          <w:sz w:val="21"/>
        </w:rPr>
      </w:pPr>
      <w:r>
        <w:rPr>
          <w:spacing w:val="-1"/>
          <w:w w:val="95"/>
          <w:sz w:val="21"/>
        </w:rPr>
        <w:t>行动：自己上下床或上下轮椅。</w:t>
      </w:r>
    </w:p>
    <w:p>
      <w:pPr>
        <w:pStyle w:val="ListParagraph"/>
        <w:numPr>
          <w:ilvl w:val="1"/>
          <w:numId w:val="11"/>
        </w:numPr>
        <w:tabs>
          <w:tab w:pos="898" w:val="left" w:leader="none"/>
        </w:tabs>
        <w:spacing w:line="240" w:lineRule="auto" w:before="42" w:after="0"/>
        <w:ind w:left="897" w:right="0" w:hanging="212"/>
        <w:jc w:val="left"/>
        <w:rPr>
          <w:sz w:val="21"/>
        </w:rPr>
      </w:pPr>
      <w:r>
        <w:rPr>
          <w:spacing w:val="-1"/>
          <w:w w:val="95"/>
          <w:sz w:val="21"/>
        </w:rPr>
        <w:t>如厕：自己控制进行大小便。</w:t>
      </w:r>
    </w:p>
    <w:p>
      <w:pPr>
        <w:pStyle w:val="ListParagraph"/>
        <w:numPr>
          <w:ilvl w:val="1"/>
          <w:numId w:val="11"/>
        </w:numPr>
        <w:tabs>
          <w:tab w:pos="898" w:val="left" w:leader="none"/>
        </w:tabs>
        <w:spacing w:line="240" w:lineRule="auto" w:before="43" w:after="0"/>
        <w:ind w:left="897" w:right="0" w:hanging="212"/>
        <w:jc w:val="left"/>
        <w:rPr>
          <w:sz w:val="21"/>
        </w:rPr>
      </w:pPr>
      <w:r>
        <w:rPr>
          <w:spacing w:val="-1"/>
          <w:w w:val="95"/>
          <w:sz w:val="21"/>
        </w:rPr>
        <w:t>进食：自己从已准备好的碗或碟中取食物放入口中。</w:t>
      </w:r>
    </w:p>
    <w:p>
      <w:pPr>
        <w:pStyle w:val="ListParagraph"/>
        <w:numPr>
          <w:ilvl w:val="1"/>
          <w:numId w:val="11"/>
        </w:numPr>
        <w:tabs>
          <w:tab w:pos="898" w:val="left" w:leader="none"/>
        </w:tabs>
        <w:spacing w:line="240" w:lineRule="auto" w:before="43" w:after="0"/>
        <w:ind w:left="897" w:right="0" w:hanging="212"/>
        <w:jc w:val="left"/>
        <w:rPr>
          <w:sz w:val="21"/>
        </w:rPr>
      </w:pPr>
      <w:r>
        <w:rPr>
          <w:spacing w:val="-1"/>
          <w:w w:val="95"/>
          <w:sz w:val="21"/>
        </w:rPr>
        <w:t>洗澡：自己进行淋浴或盆浴。</w:t>
      </w:r>
    </w:p>
    <w:p>
      <w:pPr>
        <w:spacing w:after="0" w:line="240" w:lineRule="auto"/>
        <w:jc w:val="left"/>
        <w:rPr>
          <w:sz w:val="21"/>
        </w:rPr>
        <w:sectPr>
          <w:pgSz w:w="11910" w:h="16840"/>
          <w:pgMar w:header="0" w:footer="991" w:top="1400" w:bottom="1180" w:left="1680" w:right="200"/>
        </w:sectPr>
      </w:pPr>
    </w:p>
    <w:p>
      <w:pPr>
        <w:pStyle w:val="BodyText"/>
        <w:spacing w:before="43"/>
        <w:ind w:left="120"/>
      </w:pPr>
      <w:r>
        <w:rPr>
          <w:w w:val="95"/>
        </w:rPr>
        <w:t>(十)</w:t>
      </w:r>
      <w:r>
        <w:rPr>
          <w:spacing w:val="57"/>
        </w:rPr>
        <w:t>  </w:t>
      </w:r>
      <w:r>
        <w:rPr>
          <w:b/>
          <w:w w:val="95"/>
        </w:rPr>
        <w:t>观</w:t>
      </w:r>
      <w:r>
        <w:rPr>
          <w:b/>
          <w:w w:val="95"/>
        </w:rPr>
        <w:t>察</w:t>
      </w:r>
      <w:r>
        <w:rPr>
          <w:b/>
          <w:w w:val="95"/>
        </w:rPr>
        <w:t>期</w:t>
      </w:r>
      <w:r>
        <w:rPr>
          <w:w w:val="95"/>
        </w:rPr>
        <w:t>：被保险人经诊断确定丧失日常生活能力之日起连续</w:t>
      </w:r>
      <w:r>
        <w:rPr>
          <w:spacing w:val="10"/>
        </w:rPr>
        <w:t> </w:t>
      </w:r>
      <w:r>
        <w:rPr>
          <w:w w:val="95"/>
        </w:rPr>
        <w:t>180</w:t>
      </w:r>
      <w:r>
        <w:rPr>
          <w:spacing w:val="8"/>
        </w:rPr>
        <w:t> </w:t>
      </w:r>
      <w:r>
        <w:rPr>
          <w:spacing w:val="-2"/>
          <w:w w:val="95"/>
        </w:rPr>
        <w:t>日的期间。</w:t>
      </w:r>
    </w:p>
    <w:p>
      <w:pPr>
        <w:pStyle w:val="BodyText"/>
        <w:spacing w:line="278" w:lineRule="auto" w:before="43"/>
        <w:ind w:left="840" w:right="1491" w:hanging="720"/>
      </w:pPr>
      <w:r>
        <w:rPr>
          <w:w w:val="99"/>
        </w:rPr>
        <w:t>(十一)</w:t>
      </w:r>
      <w:r>
        <w:rPr>
          <w:spacing w:val="-28"/>
        </w:rPr>
        <w:t> </w:t>
      </w:r>
      <w:r>
        <w:rPr>
          <w:b/>
          <w:spacing w:val="2"/>
          <w:w w:val="99"/>
        </w:rPr>
        <w:t>毒品</w:t>
      </w:r>
      <w:r>
        <w:rPr>
          <w:spacing w:val="-11"/>
          <w:w w:val="99"/>
        </w:rPr>
        <w:t>：指《中华人民共和国刑法》规定的鸦片、海洛因、甲基苯丙胺</w:t>
      </w:r>
      <w:r>
        <w:rPr>
          <w:spacing w:val="-1"/>
          <w:w w:val="99"/>
        </w:rPr>
        <w:t>（</w:t>
      </w:r>
      <w:r>
        <w:rPr>
          <w:w w:val="99"/>
        </w:rPr>
        <w:t>冰毒</w:t>
      </w:r>
      <w:r>
        <w:rPr>
          <w:spacing w:val="-106"/>
          <w:w w:val="99"/>
        </w:rPr>
        <w:t>）</w:t>
      </w:r>
      <w:r>
        <w:rPr>
          <w:spacing w:val="-6"/>
          <w:w w:val="99"/>
        </w:rPr>
        <w:t>、吗啡、</w:t>
      </w:r>
      <w:r>
        <w:rPr>
          <w:spacing w:val="-1"/>
          <w:w w:val="99"/>
        </w:rPr>
        <w:t>大麻、可卡因以及国家规定管制的其他能够使人形成瘾癖的麻醉药品和精神药品。但不包括由医生开具并遵医嘱使用的用于治疗疾病但含有毒品成分的处方药品。</w:t>
      </w:r>
    </w:p>
    <w:p>
      <w:pPr>
        <w:pStyle w:val="BodyText"/>
        <w:spacing w:line="278" w:lineRule="auto"/>
        <w:ind w:left="840" w:right="1597" w:hanging="720"/>
        <w:jc w:val="both"/>
      </w:pPr>
      <w:r>
        <w:rPr>
          <w:w w:val="99"/>
        </w:rPr>
        <w:t>(十二)</w:t>
      </w:r>
      <w:r>
        <w:rPr>
          <w:spacing w:val="-16"/>
        </w:rPr>
        <w:t> </w:t>
      </w:r>
      <w:r>
        <w:rPr>
          <w:b/>
          <w:spacing w:val="2"/>
          <w:w w:val="99"/>
        </w:rPr>
        <w:t>酒后驾驶</w:t>
      </w:r>
      <w:r>
        <w:rPr>
          <w:spacing w:val="-1"/>
          <w:w w:val="99"/>
        </w:rPr>
        <w:t>：指经检测或鉴定，发生事故时车辆驾驶人员每百毫升血液中的酒精含量达到或超过一定的标准，公安机关交通管理部门依据《中华人民共和国道路交通安全法》的规定认定为饮酒后驾驶或醉酒后驾驶。</w:t>
      </w:r>
    </w:p>
    <w:p>
      <w:pPr>
        <w:spacing w:line="269" w:lineRule="exact" w:before="0"/>
        <w:ind w:left="120" w:right="0" w:firstLine="0"/>
        <w:jc w:val="both"/>
        <w:rPr>
          <w:sz w:val="21"/>
        </w:rPr>
      </w:pPr>
      <w:r>
        <w:rPr>
          <w:w w:val="95"/>
          <w:sz w:val="21"/>
        </w:rPr>
        <w:t>(十三)</w:t>
      </w:r>
      <w:r>
        <w:rPr>
          <w:spacing w:val="37"/>
          <w:sz w:val="21"/>
        </w:rPr>
        <w:t>  </w:t>
      </w:r>
      <w:r>
        <w:rPr>
          <w:b/>
          <w:w w:val="95"/>
          <w:sz w:val="21"/>
        </w:rPr>
        <w:t>无</w:t>
      </w:r>
      <w:r>
        <w:rPr>
          <w:b/>
          <w:w w:val="95"/>
          <w:sz w:val="21"/>
        </w:rPr>
        <w:t>合</w:t>
      </w:r>
      <w:r>
        <w:rPr>
          <w:b/>
          <w:w w:val="95"/>
          <w:sz w:val="21"/>
        </w:rPr>
        <w:t>法</w:t>
      </w:r>
      <w:r>
        <w:rPr>
          <w:b/>
          <w:w w:val="95"/>
          <w:sz w:val="21"/>
        </w:rPr>
        <w:t>有</w:t>
      </w:r>
      <w:r>
        <w:rPr>
          <w:b/>
          <w:w w:val="95"/>
          <w:sz w:val="21"/>
        </w:rPr>
        <w:t>效</w:t>
      </w:r>
      <w:r>
        <w:rPr>
          <w:b/>
          <w:w w:val="95"/>
          <w:sz w:val="21"/>
        </w:rPr>
        <w:t>驾</w:t>
      </w:r>
      <w:r>
        <w:rPr>
          <w:b/>
          <w:w w:val="95"/>
          <w:sz w:val="21"/>
        </w:rPr>
        <w:t>驶</w:t>
      </w:r>
      <w:r>
        <w:rPr>
          <w:b/>
          <w:w w:val="95"/>
          <w:sz w:val="21"/>
        </w:rPr>
        <w:t>证</w:t>
      </w:r>
      <w:r>
        <w:rPr>
          <w:b/>
          <w:w w:val="95"/>
          <w:sz w:val="21"/>
        </w:rPr>
        <w:t>驾</w:t>
      </w:r>
      <w:r>
        <w:rPr>
          <w:b/>
          <w:w w:val="95"/>
          <w:sz w:val="21"/>
        </w:rPr>
        <w:t>驶</w:t>
      </w:r>
      <w:r>
        <w:rPr>
          <w:spacing w:val="-2"/>
          <w:w w:val="95"/>
          <w:sz w:val="21"/>
        </w:rPr>
        <w:t>：指下列情形之一：</w:t>
      </w:r>
    </w:p>
    <w:p>
      <w:pPr>
        <w:pStyle w:val="ListParagraph"/>
        <w:numPr>
          <w:ilvl w:val="2"/>
          <w:numId w:val="11"/>
        </w:numPr>
        <w:tabs>
          <w:tab w:pos="1114" w:val="left" w:leader="none"/>
        </w:tabs>
        <w:spacing w:line="240" w:lineRule="auto" w:before="43" w:after="0"/>
        <w:ind w:left="1113" w:right="0" w:hanging="286"/>
        <w:jc w:val="left"/>
        <w:rPr>
          <w:sz w:val="21"/>
        </w:rPr>
      </w:pPr>
      <w:r>
        <w:rPr>
          <w:spacing w:val="-2"/>
          <w:w w:val="95"/>
          <w:sz w:val="21"/>
        </w:rPr>
        <w:t>没有取得驾驶资格；</w:t>
      </w:r>
    </w:p>
    <w:p>
      <w:pPr>
        <w:pStyle w:val="ListParagraph"/>
        <w:numPr>
          <w:ilvl w:val="2"/>
          <w:numId w:val="11"/>
        </w:numPr>
        <w:tabs>
          <w:tab w:pos="1114" w:val="left" w:leader="none"/>
        </w:tabs>
        <w:spacing w:line="240" w:lineRule="auto" w:before="43" w:after="0"/>
        <w:ind w:left="1113" w:right="0" w:hanging="286"/>
        <w:jc w:val="left"/>
        <w:rPr>
          <w:sz w:val="21"/>
        </w:rPr>
      </w:pPr>
      <w:r>
        <w:rPr>
          <w:spacing w:val="-1"/>
          <w:w w:val="95"/>
          <w:sz w:val="21"/>
        </w:rPr>
        <w:t>持已过期或已注销驾驶证驾驶；</w:t>
      </w:r>
    </w:p>
    <w:p>
      <w:pPr>
        <w:pStyle w:val="ListParagraph"/>
        <w:numPr>
          <w:ilvl w:val="2"/>
          <w:numId w:val="11"/>
        </w:numPr>
        <w:tabs>
          <w:tab w:pos="1114" w:val="left" w:leader="none"/>
        </w:tabs>
        <w:spacing w:line="240" w:lineRule="auto" w:before="43" w:after="0"/>
        <w:ind w:left="1113" w:right="0" w:hanging="286"/>
        <w:jc w:val="left"/>
        <w:rPr>
          <w:sz w:val="21"/>
        </w:rPr>
      </w:pPr>
      <w:r>
        <w:rPr>
          <w:spacing w:val="-1"/>
          <w:w w:val="95"/>
          <w:sz w:val="21"/>
        </w:rPr>
        <w:t>驾驶与驾驶证准驾车型不相符合的车辆；</w:t>
      </w:r>
    </w:p>
    <w:p>
      <w:pPr>
        <w:pStyle w:val="ListParagraph"/>
        <w:numPr>
          <w:ilvl w:val="2"/>
          <w:numId w:val="11"/>
        </w:numPr>
        <w:tabs>
          <w:tab w:pos="1114" w:val="left" w:leader="none"/>
        </w:tabs>
        <w:spacing w:line="240" w:lineRule="auto" w:before="42" w:after="0"/>
        <w:ind w:left="1113" w:right="0" w:hanging="286"/>
        <w:jc w:val="left"/>
        <w:rPr>
          <w:sz w:val="21"/>
        </w:rPr>
      </w:pPr>
      <w:r>
        <w:rPr>
          <w:spacing w:val="-1"/>
          <w:w w:val="95"/>
          <w:sz w:val="21"/>
        </w:rPr>
        <w:t>持审验不合格的驾驶证驾驶；</w:t>
      </w:r>
    </w:p>
    <w:p>
      <w:pPr>
        <w:pStyle w:val="ListParagraph"/>
        <w:numPr>
          <w:ilvl w:val="2"/>
          <w:numId w:val="11"/>
        </w:numPr>
        <w:tabs>
          <w:tab w:pos="1114" w:val="left" w:leader="none"/>
        </w:tabs>
        <w:spacing w:line="278" w:lineRule="auto" w:before="43" w:after="0"/>
        <w:ind w:left="120" w:right="1494" w:firstLine="708"/>
        <w:jc w:val="left"/>
        <w:rPr>
          <w:sz w:val="21"/>
        </w:rPr>
      </w:pPr>
      <w:r>
        <w:rPr>
          <w:spacing w:val="-2"/>
          <w:w w:val="95"/>
          <w:sz w:val="21"/>
        </w:rPr>
        <w:t>持学习驾驶证学习驾车时，无教练员随车指导，或不按指定时间、路线学习驾车。</w:t>
      </w:r>
      <w:r>
        <w:rPr>
          <w:spacing w:val="40"/>
          <w:sz w:val="21"/>
        </w:rPr>
        <w:t>  </w:t>
      </w:r>
      <w:r>
        <w:rPr>
          <w:sz w:val="21"/>
        </w:rPr>
        <w:t>(十四) </w:t>
      </w:r>
      <w:r>
        <w:rPr>
          <w:b/>
          <w:sz w:val="21"/>
        </w:rPr>
        <w:t>无合法有效行驶证</w:t>
      </w:r>
      <w:r>
        <w:rPr>
          <w:sz w:val="21"/>
        </w:rPr>
        <w:t>：指下列情形之一：</w:t>
      </w:r>
    </w:p>
    <w:p>
      <w:pPr>
        <w:pStyle w:val="ListParagraph"/>
        <w:numPr>
          <w:ilvl w:val="0"/>
          <w:numId w:val="12"/>
        </w:numPr>
        <w:tabs>
          <w:tab w:pos="1066" w:val="left" w:leader="none"/>
        </w:tabs>
        <w:spacing w:line="269" w:lineRule="exact" w:before="0" w:after="0"/>
        <w:ind w:left="1065" w:right="0" w:hanging="238"/>
        <w:jc w:val="left"/>
        <w:rPr>
          <w:sz w:val="21"/>
        </w:rPr>
      </w:pPr>
      <w:r>
        <w:rPr>
          <w:spacing w:val="-2"/>
          <w:w w:val="95"/>
          <w:sz w:val="21"/>
        </w:rPr>
        <w:t>没有机动车行驶证；</w:t>
      </w:r>
    </w:p>
    <w:p>
      <w:pPr>
        <w:pStyle w:val="ListParagraph"/>
        <w:numPr>
          <w:ilvl w:val="0"/>
          <w:numId w:val="12"/>
        </w:numPr>
        <w:tabs>
          <w:tab w:pos="1066" w:val="left" w:leader="none"/>
        </w:tabs>
        <w:spacing w:line="240" w:lineRule="auto" w:before="43" w:after="0"/>
        <w:ind w:left="1065" w:right="0" w:hanging="238"/>
        <w:jc w:val="left"/>
        <w:rPr>
          <w:sz w:val="21"/>
        </w:rPr>
      </w:pPr>
      <w:r>
        <w:rPr>
          <w:spacing w:val="-1"/>
          <w:w w:val="95"/>
          <w:sz w:val="21"/>
        </w:rPr>
        <w:t>机动车被依法注销登记；</w:t>
      </w:r>
    </w:p>
    <w:p>
      <w:pPr>
        <w:pStyle w:val="ListParagraph"/>
        <w:numPr>
          <w:ilvl w:val="0"/>
          <w:numId w:val="12"/>
        </w:numPr>
        <w:tabs>
          <w:tab w:pos="1066" w:val="left" w:leader="none"/>
        </w:tabs>
        <w:spacing w:line="240" w:lineRule="auto" w:before="43" w:after="0"/>
        <w:ind w:left="1065" w:right="0" w:hanging="238"/>
        <w:jc w:val="left"/>
        <w:rPr>
          <w:sz w:val="21"/>
        </w:rPr>
      </w:pPr>
      <w:r>
        <w:rPr>
          <w:spacing w:val="-1"/>
          <w:w w:val="95"/>
          <w:sz w:val="21"/>
        </w:rPr>
        <w:t>未在法律规定期限内按时进行或通过安全技术检验。</w:t>
      </w:r>
    </w:p>
    <w:p>
      <w:pPr>
        <w:pStyle w:val="BodyText"/>
        <w:spacing w:line="278" w:lineRule="auto" w:before="43"/>
        <w:ind w:left="840" w:right="1595" w:hanging="720"/>
        <w:jc w:val="both"/>
      </w:pPr>
      <w:r>
        <w:rPr>
          <w:w w:val="99"/>
        </w:rPr>
        <w:t>(十五)</w:t>
      </w:r>
      <w:r>
        <w:rPr>
          <w:spacing w:val="-16"/>
        </w:rPr>
        <w:t> </w:t>
      </w:r>
      <w:r>
        <w:rPr>
          <w:b/>
          <w:spacing w:val="2"/>
          <w:w w:val="99"/>
        </w:rPr>
        <w:t>遗传性疾病：</w:t>
      </w:r>
      <w:r>
        <w:rPr>
          <w:spacing w:val="-1"/>
          <w:w w:val="99"/>
        </w:rPr>
        <w:t>指生殖细胞或受精卵的遗传物质</w:t>
      </w:r>
      <w:r>
        <w:rPr>
          <w:spacing w:val="2"/>
          <w:w w:val="99"/>
        </w:rPr>
        <w:t>（</w:t>
      </w:r>
      <w:r>
        <w:rPr>
          <w:spacing w:val="1"/>
          <w:w w:val="99"/>
        </w:rPr>
        <w:t>染色体和基因</w:t>
      </w:r>
      <w:r>
        <w:rPr>
          <w:spacing w:val="2"/>
          <w:w w:val="99"/>
        </w:rPr>
        <w:t>）</w:t>
      </w:r>
      <w:r>
        <w:rPr>
          <w:spacing w:val="-1"/>
          <w:w w:val="99"/>
        </w:rPr>
        <w:t>发生突变或畸变所引起的疾病，通常具有由亲代传至后代的垂直传递的特征。</w:t>
      </w:r>
    </w:p>
    <w:p>
      <w:pPr>
        <w:pStyle w:val="BodyText"/>
        <w:spacing w:line="278" w:lineRule="auto"/>
        <w:ind w:left="840" w:right="1588" w:hanging="720"/>
        <w:jc w:val="both"/>
      </w:pPr>
      <w:r>
        <w:rPr>
          <w:w w:val="99"/>
        </w:rPr>
        <w:t>(十六)</w:t>
      </w:r>
      <w:r>
        <w:rPr>
          <w:spacing w:val="-16"/>
        </w:rPr>
        <w:t> </w:t>
      </w:r>
      <w:r>
        <w:rPr>
          <w:b/>
          <w:spacing w:val="2"/>
          <w:w w:val="99"/>
        </w:rPr>
        <w:t>先天性畸形、变形或染色体异常：</w:t>
      </w:r>
      <w:r>
        <w:rPr>
          <w:spacing w:val="-1"/>
          <w:w w:val="99"/>
        </w:rPr>
        <w:t>指被保险人出生时就具有的畸形、变形或染色体异常。先天性畸形、变形和染色体异常依照世界卫生组织《疾病和有关健康问题的国际统计分类》第十次修订版</w:t>
      </w:r>
      <w:r>
        <w:rPr>
          <w:spacing w:val="2"/>
          <w:w w:val="99"/>
        </w:rPr>
        <w:t>（</w:t>
      </w:r>
      <w:r>
        <w:rPr>
          <w:spacing w:val="1"/>
          <w:w w:val="99"/>
        </w:rPr>
        <w:t>ICD</w:t>
      </w:r>
      <w:r>
        <w:rPr>
          <w:spacing w:val="-2"/>
          <w:w w:val="99"/>
        </w:rPr>
        <w:t>-</w:t>
      </w:r>
      <w:r>
        <w:rPr>
          <w:spacing w:val="1"/>
          <w:w w:val="99"/>
        </w:rPr>
        <w:t>1</w:t>
      </w:r>
      <w:r>
        <w:rPr>
          <w:spacing w:val="-2"/>
          <w:w w:val="99"/>
        </w:rPr>
        <w:t>0</w:t>
      </w:r>
      <w:r>
        <w:rPr>
          <w:spacing w:val="-1"/>
          <w:w w:val="99"/>
        </w:rPr>
        <w:t>）</w:t>
      </w:r>
      <w:r>
        <w:rPr>
          <w:w w:val="99"/>
        </w:rPr>
        <w:t>确定。</w:t>
      </w:r>
    </w:p>
    <w:p>
      <w:pPr>
        <w:pStyle w:val="BodyText"/>
        <w:spacing w:line="278" w:lineRule="auto"/>
        <w:ind w:left="840" w:right="1587" w:hanging="720"/>
        <w:jc w:val="both"/>
      </w:pPr>
      <w:r>
        <w:rPr>
          <w:w w:val="99"/>
        </w:rPr>
        <w:t>(十七)</w:t>
      </w:r>
      <w:r>
        <w:rPr>
          <w:spacing w:val="-16"/>
        </w:rPr>
        <w:t> </w:t>
      </w:r>
      <w:r>
        <w:rPr>
          <w:b/>
          <w:spacing w:val="2"/>
          <w:w w:val="99"/>
        </w:rPr>
        <w:t>感染艾滋病病毒或患艾滋病：</w:t>
      </w:r>
      <w:r>
        <w:rPr>
          <w:spacing w:val="1"/>
          <w:w w:val="99"/>
        </w:rPr>
        <w:t>艾滋病病毒指人类免疫缺陷病毒，英文缩写为</w:t>
      </w:r>
      <w:r>
        <w:rPr>
          <w:spacing w:val="-50"/>
        </w:rPr>
        <w:t> </w:t>
      </w:r>
      <w:r>
        <w:rPr>
          <w:spacing w:val="1"/>
          <w:w w:val="99"/>
        </w:rPr>
        <w:t>HI</w:t>
      </w:r>
      <w:r>
        <w:rPr>
          <w:spacing w:val="3"/>
          <w:w w:val="99"/>
        </w:rPr>
        <w:t>V</w:t>
      </w:r>
      <w:r>
        <w:rPr>
          <w:w w:val="99"/>
        </w:rPr>
        <w:t>。</w:t>
      </w:r>
      <w:r>
        <w:rPr>
          <w:spacing w:val="-1"/>
          <w:w w:val="99"/>
        </w:rPr>
        <w:t>艾滋病指人类免疫缺陷病毒引起的获得性免疫缺陷综合征，英文缩写为</w:t>
      </w:r>
      <w:r>
        <w:rPr>
          <w:spacing w:val="-53"/>
        </w:rPr>
        <w:t> </w:t>
      </w:r>
      <w:r>
        <w:rPr>
          <w:spacing w:val="1"/>
          <w:w w:val="99"/>
        </w:rPr>
        <w:t>AID</w:t>
      </w:r>
      <w:r>
        <w:rPr>
          <w:spacing w:val="-2"/>
          <w:w w:val="99"/>
        </w:rPr>
        <w:t>S</w:t>
      </w:r>
      <w:r>
        <w:rPr>
          <w:w w:val="99"/>
        </w:rPr>
        <w:t>。</w:t>
      </w:r>
    </w:p>
    <w:p>
      <w:pPr>
        <w:pStyle w:val="BodyText"/>
        <w:spacing w:line="278" w:lineRule="auto"/>
        <w:ind w:left="840" w:right="1494"/>
      </w:pPr>
      <w:r>
        <w:rPr>
          <w:spacing w:val="-1"/>
          <w:w w:val="99"/>
        </w:rPr>
        <w:t>在人体血液或其他样本中检测到艾滋病病毒或其抗体呈阳性，没有出现临床症状或</w:t>
      </w:r>
      <w:r>
        <w:rPr>
          <w:spacing w:val="-8"/>
          <w:w w:val="99"/>
        </w:rPr>
        <w:t>体征的，为感染艾滋病病毒；如果同时出现了明显临床症状或体征的，为患艾滋病。</w:t>
      </w:r>
    </w:p>
    <w:p>
      <w:pPr>
        <w:pStyle w:val="BodyText"/>
        <w:spacing w:line="278" w:lineRule="auto"/>
        <w:ind w:left="120" w:right="1494"/>
      </w:pPr>
      <w:r>
        <w:rPr>
          <w:w w:val="95"/>
        </w:rPr>
        <w:t>(十八)</w:t>
      </w:r>
      <w:r>
        <w:rPr>
          <w:spacing w:val="66"/>
          <w:w w:val="150"/>
        </w:rPr>
        <w:t> </w:t>
      </w:r>
      <w:r>
        <w:rPr>
          <w:b/>
          <w:w w:val="95"/>
        </w:rPr>
        <w:t>潜水</w:t>
      </w:r>
      <w:r>
        <w:rPr>
          <w:w w:val="95"/>
        </w:rPr>
        <w:t>：指使用辅助呼吸器材</w:t>
      </w:r>
      <w:r>
        <w:rPr>
          <w:w w:val="95"/>
        </w:rPr>
        <w:t>在</w:t>
      </w:r>
      <w:r>
        <w:rPr>
          <w:w w:val="95"/>
        </w:rPr>
        <w:t>江</w:t>
      </w:r>
      <w:r>
        <w:rPr>
          <w:w w:val="95"/>
        </w:rPr>
        <w:t>、河、湖、海、水库、运河等水域进行的水下运动。</w:t>
      </w:r>
      <w:r>
        <w:rPr>
          <w:spacing w:val="80"/>
        </w:rPr>
        <w:t> </w:t>
      </w:r>
      <w:r>
        <w:rPr/>
        <w:t>(十九) </w:t>
      </w:r>
      <w:r>
        <w:rPr>
          <w:b/>
        </w:rPr>
        <w:t>攀岩</w:t>
      </w:r>
      <w:r>
        <w:rPr/>
        <w:t>：指攀登悬崖、楼宇外墙、人造悬崖、冰崖、冰山等运动。</w:t>
      </w:r>
    </w:p>
    <w:p>
      <w:pPr>
        <w:pStyle w:val="BodyText"/>
        <w:spacing w:line="278" w:lineRule="auto"/>
        <w:ind w:left="840" w:right="1597" w:hanging="720"/>
        <w:jc w:val="both"/>
      </w:pPr>
      <w:r>
        <w:rPr>
          <w:w w:val="99"/>
        </w:rPr>
        <w:t>(二十)</w:t>
      </w:r>
      <w:r>
        <w:rPr>
          <w:spacing w:val="-16"/>
        </w:rPr>
        <w:t> </w:t>
      </w:r>
      <w:r>
        <w:rPr>
          <w:b/>
          <w:spacing w:val="2"/>
          <w:w w:val="99"/>
        </w:rPr>
        <w:t>探险</w:t>
      </w:r>
      <w:r>
        <w:rPr>
          <w:spacing w:val="-1"/>
          <w:w w:val="99"/>
        </w:rPr>
        <w:t>：指明知在某种特定的自然条件下有失去生命或使身体受到伤害的危险，而故意使自己置身其中的行为，包括但不限于江河漂流、徒步穿越沙漠或人迹罕至的原始森林等活动。</w:t>
      </w:r>
    </w:p>
    <w:p>
      <w:pPr>
        <w:pStyle w:val="BodyText"/>
        <w:spacing w:line="278" w:lineRule="auto"/>
        <w:ind w:left="971" w:right="1595" w:hanging="852"/>
      </w:pPr>
      <w:r>
        <w:rPr>
          <w:spacing w:val="1"/>
          <w:w w:val="99"/>
        </w:rPr>
        <w:t>(二十一)</w:t>
      </w:r>
      <w:r>
        <w:rPr>
          <w:b/>
          <w:spacing w:val="4"/>
          <w:w w:val="99"/>
        </w:rPr>
        <w:t>武术比赛</w:t>
      </w:r>
      <w:r>
        <w:rPr>
          <w:spacing w:val="1"/>
          <w:w w:val="99"/>
        </w:rPr>
        <w:t>：指两人或两人以上对抗性柔道、空手道、跆拳道、散打、拳击等各种</w:t>
      </w:r>
      <w:r>
        <w:rPr>
          <w:spacing w:val="-1"/>
          <w:w w:val="99"/>
        </w:rPr>
        <w:t>拳术及各种使用器械的对抗性比赛。</w:t>
      </w:r>
    </w:p>
    <w:p>
      <w:pPr>
        <w:pStyle w:val="BodyText"/>
        <w:spacing w:line="269" w:lineRule="exact"/>
        <w:ind w:left="120"/>
      </w:pPr>
      <w:r>
        <w:rPr>
          <w:spacing w:val="2"/>
          <w:w w:val="95"/>
        </w:rPr>
        <w:t>(二十二)</w:t>
      </w:r>
      <w:r>
        <w:rPr>
          <w:b/>
          <w:w w:val="95"/>
        </w:rPr>
        <w:t>特</w:t>
      </w:r>
      <w:r>
        <w:rPr>
          <w:b/>
          <w:w w:val="95"/>
        </w:rPr>
        <w:t>技</w:t>
      </w:r>
      <w:r>
        <w:rPr>
          <w:b/>
          <w:w w:val="95"/>
        </w:rPr>
        <w:t>表</w:t>
      </w:r>
      <w:r>
        <w:rPr>
          <w:b/>
          <w:w w:val="95"/>
        </w:rPr>
        <w:t>演</w:t>
      </w:r>
      <w:r>
        <w:rPr>
          <w:spacing w:val="-1"/>
          <w:w w:val="95"/>
        </w:rPr>
        <w:t>：指进行马术、杂技、驯兽等表演。</w:t>
      </w:r>
    </w:p>
    <w:p>
      <w:pPr>
        <w:pStyle w:val="BodyText"/>
        <w:spacing w:line="278" w:lineRule="auto" w:before="42"/>
        <w:ind w:left="971" w:right="1595" w:hanging="852"/>
      </w:pPr>
      <w:r>
        <w:rPr>
          <w:spacing w:val="1"/>
          <w:w w:val="99"/>
        </w:rPr>
        <w:t>(二十三)</w:t>
      </w:r>
      <w:r>
        <w:rPr>
          <w:b/>
          <w:spacing w:val="4"/>
          <w:w w:val="99"/>
        </w:rPr>
        <w:t>应付利息</w:t>
      </w:r>
      <w:r>
        <w:rPr>
          <w:spacing w:val="1"/>
          <w:w w:val="99"/>
        </w:rPr>
        <w:t>：指补交保险费或贷款的利息，根据补交保险费或贷款的数额、经过日</w:t>
      </w:r>
      <w:r>
        <w:rPr>
          <w:spacing w:val="19"/>
          <w:w w:val="99"/>
        </w:rPr>
        <w:t>数按日利率依复利方式计算。保险单贷款日利率=</w:t>
      </w:r>
      <w:r>
        <w:rPr>
          <w:w w:val="99"/>
        </w:rPr>
        <w:t>（</w:t>
      </w:r>
      <w:r>
        <w:rPr>
          <w:spacing w:val="-84"/>
        </w:rPr>
        <w:t> </w:t>
      </w:r>
      <w:r>
        <w:rPr>
          <w:spacing w:val="1"/>
          <w:w w:val="99"/>
        </w:rPr>
        <w:t>1</w:t>
      </w:r>
      <w:r>
        <w:rPr>
          <w:spacing w:val="19"/>
          <w:w w:val="99"/>
        </w:rPr>
        <w:t>+保险单贷款年利率</w:t>
      </w:r>
      <w:r>
        <w:rPr>
          <w:w w:val="99"/>
        </w:rPr>
        <w:t>）</w:t>
      </w:r>
    </w:p>
    <w:p>
      <w:pPr>
        <w:pStyle w:val="BodyText"/>
        <w:spacing w:line="269" w:lineRule="exact"/>
        <w:ind w:left="971"/>
      </w:pPr>
      <w:r>
        <w:rPr>
          <w:w w:val="95"/>
        </w:rPr>
        <w:t>^(1/365)-1</w:t>
      </w:r>
      <w:r>
        <w:rPr>
          <w:spacing w:val="-1"/>
          <w:w w:val="95"/>
        </w:rPr>
        <w:t>，保险单贷款年利率由本公司定期公布。</w:t>
      </w:r>
    </w:p>
    <w:p>
      <w:pPr>
        <w:pStyle w:val="BodyText"/>
        <w:spacing w:before="42"/>
        <w:ind w:left="120"/>
      </w:pPr>
      <w:r>
        <w:rPr>
          <w:spacing w:val="-1"/>
          <w:w w:val="95"/>
        </w:rPr>
        <w:t>(二十四)凡本合同涉及的 </w:t>
      </w:r>
      <w:r>
        <w:rPr>
          <w:w w:val="95"/>
        </w:rPr>
        <w:t>3</w:t>
      </w:r>
      <w:r>
        <w:rPr>
          <w:spacing w:val="-4"/>
          <w:w w:val="95"/>
        </w:rPr>
        <w:t> 日、</w:t>
      </w:r>
      <w:r>
        <w:rPr>
          <w:w w:val="95"/>
        </w:rPr>
        <w:t>10</w:t>
      </w:r>
      <w:r>
        <w:rPr>
          <w:spacing w:val="-5"/>
          <w:w w:val="95"/>
        </w:rPr>
        <w:t> 日、</w:t>
      </w:r>
      <w:r>
        <w:rPr>
          <w:w w:val="95"/>
        </w:rPr>
        <w:t>15</w:t>
      </w:r>
      <w:r>
        <w:rPr>
          <w:spacing w:val="-5"/>
          <w:w w:val="95"/>
        </w:rPr>
        <w:t> 日、</w:t>
      </w:r>
      <w:r>
        <w:rPr>
          <w:w w:val="95"/>
        </w:rPr>
        <w:t>28</w:t>
      </w:r>
      <w:r>
        <w:rPr>
          <w:spacing w:val="-5"/>
          <w:w w:val="95"/>
        </w:rPr>
        <w:t> 日、</w:t>
      </w:r>
      <w:r>
        <w:rPr>
          <w:w w:val="95"/>
        </w:rPr>
        <w:t>30</w:t>
      </w:r>
      <w:r>
        <w:rPr>
          <w:spacing w:val="-4"/>
          <w:w w:val="95"/>
        </w:rPr>
        <w:t> 日、</w:t>
      </w:r>
      <w:r>
        <w:rPr>
          <w:w w:val="95"/>
        </w:rPr>
        <w:t>60</w:t>
      </w:r>
      <w:r>
        <w:rPr>
          <w:spacing w:val="-6"/>
          <w:w w:val="95"/>
        </w:rPr>
        <w:t> 日和 </w:t>
      </w:r>
      <w:r>
        <w:rPr>
          <w:w w:val="95"/>
        </w:rPr>
        <w:t>180</w:t>
      </w:r>
      <w:r>
        <w:rPr>
          <w:spacing w:val="-5"/>
          <w:w w:val="95"/>
        </w:rPr>
        <w:t> 日均为自然日。</w:t>
      </w:r>
    </w:p>
    <w:sectPr>
      <w:footerReference w:type="default" r:id="rId21"/>
      <w:pgSz w:w="11910" w:h="16840"/>
      <w:pgMar w:footer="1000" w:header="0" w:top="1400" w:bottom="1180" w:left="1680" w:right="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隶书">
    <w:altName w:val="隶书"/>
    <w:charset w:val="86"/>
    <w:family w:val="modern"/>
    <w:pitch w:val="fixed"/>
  </w:font>
  <w:font w:name="黑体">
    <w:altName w:val="黑体"/>
    <w:charset w:val="86"/>
    <w:family w:val="modern"/>
    <w:pitch w:val="fixed"/>
  </w:font>
  <w:font w:name="宋体">
    <w:altName w:val="宋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60.600006pt;margin-top:780.915649pt;width:74pt;height:11.15pt;mso-position-horizontal-relative:page;mso-position-vertical-relative:page;z-index:-16137216" type="#_x0000_t202" id="docshape1" filled="false" stroked="false">
          <v:textbox inset="0,0,0,0">
            <w:txbxContent>
              <w:p>
                <w:pPr>
                  <w:spacing w:line="222" w:lineRule="exact" w:before="0"/>
                  <w:ind w:left="20" w:right="0" w:firstLine="0"/>
                  <w:jc w:val="left"/>
                  <w:rPr>
                    <w:sz w:val="18"/>
                  </w:rPr>
                </w:pPr>
                <w:r>
                  <w:rPr>
                    <w:sz w:val="18"/>
                  </w:rPr>
                  <w:t>第 </w:t>
                </w:r>
                <w:r>
                  <w:rPr>
                    <w:sz w:val="18"/>
                  </w:rPr>
                  <w:fldChar w:fldCharType="begin"/>
                </w:r>
                <w:r>
                  <w:rPr>
                    <w:sz w:val="18"/>
                  </w:rPr>
                  <w:instrText> PAGE </w:instrText>
                </w:r>
                <w:r>
                  <w:rPr>
                    <w:sz w:val="18"/>
                  </w:rPr>
                  <w:fldChar w:fldCharType="separate"/>
                </w:r>
                <w:r>
                  <w:rPr>
                    <w:sz w:val="18"/>
                  </w:rPr>
                  <w:t>1</w:t>
                </w:r>
                <w:r>
                  <w:rPr>
                    <w:sz w:val="18"/>
                  </w:rPr>
                  <w:fldChar w:fldCharType="end"/>
                </w:r>
                <w:r>
                  <w:rPr>
                    <w:spacing w:val="-1"/>
                    <w:sz w:val="18"/>
                  </w:rPr>
                  <w:t> 页 共 </w:t>
                </w:r>
                <w:r>
                  <w:rPr>
                    <w:sz w:val="18"/>
                  </w:rPr>
                  <w:fldChar w:fldCharType="begin"/>
                </w:r>
                <w:r>
                  <w:rPr>
                    <w:sz w:val="18"/>
                  </w:rPr>
                  <w:instrText> NUMPAGES </w:instrText>
                </w:r>
                <w:r>
                  <w:rPr>
                    <w:sz w:val="18"/>
                  </w:rPr>
                  <w:fldChar w:fldCharType="separate"/>
                </w:r>
                <w:r>
                  <w:rPr>
                    <w:sz w:val="18"/>
                  </w:rPr>
                  <w:t>10</w:t>
                </w:r>
                <w:r>
                  <w:rPr>
                    <w:sz w:val="18"/>
                  </w:rPr>
                  <w:fldChar w:fldCharType="end"/>
                </w:r>
                <w:r>
                  <w:rPr>
                    <w:spacing w:val="-7"/>
                    <w:sz w:val="18"/>
                  </w:rPr>
                  <w:t> 页</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58.440002pt;margin-top:780.915649pt;width:78.45pt;height:11.15pt;mso-position-horizontal-relative:page;mso-position-vertical-relative:page;z-index:-16136704" type="#_x0000_t202" id="docshape47" filled="false" stroked="false">
          <v:textbox inset="0,0,0,0">
            <w:txbxContent>
              <w:p>
                <w:pPr>
                  <w:spacing w:line="222" w:lineRule="exact" w:before="0"/>
                  <w:ind w:left="20" w:right="0" w:firstLine="0"/>
                  <w:jc w:val="left"/>
                  <w:rPr>
                    <w:sz w:val="18"/>
                  </w:rPr>
                </w:pPr>
                <w:r>
                  <w:rPr>
                    <w:spacing w:val="-1"/>
                    <w:sz w:val="18"/>
                  </w:rPr>
                  <w:t>第 </w:t>
                </w:r>
                <w:r>
                  <w:rPr>
                    <w:sz w:val="18"/>
                  </w:rPr>
                  <w:t>10</w:t>
                </w:r>
                <w:r>
                  <w:rPr>
                    <w:spacing w:val="-1"/>
                    <w:sz w:val="18"/>
                  </w:rPr>
                  <w:t> 页 共 </w:t>
                </w:r>
                <w:r>
                  <w:rPr>
                    <w:sz w:val="18"/>
                  </w:rPr>
                  <w:t>10</w:t>
                </w:r>
                <w:r>
                  <w:rPr>
                    <w:spacing w:val="-6"/>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1065" w:hanging="238"/>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1956" w:hanging="238"/>
      </w:pPr>
      <w:rPr>
        <w:rFonts w:hint="default"/>
        <w:lang w:val="en-US" w:eastAsia="zh-CN" w:bidi="ar-SA"/>
      </w:rPr>
    </w:lvl>
    <w:lvl w:ilvl="2">
      <w:start w:val="0"/>
      <w:numFmt w:val="bullet"/>
      <w:lvlText w:val="•"/>
      <w:lvlJc w:val="left"/>
      <w:pPr>
        <w:ind w:left="2853" w:hanging="238"/>
      </w:pPr>
      <w:rPr>
        <w:rFonts w:hint="default"/>
        <w:lang w:val="en-US" w:eastAsia="zh-CN" w:bidi="ar-SA"/>
      </w:rPr>
    </w:lvl>
    <w:lvl w:ilvl="3">
      <w:start w:val="0"/>
      <w:numFmt w:val="bullet"/>
      <w:lvlText w:val="•"/>
      <w:lvlJc w:val="left"/>
      <w:pPr>
        <w:ind w:left="3749" w:hanging="238"/>
      </w:pPr>
      <w:rPr>
        <w:rFonts w:hint="default"/>
        <w:lang w:val="en-US" w:eastAsia="zh-CN" w:bidi="ar-SA"/>
      </w:rPr>
    </w:lvl>
    <w:lvl w:ilvl="4">
      <w:start w:val="0"/>
      <w:numFmt w:val="bullet"/>
      <w:lvlText w:val="•"/>
      <w:lvlJc w:val="left"/>
      <w:pPr>
        <w:ind w:left="4646" w:hanging="238"/>
      </w:pPr>
      <w:rPr>
        <w:rFonts w:hint="default"/>
        <w:lang w:val="en-US" w:eastAsia="zh-CN" w:bidi="ar-SA"/>
      </w:rPr>
    </w:lvl>
    <w:lvl w:ilvl="5">
      <w:start w:val="0"/>
      <w:numFmt w:val="bullet"/>
      <w:lvlText w:val="•"/>
      <w:lvlJc w:val="left"/>
      <w:pPr>
        <w:ind w:left="5543" w:hanging="238"/>
      </w:pPr>
      <w:rPr>
        <w:rFonts w:hint="default"/>
        <w:lang w:val="en-US" w:eastAsia="zh-CN" w:bidi="ar-SA"/>
      </w:rPr>
    </w:lvl>
    <w:lvl w:ilvl="6">
      <w:start w:val="0"/>
      <w:numFmt w:val="bullet"/>
      <w:lvlText w:val="•"/>
      <w:lvlJc w:val="left"/>
      <w:pPr>
        <w:ind w:left="6439" w:hanging="238"/>
      </w:pPr>
      <w:rPr>
        <w:rFonts w:hint="default"/>
        <w:lang w:val="en-US" w:eastAsia="zh-CN" w:bidi="ar-SA"/>
      </w:rPr>
    </w:lvl>
    <w:lvl w:ilvl="7">
      <w:start w:val="0"/>
      <w:numFmt w:val="bullet"/>
      <w:lvlText w:val="•"/>
      <w:lvlJc w:val="left"/>
      <w:pPr>
        <w:ind w:left="7336" w:hanging="238"/>
      </w:pPr>
      <w:rPr>
        <w:rFonts w:hint="default"/>
        <w:lang w:val="en-US" w:eastAsia="zh-CN" w:bidi="ar-SA"/>
      </w:rPr>
    </w:lvl>
    <w:lvl w:ilvl="8">
      <w:start w:val="0"/>
      <w:numFmt w:val="bullet"/>
      <w:lvlText w:val="•"/>
      <w:lvlJc w:val="left"/>
      <w:pPr>
        <w:ind w:left="8232" w:hanging="238"/>
      </w:pPr>
      <w:rPr>
        <w:rFonts w:hint="default"/>
        <w:lang w:val="en-US" w:eastAsia="zh-CN" w:bidi="ar-SA"/>
      </w:rPr>
    </w:lvl>
  </w:abstractNum>
  <w:abstractNum w:abstractNumId="10">
    <w:multiLevelType w:val="hybridMultilevel"/>
    <w:lvl w:ilvl="0">
      <w:start w:val="2"/>
      <w:numFmt w:val="decimal"/>
      <w:lvlText w:val="%1."/>
      <w:lvlJc w:val="left"/>
      <w:pPr>
        <w:ind w:left="751" w:hanging="212"/>
        <w:jc w:val="left"/>
      </w:pPr>
      <w:rPr>
        <w:rFonts w:hint="default" w:ascii="宋体" w:hAnsi="宋体" w:eastAsia="宋体" w:cs="宋体"/>
        <w:b w:val="0"/>
        <w:bCs w:val="0"/>
        <w:i w:val="0"/>
        <w:iCs w:val="0"/>
        <w:spacing w:val="-2"/>
        <w:w w:val="99"/>
        <w:sz w:val="19"/>
        <w:szCs w:val="19"/>
        <w:lang w:val="en-US" w:eastAsia="zh-CN" w:bidi="ar-SA"/>
      </w:rPr>
    </w:lvl>
    <w:lvl w:ilvl="1">
      <w:start w:val="1"/>
      <w:numFmt w:val="decimal"/>
      <w:lvlText w:val="%2."/>
      <w:lvlJc w:val="left"/>
      <w:pPr>
        <w:ind w:left="897" w:hanging="212"/>
        <w:jc w:val="left"/>
      </w:pPr>
      <w:rPr>
        <w:rFonts w:hint="default" w:ascii="宋体" w:hAnsi="宋体" w:eastAsia="宋体" w:cs="宋体"/>
        <w:b w:val="0"/>
        <w:bCs w:val="0"/>
        <w:i w:val="0"/>
        <w:iCs w:val="0"/>
        <w:spacing w:val="1"/>
        <w:w w:val="99"/>
        <w:sz w:val="19"/>
        <w:szCs w:val="19"/>
        <w:lang w:val="en-US" w:eastAsia="zh-CN" w:bidi="ar-SA"/>
      </w:rPr>
    </w:lvl>
    <w:lvl w:ilvl="2">
      <w:start w:val="1"/>
      <w:numFmt w:val="decimal"/>
      <w:lvlText w:val="%3."/>
      <w:lvlJc w:val="left"/>
      <w:pPr>
        <w:ind w:left="1113" w:hanging="286"/>
        <w:jc w:val="left"/>
      </w:pPr>
      <w:rPr>
        <w:rFonts w:hint="default" w:ascii="宋体" w:hAnsi="宋体" w:eastAsia="宋体" w:cs="宋体"/>
        <w:b w:val="0"/>
        <w:bCs w:val="0"/>
        <w:i w:val="0"/>
        <w:iCs w:val="0"/>
        <w:spacing w:val="0"/>
        <w:w w:val="99"/>
        <w:sz w:val="21"/>
        <w:szCs w:val="21"/>
        <w:lang w:val="en-US" w:eastAsia="zh-CN" w:bidi="ar-SA"/>
      </w:rPr>
    </w:lvl>
    <w:lvl w:ilvl="3">
      <w:start w:val="0"/>
      <w:numFmt w:val="bullet"/>
      <w:lvlText w:val="•"/>
      <w:lvlJc w:val="left"/>
      <w:pPr>
        <w:ind w:left="2233" w:hanging="286"/>
      </w:pPr>
      <w:rPr>
        <w:rFonts w:hint="default"/>
        <w:lang w:val="en-US" w:eastAsia="zh-CN" w:bidi="ar-SA"/>
      </w:rPr>
    </w:lvl>
    <w:lvl w:ilvl="4">
      <w:start w:val="0"/>
      <w:numFmt w:val="bullet"/>
      <w:lvlText w:val="•"/>
      <w:lvlJc w:val="left"/>
      <w:pPr>
        <w:ind w:left="3346" w:hanging="286"/>
      </w:pPr>
      <w:rPr>
        <w:rFonts w:hint="default"/>
        <w:lang w:val="en-US" w:eastAsia="zh-CN" w:bidi="ar-SA"/>
      </w:rPr>
    </w:lvl>
    <w:lvl w:ilvl="5">
      <w:start w:val="0"/>
      <w:numFmt w:val="bullet"/>
      <w:lvlText w:val="•"/>
      <w:lvlJc w:val="left"/>
      <w:pPr>
        <w:ind w:left="4459" w:hanging="286"/>
      </w:pPr>
      <w:rPr>
        <w:rFonts w:hint="default"/>
        <w:lang w:val="en-US" w:eastAsia="zh-CN" w:bidi="ar-SA"/>
      </w:rPr>
    </w:lvl>
    <w:lvl w:ilvl="6">
      <w:start w:val="0"/>
      <w:numFmt w:val="bullet"/>
      <w:lvlText w:val="•"/>
      <w:lvlJc w:val="left"/>
      <w:pPr>
        <w:ind w:left="5573" w:hanging="286"/>
      </w:pPr>
      <w:rPr>
        <w:rFonts w:hint="default"/>
        <w:lang w:val="en-US" w:eastAsia="zh-CN" w:bidi="ar-SA"/>
      </w:rPr>
    </w:lvl>
    <w:lvl w:ilvl="7">
      <w:start w:val="0"/>
      <w:numFmt w:val="bullet"/>
      <w:lvlText w:val="•"/>
      <w:lvlJc w:val="left"/>
      <w:pPr>
        <w:ind w:left="6686" w:hanging="286"/>
      </w:pPr>
      <w:rPr>
        <w:rFonts w:hint="default"/>
        <w:lang w:val="en-US" w:eastAsia="zh-CN" w:bidi="ar-SA"/>
      </w:rPr>
    </w:lvl>
    <w:lvl w:ilvl="8">
      <w:start w:val="0"/>
      <w:numFmt w:val="bullet"/>
      <w:lvlText w:val="•"/>
      <w:lvlJc w:val="left"/>
      <w:pPr>
        <w:ind w:left="7799" w:hanging="286"/>
      </w:pPr>
      <w:rPr>
        <w:rFonts w:hint="default"/>
        <w:lang w:val="en-US" w:eastAsia="zh-CN" w:bidi="ar-SA"/>
      </w:rPr>
    </w:lvl>
  </w:abstractNum>
  <w:abstractNum w:abstractNumId="9">
    <w:multiLevelType w:val="hybridMultilevel"/>
    <w:lvl w:ilvl="0">
      <w:start w:val="2"/>
      <w:numFmt w:val="decimal"/>
      <w:lvlText w:val="%1."/>
      <w:lvlJc w:val="left"/>
      <w:pPr>
        <w:ind w:left="751" w:hanging="212"/>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686" w:hanging="212"/>
      </w:pPr>
      <w:rPr>
        <w:rFonts w:hint="default"/>
        <w:lang w:val="en-US" w:eastAsia="zh-CN" w:bidi="ar-SA"/>
      </w:rPr>
    </w:lvl>
    <w:lvl w:ilvl="2">
      <w:start w:val="0"/>
      <w:numFmt w:val="bullet"/>
      <w:lvlText w:val="•"/>
      <w:lvlJc w:val="left"/>
      <w:pPr>
        <w:ind w:left="2613" w:hanging="212"/>
      </w:pPr>
      <w:rPr>
        <w:rFonts w:hint="default"/>
        <w:lang w:val="en-US" w:eastAsia="zh-CN" w:bidi="ar-SA"/>
      </w:rPr>
    </w:lvl>
    <w:lvl w:ilvl="3">
      <w:start w:val="0"/>
      <w:numFmt w:val="bullet"/>
      <w:lvlText w:val="•"/>
      <w:lvlJc w:val="left"/>
      <w:pPr>
        <w:ind w:left="3539" w:hanging="212"/>
      </w:pPr>
      <w:rPr>
        <w:rFonts w:hint="default"/>
        <w:lang w:val="en-US" w:eastAsia="zh-CN" w:bidi="ar-SA"/>
      </w:rPr>
    </w:lvl>
    <w:lvl w:ilvl="4">
      <w:start w:val="0"/>
      <w:numFmt w:val="bullet"/>
      <w:lvlText w:val="•"/>
      <w:lvlJc w:val="left"/>
      <w:pPr>
        <w:ind w:left="4466" w:hanging="212"/>
      </w:pPr>
      <w:rPr>
        <w:rFonts w:hint="default"/>
        <w:lang w:val="en-US" w:eastAsia="zh-CN" w:bidi="ar-SA"/>
      </w:rPr>
    </w:lvl>
    <w:lvl w:ilvl="5">
      <w:start w:val="0"/>
      <w:numFmt w:val="bullet"/>
      <w:lvlText w:val="•"/>
      <w:lvlJc w:val="left"/>
      <w:pPr>
        <w:ind w:left="5393" w:hanging="212"/>
      </w:pPr>
      <w:rPr>
        <w:rFonts w:hint="default"/>
        <w:lang w:val="en-US" w:eastAsia="zh-CN" w:bidi="ar-SA"/>
      </w:rPr>
    </w:lvl>
    <w:lvl w:ilvl="6">
      <w:start w:val="0"/>
      <w:numFmt w:val="bullet"/>
      <w:lvlText w:val="•"/>
      <w:lvlJc w:val="left"/>
      <w:pPr>
        <w:ind w:left="6319" w:hanging="212"/>
      </w:pPr>
      <w:rPr>
        <w:rFonts w:hint="default"/>
        <w:lang w:val="en-US" w:eastAsia="zh-CN" w:bidi="ar-SA"/>
      </w:rPr>
    </w:lvl>
    <w:lvl w:ilvl="7">
      <w:start w:val="0"/>
      <w:numFmt w:val="bullet"/>
      <w:lvlText w:val="•"/>
      <w:lvlJc w:val="left"/>
      <w:pPr>
        <w:ind w:left="7246" w:hanging="212"/>
      </w:pPr>
      <w:rPr>
        <w:rFonts w:hint="default"/>
        <w:lang w:val="en-US" w:eastAsia="zh-CN" w:bidi="ar-SA"/>
      </w:rPr>
    </w:lvl>
    <w:lvl w:ilvl="8">
      <w:start w:val="0"/>
      <w:numFmt w:val="bullet"/>
      <w:lvlText w:val="•"/>
      <w:lvlJc w:val="left"/>
      <w:pPr>
        <w:ind w:left="8172" w:hanging="212"/>
      </w:pPr>
      <w:rPr>
        <w:rFonts w:hint="default"/>
        <w:lang w:val="en-US" w:eastAsia="zh-CN" w:bidi="ar-SA"/>
      </w:rPr>
    </w:lvl>
  </w:abstractNum>
  <w:abstractNum w:abstractNumId="8">
    <w:multiLevelType w:val="hybridMultilevel"/>
    <w:lvl w:ilvl="0">
      <w:start w:val="1"/>
      <w:numFmt w:val="decimal"/>
      <w:lvlText w:val="%1."/>
      <w:lvlJc w:val="left"/>
      <w:pPr>
        <w:ind w:left="828" w:hanging="288"/>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1740" w:hanging="288"/>
      </w:pPr>
      <w:rPr>
        <w:rFonts w:hint="default"/>
        <w:lang w:val="en-US" w:eastAsia="zh-CN" w:bidi="ar-SA"/>
      </w:rPr>
    </w:lvl>
    <w:lvl w:ilvl="2">
      <w:start w:val="0"/>
      <w:numFmt w:val="bullet"/>
      <w:lvlText w:val="•"/>
      <w:lvlJc w:val="left"/>
      <w:pPr>
        <w:ind w:left="2661" w:hanging="288"/>
      </w:pPr>
      <w:rPr>
        <w:rFonts w:hint="default"/>
        <w:lang w:val="en-US" w:eastAsia="zh-CN" w:bidi="ar-SA"/>
      </w:rPr>
    </w:lvl>
    <w:lvl w:ilvl="3">
      <w:start w:val="0"/>
      <w:numFmt w:val="bullet"/>
      <w:lvlText w:val="•"/>
      <w:lvlJc w:val="left"/>
      <w:pPr>
        <w:ind w:left="3581" w:hanging="288"/>
      </w:pPr>
      <w:rPr>
        <w:rFonts w:hint="default"/>
        <w:lang w:val="en-US" w:eastAsia="zh-CN" w:bidi="ar-SA"/>
      </w:rPr>
    </w:lvl>
    <w:lvl w:ilvl="4">
      <w:start w:val="0"/>
      <w:numFmt w:val="bullet"/>
      <w:lvlText w:val="•"/>
      <w:lvlJc w:val="left"/>
      <w:pPr>
        <w:ind w:left="4502" w:hanging="288"/>
      </w:pPr>
      <w:rPr>
        <w:rFonts w:hint="default"/>
        <w:lang w:val="en-US" w:eastAsia="zh-CN" w:bidi="ar-SA"/>
      </w:rPr>
    </w:lvl>
    <w:lvl w:ilvl="5">
      <w:start w:val="0"/>
      <w:numFmt w:val="bullet"/>
      <w:lvlText w:val="•"/>
      <w:lvlJc w:val="left"/>
      <w:pPr>
        <w:ind w:left="5423" w:hanging="288"/>
      </w:pPr>
      <w:rPr>
        <w:rFonts w:hint="default"/>
        <w:lang w:val="en-US" w:eastAsia="zh-CN" w:bidi="ar-SA"/>
      </w:rPr>
    </w:lvl>
    <w:lvl w:ilvl="6">
      <w:start w:val="0"/>
      <w:numFmt w:val="bullet"/>
      <w:lvlText w:val="•"/>
      <w:lvlJc w:val="left"/>
      <w:pPr>
        <w:ind w:left="6343" w:hanging="288"/>
      </w:pPr>
      <w:rPr>
        <w:rFonts w:hint="default"/>
        <w:lang w:val="en-US" w:eastAsia="zh-CN" w:bidi="ar-SA"/>
      </w:rPr>
    </w:lvl>
    <w:lvl w:ilvl="7">
      <w:start w:val="0"/>
      <w:numFmt w:val="bullet"/>
      <w:lvlText w:val="•"/>
      <w:lvlJc w:val="left"/>
      <w:pPr>
        <w:ind w:left="7264" w:hanging="288"/>
      </w:pPr>
      <w:rPr>
        <w:rFonts w:hint="default"/>
        <w:lang w:val="en-US" w:eastAsia="zh-CN" w:bidi="ar-SA"/>
      </w:rPr>
    </w:lvl>
    <w:lvl w:ilvl="8">
      <w:start w:val="0"/>
      <w:numFmt w:val="bullet"/>
      <w:lvlText w:val="•"/>
      <w:lvlJc w:val="left"/>
      <w:pPr>
        <w:ind w:left="8184" w:hanging="288"/>
      </w:pPr>
      <w:rPr>
        <w:rFonts w:hint="default"/>
        <w:lang w:val="en-US" w:eastAsia="zh-CN" w:bidi="ar-SA"/>
      </w:rPr>
    </w:lvl>
  </w:abstractNum>
  <w:abstractNum w:abstractNumId="7">
    <w:multiLevelType w:val="hybridMultilevel"/>
    <w:lvl w:ilvl="0">
      <w:start w:val="1"/>
      <w:numFmt w:val="decimal"/>
      <w:lvlText w:val="（%1）"/>
      <w:lvlJc w:val="left"/>
      <w:pPr>
        <w:ind w:left="106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956" w:hanging="525"/>
      </w:pPr>
      <w:rPr>
        <w:rFonts w:hint="default"/>
        <w:lang w:val="en-US" w:eastAsia="zh-CN" w:bidi="ar-SA"/>
      </w:rPr>
    </w:lvl>
    <w:lvl w:ilvl="2">
      <w:start w:val="0"/>
      <w:numFmt w:val="bullet"/>
      <w:lvlText w:val="•"/>
      <w:lvlJc w:val="left"/>
      <w:pPr>
        <w:ind w:left="2853" w:hanging="525"/>
      </w:pPr>
      <w:rPr>
        <w:rFonts w:hint="default"/>
        <w:lang w:val="en-US" w:eastAsia="zh-CN" w:bidi="ar-SA"/>
      </w:rPr>
    </w:lvl>
    <w:lvl w:ilvl="3">
      <w:start w:val="0"/>
      <w:numFmt w:val="bullet"/>
      <w:lvlText w:val="•"/>
      <w:lvlJc w:val="left"/>
      <w:pPr>
        <w:ind w:left="3749" w:hanging="525"/>
      </w:pPr>
      <w:rPr>
        <w:rFonts w:hint="default"/>
        <w:lang w:val="en-US" w:eastAsia="zh-CN" w:bidi="ar-SA"/>
      </w:rPr>
    </w:lvl>
    <w:lvl w:ilvl="4">
      <w:start w:val="0"/>
      <w:numFmt w:val="bullet"/>
      <w:lvlText w:val="•"/>
      <w:lvlJc w:val="left"/>
      <w:pPr>
        <w:ind w:left="4646" w:hanging="525"/>
      </w:pPr>
      <w:rPr>
        <w:rFonts w:hint="default"/>
        <w:lang w:val="en-US" w:eastAsia="zh-CN" w:bidi="ar-SA"/>
      </w:rPr>
    </w:lvl>
    <w:lvl w:ilvl="5">
      <w:start w:val="0"/>
      <w:numFmt w:val="bullet"/>
      <w:lvlText w:val="•"/>
      <w:lvlJc w:val="left"/>
      <w:pPr>
        <w:ind w:left="5543" w:hanging="525"/>
      </w:pPr>
      <w:rPr>
        <w:rFonts w:hint="default"/>
        <w:lang w:val="en-US" w:eastAsia="zh-CN" w:bidi="ar-SA"/>
      </w:rPr>
    </w:lvl>
    <w:lvl w:ilvl="6">
      <w:start w:val="0"/>
      <w:numFmt w:val="bullet"/>
      <w:lvlText w:val="•"/>
      <w:lvlJc w:val="left"/>
      <w:pPr>
        <w:ind w:left="6439" w:hanging="525"/>
      </w:pPr>
      <w:rPr>
        <w:rFonts w:hint="default"/>
        <w:lang w:val="en-US" w:eastAsia="zh-CN" w:bidi="ar-SA"/>
      </w:rPr>
    </w:lvl>
    <w:lvl w:ilvl="7">
      <w:start w:val="0"/>
      <w:numFmt w:val="bullet"/>
      <w:lvlText w:val="•"/>
      <w:lvlJc w:val="left"/>
      <w:pPr>
        <w:ind w:left="7336" w:hanging="525"/>
      </w:pPr>
      <w:rPr>
        <w:rFonts w:hint="default"/>
        <w:lang w:val="en-US" w:eastAsia="zh-CN" w:bidi="ar-SA"/>
      </w:rPr>
    </w:lvl>
    <w:lvl w:ilvl="8">
      <w:start w:val="0"/>
      <w:numFmt w:val="bullet"/>
      <w:lvlText w:val="•"/>
      <w:lvlJc w:val="left"/>
      <w:pPr>
        <w:ind w:left="8232" w:hanging="525"/>
      </w:pPr>
      <w:rPr>
        <w:rFonts w:hint="default"/>
        <w:lang w:val="en-US" w:eastAsia="zh-CN" w:bidi="ar-SA"/>
      </w:rPr>
    </w:lvl>
  </w:abstractNum>
  <w:abstractNum w:abstractNumId="6">
    <w:multiLevelType w:val="hybridMultilevel"/>
    <w:lvl w:ilvl="0">
      <w:start w:val="1"/>
      <w:numFmt w:val="decimal"/>
      <w:lvlText w:val="（%1）"/>
      <w:lvlJc w:val="left"/>
      <w:pPr>
        <w:ind w:left="106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956" w:hanging="525"/>
      </w:pPr>
      <w:rPr>
        <w:rFonts w:hint="default"/>
        <w:lang w:val="en-US" w:eastAsia="zh-CN" w:bidi="ar-SA"/>
      </w:rPr>
    </w:lvl>
    <w:lvl w:ilvl="2">
      <w:start w:val="0"/>
      <w:numFmt w:val="bullet"/>
      <w:lvlText w:val="•"/>
      <w:lvlJc w:val="left"/>
      <w:pPr>
        <w:ind w:left="2853" w:hanging="525"/>
      </w:pPr>
      <w:rPr>
        <w:rFonts w:hint="default"/>
        <w:lang w:val="en-US" w:eastAsia="zh-CN" w:bidi="ar-SA"/>
      </w:rPr>
    </w:lvl>
    <w:lvl w:ilvl="3">
      <w:start w:val="0"/>
      <w:numFmt w:val="bullet"/>
      <w:lvlText w:val="•"/>
      <w:lvlJc w:val="left"/>
      <w:pPr>
        <w:ind w:left="3749" w:hanging="525"/>
      </w:pPr>
      <w:rPr>
        <w:rFonts w:hint="default"/>
        <w:lang w:val="en-US" w:eastAsia="zh-CN" w:bidi="ar-SA"/>
      </w:rPr>
    </w:lvl>
    <w:lvl w:ilvl="4">
      <w:start w:val="0"/>
      <w:numFmt w:val="bullet"/>
      <w:lvlText w:val="•"/>
      <w:lvlJc w:val="left"/>
      <w:pPr>
        <w:ind w:left="4646" w:hanging="525"/>
      </w:pPr>
      <w:rPr>
        <w:rFonts w:hint="default"/>
        <w:lang w:val="en-US" w:eastAsia="zh-CN" w:bidi="ar-SA"/>
      </w:rPr>
    </w:lvl>
    <w:lvl w:ilvl="5">
      <w:start w:val="0"/>
      <w:numFmt w:val="bullet"/>
      <w:lvlText w:val="•"/>
      <w:lvlJc w:val="left"/>
      <w:pPr>
        <w:ind w:left="5543" w:hanging="525"/>
      </w:pPr>
      <w:rPr>
        <w:rFonts w:hint="default"/>
        <w:lang w:val="en-US" w:eastAsia="zh-CN" w:bidi="ar-SA"/>
      </w:rPr>
    </w:lvl>
    <w:lvl w:ilvl="6">
      <w:start w:val="0"/>
      <w:numFmt w:val="bullet"/>
      <w:lvlText w:val="•"/>
      <w:lvlJc w:val="left"/>
      <w:pPr>
        <w:ind w:left="6439" w:hanging="525"/>
      </w:pPr>
      <w:rPr>
        <w:rFonts w:hint="default"/>
        <w:lang w:val="en-US" w:eastAsia="zh-CN" w:bidi="ar-SA"/>
      </w:rPr>
    </w:lvl>
    <w:lvl w:ilvl="7">
      <w:start w:val="0"/>
      <w:numFmt w:val="bullet"/>
      <w:lvlText w:val="•"/>
      <w:lvlJc w:val="left"/>
      <w:pPr>
        <w:ind w:left="7336" w:hanging="525"/>
      </w:pPr>
      <w:rPr>
        <w:rFonts w:hint="default"/>
        <w:lang w:val="en-US" w:eastAsia="zh-CN" w:bidi="ar-SA"/>
      </w:rPr>
    </w:lvl>
    <w:lvl w:ilvl="8">
      <w:start w:val="0"/>
      <w:numFmt w:val="bullet"/>
      <w:lvlText w:val="•"/>
      <w:lvlJc w:val="left"/>
      <w:pPr>
        <w:ind w:left="8232" w:hanging="525"/>
      </w:pPr>
      <w:rPr>
        <w:rFonts w:hint="default"/>
        <w:lang w:val="en-US" w:eastAsia="zh-CN" w:bidi="ar-SA"/>
      </w:rPr>
    </w:lvl>
  </w:abstractNum>
  <w:abstractNum w:abstractNumId="5">
    <w:multiLevelType w:val="hybridMultilevel"/>
    <w:lvl w:ilvl="0">
      <w:start w:val="1"/>
      <w:numFmt w:val="decimal"/>
      <w:lvlText w:val="（%1）"/>
      <w:lvlJc w:val="left"/>
      <w:pPr>
        <w:ind w:left="106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956" w:hanging="525"/>
      </w:pPr>
      <w:rPr>
        <w:rFonts w:hint="default"/>
        <w:lang w:val="en-US" w:eastAsia="zh-CN" w:bidi="ar-SA"/>
      </w:rPr>
    </w:lvl>
    <w:lvl w:ilvl="2">
      <w:start w:val="0"/>
      <w:numFmt w:val="bullet"/>
      <w:lvlText w:val="•"/>
      <w:lvlJc w:val="left"/>
      <w:pPr>
        <w:ind w:left="2853" w:hanging="525"/>
      </w:pPr>
      <w:rPr>
        <w:rFonts w:hint="default"/>
        <w:lang w:val="en-US" w:eastAsia="zh-CN" w:bidi="ar-SA"/>
      </w:rPr>
    </w:lvl>
    <w:lvl w:ilvl="3">
      <w:start w:val="0"/>
      <w:numFmt w:val="bullet"/>
      <w:lvlText w:val="•"/>
      <w:lvlJc w:val="left"/>
      <w:pPr>
        <w:ind w:left="3749" w:hanging="525"/>
      </w:pPr>
      <w:rPr>
        <w:rFonts w:hint="default"/>
        <w:lang w:val="en-US" w:eastAsia="zh-CN" w:bidi="ar-SA"/>
      </w:rPr>
    </w:lvl>
    <w:lvl w:ilvl="4">
      <w:start w:val="0"/>
      <w:numFmt w:val="bullet"/>
      <w:lvlText w:val="•"/>
      <w:lvlJc w:val="left"/>
      <w:pPr>
        <w:ind w:left="4646" w:hanging="525"/>
      </w:pPr>
      <w:rPr>
        <w:rFonts w:hint="default"/>
        <w:lang w:val="en-US" w:eastAsia="zh-CN" w:bidi="ar-SA"/>
      </w:rPr>
    </w:lvl>
    <w:lvl w:ilvl="5">
      <w:start w:val="0"/>
      <w:numFmt w:val="bullet"/>
      <w:lvlText w:val="•"/>
      <w:lvlJc w:val="left"/>
      <w:pPr>
        <w:ind w:left="5543" w:hanging="525"/>
      </w:pPr>
      <w:rPr>
        <w:rFonts w:hint="default"/>
        <w:lang w:val="en-US" w:eastAsia="zh-CN" w:bidi="ar-SA"/>
      </w:rPr>
    </w:lvl>
    <w:lvl w:ilvl="6">
      <w:start w:val="0"/>
      <w:numFmt w:val="bullet"/>
      <w:lvlText w:val="•"/>
      <w:lvlJc w:val="left"/>
      <w:pPr>
        <w:ind w:left="6439" w:hanging="525"/>
      </w:pPr>
      <w:rPr>
        <w:rFonts w:hint="default"/>
        <w:lang w:val="en-US" w:eastAsia="zh-CN" w:bidi="ar-SA"/>
      </w:rPr>
    </w:lvl>
    <w:lvl w:ilvl="7">
      <w:start w:val="0"/>
      <w:numFmt w:val="bullet"/>
      <w:lvlText w:val="•"/>
      <w:lvlJc w:val="left"/>
      <w:pPr>
        <w:ind w:left="7336" w:hanging="525"/>
      </w:pPr>
      <w:rPr>
        <w:rFonts w:hint="default"/>
        <w:lang w:val="en-US" w:eastAsia="zh-CN" w:bidi="ar-SA"/>
      </w:rPr>
    </w:lvl>
    <w:lvl w:ilvl="8">
      <w:start w:val="0"/>
      <w:numFmt w:val="bullet"/>
      <w:lvlText w:val="•"/>
      <w:lvlJc w:val="left"/>
      <w:pPr>
        <w:ind w:left="8232" w:hanging="525"/>
      </w:pPr>
      <w:rPr>
        <w:rFonts w:hint="default"/>
        <w:lang w:val="en-US" w:eastAsia="zh-CN" w:bidi="ar-SA"/>
      </w:rPr>
    </w:lvl>
  </w:abstractNum>
  <w:abstractNum w:abstractNumId="4">
    <w:multiLevelType w:val="hybridMultilevel"/>
    <w:lvl w:ilvl="0">
      <w:start w:val="1"/>
      <w:numFmt w:val="decimal"/>
      <w:lvlText w:val="%1."/>
      <w:lvlJc w:val="left"/>
      <w:pPr>
        <w:ind w:left="120" w:hanging="212"/>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110" w:hanging="212"/>
      </w:pPr>
      <w:rPr>
        <w:rFonts w:hint="default"/>
        <w:lang w:val="en-US" w:eastAsia="zh-CN" w:bidi="ar-SA"/>
      </w:rPr>
    </w:lvl>
    <w:lvl w:ilvl="2">
      <w:start w:val="0"/>
      <w:numFmt w:val="bullet"/>
      <w:lvlText w:val="•"/>
      <w:lvlJc w:val="left"/>
      <w:pPr>
        <w:ind w:left="2101" w:hanging="212"/>
      </w:pPr>
      <w:rPr>
        <w:rFonts w:hint="default"/>
        <w:lang w:val="en-US" w:eastAsia="zh-CN" w:bidi="ar-SA"/>
      </w:rPr>
    </w:lvl>
    <w:lvl w:ilvl="3">
      <w:start w:val="0"/>
      <w:numFmt w:val="bullet"/>
      <w:lvlText w:val="•"/>
      <w:lvlJc w:val="left"/>
      <w:pPr>
        <w:ind w:left="3091" w:hanging="212"/>
      </w:pPr>
      <w:rPr>
        <w:rFonts w:hint="default"/>
        <w:lang w:val="en-US" w:eastAsia="zh-CN" w:bidi="ar-SA"/>
      </w:rPr>
    </w:lvl>
    <w:lvl w:ilvl="4">
      <w:start w:val="0"/>
      <w:numFmt w:val="bullet"/>
      <w:lvlText w:val="•"/>
      <w:lvlJc w:val="left"/>
      <w:pPr>
        <w:ind w:left="4082" w:hanging="212"/>
      </w:pPr>
      <w:rPr>
        <w:rFonts w:hint="default"/>
        <w:lang w:val="en-US" w:eastAsia="zh-CN" w:bidi="ar-SA"/>
      </w:rPr>
    </w:lvl>
    <w:lvl w:ilvl="5">
      <w:start w:val="0"/>
      <w:numFmt w:val="bullet"/>
      <w:lvlText w:val="•"/>
      <w:lvlJc w:val="left"/>
      <w:pPr>
        <w:ind w:left="5073" w:hanging="212"/>
      </w:pPr>
      <w:rPr>
        <w:rFonts w:hint="default"/>
        <w:lang w:val="en-US" w:eastAsia="zh-CN" w:bidi="ar-SA"/>
      </w:rPr>
    </w:lvl>
    <w:lvl w:ilvl="6">
      <w:start w:val="0"/>
      <w:numFmt w:val="bullet"/>
      <w:lvlText w:val="•"/>
      <w:lvlJc w:val="left"/>
      <w:pPr>
        <w:ind w:left="6063" w:hanging="212"/>
      </w:pPr>
      <w:rPr>
        <w:rFonts w:hint="default"/>
        <w:lang w:val="en-US" w:eastAsia="zh-CN" w:bidi="ar-SA"/>
      </w:rPr>
    </w:lvl>
    <w:lvl w:ilvl="7">
      <w:start w:val="0"/>
      <w:numFmt w:val="bullet"/>
      <w:lvlText w:val="•"/>
      <w:lvlJc w:val="left"/>
      <w:pPr>
        <w:ind w:left="7054" w:hanging="212"/>
      </w:pPr>
      <w:rPr>
        <w:rFonts w:hint="default"/>
        <w:lang w:val="en-US" w:eastAsia="zh-CN" w:bidi="ar-SA"/>
      </w:rPr>
    </w:lvl>
    <w:lvl w:ilvl="8">
      <w:start w:val="0"/>
      <w:numFmt w:val="bullet"/>
      <w:lvlText w:val="•"/>
      <w:lvlJc w:val="left"/>
      <w:pPr>
        <w:ind w:left="8044" w:hanging="212"/>
      </w:pPr>
      <w:rPr>
        <w:rFonts w:hint="default"/>
        <w:lang w:val="en-US" w:eastAsia="zh-CN" w:bidi="ar-SA"/>
      </w:rPr>
    </w:lvl>
  </w:abstractNum>
  <w:abstractNum w:abstractNumId="3">
    <w:multiLevelType w:val="hybridMultilevel"/>
    <w:lvl w:ilvl="0">
      <w:start w:val="1"/>
      <w:numFmt w:val="decimal"/>
      <w:lvlText w:val="（%1）"/>
      <w:lvlJc w:val="left"/>
      <w:pPr>
        <w:ind w:left="1065"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956" w:hanging="526"/>
      </w:pPr>
      <w:rPr>
        <w:rFonts w:hint="default"/>
        <w:lang w:val="en-US" w:eastAsia="zh-CN" w:bidi="ar-SA"/>
      </w:rPr>
    </w:lvl>
    <w:lvl w:ilvl="2">
      <w:start w:val="0"/>
      <w:numFmt w:val="bullet"/>
      <w:lvlText w:val="•"/>
      <w:lvlJc w:val="left"/>
      <w:pPr>
        <w:ind w:left="2853" w:hanging="526"/>
      </w:pPr>
      <w:rPr>
        <w:rFonts w:hint="default"/>
        <w:lang w:val="en-US" w:eastAsia="zh-CN" w:bidi="ar-SA"/>
      </w:rPr>
    </w:lvl>
    <w:lvl w:ilvl="3">
      <w:start w:val="0"/>
      <w:numFmt w:val="bullet"/>
      <w:lvlText w:val="•"/>
      <w:lvlJc w:val="left"/>
      <w:pPr>
        <w:ind w:left="3749" w:hanging="526"/>
      </w:pPr>
      <w:rPr>
        <w:rFonts w:hint="default"/>
        <w:lang w:val="en-US" w:eastAsia="zh-CN" w:bidi="ar-SA"/>
      </w:rPr>
    </w:lvl>
    <w:lvl w:ilvl="4">
      <w:start w:val="0"/>
      <w:numFmt w:val="bullet"/>
      <w:lvlText w:val="•"/>
      <w:lvlJc w:val="left"/>
      <w:pPr>
        <w:ind w:left="4646" w:hanging="526"/>
      </w:pPr>
      <w:rPr>
        <w:rFonts w:hint="default"/>
        <w:lang w:val="en-US" w:eastAsia="zh-CN" w:bidi="ar-SA"/>
      </w:rPr>
    </w:lvl>
    <w:lvl w:ilvl="5">
      <w:start w:val="0"/>
      <w:numFmt w:val="bullet"/>
      <w:lvlText w:val="•"/>
      <w:lvlJc w:val="left"/>
      <w:pPr>
        <w:ind w:left="5543" w:hanging="526"/>
      </w:pPr>
      <w:rPr>
        <w:rFonts w:hint="default"/>
        <w:lang w:val="en-US" w:eastAsia="zh-CN" w:bidi="ar-SA"/>
      </w:rPr>
    </w:lvl>
    <w:lvl w:ilvl="6">
      <w:start w:val="0"/>
      <w:numFmt w:val="bullet"/>
      <w:lvlText w:val="•"/>
      <w:lvlJc w:val="left"/>
      <w:pPr>
        <w:ind w:left="6439" w:hanging="526"/>
      </w:pPr>
      <w:rPr>
        <w:rFonts w:hint="default"/>
        <w:lang w:val="en-US" w:eastAsia="zh-CN" w:bidi="ar-SA"/>
      </w:rPr>
    </w:lvl>
    <w:lvl w:ilvl="7">
      <w:start w:val="0"/>
      <w:numFmt w:val="bullet"/>
      <w:lvlText w:val="•"/>
      <w:lvlJc w:val="left"/>
      <w:pPr>
        <w:ind w:left="7336" w:hanging="526"/>
      </w:pPr>
      <w:rPr>
        <w:rFonts w:hint="default"/>
        <w:lang w:val="en-US" w:eastAsia="zh-CN" w:bidi="ar-SA"/>
      </w:rPr>
    </w:lvl>
    <w:lvl w:ilvl="8">
      <w:start w:val="0"/>
      <w:numFmt w:val="bullet"/>
      <w:lvlText w:val="•"/>
      <w:lvlJc w:val="left"/>
      <w:pPr>
        <w:ind w:left="8232" w:hanging="526"/>
      </w:pPr>
      <w:rPr>
        <w:rFonts w:hint="default"/>
        <w:lang w:val="en-US" w:eastAsia="zh-CN" w:bidi="ar-SA"/>
      </w:rPr>
    </w:lvl>
  </w:abstractNum>
  <w:abstractNum w:abstractNumId="2">
    <w:multiLevelType w:val="hybridMultilevel"/>
    <w:lvl w:ilvl="0">
      <w:start w:val="1"/>
      <w:numFmt w:val="decimal"/>
      <w:lvlText w:val="（%1）"/>
      <w:lvlJc w:val="left"/>
      <w:pPr>
        <w:ind w:left="1065"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956" w:hanging="526"/>
      </w:pPr>
      <w:rPr>
        <w:rFonts w:hint="default"/>
        <w:lang w:val="en-US" w:eastAsia="zh-CN" w:bidi="ar-SA"/>
      </w:rPr>
    </w:lvl>
    <w:lvl w:ilvl="2">
      <w:start w:val="0"/>
      <w:numFmt w:val="bullet"/>
      <w:lvlText w:val="•"/>
      <w:lvlJc w:val="left"/>
      <w:pPr>
        <w:ind w:left="2853" w:hanging="526"/>
      </w:pPr>
      <w:rPr>
        <w:rFonts w:hint="default"/>
        <w:lang w:val="en-US" w:eastAsia="zh-CN" w:bidi="ar-SA"/>
      </w:rPr>
    </w:lvl>
    <w:lvl w:ilvl="3">
      <w:start w:val="0"/>
      <w:numFmt w:val="bullet"/>
      <w:lvlText w:val="•"/>
      <w:lvlJc w:val="left"/>
      <w:pPr>
        <w:ind w:left="3749" w:hanging="526"/>
      </w:pPr>
      <w:rPr>
        <w:rFonts w:hint="default"/>
        <w:lang w:val="en-US" w:eastAsia="zh-CN" w:bidi="ar-SA"/>
      </w:rPr>
    </w:lvl>
    <w:lvl w:ilvl="4">
      <w:start w:val="0"/>
      <w:numFmt w:val="bullet"/>
      <w:lvlText w:val="•"/>
      <w:lvlJc w:val="left"/>
      <w:pPr>
        <w:ind w:left="4646" w:hanging="526"/>
      </w:pPr>
      <w:rPr>
        <w:rFonts w:hint="default"/>
        <w:lang w:val="en-US" w:eastAsia="zh-CN" w:bidi="ar-SA"/>
      </w:rPr>
    </w:lvl>
    <w:lvl w:ilvl="5">
      <w:start w:val="0"/>
      <w:numFmt w:val="bullet"/>
      <w:lvlText w:val="•"/>
      <w:lvlJc w:val="left"/>
      <w:pPr>
        <w:ind w:left="5543" w:hanging="526"/>
      </w:pPr>
      <w:rPr>
        <w:rFonts w:hint="default"/>
        <w:lang w:val="en-US" w:eastAsia="zh-CN" w:bidi="ar-SA"/>
      </w:rPr>
    </w:lvl>
    <w:lvl w:ilvl="6">
      <w:start w:val="0"/>
      <w:numFmt w:val="bullet"/>
      <w:lvlText w:val="•"/>
      <w:lvlJc w:val="left"/>
      <w:pPr>
        <w:ind w:left="6439" w:hanging="526"/>
      </w:pPr>
      <w:rPr>
        <w:rFonts w:hint="default"/>
        <w:lang w:val="en-US" w:eastAsia="zh-CN" w:bidi="ar-SA"/>
      </w:rPr>
    </w:lvl>
    <w:lvl w:ilvl="7">
      <w:start w:val="0"/>
      <w:numFmt w:val="bullet"/>
      <w:lvlText w:val="•"/>
      <w:lvlJc w:val="left"/>
      <w:pPr>
        <w:ind w:left="7336" w:hanging="526"/>
      </w:pPr>
      <w:rPr>
        <w:rFonts w:hint="default"/>
        <w:lang w:val="en-US" w:eastAsia="zh-CN" w:bidi="ar-SA"/>
      </w:rPr>
    </w:lvl>
    <w:lvl w:ilvl="8">
      <w:start w:val="0"/>
      <w:numFmt w:val="bullet"/>
      <w:lvlText w:val="•"/>
      <w:lvlJc w:val="left"/>
      <w:pPr>
        <w:ind w:left="8232" w:hanging="526"/>
      </w:pPr>
      <w:rPr>
        <w:rFonts w:hint="default"/>
        <w:lang w:val="en-US" w:eastAsia="zh-CN" w:bidi="ar-SA"/>
      </w:rPr>
    </w:lvl>
  </w:abstractNum>
  <w:abstractNum w:abstractNumId="1">
    <w:multiLevelType w:val="hybridMultilevel"/>
    <w:lvl w:ilvl="0">
      <w:start w:val="1"/>
      <w:numFmt w:val="decimal"/>
      <w:lvlText w:val="（%1）"/>
      <w:lvlJc w:val="left"/>
      <w:pPr>
        <w:ind w:left="106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956" w:hanging="525"/>
      </w:pPr>
      <w:rPr>
        <w:rFonts w:hint="default"/>
        <w:lang w:val="en-US" w:eastAsia="zh-CN" w:bidi="ar-SA"/>
      </w:rPr>
    </w:lvl>
    <w:lvl w:ilvl="2">
      <w:start w:val="0"/>
      <w:numFmt w:val="bullet"/>
      <w:lvlText w:val="•"/>
      <w:lvlJc w:val="left"/>
      <w:pPr>
        <w:ind w:left="2853" w:hanging="525"/>
      </w:pPr>
      <w:rPr>
        <w:rFonts w:hint="default"/>
        <w:lang w:val="en-US" w:eastAsia="zh-CN" w:bidi="ar-SA"/>
      </w:rPr>
    </w:lvl>
    <w:lvl w:ilvl="3">
      <w:start w:val="0"/>
      <w:numFmt w:val="bullet"/>
      <w:lvlText w:val="•"/>
      <w:lvlJc w:val="left"/>
      <w:pPr>
        <w:ind w:left="3749" w:hanging="525"/>
      </w:pPr>
      <w:rPr>
        <w:rFonts w:hint="default"/>
        <w:lang w:val="en-US" w:eastAsia="zh-CN" w:bidi="ar-SA"/>
      </w:rPr>
    </w:lvl>
    <w:lvl w:ilvl="4">
      <w:start w:val="0"/>
      <w:numFmt w:val="bullet"/>
      <w:lvlText w:val="•"/>
      <w:lvlJc w:val="left"/>
      <w:pPr>
        <w:ind w:left="4646" w:hanging="525"/>
      </w:pPr>
      <w:rPr>
        <w:rFonts w:hint="default"/>
        <w:lang w:val="en-US" w:eastAsia="zh-CN" w:bidi="ar-SA"/>
      </w:rPr>
    </w:lvl>
    <w:lvl w:ilvl="5">
      <w:start w:val="0"/>
      <w:numFmt w:val="bullet"/>
      <w:lvlText w:val="•"/>
      <w:lvlJc w:val="left"/>
      <w:pPr>
        <w:ind w:left="5543" w:hanging="525"/>
      </w:pPr>
      <w:rPr>
        <w:rFonts w:hint="default"/>
        <w:lang w:val="en-US" w:eastAsia="zh-CN" w:bidi="ar-SA"/>
      </w:rPr>
    </w:lvl>
    <w:lvl w:ilvl="6">
      <w:start w:val="0"/>
      <w:numFmt w:val="bullet"/>
      <w:lvlText w:val="•"/>
      <w:lvlJc w:val="left"/>
      <w:pPr>
        <w:ind w:left="6439" w:hanging="525"/>
      </w:pPr>
      <w:rPr>
        <w:rFonts w:hint="default"/>
        <w:lang w:val="en-US" w:eastAsia="zh-CN" w:bidi="ar-SA"/>
      </w:rPr>
    </w:lvl>
    <w:lvl w:ilvl="7">
      <w:start w:val="0"/>
      <w:numFmt w:val="bullet"/>
      <w:lvlText w:val="•"/>
      <w:lvlJc w:val="left"/>
      <w:pPr>
        <w:ind w:left="7336" w:hanging="525"/>
      </w:pPr>
      <w:rPr>
        <w:rFonts w:hint="default"/>
        <w:lang w:val="en-US" w:eastAsia="zh-CN" w:bidi="ar-SA"/>
      </w:rPr>
    </w:lvl>
    <w:lvl w:ilvl="8">
      <w:start w:val="0"/>
      <w:numFmt w:val="bullet"/>
      <w:lvlText w:val="•"/>
      <w:lvlJc w:val="left"/>
      <w:pPr>
        <w:ind w:left="8232" w:hanging="525"/>
      </w:pPr>
      <w:rPr>
        <w:rFonts w:hint="default"/>
        <w:lang w:val="en-US" w:eastAsia="zh-CN" w:bidi="ar-SA"/>
      </w:rPr>
    </w:lvl>
  </w:abstractNum>
  <w:abstractNum w:abstractNumId="0">
    <w:multiLevelType w:val="hybridMultilevel"/>
    <w:lvl w:ilvl="0">
      <w:start w:val="1"/>
      <w:numFmt w:val="decimal"/>
      <w:lvlText w:val="%1."/>
      <w:lvlJc w:val="left"/>
      <w:pPr>
        <w:ind w:left="120" w:hanging="212"/>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110" w:hanging="212"/>
      </w:pPr>
      <w:rPr>
        <w:rFonts w:hint="default"/>
        <w:lang w:val="en-US" w:eastAsia="zh-CN" w:bidi="ar-SA"/>
      </w:rPr>
    </w:lvl>
    <w:lvl w:ilvl="2">
      <w:start w:val="0"/>
      <w:numFmt w:val="bullet"/>
      <w:lvlText w:val="•"/>
      <w:lvlJc w:val="left"/>
      <w:pPr>
        <w:ind w:left="2101" w:hanging="212"/>
      </w:pPr>
      <w:rPr>
        <w:rFonts w:hint="default"/>
        <w:lang w:val="en-US" w:eastAsia="zh-CN" w:bidi="ar-SA"/>
      </w:rPr>
    </w:lvl>
    <w:lvl w:ilvl="3">
      <w:start w:val="0"/>
      <w:numFmt w:val="bullet"/>
      <w:lvlText w:val="•"/>
      <w:lvlJc w:val="left"/>
      <w:pPr>
        <w:ind w:left="3091" w:hanging="212"/>
      </w:pPr>
      <w:rPr>
        <w:rFonts w:hint="default"/>
        <w:lang w:val="en-US" w:eastAsia="zh-CN" w:bidi="ar-SA"/>
      </w:rPr>
    </w:lvl>
    <w:lvl w:ilvl="4">
      <w:start w:val="0"/>
      <w:numFmt w:val="bullet"/>
      <w:lvlText w:val="•"/>
      <w:lvlJc w:val="left"/>
      <w:pPr>
        <w:ind w:left="4082" w:hanging="212"/>
      </w:pPr>
      <w:rPr>
        <w:rFonts w:hint="default"/>
        <w:lang w:val="en-US" w:eastAsia="zh-CN" w:bidi="ar-SA"/>
      </w:rPr>
    </w:lvl>
    <w:lvl w:ilvl="5">
      <w:start w:val="0"/>
      <w:numFmt w:val="bullet"/>
      <w:lvlText w:val="•"/>
      <w:lvlJc w:val="left"/>
      <w:pPr>
        <w:ind w:left="5073" w:hanging="212"/>
      </w:pPr>
      <w:rPr>
        <w:rFonts w:hint="default"/>
        <w:lang w:val="en-US" w:eastAsia="zh-CN" w:bidi="ar-SA"/>
      </w:rPr>
    </w:lvl>
    <w:lvl w:ilvl="6">
      <w:start w:val="0"/>
      <w:numFmt w:val="bullet"/>
      <w:lvlText w:val="•"/>
      <w:lvlJc w:val="left"/>
      <w:pPr>
        <w:ind w:left="6063" w:hanging="212"/>
      </w:pPr>
      <w:rPr>
        <w:rFonts w:hint="default"/>
        <w:lang w:val="en-US" w:eastAsia="zh-CN" w:bidi="ar-SA"/>
      </w:rPr>
    </w:lvl>
    <w:lvl w:ilvl="7">
      <w:start w:val="0"/>
      <w:numFmt w:val="bullet"/>
      <w:lvlText w:val="•"/>
      <w:lvlJc w:val="left"/>
      <w:pPr>
        <w:ind w:left="7054" w:hanging="212"/>
      </w:pPr>
      <w:rPr>
        <w:rFonts w:hint="default"/>
        <w:lang w:val="en-US" w:eastAsia="zh-CN" w:bidi="ar-SA"/>
      </w:rPr>
    </w:lvl>
    <w:lvl w:ilvl="8">
      <w:start w:val="0"/>
      <w:numFmt w:val="bullet"/>
      <w:lvlText w:val="•"/>
      <w:lvlJc w:val="left"/>
      <w:pPr>
        <w:ind w:left="8044" w:hanging="212"/>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120"/>
    </w:pPr>
    <w:rPr>
      <w:rFonts w:ascii="宋体" w:hAnsi="宋体" w:eastAsia="宋体" w:cs="宋体"/>
      <w:b/>
      <w:bCs/>
      <w:sz w:val="21"/>
      <w:szCs w:val="21"/>
      <w:lang w:val="en-US" w:eastAsia="zh-CN" w:bidi="ar-SA"/>
    </w:rPr>
  </w:style>
  <w:style w:styleId="TOC2" w:type="paragraph">
    <w:name w:val="TOC 2"/>
    <w:basedOn w:val="Normal"/>
    <w:uiPriority w:val="1"/>
    <w:qFormat/>
    <w:pPr>
      <w:spacing w:before="124"/>
      <w:ind w:left="120"/>
    </w:pPr>
    <w:rPr>
      <w:rFonts w:ascii="宋体" w:hAnsi="宋体" w:eastAsia="宋体" w:cs="宋体"/>
      <w:b/>
      <w:bCs/>
      <w:i/>
      <w:iCs/>
      <w:lang w:val="en-US" w:eastAsia="zh-CN" w:bidi="ar-SA"/>
    </w:rPr>
  </w:style>
  <w:style w:styleId="TOC3" w:type="paragraph">
    <w:name w:val="TOC 3"/>
    <w:basedOn w:val="Normal"/>
    <w:uiPriority w:val="1"/>
    <w:qFormat/>
    <w:pPr>
      <w:spacing w:before="43"/>
      <w:ind w:left="540"/>
    </w:pPr>
    <w:rPr>
      <w:rFonts w:ascii="宋体" w:hAnsi="宋体" w:eastAsia="宋体" w:cs="宋体"/>
      <w:b/>
      <w:bCs/>
      <w:sz w:val="21"/>
      <w:szCs w:val="21"/>
      <w:lang w:val="en-US" w:eastAsia="zh-CN" w:bidi="ar-SA"/>
    </w:rPr>
  </w:style>
  <w:style w:styleId="TOC4" w:type="paragraph">
    <w:name w:val="TOC 4"/>
    <w:basedOn w:val="Normal"/>
    <w:uiPriority w:val="1"/>
    <w:qFormat/>
    <w:pPr>
      <w:spacing w:before="43"/>
      <w:ind w:left="540"/>
    </w:pPr>
    <w:rPr>
      <w:rFonts w:ascii="宋体" w:hAnsi="宋体" w:eastAsia="宋体" w:cs="宋体"/>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012"/>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ind w:left="120"/>
      <w:outlineLvl w:val="2"/>
    </w:pPr>
    <w:rPr>
      <w:rFonts w:ascii="宋体" w:hAnsi="宋体" w:eastAsia="宋体" w:cs="宋体"/>
      <w:b/>
      <w:bCs/>
      <w:sz w:val="21"/>
      <w:szCs w:val="21"/>
      <w:lang w:val="en-US" w:eastAsia="zh-CN" w:bidi="ar-SA"/>
    </w:rPr>
  </w:style>
  <w:style w:styleId="Title" w:type="paragraph">
    <w:name w:val="Title"/>
    <w:basedOn w:val="Normal"/>
    <w:uiPriority w:val="1"/>
    <w:qFormat/>
    <w:pPr>
      <w:ind w:left="140" w:right="184"/>
      <w:jc w:val="center"/>
    </w:pPr>
    <w:rPr>
      <w:rFonts w:ascii="隶书" w:hAnsi="隶书" w:eastAsia="隶书" w:cs="隶书"/>
      <w:b/>
      <w:bCs/>
      <w:sz w:val="52"/>
      <w:szCs w:val="52"/>
      <w:lang w:val="en-US" w:eastAsia="zh-CN" w:bidi="ar-SA"/>
    </w:rPr>
  </w:style>
  <w:style w:styleId="ListParagraph" w:type="paragraph">
    <w:name w:val="List Paragraph"/>
    <w:basedOn w:val="Normal"/>
    <w:uiPriority w:val="1"/>
    <w:qFormat/>
    <w:pPr>
      <w:spacing w:before="43"/>
      <w:ind w:left="1064" w:hanging="525"/>
    </w:pPr>
    <w:rPr>
      <w:rFonts w:ascii="宋体" w:hAnsi="宋体" w:eastAsia="宋体" w:cs="宋体"/>
      <w:lang w:val="en-US" w:eastAsia="zh-CN" w:bidi="ar-SA"/>
    </w:rPr>
  </w:style>
  <w:style w:styleId="TableParagraph" w:type="paragraph">
    <w:name w:val="Table Paragraph"/>
    <w:basedOn w:val="Normal"/>
    <w:uiPriority w:val="1"/>
    <w:qFormat/>
    <w:pPr>
      <w:spacing w:before="27"/>
      <w:ind w:left="711" w:right="447"/>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footer" Target="footer2.xml"/><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2023-06-05T08:58:15Z</dcterms:created>
  <dcterms:modified xsi:type="dcterms:W3CDTF">2023-06-05T08:58:15Z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