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6"/>
        <w:ind w:left="0" w:right="185" w:firstLine="0"/>
        <w:jc w:val="right"/>
        <w:rPr>
          <w:sz w:val="15"/>
        </w:rPr>
      </w:pPr>
      <w:r>
        <w:rPr>
          <w:w w:val="95"/>
          <w:sz w:val="15"/>
        </w:rPr>
        <w:t>横</w:t>
      </w:r>
      <w:r>
        <w:rPr>
          <w:w w:val="95"/>
          <w:sz w:val="15"/>
        </w:rPr>
        <w:t>琴</w:t>
      </w:r>
      <w:r>
        <w:rPr>
          <w:w w:val="95"/>
          <w:sz w:val="15"/>
        </w:rPr>
        <w:t>人</w:t>
      </w:r>
      <w:r>
        <w:rPr>
          <w:w w:val="95"/>
          <w:sz w:val="15"/>
        </w:rPr>
        <w:t>寿</w:t>
      </w:r>
      <w:r>
        <w:rPr>
          <w:w w:val="95"/>
          <w:sz w:val="15"/>
        </w:rPr>
        <w:t>[2021]</w:t>
      </w:r>
      <w:r>
        <w:rPr>
          <w:w w:val="95"/>
          <w:sz w:val="15"/>
        </w:rPr>
        <w:t>疾</w:t>
      </w:r>
      <w:r>
        <w:rPr>
          <w:w w:val="95"/>
          <w:sz w:val="15"/>
        </w:rPr>
        <w:t>病</w:t>
      </w:r>
      <w:r>
        <w:rPr>
          <w:w w:val="95"/>
          <w:sz w:val="15"/>
        </w:rPr>
        <w:t>保</w:t>
      </w:r>
      <w:r>
        <w:rPr>
          <w:w w:val="95"/>
          <w:sz w:val="15"/>
        </w:rPr>
        <w:t>险</w:t>
      </w:r>
      <w:r>
        <w:rPr>
          <w:spacing w:val="5"/>
          <w:sz w:val="15"/>
        </w:rPr>
        <w:t> </w:t>
      </w:r>
      <w:r>
        <w:rPr>
          <w:w w:val="95"/>
          <w:sz w:val="15"/>
        </w:rPr>
        <w:t>047</w:t>
      </w:r>
      <w:r>
        <w:rPr>
          <w:spacing w:val="10"/>
          <w:sz w:val="15"/>
        </w:rPr>
        <w:t> </w:t>
      </w:r>
      <w:r>
        <w:rPr>
          <w:spacing w:val="-10"/>
          <w:w w:val="95"/>
          <w:sz w:val="15"/>
        </w:rPr>
        <w:t>号</w:t>
      </w:r>
    </w:p>
    <w:p>
      <w:pPr>
        <w:spacing w:line="620" w:lineRule="atLeast" w:before="1"/>
        <w:ind w:left="4153" w:right="2197" w:hanging="2060"/>
        <w:jc w:val="left"/>
        <w:rPr>
          <w:sz w:val="32"/>
        </w:rPr>
      </w:pPr>
      <w:r>
        <w:rPr/>
        <w:drawing>
          <wp:anchor distT="0" distB="0" distL="0" distR="0" allowOverlap="1" layoutInCell="1" locked="0" behindDoc="0" simplePos="0" relativeHeight="15728640">
            <wp:simplePos x="0" y="0"/>
            <wp:positionH relativeFrom="page">
              <wp:posOffset>5885688</wp:posOffset>
            </wp:positionH>
            <wp:positionV relativeFrom="paragraph">
              <wp:posOffset>27984</wp:posOffset>
            </wp:positionV>
            <wp:extent cx="725423" cy="722376"/>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5423" cy="722376"/>
                    </a:xfrm>
                    <a:prstGeom prst="rect">
                      <a:avLst/>
                    </a:prstGeom>
                  </pic:spPr>
                </pic:pic>
              </a:graphicData>
            </a:graphic>
          </wp:anchor>
        </w:drawing>
      </w:r>
      <w:r>
        <w:rPr>
          <w:spacing w:val="-2"/>
          <w:sz w:val="32"/>
        </w:rPr>
        <w:t>横琴互联网小飞象定期重大疾病保险条款</w:t>
      </w:r>
      <w:r>
        <w:rPr>
          <w:sz w:val="32"/>
        </w:rPr>
        <w:t>阅 读 指 引</w:t>
      </w:r>
    </w:p>
    <w:p>
      <w:pPr>
        <w:spacing w:line="166" w:lineRule="exact" w:before="0"/>
        <w:ind w:left="0" w:right="497" w:firstLine="0"/>
        <w:jc w:val="right"/>
        <w:rPr>
          <w:sz w:val="15"/>
        </w:rPr>
      </w:pPr>
      <w:r>
        <w:rPr>
          <w:w w:val="95"/>
          <w:sz w:val="15"/>
        </w:rPr>
        <w:t>请</w:t>
      </w:r>
      <w:r>
        <w:rPr>
          <w:w w:val="95"/>
          <w:sz w:val="15"/>
        </w:rPr>
        <w:t>扫</w:t>
      </w:r>
      <w:r>
        <w:rPr>
          <w:w w:val="95"/>
          <w:sz w:val="15"/>
        </w:rPr>
        <w:t>描</w:t>
      </w:r>
      <w:r>
        <w:rPr>
          <w:w w:val="95"/>
          <w:sz w:val="15"/>
        </w:rPr>
        <w:t>以</w:t>
      </w:r>
      <w:r>
        <w:rPr>
          <w:w w:val="95"/>
          <w:sz w:val="15"/>
        </w:rPr>
        <w:t>查</w:t>
      </w:r>
      <w:r>
        <w:rPr>
          <w:w w:val="95"/>
          <w:sz w:val="15"/>
        </w:rPr>
        <w:t>询</w:t>
      </w:r>
      <w:r>
        <w:rPr>
          <w:w w:val="95"/>
          <w:sz w:val="15"/>
        </w:rPr>
        <w:t>验</w:t>
      </w:r>
      <w:r>
        <w:rPr>
          <w:w w:val="95"/>
          <w:sz w:val="15"/>
        </w:rPr>
        <w:t>证</w:t>
      </w:r>
      <w:r>
        <w:rPr>
          <w:w w:val="95"/>
          <w:sz w:val="15"/>
        </w:rPr>
        <w:t>条</w:t>
      </w:r>
      <w:r>
        <w:rPr>
          <w:spacing w:val="-10"/>
          <w:w w:val="95"/>
          <w:sz w:val="15"/>
        </w:rPr>
        <w:t>款</w:t>
      </w:r>
    </w:p>
    <w:p>
      <w:pPr>
        <w:pStyle w:val="Heading3"/>
        <w:spacing w:line="316" w:lineRule="exact"/>
        <w:ind w:left="1979"/>
      </w:pPr>
      <w:r>
        <w:rPr>
          <w:spacing w:val="-3"/>
        </w:rPr>
        <w:t>本阅读指引有助于您理解条款，对本合同内容的解释以条款为准。</w:t>
      </w:r>
    </w:p>
    <w:p>
      <w:pPr>
        <w:spacing w:line="26" w:lineRule="exact" w:before="0"/>
        <w:ind w:left="2017" w:right="0" w:firstLine="0"/>
        <w:jc w:val="left"/>
        <w:rPr>
          <w:sz w:val="4"/>
        </w:rPr>
      </w:pPr>
      <w:r>
        <w:rPr>
          <w:w w:val="72"/>
          <w:sz w:val="4"/>
        </w:rPr>
        <w:t>●</w:t>
      </w:r>
    </w:p>
    <w:p>
      <w:pPr>
        <w:pStyle w:val="BodyText"/>
        <w:spacing w:before="4"/>
        <w:rPr>
          <w:sz w:val="5"/>
        </w:rPr>
      </w:pPr>
    </w:p>
    <w:p>
      <w:pPr>
        <w:pStyle w:val="Heading3"/>
        <w:spacing w:line="530" w:lineRule="exact"/>
        <w:ind w:left="405"/>
      </w:pPr>
      <w:r>
        <w:rPr/>
        <w:pict>
          <v:shapetype id="_x0000_t202" o:spt="202" coordsize="21600,21600" path="m,l,21600r21600,l21600,xe">
            <v:stroke joinstyle="miter"/>
            <v:path gradientshapeok="t" o:connecttype="rect"/>
          </v:shapetype>
          <v:shape style="position:absolute;margin-left:114.956161pt;margin-top:26.104481pt;width:9.450pt;height:11.75pt;mso-position-horizontal-relative:page;mso-position-vertical-relative:paragraph;z-index:15729152" type="#_x0000_t202" id="docshape1" filled="false" stroked="false">
            <v:textbox inset="0,0,0,0">
              <w:txbxContent>
                <w:p>
                  <w:pPr>
                    <w:spacing w:line="234" w:lineRule="exact" w:before="0"/>
                    <w:ind w:left="0" w:right="0" w:firstLine="0"/>
                    <w:jc w:val="left"/>
                    <w:rPr>
                      <w:sz w:val="21"/>
                    </w:rPr>
                  </w:pPr>
                  <w:r>
                    <w:rPr>
                      <w:w w:val="89"/>
                      <w:sz w:val="21"/>
                    </w:rPr>
                    <w:t></w:t>
                  </w:r>
                </w:p>
              </w:txbxContent>
            </v:textbox>
            <w10:wrap type="none"/>
          </v:shape>
        </w:pict>
      </w:r>
      <w:r>
        <w:rPr/>
        <w:drawing>
          <wp:anchor distT="0" distB="0" distL="0" distR="0" allowOverlap="1" layoutInCell="1" locked="0" behindDoc="0" simplePos="0" relativeHeight="15730176">
            <wp:simplePos x="0" y="0"/>
            <wp:positionH relativeFrom="page">
              <wp:posOffset>755904</wp:posOffset>
            </wp:positionH>
            <wp:positionV relativeFrom="paragraph">
              <wp:posOffset>13196</wp:posOffset>
            </wp:positionV>
            <wp:extent cx="6303264" cy="808329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03264" cy="8083296"/>
                    </a:xfrm>
                    <a:prstGeom prst="rect">
                      <a:avLst/>
                    </a:prstGeom>
                  </pic:spPr>
                </pic:pic>
              </a:graphicData>
            </a:graphic>
          </wp:anchor>
        </w:drawing>
      </w:r>
      <w:r>
        <w:rPr>
          <w:rFonts w:ascii="宋体" w:hAnsi="宋体" w:eastAsia="宋体" w:hint="eastAsia"/>
          <w:b w:val="0"/>
          <w:position w:val="-11"/>
          <w:sz w:val="52"/>
        </w:rPr>
        <w:t></w:t>
      </w:r>
      <w:r>
        <w:rPr>
          <w:rFonts w:ascii="宋体" w:hAnsi="宋体" w:eastAsia="宋体" w:hint="eastAsia"/>
          <w:b w:val="0"/>
          <w:spacing w:val="222"/>
          <w:position w:val="-11"/>
          <w:sz w:val="52"/>
        </w:rPr>
        <w:t> </w:t>
      </w:r>
      <w:r>
        <w:rPr>
          <w:spacing w:val="-2"/>
        </w:rPr>
        <w:t>您拥有的重要权益</w:t>
      </w:r>
    </w:p>
    <w:p>
      <w:pPr>
        <w:pStyle w:val="BodyText"/>
        <w:tabs>
          <w:tab w:pos="8939" w:val="left" w:leader="dot"/>
        </w:tabs>
        <w:spacing w:line="220" w:lineRule="exact"/>
        <w:ind w:left="1796"/>
      </w:pPr>
      <w:r>
        <w:rPr>
          <w:spacing w:val="-2"/>
        </w:rPr>
        <w:t>犹</w:t>
      </w:r>
      <w:r>
        <w:rPr>
          <w:spacing w:val="-2"/>
        </w:rPr>
        <w:t>豫</w:t>
      </w:r>
      <w:r>
        <w:rPr>
          <w:spacing w:val="-2"/>
        </w:rPr>
        <w:t>期</w:t>
      </w:r>
      <w:r>
        <w:rPr>
          <w:spacing w:val="-2"/>
        </w:rPr>
        <w:t>内</w:t>
      </w:r>
      <w:r>
        <w:rPr>
          <w:spacing w:val="-2"/>
        </w:rPr>
        <w:t>您</w:t>
      </w:r>
      <w:r>
        <w:rPr>
          <w:spacing w:val="-2"/>
        </w:rPr>
        <w:t>可</w:t>
      </w:r>
      <w:r>
        <w:rPr>
          <w:spacing w:val="-2"/>
        </w:rPr>
        <w:t>以</w:t>
      </w:r>
      <w:r>
        <w:rPr>
          <w:spacing w:val="-2"/>
        </w:rPr>
        <w:t>要</w:t>
      </w:r>
      <w:r>
        <w:rPr>
          <w:spacing w:val="-2"/>
        </w:rPr>
        <w:t>求</w:t>
      </w:r>
      <w:r>
        <w:rPr>
          <w:spacing w:val="-2"/>
        </w:rPr>
        <w:t>全</w:t>
      </w:r>
      <w:r>
        <w:rPr>
          <w:spacing w:val="-2"/>
        </w:rPr>
        <w:t>额</w:t>
      </w:r>
      <w:r>
        <w:rPr>
          <w:spacing w:val="-2"/>
        </w:rPr>
        <w:t>退</w:t>
      </w:r>
      <w:r>
        <w:rPr>
          <w:spacing w:val="-2"/>
        </w:rPr>
        <w:t>还</w:t>
      </w:r>
      <w:r>
        <w:rPr>
          <w:spacing w:val="-2"/>
        </w:rPr>
        <w:t>保</w:t>
      </w:r>
      <w:r>
        <w:rPr>
          <w:spacing w:val="-2"/>
        </w:rPr>
        <w:t>险</w:t>
      </w:r>
      <w:r>
        <w:rPr>
          <w:spacing w:val="-2"/>
        </w:rPr>
        <w:t>费</w:t>
      </w:r>
      <w:r>
        <w:rPr>
          <w:spacing w:val="-10"/>
        </w:rPr>
        <w:t>…</w:t>
      </w:r>
      <w:r>
        <w:rPr>
          <w:rFonts w:ascii="Times New Roman" w:hAnsi="Times New Roman" w:eastAsia="Times New Roman"/>
        </w:rPr>
        <w:tab/>
      </w:r>
      <w:r>
        <w:rPr>
          <w:spacing w:val="-2"/>
        </w:rPr>
        <w:t>第</w:t>
      </w:r>
      <w:r>
        <w:rPr>
          <w:spacing w:val="-2"/>
        </w:rPr>
        <w:t>1.4</w:t>
      </w:r>
      <w:r>
        <w:rPr>
          <w:spacing w:val="-10"/>
        </w:rPr>
        <w:t>条</w:t>
      </w:r>
    </w:p>
    <w:p>
      <w:pPr>
        <w:spacing w:line="31" w:lineRule="exact" w:before="0"/>
        <w:ind w:left="2046" w:right="0" w:firstLine="0"/>
        <w:jc w:val="left"/>
        <w:rPr>
          <w:sz w:val="4"/>
        </w:rPr>
      </w:pPr>
      <w:r>
        <w:rPr>
          <w:w w:val="72"/>
          <w:sz w:val="4"/>
        </w:rPr>
        <w:t>●</w:t>
      </w:r>
    </w:p>
    <w:p>
      <w:pPr>
        <w:pStyle w:val="BodyText"/>
        <w:tabs>
          <w:tab w:pos="8939" w:val="left" w:leader="dot"/>
        </w:tabs>
        <w:spacing w:before="33"/>
        <w:ind w:left="1379"/>
      </w:pPr>
      <w:r>
        <w:rPr/>
        <w:t></w:t>
      </w:r>
      <w:r>
        <w:rPr>
          <w:spacing w:val="85"/>
        </w:rPr>
        <w:t> </w:t>
      </w:r>
      <w:r>
        <w:rPr/>
        <w:t>被保险人可</w:t>
      </w:r>
      <w:r>
        <w:rPr/>
        <w:t>以享受本</w:t>
      </w:r>
      <w:r>
        <w:rPr/>
        <w:t>合同提供</w:t>
      </w:r>
      <w:r>
        <w:rPr/>
        <w:t>的保障</w:t>
      </w:r>
      <w:r>
        <w:rPr>
          <w:spacing w:val="-10"/>
        </w:rPr>
        <w:t>…</w:t>
      </w:r>
      <w:r>
        <w:rPr>
          <w:rFonts w:ascii="Times New Roman" w:hAnsi="Times New Roman" w:eastAsia="Times New Roman"/>
        </w:rPr>
        <w:tab/>
      </w:r>
      <w:r>
        <w:rPr>
          <w:spacing w:val="-2"/>
        </w:rPr>
        <w:t>第</w:t>
      </w:r>
      <w:r>
        <w:rPr>
          <w:spacing w:val="-2"/>
        </w:rPr>
        <w:t>2.4</w:t>
      </w:r>
      <w:r>
        <w:rPr>
          <w:spacing w:val="-10"/>
        </w:rPr>
        <w:t>条</w:t>
      </w:r>
    </w:p>
    <w:p>
      <w:pPr>
        <w:pStyle w:val="BodyText"/>
        <w:tabs>
          <w:tab w:pos="8939" w:val="left" w:leader="dot"/>
        </w:tabs>
        <w:spacing w:line="241" w:lineRule="exact" w:before="43"/>
        <w:ind w:left="1379"/>
      </w:pPr>
      <w:r>
        <w:rPr/>
        <w:t></w:t>
      </w:r>
      <w:r>
        <w:rPr>
          <w:spacing w:val="95"/>
        </w:rPr>
        <w:t> </w:t>
      </w:r>
      <w:r>
        <w:rPr/>
        <w:t>您有退保的</w:t>
      </w:r>
      <w:r>
        <w:rPr/>
        <w:t>权利</w:t>
      </w:r>
      <w:r>
        <w:rPr>
          <w:spacing w:val="-10"/>
        </w:rPr>
        <w:t>…</w:t>
      </w:r>
      <w:r>
        <w:rPr>
          <w:rFonts w:ascii="Times New Roman" w:hAnsi="Times New Roman" w:eastAsia="Times New Roman"/>
        </w:rPr>
        <w:tab/>
      </w:r>
      <w:r>
        <w:rPr>
          <w:spacing w:val="-2"/>
        </w:rPr>
        <w:t>第</w:t>
      </w:r>
      <w:r>
        <w:rPr>
          <w:spacing w:val="-2"/>
        </w:rPr>
        <w:t>7.1</w:t>
      </w:r>
      <w:r>
        <w:rPr>
          <w:spacing w:val="-10"/>
        </w:rPr>
        <w:t>条</w:t>
      </w:r>
    </w:p>
    <w:p>
      <w:pPr>
        <w:pStyle w:val="Heading3"/>
        <w:spacing w:line="554" w:lineRule="exact"/>
        <w:ind w:left="405"/>
      </w:pPr>
      <w:r>
        <w:rPr>
          <w:rFonts w:ascii="宋体" w:hAnsi="宋体" w:eastAsia="宋体" w:hint="eastAsia"/>
          <w:b w:val="0"/>
          <w:position w:val="-11"/>
          <w:sz w:val="52"/>
        </w:rPr>
        <w:t></w:t>
      </w:r>
      <w:r>
        <w:rPr>
          <w:rFonts w:ascii="宋体" w:hAnsi="宋体" w:eastAsia="宋体" w:hint="eastAsia"/>
          <w:b w:val="0"/>
          <w:spacing w:val="222"/>
          <w:position w:val="-11"/>
          <w:sz w:val="52"/>
        </w:rPr>
        <w:t> </w:t>
      </w:r>
      <w:r>
        <w:rPr>
          <w:spacing w:val="-1"/>
        </w:rPr>
        <w:t>您应当特别注意的事项</w:t>
      </w:r>
    </w:p>
    <w:p>
      <w:pPr>
        <w:pStyle w:val="BodyText"/>
        <w:tabs>
          <w:tab w:pos="8938" w:val="left" w:leader="dot"/>
        </w:tabs>
        <w:spacing w:line="185" w:lineRule="exact"/>
        <w:ind w:left="1379"/>
      </w:pPr>
      <w:r>
        <w:rPr/>
        <w:t></w:t>
      </w:r>
      <w:r>
        <w:rPr>
          <w:spacing w:val="85"/>
        </w:rPr>
        <w:t> </w:t>
      </w:r>
      <w:r>
        <w:rPr/>
        <w:t>在某些情况</w:t>
      </w:r>
      <w:r>
        <w:rPr/>
        <w:t>下，我们</w:t>
      </w:r>
      <w:r>
        <w:rPr/>
        <w:t>不承担保</w:t>
      </w:r>
      <w:r>
        <w:rPr/>
        <w:t>险责任</w:t>
      </w:r>
      <w:r>
        <w:rPr>
          <w:spacing w:val="-10"/>
        </w:rPr>
        <w:t>…</w:t>
      </w:r>
      <w:r>
        <w:rPr>
          <w:rFonts w:ascii="Times New Roman" w:hAnsi="Times New Roman" w:eastAsia="Times New Roman"/>
        </w:rPr>
        <w:tab/>
      </w:r>
      <w:r>
        <w:rPr>
          <w:spacing w:val="-2"/>
        </w:rPr>
        <w:t>第</w:t>
      </w:r>
      <w:r>
        <w:rPr>
          <w:spacing w:val="-2"/>
        </w:rPr>
        <w:t>2.5</w:t>
      </w:r>
      <w:r>
        <w:rPr>
          <w:spacing w:val="-10"/>
        </w:rPr>
        <w:t>条</w:t>
      </w:r>
    </w:p>
    <w:p>
      <w:pPr>
        <w:pStyle w:val="BodyText"/>
        <w:tabs>
          <w:tab w:pos="8938" w:val="left" w:leader="dot"/>
        </w:tabs>
        <w:spacing w:before="42"/>
        <w:ind w:left="1379"/>
      </w:pPr>
      <w:r>
        <w:rPr/>
        <w:t></w:t>
      </w:r>
      <w:r>
        <w:rPr>
          <w:spacing w:val="85"/>
        </w:rPr>
        <w:t> </w:t>
      </w:r>
      <w:r>
        <w:rPr/>
        <w:t>您有及时向</w:t>
      </w:r>
      <w:r>
        <w:rPr/>
        <w:t>我们通知</w:t>
      </w:r>
      <w:r>
        <w:rPr/>
        <w:t>保险事故</w:t>
      </w:r>
      <w:r>
        <w:rPr/>
        <w:t>的责任</w:t>
      </w:r>
      <w:r>
        <w:rPr>
          <w:spacing w:val="-10"/>
        </w:rPr>
        <w:t>…</w:t>
      </w:r>
      <w:r>
        <w:rPr>
          <w:rFonts w:ascii="Times New Roman" w:hAnsi="Times New Roman" w:eastAsia="Times New Roman"/>
        </w:rPr>
        <w:tab/>
      </w:r>
      <w:r>
        <w:rPr>
          <w:spacing w:val="-2"/>
        </w:rPr>
        <w:t>第</w:t>
      </w:r>
      <w:r>
        <w:rPr>
          <w:spacing w:val="-2"/>
        </w:rPr>
        <w:t>3.2</w:t>
      </w:r>
      <w:r>
        <w:rPr>
          <w:spacing w:val="-10"/>
        </w:rPr>
        <w:t>条</w:t>
      </w:r>
    </w:p>
    <w:p>
      <w:pPr>
        <w:pStyle w:val="BodyText"/>
        <w:tabs>
          <w:tab w:pos="8938" w:val="left" w:leader="dot"/>
        </w:tabs>
        <w:spacing w:before="43"/>
        <w:ind w:left="1379"/>
      </w:pPr>
      <w:r>
        <w:rPr/>
        <w:t></w:t>
      </w:r>
      <w:r>
        <w:rPr>
          <w:spacing w:val="90"/>
        </w:rPr>
        <w:t> </w:t>
      </w:r>
      <w:r>
        <w:rPr/>
        <w:t>您应当按时</w:t>
      </w:r>
      <w:r>
        <w:rPr/>
        <w:t>支付保险</w:t>
      </w:r>
      <w:r>
        <w:rPr/>
        <w:t>费</w:t>
      </w:r>
      <w:r>
        <w:rPr>
          <w:spacing w:val="-10"/>
        </w:rPr>
        <w:t>…</w:t>
      </w:r>
      <w:r>
        <w:rPr>
          <w:rFonts w:ascii="Times New Roman" w:hAnsi="Times New Roman" w:eastAsia="Times New Roman"/>
        </w:rPr>
        <w:tab/>
      </w:r>
      <w:r>
        <w:rPr>
          <w:spacing w:val="-2"/>
        </w:rPr>
        <w:t>第</w:t>
      </w:r>
      <w:r>
        <w:rPr>
          <w:spacing w:val="-2"/>
        </w:rPr>
        <w:t>4.1</w:t>
      </w:r>
      <w:r>
        <w:rPr>
          <w:spacing w:val="-10"/>
        </w:rPr>
        <w:t>条</w:t>
      </w:r>
    </w:p>
    <w:p>
      <w:pPr>
        <w:pStyle w:val="BodyText"/>
        <w:tabs>
          <w:tab w:pos="8938" w:val="left" w:leader="dot"/>
        </w:tabs>
        <w:spacing w:before="43"/>
        <w:ind w:left="1379"/>
      </w:pPr>
      <w:r>
        <w:rPr/>
        <w:t></w:t>
      </w:r>
      <w:r>
        <w:rPr>
          <w:spacing w:val="80"/>
        </w:rPr>
        <w:t> </w:t>
      </w:r>
      <w:r>
        <w:rPr/>
        <w:t>退保会给您</w:t>
      </w:r>
      <w:r>
        <w:rPr/>
        <w:t>造成一定</w:t>
      </w:r>
      <w:r>
        <w:rPr/>
        <w:t>的损失，</w:t>
      </w:r>
      <w:r>
        <w:rPr/>
        <w:t>请您慎重</w:t>
      </w:r>
      <w:r>
        <w:rPr/>
        <w:t>决策</w:t>
      </w:r>
      <w:r>
        <w:rPr>
          <w:spacing w:val="-10"/>
        </w:rPr>
        <w:t>…</w:t>
      </w:r>
      <w:r>
        <w:rPr>
          <w:rFonts w:ascii="Times New Roman" w:hAnsi="Times New Roman" w:eastAsia="Times New Roman"/>
        </w:rPr>
        <w:tab/>
      </w:r>
      <w:r>
        <w:rPr>
          <w:spacing w:val="-2"/>
        </w:rPr>
        <w:t>第</w:t>
      </w:r>
      <w:r>
        <w:rPr>
          <w:spacing w:val="-2"/>
        </w:rPr>
        <w:t>7.1</w:t>
      </w:r>
      <w:r>
        <w:rPr>
          <w:spacing w:val="-10"/>
        </w:rPr>
        <w:t>条</w:t>
      </w:r>
    </w:p>
    <w:p>
      <w:pPr>
        <w:pStyle w:val="BodyText"/>
        <w:tabs>
          <w:tab w:pos="8938" w:val="left" w:leader="dot"/>
        </w:tabs>
        <w:spacing w:before="43"/>
        <w:ind w:left="1379"/>
      </w:pPr>
      <w:r>
        <w:rPr/>
        <w:t></w:t>
      </w:r>
      <w:r>
        <w:rPr>
          <w:spacing w:val="95"/>
        </w:rPr>
        <w:t> </w:t>
      </w:r>
      <w:r>
        <w:rPr/>
        <w:t>您有如实告</w:t>
      </w:r>
      <w:r>
        <w:rPr/>
        <w:t>知的义</w:t>
      </w:r>
      <w:r>
        <w:rPr>
          <w:spacing w:val="-10"/>
        </w:rPr>
        <w:t>务</w:t>
      </w:r>
      <w:r>
        <w:rPr>
          <w:rFonts w:ascii="Times New Roman" w:hAnsi="Times New Roman" w:eastAsia="Times New Roman"/>
        </w:rPr>
        <w:tab/>
      </w:r>
      <w:r>
        <w:rPr>
          <w:spacing w:val="-2"/>
        </w:rPr>
        <w:t>第</w:t>
      </w:r>
      <w:r>
        <w:rPr>
          <w:spacing w:val="-2"/>
        </w:rPr>
        <w:t>8.1</w:t>
      </w:r>
      <w:r>
        <w:rPr>
          <w:spacing w:val="-10"/>
        </w:rPr>
        <w:t>条</w:t>
      </w:r>
    </w:p>
    <w:p>
      <w:pPr>
        <w:spacing w:line="223" w:lineRule="auto" w:before="58"/>
        <w:ind w:left="1796" w:right="488" w:hanging="418"/>
        <w:jc w:val="left"/>
        <w:rPr>
          <w:rFonts w:ascii="微软雅黑" w:hAnsi="微软雅黑" w:eastAsia="微软雅黑"/>
          <w:b/>
          <w:sz w:val="21"/>
        </w:rPr>
      </w:pPr>
      <w:r>
        <w:rPr/>
        <w:pict>
          <v:shape style="position:absolute;margin-left:114.956161pt;margin-top:18.76944pt;width:9.450pt;height:11.75pt;mso-position-horizontal-relative:page;mso-position-vertical-relative:paragraph;z-index:-17750016" type="#_x0000_t202" id="docshape2" filled="false" stroked="false">
            <v:textbox inset="0,0,0,0">
              <w:txbxContent>
                <w:p>
                  <w:pPr>
                    <w:spacing w:line="234" w:lineRule="exact" w:before="0"/>
                    <w:ind w:left="0" w:right="0" w:firstLine="0"/>
                    <w:jc w:val="left"/>
                    <w:rPr>
                      <w:sz w:val="21"/>
                    </w:rPr>
                  </w:pPr>
                  <w:r>
                    <w:rPr>
                      <w:w w:val="89"/>
                      <w:sz w:val="21"/>
                    </w:rPr>
                    <w:t></w:t>
                  </w:r>
                </w:p>
              </w:txbxContent>
            </v:textbox>
            <w10:wrap type="none"/>
          </v:shape>
        </w:pict>
      </w:r>
      <w:r>
        <w:rPr>
          <w:sz w:val="21"/>
        </w:rPr>
        <w:t></w:t>
      </w:r>
      <w:r>
        <w:rPr>
          <w:spacing w:val="-1"/>
          <w:sz w:val="21"/>
        </w:rPr>
        <w:t> 我们对一些重要术语进行了解释，并作了显著标识，请您注意…………………第 </w:t>
      </w:r>
      <w:r>
        <w:rPr>
          <w:sz w:val="21"/>
        </w:rPr>
        <w:t>9</w:t>
      </w:r>
      <w:r>
        <w:rPr>
          <w:spacing w:val="-8"/>
          <w:sz w:val="21"/>
        </w:rPr>
        <w:t> 条</w:t>
      </w:r>
      <w:r>
        <w:rPr>
          <w:rFonts w:ascii="微软雅黑" w:hAnsi="微软雅黑" w:eastAsia="微软雅黑"/>
          <w:b/>
          <w:spacing w:val="-2"/>
          <w:sz w:val="21"/>
        </w:rPr>
        <w:t>我们对可能影响被保险人享受本保险合同保障的重要内容进行了显著标识，请您仔细</w:t>
      </w:r>
    </w:p>
    <w:p>
      <w:pPr>
        <w:spacing w:line="51" w:lineRule="exact" w:before="0"/>
        <w:ind w:left="2046" w:right="0" w:firstLine="0"/>
        <w:jc w:val="left"/>
        <w:rPr>
          <w:sz w:val="4"/>
        </w:rPr>
      </w:pPr>
      <w:r>
        <w:rPr>
          <w:w w:val="72"/>
          <w:sz w:val="4"/>
        </w:rPr>
        <w:t>●</w:t>
      </w:r>
    </w:p>
    <w:p>
      <w:pPr>
        <w:pStyle w:val="Heading3"/>
        <w:spacing w:line="266" w:lineRule="exact"/>
        <w:ind w:left="1796"/>
      </w:pPr>
      <w:r>
        <w:rPr>
          <w:spacing w:val="-1"/>
        </w:rPr>
        <w:t>阅读正文有底纹的部分。</w:t>
      </w:r>
    </w:p>
    <w:p>
      <w:pPr>
        <w:spacing w:line="479" w:lineRule="exact" w:before="0"/>
        <w:ind w:left="405" w:right="0" w:firstLine="0"/>
        <w:jc w:val="left"/>
        <w:rPr>
          <w:rFonts w:ascii="微软雅黑" w:hAnsi="微软雅黑" w:eastAsia="微软雅黑"/>
          <w:b/>
          <w:sz w:val="21"/>
        </w:rPr>
      </w:pPr>
      <w:r>
        <w:rPr>
          <w:position w:val="-11"/>
          <w:sz w:val="52"/>
        </w:rPr>
        <w:t></w:t>
      </w:r>
      <w:r>
        <w:rPr>
          <w:spacing w:val="217"/>
          <w:position w:val="-11"/>
          <w:sz w:val="52"/>
        </w:rPr>
        <w:t> </w:t>
      </w:r>
      <w:r>
        <w:rPr>
          <w:rFonts w:ascii="微软雅黑" w:hAnsi="微软雅黑" w:eastAsia="微软雅黑"/>
          <w:b/>
          <w:spacing w:val="-1"/>
          <w:sz w:val="21"/>
        </w:rPr>
        <w:t>条款是保险合同的重要内容，为充分保障您的权益，请您仔细阅读本条款。</w:t>
      </w:r>
    </w:p>
    <w:p>
      <w:pPr>
        <w:spacing w:line="532" w:lineRule="exact" w:before="0"/>
        <w:ind w:left="405" w:right="0" w:firstLine="0"/>
        <w:jc w:val="left"/>
        <w:rPr>
          <w:rFonts w:ascii="微软雅黑" w:hAnsi="微软雅黑" w:eastAsia="微软雅黑"/>
          <w:b/>
          <w:sz w:val="21"/>
        </w:rPr>
      </w:pPr>
      <w:r>
        <w:rPr>
          <w:position w:val="-11"/>
          <w:sz w:val="52"/>
        </w:rPr>
        <w:t></w:t>
      </w:r>
      <w:r>
        <w:rPr>
          <w:spacing w:val="222"/>
          <w:position w:val="-11"/>
          <w:sz w:val="52"/>
        </w:rPr>
        <w:t> </w:t>
      </w:r>
      <w:r>
        <w:rPr>
          <w:rFonts w:ascii="微软雅黑" w:hAnsi="微软雅黑" w:eastAsia="微软雅黑"/>
          <w:b/>
          <w:spacing w:val="-3"/>
          <w:sz w:val="21"/>
        </w:rPr>
        <w:t>条款目录</w:t>
      </w:r>
    </w:p>
    <w:p>
      <w:pPr>
        <w:pStyle w:val="BodyText"/>
        <w:spacing w:before="1"/>
        <w:rPr>
          <w:rFonts w:ascii="微软雅黑"/>
          <w:b/>
          <w:sz w:val="9"/>
        </w:rPr>
      </w:pPr>
    </w:p>
    <w:tbl>
      <w:tblPr>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26"/>
        <w:gridCol w:w="2902"/>
        <w:gridCol w:w="3512"/>
      </w:tblGrid>
      <w:tr>
        <w:trPr>
          <w:trHeight w:val="339" w:hRule="atLeast"/>
        </w:trPr>
        <w:tc>
          <w:tcPr>
            <w:tcW w:w="3226" w:type="dxa"/>
            <w:tcBorders>
              <w:top w:val="single" w:sz="4" w:space="0" w:color="000000"/>
              <w:left w:val="single" w:sz="4" w:space="0" w:color="000000"/>
            </w:tcBorders>
          </w:tcPr>
          <w:p>
            <w:pPr>
              <w:pStyle w:val="TableParagraph"/>
              <w:spacing w:line="319" w:lineRule="exact"/>
              <w:ind w:left="210"/>
              <w:rPr>
                <w:rFonts w:ascii="微软雅黑" w:eastAsia="微软雅黑"/>
                <w:b/>
                <w:sz w:val="21"/>
              </w:rPr>
            </w:pPr>
            <w:r>
              <w:rPr>
                <w:rFonts w:ascii="微软雅黑" w:eastAsia="微软雅黑"/>
                <w:b/>
                <w:sz w:val="21"/>
              </w:rPr>
              <w:t>1.</w:t>
            </w:r>
            <w:r>
              <w:rPr>
                <w:rFonts w:ascii="微软雅黑" w:eastAsia="微软雅黑"/>
                <w:b/>
                <w:sz w:val="21"/>
              </w:rPr>
              <w:t>您</w:t>
            </w:r>
            <w:r>
              <w:rPr>
                <w:rFonts w:ascii="微软雅黑" w:eastAsia="微软雅黑"/>
                <w:b/>
                <w:sz w:val="21"/>
              </w:rPr>
              <w:t>与</w:t>
            </w:r>
            <w:r>
              <w:rPr>
                <w:rFonts w:ascii="微软雅黑" w:eastAsia="微软雅黑"/>
                <w:b/>
                <w:sz w:val="21"/>
              </w:rPr>
              <w:t>我</w:t>
            </w:r>
            <w:r>
              <w:rPr>
                <w:rFonts w:ascii="微软雅黑" w:eastAsia="微软雅黑"/>
                <w:b/>
                <w:sz w:val="21"/>
              </w:rPr>
              <w:t>们</w:t>
            </w:r>
            <w:r>
              <w:rPr>
                <w:rFonts w:ascii="微软雅黑" w:eastAsia="微软雅黑"/>
                <w:b/>
                <w:sz w:val="21"/>
              </w:rPr>
              <w:t>的</w:t>
            </w:r>
            <w:r>
              <w:rPr>
                <w:rFonts w:ascii="微软雅黑" w:eastAsia="微软雅黑"/>
                <w:b/>
                <w:sz w:val="21"/>
              </w:rPr>
              <w:t>合</w:t>
            </w:r>
            <w:r>
              <w:rPr>
                <w:rFonts w:ascii="微软雅黑" w:eastAsia="微软雅黑"/>
                <w:b/>
                <w:spacing w:val="-10"/>
                <w:sz w:val="21"/>
              </w:rPr>
              <w:t>同</w:t>
            </w:r>
          </w:p>
        </w:tc>
        <w:tc>
          <w:tcPr>
            <w:tcW w:w="2902" w:type="dxa"/>
            <w:tcBorders>
              <w:top w:val="single" w:sz="4" w:space="0" w:color="000000"/>
            </w:tcBorders>
          </w:tcPr>
          <w:p>
            <w:pPr>
              <w:pStyle w:val="TableParagraph"/>
              <w:spacing w:before="34"/>
              <w:ind w:left="225"/>
              <w:rPr>
                <w:sz w:val="21"/>
              </w:rPr>
            </w:pPr>
            <w:r>
              <w:rPr>
                <w:spacing w:val="-2"/>
                <w:sz w:val="21"/>
              </w:rPr>
              <w:t>3.2</w:t>
            </w:r>
            <w:r>
              <w:rPr>
                <w:spacing w:val="-10"/>
                <w:sz w:val="21"/>
              </w:rPr>
              <w:t> 保险事故通知</w:t>
            </w:r>
          </w:p>
        </w:tc>
        <w:tc>
          <w:tcPr>
            <w:tcW w:w="3512" w:type="dxa"/>
            <w:tcBorders>
              <w:top w:val="single" w:sz="4" w:space="0" w:color="000000"/>
              <w:right w:val="single" w:sz="4" w:space="0" w:color="000000"/>
            </w:tcBorders>
          </w:tcPr>
          <w:p>
            <w:pPr>
              <w:pStyle w:val="TableParagraph"/>
              <w:spacing w:before="34"/>
              <w:ind w:left="356"/>
              <w:rPr>
                <w:sz w:val="21"/>
              </w:rPr>
            </w:pPr>
            <w:r>
              <w:rPr>
                <w:spacing w:val="-2"/>
                <w:sz w:val="21"/>
              </w:rPr>
              <w:t>7.1</w:t>
            </w:r>
            <w:r>
              <w:rPr>
                <w:spacing w:val="-9"/>
                <w:sz w:val="21"/>
              </w:rPr>
              <w:t> 您解除合同的手续及风险</w:t>
            </w:r>
          </w:p>
        </w:tc>
      </w:tr>
      <w:tr>
        <w:trPr>
          <w:trHeight w:val="340" w:hRule="atLeast"/>
        </w:trPr>
        <w:tc>
          <w:tcPr>
            <w:tcW w:w="3226" w:type="dxa"/>
            <w:tcBorders>
              <w:left w:val="single" w:sz="4" w:space="0" w:color="000000"/>
            </w:tcBorders>
          </w:tcPr>
          <w:p>
            <w:pPr>
              <w:pStyle w:val="TableParagraph"/>
              <w:spacing w:before="36"/>
              <w:ind w:left="321"/>
              <w:rPr>
                <w:sz w:val="21"/>
              </w:rPr>
            </w:pPr>
            <w:r>
              <w:rPr>
                <w:spacing w:val="-2"/>
                <w:sz w:val="21"/>
              </w:rPr>
              <w:t>1.1</w:t>
            </w:r>
            <w:r>
              <w:rPr>
                <w:spacing w:val="-10"/>
                <w:sz w:val="21"/>
              </w:rPr>
              <w:t> 保险合同构成</w:t>
            </w:r>
          </w:p>
        </w:tc>
        <w:tc>
          <w:tcPr>
            <w:tcW w:w="2902" w:type="dxa"/>
          </w:tcPr>
          <w:p>
            <w:pPr>
              <w:pStyle w:val="TableParagraph"/>
              <w:spacing w:before="36"/>
              <w:ind w:left="225"/>
              <w:rPr>
                <w:sz w:val="21"/>
              </w:rPr>
            </w:pPr>
            <w:r>
              <w:rPr>
                <w:spacing w:val="-2"/>
                <w:sz w:val="21"/>
              </w:rPr>
              <w:t>3.3</w:t>
            </w:r>
            <w:r>
              <w:rPr>
                <w:spacing w:val="-12"/>
                <w:sz w:val="21"/>
              </w:rPr>
              <w:t> 保险金申请</w:t>
            </w:r>
          </w:p>
        </w:tc>
        <w:tc>
          <w:tcPr>
            <w:tcW w:w="3512" w:type="dxa"/>
            <w:tcBorders>
              <w:right w:val="single" w:sz="4" w:space="0" w:color="000000"/>
            </w:tcBorders>
          </w:tcPr>
          <w:p>
            <w:pPr>
              <w:pStyle w:val="TableParagraph"/>
              <w:spacing w:line="321" w:lineRule="exact"/>
              <w:ind w:left="356"/>
              <w:rPr>
                <w:rFonts w:ascii="微软雅黑" w:eastAsia="微软雅黑"/>
                <w:b/>
                <w:sz w:val="21"/>
              </w:rPr>
            </w:pPr>
            <w:r>
              <w:rPr>
                <w:rFonts w:ascii="微软雅黑" w:eastAsia="微软雅黑"/>
                <w:b/>
                <w:sz w:val="21"/>
              </w:rPr>
              <w:t>8.</w:t>
            </w:r>
            <w:r>
              <w:rPr>
                <w:rFonts w:ascii="微软雅黑" w:eastAsia="微软雅黑"/>
                <w:b/>
                <w:sz w:val="21"/>
              </w:rPr>
              <w:t>其</w:t>
            </w:r>
            <w:r>
              <w:rPr>
                <w:rFonts w:ascii="微软雅黑" w:eastAsia="微软雅黑"/>
                <w:b/>
                <w:sz w:val="21"/>
              </w:rPr>
              <w:t>他</w:t>
            </w:r>
            <w:r>
              <w:rPr>
                <w:rFonts w:ascii="微软雅黑" w:eastAsia="微软雅黑"/>
                <w:b/>
                <w:sz w:val="21"/>
              </w:rPr>
              <w:t>需</w:t>
            </w:r>
            <w:r>
              <w:rPr>
                <w:rFonts w:ascii="微软雅黑" w:eastAsia="微软雅黑"/>
                <w:b/>
                <w:sz w:val="21"/>
              </w:rPr>
              <w:t>要</w:t>
            </w:r>
            <w:r>
              <w:rPr>
                <w:rFonts w:ascii="微软雅黑" w:eastAsia="微软雅黑"/>
                <w:b/>
                <w:sz w:val="21"/>
              </w:rPr>
              <w:t>关</w:t>
            </w:r>
            <w:r>
              <w:rPr>
                <w:rFonts w:ascii="微软雅黑" w:eastAsia="微软雅黑"/>
                <w:b/>
                <w:sz w:val="21"/>
              </w:rPr>
              <w:t>注</w:t>
            </w:r>
            <w:r>
              <w:rPr>
                <w:rFonts w:ascii="微软雅黑" w:eastAsia="微软雅黑"/>
                <w:b/>
                <w:sz w:val="21"/>
              </w:rPr>
              <w:t>的</w:t>
            </w:r>
            <w:r>
              <w:rPr>
                <w:rFonts w:ascii="微软雅黑" w:eastAsia="微软雅黑"/>
                <w:b/>
                <w:sz w:val="21"/>
              </w:rPr>
              <w:t>事</w:t>
            </w:r>
            <w:r>
              <w:rPr>
                <w:rFonts w:ascii="微软雅黑" w:eastAsia="微软雅黑"/>
                <w:b/>
                <w:spacing w:val="-10"/>
                <w:sz w:val="21"/>
              </w:rPr>
              <w:t>项</w:t>
            </w:r>
          </w:p>
        </w:tc>
      </w:tr>
      <w:tr>
        <w:trPr>
          <w:trHeight w:val="338" w:hRule="atLeast"/>
        </w:trPr>
        <w:tc>
          <w:tcPr>
            <w:tcW w:w="3226" w:type="dxa"/>
            <w:tcBorders>
              <w:left w:val="single" w:sz="4" w:space="0" w:color="000000"/>
            </w:tcBorders>
          </w:tcPr>
          <w:p>
            <w:pPr>
              <w:pStyle w:val="TableParagraph"/>
              <w:spacing w:before="36"/>
              <w:ind w:left="321"/>
              <w:rPr>
                <w:sz w:val="21"/>
              </w:rPr>
            </w:pPr>
            <w:r>
              <w:rPr>
                <w:spacing w:val="-2"/>
                <w:sz w:val="21"/>
              </w:rPr>
              <w:t>1.2</w:t>
            </w:r>
            <w:r>
              <w:rPr>
                <w:spacing w:val="-10"/>
                <w:sz w:val="21"/>
              </w:rPr>
              <w:t> 保险合同成立与生效</w:t>
            </w:r>
          </w:p>
        </w:tc>
        <w:tc>
          <w:tcPr>
            <w:tcW w:w="2902" w:type="dxa"/>
          </w:tcPr>
          <w:p>
            <w:pPr>
              <w:pStyle w:val="TableParagraph"/>
              <w:spacing w:before="36"/>
              <w:ind w:left="225"/>
              <w:rPr>
                <w:sz w:val="21"/>
              </w:rPr>
            </w:pPr>
            <w:r>
              <w:rPr>
                <w:spacing w:val="-2"/>
                <w:sz w:val="21"/>
              </w:rPr>
              <w:t>3.4</w:t>
            </w:r>
            <w:r>
              <w:rPr>
                <w:spacing w:val="-12"/>
                <w:sz w:val="21"/>
              </w:rPr>
              <w:t> 保险金给付</w:t>
            </w:r>
          </w:p>
        </w:tc>
        <w:tc>
          <w:tcPr>
            <w:tcW w:w="3512" w:type="dxa"/>
            <w:tcBorders>
              <w:right w:val="single" w:sz="4" w:space="0" w:color="000000"/>
            </w:tcBorders>
          </w:tcPr>
          <w:p>
            <w:pPr>
              <w:pStyle w:val="TableParagraph"/>
              <w:spacing w:before="36"/>
              <w:ind w:left="356"/>
              <w:rPr>
                <w:sz w:val="21"/>
              </w:rPr>
            </w:pPr>
            <w:r>
              <w:rPr>
                <w:spacing w:val="-2"/>
                <w:sz w:val="21"/>
              </w:rPr>
              <w:t>8.1</w:t>
            </w:r>
            <w:r>
              <w:rPr>
                <w:spacing w:val="-10"/>
                <w:sz w:val="21"/>
              </w:rPr>
              <w:t> 明确说明与如实告知</w:t>
            </w:r>
          </w:p>
        </w:tc>
      </w:tr>
      <w:tr>
        <w:trPr>
          <w:trHeight w:val="338" w:hRule="atLeast"/>
        </w:trPr>
        <w:tc>
          <w:tcPr>
            <w:tcW w:w="3226" w:type="dxa"/>
            <w:tcBorders>
              <w:left w:val="single" w:sz="4" w:space="0" w:color="000000"/>
            </w:tcBorders>
          </w:tcPr>
          <w:p>
            <w:pPr>
              <w:pStyle w:val="TableParagraph"/>
              <w:spacing w:before="34"/>
              <w:ind w:left="321"/>
              <w:rPr>
                <w:sz w:val="21"/>
              </w:rPr>
            </w:pPr>
            <w:r>
              <w:rPr>
                <w:sz w:val="21"/>
              </w:rPr>
              <w:t>1.3</w:t>
            </w:r>
            <w:r>
              <w:rPr>
                <w:spacing w:val="-14"/>
                <w:sz w:val="21"/>
              </w:rPr>
              <w:t> 投保年龄</w:t>
            </w:r>
          </w:p>
        </w:tc>
        <w:tc>
          <w:tcPr>
            <w:tcW w:w="2902" w:type="dxa"/>
          </w:tcPr>
          <w:p>
            <w:pPr>
              <w:pStyle w:val="TableParagraph"/>
              <w:spacing w:line="318" w:lineRule="exact"/>
              <w:ind w:left="225"/>
              <w:rPr>
                <w:rFonts w:ascii="微软雅黑" w:eastAsia="微软雅黑"/>
                <w:b/>
                <w:sz w:val="21"/>
              </w:rPr>
            </w:pPr>
            <w:r>
              <w:rPr>
                <w:rFonts w:ascii="微软雅黑" w:eastAsia="微软雅黑"/>
                <w:b/>
                <w:sz w:val="21"/>
              </w:rPr>
              <w:t>4.</w:t>
            </w:r>
            <w:r>
              <w:rPr>
                <w:rFonts w:ascii="微软雅黑" w:eastAsia="微软雅黑"/>
                <w:b/>
                <w:sz w:val="21"/>
              </w:rPr>
              <w:t>如</w:t>
            </w:r>
            <w:r>
              <w:rPr>
                <w:rFonts w:ascii="微软雅黑" w:eastAsia="微软雅黑"/>
                <w:b/>
                <w:sz w:val="21"/>
              </w:rPr>
              <w:t>何</w:t>
            </w:r>
            <w:r>
              <w:rPr>
                <w:rFonts w:ascii="微软雅黑" w:eastAsia="微软雅黑"/>
                <w:b/>
                <w:sz w:val="21"/>
              </w:rPr>
              <w:t>支</w:t>
            </w:r>
            <w:r>
              <w:rPr>
                <w:rFonts w:ascii="微软雅黑" w:eastAsia="微软雅黑"/>
                <w:b/>
                <w:sz w:val="21"/>
              </w:rPr>
              <w:t>付</w:t>
            </w:r>
            <w:r>
              <w:rPr>
                <w:rFonts w:ascii="微软雅黑" w:eastAsia="微软雅黑"/>
                <w:b/>
                <w:sz w:val="21"/>
              </w:rPr>
              <w:t>保</w:t>
            </w:r>
            <w:r>
              <w:rPr>
                <w:rFonts w:ascii="微软雅黑" w:eastAsia="微软雅黑"/>
                <w:b/>
                <w:sz w:val="21"/>
              </w:rPr>
              <w:t>险</w:t>
            </w:r>
            <w:r>
              <w:rPr>
                <w:rFonts w:ascii="微软雅黑" w:eastAsia="微软雅黑"/>
                <w:b/>
                <w:spacing w:val="-10"/>
                <w:sz w:val="21"/>
              </w:rPr>
              <w:t>费</w:t>
            </w:r>
          </w:p>
        </w:tc>
        <w:tc>
          <w:tcPr>
            <w:tcW w:w="3512" w:type="dxa"/>
            <w:tcBorders>
              <w:right w:val="single" w:sz="4" w:space="0" w:color="000000"/>
            </w:tcBorders>
          </w:tcPr>
          <w:p>
            <w:pPr>
              <w:pStyle w:val="TableParagraph"/>
              <w:spacing w:before="34"/>
              <w:ind w:left="356"/>
              <w:rPr>
                <w:sz w:val="21"/>
              </w:rPr>
            </w:pPr>
            <w:r>
              <w:rPr>
                <w:spacing w:val="-2"/>
                <w:sz w:val="21"/>
              </w:rPr>
              <w:t>8.2</w:t>
            </w:r>
            <w:r>
              <w:rPr>
                <w:spacing w:val="-10"/>
                <w:sz w:val="21"/>
              </w:rPr>
              <w:t> 我们合同解除权的限制</w:t>
            </w:r>
          </w:p>
        </w:tc>
      </w:tr>
      <w:tr>
        <w:trPr>
          <w:trHeight w:val="340" w:hRule="atLeast"/>
        </w:trPr>
        <w:tc>
          <w:tcPr>
            <w:tcW w:w="3226" w:type="dxa"/>
            <w:tcBorders>
              <w:left w:val="single" w:sz="4" w:space="0" w:color="000000"/>
            </w:tcBorders>
          </w:tcPr>
          <w:p>
            <w:pPr>
              <w:pStyle w:val="TableParagraph"/>
              <w:spacing w:before="36"/>
              <w:ind w:left="321"/>
              <w:rPr>
                <w:sz w:val="21"/>
              </w:rPr>
            </w:pPr>
            <w:r>
              <w:rPr>
                <w:sz w:val="21"/>
              </w:rPr>
              <w:t>1.4</w:t>
            </w:r>
            <w:r>
              <w:rPr>
                <w:spacing w:val="-16"/>
                <w:sz w:val="21"/>
              </w:rPr>
              <w:t> 犹豫期</w:t>
            </w:r>
          </w:p>
        </w:tc>
        <w:tc>
          <w:tcPr>
            <w:tcW w:w="2902" w:type="dxa"/>
          </w:tcPr>
          <w:p>
            <w:pPr>
              <w:pStyle w:val="TableParagraph"/>
              <w:spacing w:before="36"/>
              <w:ind w:left="225"/>
              <w:rPr>
                <w:sz w:val="21"/>
              </w:rPr>
            </w:pPr>
            <w:r>
              <w:rPr>
                <w:spacing w:val="-2"/>
                <w:sz w:val="21"/>
              </w:rPr>
              <w:t>4.1</w:t>
            </w:r>
            <w:r>
              <w:rPr>
                <w:spacing w:val="-10"/>
                <w:sz w:val="21"/>
              </w:rPr>
              <w:t> 保险费的支付</w:t>
            </w:r>
          </w:p>
        </w:tc>
        <w:tc>
          <w:tcPr>
            <w:tcW w:w="3512" w:type="dxa"/>
            <w:tcBorders>
              <w:right w:val="single" w:sz="4" w:space="0" w:color="000000"/>
            </w:tcBorders>
          </w:tcPr>
          <w:p>
            <w:pPr>
              <w:pStyle w:val="TableParagraph"/>
              <w:spacing w:before="36"/>
              <w:ind w:left="356"/>
              <w:rPr>
                <w:sz w:val="21"/>
              </w:rPr>
            </w:pPr>
            <w:r>
              <w:rPr>
                <w:spacing w:val="-2"/>
                <w:sz w:val="21"/>
              </w:rPr>
              <w:t>8.3</w:t>
            </w:r>
            <w:r>
              <w:rPr>
                <w:spacing w:val="-10"/>
                <w:sz w:val="21"/>
              </w:rPr>
              <w:t> 年龄、性别错误</w:t>
            </w:r>
          </w:p>
        </w:tc>
      </w:tr>
      <w:tr>
        <w:trPr>
          <w:trHeight w:val="340" w:hRule="atLeast"/>
        </w:trPr>
        <w:tc>
          <w:tcPr>
            <w:tcW w:w="3226" w:type="dxa"/>
            <w:tcBorders>
              <w:left w:val="single" w:sz="4" w:space="0" w:color="000000"/>
            </w:tcBorders>
          </w:tcPr>
          <w:p>
            <w:pPr>
              <w:pStyle w:val="TableParagraph"/>
              <w:spacing w:line="321" w:lineRule="exact"/>
              <w:ind w:left="210"/>
              <w:rPr>
                <w:rFonts w:ascii="微软雅黑" w:eastAsia="微软雅黑"/>
                <w:b/>
                <w:sz w:val="21"/>
              </w:rPr>
            </w:pPr>
            <w:r>
              <w:rPr>
                <w:rFonts w:ascii="微软雅黑" w:eastAsia="微软雅黑"/>
                <w:b/>
                <w:sz w:val="21"/>
              </w:rPr>
              <w:t>2.</w:t>
            </w:r>
            <w:r>
              <w:rPr>
                <w:rFonts w:ascii="微软雅黑" w:eastAsia="微软雅黑"/>
                <w:b/>
                <w:sz w:val="21"/>
              </w:rPr>
              <w:t>我</w:t>
            </w:r>
            <w:r>
              <w:rPr>
                <w:rFonts w:ascii="微软雅黑" w:eastAsia="微软雅黑"/>
                <w:b/>
                <w:sz w:val="21"/>
              </w:rPr>
              <w:t>们</w:t>
            </w:r>
            <w:r>
              <w:rPr>
                <w:rFonts w:ascii="微软雅黑" w:eastAsia="微软雅黑"/>
                <w:b/>
                <w:sz w:val="21"/>
              </w:rPr>
              <w:t>提</w:t>
            </w:r>
            <w:r>
              <w:rPr>
                <w:rFonts w:ascii="微软雅黑" w:eastAsia="微软雅黑"/>
                <w:b/>
                <w:sz w:val="21"/>
              </w:rPr>
              <w:t>供</w:t>
            </w:r>
            <w:r>
              <w:rPr>
                <w:rFonts w:ascii="微软雅黑" w:eastAsia="微软雅黑"/>
                <w:b/>
                <w:sz w:val="21"/>
              </w:rPr>
              <w:t>的</w:t>
            </w:r>
            <w:r>
              <w:rPr>
                <w:rFonts w:ascii="微软雅黑" w:eastAsia="微软雅黑"/>
                <w:b/>
                <w:sz w:val="21"/>
              </w:rPr>
              <w:t>保</w:t>
            </w:r>
            <w:r>
              <w:rPr>
                <w:rFonts w:ascii="微软雅黑" w:eastAsia="微软雅黑"/>
                <w:b/>
                <w:spacing w:val="-10"/>
                <w:sz w:val="21"/>
              </w:rPr>
              <w:t>障</w:t>
            </w:r>
          </w:p>
        </w:tc>
        <w:tc>
          <w:tcPr>
            <w:tcW w:w="2902" w:type="dxa"/>
          </w:tcPr>
          <w:p>
            <w:pPr>
              <w:pStyle w:val="TableParagraph"/>
              <w:spacing w:before="36"/>
              <w:ind w:left="225"/>
              <w:rPr>
                <w:sz w:val="21"/>
              </w:rPr>
            </w:pPr>
            <w:r>
              <w:rPr>
                <w:sz w:val="21"/>
              </w:rPr>
              <w:t>4.2</w:t>
            </w:r>
            <w:r>
              <w:rPr>
                <w:spacing w:val="-16"/>
                <w:sz w:val="21"/>
              </w:rPr>
              <w:t> 宽限期</w:t>
            </w:r>
          </w:p>
        </w:tc>
        <w:tc>
          <w:tcPr>
            <w:tcW w:w="3512" w:type="dxa"/>
            <w:tcBorders>
              <w:right w:val="single" w:sz="4" w:space="0" w:color="000000"/>
            </w:tcBorders>
          </w:tcPr>
          <w:p>
            <w:pPr>
              <w:pStyle w:val="TableParagraph"/>
              <w:spacing w:before="36"/>
              <w:ind w:left="356"/>
              <w:rPr>
                <w:sz w:val="21"/>
              </w:rPr>
            </w:pPr>
            <w:r>
              <w:rPr>
                <w:sz w:val="21"/>
              </w:rPr>
              <w:t>8.4</w:t>
            </w:r>
            <w:r>
              <w:rPr>
                <w:spacing w:val="-14"/>
                <w:sz w:val="21"/>
              </w:rPr>
              <w:t> 未还款项</w:t>
            </w:r>
          </w:p>
        </w:tc>
      </w:tr>
      <w:tr>
        <w:trPr>
          <w:trHeight w:val="340" w:hRule="atLeast"/>
        </w:trPr>
        <w:tc>
          <w:tcPr>
            <w:tcW w:w="3226" w:type="dxa"/>
            <w:tcBorders>
              <w:left w:val="single" w:sz="4" w:space="0" w:color="000000"/>
            </w:tcBorders>
          </w:tcPr>
          <w:p>
            <w:pPr>
              <w:pStyle w:val="TableParagraph"/>
              <w:spacing w:before="36"/>
              <w:ind w:left="321"/>
              <w:rPr>
                <w:sz w:val="21"/>
              </w:rPr>
            </w:pPr>
            <w:r>
              <w:rPr>
                <w:spacing w:val="-2"/>
                <w:sz w:val="21"/>
              </w:rPr>
              <w:t>2.1</w:t>
            </w:r>
            <w:r>
              <w:rPr>
                <w:spacing w:val="-10"/>
                <w:sz w:val="21"/>
              </w:rPr>
              <w:t> 基本保险金额</w:t>
            </w:r>
          </w:p>
        </w:tc>
        <w:tc>
          <w:tcPr>
            <w:tcW w:w="2902" w:type="dxa"/>
          </w:tcPr>
          <w:p>
            <w:pPr>
              <w:pStyle w:val="TableParagraph"/>
              <w:spacing w:line="321" w:lineRule="exact"/>
              <w:ind w:left="225"/>
              <w:rPr>
                <w:rFonts w:ascii="微软雅黑" w:eastAsia="微软雅黑"/>
                <w:b/>
                <w:sz w:val="21"/>
              </w:rPr>
            </w:pPr>
            <w:r>
              <w:rPr>
                <w:rFonts w:ascii="微软雅黑" w:eastAsia="微软雅黑"/>
                <w:b/>
                <w:sz w:val="21"/>
              </w:rPr>
              <w:t>5.</w:t>
            </w:r>
            <w:r>
              <w:rPr>
                <w:rFonts w:ascii="微软雅黑" w:eastAsia="微软雅黑"/>
                <w:b/>
                <w:sz w:val="21"/>
              </w:rPr>
              <w:t>现</w:t>
            </w:r>
            <w:r>
              <w:rPr>
                <w:rFonts w:ascii="微软雅黑" w:eastAsia="微软雅黑"/>
                <w:b/>
                <w:sz w:val="21"/>
              </w:rPr>
              <w:t>金</w:t>
            </w:r>
            <w:r>
              <w:rPr>
                <w:rFonts w:ascii="微软雅黑" w:eastAsia="微软雅黑"/>
                <w:b/>
                <w:sz w:val="21"/>
              </w:rPr>
              <w:t>价</w:t>
            </w:r>
            <w:r>
              <w:rPr>
                <w:rFonts w:ascii="微软雅黑" w:eastAsia="微软雅黑"/>
                <w:b/>
                <w:sz w:val="21"/>
              </w:rPr>
              <w:t>值</w:t>
            </w:r>
            <w:r>
              <w:rPr>
                <w:rFonts w:ascii="微软雅黑" w:eastAsia="微软雅黑"/>
                <w:b/>
                <w:sz w:val="21"/>
              </w:rPr>
              <w:t>权</w:t>
            </w:r>
            <w:r>
              <w:rPr>
                <w:rFonts w:ascii="微软雅黑" w:eastAsia="微软雅黑"/>
                <w:b/>
                <w:spacing w:val="-10"/>
                <w:sz w:val="21"/>
              </w:rPr>
              <w:t>益</w:t>
            </w:r>
          </w:p>
        </w:tc>
        <w:tc>
          <w:tcPr>
            <w:tcW w:w="3512" w:type="dxa"/>
            <w:tcBorders>
              <w:right w:val="single" w:sz="4" w:space="0" w:color="000000"/>
            </w:tcBorders>
          </w:tcPr>
          <w:p>
            <w:pPr>
              <w:pStyle w:val="TableParagraph"/>
              <w:spacing w:before="36"/>
              <w:ind w:left="356"/>
              <w:rPr>
                <w:sz w:val="21"/>
              </w:rPr>
            </w:pPr>
            <w:r>
              <w:rPr>
                <w:spacing w:val="-2"/>
                <w:sz w:val="21"/>
              </w:rPr>
              <w:t>8.5</w:t>
            </w:r>
            <w:r>
              <w:rPr>
                <w:spacing w:val="-10"/>
                <w:sz w:val="21"/>
              </w:rPr>
              <w:t> 合同内容变更</w:t>
            </w:r>
          </w:p>
        </w:tc>
      </w:tr>
      <w:tr>
        <w:trPr>
          <w:trHeight w:val="340" w:hRule="atLeast"/>
        </w:trPr>
        <w:tc>
          <w:tcPr>
            <w:tcW w:w="3226" w:type="dxa"/>
            <w:tcBorders>
              <w:left w:val="single" w:sz="4" w:space="0" w:color="000000"/>
            </w:tcBorders>
          </w:tcPr>
          <w:p>
            <w:pPr>
              <w:pStyle w:val="TableParagraph"/>
              <w:spacing w:before="36"/>
              <w:ind w:left="321"/>
              <w:rPr>
                <w:sz w:val="21"/>
              </w:rPr>
            </w:pPr>
            <w:r>
              <w:rPr>
                <w:spacing w:val="-2"/>
                <w:sz w:val="21"/>
              </w:rPr>
              <w:t>2.2</w:t>
            </w:r>
            <w:r>
              <w:rPr>
                <w:spacing w:val="-9"/>
                <w:sz w:val="21"/>
              </w:rPr>
              <w:t> 未成年人身故保险金限制</w:t>
            </w:r>
          </w:p>
        </w:tc>
        <w:tc>
          <w:tcPr>
            <w:tcW w:w="2902" w:type="dxa"/>
          </w:tcPr>
          <w:p>
            <w:pPr>
              <w:pStyle w:val="TableParagraph"/>
              <w:spacing w:before="36"/>
              <w:ind w:left="225"/>
              <w:rPr>
                <w:sz w:val="21"/>
              </w:rPr>
            </w:pPr>
            <w:r>
              <w:rPr>
                <w:sz w:val="21"/>
              </w:rPr>
              <w:t>5.1</w:t>
            </w:r>
            <w:r>
              <w:rPr>
                <w:spacing w:val="-14"/>
                <w:sz w:val="21"/>
              </w:rPr>
              <w:t> 现金价值</w:t>
            </w:r>
          </w:p>
        </w:tc>
        <w:tc>
          <w:tcPr>
            <w:tcW w:w="3512" w:type="dxa"/>
            <w:tcBorders>
              <w:right w:val="single" w:sz="4" w:space="0" w:color="000000"/>
            </w:tcBorders>
          </w:tcPr>
          <w:p>
            <w:pPr>
              <w:pStyle w:val="TableParagraph"/>
              <w:spacing w:before="36"/>
              <w:ind w:left="356"/>
              <w:rPr>
                <w:sz w:val="21"/>
              </w:rPr>
            </w:pPr>
            <w:r>
              <w:rPr>
                <w:spacing w:val="-2"/>
                <w:sz w:val="21"/>
              </w:rPr>
              <w:t>8.6</w:t>
            </w:r>
            <w:r>
              <w:rPr>
                <w:spacing w:val="-10"/>
                <w:sz w:val="21"/>
              </w:rPr>
              <w:t> 联系方式变更</w:t>
            </w:r>
          </w:p>
        </w:tc>
      </w:tr>
      <w:tr>
        <w:trPr>
          <w:trHeight w:val="338" w:hRule="atLeast"/>
        </w:trPr>
        <w:tc>
          <w:tcPr>
            <w:tcW w:w="3226" w:type="dxa"/>
            <w:tcBorders>
              <w:left w:val="single" w:sz="4" w:space="0" w:color="000000"/>
            </w:tcBorders>
          </w:tcPr>
          <w:p>
            <w:pPr>
              <w:pStyle w:val="TableParagraph"/>
              <w:spacing w:before="36"/>
              <w:ind w:left="321"/>
              <w:rPr>
                <w:sz w:val="21"/>
              </w:rPr>
            </w:pPr>
            <w:r>
              <w:rPr>
                <w:sz w:val="21"/>
              </w:rPr>
              <w:t>2.3</w:t>
            </w:r>
            <w:r>
              <w:rPr>
                <w:spacing w:val="-14"/>
                <w:sz w:val="21"/>
              </w:rPr>
              <w:t> 保险期间</w:t>
            </w:r>
          </w:p>
        </w:tc>
        <w:tc>
          <w:tcPr>
            <w:tcW w:w="2902" w:type="dxa"/>
          </w:tcPr>
          <w:p>
            <w:pPr>
              <w:pStyle w:val="TableParagraph"/>
              <w:spacing w:before="36"/>
              <w:ind w:left="225"/>
              <w:rPr>
                <w:sz w:val="21"/>
              </w:rPr>
            </w:pPr>
            <w:r>
              <w:rPr>
                <w:sz w:val="21"/>
              </w:rPr>
              <w:t>5.2</w:t>
            </w:r>
            <w:r>
              <w:rPr>
                <w:spacing w:val="-14"/>
                <w:sz w:val="21"/>
              </w:rPr>
              <w:t> 保单贷款</w:t>
            </w:r>
          </w:p>
        </w:tc>
        <w:tc>
          <w:tcPr>
            <w:tcW w:w="3512" w:type="dxa"/>
            <w:tcBorders>
              <w:right w:val="single" w:sz="4" w:space="0" w:color="000000"/>
            </w:tcBorders>
          </w:tcPr>
          <w:p>
            <w:pPr>
              <w:pStyle w:val="TableParagraph"/>
              <w:spacing w:before="36"/>
              <w:ind w:left="356"/>
              <w:rPr>
                <w:sz w:val="21"/>
              </w:rPr>
            </w:pPr>
            <w:r>
              <w:rPr>
                <w:sz w:val="21"/>
              </w:rPr>
              <w:t>8.7</w:t>
            </w:r>
            <w:r>
              <w:rPr>
                <w:spacing w:val="-14"/>
                <w:sz w:val="21"/>
              </w:rPr>
              <w:t> 争议处理</w:t>
            </w:r>
          </w:p>
        </w:tc>
      </w:tr>
      <w:tr>
        <w:trPr>
          <w:trHeight w:val="338" w:hRule="atLeast"/>
        </w:trPr>
        <w:tc>
          <w:tcPr>
            <w:tcW w:w="3226" w:type="dxa"/>
            <w:tcBorders>
              <w:left w:val="single" w:sz="4" w:space="0" w:color="000000"/>
            </w:tcBorders>
          </w:tcPr>
          <w:p>
            <w:pPr>
              <w:pStyle w:val="TableParagraph"/>
              <w:spacing w:before="34"/>
              <w:ind w:left="321"/>
              <w:rPr>
                <w:sz w:val="21"/>
              </w:rPr>
            </w:pPr>
            <w:r>
              <w:rPr>
                <w:sz w:val="21"/>
              </w:rPr>
              <w:t>2.4</w:t>
            </w:r>
            <w:r>
              <w:rPr>
                <w:spacing w:val="-14"/>
                <w:sz w:val="21"/>
              </w:rPr>
              <w:t> 保险责任</w:t>
            </w:r>
          </w:p>
        </w:tc>
        <w:tc>
          <w:tcPr>
            <w:tcW w:w="2902" w:type="dxa"/>
          </w:tcPr>
          <w:p>
            <w:pPr>
              <w:pStyle w:val="TableParagraph"/>
              <w:spacing w:line="318" w:lineRule="exact"/>
              <w:ind w:left="225"/>
              <w:rPr>
                <w:rFonts w:ascii="微软雅黑" w:eastAsia="微软雅黑"/>
                <w:b/>
                <w:sz w:val="21"/>
              </w:rPr>
            </w:pPr>
            <w:r>
              <w:rPr>
                <w:rFonts w:ascii="微软雅黑" w:eastAsia="微软雅黑"/>
                <w:b/>
                <w:sz w:val="21"/>
              </w:rPr>
              <w:t>6.</w:t>
            </w:r>
            <w:r>
              <w:rPr>
                <w:rFonts w:ascii="微软雅黑" w:eastAsia="微软雅黑"/>
                <w:b/>
                <w:sz w:val="21"/>
              </w:rPr>
              <w:t>合</w:t>
            </w:r>
            <w:r>
              <w:rPr>
                <w:rFonts w:ascii="微软雅黑" w:eastAsia="微软雅黑"/>
                <w:b/>
                <w:sz w:val="21"/>
              </w:rPr>
              <w:t>同</w:t>
            </w:r>
            <w:r>
              <w:rPr>
                <w:rFonts w:ascii="微软雅黑" w:eastAsia="微软雅黑"/>
                <w:b/>
                <w:sz w:val="21"/>
              </w:rPr>
              <w:t>效</w:t>
            </w:r>
            <w:r>
              <w:rPr>
                <w:rFonts w:ascii="微软雅黑" w:eastAsia="微软雅黑"/>
                <w:b/>
                <w:sz w:val="21"/>
              </w:rPr>
              <w:t>力</w:t>
            </w:r>
            <w:r>
              <w:rPr>
                <w:rFonts w:ascii="微软雅黑" w:eastAsia="微软雅黑"/>
                <w:b/>
                <w:sz w:val="21"/>
              </w:rPr>
              <w:t>的</w:t>
            </w:r>
            <w:r>
              <w:rPr>
                <w:rFonts w:ascii="微软雅黑" w:eastAsia="微软雅黑"/>
                <w:b/>
                <w:sz w:val="21"/>
              </w:rPr>
              <w:t>中</w:t>
            </w:r>
            <w:r>
              <w:rPr>
                <w:rFonts w:ascii="微软雅黑" w:eastAsia="微软雅黑"/>
                <w:b/>
                <w:sz w:val="21"/>
              </w:rPr>
              <w:t>止</w:t>
            </w:r>
            <w:r>
              <w:rPr>
                <w:rFonts w:ascii="微软雅黑" w:eastAsia="微软雅黑"/>
                <w:b/>
                <w:sz w:val="21"/>
              </w:rPr>
              <w:t>和</w:t>
            </w:r>
            <w:r>
              <w:rPr>
                <w:rFonts w:ascii="微软雅黑" w:eastAsia="微软雅黑"/>
                <w:b/>
                <w:sz w:val="21"/>
              </w:rPr>
              <w:t>恢</w:t>
            </w:r>
            <w:r>
              <w:rPr>
                <w:rFonts w:ascii="微软雅黑" w:eastAsia="微软雅黑"/>
                <w:b/>
                <w:spacing w:val="-10"/>
                <w:sz w:val="21"/>
              </w:rPr>
              <w:t>复</w:t>
            </w:r>
          </w:p>
        </w:tc>
        <w:tc>
          <w:tcPr>
            <w:tcW w:w="3512" w:type="dxa"/>
            <w:tcBorders>
              <w:right w:val="single" w:sz="4" w:space="0" w:color="000000"/>
            </w:tcBorders>
          </w:tcPr>
          <w:p>
            <w:pPr>
              <w:pStyle w:val="TableParagraph"/>
              <w:spacing w:line="318" w:lineRule="exact"/>
              <w:ind w:left="356"/>
              <w:rPr>
                <w:rFonts w:ascii="微软雅黑" w:eastAsia="微软雅黑"/>
                <w:b/>
                <w:sz w:val="21"/>
              </w:rPr>
            </w:pPr>
            <w:r>
              <w:rPr>
                <w:rFonts w:ascii="微软雅黑" w:eastAsia="微软雅黑"/>
                <w:b/>
                <w:sz w:val="21"/>
              </w:rPr>
              <w:t>9.</w:t>
            </w:r>
            <w:r>
              <w:rPr>
                <w:rFonts w:ascii="微软雅黑" w:eastAsia="微软雅黑"/>
                <w:b/>
                <w:sz w:val="21"/>
              </w:rPr>
              <w:t>释</w:t>
            </w:r>
            <w:r>
              <w:rPr>
                <w:rFonts w:ascii="微软雅黑" w:eastAsia="微软雅黑"/>
                <w:b/>
                <w:spacing w:val="-10"/>
                <w:sz w:val="21"/>
              </w:rPr>
              <w:t>义</w:t>
            </w:r>
          </w:p>
        </w:tc>
      </w:tr>
      <w:tr>
        <w:trPr>
          <w:trHeight w:val="340" w:hRule="atLeast"/>
        </w:trPr>
        <w:tc>
          <w:tcPr>
            <w:tcW w:w="3226" w:type="dxa"/>
            <w:tcBorders>
              <w:left w:val="single" w:sz="4" w:space="0" w:color="000000"/>
            </w:tcBorders>
          </w:tcPr>
          <w:p>
            <w:pPr>
              <w:pStyle w:val="TableParagraph"/>
              <w:spacing w:before="36"/>
              <w:ind w:left="321"/>
              <w:rPr>
                <w:sz w:val="21"/>
              </w:rPr>
            </w:pPr>
            <w:r>
              <w:rPr>
                <w:sz w:val="21"/>
              </w:rPr>
              <w:t>2.5</w:t>
            </w:r>
            <w:r>
              <w:rPr>
                <w:spacing w:val="-14"/>
                <w:sz w:val="21"/>
              </w:rPr>
              <w:t> 责任免除</w:t>
            </w:r>
          </w:p>
        </w:tc>
        <w:tc>
          <w:tcPr>
            <w:tcW w:w="2902" w:type="dxa"/>
          </w:tcPr>
          <w:p>
            <w:pPr>
              <w:pStyle w:val="TableParagraph"/>
              <w:spacing w:before="36"/>
              <w:ind w:left="225"/>
              <w:rPr>
                <w:sz w:val="21"/>
              </w:rPr>
            </w:pPr>
            <w:r>
              <w:rPr>
                <w:sz w:val="21"/>
              </w:rPr>
              <w:t>6.1</w:t>
            </w:r>
            <w:r>
              <w:rPr>
                <w:spacing w:val="-14"/>
                <w:sz w:val="21"/>
              </w:rPr>
              <w:t> 效力中止</w:t>
            </w:r>
          </w:p>
        </w:tc>
        <w:tc>
          <w:tcPr>
            <w:tcW w:w="3512" w:type="dxa"/>
            <w:tcBorders>
              <w:right w:val="single" w:sz="4" w:space="0" w:color="000000"/>
            </w:tcBorders>
          </w:tcPr>
          <w:p>
            <w:pPr>
              <w:pStyle w:val="TableParagraph"/>
              <w:ind w:left="0"/>
              <w:rPr>
                <w:rFonts w:ascii="Times New Roman"/>
                <w:sz w:val="20"/>
              </w:rPr>
            </w:pPr>
          </w:p>
        </w:tc>
      </w:tr>
      <w:tr>
        <w:trPr>
          <w:trHeight w:val="340" w:hRule="atLeast"/>
        </w:trPr>
        <w:tc>
          <w:tcPr>
            <w:tcW w:w="3226" w:type="dxa"/>
            <w:tcBorders>
              <w:left w:val="single" w:sz="4" w:space="0" w:color="000000"/>
            </w:tcBorders>
          </w:tcPr>
          <w:p>
            <w:pPr>
              <w:pStyle w:val="TableParagraph"/>
              <w:spacing w:line="321" w:lineRule="exact"/>
              <w:ind w:left="210"/>
              <w:rPr>
                <w:rFonts w:ascii="微软雅黑" w:eastAsia="微软雅黑"/>
                <w:b/>
                <w:sz w:val="21"/>
              </w:rPr>
            </w:pPr>
            <w:r>
              <w:rPr>
                <w:rFonts w:ascii="微软雅黑" w:eastAsia="微软雅黑"/>
                <w:b/>
                <w:sz w:val="21"/>
              </w:rPr>
              <w:t>3.</w:t>
            </w:r>
            <w:r>
              <w:rPr>
                <w:rFonts w:ascii="微软雅黑" w:eastAsia="微软雅黑"/>
                <w:b/>
                <w:sz w:val="21"/>
              </w:rPr>
              <w:t>如</w:t>
            </w:r>
            <w:r>
              <w:rPr>
                <w:rFonts w:ascii="微软雅黑" w:eastAsia="微软雅黑"/>
                <w:b/>
                <w:sz w:val="21"/>
              </w:rPr>
              <w:t>何</w:t>
            </w:r>
            <w:r>
              <w:rPr>
                <w:rFonts w:ascii="微软雅黑" w:eastAsia="微软雅黑"/>
                <w:b/>
                <w:sz w:val="21"/>
              </w:rPr>
              <w:t>申</w:t>
            </w:r>
            <w:r>
              <w:rPr>
                <w:rFonts w:ascii="微软雅黑" w:eastAsia="微软雅黑"/>
                <w:b/>
                <w:sz w:val="21"/>
              </w:rPr>
              <w:t>请</w:t>
            </w:r>
            <w:r>
              <w:rPr>
                <w:rFonts w:ascii="微软雅黑" w:eastAsia="微软雅黑"/>
                <w:b/>
                <w:sz w:val="21"/>
              </w:rPr>
              <w:t>领</w:t>
            </w:r>
            <w:r>
              <w:rPr>
                <w:rFonts w:ascii="微软雅黑" w:eastAsia="微软雅黑"/>
                <w:b/>
                <w:sz w:val="21"/>
              </w:rPr>
              <w:t>取</w:t>
            </w:r>
            <w:r>
              <w:rPr>
                <w:rFonts w:ascii="微软雅黑" w:eastAsia="微软雅黑"/>
                <w:b/>
                <w:sz w:val="21"/>
              </w:rPr>
              <w:t>保</w:t>
            </w:r>
            <w:r>
              <w:rPr>
                <w:rFonts w:ascii="微软雅黑" w:eastAsia="微软雅黑"/>
                <w:b/>
                <w:sz w:val="21"/>
              </w:rPr>
              <w:t>险</w:t>
            </w:r>
            <w:r>
              <w:rPr>
                <w:rFonts w:ascii="微软雅黑" w:eastAsia="微软雅黑"/>
                <w:b/>
                <w:spacing w:val="-10"/>
                <w:sz w:val="21"/>
              </w:rPr>
              <w:t>金</w:t>
            </w:r>
          </w:p>
        </w:tc>
        <w:tc>
          <w:tcPr>
            <w:tcW w:w="2902" w:type="dxa"/>
          </w:tcPr>
          <w:p>
            <w:pPr>
              <w:pStyle w:val="TableParagraph"/>
              <w:spacing w:before="36"/>
              <w:ind w:left="225"/>
              <w:rPr>
                <w:sz w:val="21"/>
              </w:rPr>
            </w:pPr>
            <w:r>
              <w:rPr>
                <w:sz w:val="21"/>
              </w:rPr>
              <w:t>6.2</w:t>
            </w:r>
            <w:r>
              <w:rPr>
                <w:spacing w:val="-14"/>
                <w:sz w:val="21"/>
              </w:rPr>
              <w:t> 效力恢复</w:t>
            </w:r>
          </w:p>
        </w:tc>
        <w:tc>
          <w:tcPr>
            <w:tcW w:w="3512" w:type="dxa"/>
            <w:tcBorders>
              <w:right w:val="single" w:sz="4" w:space="0" w:color="000000"/>
            </w:tcBorders>
          </w:tcPr>
          <w:p>
            <w:pPr>
              <w:pStyle w:val="TableParagraph"/>
              <w:ind w:left="0"/>
              <w:rPr>
                <w:rFonts w:ascii="Times New Roman"/>
                <w:sz w:val="20"/>
              </w:rPr>
            </w:pPr>
          </w:p>
        </w:tc>
      </w:tr>
      <w:tr>
        <w:trPr>
          <w:trHeight w:val="342" w:hRule="atLeast"/>
        </w:trPr>
        <w:tc>
          <w:tcPr>
            <w:tcW w:w="3226" w:type="dxa"/>
            <w:tcBorders>
              <w:left w:val="single" w:sz="4" w:space="0" w:color="000000"/>
              <w:bottom w:val="single" w:sz="4" w:space="0" w:color="000000"/>
            </w:tcBorders>
          </w:tcPr>
          <w:p>
            <w:pPr>
              <w:pStyle w:val="TableParagraph"/>
              <w:spacing w:before="36"/>
              <w:ind w:left="321"/>
              <w:rPr>
                <w:sz w:val="21"/>
              </w:rPr>
            </w:pPr>
            <w:r>
              <w:rPr>
                <w:sz w:val="21"/>
              </w:rPr>
              <w:t>3.1</w:t>
            </w:r>
            <w:r>
              <w:rPr>
                <w:spacing w:val="-16"/>
                <w:sz w:val="21"/>
              </w:rPr>
              <w:t> 受益人</w:t>
            </w:r>
          </w:p>
        </w:tc>
        <w:tc>
          <w:tcPr>
            <w:tcW w:w="2902" w:type="dxa"/>
            <w:tcBorders>
              <w:bottom w:val="single" w:sz="4" w:space="0" w:color="000000"/>
            </w:tcBorders>
          </w:tcPr>
          <w:p>
            <w:pPr>
              <w:pStyle w:val="TableParagraph"/>
              <w:spacing w:line="322" w:lineRule="exact"/>
              <w:ind w:left="225"/>
              <w:rPr>
                <w:rFonts w:ascii="微软雅黑" w:eastAsia="微软雅黑"/>
                <w:b/>
                <w:sz w:val="21"/>
              </w:rPr>
            </w:pPr>
            <w:r>
              <w:rPr>
                <w:rFonts w:ascii="微软雅黑" w:eastAsia="微软雅黑"/>
                <w:b/>
                <w:sz w:val="21"/>
              </w:rPr>
              <w:t>7.</w:t>
            </w:r>
            <w:r>
              <w:rPr>
                <w:rFonts w:ascii="微软雅黑" w:eastAsia="微软雅黑"/>
                <w:b/>
                <w:sz w:val="21"/>
              </w:rPr>
              <w:t>如</w:t>
            </w:r>
            <w:r>
              <w:rPr>
                <w:rFonts w:ascii="微软雅黑" w:eastAsia="微软雅黑"/>
                <w:b/>
                <w:sz w:val="21"/>
              </w:rPr>
              <w:t>何</w:t>
            </w:r>
            <w:r>
              <w:rPr>
                <w:rFonts w:ascii="微软雅黑" w:eastAsia="微软雅黑"/>
                <w:b/>
                <w:sz w:val="21"/>
              </w:rPr>
              <w:t>解</w:t>
            </w:r>
            <w:r>
              <w:rPr>
                <w:rFonts w:ascii="微软雅黑" w:eastAsia="微软雅黑"/>
                <w:b/>
                <w:sz w:val="21"/>
              </w:rPr>
              <w:t>除</w:t>
            </w:r>
            <w:r>
              <w:rPr>
                <w:rFonts w:ascii="微软雅黑" w:eastAsia="微软雅黑"/>
                <w:b/>
                <w:sz w:val="21"/>
              </w:rPr>
              <w:t>保</w:t>
            </w:r>
            <w:r>
              <w:rPr>
                <w:rFonts w:ascii="微软雅黑" w:eastAsia="微软雅黑"/>
                <w:b/>
                <w:sz w:val="21"/>
              </w:rPr>
              <w:t>险</w:t>
            </w:r>
            <w:r>
              <w:rPr>
                <w:rFonts w:ascii="微软雅黑" w:eastAsia="微软雅黑"/>
                <w:b/>
                <w:sz w:val="21"/>
              </w:rPr>
              <w:t>合</w:t>
            </w:r>
            <w:r>
              <w:rPr>
                <w:rFonts w:ascii="微软雅黑" w:eastAsia="微软雅黑"/>
                <w:b/>
                <w:spacing w:val="-10"/>
                <w:sz w:val="21"/>
              </w:rPr>
              <w:t>同</w:t>
            </w:r>
          </w:p>
        </w:tc>
        <w:tc>
          <w:tcPr>
            <w:tcW w:w="3512" w:type="dxa"/>
            <w:tcBorders>
              <w:bottom w:val="single" w:sz="4" w:space="0" w:color="000000"/>
              <w:right w:val="single" w:sz="4" w:space="0" w:color="000000"/>
            </w:tcBorders>
          </w:tcPr>
          <w:p>
            <w:pPr>
              <w:pStyle w:val="TableParagraph"/>
              <w:ind w:left="0"/>
              <w:rPr>
                <w:rFonts w:ascii="Times New Roman"/>
                <w:sz w:val="20"/>
              </w:rPr>
            </w:pPr>
          </w:p>
        </w:tc>
      </w:tr>
    </w:tbl>
    <w:p>
      <w:pPr>
        <w:spacing w:after="0"/>
        <w:rPr>
          <w:rFonts w:ascii="Times New Roman"/>
          <w:sz w:val="20"/>
        </w:rPr>
        <w:sectPr>
          <w:type w:val="continuous"/>
          <w:pgSz w:w="11910" w:h="16840"/>
          <w:pgMar w:top="740" w:bottom="280" w:left="920" w:right="820"/>
        </w:sectPr>
      </w:pPr>
    </w:p>
    <w:p>
      <w:pPr>
        <w:spacing w:before="77"/>
        <w:ind w:left="2168" w:right="2256" w:firstLine="0"/>
        <w:jc w:val="center"/>
        <w:rPr>
          <w:sz w:val="32"/>
        </w:rPr>
      </w:pPr>
      <w:r>
        <w:rPr>
          <w:spacing w:val="-3"/>
          <w:sz w:val="32"/>
        </w:rPr>
        <w:t>横琴人寿保险有限公司</w:t>
      </w:r>
    </w:p>
    <w:p>
      <w:pPr>
        <w:spacing w:before="141"/>
        <w:ind w:left="2168" w:right="2256" w:firstLine="0"/>
        <w:jc w:val="center"/>
        <w:rPr>
          <w:sz w:val="32"/>
        </w:rPr>
      </w:pPr>
      <w:r>
        <w:rPr>
          <w:spacing w:val="-3"/>
          <w:sz w:val="32"/>
        </w:rPr>
        <w:t>横琴互联网小飞象定期重大疾病保险条款</w:t>
      </w:r>
    </w:p>
    <w:p>
      <w:pPr>
        <w:pStyle w:val="BodyText"/>
        <w:spacing w:before="214"/>
        <w:ind w:left="102"/>
      </w:pPr>
      <w:r>
        <w:rPr>
          <w:spacing w:val="-3"/>
        </w:rPr>
        <w:t>在本条款中，“您”指投保人，“我们”、“本公司”均指横琴人寿保险有限公司。</w:t>
      </w:r>
    </w:p>
    <w:p>
      <w:pPr>
        <w:pStyle w:val="BodyText"/>
        <w:rPr>
          <w:sz w:val="20"/>
        </w:rPr>
      </w:pPr>
    </w:p>
    <w:p>
      <w:pPr>
        <w:pStyle w:val="BodyText"/>
        <w:spacing w:before="9"/>
        <w:rPr>
          <w:sz w:val="14"/>
        </w:rPr>
      </w:pPr>
    </w:p>
    <w:p>
      <w:pPr>
        <w:tabs>
          <w:tab w:pos="1364" w:val="left" w:leader="none"/>
        </w:tabs>
        <w:spacing w:before="0"/>
        <w:ind w:left="371"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您与我们的合同</w:t>
      </w:r>
    </w:p>
    <w:p>
      <w:pPr>
        <w:pStyle w:val="BodyText"/>
        <w:spacing w:before="12"/>
        <w:rPr>
          <w:rFonts w:ascii="微软雅黑"/>
          <w:b/>
          <w:sz w:val="2"/>
        </w:rPr>
      </w:pPr>
      <w:r>
        <w:rPr/>
        <w:drawing>
          <wp:anchor distT="0" distB="0" distL="0" distR="0" allowOverlap="1" layoutInCell="1" locked="0" behindDoc="0" simplePos="0" relativeHeight="4">
            <wp:simplePos x="0" y="0"/>
            <wp:positionH relativeFrom="page">
              <wp:posOffset>649223</wp:posOffset>
            </wp:positionH>
            <wp:positionV relativeFrom="paragraph">
              <wp:posOffset>46870</wp:posOffset>
            </wp:positionV>
            <wp:extent cx="6263639"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7"/>
        <w:rPr>
          <w:rFonts w:ascii="微软雅黑"/>
          <w:b/>
          <w:sz w:val="14"/>
        </w:rPr>
      </w:pPr>
    </w:p>
    <w:p>
      <w:pPr>
        <w:spacing w:after="0"/>
        <w:rPr>
          <w:rFonts w:ascii="微软雅黑"/>
          <w:sz w:val="14"/>
        </w:rPr>
        <w:sectPr>
          <w:pgSz w:w="11910" w:h="16840"/>
          <w:pgMar w:top="1380" w:bottom="280" w:left="920" w:right="820"/>
        </w:sectPr>
      </w:pPr>
    </w:p>
    <w:p>
      <w:pPr>
        <w:pStyle w:val="Heading3"/>
        <w:numPr>
          <w:ilvl w:val="1"/>
          <w:numId w:val="1"/>
        </w:numPr>
        <w:tabs>
          <w:tab w:pos="1364" w:val="left" w:leader="none"/>
          <w:tab w:pos="1365" w:val="left" w:leader="none"/>
        </w:tabs>
        <w:spacing w:line="194" w:lineRule="auto" w:before="57" w:after="0"/>
        <w:ind w:left="1364" w:right="0" w:hanging="850"/>
        <w:jc w:val="left"/>
      </w:pPr>
      <w:r>
        <w:rPr>
          <w:spacing w:val="-4"/>
        </w:rPr>
        <w:t>保险合同</w:t>
      </w:r>
      <w:r>
        <w:rPr>
          <w:spacing w:val="-6"/>
        </w:rPr>
        <w:t>构成</w:t>
      </w:r>
    </w:p>
    <w:p>
      <w:pPr>
        <w:pStyle w:val="BodyText"/>
        <w:spacing w:line="278" w:lineRule="auto" w:before="72"/>
        <w:ind w:left="339" w:right="296"/>
        <w:jc w:val="both"/>
      </w:pPr>
      <w:r>
        <w:rPr/>
        <w:br w:type="column"/>
      </w:r>
      <w:r>
        <w:rPr>
          <w:spacing w:val="-2"/>
        </w:rPr>
        <w:t>本保险合同（</w:t>
      </w:r>
      <w:r>
        <w:rPr>
          <w:spacing w:val="-14"/>
        </w:rPr>
        <w:t>以下简称“本合同”</w:t>
      </w:r>
      <w:r>
        <w:rPr/>
        <w:t>）</w:t>
      </w:r>
      <w:r>
        <w:rPr>
          <w:spacing w:val="-2"/>
        </w:rPr>
        <w:t>是您与我们约定保险权利义务关系的协议，</w:t>
      </w:r>
      <w:r>
        <w:rPr>
          <w:spacing w:val="-4"/>
        </w:rPr>
        <w:t>包括本保险条款、保险单、投保单、与本合同有关的投保文件、保险凭证、合法</w:t>
      </w:r>
      <w:r>
        <w:rPr>
          <w:spacing w:val="-2"/>
        </w:rPr>
        <w:t>有效的声明、批注、批单及其他您与我们共同认可的书面协议。</w:t>
      </w:r>
    </w:p>
    <w:p>
      <w:pPr>
        <w:spacing w:after="0" w:line="278" w:lineRule="auto"/>
        <w:jc w:val="both"/>
        <w:sectPr>
          <w:type w:val="continuous"/>
          <w:pgSz w:w="11910" w:h="16840"/>
          <w:pgMar w:top="740" w:bottom="280" w:left="920" w:right="820"/>
          <w:cols w:num="2" w:equalWidth="0">
            <w:col w:w="2210" w:space="40"/>
            <w:col w:w="7920"/>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1"/>
        </w:numPr>
        <w:tabs>
          <w:tab w:pos="1365" w:val="left" w:leader="none"/>
        </w:tabs>
        <w:spacing w:line="194" w:lineRule="auto" w:before="57" w:after="0"/>
        <w:ind w:left="1364" w:right="0" w:hanging="850"/>
        <w:jc w:val="both"/>
      </w:pPr>
      <w:r>
        <w:rPr>
          <w:spacing w:val="-4"/>
        </w:rPr>
        <w:t>保险合同</w:t>
      </w:r>
      <w:r>
        <w:rPr>
          <w:spacing w:val="-4"/>
        </w:rPr>
        <w:t>成立与生</w:t>
      </w:r>
      <w:r>
        <w:rPr>
          <w:spacing w:val="-10"/>
        </w:rPr>
        <w:t>效</w:t>
      </w:r>
    </w:p>
    <w:p>
      <w:pPr>
        <w:pStyle w:val="BodyText"/>
        <w:spacing w:before="72"/>
        <w:ind w:left="339"/>
      </w:pPr>
      <w:r>
        <w:rPr/>
        <w:br w:type="column"/>
      </w:r>
      <w:r>
        <w:rPr>
          <w:spacing w:val="-3"/>
        </w:rPr>
        <w:t>您提出保险申请、我们同意承保，本合同成立。</w:t>
      </w:r>
    </w:p>
    <w:p>
      <w:pPr>
        <w:pStyle w:val="BodyText"/>
        <w:spacing w:before="6"/>
        <w:rPr>
          <w:sz w:val="24"/>
        </w:rPr>
      </w:pPr>
    </w:p>
    <w:p>
      <w:pPr>
        <w:pStyle w:val="BodyText"/>
        <w:spacing w:line="310" w:lineRule="atLeast"/>
        <w:ind w:left="339" w:right="301"/>
      </w:pPr>
      <w:r>
        <w:rPr>
          <w:spacing w:val="-4"/>
        </w:rPr>
        <w:t>本合同自我们同意承保、收取首期保险费并签发保险单开始生效，具体生效日以</w:t>
      </w:r>
      <w:r>
        <w:rPr>
          <w:spacing w:val="-2"/>
        </w:rPr>
        <w:t>保险单所载的日期为准。</w:t>
      </w:r>
    </w:p>
    <w:p>
      <w:pPr>
        <w:spacing w:line="12" w:lineRule="exact" w:before="0"/>
        <w:ind w:left="377" w:right="0" w:firstLine="0"/>
        <w:jc w:val="left"/>
        <w:rPr>
          <w:sz w:val="4"/>
        </w:rPr>
      </w:pPr>
      <w:r>
        <w:rPr>
          <w:w w:val="72"/>
          <w:sz w:val="4"/>
        </w:rPr>
        <w:t>●</w:t>
      </w:r>
    </w:p>
    <w:p>
      <w:pPr>
        <w:pStyle w:val="BodyText"/>
        <w:rPr>
          <w:sz w:val="6"/>
        </w:rPr>
      </w:pPr>
    </w:p>
    <w:p>
      <w:pPr>
        <w:pStyle w:val="BodyText"/>
        <w:rPr>
          <w:sz w:val="6"/>
        </w:rPr>
      </w:pPr>
    </w:p>
    <w:p>
      <w:pPr>
        <w:pStyle w:val="BodyText"/>
        <w:rPr>
          <w:sz w:val="6"/>
        </w:rPr>
      </w:pPr>
    </w:p>
    <w:p>
      <w:pPr>
        <w:pStyle w:val="BodyText"/>
        <w:spacing w:line="235" w:lineRule="auto" w:before="53"/>
        <w:ind w:left="338" w:right="219"/>
      </w:pPr>
      <w:r>
        <w:rPr>
          <w:spacing w:val="-6"/>
        </w:rPr>
        <w:t>本合同生效日以后每年的对应日是保单周年日。</w:t>
      </w:r>
      <w:r>
        <w:rPr>
          <w:rFonts w:ascii="微软雅黑" w:eastAsia="微软雅黑"/>
          <w:b/>
          <w:spacing w:val="-6"/>
        </w:rPr>
        <w:t>保单年度</w:t>
      </w:r>
      <w:r>
        <w:rPr>
          <w:spacing w:val="-6"/>
        </w:rPr>
        <w:t>（</w:t>
      </w:r>
      <w:r>
        <w:rPr>
          <w:spacing w:val="-24"/>
        </w:rPr>
        <w:t>见 </w:t>
      </w:r>
      <w:r>
        <w:rPr>
          <w:spacing w:val="18"/>
        </w:rPr>
        <w:t>9</w:t>
      </w:r>
      <w:r>
        <w:rPr>
          <w:spacing w:val="23"/>
        </w:rPr>
        <w:t>.1</w:t>
      </w:r>
      <w:r>
        <w:rPr>
          <w:spacing w:val="-88"/>
        </w:rPr>
        <w:t>）</w:t>
      </w:r>
      <w:r>
        <w:rPr>
          <w:spacing w:val="-6"/>
        </w:rPr>
        <w:t>、保险费约定</w:t>
      </w:r>
      <w:r>
        <w:rPr>
          <w:spacing w:val="-3"/>
        </w:rPr>
        <w:t>支付日均以该日期计算。如当月无对应同一日，则以该月最后一日作为对应日。</w:t>
      </w:r>
    </w:p>
    <w:p>
      <w:pPr>
        <w:spacing w:after="0" w:line="235" w:lineRule="auto"/>
        <w:sectPr>
          <w:type w:val="continuous"/>
          <w:pgSz w:w="11910" w:h="16840"/>
          <w:pgMar w:top="740" w:bottom="280" w:left="920" w:right="820"/>
          <w:cols w:num="2" w:equalWidth="0">
            <w:col w:w="2210" w:space="40"/>
            <w:col w:w="7920"/>
          </w:cols>
        </w:sectPr>
      </w:pPr>
    </w:p>
    <w:p>
      <w:pPr>
        <w:pStyle w:val="BodyText"/>
        <w:spacing w:before="1"/>
        <w:rPr>
          <w:sz w:val="22"/>
        </w:rPr>
      </w:pPr>
    </w:p>
    <w:p>
      <w:pPr>
        <w:pStyle w:val="ListParagraph"/>
        <w:numPr>
          <w:ilvl w:val="1"/>
          <w:numId w:val="1"/>
        </w:numPr>
        <w:tabs>
          <w:tab w:pos="1364" w:val="left" w:leader="none"/>
          <w:tab w:pos="1365" w:val="left" w:leader="none"/>
          <w:tab w:pos="2588" w:val="left" w:leader="none"/>
        </w:tabs>
        <w:spacing w:line="383" w:lineRule="exact" w:before="5" w:after="0"/>
        <w:ind w:left="1364" w:right="0" w:hanging="850"/>
        <w:jc w:val="left"/>
        <w:rPr>
          <w:rFonts w:ascii="微软雅黑" w:eastAsia="微软雅黑"/>
          <w:b/>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82"/>
          <w:sz w:val="21"/>
        </w:rPr>
        <w:t>，</w:t>
      </w:r>
      <w:r>
        <w:rPr>
          <w:spacing w:val="-2"/>
          <w:sz w:val="21"/>
        </w:rPr>
        <w:t>本</w:t>
      </w:r>
      <w:r>
        <w:rPr>
          <w:spacing w:val="-2"/>
          <w:sz w:val="21"/>
        </w:rPr>
        <w:t>合</w:t>
      </w:r>
      <w:r>
        <w:rPr>
          <w:spacing w:val="-2"/>
          <w:sz w:val="21"/>
        </w:rPr>
        <w:t>同</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范</w:t>
      </w:r>
      <w:r>
        <w:rPr>
          <w:spacing w:val="-2"/>
          <w:sz w:val="21"/>
        </w:rPr>
        <w:t>围</w:t>
      </w:r>
      <w:r>
        <w:rPr>
          <w:spacing w:val="-2"/>
          <w:sz w:val="21"/>
        </w:rPr>
        <w:t>为</w:t>
      </w:r>
      <w:r>
        <w:rPr>
          <w:spacing w:val="-2"/>
          <w:sz w:val="21"/>
        </w:rPr>
        <w:t>出</w:t>
      </w:r>
      <w:r>
        <w:rPr>
          <w:spacing w:val="-2"/>
          <w:sz w:val="21"/>
        </w:rPr>
        <w:t>生</w:t>
      </w:r>
      <w:r>
        <w:rPr>
          <w:spacing w:val="-2"/>
          <w:sz w:val="21"/>
        </w:rPr>
        <w:t>满</w:t>
      </w:r>
      <w:r>
        <w:rPr>
          <w:spacing w:val="-2"/>
          <w:sz w:val="21"/>
        </w:rPr>
        <w:t>28</w:t>
      </w:r>
      <w:r>
        <w:rPr>
          <w:spacing w:val="-2"/>
          <w:sz w:val="21"/>
        </w:rPr>
        <w:t>天</w:t>
      </w:r>
      <w:r>
        <w:rPr>
          <w:spacing w:val="-2"/>
          <w:sz w:val="21"/>
        </w:rPr>
        <w:t>至</w:t>
      </w:r>
      <w:r>
        <w:rPr>
          <w:spacing w:val="-2"/>
          <w:sz w:val="21"/>
        </w:rPr>
        <w:t>17</w:t>
      </w:r>
      <w:r>
        <w:rPr>
          <w:rFonts w:ascii="微软雅黑" w:eastAsia="微软雅黑"/>
          <w:b/>
          <w:spacing w:val="-2"/>
          <w:sz w:val="21"/>
        </w:rPr>
        <w:t>周</w:t>
      </w:r>
      <w:r>
        <w:rPr>
          <w:rFonts w:ascii="微软雅黑" w:eastAsia="微软雅黑"/>
          <w:b/>
          <w:spacing w:val="-10"/>
          <w:sz w:val="21"/>
        </w:rPr>
        <w:t>岁</w:t>
      </w:r>
    </w:p>
    <w:p>
      <w:pPr>
        <w:pStyle w:val="BodyText"/>
        <w:spacing w:line="265" w:lineRule="exact"/>
        <w:ind w:left="2588"/>
      </w:pPr>
      <w:r>
        <w:rPr>
          <w:spacing w:val="-18"/>
        </w:rPr>
        <w:t>（见</w:t>
      </w:r>
      <w:r>
        <w:rPr>
          <w:spacing w:val="8"/>
        </w:rPr>
        <w:t>9.2</w:t>
      </w:r>
      <w:r>
        <w:rPr>
          <w:spacing w:val="-98"/>
        </w:rPr>
        <w:t>）</w:t>
      </w:r>
      <w:r>
        <w:rPr>
          <w:spacing w:val="-18"/>
        </w:rPr>
        <w:t>。</w:t>
      </w:r>
    </w:p>
    <w:p>
      <w:pPr>
        <w:pStyle w:val="BodyText"/>
        <w:spacing w:before="5"/>
        <w:rPr>
          <w:sz w:val="22"/>
        </w:rPr>
      </w:pPr>
    </w:p>
    <w:p>
      <w:pPr>
        <w:pStyle w:val="ListParagraph"/>
        <w:numPr>
          <w:ilvl w:val="1"/>
          <w:numId w:val="1"/>
        </w:numPr>
        <w:tabs>
          <w:tab w:pos="1365" w:val="left" w:leader="none"/>
        </w:tabs>
        <w:spacing w:line="254" w:lineRule="auto" w:before="1" w:after="0"/>
        <w:ind w:left="2588" w:right="301" w:hanging="2074"/>
        <w:jc w:val="both"/>
        <w:rPr>
          <w:sz w:val="21"/>
        </w:rPr>
      </w:pPr>
      <w:r>
        <w:rPr>
          <w:rFonts w:ascii="微软雅黑" w:eastAsia="微软雅黑"/>
          <w:b/>
          <w:sz w:val="21"/>
        </w:rPr>
        <w:t>犹豫期</w:t>
      </w:r>
      <w:r>
        <w:rPr>
          <w:rFonts w:ascii="微软雅黑" w:eastAsia="微软雅黑"/>
          <w:b/>
          <w:spacing w:val="473"/>
          <w:sz w:val="21"/>
        </w:rPr>
        <w:t> </w:t>
      </w:r>
      <w:r>
        <w:rPr>
          <w:spacing w:val="-3"/>
          <w:sz w:val="21"/>
        </w:rPr>
        <w:t>自您签收本合同次日起，有 </w:t>
      </w:r>
      <w:r>
        <w:rPr>
          <w:sz w:val="21"/>
        </w:rPr>
        <w:t>15</w:t>
      </w:r>
      <w:r>
        <w:rPr>
          <w:spacing w:val="-5"/>
          <w:sz w:val="21"/>
        </w:rPr>
        <w:t> 日的犹豫期。在此期间请您认真审视本合同，如</w:t>
      </w:r>
      <w:r>
        <w:rPr>
          <w:spacing w:val="-4"/>
          <w:sz w:val="21"/>
        </w:rPr>
        <w:t>果您认为本合同与您的需求不相符，您可以在此期间提出解除本合同，我们将无</w:t>
      </w:r>
      <w:r>
        <w:rPr>
          <w:spacing w:val="-2"/>
          <w:sz w:val="21"/>
        </w:rPr>
        <w:t>息退还您所支付的全部保险费。</w:t>
      </w:r>
    </w:p>
    <w:p>
      <w:pPr>
        <w:pStyle w:val="BodyText"/>
        <w:spacing w:before="5"/>
        <w:rPr>
          <w:sz w:val="20"/>
        </w:rPr>
      </w:pPr>
    </w:p>
    <w:p>
      <w:pPr>
        <w:pStyle w:val="BodyText"/>
        <w:spacing w:line="256" w:lineRule="auto" w:before="1"/>
        <w:ind w:left="2588" w:right="296"/>
        <w:jc w:val="both"/>
      </w:pPr>
      <w:r>
        <w:rPr>
          <w:spacing w:val="-2"/>
        </w:rPr>
        <w:t>解除本合同时，您需要填写申请书，并提供您的保险合同及</w:t>
      </w:r>
      <w:r>
        <w:rPr>
          <w:rFonts w:ascii="微软雅黑" w:eastAsia="微软雅黑"/>
          <w:b/>
          <w:spacing w:val="-2"/>
        </w:rPr>
        <w:t>有效身份证件</w:t>
      </w:r>
      <w:r>
        <w:rPr>
          <w:spacing w:val="-2"/>
        </w:rPr>
        <w:t>（见 </w:t>
      </w:r>
      <w:r>
        <w:rPr>
          <w:spacing w:val="20"/>
        </w:rPr>
        <w:t>9.3</w:t>
      </w:r>
      <w:r>
        <w:rPr>
          <w:spacing w:val="-86"/>
        </w:rPr>
        <w:t>）</w:t>
      </w:r>
      <w:r>
        <w:rPr>
          <w:spacing w:val="-6"/>
        </w:rPr>
        <w:t>。</w:t>
      </w:r>
      <w:r>
        <w:rPr>
          <w:color w:val="000000"/>
          <w:spacing w:val="-6"/>
          <w:shd w:fill="D9D9D9" w:color="auto" w:val="clear"/>
        </w:rPr>
        <w:t>自我们收到您解除合同的书面申请时起，本合同即被解除，对于合同解除</w:t>
      </w:r>
      <w:r>
        <w:rPr>
          <w:color w:val="000000"/>
          <w:spacing w:val="40"/>
          <w:shd w:fill="D9D9D9" w:color="auto" w:val="clear"/>
        </w:rPr>
        <w:t> </w:t>
      </w:r>
      <w:r>
        <w:rPr>
          <w:color w:val="000000"/>
          <w:spacing w:val="-2"/>
          <w:shd w:fill="D9D9D9" w:color="auto" w:val="clear"/>
        </w:rPr>
        <w:t>前发生的保险事故，我们不承担保险责任。</w:t>
      </w:r>
    </w:p>
    <w:p>
      <w:pPr>
        <w:pStyle w:val="BodyText"/>
        <w:spacing w:before="10"/>
        <w:rPr>
          <w:sz w:val="26"/>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我们提供的保障</w:t>
      </w:r>
    </w:p>
    <w:p>
      <w:pPr>
        <w:pStyle w:val="BodyText"/>
        <w:spacing w:before="12"/>
        <w:rPr>
          <w:rFonts w:ascii="微软雅黑"/>
          <w:b/>
          <w:sz w:val="2"/>
        </w:rPr>
      </w:pPr>
      <w:r>
        <w:rPr/>
        <w:drawing>
          <wp:anchor distT="0" distB="0" distL="0" distR="0" allowOverlap="1" layoutInCell="1" locked="0" behindDoc="0" simplePos="0" relativeHeight="5">
            <wp:simplePos x="0" y="0"/>
            <wp:positionH relativeFrom="page">
              <wp:posOffset>649223</wp:posOffset>
            </wp:positionH>
            <wp:positionV relativeFrom="paragraph">
              <wp:posOffset>46502</wp:posOffset>
            </wp:positionV>
            <wp:extent cx="6263639" cy="12192"/>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7"/>
        <w:rPr>
          <w:rFonts w:ascii="微软雅黑"/>
          <w:b/>
          <w:sz w:val="14"/>
        </w:rPr>
      </w:pPr>
    </w:p>
    <w:p>
      <w:pPr>
        <w:spacing w:after="0"/>
        <w:rPr>
          <w:rFonts w:ascii="微软雅黑"/>
          <w:sz w:val="14"/>
        </w:rPr>
        <w:sectPr>
          <w:type w:val="continuous"/>
          <w:pgSz w:w="11910" w:h="16840"/>
          <w:pgMar w:top="740" w:bottom="280" w:left="920" w:right="820"/>
        </w:sectPr>
      </w:pPr>
    </w:p>
    <w:p>
      <w:pPr>
        <w:pStyle w:val="Heading3"/>
        <w:numPr>
          <w:ilvl w:val="1"/>
          <w:numId w:val="2"/>
        </w:numPr>
        <w:tabs>
          <w:tab w:pos="1364" w:val="left" w:leader="none"/>
          <w:tab w:pos="1365" w:val="left" w:leader="none"/>
        </w:tabs>
        <w:spacing w:line="194" w:lineRule="auto" w:before="57" w:after="0"/>
        <w:ind w:left="1364" w:right="0" w:hanging="850"/>
        <w:jc w:val="left"/>
      </w:pPr>
      <w:r>
        <w:rPr>
          <w:spacing w:val="-4"/>
        </w:rPr>
        <w:t>基本保险</w:t>
      </w:r>
      <w:r>
        <w:rPr>
          <w:spacing w:val="-6"/>
        </w:rPr>
        <w:t>金额</w:t>
      </w:r>
    </w:p>
    <w:p>
      <w:pPr>
        <w:pStyle w:val="BodyText"/>
        <w:spacing w:line="278" w:lineRule="auto" w:before="72"/>
        <w:ind w:left="339" w:right="301"/>
      </w:pPr>
      <w:r>
        <w:rPr/>
        <w:br w:type="column"/>
      </w:r>
      <w:r>
        <w:rPr>
          <w:spacing w:val="-5"/>
        </w:rPr>
        <w:t>本合同的基本保险金额由您在投保时与我们约定并在保险单上载明。若该金额发</w:t>
      </w:r>
      <w:r>
        <w:rPr>
          <w:spacing w:val="-2"/>
        </w:rPr>
        <w:t>生变更，则以变更后的金额为基本保险金额。</w:t>
      </w:r>
    </w:p>
    <w:p>
      <w:pPr>
        <w:spacing w:after="0" w:line="278" w:lineRule="auto"/>
        <w:sectPr>
          <w:type w:val="continuous"/>
          <w:pgSz w:w="11910" w:h="16840"/>
          <w:pgMar w:top="740" w:bottom="280" w:left="920" w:right="820"/>
          <w:cols w:num="2" w:equalWidth="0">
            <w:col w:w="2210" w:space="40"/>
            <w:col w:w="7920"/>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2"/>
        </w:numPr>
        <w:tabs>
          <w:tab w:pos="1364" w:val="left" w:leader="none"/>
          <w:tab w:pos="1365" w:val="left" w:leader="none"/>
        </w:tabs>
        <w:spacing w:line="320" w:lineRule="exact" w:before="5" w:after="0"/>
        <w:ind w:left="1364" w:right="0" w:hanging="850"/>
        <w:jc w:val="left"/>
      </w:pPr>
      <w:r>
        <w:rPr>
          <w:spacing w:val="-7"/>
        </w:rPr>
        <w:t>未 成 年 人</w:t>
      </w:r>
    </w:p>
    <w:p>
      <w:pPr>
        <w:spacing w:line="9" w:lineRule="exact" w:before="0"/>
        <w:ind w:left="0" w:right="405" w:firstLine="0"/>
        <w:jc w:val="right"/>
        <w:rPr>
          <w:sz w:val="4"/>
        </w:rPr>
      </w:pPr>
      <w:r>
        <w:rPr>
          <w:w w:val="72"/>
          <w:sz w:val="4"/>
        </w:rPr>
        <w:t>●</w:t>
      </w:r>
    </w:p>
    <w:p>
      <w:pPr>
        <w:pStyle w:val="Heading3"/>
        <w:spacing w:line="194" w:lineRule="auto" w:before="35"/>
        <w:ind w:left="1364"/>
      </w:pPr>
      <w:r>
        <w:rPr>
          <w:spacing w:val="-9"/>
        </w:rPr>
        <w:t>身 故 保 险</w:t>
      </w:r>
      <w:r>
        <w:rPr>
          <w:spacing w:val="-4"/>
        </w:rPr>
        <w:t>金限制</w:t>
      </w:r>
    </w:p>
    <w:p>
      <w:pPr>
        <w:spacing w:line="22" w:lineRule="exact" w:before="0"/>
        <w:ind w:left="1403" w:right="0" w:firstLine="0"/>
        <w:jc w:val="left"/>
        <w:rPr>
          <w:sz w:val="4"/>
        </w:rPr>
      </w:pPr>
      <w:r>
        <w:rPr>
          <w:w w:val="72"/>
          <w:sz w:val="4"/>
        </w:rPr>
        <w:t>●</w:t>
      </w:r>
    </w:p>
    <w:p>
      <w:pPr>
        <w:pStyle w:val="BodyText"/>
        <w:spacing w:line="278" w:lineRule="auto" w:before="72"/>
        <w:ind w:left="180" w:right="301"/>
        <w:jc w:val="both"/>
      </w:pPr>
      <w:r>
        <w:rPr/>
        <w:br w:type="column"/>
      </w:r>
      <w:r>
        <w:rPr>
          <w:spacing w:val="-9"/>
        </w:rPr>
        <w:t>为未成年子女投保的人身保险，因被保险人身故给付的保险金总和不得超过国务</w:t>
      </w:r>
      <w:r>
        <w:rPr>
          <w:spacing w:val="-8"/>
        </w:rPr>
        <w:t>院保险监督管理机构规定的限额，身故给付的保险金额总和约定也不得超过前述</w:t>
      </w:r>
      <w:r>
        <w:rPr>
          <w:spacing w:val="-4"/>
        </w:rPr>
        <w:t>限额。</w:t>
      </w:r>
    </w:p>
    <w:p>
      <w:pPr>
        <w:spacing w:after="0" w:line="278" w:lineRule="auto"/>
        <w:jc w:val="both"/>
        <w:sectPr>
          <w:type w:val="continuous"/>
          <w:pgSz w:w="11910" w:h="16840"/>
          <w:pgMar w:top="740" w:bottom="280" w:left="920" w:right="820"/>
          <w:cols w:num="2" w:equalWidth="0">
            <w:col w:w="2368" w:space="40"/>
            <w:col w:w="7762"/>
          </w:cols>
        </w:sectPr>
      </w:pPr>
    </w:p>
    <w:p>
      <w:pPr>
        <w:pStyle w:val="BodyText"/>
        <w:spacing w:before="12"/>
        <w:rPr>
          <w:sz w:val="17"/>
        </w:rPr>
      </w:pPr>
    </w:p>
    <w:p>
      <w:pPr>
        <w:pStyle w:val="ListParagraph"/>
        <w:numPr>
          <w:ilvl w:val="1"/>
          <w:numId w:val="2"/>
        </w:numPr>
        <w:tabs>
          <w:tab w:pos="1364" w:val="left" w:leader="none"/>
          <w:tab w:pos="1365" w:val="left" w:leader="none"/>
          <w:tab w:pos="2588" w:val="left" w:leader="none"/>
        </w:tabs>
        <w:spacing w:line="235" w:lineRule="auto" w:before="10" w:after="0"/>
        <w:ind w:left="2588" w:right="301" w:hanging="2074"/>
        <w:jc w:val="left"/>
        <w:rPr>
          <w:sz w:val="21"/>
        </w:rPr>
      </w:pPr>
      <w:r>
        <w:rPr>
          <w:rFonts w:ascii="微软雅黑" w:eastAsia="微软雅黑"/>
          <w:b/>
          <w:w w:val="100"/>
          <w:sz w:val="21"/>
        </w:rPr>
        <w:t>保险期间</w:t>
      </w:r>
      <w:r>
        <w:rPr>
          <w:rFonts w:ascii="微软雅黑" w:eastAsia="微软雅黑"/>
          <w:b/>
          <w:sz w:val="21"/>
        </w:rPr>
        <w:tab/>
      </w:r>
      <w:r>
        <w:rPr>
          <w:spacing w:val="4"/>
          <w:w w:val="100"/>
          <w:sz w:val="21"/>
        </w:rPr>
        <w:t>本合</w:t>
      </w:r>
      <w:r>
        <w:rPr>
          <w:w w:val="100"/>
          <w:sz w:val="21"/>
        </w:rPr>
        <w:t>同</w:t>
      </w:r>
      <w:r>
        <w:rPr>
          <w:spacing w:val="4"/>
          <w:w w:val="100"/>
          <w:sz w:val="21"/>
        </w:rPr>
        <w:t>的</w:t>
      </w:r>
      <w:r>
        <w:rPr>
          <w:w w:val="100"/>
          <w:sz w:val="21"/>
        </w:rPr>
        <w:t>保</w:t>
      </w:r>
      <w:r>
        <w:rPr>
          <w:spacing w:val="4"/>
          <w:w w:val="100"/>
          <w:sz w:val="21"/>
        </w:rPr>
        <w:t>险</w:t>
      </w:r>
      <w:r>
        <w:rPr>
          <w:w w:val="100"/>
          <w:sz w:val="21"/>
        </w:rPr>
        <w:t>期</w:t>
      </w:r>
      <w:r>
        <w:rPr>
          <w:spacing w:val="4"/>
          <w:w w:val="100"/>
          <w:sz w:val="21"/>
        </w:rPr>
        <w:t>间为</w:t>
      </w:r>
      <w:r>
        <w:rPr>
          <w:w w:val="100"/>
          <w:sz w:val="21"/>
        </w:rPr>
        <w:t>自</w:t>
      </w:r>
      <w:r>
        <w:rPr>
          <w:spacing w:val="4"/>
          <w:w w:val="100"/>
          <w:sz w:val="21"/>
        </w:rPr>
        <w:t>本</w:t>
      </w:r>
      <w:r>
        <w:rPr>
          <w:w w:val="100"/>
          <w:sz w:val="21"/>
        </w:rPr>
        <w:t>合</w:t>
      </w:r>
      <w:r>
        <w:rPr>
          <w:spacing w:val="4"/>
          <w:w w:val="100"/>
          <w:sz w:val="21"/>
        </w:rPr>
        <w:t>同</w:t>
      </w:r>
      <w:r>
        <w:rPr>
          <w:w w:val="100"/>
          <w:sz w:val="21"/>
        </w:rPr>
        <w:t>生</w:t>
      </w:r>
      <w:r>
        <w:rPr>
          <w:spacing w:val="4"/>
          <w:w w:val="100"/>
          <w:sz w:val="21"/>
        </w:rPr>
        <w:t>效</w:t>
      </w:r>
      <w:r>
        <w:rPr>
          <w:w w:val="100"/>
          <w:sz w:val="21"/>
        </w:rPr>
        <w:t>日</w:t>
      </w:r>
      <w:r>
        <w:rPr>
          <w:spacing w:val="4"/>
          <w:w w:val="100"/>
          <w:sz w:val="21"/>
        </w:rPr>
        <w:t>零时</w:t>
      </w:r>
      <w:r>
        <w:rPr>
          <w:w w:val="100"/>
          <w:sz w:val="21"/>
        </w:rPr>
        <w:t>起</w:t>
      </w:r>
      <w:r>
        <w:rPr>
          <w:spacing w:val="4"/>
          <w:w w:val="100"/>
          <w:sz w:val="21"/>
        </w:rPr>
        <w:t>至</w:t>
      </w:r>
      <w:r>
        <w:rPr>
          <w:w w:val="100"/>
          <w:sz w:val="21"/>
        </w:rPr>
        <w:t>被保</w:t>
      </w:r>
      <w:r>
        <w:rPr>
          <w:spacing w:val="4"/>
          <w:w w:val="100"/>
          <w:sz w:val="21"/>
        </w:rPr>
        <w:t>险人</w:t>
      </w:r>
      <w:r>
        <w:rPr>
          <w:w w:val="100"/>
          <w:sz w:val="21"/>
        </w:rPr>
        <w:t>年</w:t>
      </w:r>
      <w:r>
        <w:rPr>
          <w:spacing w:val="4"/>
          <w:w w:val="100"/>
          <w:sz w:val="21"/>
        </w:rPr>
        <w:t>满</w:t>
      </w:r>
      <w:r>
        <w:rPr>
          <w:w w:val="100"/>
          <w:sz w:val="21"/>
        </w:rPr>
        <w:t>七</w:t>
      </w:r>
      <w:r>
        <w:rPr>
          <w:spacing w:val="4"/>
          <w:w w:val="100"/>
          <w:sz w:val="21"/>
        </w:rPr>
        <w:t>十</w:t>
      </w:r>
      <w:r>
        <w:rPr>
          <w:w w:val="100"/>
          <w:sz w:val="21"/>
        </w:rPr>
        <w:t>周</w:t>
      </w:r>
      <w:r>
        <w:rPr>
          <w:spacing w:val="4"/>
          <w:w w:val="100"/>
          <w:sz w:val="21"/>
        </w:rPr>
        <w:t>岁后</w:t>
      </w:r>
      <w:r>
        <w:rPr>
          <w:w w:val="100"/>
          <w:sz w:val="21"/>
        </w:rPr>
        <w:t>的</w:t>
      </w:r>
      <w:r>
        <w:rPr>
          <w:spacing w:val="4"/>
          <w:w w:val="100"/>
          <w:sz w:val="21"/>
        </w:rPr>
        <w:t>首</w:t>
      </w:r>
      <w:r>
        <w:rPr>
          <w:w w:val="100"/>
          <w:sz w:val="21"/>
        </w:rPr>
        <w:t>个保单周年</w:t>
      </w:r>
      <w:r>
        <w:rPr>
          <w:spacing w:val="-5"/>
          <w:w w:val="100"/>
          <w:sz w:val="21"/>
        </w:rPr>
        <w:t>日</w:t>
      </w:r>
      <w:r>
        <w:rPr>
          <w:w w:val="100"/>
          <w:sz w:val="21"/>
        </w:rPr>
        <w:t>前一日</w:t>
      </w:r>
      <w:r>
        <w:rPr>
          <w:spacing w:val="-5"/>
          <w:w w:val="100"/>
          <w:sz w:val="21"/>
        </w:rPr>
        <w:t>二</w:t>
      </w:r>
      <w:r>
        <w:rPr>
          <w:w w:val="100"/>
          <w:sz w:val="21"/>
        </w:rPr>
        <w:t>十四时</w:t>
      </w:r>
      <w:r>
        <w:rPr>
          <w:spacing w:val="-5"/>
          <w:w w:val="100"/>
          <w:sz w:val="21"/>
        </w:rPr>
        <w:t>止</w:t>
      </w:r>
      <w:r>
        <w:rPr>
          <w:w w:val="100"/>
          <w:sz w:val="21"/>
        </w:rPr>
        <w:t>。</w:t>
      </w:r>
    </w:p>
    <w:p>
      <w:pPr>
        <w:spacing w:after="0" w:line="235" w:lineRule="auto"/>
        <w:jc w:val="left"/>
        <w:rPr>
          <w:sz w:val="21"/>
        </w:rPr>
        <w:sectPr>
          <w:type w:val="continuous"/>
          <w:pgSz w:w="11910" w:h="16840"/>
          <w:pgMar w:top="740" w:bottom="280" w:left="920" w:right="820"/>
        </w:sectPr>
      </w:pPr>
    </w:p>
    <w:p>
      <w:pPr>
        <w:pStyle w:val="ListParagraph"/>
        <w:numPr>
          <w:ilvl w:val="1"/>
          <w:numId w:val="2"/>
        </w:numPr>
        <w:tabs>
          <w:tab w:pos="1364" w:val="left" w:leader="none"/>
          <w:tab w:pos="1365" w:val="left" w:leader="none"/>
          <w:tab w:pos="2588" w:val="left" w:leader="none"/>
        </w:tabs>
        <w:spacing w:line="235" w:lineRule="auto" w:before="0" w:after="0"/>
        <w:ind w:left="2588" w:right="301" w:hanging="2074"/>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责</w:t>
      </w:r>
      <w:r>
        <w:rPr>
          <w:rFonts w:ascii="微软雅黑" w:eastAsia="微软雅黑"/>
          <w:b/>
          <w:spacing w:val="-4"/>
          <w:sz w:val="21"/>
        </w:rPr>
        <w:t>任</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保</w:t>
      </w:r>
      <w:r>
        <w:rPr>
          <w:spacing w:val="-4"/>
          <w:sz w:val="21"/>
        </w:rPr>
        <w:t>险</w:t>
      </w:r>
      <w:r>
        <w:rPr>
          <w:spacing w:val="-4"/>
          <w:sz w:val="21"/>
        </w:rPr>
        <w:t>责</w:t>
      </w:r>
      <w:r>
        <w:rPr>
          <w:spacing w:val="-4"/>
          <w:sz w:val="21"/>
        </w:rPr>
        <w:t>任</w:t>
      </w:r>
      <w:r>
        <w:rPr>
          <w:spacing w:val="-4"/>
          <w:sz w:val="21"/>
        </w:rPr>
        <w:t>分</w:t>
      </w:r>
      <w:r>
        <w:rPr>
          <w:spacing w:val="-4"/>
          <w:sz w:val="21"/>
        </w:rPr>
        <w:t>为</w:t>
      </w:r>
      <w:r>
        <w:rPr>
          <w:spacing w:val="-4"/>
          <w:sz w:val="21"/>
        </w:rPr>
        <w:t>基</w:t>
      </w:r>
      <w:r>
        <w:rPr>
          <w:spacing w:val="-4"/>
          <w:sz w:val="21"/>
        </w:rPr>
        <w:t>本</w:t>
      </w:r>
      <w:r>
        <w:rPr>
          <w:spacing w:val="-4"/>
          <w:sz w:val="21"/>
        </w:rPr>
        <w:t>部</w:t>
      </w:r>
      <w:r>
        <w:rPr>
          <w:spacing w:val="-4"/>
          <w:sz w:val="21"/>
        </w:rPr>
        <w:t>分</w:t>
      </w:r>
      <w:r>
        <w:rPr>
          <w:spacing w:val="-4"/>
          <w:sz w:val="21"/>
        </w:rPr>
        <w:t>和</w:t>
      </w:r>
      <w:r>
        <w:rPr>
          <w:spacing w:val="-4"/>
          <w:sz w:val="21"/>
        </w:rPr>
        <w:t>可</w:t>
      </w:r>
      <w:r>
        <w:rPr>
          <w:spacing w:val="-4"/>
          <w:sz w:val="21"/>
        </w:rPr>
        <w:t>选</w:t>
      </w:r>
      <w:r>
        <w:rPr>
          <w:spacing w:val="-4"/>
          <w:sz w:val="21"/>
        </w:rPr>
        <w:t>部分。</w:t>
      </w:r>
      <w:r>
        <w:rPr>
          <w:spacing w:val="-4"/>
          <w:sz w:val="21"/>
        </w:rPr>
        <w:t>在</w:t>
      </w:r>
      <w:r>
        <w:rPr>
          <w:spacing w:val="-4"/>
          <w:sz w:val="21"/>
        </w:rPr>
        <w:t>投</w:t>
      </w:r>
      <w:r>
        <w:rPr>
          <w:spacing w:val="-4"/>
          <w:sz w:val="21"/>
        </w:rPr>
        <w:t>保</w:t>
      </w:r>
      <w:r>
        <w:rPr>
          <w:spacing w:val="-4"/>
          <w:sz w:val="21"/>
        </w:rPr>
        <w:t>基</w:t>
      </w:r>
      <w:r>
        <w:rPr>
          <w:spacing w:val="-4"/>
          <w:sz w:val="21"/>
        </w:rPr>
        <w:t>本</w:t>
      </w:r>
      <w:r>
        <w:rPr>
          <w:spacing w:val="-4"/>
          <w:sz w:val="21"/>
        </w:rPr>
        <w:t>部</w:t>
      </w:r>
      <w:r>
        <w:rPr>
          <w:spacing w:val="-4"/>
          <w:sz w:val="21"/>
        </w:rPr>
        <w:t>分</w:t>
      </w:r>
      <w:r>
        <w:rPr>
          <w:spacing w:val="-4"/>
          <w:sz w:val="21"/>
        </w:rPr>
        <w:t>的</w:t>
      </w:r>
      <w:r>
        <w:rPr>
          <w:spacing w:val="-4"/>
          <w:sz w:val="21"/>
        </w:rPr>
        <w:t>基</w:t>
      </w:r>
      <w:r>
        <w:rPr>
          <w:spacing w:val="-4"/>
          <w:sz w:val="21"/>
        </w:rPr>
        <w:t>础</w:t>
      </w:r>
      <w:r>
        <w:rPr>
          <w:spacing w:val="-4"/>
          <w:sz w:val="21"/>
        </w:rPr>
        <w:t>上</w:t>
      </w:r>
      <w:r>
        <w:rPr>
          <w:spacing w:val="-4"/>
          <w:sz w:val="21"/>
        </w:rPr>
        <w:t>，</w:t>
      </w:r>
      <w:r>
        <w:rPr>
          <w:spacing w:val="-4"/>
          <w:sz w:val="21"/>
        </w:rPr>
        <w:t>您</w:t>
      </w:r>
      <w:r>
        <w:rPr>
          <w:spacing w:val="-4"/>
          <w:sz w:val="21"/>
        </w:rPr>
        <w:t>可</w:t>
      </w:r>
      <w:r>
        <w:rPr>
          <w:spacing w:val="-4"/>
          <w:sz w:val="21"/>
        </w:rPr>
        <w:t>与</w:t>
      </w:r>
      <w:r>
        <w:rPr>
          <w:spacing w:val="-4"/>
          <w:sz w:val="21"/>
        </w:rPr>
        <w:t>我</w:t>
      </w:r>
      <w:r>
        <w:rPr>
          <w:spacing w:val="-2"/>
          <w:sz w:val="21"/>
        </w:rPr>
        <w:t>们</w:t>
      </w:r>
      <w:r>
        <w:rPr>
          <w:spacing w:val="-2"/>
          <w:sz w:val="21"/>
        </w:rPr>
        <w:t>约</w:t>
      </w:r>
      <w:r>
        <w:rPr>
          <w:spacing w:val="-2"/>
          <w:sz w:val="21"/>
        </w:rPr>
        <w:t>定</w:t>
      </w:r>
      <w:r>
        <w:rPr>
          <w:spacing w:val="-2"/>
          <w:sz w:val="21"/>
        </w:rPr>
        <w:t>选</w:t>
      </w:r>
      <w:r>
        <w:rPr>
          <w:spacing w:val="-2"/>
          <w:sz w:val="21"/>
        </w:rPr>
        <w:t>择</w:t>
      </w:r>
      <w:r>
        <w:rPr>
          <w:spacing w:val="-2"/>
          <w:sz w:val="21"/>
        </w:rPr>
        <w:t>投</w:t>
      </w:r>
      <w:r>
        <w:rPr>
          <w:spacing w:val="-2"/>
          <w:sz w:val="21"/>
        </w:rPr>
        <w:t>保</w:t>
      </w:r>
      <w:r>
        <w:rPr>
          <w:spacing w:val="-2"/>
          <w:sz w:val="21"/>
        </w:rPr>
        <w:t>可</w:t>
      </w:r>
      <w:r>
        <w:rPr>
          <w:spacing w:val="-2"/>
          <w:sz w:val="21"/>
        </w:rPr>
        <w:t>选</w:t>
      </w:r>
      <w:r>
        <w:rPr>
          <w:spacing w:val="-2"/>
          <w:sz w:val="21"/>
        </w:rPr>
        <w:t>部</w:t>
      </w:r>
      <w:r>
        <w:rPr>
          <w:spacing w:val="-2"/>
          <w:sz w:val="21"/>
        </w:rPr>
        <w:t>分</w:t>
      </w:r>
      <w:r>
        <w:rPr>
          <w:spacing w:val="-2"/>
          <w:sz w:val="21"/>
        </w:rPr>
        <w:t>，所</w:t>
      </w:r>
      <w:r>
        <w:rPr>
          <w:spacing w:val="-2"/>
          <w:sz w:val="21"/>
        </w:rPr>
        <w:t>选</w:t>
      </w:r>
      <w:r>
        <w:rPr>
          <w:spacing w:val="-2"/>
          <w:sz w:val="21"/>
        </w:rPr>
        <w:t>择</w:t>
      </w:r>
      <w:r>
        <w:rPr>
          <w:spacing w:val="-2"/>
          <w:sz w:val="21"/>
        </w:rPr>
        <w:t>的</w:t>
      </w:r>
      <w:r>
        <w:rPr>
          <w:spacing w:val="-2"/>
          <w:sz w:val="21"/>
        </w:rPr>
        <w:t>内</w:t>
      </w:r>
      <w:r>
        <w:rPr>
          <w:spacing w:val="-2"/>
          <w:sz w:val="21"/>
        </w:rPr>
        <w:t>容</w:t>
      </w:r>
      <w:r>
        <w:rPr>
          <w:spacing w:val="-2"/>
          <w:sz w:val="21"/>
        </w:rPr>
        <w:t>以</w:t>
      </w:r>
      <w:r>
        <w:rPr>
          <w:spacing w:val="-2"/>
          <w:sz w:val="21"/>
        </w:rPr>
        <w:t>在</w:t>
      </w:r>
      <w:r>
        <w:rPr>
          <w:spacing w:val="-2"/>
          <w:sz w:val="21"/>
        </w:rPr>
        <w:t>保险单</w:t>
      </w:r>
      <w:r>
        <w:rPr>
          <w:spacing w:val="-2"/>
          <w:sz w:val="21"/>
        </w:rPr>
        <w:t>上</w:t>
      </w:r>
      <w:r>
        <w:rPr>
          <w:spacing w:val="-2"/>
          <w:sz w:val="21"/>
        </w:rPr>
        <w:t>载</w:t>
      </w:r>
      <w:r>
        <w:rPr>
          <w:spacing w:val="-2"/>
          <w:sz w:val="21"/>
        </w:rPr>
        <w:t>明</w:t>
      </w:r>
      <w:r>
        <w:rPr>
          <w:spacing w:val="-2"/>
          <w:sz w:val="21"/>
        </w:rPr>
        <w:t>的</w:t>
      </w:r>
      <w:r>
        <w:rPr>
          <w:spacing w:val="-2"/>
          <w:sz w:val="21"/>
        </w:rPr>
        <w:t>为</w:t>
      </w:r>
      <w:r>
        <w:rPr>
          <w:spacing w:val="-2"/>
          <w:sz w:val="21"/>
        </w:rPr>
        <w:t>准</w:t>
      </w:r>
      <w:r>
        <w:rPr>
          <w:spacing w:val="-2"/>
          <w:sz w:val="21"/>
        </w:rPr>
        <w:t>。</w:t>
      </w:r>
    </w:p>
    <w:p>
      <w:pPr>
        <w:pStyle w:val="BodyText"/>
        <w:spacing w:before="6"/>
        <w:rPr>
          <w:sz w:val="27"/>
        </w:rPr>
      </w:pPr>
    </w:p>
    <w:p>
      <w:pPr>
        <w:pStyle w:val="BodyText"/>
        <w:ind w:left="2588"/>
      </w:pPr>
      <w:r>
        <w:rPr>
          <w:spacing w:val="-3"/>
        </w:rPr>
        <w:t>在本合同有效期内，我们承担如下保险责任：</w:t>
      </w:r>
    </w:p>
    <w:p>
      <w:pPr>
        <w:pStyle w:val="BodyText"/>
        <w:spacing w:before="3"/>
      </w:pPr>
    </w:p>
    <w:p>
      <w:pPr>
        <w:pStyle w:val="Heading1"/>
      </w:pPr>
      <w:r>
        <w:rPr/>
        <w:pict>
          <v:shape style="position:absolute;margin-left:175.440002pt;margin-top:19.437899pt;width:363.4pt;height:13.95pt;mso-position-horizontal-relative:page;mso-position-vertical-relative:paragraph;z-index:15740928" type="#_x0000_t202" id="docshape3" filled="true" fillcolor="#d9d9d9" stroked="false">
            <v:textbox inset="0,0,0,0">
              <w:txbxContent>
                <w:p>
                  <w:pPr>
                    <w:spacing w:line="278" w:lineRule="exact" w:before="0"/>
                    <w:ind w:left="0" w:right="-15" w:firstLine="0"/>
                    <w:jc w:val="left"/>
                    <w:rPr>
                      <w:rFonts w:ascii="微软雅黑" w:eastAsia="微软雅黑"/>
                      <w:b/>
                      <w:color w:val="000000"/>
                      <w:sz w:val="21"/>
                    </w:rPr>
                  </w:pPr>
                  <w:r>
                    <w:rPr>
                      <w:rFonts w:ascii="微软雅黑" w:eastAsia="微软雅黑"/>
                      <w:b/>
                      <w:color w:val="000000"/>
                      <w:spacing w:val="-2"/>
                      <w:sz w:val="21"/>
                    </w:rPr>
                    <w:t>伤害事故</w:t>
                  </w:r>
                  <w:r>
                    <w:rPr>
                      <w:color w:val="000000"/>
                      <w:spacing w:val="-2"/>
                      <w:sz w:val="21"/>
                    </w:rPr>
                    <w:t>（</w:t>
                  </w:r>
                  <w:r>
                    <w:rPr>
                      <w:color w:val="000000"/>
                      <w:spacing w:val="-27"/>
                      <w:sz w:val="21"/>
                    </w:rPr>
                    <w:t>见 </w:t>
                  </w:r>
                  <w:r>
                    <w:rPr>
                      <w:color w:val="000000"/>
                      <w:spacing w:val="-2"/>
                      <w:sz w:val="21"/>
                    </w:rPr>
                    <w:t>9.4）以外的原因发生下列情形之一的，我们无息退还</w:t>
                  </w:r>
                  <w:r>
                    <w:rPr>
                      <w:rFonts w:ascii="微软雅黑" w:eastAsia="微软雅黑"/>
                      <w:b/>
                      <w:color w:val="000000"/>
                      <w:spacing w:val="-4"/>
                      <w:sz w:val="21"/>
                    </w:rPr>
                    <w:t>本合同已交</w:t>
                  </w:r>
                </w:p>
              </w:txbxContent>
            </v:textbox>
            <v:fill type="solid"/>
            <w10:wrap type="none"/>
          </v:shape>
        </w:pict>
      </w:r>
      <w:r>
        <w:rPr/>
        <w:pict>
          <v:shape style="position:absolute;margin-left:175.440002pt;margin-top:3.837898pt;width:363.4pt;height:13.95pt;mso-position-horizontal-relative:page;mso-position-vertical-relative:paragraph;z-index:15741440" type="#_x0000_t202" id="docshape4" filled="true" fillcolor="#d9d9d9" stroked="false">
            <v:textbox inset="0,0,0,0">
              <w:txbxContent>
                <w:p>
                  <w:pPr>
                    <w:pStyle w:val="BodyText"/>
                    <w:spacing w:line="278" w:lineRule="exact"/>
                    <w:ind w:right="-15"/>
                    <w:rPr>
                      <w:rFonts w:ascii="微软雅黑" w:eastAsia="微软雅黑"/>
                      <w:b/>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2"/>
                    </w:rPr>
                    <w:t>，被保险人因</w:t>
                  </w:r>
                  <w:r>
                    <w:rPr>
                      <w:rFonts w:ascii="微软雅黑" w:eastAsia="微软雅黑"/>
                      <w:b/>
                      <w:color w:val="000000"/>
                      <w:spacing w:val="-6"/>
                    </w:rPr>
                    <w:t>意外</w:t>
                  </w:r>
                </w:p>
              </w:txbxContent>
            </v:textbox>
            <v:fill type="solid"/>
            <w10:wrap type="none"/>
          </v:shape>
        </w:pict>
      </w:r>
      <w:r>
        <w:rPr>
          <w:spacing w:val="-4"/>
        </w:rPr>
        <w:t>等待期</w:t>
      </w:r>
    </w:p>
    <w:p>
      <w:pPr>
        <w:pStyle w:val="BodyText"/>
        <w:spacing w:before="13"/>
        <w:rPr>
          <w:rFonts w:ascii="微软雅黑"/>
          <w:b/>
          <w:sz w:val="12"/>
        </w:rPr>
      </w:pPr>
      <w:r>
        <w:rPr/>
        <w:pict>
          <v:shape style="position:absolute;margin-left:175.440002pt;margin-top:12.956509pt;width:149.8pt;height:13.95pt;mso-position-horizontal-relative:page;mso-position-vertical-relative:paragraph;z-index:-15725568;mso-wrap-distance-left:0;mso-wrap-distance-right:0" type="#_x0000_t202" id="docshape5" filled="true" fillcolor="#d9d9d9" stroked="false">
            <v:textbox inset="0,0,0,0">
              <w:txbxContent>
                <w:p>
                  <w:pPr>
                    <w:pStyle w:val="BodyText"/>
                    <w:spacing w:line="278" w:lineRule="exact"/>
                    <w:ind w:right="-15"/>
                    <w:rPr>
                      <w:color w:val="000000"/>
                    </w:rPr>
                  </w:pPr>
                  <w:r>
                    <w:rPr>
                      <w:rFonts w:ascii="微软雅黑" w:eastAsia="微软雅黑"/>
                      <w:b/>
                      <w:color w:val="000000"/>
                      <w:spacing w:val="-8"/>
                    </w:rPr>
                    <w:t>保险费</w:t>
                  </w:r>
                  <w:r>
                    <w:rPr>
                      <w:color w:val="000000"/>
                      <w:spacing w:val="-8"/>
                    </w:rPr>
                    <w:t>（</w:t>
                  </w:r>
                  <w:r>
                    <w:rPr>
                      <w:color w:val="000000"/>
                      <w:spacing w:val="-28"/>
                    </w:rPr>
                    <w:t>见 </w:t>
                  </w:r>
                  <w:r>
                    <w:rPr>
                      <w:color w:val="000000"/>
                      <w:spacing w:val="14"/>
                    </w:rPr>
                    <w:t>9.5</w:t>
                  </w:r>
                  <w:r>
                    <w:rPr>
                      <w:color w:val="000000"/>
                      <w:spacing w:val="-97"/>
                    </w:rPr>
                    <w:t>）</w:t>
                  </w:r>
                  <w:r>
                    <w:rPr>
                      <w:color w:val="000000"/>
                      <w:spacing w:val="-7"/>
                    </w:rPr>
                    <w:t>，本合同终止：</w:t>
                  </w:r>
                </w:p>
              </w:txbxContent>
            </v:textbox>
            <v:fill type="solid"/>
            <w10:wrap type="topAndBottom"/>
          </v:shape>
        </w:pict>
      </w:r>
      <w:r>
        <w:rPr/>
        <w:drawing>
          <wp:anchor distT="0" distB="0" distL="0" distR="0" allowOverlap="1" layoutInCell="1" locked="0" behindDoc="1" simplePos="0" relativeHeight="485569024">
            <wp:simplePos x="0" y="0"/>
            <wp:positionH relativeFrom="page">
              <wp:posOffset>2228088</wp:posOffset>
            </wp:positionH>
            <wp:positionV relativeFrom="paragraph">
              <wp:posOffset>765003</wp:posOffset>
            </wp:positionV>
            <wp:extent cx="1569719" cy="176783"/>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1569719" cy="176783"/>
                    </a:xfrm>
                    <a:prstGeom prst="rect">
                      <a:avLst/>
                    </a:prstGeom>
                  </pic:spPr>
                </pic:pic>
              </a:graphicData>
            </a:graphic>
          </wp:anchor>
        </w:drawing>
      </w:r>
      <w:r>
        <w:rPr/>
        <w:pict>
          <v:shape style="position:absolute;margin-left:175.440002pt;margin-top:60.236507pt;width:123.6pt;height:13.95pt;mso-position-horizontal-relative:page;mso-position-vertical-relative:paragraph;z-index:-17746944" type="#_x0000_t202" id="docshape6" filled="false" stroked="false">
            <v:textbox inset="0,0,0,0">
              <w:txbxContent>
                <w:p>
                  <w:pPr>
                    <w:spacing w:line="278" w:lineRule="exact" w:before="0"/>
                    <w:ind w:left="0" w:right="-15" w:firstLine="0"/>
                    <w:jc w:val="left"/>
                    <w:rPr>
                      <w:sz w:val="21"/>
                    </w:rPr>
                  </w:pPr>
                  <w:r>
                    <w:rPr>
                      <w:spacing w:val="-10"/>
                      <w:sz w:val="21"/>
                    </w:rPr>
                    <w:t>（2）</w:t>
                  </w:r>
                  <w:r>
                    <w:rPr>
                      <w:rFonts w:ascii="微软雅黑" w:eastAsia="微软雅黑"/>
                      <w:b/>
                      <w:spacing w:val="-10"/>
                      <w:sz w:val="21"/>
                    </w:rPr>
                    <w:t>重大疾病</w:t>
                  </w:r>
                  <w:r>
                    <w:rPr>
                      <w:spacing w:val="-10"/>
                      <w:sz w:val="21"/>
                    </w:rPr>
                    <w:t>（</w:t>
                  </w:r>
                  <w:r>
                    <w:rPr>
                      <w:spacing w:val="-22"/>
                      <w:sz w:val="21"/>
                    </w:rPr>
                    <w:t>见 </w:t>
                  </w:r>
                  <w:r>
                    <w:rPr>
                      <w:spacing w:val="16"/>
                      <w:sz w:val="21"/>
                    </w:rPr>
                    <w:t>9.7</w:t>
                  </w:r>
                  <w:r>
                    <w:rPr>
                      <w:spacing w:val="-90"/>
                      <w:sz w:val="21"/>
                    </w:rPr>
                    <w:t>）</w:t>
                  </w:r>
                  <w:r>
                    <w:rPr>
                      <w:spacing w:val="-10"/>
                      <w:sz w:val="21"/>
                    </w:rPr>
                    <w:t>。</w:t>
                  </w:r>
                </w:p>
              </w:txbxContent>
            </v:textbox>
            <w10:wrap type="none"/>
          </v:shape>
        </w:pict>
      </w:r>
      <w:r>
        <w:rPr/>
        <w:pict>
          <v:shape style="position:absolute;margin-left:175.440002pt;margin-top:44.636509pt;width:133.950pt;height:13.95pt;mso-position-horizontal-relative:page;mso-position-vertical-relative:paragraph;z-index:-15724032;mso-wrap-distance-left:0;mso-wrap-distance-right:0" type="#_x0000_t202" id="docshape7" filled="true" fillcolor="#d9d9d9" stroked="false">
            <v:textbox inset="0,0,0,0">
              <w:txbxContent>
                <w:p>
                  <w:pPr>
                    <w:pStyle w:val="BodyText"/>
                    <w:spacing w:line="278" w:lineRule="exact"/>
                    <w:ind w:right="-15"/>
                    <w:rPr>
                      <w:color w:val="000000"/>
                    </w:rPr>
                  </w:pPr>
                  <w:r>
                    <w:rPr>
                      <w:color w:val="000000"/>
                      <w:spacing w:val="-2"/>
                    </w:rPr>
                    <w:t>（1）身故或</w:t>
                  </w:r>
                  <w:r>
                    <w:rPr>
                      <w:rFonts w:ascii="微软雅黑" w:eastAsia="微软雅黑"/>
                      <w:b/>
                      <w:color w:val="000000"/>
                      <w:spacing w:val="-2"/>
                    </w:rPr>
                    <w:t>全残</w:t>
                  </w:r>
                  <w:r>
                    <w:rPr>
                      <w:color w:val="000000"/>
                      <w:spacing w:val="-2"/>
                    </w:rPr>
                    <w:t>（</w:t>
                  </w:r>
                  <w:r>
                    <w:rPr>
                      <w:color w:val="000000"/>
                      <w:spacing w:val="-21"/>
                    </w:rPr>
                    <w:t>见 </w:t>
                  </w:r>
                  <w:r>
                    <w:rPr>
                      <w:color w:val="000000"/>
                      <w:spacing w:val="2"/>
                    </w:rPr>
                    <w:t>9</w:t>
                  </w:r>
                  <w:r>
                    <w:rPr>
                      <w:color w:val="000000"/>
                      <w:spacing w:val="-3"/>
                    </w:rPr>
                    <w:t>.</w:t>
                  </w:r>
                  <w:r>
                    <w:rPr>
                      <w:color w:val="000000"/>
                      <w:spacing w:val="2"/>
                    </w:rPr>
                    <w:t>6</w:t>
                  </w:r>
                  <w:r>
                    <w:rPr>
                      <w:color w:val="000000"/>
                      <w:spacing w:val="-104"/>
                    </w:rPr>
                    <w:t>）</w:t>
                  </w:r>
                  <w:r>
                    <w:rPr>
                      <w:color w:val="000000"/>
                      <w:spacing w:val="2"/>
                    </w:rPr>
                    <w:t>；</w:t>
                  </w:r>
                </w:p>
              </w:txbxContent>
            </v:textbox>
            <v:fill type="solid"/>
            <w10:wrap type="topAndBottom"/>
          </v:shape>
        </w:pict>
      </w:r>
      <w:r>
        <w:rPr/>
        <w:drawing>
          <wp:anchor distT="0" distB="0" distL="0" distR="0" allowOverlap="1" layoutInCell="1" locked="0" behindDoc="1" simplePos="0" relativeHeight="485570560">
            <wp:simplePos x="0" y="0"/>
            <wp:positionH relativeFrom="page">
              <wp:posOffset>2228088</wp:posOffset>
            </wp:positionH>
            <wp:positionV relativeFrom="paragraph">
              <wp:posOffset>1563579</wp:posOffset>
            </wp:positionV>
            <wp:extent cx="4614671" cy="176783"/>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9" cstate="print"/>
                    <a:stretch>
                      <a:fillRect/>
                    </a:stretch>
                  </pic:blipFill>
                  <pic:spPr>
                    <a:xfrm>
                      <a:off x="0" y="0"/>
                      <a:ext cx="4614671" cy="176783"/>
                    </a:xfrm>
                    <a:prstGeom prst="rect">
                      <a:avLst/>
                    </a:prstGeom>
                  </pic:spPr>
                </pic:pic>
              </a:graphicData>
            </a:graphic>
          </wp:anchor>
        </w:drawing>
      </w:r>
      <w:r>
        <w:rPr/>
        <w:pict>
          <v:shape style="position:absolute;margin-left:175.440002pt;margin-top:123.116508pt;width:367.7pt;height:13.95pt;mso-position-horizontal-relative:page;mso-position-vertical-relative:paragraph;z-index:-17745408" type="#_x0000_t202" id="docshape8" filled="false" stroked="false">
            <v:textbox inset="0,0,0,0">
              <w:txbxContent>
                <w:p>
                  <w:pPr>
                    <w:pStyle w:val="BodyText"/>
                    <w:spacing w:before="6"/>
                  </w:pPr>
                  <w:r>
                    <w:rPr>
                      <w:spacing w:val="-3"/>
                    </w:rPr>
                    <w:t>不再承担给付中症疾病保险金及中症疾病豁免保险费的责任，本合同继续有效。</w:t>
                  </w:r>
                </w:p>
              </w:txbxContent>
            </v:textbox>
            <w10:wrap type="none"/>
          </v:shape>
        </w:pict>
      </w:r>
      <w:r>
        <w:rPr/>
        <w:pict>
          <v:shape style="position:absolute;margin-left:175.440002pt;margin-top:107.51651pt;width:363.4pt;height:13.95pt;mso-position-horizontal-relative:page;mso-position-vertical-relative:paragraph;z-index:-17744896" type="#_x0000_t202" id="docshape9" filled="true" fillcolor="#d9d9d9" stroked="false">
            <v:textbox inset="0,0,0,0">
              <w:txbxContent>
                <w:p>
                  <w:pPr>
                    <w:pStyle w:val="BodyText"/>
                    <w:spacing w:line="278" w:lineRule="exact"/>
                    <w:ind w:right="-15"/>
                    <w:rPr>
                      <w:color w:val="000000"/>
                    </w:rPr>
                  </w:pPr>
                  <w:r>
                    <w:rPr>
                      <w:color w:val="000000"/>
                      <w:spacing w:val="-6"/>
                    </w:rPr>
                    <w:t>伤害事故以外的原因发生</w:t>
                  </w:r>
                  <w:r>
                    <w:rPr>
                      <w:rFonts w:ascii="微软雅黑" w:eastAsia="微软雅黑"/>
                      <w:b/>
                      <w:color w:val="000000"/>
                      <w:spacing w:val="-6"/>
                    </w:rPr>
                    <w:t>中症疾病</w:t>
                  </w:r>
                  <w:r>
                    <w:rPr>
                      <w:color w:val="000000"/>
                      <w:spacing w:val="-6"/>
                    </w:rPr>
                    <w:t>（</w:t>
                  </w:r>
                  <w:r>
                    <w:rPr>
                      <w:color w:val="000000"/>
                      <w:spacing w:val="-8"/>
                    </w:rPr>
                    <w:t>见 </w:t>
                  </w:r>
                  <w:r>
                    <w:rPr>
                      <w:color w:val="000000"/>
                      <w:spacing w:val="18"/>
                    </w:rPr>
                    <w:t>9.8</w:t>
                  </w:r>
                  <w:r>
                    <w:rPr>
                      <w:color w:val="000000"/>
                      <w:spacing w:val="-102"/>
                    </w:rPr>
                    <w:t>）</w:t>
                  </w:r>
                  <w:r>
                    <w:rPr>
                      <w:color w:val="000000"/>
                      <w:spacing w:val="18"/>
                    </w:rPr>
                    <w:t>（</w:t>
                  </w:r>
                  <w:r>
                    <w:rPr>
                      <w:color w:val="000000"/>
                      <w:spacing w:val="-6"/>
                    </w:rPr>
                    <w:t>无论一项或多项</w:t>
                  </w:r>
                  <w:r>
                    <w:rPr>
                      <w:color w:val="000000"/>
                      <w:spacing w:val="-111"/>
                    </w:rPr>
                    <w:t>）</w:t>
                  </w:r>
                  <w:r>
                    <w:rPr>
                      <w:color w:val="000000"/>
                      <w:spacing w:val="-9"/>
                    </w:rPr>
                    <w:t>，我们不承担且</w:t>
                  </w:r>
                </w:p>
              </w:txbxContent>
            </v:textbox>
            <v:fill type="solid"/>
            <w10:wrap type="none"/>
          </v:shape>
        </w:pict>
      </w:r>
      <w:r>
        <w:rPr/>
        <w:pict>
          <v:shape style="position:absolute;margin-left:175.440002pt;margin-top:91.916512pt;width:363.4pt;height:13.95pt;mso-position-horizontal-relative:page;mso-position-vertical-relative:paragraph;z-index:-15721984;mso-wrap-distance-left:0;mso-wrap-distance-right:0" type="#_x0000_t202" id="docshape10" filled="true" fillcolor="#d9d9d9" stroked="false">
            <v:textbox inset="0,0,0,0">
              <w:txbxContent>
                <w:p>
                  <w:pPr>
                    <w:pStyle w:val="BodyText"/>
                    <w:spacing w:before="6"/>
                    <w:ind w:right="-15"/>
                    <w:rPr>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3"/>
                    </w:rPr>
                    <w:t>，被保险人因意外</w:t>
                  </w:r>
                </w:p>
              </w:txbxContent>
            </v:textbox>
            <v:fill type="solid"/>
            <w10:wrap type="topAndBottom"/>
          </v:shape>
        </w:pict>
      </w:r>
      <w:r>
        <w:rPr/>
        <w:drawing>
          <wp:anchor distT="0" distB="0" distL="0" distR="0" allowOverlap="1" layoutInCell="1" locked="0" behindDoc="1" simplePos="0" relativeHeight="485572608">
            <wp:simplePos x="0" y="0"/>
            <wp:positionH relativeFrom="page">
              <wp:posOffset>2228088</wp:posOffset>
            </wp:positionH>
            <wp:positionV relativeFrom="paragraph">
              <wp:posOffset>2359107</wp:posOffset>
            </wp:positionV>
            <wp:extent cx="4532375" cy="176784"/>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0" cstate="print"/>
                    <a:stretch>
                      <a:fillRect/>
                    </a:stretch>
                  </pic:blipFill>
                  <pic:spPr>
                    <a:xfrm>
                      <a:off x="0" y="0"/>
                      <a:ext cx="4532375" cy="176784"/>
                    </a:xfrm>
                    <a:prstGeom prst="rect">
                      <a:avLst/>
                    </a:prstGeom>
                  </pic:spPr>
                </pic:pic>
              </a:graphicData>
            </a:graphic>
          </wp:anchor>
        </w:drawing>
      </w:r>
      <w:r>
        <w:rPr/>
        <w:pict>
          <v:shape style="position:absolute;margin-left:175.440002pt;margin-top:185.756516pt;width:356.9pt;height:14.2pt;mso-position-horizontal-relative:page;mso-position-vertical-relative:paragraph;z-index:-17743360" type="#_x0000_t202" id="docshape11" filled="false" stroked="false">
            <v:textbox inset="0,0,0,0">
              <w:txbxContent>
                <w:p>
                  <w:pPr>
                    <w:pStyle w:val="BodyText"/>
                    <w:spacing w:line="248" w:lineRule="exact" w:before="6"/>
                    <w:ind w:right="-15"/>
                  </w:pPr>
                  <w:r>
                    <w:rPr>
                      <w:spacing w:val="-3"/>
                    </w:rPr>
                    <w:t>不再承担给付轻症疾病保险金及轻症疾病豁免保险费责任，本合同继续有效。</w:t>
                  </w:r>
                </w:p>
                <w:p>
                  <w:pPr>
                    <w:spacing w:line="29" w:lineRule="exact" w:before="0"/>
                    <w:ind w:left="38" w:right="0" w:firstLine="0"/>
                    <w:jc w:val="left"/>
                    <w:rPr>
                      <w:sz w:val="4"/>
                    </w:rPr>
                  </w:pPr>
                  <w:r>
                    <w:rPr>
                      <w:w w:val="72"/>
                      <w:sz w:val="4"/>
                    </w:rPr>
                    <w:t>●</w:t>
                  </w:r>
                </w:p>
              </w:txbxContent>
            </v:textbox>
            <w10:wrap type="none"/>
          </v:shape>
        </w:pict>
      </w:r>
      <w:r>
        <w:rPr/>
        <w:pict>
          <v:shape style="position:absolute;margin-left:175.440002pt;margin-top:170.156509pt;width:363.4pt;height:13.95pt;mso-position-horizontal-relative:page;mso-position-vertical-relative:paragraph;z-index:-17742848" type="#_x0000_t202" id="docshape12" filled="true" fillcolor="#d9d9d9" stroked="false">
            <v:textbox inset="0,0,0,0">
              <w:txbxContent>
                <w:p>
                  <w:pPr>
                    <w:pStyle w:val="BodyText"/>
                    <w:spacing w:line="278" w:lineRule="exact"/>
                    <w:ind w:right="-15"/>
                    <w:rPr>
                      <w:color w:val="000000"/>
                    </w:rPr>
                  </w:pPr>
                  <w:r>
                    <w:rPr>
                      <w:color w:val="000000"/>
                      <w:spacing w:val="-6"/>
                    </w:rPr>
                    <w:t>伤害事故以外的原因发生</w:t>
                  </w:r>
                  <w:r>
                    <w:rPr>
                      <w:rFonts w:ascii="微软雅黑" w:eastAsia="微软雅黑"/>
                      <w:b/>
                      <w:color w:val="000000"/>
                      <w:spacing w:val="-6"/>
                    </w:rPr>
                    <w:t>轻症疾病</w:t>
                  </w:r>
                  <w:r>
                    <w:rPr>
                      <w:color w:val="000000"/>
                      <w:spacing w:val="-6"/>
                    </w:rPr>
                    <w:t>（</w:t>
                  </w:r>
                  <w:r>
                    <w:rPr>
                      <w:color w:val="000000"/>
                      <w:spacing w:val="-8"/>
                    </w:rPr>
                    <w:t>见 </w:t>
                  </w:r>
                  <w:r>
                    <w:rPr>
                      <w:color w:val="000000"/>
                      <w:spacing w:val="18"/>
                    </w:rPr>
                    <w:t>9.9</w:t>
                  </w:r>
                  <w:r>
                    <w:rPr>
                      <w:color w:val="000000"/>
                      <w:spacing w:val="-102"/>
                    </w:rPr>
                    <w:t>）</w:t>
                  </w:r>
                  <w:r>
                    <w:rPr>
                      <w:color w:val="000000"/>
                      <w:spacing w:val="18"/>
                    </w:rPr>
                    <w:t>（</w:t>
                  </w:r>
                  <w:r>
                    <w:rPr>
                      <w:color w:val="000000"/>
                      <w:spacing w:val="-6"/>
                    </w:rPr>
                    <w:t>无论一项或多项</w:t>
                  </w:r>
                  <w:r>
                    <w:rPr>
                      <w:color w:val="000000"/>
                      <w:spacing w:val="-111"/>
                    </w:rPr>
                    <w:t>）</w:t>
                  </w:r>
                  <w:r>
                    <w:rPr>
                      <w:color w:val="000000"/>
                      <w:spacing w:val="-9"/>
                    </w:rPr>
                    <w:t>，我们不承担且</w:t>
                  </w:r>
                </w:p>
              </w:txbxContent>
            </v:textbox>
            <v:fill type="solid"/>
            <w10:wrap type="none"/>
          </v:shape>
        </w:pict>
      </w:r>
      <w:r>
        <w:rPr/>
        <w:pict>
          <v:shape style="position:absolute;margin-left:175.440002pt;margin-top:154.556503pt;width:363.4pt;height:13.95pt;mso-position-horizontal-relative:page;mso-position-vertical-relative:paragraph;z-index:-15719936;mso-wrap-distance-left:0;mso-wrap-distance-right:0" type="#_x0000_t202" id="docshape13" filled="true" fillcolor="#d9d9d9" stroked="false">
            <v:textbox inset="0,0,0,0">
              <w:txbxContent>
                <w:p>
                  <w:pPr>
                    <w:pStyle w:val="BodyText"/>
                    <w:spacing w:line="248" w:lineRule="exact" w:before="6"/>
                    <w:ind w:right="-15"/>
                    <w:rPr>
                      <w:color w:val="000000"/>
                    </w:rPr>
                  </w:pPr>
                  <w:r>
                    <w:rPr>
                      <w:color w:val="000000"/>
                      <w:spacing w:val="-5"/>
                    </w:rPr>
                    <w:t>在本合同生效或最后复效之日起 </w:t>
                  </w:r>
                  <w:r>
                    <w:rPr>
                      <w:color w:val="000000"/>
                      <w:spacing w:val="-2"/>
                    </w:rPr>
                    <w:t>180</w:t>
                  </w:r>
                  <w:r>
                    <w:rPr>
                      <w:color w:val="000000"/>
                      <w:spacing w:val="-14"/>
                    </w:rPr>
                    <w:t> 日内</w:t>
                  </w:r>
                  <w:r>
                    <w:rPr>
                      <w:color w:val="000000"/>
                      <w:spacing w:val="-2"/>
                    </w:rPr>
                    <w:t>（</w:t>
                  </w:r>
                  <w:r>
                    <w:rPr>
                      <w:color w:val="000000"/>
                      <w:spacing w:val="-14"/>
                    </w:rPr>
                    <w:t>含第 </w:t>
                  </w:r>
                  <w:r>
                    <w:rPr>
                      <w:color w:val="000000"/>
                      <w:spacing w:val="-2"/>
                    </w:rPr>
                    <w:t>180</w:t>
                  </w:r>
                  <w:r>
                    <w:rPr>
                      <w:color w:val="000000"/>
                      <w:spacing w:val="-13"/>
                    </w:rPr>
                    <w:t> 日当日</w:t>
                  </w:r>
                  <w:r>
                    <w:rPr>
                      <w:color w:val="000000"/>
                      <w:spacing w:val="-106"/>
                    </w:rPr>
                    <w:t>）</w:t>
                  </w:r>
                  <w:r>
                    <w:rPr>
                      <w:color w:val="000000"/>
                      <w:spacing w:val="-3"/>
                    </w:rPr>
                    <w:t>，被保险人因意外</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p>
    <w:p>
      <w:pPr>
        <w:pStyle w:val="BodyText"/>
        <w:spacing w:before="17"/>
        <w:rPr>
          <w:rFonts w:ascii="微软雅黑"/>
          <w:b/>
          <w:sz w:val="17"/>
        </w:rPr>
      </w:pPr>
    </w:p>
    <w:p>
      <w:pPr>
        <w:pStyle w:val="BodyText"/>
        <w:spacing w:before="17"/>
        <w:rPr>
          <w:rFonts w:ascii="微软雅黑"/>
          <w:b/>
          <w:sz w:val="17"/>
        </w:rPr>
      </w:pPr>
    </w:p>
    <w:p>
      <w:pPr>
        <w:pStyle w:val="BodyText"/>
        <w:spacing w:before="13"/>
        <w:rPr>
          <w:rFonts w:ascii="微软雅黑"/>
          <w:b/>
          <w:sz w:val="17"/>
        </w:rPr>
      </w:pPr>
    </w:p>
    <w:p>
      <w:pPr>
        <w:pStyle w:val="BodyText"/>
        <w:spacing w:before="8"/>
        <w:rPr>
          <w:rFonts w:ascii="微软雅黑"/>
          <w:b/>
          <w:sz w:val="15"/>
        </w:rPr>
      </w:pPr>
    </w:p>
    <w:p>
      <w:pPr>
        <w:pStyle w:val="BodyText"/>
        <w:spacing w:line="556" w:lineRule="auto" w:before="71"/>
        <w:ind w:left="2588" w:right="430"/>
      </w:pPr>
      <w:r>
        <w:rPr/>
        <w:t>自本合同生效（或最后复效）</w:t>
      </w:r>
      <w:r>
        <w:rPr>
          <w:spacing w:val="-14"/>
        </w:rPr>
        <w:t>之日起 </w:t>
      </w:r>
      <w:r>
        <w:rPr/>
        <w:t>180</w:t>
      </w:r>
      <w:r>
        <w:rPr>
          <w:spacing w:val="-18"/>
        </w:rPr>
        <w:t> 日内</w:t>
      </w:r>
      <w:r>
        <w:rPr/>
        <w:t>（</w:t>
      </w:r>
      <w:r>
        <w:rPr>
          <w:spacing w:val="-19"/>
        </w:rPr>
        <w:t>含第 </w:t>
      </w:r>
      <w:r>
        <w:rPr/>
        <w:t>180</w:t>
      </w:r>
      <w:r>
        <w:rPr>
          <w:spacing w:val="-14"/>
        </w:rPr>
        <w:t> 日当日</w:t>
      </w:r>
      <w:r>
        <w:rPr/>
        <w:t>）为等待期。</w:t>
      </w:r>
      <w:r>
        <w:rPr>
          <w:spacing w:val="-2"/>
        </w:rPr>
        <w:t>被保险人因意外伤害事故发生上述情形之一的，无等待期。</w:t>
      </w:r>
    </w:p>
    <w:p>
      <w:pPr>
        <w:pStyle w:val="BodyText"/>
        <w:spacing w:line="278" w:lineRule="auto"/>
        <w:ind w:left="2588" w:right="301"/>
      </w:pPr>
      <w:r>
        <w:rPr>
          <w:spacing w:val="-6"/>
        </w:rPr>
        <w:t>如被保险人在等待期后发生本合同所约定的保险事故，我们按照下列方式给付保</w:t>
      </w:r>
      <w:r>
        <w:rPr>
          <w:spacing w:val="-4"/>
        </w:rPr>
        <w:t>险金：</w:t>
      </w:r>
    </w:p>
    <w:p>
      <w:pPr>
        <w:pStyle w:val="BodyText"/>
        <w:spacing w:before="9"/>
        <w:rPr>
          <w:sz w:val="16"/>
        </w:rPr>
      </w:pPr>
    </w:p>
    <w:p>
      <w:pPr>
        <w:pStyle w:val="ListParagraph"/>
        <w:numPr>
          <w:ilvl w:val="2"/>
          <w:numId w:val="2"/>
        </w:numPr>
        <w:tabs>
          <w:tab w:pos="1364" w:val="left" w:leader="none"/>
          <w:tab w:pos="1365" w:val="left" w:leader="none"/>
          <w:tab w:pos="2588" w:val="left" w:leader="none"/>
        </w:tabs>
        <w:spacing w:line="240" w:lineRule="auto" w:before="0" w:after="0"/>
        <w:ind w:left="1364" w:right="0" w:hanging="850"/>
        <w:jc w:val="left"/>
        <w:rPr>
          <w:sz w:val="21"/>
        </w:rPr>
      </w:pPr>
      <w:r>
        <w:rPr>
          <w:rFonts w:ascii="微软雅黑" w:eastAsia="微软雅黑"/>
          <w:b/>
          <w:sz w:val="24"/>
        </w:rPr>
        <w:t>基本部</w:t>
      </w:r>
      <w:r>
        <w:rPr>
          <w:rFonts w:ascii="微软雅黑" w:eastAsia="微软雅黑"/>
          <w:b/>
          <w:spacing w:val="-10"/>
          <w:sz w:val="24"/>
        </w:rPr>
        <w:t>分</w:t>
      </w:r>
      <w:r>
        <w:rPr>
          <w:rFonts w:ascii="微软雅黑" w:eastAsia="微软雅黑"/>
          <w:b/>
          <w:sz w:val="24"/>
        </w:rPr>
        <w:tab/>
      </w:r>
      <w:r>
        <w:rPr>
          <w:spacing w:val="-2"/>
          <w:position w:val="1"/>
          <w:sz w:val="21"/>
        </w:rPr>
        <w:t>以</w:t>
      </w:r>
      <w:r>
        <w:rPr>
          <w:spacing w:val="-2"/>
          <w:position w:val="1"/>
          <w:sz w:val="21"/>
        </w:rPr>
        <w:t>下</w:t>
      </w:r>
      <w:r>
        <w:rPr>
          <w:spacing w:val="-2"/>
          <w:position w:val="1"/>
          <w:sz w:val="21"/>
        </w:rPr>
        <w:t>责</w:t>
      </w:r>
      <w:r>
        <w:rPr>
          <w:spacing w:val="-2"/>
          <w:position w:val="1"/>
          <w:sz w:val="21"/>
        </w:rPr>
        <w:t>任</w:t>
      </w:r>
      <w:r>
        <w:rPr>
          <w:spacing w:val="-2"/>
          <w:position w:val="1"/>
          <w:sz w:val="21"/>
        </w:rPr>
        <w:t>为</w:t>
      </w:r>
      <w:r>
        <w:rPr>
          <w:spacing w:val="-2"/>
          <w:position w:val="1"/>
          <w:sz w:val="21"/>
        </w:rPr>
        <w:t>基</w:t>
      </w:r>
      <w:r>
        <w:rPr>
          <w:spacing w:val="-2"/>
          <w:position w:val="1"/>
          <w:sz w:val="21"/>
        </w:rPr>
        <w:t>本</w:t>
      </w:r>
      <w:r>
        <w:rPr>
          <w:spacing w:val="-2"/>
          <w:position w:val="1"/>
          <w:sz w:val="21"/>
        </w:rPr>
        <w:t>部</w:t>
      </w:r>
      <w:r>
        <w:rPr>
          <w:spacing w:val="-2"/>
          <w:position w:val="1"/>
          <w:sz w:val="21"/>
        </w:rPr>
        <w:t>分</w:t>
      </w:r>
      <w:r>
        <w:rPr>
          <w:spacing w:val="-10"/>
          <w:position w:val="1"/>
          <w:sz w:val="21"/>
        </w:rPr>
        <w:t>：</w:t>
      </w:r>
    </w:p>
    <w:p>
      <w:pPr>
        <w:pStyle w:val="BodyText"/>
        <w:spacing w:before="9"/>
        <w:rPr>
          <w:sz w:val="15"/>
        </w:rPr>
      </w:pPr>
    </w:p>
    <w:p>
      <w:pPr>
        <w:spacing w:after="0"/>
        <w:rPr>
          <w:sz w:val="15"/>
        </w:rPr>
        <w:sectPr>
          <w:pgSz w:w="11910" w:h="16840"/>
          <w:pgMar w:top="1080" w:bottom="280" w:left="920" w:right="820"/>
        </w:sectPr>
      </w:pPr>
    </w:p>
    <w:p>
      <w:pPr>
        <w:pStyle w:val="Heading2"/>
        <w:spacing w:line="235" w:lineRule="auto" w:before="62"/>
      </w:pPr>
      <w:r>
        <w:rPr/>
        <w:pict>
          <v:shape style="position:absolute;margin-left:141.599564pt;margin-top:30.236116pt;width:1.45pt;height:2.9pt;mso-position-horizontal-relative:page;mso-position-vertical-relative:paragraph;z-index:-17737728" type="#_x0000_t202" id="docshape14"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spacing w:val="7"/>
        </w:rPr>
        <w:t>首次重大</w:t>
      </w:r>
      <w:r>
        <w:rPr>
          <w:spacing w:val="7"/>
        </w:rPr>
        <w:t>疾病保险</w:t>
      </w:r>
      <w:r>
        <w:rPr>
          <w:spacing w:val="-10"/>
        </w:rPr>
        <w:t>金</w:t>
      </w:r>
    </w:p>
    <w:p>
      <w:pPr>
        <w:pStyle w:val="BodyText"/>
        <w:spacing w:line="312" w:lineRule="exact" w:before="38"/>
        <w:ind w:left="180" w:right="296"/>
        <w:jc w:val="both"/>
      </w:pPr>
      <w:r>
        <w:rPr/>
        <w:br w:type="column"/>
      </w:r>
      <w:r>
        <w:rPr>
          <w:spacing w:val="-4"/>
        </w:rPr>
        <w:t>被保险人在第 </w:t>
      </w:r>
      <w:r>
        <w:rPr/>
        <w:t>30</w:t>
      </w:r>
      <w:r>
        <w:rPr>
          <w:spacing w:val="-5"/>
        </w:rPr>
        <w:t> 个保单周年日之前</w:t>
      </w:r>
      <w:r>
        <w:rPr/>
        <w:t>（</w:t>
      </w:r>
      <w:r>
        <w:rPr>
          <w:spacing w:val="-7"/>
        </w:rPr>
        <w:t>不含第 </w:t>
      </w:r>
      <w:r>
        <w:rPr/>
        <w:t>30</w:t>
      </w:r>
      <w:r>
        <w:rPr>
          <w:spacing w:val="-5"/>
        </w:rPr>
        <w:t> 个保单周年日</w:t>
      </w:r>
      <w:r>
        <w:rPr/>
        <w:t>）</w:t>
      </w:r>
      <w:r>
        <w:rPr>
          <w:rFonts w:ascii="微软雅黑" w:eastAsia="微软雅黑"/>
          <w:b/>
        </w:rPr>
        <w:t>初次发生</w:t>
      </w:r>
      <w:r>
        <w:rPr/>
        <w:t>（</w:t>
      </w:r>
      <w:r>
        <w:rPr/>
        <w:t>见 </w:t>
      </w:r>
      <w:r>
        <w:rPr>
          <w:spacing w:val="-2"/>
        </w:rPr>
        <w:t>9.10）并被</w:t>
      </w:r>
      <w:r>
        <w:rPr>
          <w:rFonts w:ascii="微软雅黑" w:eastAsia="微软雅黑"/>
          <w:b/>
          <w:spacing w:val="-2"/>
        </w:rPr>
        <w:t>医院</w:t>
      </w:r>
      <w:r>
        <w:rPr>
          <w:spacing w:val="-2"/>
        </w:rPr>
        <w:t>（</w:t>
      </w:r>
      <w:r>
        <w:rPr>
          <w:spacing w:val="-8"/>
        </w:rPr>
        <w:t>见 </w:t>
      </w:r>
      <w:r>
        <w:rPr>
          <w:spacing w:val="-2"/>
        </w:rPr>
        <w:t>9.11）的</w:t>
      </w:r>
      <w:r>
        <w:rPr>
          <w:rFonts w:ascii="微软雅黑" w:eastAsia="微软雅黑"/>
          <w:b/>
          <w:spacing w:val="-2"/>
        </w:rPr>
        <w:t>专科医生</w:t>
      </w:r>
      <w:r>
        <w:rPr>
          <w:spacing w:val="-2"/>
        </w:rPr>
        <w:t>（</w:t>
      </w:r>
      <w:r>
        <w:rPr>
          <w:spacing w:val="-8"/>
        </w:rPr>
        <w:t>见 </w:t>
      </w:r>
      <w:r>
        <w:rPr>
          <w:spacing w:val="-2"/>
        </w:rPr>
        <w:t>9.12）确诊患有本合同约定的重大</w:t>
      </w:r>
      <w:r>
        <w:rPr>
          <w:spacing w:val="-2"/>
        </w:rPr>
        <w:t>疾病（无论一项或多项</w:t>
      </w:r>
      <w:r>
        <w:rPr>
          <w:spacing w:val="-61"/>
        </w:rPr>
        <w:t>）</w:t>
      </w:r>
      <w:r>
        <w:rPr>
          <w:spacing w:val="-11"/>
        </w:rPr>
        <w:t>，我们按本合同基本保险金额的 </w:t>
      </w:r>
      <w:r>
        <w:rPr>
          <w:spacing w:val="-2"/>
        </w:rPr>
        <w:t>160%给付首次重大疾病</w:t>
      </w:r>
      <w:r>
        <w:rPr>
          <w:spacing w:val="-2"/>
        </w:rPr>
        <w:t>保险金，该项保险责任终止。</w:t>
      </w:r>
    </w:p>
    <w:p>
      <w:pPr>
        <w:pStyle w:val="BodyText"/>
        <w:spacing w:before="6"/>
        <w:rPr>
          <w:sz w:val="27"/>
        </w:rPr>
      </w:pPr>
    </w:p>
    <w:p>
      <w:pPr>
        <w:pStyle w:val="BodyText"/>
        <w:spacing w:line="278" w:lineRule="auto"/>
        <w:ind w:left="180" w:right="301"/>
        <w:jc w:val="both"/>
      </w:pPr>
      <w:r>
        <w:rPr>
          <w:w w:val="95"/>
        </w:rPr>
        <w:t>被</w:t>
      </w:r>
      <w:r>
        <w:rPr>
          <w:w w:val="95"/>
        </w:rPr>
        <w:t>保</w:t>
      </w:r>
      <w:r>
        <w:rPr>
          <w:w w:val="95"/>
        </w:rPr>
        <w:t>险</w:t>
      </w:r>
      <w:r>
        <w:rPr>
          <w:w w:val="95"/>
        </w:rPr>
        <w:t>人</w:t>
      </w:r>
      <w:r>
        <w:rPr>
          <w:w w:val="95"/>
        </w:rPr>
        <w:t>在</w:t>
      </w:r>
      <w:r>
        <w:rPr>
          <w:w w:val="95"/>
        </w:rPr>
        <w:t>第</w:t>
      </w:r>
      <w:r>
        <w:rPr/>
        <w:t> </w:t>
      </w:r>
      <w:r>
        <w:rPr>
          <w:w w:val="95"/>
        </w:rPr>
        <w:t>30 </w:t>
      </w:r>
      <w:r>
        <w:rPr>
          <w:w w:val="95"/>
        </w:rPr>
        <w:t>个</w:t>
      </w:r>
      <w:r>
        <w:rPr>
          <w:w w:val="95"/>
        </w:rPr>
        <w:t>保</w:t>
      </w:r>
      <w:r>
        <w:rPr>
          <w:w w:val="95"/>
        </w:rPr>
        <w:t>单</w:t>
      </w:r>
      <w:r>
        <w:rPr>
          <w:w w:val="95"/>
        </w:rPr>
        <w:t>周</w:t>
      </w:r>
      <w:r>
        <w:rPr>
          <w:w w:val="95"/>
        </w:rPr>
        <w:t>年</w:t>
      </w:r>
      <w:r>
        <w:rPr>
          <w:w w:val="95"/>
        </w:rPr>
        <w:t>日</w:t>
      </w:r>
      <w:r>
        <w:rPr>
          <w:w w:val="95"/>
        </w:rPr>
        <w:t>之</w:t>
      </w:r>
      <w:r>
        <w:rPr>
          <w:w w:val="95"/>
        </w:rPr>
        <w:t>后（</w:t>
      </w:r>
      <w:r>
        <w:rPr>
          <w:w w:val="95"/>
        </w:rPr>
        <w:t>含</w:t>
      </w:r>
      <w:r>
        <w:rPr>
          <w:w w:val="95"/>
        </w:rPr>
        <w:t>第</w:t>
      </w:r>
      <w:r>
        <w:rPr/>
        <w:t> </w:t>
      </w:r>
      <w:r>
        <w:rPr>
          <w:w w:val="95"/>
        </w:rPr>
        <w:t>30</w:t>
      </w:r>
      <w:r>
        <w:rPr/>
        <w:t> </w:t>
      </w:r>
      <w:r>
        <w:rPr>
          <w:w w:val="95"/>
        </w:rPr>
        <w:t>个保单</w:t>
      </w:r>
      <w:r>
        <w:rPr>
          <w:w w:val="95"/>
        </w:rPr>
        <w:t>周</w:t>
      </w:r>
      <w:r>
        <w:rPr>
          <w:w w:val="95"/>
        </w:rPr>
        <w:t>年</w:t>
      </w:r>
      <w:r>
        <w:rPr>
          <w:w w:val="95"/>
        </w:rPr>
        <w:t>日</w:t>
      </w:r>
      <w:r>
        <w:rPr>
          <w:spacing w:val="-106"/>
          <w:w w:val="95"/>
        </w:rPr>
        <w:t>）</w:t>
      </w:r>
      <w:r>
        <w:rPr>
          <w:w w:val="95"/>
        </w:rPr>
        <w:t>，初</w:t>
      </w:r>
      <w:r>
        <w:rPr>
          <w:w w:val="95"/>
        </w:rPr>
        <w:t>次</w:t>
      </w:r>
      <w:r>
        <w:rPr>
          <w:w w:val="95"/>
        </w:rPr>
        <w:t>发</w:t>
      </w:r>
      <w:r>
        <w:rPr>
          <w:w w:val="95"/>
        </w:rPr>
        <w:t>生</w:t>
      </w:r>
      <w:r>
        <w:rPr>
          <w:w w:val="95"/>
        </w:rPr>
        <w:t>并被医</w:t>
      </w:r>
      <w:r>
        <w:rPr>
          <w:spacing w:val="-2"/>
        </w:rPr>
        <w:t>院的专科医生确诊患有本合同约定的重大疾病（无论一项或多项</w:t>
      </w:r>
      <w:r>
        <w:rPr>
          <w:spacing w:val="-106"/>
        </w:rPr>
        <w:t>）</w:t>
      </w:r>
      <w:r>
        <w:rPr>
          <w:spacing w:val="-2"/>
        </w:rPr>
        <w:t>，我们按本合</w:t>
      </w:r>
      <w:r>
        <w:rPr>
          <w:spacing w:val="-2"/>
        </w:rPr>
        <w:t>同基本保险金额给付首次重大疾病保险金，该项保险责任终止。</w:t>
      </w:r>
    </w:p>
    <w:p>
      <w:pPr>
        <w:spacing w:after="0" w:line="278" w:lineRule="auto"/>
        <w:jc w:val="both"/>
        <w:sectPr>
          <w:type w:val="continuous"/>
          <w:pgSz w:w="11910" w:h="16840"/>
          <w:pgMar w:top="740" w:bottom="280" w:left="920" w:right="820"/>
          <w:cols w:num="2" w:equalWidth="0">
            <w:col w:w="2369" w:space="40"/>
            <w:col w:w="7761"/>
          </w:cols>
        </w:sectPr>
      </w:pPr>
    </w:p>
    <w:p>
      <w:pPr>
        <w:pStyle w:val="BodyText"/>
        <w:spacing w:before="11"/>
        <w:rPr>
          <w:sz w:val="23"/>
        </w:rPr>
      </w:pPr>
    </w:p>
    <w:p>
      <w:pPr>
        <w:pStyle w:val="BodyText"/>
        <w:ind w:left="2588"/>
        <w:rPr>
          <w:sz w:val="20"/>
        </w:rPr>
      </w:pPr>
      <w:r>
        <w:rPr>
          <w:sz w:val="20"/>
        </w:rPr>
        <w:pict>
          <v:shape style="width:363.4pt;height:13.95pt;mso-position-horizontal-relative:char;mso-position-vertical-relative:line" type="#_x0000_t202" id="docshape15" filled="true" fillcolor="#d9d9d9" stroked="false">
            <w10:anchorlock/>
            <v:textbox inset="0,0,0,0">
              <w:txbxContent>
                <w:p>
                  <w:pPr>
                    <w:pStyle w:val="BodyText"/>
                    <w:spacing w:before="6"/>
                    <w:ind w:right="-15"/>
                    <w:rPr>
                      <w:color w:val="000000"/>
                    </w:rPr>
                  </w:pPr>
                  <w:r>
                    <w:rPr>
                      <w:color w:val="000000"/>
                      <w:spacing w:val="-7"/>
                    </w:rPr>
                    <w:t>如果被保险人由于同一疾病原因、同次医疗行为或同次意外伤害事故，初次发生</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16" filled="true" fillcolor="#d9d9d9" stroked="false">
            <w10:anchorlock/>
            <v:textbox inset="0,0,0,0">
              <w:txbxContent>
                <w:p>
                  <w:pPr>
                    <w:pStyle w:val="BodyText"/>
                    <w:spacing w:before="6"/>
                    <w:ind w:right="-15"/>
                    <w:rPr>
                      <w:color w:val="000000"/>
                    </w:rPr>
                  </w:pPr>
                  <w:r>
                    <w:rPr>
                      <w:color w:val="000000"/>
                      <w:spacing w:val="-7"/>
                    </w:rPr>
                    <w:t>并被医院的专科医生确诊患有本合同约定的两项或者两项以上的重大疾病，我们</w:t>
                  </w:r>
                </w:p>
              </w:txbxContent>
            </v:textbox>
            <v:fill type="solid"/>
          </v:shape>
        </w:pict>
      </w:r>
      <w:r>
        <w:rPr>
          <w:sz w:val="20"/>
        </w:rPr>
      </w:r>
    </w:p>
    <w:p>
      <w:pPr>
        <w:pStyle w:val="BodyText"/>
        <w:rPr>
          <w:sz w:val="2"/>
        </w:rPr>
      </w:pPr>
    </w:p>
    <w:p>
      <w:pPr>
        <w:pStyle w:val="BodyText"/>
        <w:ind w:left="2588"/>
        <w:rPr>
          <w:sz w:val="20"/>
        </w:rPr>
      </w:pPr>
      <w:r>
        <w:rPr>
          <w:sz w:val="20"/>
        </w:rPr>
        <w:pict>
          <v:shape style="width:363.4pt;height:13.95pt;mso-position-horizontal-relative:char;mso-position-vertical-relative:line" type="#_x0000_t202" id="docshape17" filled="true" fillcolor="#d9d9d9" stroked="false">
            <w10:anchorlock/>
            <v:textbox inset="0,0,0,0">
              <w:txbxContent>
                <w:p>
                  <w:pPr>
                    <w:pStyle w:val="BodyText"/>
                    <w:spacing w:before="6"/>
                    <w:rPr>
                      <w:color w:val="000000"/>
                    </w:rPr>
                  </w:pPr>
                  <w:r>
                    <w:rPr>
                      <w:color w:val="000000"/>
                      <w:spacing w:val="-2"/>
                    </w:rPr>
                    <w:t>仅按一项重大疾病给付首次重大疾病保险金或第二次重大疾病保险金（若选</w:t>
                  </w:r>
                  <w:r>
                    <w:rPr>
                      <w:color w:val="000000"/>
                      <w:spacing w:val="-106"/>
                    </w:rPr>
                    <w:t>）</w:t>
                  </w:r>
                  <w:r>
                    <w:rPr>
                      <w:color w:val="000000"/>
                      <w:spacing w:val="-10"/>
                    </w:rPr>
                    <w:t>。</w:t>
                  </w:r>
                </w:p>
              </w:txbxContent>
            </v:textbox>
            <v:fill type="solid"/>
          </v:shape>
        </w:pict>
      </w:r>
      <w:r>
        <w:rPr>
          <w:sz w:val="20"/>
        </w:rPr>
      </w:r>
    </w:p>
    <w:p>
      <w:pPr>
        <w:pStyle w:val="BodyText"/>
        <w:spacing w:before="3"/>
        <w:rPr>
          <w:sz w:val="23"/>
        </w:rPr>
      </w:pPr>
      <w:r>
        <w:rPr/>
        <w:pict>
          <v:shape style="position:absolute;margin-left:175.440002pt;margin-top:16.118750pt;width:363.4pt;height:13.95pt;mso-position-horizontal-relative:page;mso-position-vertical-relative:paragraph;z-index:-15717888;mso-wrap-distance-left:0;mso-wrap-distance-right:0" type="#_x0000_t202" id="docshape18" filled="true" fillcolor="#d9d9d9" stroked="false">
            <v:textbox inset="0,0,0,0">
              <w:txbxContent>
                <w:p>
                  <w:pPr>
                    <w:pStyle w:val="BodyText"/>
                    <w:spacing w:before="6"/>
                    <w:ind w:right="-15"/>
                    <w:rPr>
                      <w:color w:val="000000"/>
                    </w:rPr>
                  </w:pPr>
                  <w:r>
                    <w:rPr>
                      <w:color w:val="000000"/>
                      <w:spacing w:val="-6"/>
                    </w:rPr>
                    <w:t>若您未选择本合同可选部分责任中的第二次恶性肿瘤——重度关爱保险金、第二</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9" filled="true" fillcolor="#d9d9d9" stroked="false">
            <w10:anchorlock/>
            <v:textbox inset="0,0,0,0">
              <w:txbxContent>
                <w:p>
                  <w:pPr>
                    <w:pStyle w:val="BodyText"/>
                    <w:spacing w:before="6"/>
                    <w:ind w:right="-15"/>
                    <w:rPr>
                      <w:color w:val="000000"/>
                    </w:rPr>
                  </w:pPr>
                  <w:r>
                    <w:rPr>
                      <w:color w:val="000000"/>
                      <w:spacing w:val="-7"/>
                    </w:rPr>
                    <w:t>次重大疾病保险金或重大疾病津贴保险金责任，给付首次重大疾病保险金后，本</w:t>
                  </w:r>
                </w:p>
              </w:txbxContent>
            </v:textbox>
            <v:fill type="solid"/>
          </v:shape>
        </w:pict>
      </w:r>
      <w:r>
        <w:rPr>
          <w:sz w:val="20"/>
        </w:rPr>
      </w:r>
    </w:p>
    <w:p>
      <w:pPr>
        <w:pStyle w:val="BodyText"/>
        <w:ind w:left="2588"/>
        <w:rPr>
          <w:sz w:val="20"/>
        </w:rPr>
      </w:pPr>
      <w:r>
        <w:rPr>
          <w:sz w:val="20"/>
        </w:rPr>
        <w:pict>
          <v:shape style="width:52.6pt;height:13.95pt;mso-position-horizontal-relative:char;mso-position-vertical-relative:line" type="#_x0000_t202" id="docshape20" filled="true" fillcolor="#d9d9d9" stroked="false">
            <w10:anchorlock/>
            <v:textbox inset="0,0,0,0">
              <w:txbxContent>
                <w:p>
                  <w:pPr>
                    <w:pStyle w:val="BodyText"/>
                    <w:spacing w:before="6"/>
                    <w:ind w:right="-15"/>
                    <w:rPr>
                      <w:color w:val="000000"/>
                    </w:rPr>
                  </w:pPr>
                  <w:r>
                    <w:rPr>
                      <w:color w:val="000000"/>
                      <w:spacing w:val="-4"/>
                    </w:rPr>
                    <w:t>合同终止。</w:t>
                  </w:r>
                </w:p>
              </w:txbxContent>
            </v:textbox>
            <v:fill type="solid"/>
          </v:shape>
        </w:pict>
      </w:r>
      <w:r>
        <w:rPr>
          <w:sz w:val="20"/>
        </w:rPr>
      </w:r>
    </w:p>
    <w:p>
      <w:pPr>
        <w:spacing w:after="0"/>
        <w:rPr>
          <w:sz w:val="20"/>
        </w:rPr>
        <w:sectPr>
          <w:type w:val="continuous"/>
          <w:pgSz w:w="11910" w:h="16840"/>
          <w:pgMar w:top="740" w:bottom="280" w:left="920" w:right="820"/>
        </w:sect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2"/>
        <w:gridCol w:w="4324"/>
      </w:tblGrid>
      <w:tr>
        <w:trPr>
          <w:trHeight w:val="272" w:hRule="atLeast"/>
        </w:trPr>
        <w:tc>
          <w:tcPr>
            <w:tcW w:w="7266" w:type="dxa"/>
            <w:gridSpan w:val="2"/>
            <w:tcBorders>
              <w:bottom w:val="single" w:sz="18" w:space="0" w:color="FFFFFF"/>
            </w:tcBorders>
            <w:shd w:val="clear" w:color="auto" w:fill="D9D9D9"/>
          </w:tcPr>
          <w:p>
            <w:pPr>
              <w:pStyle w:val="TableParagraph"/>
              <w:spacing w:line="253" w:lineRule="exact"/>
              <w:ind w:left="0" w:right="-15"/>
              <w:rPr>
                <w:sz w:val="21"/>
              </w:rPr>
            </w:pPr>
            <w:r>
              <w:rPr>
                <w:spacing w:val="-6"/>
                <w:sz w:val="21"/>
              </w:rPr>
              <w:t>若您选择本合同可选部分责任中的第二次恶性肿瘤——重度关爱保险金、第二次</w:t>
            </w:r>
          </w:p>
        </w:tc>
      </w:tr>
      <w:tr>
        <w:trPr>
          <w:trHeight w:val="266" w:hRule="atLeast"/>
        </w:trPr>
        <w:tc>
          <w:tcPr>
            <w:tcW w:w="7266"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7"/>
                <w:sz w:val="21"/>
              </w:rPr>
              <w:t>重大疾病保险金或重大疾病津贴保险金责任，则本合同的现金价值自重大疾病确</w:t>
            </w:r>
          </w:p>
        </w:tc>
      </w:tr>
      <w:tr>
        <w:trPr>
          <w:trHeight w:val="267" w:hRule="atLeast"/>
        </w:trPr>
        <w:tc>
          <w:tcPr>
            <w:tcW w:w="7266"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5"/>
                <w:sz w:val="21"/>
              </w:rPr>
              <w:t>诊之日起降低为零，同时不再承担给付中症疾病保险金、轻症疾病保险金和身故</w:t>
            </w:r>
          </w:p>
        </w:tc>
      </w:tr>
      <w:tr>
        <w:trPr>
          <w:trHeight w:val="272" w:hRule="atLeast"/>
        </w:trPr>
        <w:tc>
          <w:tcPr>
            <w:tcW w:w="2942" w:type="dxa"/>
            <w:tcBorders>
              <w:top w:val="single" w:sz="18" w:space="0" w:color="FFFFFF"/>
            </w:tcBorders>
            <w:shd w:val="clear" w:color="auto" w:fill="D9D9D9"/>
          </w:tcPr>
          <w:p>
            <w:pPr>
              <w:pStyle w:val="TableParagraph"/>
              <w:spacing w:line="253" w:lineRule="exact"/>
              <w:ind w:left="0" w:right="-15"/>
              <w:rPr>
                <w:sz w:val="21"/>
              </w:rPr>
            </w:pPr>
            <w:r>
              <w:rPr>
                <w:spacing w:val="-2"/>
                <w:sz w:val="21"/>
              </w:rPr>
              <w:t>或全残保险金（若选）</w:t>
            </w:r>
            <w:r>
              <w:rPr>
                <w:spacing w:val="-4"/>
                <w:sz w:val="21"/>
              </w:rPr>
              <w:t>的责任。</w:t>
            </w:r>
          </w:p>
        </w:tc>
        <w:tc>
          <w:tcPr>
            <w:tcW w:w="4324" w:type="dxa"/>
            <w:tcBorders>
              <w:top w:val="single" w:sz="18" w:space="0" w:color="FFFFFF"/>
            </w:tcBorders>
          </w:tcPr>
          <w:p>
            <w:pPr>
              <w:pStyle w:val="TableParagraph"/>
              <w:ind w:left="0"/>
              <w:rPr>
                <w:rFonts w:ascii="Times New Roman"/>
                <w:sz w:val="20"/>
              </w:rPr>
            </w:pPr>
          </w:p>
        </w:tc>
      </w:tr>
    </w:tbl>
    <w:p>
      <w:pPr>
        <w:pStyle w:val="BodyText"/>
        <w:spacing w:before="6"/>
      </w:pPr>
    </w:p>
    <w:p>
      <w:pPr>
        <w:spacing w:after="0"/>
        <w:sectPr>
          <w:pgSz w:w="11910" w:h="16840"/>
          <w:pgMar w:top="1140" w:bottom="280" w:left="920" w:right="820"/>
        </w:sectPr>
      </w:pPr>
    </w:p>
    <w:p>
      <w:pPr>
        <w:pStyle w:val="Heading2"/>
        <w:spacing w:line="235" w:lineRule="auto"/>
      </w:pPr>
      <w:r>
        <w:rPr>
          <w:spacing w:val="-4"/>
        </w:rPr>
        <w:t>少儿特定</w:t>
      </w:r>
      <w:r>
        <w:rPr>
          <w:spacing w:val="-4"/>
        </w:rPr>
        <w:t>疾病保险</w:t>
      </w:r>
      <w:r>
        <w:rPr>
          <w:spacing w:val="-10"/>
        </w:rPr>
        <w:t>金</w:t>
      </w:r>
    </w:p>
    <w:p>
      <w:pPr>
        <w:pStyle w:val="BodyText"/>
        <w:spacing w:line="312" w:lineRule="exact" w:before="33"/>
        <w:ind w:left="224" w:right="301"/>
        <w:jc w:val="both"/>
      </w:pPr>
      <w:r>
        <w:rPr/>
        <w:br w:type="column"/>
      </w:r>
      <w:r>
        <w:rPr>
          <w:spacing w:val="-2"/>
        </w:rPr>
        <w:t>被保险人初次发生并被医院的专科医生确诊患有本合同约定的</w:t>
      </w:r>
      <w:r>
        <w:rPr>
          <w:rFonts w:ascii="微软雅黑" w:hAnsi="微软雅黑" w:eastAsia="微软雅黑"/>
          <w:b/>
          <w:spacing w:val="-17"/>
        </w:rPr>
        <w:t>少儿特定疾病</w:t>
      </w:r>
      <w:r>
        <w:rPr>
          <w:spacing w:val="-2"/>
        </w:rPr>
        <w:t>（</w:t>
      </w:r>
      <w:r>
        <w:rPr>
          <w:spacing w:val="-2"/>
        </w:rPr>
        <w:t>见 </w:t>
      </w:r>
      <w:r>
        <w:rPr>
          <w:spacing w:val="13"/>
          <w:w w:val="96"/>
        </w:rPr>
        <w:t>9.13</w:t>
      </w:r>
      <w:r>
        <w:rPr>
          <w:spacing w:val="-103"/>
          <w:w w:val="108"/>
        </w:rPr>
        <w:t>）</w:t>
      </w:r>
      <w:r>
        <w:rPr>
          <w:spacing w:val="13"/>
          <w:w w:val="108"/>
        </w:rPr>
        <w:t>（</w:t>
      </w:r>
      <w:r>
        <w:rPr>
          <w:spacing w:val="-6"/>
        </w:rPr>
        <w:t>无论一项或多项</w:t>
      </w:r>
      <w:r>
        <w:rPr>
          <w:spacing w:val="-58"/>
        </w:rPr>
        <w:t>）</w:t>
      </w:r>
      <w:r>
        <w:rPr>
          <w:spacing w:val="-14"/>
        </w:rPr>
        <w:t>，且符合本合同约定给付首次重大疾病保险金、第二次</w:t>
      </w:r>
      <w:r>
        <w:rPr>
          <w:spacing w:val="-4"/>
        </w:rPr>
        <w:t>恶性肿瘤——重度关爱保险金（若选）或第二次重大疾病保险金（若选）给付条</w:t>
      </w:r>
      <w:r>
        <w:rPr>
          <w:spacing w:val="-4"/>
        </w:rPr>
        <w:t>件的，我们除按本合同约定给付首次重大疾病保险金、第二次恶性肿瘤——重度</w:t>
      </w:r>
      <w:r>
        <w:rPr>
          <w:spacing w:val="-4"/>
        </w:rPr>
        <w:t>关爱保险金（若选）或第二次重大疾病保险金（若选）</w:t>
      </w:r>
      <w:r>
        <w:rPr>
          <w:spacing w:val="-5"/>
        </w:rPr>
        <w:t>外，还将按本合同基本保</w:t>
      </w:r>
    </w:p>
    <w:p>
      <w:pPr>
        <w:spacing w:line="7" w:lineRule="exact" w:before="0"/>
        <w:ind w:left="262" w:right="0" w:firstLine="0"/>
        <w:jc w:val="left"/>
        <w:rPr>
          <w:sz w:val="4"/>
        </w:rPr>
      </w:pPr>
      <w:r>
        <w:rPr>
          <w:w w:val="72"/>
          <w:sz w:val="4"/>
        </w:rPr>
        <w:t>●</w:t>
      </w:r>
    </w:p>
    <w:p>
      <w:pPr>
        <w:pStyle w:val="BodyText"/>
        <w:spacing w:before="32"/>
        <w:ind w:left="224"/>
        <w:jc w:val="both"/>
      </w:pPr>
      <w:r>
        <w:rPr/>
        <w:drawing>
          <wp:anchor distT="0" distB="0" distL="0" distR="0" allowOverlap="1" layoutInCell="1" locked="0" behindDoc="1" simplePos="0" relativeHeight="485584896">
            <wp:simplePos x="0" y="0"/>
            <wp:positionH relativeFrom="page">
              <wp:posOffset>2228088</wp:posOffset>
            </wp:positionH>
            <wp:positionV relativeFrom="paragraph">
              <wp:posOffset>412847</wp:posOffset>
            </wp:positionV>
            <wp:extent cx="4614671" cy="176783"/>
            <wp:effectExtent l="0" t="0" r="0" b="0"/>
            <wp:wrapNone/>
            <wp:docPr id="15" name="image7.png"/>
            <wp:cNvGraphicFramePr>
              <a:graphicFrameLocks noChangeAspect="1"/>
            </wp:cNvGraphicFramePr>
            <a:graphic>
              <a:graphicData uri="http://schemas.openxmlformats.org/drawingml/2006/picture">
                <pic:pic>
                  <pic:nvPicPr>
                    <pic:cNvPr id="16" name="image7.png"/>
                    <pic:cNvPicPr/>
                  </pic:nvPicPr>
                  <pic:blipFill>
                    <a:blip r:embed="rId11" cstate="print"/>
                    <a:stretch>
                      <a:fillRect/>
                    </a:stretch>
                  </pic:blipFill>
                  <pic:spPr>
                    <a:xfrm>
                      <a:off x="0" y="0"/>
                      <a:ext cx="4614671" cy="176783"/>
                    </a:xfrm>
                    <a:prstGeom prst="rect">
                      <a:avLst/>
                    </a:prstGeom>
                  </pic:spPr>
                </pic:pic>
              </a:graphicData>
            </a:graphic>
          </wp:anchor>
        </w:drawing>
      </w:r>
      <w:r>
        <w:rPr/>
        <w:pict>
          <v:shape style="position:absolute;margin-left:175.440002pt;margin-top:32.507710pt;width:367.7pt;height:14.2pt;mso-position-horizontal-relative:page;mso-position-vertical-relative:paragraph;z-index:-17731072" type="#_x0000_t202" id="docshape21" filled="false" stroked="false">
            <v:textbox inset="0,0,0,0">
              <w:txbxContent>
                <w:p>
                  <w:pPr>
                    <w:pStyle w:val="BodyText"/>
                    <w:spacing w:line="248" w:lineRule="exact" w:before="6"/>
                  </w:pPr>
                  <w:r>
                    <w:rPr>
                      <w:spacing w:val="-3"/>
                    </w:rPr>
                    <w:t>本合同少儿特定疾病保险金的给付次数以一次为限，给付后该项保险责任终止。</w:t>
                  </w:r>
                </w:p>
                <w:p>
                  <w:pPr>
                    <w:spacing w:line="29" w:lineRule="exact" w:before="0"/>
                    <w:ind w:left="38" w:right="0" w:firstLine="0"/>
                    <w:jc w:val="left"/>
                    <w:rPr>
                      <w:sz w:val="4"/>
                    </w:rPr>
                  </w:pPr>
                  <w:r>
                    <w:rPr>
                      <w:w w:val="72"/>
                      <w:sz w:val="4"/>
                    </w:rPr>
                    <w:t>●</w:t>
                  </w:r>
                </w:p>
              </w:txbxContent>
            </v:textbox>
            <w10:wrap type="none"/>
          </v:shape>
        </w:pict>
      </w:r>
      <w:r>
        <w:rPr>
          <w:spacing w:val="-4"/>
        </w:rPr>
        <w:t>险金额的 </w:t>
      </w:r>
      <w:r>
        <w:rPr/>
        <w:t>120</w:t>
      </w:r>
      <w:r>
        <w:rPr>
          <w:spacing w:val="-1"/>
        </w:rPr>
        <w:t>%额外给付少儿特定疾病保险金，该项保险责任终止。</w:t>
      </w:r>
    </w:p>
    <w:p>
      <w:pPr>
        <w:spacing w:after="0"/>
        <w:jc w:val="both"/>
        <w:sectPr>
          <w:type w:val="continuous"/>
          <w:pgSz w:w="11910" w:h="16840"/>
          <w:pgMar w:top="740" w:bottom="280" w:left="920" w:right="820"/>
          <w:cols w:num="2" w:equalWidth="0">
            <w:col w:w="2325" w:space="40"/>
            <w:col w:w="7805"/>
          </w:cols>
        </w:sectPr>
      </w:pPr>
    </w:p>
    <w:p>
      <w:pPr>
        <w:pStyle w:val="BodyText"/>
        <w:spacing w:before="3" w:after="1"/>
        <w:rPr>
          <w:sz w:val="27"/>
        </w:rPr>
      </w:pPr>
    </w:p>
    <w:p>
      <w:pPr>
        <w:pStyle w:val="BodyText"/>
        <w:spacing w:before="8"/>
        <w:rPr>
          <w:sz w:val="24"/>
        </w:rPr>
      </w:pPr>
      <w:r>
        <w:rPr/>
        <w:pict>
          <v:shape style="position:absolute;margin-left:175.440002pt;margin-top:17pt;width:363.4pt;height:13.95pt;mso-position-horizontal-relative:page;mso-position-vertical-relative:paragraph;z-index:-15714816;mso-wrap-distance-left:0;mso-wrap-distance-right:0" type="#_x0000_t202" id="docshape22" filled="true" fillcolor="#d9d9d9" stroked="false">
            <v:textbox inset="0,0,0,0">
              <w:txbxContent>
                <w:p>
                  <w:pPr>
                    <w:pStyle w:val="BodyText"/>
                    <w:spacing w:before="6"/>
                    <w:ind w:right="-15"/>
                    <w:rPr>
                      <w:color w:val="000000"/>
                    </w:rPr>
                  </w:pPr>
                  <w:r>
                    <w:rPr>
                      <w:color w:val="000000"/>
                      <w:spacing w:val="-4"/>
                    </w:rPr>
                    <w:t>若首次重大疾病保险金、第二次恶性肿瘤——重度关爱保险金（若选）</w:t>
                  </w:r>
                  <w:r>
                    <w:rPr>
                      <w:color w:val="000000"/>
                      <w:spacing w:val="-6"/>
                    </w:rPr>
                    <w:t>和第二次</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283.45pt;height:13.95pt;mso-position-horizontal-relative:char;mso-position-vertical-relative:line" type="#_x0000_t202" id="docshape23" filled="true" fillcolor="#d9d9d9" stroked="false">
            <w10:anchorlock/>
            <v:textbox inset="0,0,0,0">
              <w:txbxContent>
                <w:p>
                  <w:pPr>
                    <w:pStyle w:val="BodyText"/>
                    <w:spacing w:before="6"/>
                    <w:ind w:right="-15"/>
                    <w:rPr>
                      <w:color w:val="000000"/>
                    </w:rPr>
                  </w:pPr>
                  <w:r>
                    <w:rPr>
                      <w:color w:val="000000"/>
                      <w:spacing w:val="-4"/>
                    </w:rPr>
                    <w:t>重大疾病保险金（若选）</w:t>
                  </w:r>
                  <w:r>
                    <w:rPr>
                      <w:color w:val="000000"/>
                      <w:spacing w:val="-5"/>
                    </w:rPr>
                    <w:t>责任均已终止，该项保险责任终止。</w:t>
                  </w:r>
                </w:p>
              </w:txbxContent>
            </v:textbox>
            <v:fill type="solid"/>
          </v:shape>
        </w:pict>
      </w:r>
      <w:r>
        <w:rPr>
          <w:sz w:val="20"/>
        </w:rPr>
      </w:r>
    </w:p>
    <w:p>
      <w:pPr>
        <w:pStyle w:val="BodyText"/>
        <w:spacing w:before="2"/>
        <w:rPr>
          <w:sz w:val="20"/>
        </w:rPr>
      </w:pPr>
    </w:p>
    <w:p>
      <w:pPr>
        <w:spacing w:after="0"/>
        <w:rPr>
          <w:sz w:val="20"/>
        </w:rPr>
        <w:sectPr>
          <w:type w:val="continuous"/>
          <w:pgSz w:w="11910" w:h="16840"/>
          <w:pgMar w:top="740" w:bottom="280" w:left="920" w:right="820"/>
        </w:sectPr>
      </w:pPr>
    </w:p>
    <w:p>
      <w:pPr>
        <w:pStyle w:val="Heading1"/>
        <w:spacing w:line="163" w:lineRule="auto" w:before="77"/>
      </w:pPr>
      <w:r>
        <w:rPr/>
        <w:drawing>
          <wp:anchor distT="0" distB="0" distL="0" distR="0" allowOverlap="1" layoutInCell="1" locked="0" behindDoc="1" simplePos="0" relativeHeight="485585920">
            <wp:simplePos x="0" y="0"/>
            <wp:positionH relativeFrom="page">
              <wp:posOffset>2228088</wp:posOffset>
            </wp:positionH>
            <wp:positionV relativeFrom="paragraph">
              <wp:posOffset>834894</wp:posOffset>
            </wp:positionV>
            <wp:extent cx="4614671" cy="176784"/>
            <wp:effectExtent l="0" t="0" r="0" b="0"/>
            <wp:wrapNone/>
            <wp:docPr id="17" name="image7.png"/>
            <wp:cNvGraphicFramePr>
              <a:graphicFrameLocks noChangeAspect="1"/>
            </wp:cNvGraphicFramePr>
            <a:graphic>
              <a:graphicData uri="http://schemas.openxmlformats.org/drawingml/2006/picture">
                <pic:pic>
                  <pic:nvPicPr>
                    <pic:cNvPr id="18" name="image7.png"/>
                    <pic:cNvPicPr/>
                  </pic:nvPicPr>
                  <pic:blipFill>
                    <a:blip r:embed="rId11" cstate="print"/>
                    <a:stretch>
                      <a:fillRect/>
                    </a:stretch>
                  </pic:blipFill>
                  <pic:spPr>
                    <a:xfrm>
                      <a:off x="0" y="0"/>
                      <a:ext cx="4614671" cy="176784"/>
                    </a:xfrm>
                    <a:prstGeom prst="rect">
                      <a:avLst/>
                    </a:prstGeom>
                  </pic:spPr>
                </pic:pic>
              </a:graphicData>
            </a:graphic>
          </wp:anchor>
        </w:drawing>
      </w:r>
      <w:r>
        <w:rPr/>
        <w:pict>
          <v:shape style="position:absolute;margin-left:175.440002pt;margin-top:65.739761pt;width:368.9pt;height:13.95pt;mso-position-horizontal-relative:page;mso-position-vertical-relative:paragraph;z-index:-17730048" type="#_x0000_t202" id="docshape24" filled="false" stroked="false">
            <v:textbox inset="0,0,0,0">
              <w:txbxContent>
                <w:p>
                  <w:pPr>
                    <w:pStyle w:val="BodyText"/>
                    <w:spacing w:before="6"/>
                  </w:pPr>
                  <w:r>
                    <w:rPr>
                      <w:spacing w:val="-16"/>
                    </w:rPr>
                    <w:t>止。本合同中症疾病保险金的累计给付次数以三次为限，当累计给付达到三次时，</w:t>
                  </w:r>
                </w:p>
              </w:txbxContent>
            </v:textbox>
            <w10:wrap type="none"/>
          </v:shape>
        </w:pict>
      </w:r>
      <w:r>
        <w:rPr/>
        <w:pict>
          <v:shape style="position:absolute;margin-left:175.440002pt;margin-top:81.33976pt;width:94.6pt;height:13.95pt;mso-position-horizontal-relative:page;mso-position-vertical-relative:paragraph;z-index:-17729536" type="#_x0000_t202" id="docshape25" filled="true" fillcolor="#d9d9d9" stroked="false">
            <v:textbox inset="0,0,0,0">
              <w:txbxContent>
                <w:p>
                  <w:pPr>
                    <w:pStyle w:val="BodyText"/>
                    <w:spacing w:before="6"/>
                    <w:ind w:right="-15"/>
                    <w:rPr>
                      <w:color w:val="000000"/>
                    </w:rPr>
                  </w:pPr>
                  <w:r>
                    <w:rPr>
                      <w:color w:val="000000"/>
                      <w:spacing w:val="-3"/>
                    </w:rPr>
                    <w:t>该项保险责任终止。</w:t>
                  </w:r>
                </w:p>
              </w:txbxContent>
            </v:textbox>
            <v:fill type="solid"/>
            <w10:wrap type="none"/>
          </v:shape>
        </w:pict>
      </w:r>
      <w:r>
        <w:rPr/>
        <w:pict>
          <v:shape style="position:absolute;margin-left:175.440002pt;margin-top:50.139763pt;width:363.4pt;height:13.95pt;mso-position-horizontal-relative:page;mso-position-vertical-relative:paragraph;z-index:-17729024" type="#_x0000_t202" id="docshape26" filled="true" fillcolor="#d9d9d9" stroked="false">
            <v:textbox inset="0,0,0,0">
              <w:txbxContent>
                <w:p>
                  <w:pPr>
                    <w:pStyle w:val="BodyText"/>
                    <w:spacing w:line="248" w:lineRule="exact" w:before="6"/>
                    <w:ind w:right="-15"/>
                    <w:rPr>
                      <w:color w:val="000000"/>
                    </w:rPr>
                  </w:pPr>
                  <w:r>
                    <w:rPr>
                      <w:color w:val="000000"/>
                      <w:spacing w:val="-7"/>
                    </w:rPr>
                    <w:t>每项中症疾病保险金的给付次数以一次为限，给付后该项中症疾病的保险责任终</w:t>
                  </w:r>
                </w:p>
                <w:p>
                  <w:pPr>
                    <w:spacing w:line="24" w:lineRule="exact" w:before="0"/>
                    <w:ind w:left="460" w:right="0" w:firstLine="0"/>
                    <w:jc w:val="left"/>
                    <w:rPr>
                      <w:color w:val="000000"/>
                      <w:sz w:val="4"/>
                    </w:rPr>
                  </w:pPr>
                  <w:r>
                    <w:rPr>
                      <w:color w:val="000000"/>
                      <w:w w:val="72"/>
                      <w:sz w:val="4"/>
                    </w:rPr>
                    <w:t>●</w:t>
                  </w:r>
                </w:p>
              </w:txbxContent>
            </v:textbox>
            <v:fill type="solid"/>
            <w10:wrap type="none"/>
          </v:shape>
        </w:pict>
      </w:r>
      <w:r>
        <w:rPr>
          <w:spacing w:val="7"/>
        </w:rPr>
        <w:t>中症疾病</w:t>
      </w:r>
      <w:r>
        <w:rPr>
          <w:spacing w:val="-4"/>
        </w:rPr>
        <w:t>保险金</w:t>
      </w:r>
    </w:p>
    <w:p>
      <w:pPr>
        <w:pStyle w:val="BodyText"/>
        <w:spacing w:line="278" w:lineRule="auto" w:before="73"/>
        <w:ind w:left="180" w:right="301"/>
      </w:pPr>
      <w:r>
        <w:rPr/>
        <w:br w:type="column"/>
      </w:r>
      <w:r>
        <w:rPr>
          <w:spacing w:val="-5"/>
        </w:rPr>
        <w:t>被保险人初次发生并被医院的专科医生确诊患有本合同约定的中症疾病</w:t>
      </w:r>
      <w:r>
        <w:rPr>
          <w:spacing w:val="-2"/>
        </w:rPr>
        <w:t>（无论一</w:t>
      </w:r>
      <w:r>
        <w:rPr/>
        <w:t>项或多项</w:t>
      </w:r>
      <w:r>
        <w:rPr>
          <w:spacing w:val="-106"/>
        </w:rPr>
        <w:t>）</w:t>
      </w:r>
      <w:r>
        <w:rPr>
          <w:spacing w:val="-5"/>
        </w:rPr>
        <w:t>，我们按本合同基本保险金额的 </w:t>
      </w:r>
      <w:r>
        <w:rPr/>
        <w:t>60%给付中症疾病保险金。</w:t>
      </w:r>
    </w:p>
    <w:p>
      <w:pPr>
        <w:spacing w:after="0" w:line="278" w:lineRule="auto"/>
        <w:sectPr>
          <w:type w:val="continuous"/>
          <w:pgSz w:w="11910" w:h="16840"/>
          <w:pgMar w:top="740" w:bottom="280" w:left="920" w:right="820"/>
          <w:cols w:num="2" w:equalWidth="0">
            <w:col w:w="2369" w:space="40"/>
            <w:col w:w="7761"/>
          </w:cols>
        </w:sectPr>
      </w:pPr>
    </w:p>
    <w:p>
      <w:pPr>
        <w:pStyle w:val="BodyText"/>
        <w:spacing w:before="10" w:after="1"/>
        <w:rPr>
          <w:sz w:val="23"/>
        </w:rPr>
      </w:pPr>
    </w:p>
    <w:p>
      <w:pPr>
        <w:pStyle w:val="BodyText"/>
        <w:rPr>
          <w:sz w:val="25"/>
        </w:rPr>
      </w:pPr>
      <w:r>
        <w:rPr/>
        <w:pict>
          <v:shape style="position:absolute;margin-left:175.440002pt;margin-top:17.25pt;width:363.4pt;height:13.95pt;mso-position-horizontal-relative:page;mso-position-vertical-relative:paragraph;z-index:-15713792;mso-wrap-distance-left:0;mso-wrap-distance-right:0" type="#_x0000_t202" id="docshape27" filled="true" fillcolor="#d9d9d9" stroked="false">
            <v:textbox inset="0,0,0,0">
              <w:txbxContent>
                <w:p>
                  <w:pPr>
                    <w:pStyle w:val="BodyText"/>
                    <w:spacing w:before="6"/>
                    <w:ind w:right="-15"/>
                    <w:rPr>
                      <w:color w:val="000000"/>
                    </w:rPr>
                  </w:pPr>
                  <w:r>
                    <w:rPr>
                      <w:color w:val="000000"/>
                      <w:spacing w:val="-5"/>
                    </w:rPr>
                    <w:t>如果被保险人由于同一疾病原因、同次医疗行为或同次意外伤害事故，初次发生</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28" filled="true" fillcolor="#d9d9d9" stroked="false">
            <w10:anchorlock/>
            <v:textbox inset="0,0,0,0">
              <w:txbxContent>
                <w:p>
                  <w:pPr>
                    <w:pStyle w:val="BodyText"/>
                    <w:spacing w:before="6"/>
                    <w:ind w:right="-15"/>
                    <w:rPr>
                      <w:color w:val="000000"/>
                    </w:rPr>
                  </w:pPr>
                  <w:r>
                    <w:rPr>
                      <w:color w:val="000000"/>
                      <w:spacing w:val="-7"/>
                    </w:rPr>
                    <w:t>并被医院的专科医生确诊患有本合同约定的两项或者两项以上的中症疾病，我们</w:t>
                  </w:r>
                </w:p>
              </w:txbxContent>
            </v:textbox>
            <v:fill type="solid"/>
          </v:shape>
        </w:pict>
      </w:r>
      <w:r>
        <w:rPr>
          <w:sz w:val="20"/>
        </w:rPr>
      </w:r>
    </w:p>
    <w:p>
      <w:pPr>
        <w:pStyle w:val="BodyText"/>
        <w:ind w:left="2588"/>
        <w:rPr>
          <w:sz w:val="20"/>
        </w:rPr>
      </w:pPr>
      <w:r>
        <w:rPr>
          <w:sz w:val="20"/>
        </w:rPr>
        <w:pict>
          <v:shape style="width:188.9pt;height:13.95pt;mso-position-horizontal-relative:char;mso-position-vertical-relative:line" type="#_x0000_t202" id="docshape29" filled="true" fillcolor="#d9d9d9" stroked="false">
            <w10:anchorlock/>
            <v:textbox inset="0,0,0,0">
              <w:txbxContent>
                <w:p>
                  <w:pPr>
                    <w:pStyle w:val="BodyText"/>
                    <w:spacing w:before="6"/>
                    <w:ind w:right="-15"/>
                    <w:rPr>
                      <w:color w:val="000000"/>
                    </w:rPr>
                  </w:pPr>
                  <w:r>
                    <w:rPr>
                      <w:color w:val="000000"/>
                      <w:spacing w:val="-5"/>
                    </w:rPr>
                    <w:t>仅按一项中症疾病给付中症疾病保险金。</w:t>
                  </w:r>
                </w:p>
              </w:txbxContent>
            </v:textbox>
            <v:fill type="solid"/>
          </v:shape>
        </w:pict>
      </w:r>
      <w:r>
        <w:rPr>
          <w:sz w:val="20"/>
        </w:rPr>
      </w:r>
    </w:p>
    <w:p>
      <w:pPr>
        <w:pStyle w:val="BodyText"/>
        <w:spacing w:before="1"/>
      </w:pPr>
    </w:p>
    <w:p>
      <w:pPr>
        <w:spacing w:after="0"/>
        <w:sectPr>
          <w:type w:val="continuous"/>
          <w:pgSz w:w="11910" w:h="16840"/>
          <w:pgMar w:top="740" w:bottom="280" w:left="920" w:right="820"/>
        </w:sectPr>
      </w:pPr>
    </w:p>
    <w:p>
      <w:pPr>
        <w:pStyle w:val="Heading1"/>
        <w:spacing w:line="163" w:lineRule="auto" w:before="77"/>
      </w:pPr>
      <w:r>
        <w:rPr/>
        <w:drawing>
          <wp:anchor distT="0" distB="0" distL="0" distR="0" allowOverlap="1" layoutInCell="1" locked="0" behindDoc="1" simplePos="0" relativeHeight="485587968">
            <wp:simplePos x="0" y="0"/>
            <wp:positionH relativeFrom="page">
              <wp:posOffset>2228088</wp:posOffset>
            </wp:positionH>
            <wp:positionV relativeFrom="paragraph">
              <wp:posOffset>834894</wp:posOffset>
            </wp:positionV>
            <wp:extent cx="4614671" cy="176784"/>
            <wp:effectExtent l="0" t="0" r="0" b="0"/>
            <wp:wrapNone/>
            <wp:docPr id="19" name="image7.png"/>
            <wp:cNvGraphicFramePr>
              <a:graphicFrameLocks noChangeAspect="1"/>
            </wp:cNvGraphicFramePr>
            <a:graphic>
              <a:graphicData uri="http://schemas.openxmlformats.org/drawingml/2006/picture">
                <pic:pic>
                  <pic:nvPicPr>
                    <pic:cNvPr id="20" name="image7.png"/>
                    <pic:cNvPicPr/>
                  </pic:nvPicPr>
                  <pic:blipFill>
                    <a:blip r:embed="rId11" cstate="print"/>
                    <a:stretch>
                      <a:fillRect/>
                    </a:stretch>
                  </pic:blipFill>
                  <pic:spPr>
                    <a:xfrm>
                      <a:off x="0" y="0"/>
                      <a:ext cx="4614671" cy="176784"/>
                    </a:xfrm>
                    <a:prstGeom prst="rect">
                      <a:avLst/>
                    </a:prstGeom>
                  </pic:spPr>
                </pic:pic>
              </a:graphicData>
            </a:graphic>
          </wp:anchor>
        </w:drawing>
      </w:r>
      <w:r>
        <w:rPr/>
        <w:pict>
          <v:shape style="position:absolute;margin-left:175.440002pt;margin-top:65.739754pt;width:368.9pt;height:13.95pt;mso-position-horizontal-relative:page;mso-position-vertical-relative:paragraph;z-index:-17728000" type="#_x0000_t202" id="docshape30" filled="false" stroked="false">
            <v:textbox inset="0,0,0,0">
              <w:txbxContent>
                <w:p>
                  <w:pPr>
                    <w:pStyle w:val="BodyText"/>
                    <w:spacing w:before="6"/>
                  </w:pPr>
                  <w:r>
                    <w:rPr>
                      <w:spacing w:val="-16"/>
                    </w:rPr>
                    <w:t>止。本合同轻症疾病保险金的累计给付次数以三次为限，当累计给付达到三次时，</w:t>
                  </w:r>
                </w:p>
              </w:txbxContent>
            </v:textbox>
            <w10:wrap type="none"/>
          </v:shape>
        </w:pict>
      </w:r>
      <w:r>
        <w:rPr/>
        <w:pict>
          <v:shape style="position:absolute;margin-left:175.440002pt;margin-top:81.339752pt;width:94.6pt;height:13.95pt;mso-position-horizontal-relative:page;mso-position-vertical-relative:paragraph;z-index:-17727488" type="#_x0000_t202" id="docshape31" filled="true" fillcolor="#d9d9d9" stroked="false">
            <v:textbox inset="0,0,0,0">
              <w:txbxContent>
                <w:p>
                  <w:pPr>
                    <w:pStyle w:val="BodyText"/>
                    <w:spacing w:before="6"/>
                    <w:ind w:right="-15"/>
                    <w:rPr>
                      <w:color w:val="000000"/>
                    </w:rPr>
                  </w:pPr>
                  <w:r>
                    <w:rPr>
                      <w:color w:val="000000"/>
                      <w:spacing w:val="-3"/>
                    </w:rPr>
                    <w:t>该项保险责任终止。</w:t>
                  </w:r>
                </w:p>
              </w:txbxContent>
            </v:textbox>
            <v:fill type="solid"/>
            <w10:wrap type="none"/>
          </v:shape>
        </w:pict>
      </w:r>
      <w:r>
        <w:rPr/>
        <w:pict>
          <v:shape style="position:absolute;margin-left:175.440002pt;margin-top:50.139755pt;width:363.4pt;height:13.95pt;mso-position-horizontal-relative:page;mso-position-vertical-relative:paragraph;z-index:-17726976" type="#_x0000_t202" id="docshape32" filled="true" fillcolor="#d9d9d9" stroked="false">
            <v:textbox inset="0,0,0,0">
              <w:txbxContent>
                <w:p>
                  <w:pPr>
                    <w:pStyle w:val="BodyText"/>
                    <w:spacing w:before="6"/>
                    <w:ind w:right="-15"/>
                    <w:rPr>
                      <w:color w:val="000000"/>
                    </w:rPr>
                  </w:pPr>
                  <w:r>
                    <w:rPr>
                      <w:color w:val="000000"/>
                      <w:spacing w:val="-7"/>
                    </w:rPr>
                    <w:t>每项轻症疾病保险金的给付次数以一次为限，给付后该项轻症疾病的保险责任终</w:t>
                  </w:r>
                </w:p>
              </w:txbxContent>
            </v:textbox>
            <v:fill type="solid"/>
            <w10:wrap type="none"/>
          </v:shape>
        </w:pict>
      </w:r>
      <w:r>
        <w:rPr>
          <w:spacing w:val="7"/>
        </w:rPr>
        <w:t>轻症疾病</w:t>
      </w:r>
      <w:r>
        <w:rPr>
          <w:spacing w:val="-4"/>
        </w:rPr>
        <w:t>保险金</w:t>
      </w:r>
    </w:p>
    <w:p>
      <w:pPr>
        <w:pStyle w:val="BodyText"/>
        <w:spacing w:line="278" w:lineRule="auto" w:before="73"/>
        <w:ind w:left="180" w:right="301"/>
      </w:pPr>
      <w:r>
        <w:rPr/>
        <w:br w:type="column"/>
      </w:r>
      <w:r>
        <w:rPr>
          <w:spacing w:val="-5"/>
        </w:rPr>
        <w:t>被保险人初次发生并被医院的专科医生确诊患有本合同约定的轻症疾病</w:t>
      </w:r>
      <w:r>
        <w:rPr>
          <w:spacing w:val="-2"/>
        </w:rPr>
        <w:t>（无论一</w:t>
      </w:r>
      <w:r>
        <w:rPr/>
        <w:t>项或多项</w:t>
      </w:r>
      <w:r>
        <w:rPr>
          <w:spacing w:val="-106"/>
        </w:rPr>
        <w:t>）</w:t>
      </w:r>
      <w:r>
        <w:rPr>
          <w:spacing w:val="-5"/>
        </w:rPr>
        <w:t>，我们按本合同基本保险金额的 </w:t>
      </w:r>
      <w:r>
        <w:rPr/>
        <w:t>30%给付轻症疾病保险金。</w:t>
      </w:r>
    </w:p>
    <w:p>
      <w:pPr>
        <w:spacing w:after="0" w:line="278" w:lineRule="auto"/>
        <w:sectPr>
          <w:type w:val="continuous"/>
          <w:pgSz w:w="11910" w:h="16840"/>
          <w:pgMar w:top="740" w:bottom="280" w:left="920" w:right="820"/>
          <w:cols w:num="2" w:equalWidth="0">
            <w:col w:w="2369" w:space="40"/>
            <w:col w:w="7761"/>
          </w:cols>
        </w:sectPr>
      </w:pPr>
    </w:p>
    <w:p>
      <w:pPr>
        <w:pStyle w:val="BodyText"/>
        <w:spacing w:before="11"/>
        <w:rPr>
          <w:sz w:val="23"/>
        </w:rPr>
      </w:pPr>
    </w:p>
    <w:p>
      <w:pPr>
        <w:pStyle w:val="BodyText"/>
        <w:rPr>
          <w:sz w:val="25"/>
        </w:rPr>
      </w:pPr>
      <w:r>
        <w:rPr/>
        <w:pict>
          <v:shape style="position:absolute;margin-left:175.440002pt;margin-top:17.25pt;width:356.9pt;height:13.95pt;mso-position-horizontal-relative:page;mso-position-vertical-relative:paragraph;z-index:-15712256;mso-wrap-distance-left:0;mso-wrap-distance-right:0" type="#_x0000_t202" id="docshape33" filled="true" fillcolor="#d9d9d9" stroked="false">
            <v:textbox inset="0,0,0,0">
              <w:txbxContent>
                <w:p>
                  <w:pPr>
                    <w:pStyle w:val="BodyText"/>
                    <w:spacing w:before="6"/>
                    <w:ind w:right="-15"/>
                    <w:rPr>
                      <w:color w:val="000000"/>
                    </w:rPr>
                  </w:pPr>
                  <w:r>
                    <w:rPr>
                      <w:color w:val="000000"/>
                      <w:spacing w:val="-3"/>
                    </w:rPr>
                    <w:t>如果被保险人由于同一疾病原因、同次医疗行为或同次意外伤害事故，初次发</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56.9pt;height:13.95pt;mso-position-horizontal-relative:char;mso-position-vertical-relative:line" type="#_x0000_t202" id="docshape34" filled="true" fillcolor="#d9d9d9" stroked="false">
            <w10:anchorlock/>
            <v:textbox inset="0,0,0,0">
              <w:txbxContent>
                <w:p>
                  <w:pPr>
                    <w:pStyle w:val="BodyText"/>
                    <w:spacing w:before="6"/>
                    <w:ind w:right="-15"/>
                    <w:rPr>
                      <w:color w:val="000000"/>
                    </w:rPr>
                  </w:pPr>
                  <w:r>
                    <w:rPr>
                      <w:color w:val="000000"/>
                      <w:spacing w:val="-5"/>
                    </w:rPr>
                    <w:t>生并被医院的专科医生确诊患有本合同约定的两项或者两项以上的轻症疾病，</w:t>
                  </w:r>
                </w:p>
              </w:txbxContent>
            </v:textbox>
            <v:fill type="solid"/>
          </v:shape>
        </w:pict>
      </w:r>
      <w:r>
        <w:rPr>
          <w:sz w:val="20"/>
        </w:rPr>
      </w:r>
    </w:p>
    <w:p>
      <w:pPr>
        <w:pStyle w:val="BodyText"/>
        <w:ind w:left="2588"/>
        <w:rPr>
          <w:sz w:val="20"/>
        </w:rPr>
      </w:pPr>
      <w:r>
        <w:rPr>
          <w:sz w:val="20"/>
        </w:rPr>
        <w:pict>
          <v:shape style="width:210pt;height:13.95pt;mso-position-horizontal-relative:char;mso-position-vertical-relative:line" type="#_x0000_t202" id="docshape35" filled="true" fillcolor="#d9d9d9" stroked="false">
            <w10:anchorlock/>
            <v:textbox inset="0,0,0,0">
              <w:txbxContent>
                <w:p>
                  <w:pPr>
                    <w:pStyle w:val="BodyText"/>
                    <w:spacing w:before="6"/>
                    <w:ind w:right="-15"/>
                    <w:rPr>
                      <w:color w:val="000000"/>
                    </w:rPr>
                  </w:pPr>
                  <w:r>
                    <w:rPr>
                      <w:color w:val="000000"/>
                      <w:spacing w:val="-5"/>
                    </w:rPr>
                    <w:t>我们仅按一项轻症疾病给付轻症疾病保险金。</w:t>
                  </w:r>
                </w:p>
              </w:txbxContent>
            </v:textbox>
            <v:fill type="solid"/>
          </v:shape>
        </w:pict>
      </w:r>
      <w:r>
        <w:rPr>
          <w:sz w:val="20"/>
        </w:rPr>
      </w:r>
    </w:p>
    <w:p>
      <w:pPr>
        <w:pStyle w:val="BodyText"/>
        <w:spacing w:before="5"/>
        <w:rPr>
          <w:sz w:val="24"/>
        </w:rPr>
      </w:pPr>
      <w:r>
        <w:rPr/>
        <w:drawing>
          <wp:anchor distT="0" distB="0" distL="0" distR="0" allowOverlap="1" layoutInCell="1" locked="0" behindDoc="1" simplePos="0" relativeHeight="485583360">
            <wp:simplePos x="0" y="0"/>
            <wp:positionH relativeFrom="page">
              <wp:posOffset>2228088</wp:posOffset>
            </wp:positionH>
            <wp:positionV relativeFrom="paragraph">
              <wp:posOffset>412099</wp:posOffset>
            </wp:positionV>
            <wp:extent cx="4398264" cy="176783"/>
            <wp:effectExtent l="0" t="0" r="0" b="0"/>
            <wp:wrapNone/>
            <wp:docPr id="21" name="image8.png"/>
            <wp:cNvGraphicFramePr>
              <a:graphicFrameLocks noChangeAspect="1"/>
            </wp:cNvGraphicFramePr>
            <a:graphic>
              <a:graphicData uri="http://schemas.openxmlformats.org/drawingml/2006/picture">
                <pic:pic>
                  <pic:nvPicPr>
                    <pic:cNvPr id="22" name="image8.png"/>
                    <pic:cNvPicPr/>
                  </pic:nvPicPr>
                  <pic:blipFill>
                    <a:blip r:embed="rId12" cstate="print"/>
                    <a:stretch>
                      <a:fillRect/>
                    </a:stretch>
                  </pic:blipFill>
                  <pic:spPr>
                    <a:xfrm>
                      <a:off x="0" y="0"/>
                      <a:ext cx="4398264" cy="176783"/>
                    </a:xfrm>
                    <a:prstGeom prst="rect">
                      <a:avLst/>
                    </a:prstGeom>
                  </pic:spPr>
                </pic:pic>
              </a:graphicData>
            </a:graphic>
          </wp:anchor>
        </w:drawing>
      </w:r>
      <w:r>
        <w:rPr/>
        <w:pict>
          <v:shape style="position:absolute;margin-left:175.440002pt;margin-top:32.448750pt;width:346.35pt;height:13.95pt;mso-position-horizontal-relative:page;mso-position-vertical-relative:paragraph;z-index:-17732608" type="#_x0000_t202" id="docshape36" filled="false" stroked="false">
            <v:textbox inset="0,0,0,0">
              <w:txbxContent>
                <w:p>
                  <w:pPr>
                    <w:pStyle w:val="BodyText"/>
                    <w:spacing w:before="6"/>
                    <w:ind w:right="-15"/>
                  </w:pPr>
                  <w:r>
                    <w:rPr>
                      <w:spacing w:val="-3"/>
                    </w:rPr>
                    <w:t>大疾病中任意两项及以上责任的，我们仅给付其中金额最高的一项保险金。</w:t>
                  </w:r>
                </w:p>
              </w:txbxContent>
            </v:textbox>
            <w10:wrap type="none"/>
          </v:shape>
        </w:pict>
      </w:r>
      <w:r>
        <w:rPr/>
        <w:pict>
          <v:shape style="position:absolute;margin-left:175.440002pt;margin-top:16.848749pt;width:363.4pt;height:13.95pt;mso-position-horizontal-relative:page;mso-position-vertical-relative:paragraph;z-index:-15709696;mso-wrap-distance-left:0;mso-wrap-distance-right:0" type="#_x0000_t202" id="docshape37" filled="true" fillcolor="#d9d9d9" stroked="false">
            <v:textbox inset="0,0,0,0">
              <w:txbxContent>
                <w:p>
                  <w:pPr>
                    <w:pStyle w:val="BodyText"/>
                    <w:spacing w:before="6"/>
                    <w:ind w:right="-15"/>
                    <w:rPr>
                      <w:color w:val="000000"/>
                    </w:rPr>
                  </w:pPr>
                  <w:r>
                    <w:rPr>
                      <w:color w:val="000000"/>
                      <w:spacing w:val="-5"/>
                    </w:rPr>
                    <w:t>若被保险人同时确诊初次发生一项或多项本合同约定的轻症疾病、中症疾病、重</w:t>
                  </w:r>
                </w:p>
              </w:txbxContent>
            </v:textbox>
            <v:fill type="solid"/>
            <w10:wrap type="topAndBottom"/>
          </v:shape>
        </w:pict>
      </w:r>
    </w:p>
    <w:p>
      <w:pPr>
        <w:pStyle w:val="BodyText"/>
        <w:spacing w:before="10"/>
      </w:pPr>
    </w:p>
    <w:p>
      <w:pPr>
        <w:spacing w:after="0"/>
        <w:sectPr>
          <w:type w:val="continuous"/>
          <w:pgSz w:w="11910" w:h="16840"/>
          <w:pgMar w:top="740" w:bottom="280" w:left="920" w:right="820"/>
        </w:sectPr>
      </w:pPr>
    </w:p>
    <w:p>
      <w:pPr>
        <w:pStyle w:val="Heading1"/>
        <w:spacing w:line="163" w:lineRule="auto" w:before="76"/>
        <w:jc w:val="both"/>
      </w:pPr>
      <w:r>
        <w:rPr/>
        <w:t>重 大 疾</w:t>
      </w:r>
      <w:r>
        <w:rPr>
          <w:spacing w:val="7"/>
        </w:rPr>
        <w:t>病、中症</w:t>
      </w:r>
      <w:r>
        <w:rPr>
          <w:spacing w:val="7"/>
        </w:rPr>
        <w:t>疾病或轻</w:t>
      </w:r>
      <w:r>
        <w:rPr>
          <w:spacing w:val="7"/>
        </w:rPr>
        <w:t>症疾病豁</w:t>
      </w:r>
    </w:p>
    <w:p>
      <w:pPr>
        <w:pStyle w:val="BodyText"/>
        <w:spacing w:line="278" w:lineRule="auto" w:before="72"/>
        <w:ind w:left="176" w:right="219"/>
        <w:jc w:val="both"/>
      </w:pPr>
      <w:r>
        <w:rPr/>
        <w:br w:type="column"/>
      </w:r>
      <w:r>
        <w:rPr>
          <w:w w:val="100"/>
        </w:rPr>
        <w:t>被保险人初次发生并被医院的专科医生确诊患有本合同约定的任何一项重大疾</w:t>
      </w:r>
      <w:r>
        <w:rPr>
          <w:spacing w:val="-11"/>
          <w:w w:val="100"/>
        </w:rPr>
        <w:t>病、中症疾病或轻症疾病，我们将豁免疾病确诊日后本合同保险期间内的各期保</w:t>
      </w:r>
      <w:r>
        <w:rPr>
          <w:spacing w:val="-8"/>
          <w:w w:val="100"/>
        </w:rPr>
        <w:t>险费，同时该项保险责任终止。我们视豁免的保险费为您已交纳的当期保险费。</w:t>
      </w:r>
    </w:p>
    <w:p>
      <w:pPr>
        <w:spacing w:after="0" w:line="278" w:lineRule="auto"/>
        <w:jc w:val="both"/>
        <w:sectPr>
          <w:type w:val="continuous"/>
          <w:pgSz w:w="11910" w:h="16840"/>
          <w:pgMar w:top="740" w:bottom="280" w:left="920" w:right="820"/>
          <w:cols w:num="2" w:equalWidth="0">
            <w:col w:w="2373" w:space="40"/>
            <w:col w:w="7757"/>
          </w:cols>
        </w:sectPr>
      </w:pPr>
    </w:p>
    <w:p>
      <w:pPr>
        <w:pStyle w:val="Heading1"/>
        <w:spacing w:line="405" w:lineRule="exact"/>
      </w:pPr>
      <w:r>
        <w:rPr>
          <w:spacing w:val="-3"/>
        </w:rPr>
        <w:t>免保险费</w:t>
      </w:r>
    </w:p>
    <w:p>
      <w:pPr>
        <w:pStyle w:val="BodyText"/>
        <w:spacing w:before="12"/>
        <w:rPr>
          <w:rFonts w:ascii="微软雅黑"/>
          <w:b/>
          <w:sz w:val="10"/>
        </w:rPr>
      </w:pPr>
    </w:p>
    <w:p>
      <w:pPr>
        <w:spacing w:after="0"/>
        <w:rPr>
          <w:rFonts w:ascii="微软雅黑"/>
          <w:sz w:val="10"/>
        </w:rPr>
        <w:sectPr>
          <w:pgSz w:w="11910" w:h="16840"/>
          <w:pgMar w:top="1080" w:bottom="280" w:left="920" w:right="820"/>
        </w:sectPr>
      </w:pPr>
    </w:p>
    <w:p>
      <w:pPr>
        <w:pStyle w:val="ListParagraph"/>
        <w:numPr>
          <w:ilvl w:val="2"/>
          <w:numId w:val="2"/>
        </w:numPr>
        <w:tabs>
          <w:tab w:pos="1364" w:val="left" w:leader="none"/>
          <w:tab w:pos="1365" w:val="left" w:leader="none"/>
        </w:tabs>
        <w:spacing w:line="418" w:lineRule="exact" w:before="0" w:after="0"/>
        <w:ind w:left="1364" w:right="0" w:hanging="850"/>
        <w:jc w:val="left"/>
        <w:rPr>
          <w:rFonts w:ascii="微软雅黑" w:eastAsia="微软雅黑"/>
          <w:b/>
          <w:sz w:val="24"/>
        </w:rPr>
      </w:pPr>
      <w:r>
        <w:rPr/>
        <w:pict>
          <v:shape style="position:absolute;margin-left:152.157608pt;margin-top:15.121924pt;width:1.45pt;height:2.9pt;mso-position-horizontal-relative:page;mso-position-vertical-relative:paragraph;z-index:-17721344" type="#_x0000_t202" id="docshape38"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rFonts w:ascii="微软雅黑" w:eastAsia="微软雅黑"/>
          <w:b/>
          <w:spacing w:val="-3"/>
          <w:sz w:val="24"/>
        </w:rPr>
        <w:t>可选部分</w:t>
      </w:r>
    </w:p>
    <w:p>
      <w:pPr>
        <w:pStyle w:val="BodyText"/>
        <w:spacing w:before="73"/>
        <w:ind w:left="224"/>
      </w:pPr>
      <w:r>
        <w:rPr/>
        <w:br w:type="column"/>
      </w:r>
      <w:r>
        <w:rPr>
          <w:spacing w:val="-3"/>
        </w:rPr>
        <w:t>以下责任为可选部分：</w:t>
      </w:r>
    </w:p>
    <w:p>
      <w:pPr>
        <w:spacing w:after="0"/>
        <w:sectPr>
          <w:type w:val="continuous"/>
          <w:pgSz w:w="11910" w:h="16840"/>
          <w:pgMar w:top="740" w:bottom="280" w:left="920" w:right="820"/>
          <w:cols w:num="2" w:equalWidth="0">
            <w:col w:w="2325" w:space="40"/>
            <w:col w:w="7805"/>
          </w:cols>
        </w:sectPr>
      </w:pPr>
    </w:p>
    <w:p>
      <w:pPr>
        <w:pStyle w:val="BodyText"/>
        <w:spacing w:before="1"/>
        <w:rPr>
          <w:sz w:val="16"/>
        </w:rPr>
      </w:pPr>
    </w:p>
    <w:p>
      <w:pPr>
        <w:spacing w:after="0"/>
        <w:rPr>
          <w:sz w:val="16"/>
        </w:rPr>
        <w:sectPr>
          <w:type w:val="continuous"/>
          <w:pgSz w:w="11910" w:h="16840"/>
          <w:pgMar w:top="740" w:bottom="280" w:left="920" w:right="820"/>
        </w:sectPr>
      </w:pPr>
    </w:p>
    <w:p>
      <w:pPr>
        <w:pStyle w:val="Heading1"/>
        <w:spacing w:line="160" w:lineRule="auto" w:before="80"/>
      </w:pPr>
      <w:r>
        <w:rPr>
          <w:spacing w:val="7"/>
        </w:rPr>
        <w:t>身故或全</w:t>
      </w:r>
      <w:r>
        <w:rPr>
          <w:spacing w:val="-3"/>
        </w:rPr>
        <w:t>残保险金</w:t>
      </w:r>
    </w:p>
    <w:p>
      <w:pPr>
        <w:pStyle w:val="BodyText"/>
        <w:spacing w:line="278" w:lineRule="auto" w:before="73"/>
        <w:ind w:left="180" w:right="301"/>
      </w:pPr>
      <w:r>
        <w:rPr/>
        <w:br w:type="column"/>
      </w:r>
      <w:r>
        <w:rPr>
          <w:spacing w:val="-9"/>
        </w:rPr>
        <w:t>被保险人于年满 </w:t>
      </w:r>
      <w:r>
        <w:rPr>
          <w:spacing w:val="-4"/>
        </w:rPr>
        <w:t>18</w:t>
      </w:r>
      <w:r>
        <w:rPr>
          <w:spacing w:val="-15"/>
        </w:rPr>
        <w:t> 周岁前</w:t>
      </w:r>
      <w:r>
        <w:rPr>
          <w:spacing w:val="-4"/>
        </w:rPr>
        <w:t>（</w:t>
      </w:r>
      <w:r>
        <w:rPr>
          <w:spacing w:val="-24"/>
        </w:rPr>
        <w:t>含 </w:t>
      </w:r>
      <w:r>
        <w:rPr>
          <w:spacing w:val="-4"/>
        </w:rPr>
        <w:t>18</w:t>
      </w:r>
      <w:r>
        <w:rPr>
          <w:spacing w:val="-12"/>
        </w:rPr>
        <w:t> 周岁生日当天</w:t>
      </w:r>
      <w:r>
        <w:rPr>
          <w:spacing w:val="-4"/>
        </w:rPr>
        <w:t>）身故或全残，我们按本合同已</w:t>
      </w:r>
      <w:r>
        <w:rPr>
          <w:spacing w:val="-2"/>
        </w:rPr>
        <w:t>交保险费给付身故或全残保险金，本合同终止。</w:t>
      </w:r>
    </w:p>
    <w:p>
      <w:pPr>
        <w:pStyle w:val="BodyText"/>
        <w:spacing w:before="3"/>
        <w:rPr>
          <w:sz w:val="24"/>
        </w:rPr>
      </w:pPr>
    </w:p>
    <w:p>
      <w:pPr>
        <w:pStyle w:val="BodyText"/>
        <w:spacing w:line="278" w:lineRule="auto" w:before="1"/>
        <w:ind w:left="180" w:right="301"/>
      </w:pPr>
      <w:r>
        <w:rPr/>
        <w:pict>
          <v:shape style="position:absolute;margin-left:229.917343pt;margin-top:11.053068pt;width:1.45pt;height:2.9pt;mso-position-horizontal-relative:page;mso-position-vertical-relative:paragraph;z-index:-17720832" type="#_x0000_t202" id="docshape39"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spacing w:val="-9"/>
        </w:rPr>
        <w:t>被保险人于年满 </w:t>
      </w:r>
      <w:r>
        <w:rPr>
          <w:spacing w:val="-4"/>
        </w:rPr>
        <w:t>18</w:t>
      </w:r>
      <w:r>
        <w:rPr>
          <w:spacing w:val="-15"/>
        </w:rPr>
        <w:t> 周岁后</w:t>
      </w:r>
      <w:r>
        <w:rPr>
          <w:spacing w:val="-4"/>
        </w:rPr>
        <w:t>（</w:t>
      </w:r>
      <w:r>
        <w:rPr>
          <w:spacing w:val="-19"/>
        </w:rPr>
        <w:t>不含 </w:t>
      </w:r>
      <w:r>
        <w:rPr>
          <w:spacing w:val="-4"/>
        </w:rPr>
        <w:t>18</w:t>
      </w:r>
      <w:r>
        <w:rPr>
          <w:spacing w:val="-11"/>
        </w:rPr>
        <w:t> 周岁生日当天</w:t>
      </w:r>
      <w:r>
        <w:rPr>
          <w:spacing w:val="-4"/>
        </w:rPr>
        <w:t>）身故或全残，我们按本合同</w:t>
      </w:r>
      <w:r>
        <w:rPr>
          <w:spacing w:val="-6"/>
        </w:rPr>
        <w:t>基本保险金额的 </w:t>
      </w:r>
      <w:r>
        <w:rPr/>
        <w:t>100%给付身故或全残保险金，本合同终止。</w:t>
      </w:r>
    </w:p>
    <w:p>
      <w:pPr>
        <w:spacing w:after="0" w:line="278" w:lineRule="auto"/>
        <w:sectPr>
          <w:type w:val="continuous"/>
          <w:pgSz w:w="11910" w:h="16840"/>
          <w:pgMar w:top="740" w:bottom="280" w:left="920" w:right="820"/>
          <w:cols w:num="2" w:equalWidth="0">
            <w:col w:w="2369" w:space="40"/>
            <w:col w:w="7761"/>
          </w:cols>
        </w:sectPr>
      </w:pPr>
    </w:p>
    <w:p>
      <w:pPr>
        <w:pStyle w:val="BodyText"/>
        <w:spacing w:before="11"/>
        <w:rPr>
          <w:sz w:val="23"/>
        </w:rPr>
      </w:pPr>
    </w:p>
    <w:p>
      <w:pPr>
        <w:pStyle w:val="BodyText"/>
        <w:ind w:left="2588"/>
        <w:rPr>
          <w:sz w:val="20"/>
        </w:rPr>
      </w:pPr>
      <w:r>
        <w:rPr>
          <w:sz w:val="20"/>
        </w:rPr>
        <w:pict>
          <v:shape style="width:363.4pt;height:13.95pt;mso-position-horizontal-relative:char;mso-position-vertical-relative:line" type="#_x0000_t202" id="docshape40" filled="true" fillcolor="#d9d9d9" stroked="false">
            <w10:anchorlock/>
            <v:textbox inset="0,0,0,0">
              <w:txbxContent>
                <w:p>
                  <w:pPr>
                    <w:pStyle w:val="BodyText"/>
                    <w:spacing w:before="6"/>
                    <w:ind w:right="-15"/>
                    <w:rPr>
                      <w:color w:val="000000"/>
                    </w:rPr>
                  </w:pPr>
                  <w:r>
                    <w:rPr>
                      <w:color w:val="000000"/>
                      <w:spacing w:val="-9"/>
                    </w:rPr>
                    <w:t>身故或全残保险金与首次重大疾病保险金二者不可兼得，即若我们给付其中任何</w:t>
                  </w:r>
                </w:p>
              </w:txbxContent>
            </v:textbox>
            <v:fill type="solid"/>
          </v:shape>
        </w:pict>
      </w:r>
      <w:r>
        <w:rPr>
          <w:sz w:val="20"/>
        </w:rPr>
      </w:r>
    </w:p>
    <w:p>
      <w:pPr>
        <w:pStyle w:val="BodyText"/>
        <w:ind w:left="2588"/>
        <w:rPr>
          <w:sz w:val="20"/>
        </w:rPr>
      </w:pPr>
      <w:r>
        <w:rPr>
          <w:sz w:val="20"/>
        </w:rPr>
        <w:pict>
          <v:shape style="width:199.45pt;height:13.95pt;mso-position-horizontal-relative:char;mso-position-vertical-relative:line" type="#_x0000_t202" id="docshape41" filled="true" fillcolor="#d9d9d9" stroked="false">
            <w10:anchorlock/>
            <v:textbox inset="0,0,0,0">
              <w:txbxContent>
                <w:p>
                  <w:pPr>
                    <w:pStyle w:val="BodyText"/>
                    <w:spacing w:before="6"/>
                    <w:ind w:right="-15"/>
                    <w:rPr>
                      <w:color w:val="000000"/>
                    </w:rPr>
                  </w:pPr>
                  <w:r>
                    <w:rPr>
                      <w:color w:val="000000"/>
                      <w:spacing w:val="-5"/>
                    </w:rPr>
                    <w:t>一项保险金，则另一项保险金将不再给付。</w:t>
                  </w:r>
                </w:p>
              </w:txbxContent>
            </v:textbox>
            <v:fill type="solid"/>
          </v:shape>
        </w:pict>
      </w:r>
      <w:r>
        <w:rPr>
          <w:sz w:val="20"/>
        </w:rPr>
      </w:r>
    </w:p>
    <w:p>
      <w:pPr>
        <w:pStyle w:val="BodyText"/>
      </w:pPr>
    </w:p>
    <w:p>
      <w:pPr>
        <w:spacing w:after="0"/>
        <w:sectPr>
          <w:type w:val="continuous"/>
          <w:pgSz w:w="11910" w:h="16840"/>
          <w:pgMar w:top="740" w:bottom="280" w:left="920" w:right="820"/>
        </w:sectPr>
      </w:pPr>
    </w:p>
    <w:p>
      <w:pPr>
        <w:pStyle w:val="Heading1"/>
        <w:spacing w:line="160" w:lineRule="auto" w:before="80"/>
      </w:pPr>
      <w:r>
        <w:rPr>
          <w:spacing w:val="7"/>
        </w:rPr>
        <w:t>第二次恶</w:t>
      </w:r>
      <w:r>
        <w:rPr>
          <w:spacing w:val="3"/>
        </w:rPr>
        <w:t>性肿瘤—</w:t>
      </w:r>
    </w:p>
    <w:p>
      <w:pPr>
        <w:spacing w:line="160" w:lineRule="auto" w:before="7"/>
        <w:ind w:left="1364" w:right="0" w:firstLine="0"/>
        <w:jc w:val="left"/>
        <w:rPr>
          <w:rFonts w:ascii="微软雅黑" w:hAnsi="微软雅黑" w:eastAsia="微软雅黑"/>
          <w:b/>
          <w:sz w:val="24"/>
        </w:rPr>
      </w:pPr>
      <w:r>
        <w:rPr>
          <w:rFonts w:ascii="微软雅黑" w:hAnsi="微软雅黑" w:eastAsia="微软雅黑"/>
          <w:b/>
          <w:spacing w:val="4"/>
          <w:sz w:val="24"/>
        </w:rPr>
        <w:t>—</w:t>
      </w:r>
      <w:r>
        <w:rPr>
          <w:rFonts w:ascii="微软雅黑" w:hAnsi="微软雅黑" w:eastAsia="微软雅黑"/>
          <w:b/>
          <w:spacing w:val="2"/>
          <w:sz w:val="24"/>
        </w:rPr>
        <w:t>重度关</w:t>
      </w:r>
      <w:r>
        <w:rPr>
          <w:rFonts w:ascii="微软雅黑" w:hAnsi="微软雅黑" w:eastAsia="微软雅黑"/>
          <w:b/>
          <w:spacing w:val="-3"/>
          <w:sz w:val="24"/>
        </w:rPr>
        <w:t>爱保险金</w:t>
      </w:r>
    </w:p>
    <w:p>
      <w:pPr>
        <w:pStyle w:val="BodyText"/>
        <w:spacing w:line="278" w:lineRule="auto" w:before="73"/>
        <w:ind w:left="180" w:right="219"/>
      </w:pPr>
      <w:r>
        <w:rPr/>
        <w:br w:type="column"/>
      </w:r>
      <w:r>
        <w:rPr>
          <w:w w:val="100"/>
        </w:rPr>
        <w:t>被保险人因恶性肿瘤——重度获赔了首次重大疾病保险金或第二次重大疾病保险金（若选</w:t>
      </w:r>
      <w:r>
        <w:rPr>
          <w:spacing w:val="-111"/>
          <w:w w:val="100"/>
        </w:rPr>
        <w:t>）</w:t>
      </w:r>
      <w:r>
        <w:rPr>
          <w:spacing w:val="-5"/>
          <w:w w:val="100"/>
        </w:rPr>
        <w:t>，且被保险人自该次恶性肿瘤——重度确诊之日起满</w:t>
      </w:r>
      <w:r>
        <w:rPr>
          <w:spacing w:val="-43"/>
        </w:rPr>
        <w:t> </w:t>
      </w:r>
      <w:r>
        <w:rPr>
          <w:w w:val="100"/>
        </w:rPr>
        <w:t>3</w:t>
      </w:r>
      <w:r>
        <w:rPr>
          <w:spacing w:val="-43"/>
        </w:rPr>
        <w:t> </w:t>
      </w:r>
      <w:r>
        <w:rPr>
          <w:spacing w:val="-2"/>
          <w:w w:val="100"/>
        </w:rPr>
        <w:t>年后，再次</w:t>
      </w:r>
      <w:r>
        <w:rPr>
          <w:spacing w:val="-6"/>
          <w:w w:val="100"/>
        </w:rPr>
        <w:t>发生并被医院的专科医生确诊患有本合同约定的一项或多项恶性肿瘤——重度，</w:t>
      </w:r>
      <w:r>
        <w:rPr>
          <w:spacing w:val="-1"/>
          <w:w w:val="100"/>
        </w:rPr>
        <w:t>我们按本合同基本保险金额的</w:t>
      </w:r>
      <w:r>
        <w:rPr/>
        <w:t> </w:t>
      </w:r>
      <w:r>
        <w:rPr>
          <w:w w:val="100"/>
        </w:rPr>
        <w:t>100%</w:t>
      </w:r>
      <w:r>
        <w:rPr>
          <w:spacing w:val="-2"/>
          <w:w w:val="100"/>
        </w:rPr>
        <w:t>给付第二次恶性肿瘤——重度关爱保险金，</w:t>
      </w:r>
      <w:r>
        <w:rPr>
          <w:spacing w:val="-3"/>
          <w:w w:val="100"/>
        </w:rPr>
        <w:t>该项保险责任终止。</w:t>
      </w:r>
    </w:p>
    <w:p>
      <w:pPr>
        <w:spacing w:after="0" w:line="278" w:lineRule="auto"/>
        <w:sectPr>
          <w:type w:val="continuous"/>
          <w:pgSz w:w="11910" w:h="16840"/>
          <w:pgMar w:top="740" w:bottom="280" w:left="920" w:right="820"/>
          <w:cols w:num="2" w:equalWidth="0">
            <w:col w:w="2369" w:space="40"/>
            <w:col w:w="7761"/>
          </w:cols>
        </w:sectPr>
      </w:pPr>
    </w:p>
    <w:p>
      <w:pPr>
        <w:pStyle w:val="BodyText"/>
        <w:spacing w:before="10"/>
        <w:rPr>
          <w:sz w:val="23"/>
        </w:rPr>
      </w:pPr>
    </w:p>
    <w:p>
      <w:pPr>
        <w:pStyle w:val="BodyText"/>
        <w:ind w:left="2588"/>
        <w:rPr>
          <w:sz w:val="20"/>
        </w:rPr>
      </w:pPr>
      <w:r>
        <w:rPr>
          <w:sz w:val="20"/>
        </w:rPr>
        <w:pict>
          <v:shape style="width:304.350pt;height:13.95pt;mso-position-horizontal-relative:char;mso-position-vertical-relative:line" type="#_x0000_t202" id="docshape42" filled="true" fillcolor="#d9d9d9" stroked="false">
            <w10:anchorlock/>
            <v:textbox inset="0,0,0,0">
              <w:txbxContent>
                <w:p>
                  <w:pPr>
                    <w:pStyle w:val="BodyText"/>
                    <w:spacing w:before="6"/>
                    <w:ind w:right="-15"/>
                    <w:rPr>
                      <w:color w:val="000000"/>
                    </w:rPr>
                  </w:pPr>
                  <w:r>
                    <w:rPr>
                      <w:color w:val="000000"/>
                      <w:spacing w:val="-5"/>
                    </w:rPr>
                    <w:t>满足以下情形之一的，属于第二次确诊的恶性肿瘤——重度范畴：</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43" filled="true" fillcolor="#d9d9d9" stroked="false">
            <w10:anchorlock/>
            <v:textbox inset="0,0,0,0">
              <w:txbxContent>
                <w:p>
                  <w:pPr>
                    <w:spacing w:line="278" w:lineRule="exact" w:before="0"/>
                    <w:ind w:left="0" w:right="-15" w:firstLine="0"/>
                    <w:jc w:val="left"/>
                    <w:rPr>
                      <w:color w:val="000000"/>
                      <w:sz w:val="21"/>
                    </w:rPr>
                  </w:pPr>
                  <w:r>
                    <w:rPr>
                      <w:color w:val="000000"/>
                      <w:spacing w:val="12"/>
                      <w:w w:val="95"/>
                      <w:sz w:val="21"/>
                    </w:rPr>
                    <w:t>（1）</w:t>
                  </w:r>
                  <w:r>
                    <w:rPr>
                      <w:color w:val="000000"/>
                      <w:w w:val="95"/>
                      <w:sz w:val="21"/>
                    </w:rPr>
                    <w:t>与前一次确诊的恶性肿瘤——重度无关的</w:t>
                  </w:r>
                  <w:r>
                    <w:rPr>
                      <w:rFonts w:ascii="微软雅黑" w:hAnsi="微软雅黑" w:eastAsia="微软雅黑"/>
                      <w:b/>
                      <w:color w:val="000000"/>
                      <w:spacing w:val="12"/>
                      <w:w w:val="95"/>
                      <w:sz w:val="21"/>
                    </w:rPr>
                    <w:t>新发恶性肿瘤——重度</w:t>
                  </w:r>
                  <w:r>
                    <w:rPr>
                      <w:color w:val="000000"/>
                      <w:w w:val="95"/>
                      <w:sz w:val="21"/>
                    </w:rPr>
                    <w:t>（</w:t>
                  </w:r>
                  <w:r>
                    <w:rPr>
                      <w:color w:val="000000"/>
                      <w:spacing w:val="-10"/>
                      <w:w w:val="95"/>
                      <w:sz w:val="21"/>
                    </w:rPr>
                    <w:t>见</w:t>
                  </w:r>
                </w:p>
              </w:txbxContent>
            </v:textbox>
            <v:fill type="solid"/>
          </v:shape>
        </w:pict>
      </w:r>
      <w:r>
        <w:rPr>
          <w:sz w:val="20"/>
        </w:rPr>
      </w:r>
    </w:p>
    <w:p>
      <w:pPr>
        <w:pStyle w:val="BodyText"/>
        <w:rPr>
          <w:sz w:val="2"/>
        </w:rPr>
      </w:pPr>
    </w:p>
    <w:p>
      <w:pPr>
        <w:pStyle w:val="BodyText"/>
        <w:ind w:left="2588"/>
        <w:rPr>
          <w:sz w:val="20"/>
        </w:rPr>
      </w:pPr>
      <w:r>
        <w:rPr>
          <w:sz w:val="20"/>
        </w:rPr>
        <w:pict>
          <v:shape style="width:36.75pt;height:13.95pt;mso-position-horizontal-relative:char;mso-position-vertical-relative:line" type="#_x0000_t202" id="docshape44" filled="true" fillcolor="#d9d9d9" stroked="false">
            <w10:anchorlock/>
            <v:textbox inset="0,0,0,0">
              <w:txbxContent>
                <w:p>
                  <w:pPr>
                    <w:pStyle w:val="BodyText"/>
                    <w:spacing w:before="6"/>
                    <w:ind w:right="-15"/>
                    <w:rPr>
                      <w:color w:val="000000"/>
                    </w:rPr>
                  </w:pPr>
                  <w:r>
                    <w:rPr>
                      <w:color w:val="000000"/>
                      <w:spacing w:val="1"/>
                    </w:rPr>
                    <w:t>9.14</w:t>
                  </w:r>
                  <w:r>
                    <w:rPr>
                      <w:color w:val="000000"/>
                      <w:spacing w:val="-105"/>
                    </w:rPr>
                    <w:t>）</w:t>
                  </w:r>
                  <w:r>
                    <w:rPr>
                      <w:color w:val="000000"/>
                      <w:spacing w:val="1"/>
                    </w:rPr>
                    <w:t>；</w:t>
                  </w:r>
                </w:p>
              </w:txbxContent>
            </v:textbox>
            <v:fill type="solid"/>
          </v:shape>
        </w:pict>
      </w:r>
      <w:r>
        <w:rPr>
          <w:sz w:val="20"/>
        </w:rPr>
      </w:r>
    </w:p>
    <w:p>
      <w:pPr>
        <w:pStyle w:val="BodyText"/>
        <w:ind w:left="2588"/>
        <w:rPr>
          <w:sz w:val="20"/>
        </w:rPr>
      </w:pPr>
      <w:r>
        <w:rPr>
          <w:sz w:val="20"/>
        </w:rPr>
        <w:pict>
          <v:shape style="width:255.15pt;height:13.95pt;mso-position-horizontal-relative:char;mso-position-vertical-relative:line" type="#_x0000_t202" id="docshape45" filled="true" fillcolor="#d9d9d9" stroked="false">
            <w10:anchorlock/>
            <v:textbox inset="0,0,0,0">
              <w:txbxContent>
                <w:p>
                  <w:pPr>
                    <w:spacing w:line="278" w:lineRule="exact" w:before="0"/>
                    <w:ind w:left="0" w:right="-15" w:firstLine="0"/>
                    <w:jc w:val="left"/>
                    <w:rPr>
                      <w:color w:val="000000"/>
                      <w:sz w:val="21"/>
                    </w:rPr>
                  </w:pPr>
                  <w:r>
                    <w:rPr>
                      <w:color w:val="000000"/>
                      <w:w w:val="95"/>
                      <w:sz w:val="21"/>
                    </w:rPr>
                    <w:t>（2）前一次确诊的</w:t>
                  </w:r>
                  <w:r>
                    <w:rPr>
                      <w:rFonts w:ascii="微软雅黑" w:hAnsi="微软雅黑" w:eastAsia="微软雅黑"/>
                      <w:b/>
                      <w:color w:val="000000"/>
                      <w:w w:val="95"/>
                      <w:sz w:val="21"/>
                    </w:rPr>
                    <w:t>恶性肿瘤——重度复发</w:t>
                  </w:r>
                  <w:r>
                    <w:rPr>
                      <w:color w:val="000000"/>
                      <w:w w:val="95"/>
                      <w:sz w:val="21"/>
                    </w:rPr>
                    <w:t>（见</w:t>
                  </w:r>
                  <w:r>
                    <w:rPr>
                      <w:color w:val="000000"/>
                      <w:spacing w:val="53"/>
                      <w:w w:val="150"/>
                      <w:sz w:val="21"/>
                    </w:rPr>
                    <w:t> </w:t>
                  </w:r>
                  <w:r>
                    <w:rPr>
                      <w:color w:val="000000"/>
                      <w:spacing w:val="13"/>
                      <w:w w:val="95"/>
                      <w:sz w:val="21"/>
                    </w:rPr>
                    <w:t>9.15</w:t>
                  </w:r>
                  <w:r>
                    <w:rPr>
                      <w:color w:val="000000"/>
                      <w:spacing w:val="-98"/>
                      <w:w w:val="95"/>
                      <w:sz w:val="21"/>
                    </w:rPr>
                    <w:t>）</w:t>
                  </w:r>
                  <w:r>
                    <w:rPr>
                      <w:color w:val="000000"/>
                      <w:spacing w:val="13"/>
                      <w:w w:val="95"/>
                      <w:sz w:val="21"/>
                    </w:rPr>
                    <w:t>；</w:t>
                  </w:r>
                </w:p>
              </w:txbxContent>
            </v:textbox>
            <v:fill type="solid"/>
          </v:shape>
        </w:pict>
      </w:r>
      <w:r>
        <w:rPr>
          <w:sz w:val="20"/>
        </w:rPr>
      </w:r>
    </w:p>
    <w:p>
      <w:pPr>
        <w:pStyle w:val="BodyText"/>
        <w:ind w:left="2588"/>
        <w:rPr>
          <w:sz w:val="20"/>
        </w:rPr>
      </w:pPr>
      <w:r>
        <w:rPr>
          <w:sz w:val="20"/>
        </w:rPr>
        <w:pict>
          <v:shape style="width:286.6pt;height:13.95pt;mso-position-horizontal-relative:char;mso-position-vertical-relative:line" type="#_x0000_t202" id="docshape46" filled="true" fillcolor="#d9d9d9" stroked="false">
            <w10:anchorlock/>
            <v:textbox inset="0,0,0,0">
              <w:txbxContent>
                <w:p>
                  <w:pPr>
                    <w:spacing w:line="278" w:lineRule="exact" w:before="0"/>
                    <w:ind w:left="0" w:right="-15" w:firstLine="0"/>
                    <w:jc w:val="left"/>
                    <w:rPr>
                      <w:color w:val="000000"/>
                      <w:sz w:val="21"/>
                    </w:rPr>
                  </w:pPr>
                  <w:r>
                    <w:rPr>
                      <w:color w:val="000000"/>
                      <w:w w:val="95"/>
                      <w:sz w:val="21"/>
                    </w:rPr>
                    <w:t>（3）前一次确诊的</w:t>
                  </w:r>
                  <w:r>
                    <w:rPr>
                      <w:rFonts w:ascii="微软雅黑" w:hAnsi="微软雅黑" w:eastAsia="微软雅黑"/>
                      <w:b/>
                      <w:color w:val="000000"/>
                      <w:w w:val="95"/>
                      <w:sz w:val="21"/>
                    </w:rPr>
                    <w:t>恶性肿瘤——重度转移或扩散</w:t>
                  </w:r>
                  <w:r>
                    <w:rPr>
                      <w:color w:val="000000"/>
                      <w:w w:val="95"/>
                      <w:sz w:val="21"/>
                    </w:rPr>
                    <w:t>（见</w:t>
                  </w:r>
                  <w:r>
                    <w:rPr>
                      <w:color w:val="000000"/>
                      <w:spacing w:val="21"/>
                      <w:sz w:val="21"/>
                    </w:rPr>
                    <w:t>  </w:t>
                  </w:r>
                  <w:r>
                    <w:rPr>
                      <w:color w:val="000000"/>
                      <w:spacing w:val="11"/>
                      <w:w w:val="95"/>
                      <w:sz w:val="21"/>
                    </w:rPr>
                    <w:t>9.16</w:t>
                  </w:r>
                  <w:r>
                    <w:rPr>
                      <w:color w:val="000000"/>
                      <w:spacing w:val="-95"/>
                      <w:w w:val="95"/>
                      <w:sz w:val="21"/>
                    </w:rPr>
                    <w:t>）</w:t>
                  </w:r>
                  <w:r>
                    <w:rPr>
                      <w:color w:val="000000"/>
                      <w:spacing w:val="11"/>
                      <w:w w:val="95"/>
                      <w:sz w:val="21"/>
                    </w:rPr>
                    <w:t>；</w:t>
                  </w:r>
                </w:p>
              </w:txbxContent>
            </v:textbox>
            <v:fill type="solid"/>
          </v:shape>
        </w:pict>
      </w:r>
      <w:r>
        <w:rPr>
          <w:sz w:val="20"/>
        </w:rPr>
      </w:r>
    </w:p>
    <w:p>
      <w:pPr>
        <w:pStyle w:val="BodyText"/>
        <w:spacing w:before="8"/>
        <w:rPr>
          <w:sz w:val="2"/>
        </w:rPr>
      </w:pPr>
    </w:p>
    <w:p>
      <w:pPr>
        <w:pStyle w:val="BodyText"/>
        <w:ind w:left="2588"/>
        <w:rPr>
          <w:sz w:val="20"/>
        </w:rPr>
      </w:pPr>
      <w:r>
        <w:rPr>
          <w:sz w:val="20"/>
        </w:rPr>
        <w:pict>
          <v:shape style="width:265.45pt;height:13.95pt;mso-position-horizontal-relative:char;mso-position-vertical-relative:line" type="#_x0000_t202" id="docshape47" filled="true" fillcolor="#d9d9d9" stroked="false">
            <w10:anchorlock/>
            <v:textbox inset="0,0,0,0">
              <w:txbxContent>
                <w:p>
                  <w:pPr>
                    <w:spacing w:line="278" w:lineRule="exact" w:before="0"/>
                    <w:ind w:left="0" w:right="-15" w:firstLine="0"/>
                    <w:jc w:val="left"/>
                    <w:rPr>
                      <w:color w:val="000000"/>
                      <w:sz w:val="21"/>
                    </w:rPr>
                  </w:pPr>
                  <w:r>
                    <w:rPr>
                      <w:color w:val="000000"/>
                      <w:w w:val="95"/>
                      <w:sz w:val="21"/>
                    </w:rPr>
                    <w:t>（4）前一次确诊的</w:t>
                  </w:r>
                  <w:r>
                    <w:rPr>
                      <w:rFonts w:ascii="微软雅黑" w:hAnsi="微软雅黑" w:eastAsia="微软雅黑"/>
                      <w:b/>
                      <w:color w:val="000000"/>
                      <w:w w:val="95"/>
                      <w:sz w:val="21"/>
                    </w:rPr>
                    <w:t>恶性肿瘤——重度仍持续</w:t>
                  </w:r>
                  <w:r>
                    <w:rPr>
                      <w:color w:val="000000"/>
                      <w:w w:val="95"/>
                      <w:sz w:val="21"/>
                    </w:rPr>
                    <w:t>（见</w:t>
                  </w:r>
                  <w:r>
                    <w:rPr>
                      <w:color w:val="000000"/>
                      <w:spacing w:val="57"/>
                      <w:sz w:val="21"/>
                    </w:rPr>
                    <w:t> </w:t>
                  </w:r>
                  <w:r>
                    <w:rPr>
                      <w:color w:val="000000"/>
                      <w:spacing w:val="22"/>
                      <w:w w:val="95"/>
                      <w:sz w:val="21"/>
                    </w:rPr>
                    <w:t>9.</w:t>
                  </w:r>
                  <w:r>
                    <w:rPr>
                      <w:color w:val="000000"/>
                      <w:spacing w:val="17"/>
                      <w:w w:val="95"/>
                      <w:sz w:val="21"/>
                    </w:rPr>
                    <w:t>1</w:t>
                  </w:r>
                  <w:r>
                    <w:rPr>
                      <w:color w:val="000000"/>
                      <w:spacing w:val="22"/>
                      <w:w w:val="95"/>
                      <w:sz w:val="21"/>
                    </w:rPr>
                    <w:t>7</w:t>
                  </w:r>
                  <w:r>
                    <w:rPr>
                      <w:color w:val="000000"/>
                      <w:spacing w:val="-84"/>
                      <w:w w:val="95"/>
                      <w:sz w:val="21"/>
                    </w:rPr>
                    <w:t>）</w:t>
                  </w:r>
                  <w:r>
                    <w:rPr>
                      <w:color w:val="000000"/>
                      <w:spacing w:val="-10"/>
                      <w:w w:val="95"/>
                      <w:sz w:val="21"/>
                    </w:rPr>
                    <w:t>。</w:t>
                  </w:r>
                </w:p>
              </w:txbxContent>
            </v:textbox>
            <v:fill type="solid"/>
          </v:shape>
        </w:pict>
      </w:r>
      <w:r>
        <w:rPr>
          <w:sz w:val="20"/>
        </w:rPr>
      </w:r>
    </w:p>
    <w:p>
      <w:pPr>
        <w:pStyle w:val="BodyText"/>
        <w:spacing w:before="6"/>
        <w:rPr>
          <w:sz w:val="23"/>
        </w:rPr>
      </w:pPr>
      <w:r>
        <w:rPr/>
        <w:pict>
          <v:shape style="position:absolute;margin-left:175.440002pt;margin-top:16.237499pt;width:363.4pt;height:13.95pt;mso-position-horizontal-relative:page;mso-position-vertical-relative:paragraph;z-index:-15699968;mso-wrap-distance-left:0;mso-wrap-distance-right:0" type="#_x0000_t202" id="docshape48" filled="true" fillcolor="#d9d9d9" stroked="false">
            <v:textbox inset="0,0,0,0">
              <w:txbxContent>
                <w:p>
                  <w:pPr>
                    <w:pStyle w:val="BodyText"/>
                    <w:spacing w:before="6"/>
                    <w:ind w:right="-15"/>
                    <w:rPr>
                      <w:color w:val="000000"/>
                    </w:rPr>
                  </w:pPr>
                  <w:r>
                    <w:rPr>
                      <w:color w:val="000000"/>
                      <w:spacing w:val="-5"/>
                    </w:rPr>
                    <w:t>上述“前一次确诊的恶性肿瘤——重度”指被保险人在等待期后初次发生并被医</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262.350pt;height:13.95pt;mso-position-horizontal-relative:char;mso-position-vertical-relative:line" type="#_x0000_t202" id="docshape49" filled="true" fillcolor="#d9d9d9" stroked="false">
            <w10:anchorlock/>
            <v:textbox inset="0,0,0,0">
              <w:txbxContent>
                <w:p>
                  <w:pPr>
                    <w:pStyle w:val="BodyText"/>
                    <w:spacing w:before="6"/>
                    <w:ind w:right="-15"/>
                    <w:rPr>
                      <w:color w:val="000000"/>
                    </w:rPr>
                  </w:pPr>
                  <w:r>
                    <w:rPr>
                      <w:color w:val="000000"/>
                      <w:spacing w:val="-5"/>
                    </w:rPr>
                    <w:t>院的专科医生确诊患有本合同约定的恶性肿瘤——重度。</w:t>
                  </w:r>
                </w:p>
              </w:txbxContent>
            </v:textbox>
            <v:fill type="solid"/>
          </v:shape>
        </w:pict>
      </w:r>
      <w:r>
        <w:rPr>
          <w:sz w:val="20"/>
        </w:rPr>
      </w:r>
    </w:p>
    <w:p>
      <w:pPr>
        <w:pStyle w:val="BodyText"/>
        <w:spacing w:before="4"/>
        <w:rPr>
          <w:sz w:val="25"/>
        </w:r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0"/>
        <w:gridCol w:w="6427"/>
      </w:tblGrid>
      <w:tr>
        <w:trPr>
          <w:trHeight w:val="272" w:hRule="atLeast"/>
        </w:trPr>
        <w:tc>
          <w:tcPr>
            <w:tcW w:w="7267" w:type="dxa"/>
            <w:gridSpan w:val="2"/>
            <w:tcBorders>
              <w:bottom w:val="single" w:sz="18" w:space="0" w:color="FFFFFF"/>
            </w:tcBorders>
            <w:shd w:val="clear" w:color="auto" w:fill="D9D9D9"/>
          </w:tcPr>
          <w:p>
            <w:pPr>
              <w:pStyle w:val="TableParagraph"/>
              <w:spacing w:line="247" w:lineRule="exact" w:before="6"/>
              <w:ind w:left="0" w:right="-15"/>
              <w:rPr>
                <w:sz w:val="21"/>
              </w:rPr>
            </w:pPr>
            <w:r>
              <w:rPr>
                <w:spacing w:val="-6"/>
                <w:sz w:val="21"/>
              </w:rPr>
              <w:t>本合同第二次恶性肿瘤——重度关爱保险金的给付次数以一次为限，给付后该项</w:t>
            </w:r>
          </w:p>
        </w:tc>
      </w:tr>
      <w:tr>
        <w:trPr>
          <w:trHeight w:val="267"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5"/>
                <w:sz w:val="21"/>
              </w:rPr>
              <w:t>保险责任终止。若您未选择本合同可选部分责任中的第二次重大疾病保险金、重</w:t>
            </w:r>
          </w:p>
        </w:tc>
      </w:tr>
      <w:tr>
        <w:trPr>
          <w:trHeight w:val="266"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1"/>
                <w:sz w:val="21"/>
              </w:rPr>
              <w:t>大疾病津贴保险金责任或您选择本合同可选部分责任中的第二次重大疾病保险</w:t>
            </w:r>
          </w:p>
        </w:tc>
      </w:tr>
      <w:tr>
        <w:trPr>
          <w:trHeight w:val="266"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5"/>
                <w:sz w:val="21"/>
              </w:rPr>
              <w:t>金、重大疾病津贴保险金责任但第二次重大疾病保险金责任、重大疾病津贴保险</w:t>
            </w:r>
          </w:p>
        </w:tc>
      </w:tr>
      <w:tr>
        <w:trPr>
          <w:trHeight w:val="267" w:hRule="atLeast"/>
        </w:trPr>
        <w:tc>
          <w:tcPr>
            <w:tcW w:w="7267"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5"/>
                <w:sz w:val="21"/>
              </w:rPr>
              <w:t>金已终止，我们按本合同约定给付第二次恶性肿瘤——重度关爱保险金后，本合</w:t>
            </w:r>
          </w:p>
        </w:tc>
      </w:tr>
      <w:tr>
        <w:trPr>
          <w:trHeight w:val="272" w:hRule="atLeast"/>
        </w:trPr>
        <w:tc>
          <w:tcPr>
            <w:tcW w:w="840" w:type="dxa"/>
            <w:tcBorders>
              <w:top w:val="single" w:sz="18" w:space="0" w:color="FFFFFF"/>
            </w:tcBorders>
            <w:shd w:val="clear" w:color="auto" w:fill="D9D9D9"/>
          </w:tcPr>
          <w:p>
            <w:pPr>
              <w:pStyle w:val="TableParagraph"/>
              <w:spacing w:line="252" w:lineRule="exact"/>
              <w:ind w:left="0" w:right="-15"/>
              <w:rPr>
                <w:sz w:val="21"/>
              </w:rPr>
            </w:pPr>
            <w:r>
              <w:rPr>
                <w:spacing w:val="-3"/>
                <w:sz w:val="21"/>
              </w:rPr>
              <w:t>同终止。</w:t>
            </w:r>
          </w:p>
        </w:tc>
        <w:tc>
          <w:tcPr>
            <w:tcW w:w="6427" w:type="dxa"/>
            <w:tcBorders>
              <w:top w:val="single" w:sz="18" w:space="0" w:color="FFFFFF"/>
            </w:tcBorders>
          </w:tcPr>
          <w:p>
            <w:pPr>
              <w:pStyle w:val="TableParagraph"/>
              <w:ind w:left="0"/>
              <w:rPr>
                <w:rFonts w:ascii="Times New Roman"/>
                <w:sz w:val="20"/>
              </w:rPr>
            </w:pPr>
          </w:p>
        </w:tc>
      </w:tr>
    </w:tbl>
    <w:p>
      <w:pPr>
        <w:pStyle w:val="BodyText"/>
        <w:rPr>
          <w:sz w:val="22"/>
        </w:rPr>
      </w:pPr>
    </w:p>
    <w:p>
      <w:pPr>
        <w:spacing w:after="0"/>
        <w:rPr>
          <w:sz w:val="22"/>
        </w:rPr>
        <w:sectPr>
          <w:type w:val="continuous"/>
          <w:pgSz w:w="11910" w:h="16840"/>
          <w:pgMar w:top="740" w:bottom="280" w:left="920" w:right="820"/>
        </w:sectPr>
      </w:pPr>
    </w:p>
    <w:p>
      <w:pPr>
        <w:pStyle w:val="Heading1"/>
        <w:spacing w:line="163" w:lineRule="auto" w:before="77"/>
        <w:ind w:left="1307"/>
        <w:jc w:val="both"/>
      </w:pPr>
      <w:r>
        <w:rPr>
          <w:spacing w:val="33"/>
        </w:rPr>
        <w:t>第二次重</w:t>
      </w:r>
      <w:r>
        <w:rPr>
          <w:spacing w:val="33"/>
        </w:rPr>
        <w:t>大疾病保</w:t>
      </w:r>
      <w:r>
        <w:rPr>
          <w:spacing w:val="-6"/>
        </w:rPr>
        <w:t>险金</w:t>
      </w:r>
    </w:p>
    <w:p>
      <w:pPr>
        <w:pStyle w:val="BodyText"/>
        <w:spacing w:line="310" w:lineRule="atLeast" w:before="32"/>
        <w:ind w:left="132" w:right="219"/>
      </w:pPr>
      <w:r>
        <w:rPr/>
        <w:br w:type="column"/>
      </w:r>
      <w:r>
        <w:rPr>
          <w:spacing w:val="-5"/>
        </w:rPr>
        <w:t>在我们已按本合同的约定给付首次重大疾病保险金的情况下，若被保险人自首次</w:t>
      </w:r>
      <w:r>
        <w:rPr>
          <w:spacing w:val="-2"/>
        </w:rPr>
        <w:t>重大疾病确诊之日（即本合同首次重大疾病保险金对应的重大疾病的确诊之日</w:t>
      </w:r>
      <w:r>
        <w:rPr>
          <w:spacing w:val="-2"/>
        </w:rPr>
        <w:t>）</w:t>
      </w:r>
      <w:r>
        <w:rPr>
          <w:spacing w:val="-8"/>
        </w:rPr>
        <w:t>起满 </w:t>
      </w:r>
      <w:r>
        <w:rPr/>
        <w:t>1</w:t>
      </w:r>
      <w:r>
        <w:rPr>
          <w:spacing w:val="-12"/>
        </w:rPr>
        <w:t> 年后，被医院的专科医生确诊首次患有本合同约定的首次重大疾病以外的</w:t>
      </w:r>
    </w:p>
    <w:p>
      <w:pPr>
        <w:spacing w:line="14" w:lineRule="exact" w:before="0"/>
        <w:ind w:left="171" w:right="0" w:firstLine="0"/>
        <w:jc w:val="left"/>
        <w:rPr>
          <w:sz w:val="4"/>
        </w:rPr>
      </w:pPr>
      <w:r>
        <w:rPr>
          <w:w w:val="72"/>
          <w:sz w:val="4"/>
        </w:rPr>
        <w:t>●</w:t>
      </w:r>
    </w:p>
    <w:p>
      <w:pPr>
        <w:pStyle w:val="BodyText"/>
        <w:spacing w:line="278" w:lineRule="auto" w:before="33"/>
        <w:ind w:left="132" w:right="301"/>
      </w:pPr>
      <w:r>
        <w:rPr>
          <w:spacing w:val="-2"/>
        </w:rPr>
        <w:t>其他重大疾病（无论一项或多项</w:t>
      </w:r>
      <w:r>
        <w:rPr>
          <w:spacing w:val="-61"/>
        </w:rPr>
        <w:t>）</w:t>
      </w:r>
      <w:r>
        <w:rPr>
          <w:spacing w:val="-13"/>
        </w:rPr>
        <w:t>，我们按本合同基本保险金额的 </w:t>
      </w:r>
      <w:r>
        <w:rPr>
          <w:spacing w:val="-2"/>
        </w:rPr>
        <w:t>120%给付第二</w:t>
      </w:r>
      <w:r>
        <w:rPr>
          <w:spacing w:val="-2"/>
        </w:rPr>
        <w:t>次重大疾病保险金，本项保险责任终止。</w:t>
      </w:r>
    </w:p>
    <w:p>
      <w:pPr>
        <w:spacing w:after="0" w:line="278" w:lineRule="auto"/>
        <w:sectPr>
          <w:type w:val="continuous"/>
          <w:pgSz w:w="11910" w:h="16840"/>
          <w:pgMar w:top="740" w:bottom="280" w:left="920" w:right="820"/>
          <w:cols w:num="2" w:equalWidth="0">
            <w:col w:w="2417" w:space="40"/>
            <w:col w:w="7713"/>
          </w:cols>
        </w:sectPr>
      </w:pPr>
    </w:p>
    <w:p>
      <w:pPr>
        <w:pStyle w:val="BodyText"/>
        <w:spacing w:before="11"/>
        <w:rPr>
          <w:sz w:val="23"/>
        </w:rPr>
      </w:pPr>
    </w:p>
    <w:tbl>
      <w:tblPr>
        <w:tblW w:w="0" w:type="auto"/>
        <w:jc w:val="left"/>
        <w:tblCellSpacing w:w="16" w:type="dxa"/>
        <w:tblInd w:w="2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67"/>
      </w:tblGrid>
      <w:tr>
        <w:trPr>
          <w:trHeight w:val="272" w:hRule="atLeast"/>
        </w:trPr>
        <w:tc>
          <w:tcPr>
            <w:tcW w:w="7267" w:type="dxa"/>
            <w:tcBorders>
              <w:bottom w:val="nil"/>
            </w:tcBorders>
            <w:shd w:val="clear" w:color="auto" w:fill="D9D9D9"/>
          </w:tcPr>
          <w:p>
            <w:pPr>
              <w:pStyle w:val="TableParagraph"/>
              <w:spacing w:line="247" w:lineRule="exact" w:before="6"/>
              <w:ind w:left="0" w:right="-15"/>
              <w:rPr>
                <w:sz w:val="21"/>
              </w:rPr>
            </w:pPr>
            <w:r>
              <w:rPr>
                <w:spacing w:val="-1"/>
                <w:sz w:val="21"/>
              </w:rPr>
              <w:t>本合同第二次重大疾病保险金的给付次数以一次为限，给付后该项保险责任终</w:t>
            </w:r>
          </w:p>
        </w:tc>
      </w:tr>
      <w:tr>
        <w:trPr>
          <w:trHeight w:val="266" w:hRule="atLeast"/>
        </w:trPr>
        <w:tc>
          <w:tcPr>
            <w:tcW w:w="7267" w:type="dxa"/>
            <w:tcBorders>
              <w:top w:val="nil"/>
              <w:bottom w:val="nil"/>
            </w:tcBorders>
            <w:shd w:val="clear" w:color="auto" w:fill="D9D9D9"/>
          </w:tcPr>
          <w:p>
            <w:pPr>
              <w:pStyle w:val="TableParagraph"/>
              <w:spacing w:line="247" w:lineRule="exact"/>
              <w:ind w:left="0" w:right="-101"/>
              <w:rPr>
                <w:sz w:val="21"/>
              </w:rPr>
            </w:pPr>
            <w:r>
              <w:rPr>
                <w:spacing w:val="-3"/>
                <w:sz w:val="21"/>
              </w:rPr>
              <w:t>止。若您未选择本合同可选部分责任中的第二次恶性肿瘤——重度关爱保险金、</w:t>
            </w:r>
          </w:p>
        </w:tc>
      </w:tr>
      <w:tr>
        <w:trPr>
          <w:trHeight w:val="267" w:hRule="atLeast"/>
        </w:trPr>
        <w:tc>
          <w:tcPr>
            <w:tcW w:w="7267" w:type="dxa"/>
            <w:tcBorders>
              <w:top w:val="nil"/>
              <w:bottom w:val="nil"/>
            </w:tcBorders>
            <w:shd w:val="clear" w:color="auto" w:fill="D9D9D9"/>
          </w:tcPr>
          <w:p>
            <w:pPr>
              <w:pStyle w:val="TableParagraph"/>
              <w:spacing w:line="247" w:lineRule="exact"/>
              <w:ind w:left="0" w:right="-15"/>
              <w:rPr>
                <w:sz w:val="21"/>
              </w:rPr>
            </w:pPr>
            <w:r>
              <w:rPr>
                <w:spacing w:val="-1"/>
                <w:sz w:val="21"/>
              </w:rPr>
              <w:t>重大疾病津贴保险金责任或您选择本合同可选部分责任中的第二次恶性肿瘤—</w:t>
            </w:r>
          </w:p>
        </w:tc>
      </w:tr>
      <w:tr>
        <w:trPr>
          <w:trHeight w:val="272" w:hRule="atLeast"/>
        </w:trPr>
        <w:tc>
          <w:tcPr>
            <w:tcW w:w="7267" w:type="dxa"/>
            <w:tcBorders>
              <w:top w:val="nil"/>
            </w:tcBorders>
            <w:shd w:val="clear" w:color="auto" w:fill="D9D9D9"/>
          </w:tcPr>
          <w:p>
            <w:pPr>
              <w:pStyle w:val="TableParagraph"/>
              <w:spacing w:line="252" w:lineRule="exact"/>
              <w:ind w:left="0" w:right="-15"/>
              <w:rPr>
                <w:sz w:val="21"/>
              </w:rPr>
            </w:pPr>
            <w:r>
              <w:rPr>
                <w:spacing w:val="-11"/>
                <w:sz w:val="21"/>
              </w:rPr>
              <w:t>—重度关爱保险金、重大疾病津贴保险金责任但第二次恶性肿瘤——重度关爱保</w:t>
            </w:r>
          </w:p>
        </w:tc>
      </w:tr>
    </w:tbl>
    <w:p>
      <w:pPr>
        <w:spacing w:after="0" w:line="252" w:lineRule="exact"/>
        <w:rPr>
          <w:sz w:val="21"/>
        </w:rPr>
        <w:sectPr>
          <w:type w:val="continuous"/>
          <w:pgSz w:w="11910" w:h="16840"/>
          <w:pgMar w:top="740" w:bottom="280" w:left="920" w:right="820"/>
        </w:sectPr>
      </w:pPr>
    </w:p>
    <w:p>
      <w:pPr>
        <w:pStyle w:val="BodyText"/>
        <w:ind w:left="2588"/>
        <w:rPr>
          <w:sz w:val="20"/>
        </w:rPr>
      </w:pPr>
      <w:r>
        <w:rPr>
          <w:sz w:val="20"/>
        </w:rPr>
        <w:pict>
          <v:shape style="width:363.4pt;height:13.95pt;mso-position-horizontal-relative:char;mso-position-vertical-relative:line" type="#_x0000_t202" id="docshape50" filled="true" fillcolor="#d9d9d9" stroked="false">
            <w10:anchorlock/>
            <v:textbox inset="0,0,0,0">
              <w:txbxContent>
                <w:p>
                  <w:pPr>
                    <w:pStyle w:val="BodyText"/>
                    <w:spacing w:before="6"/>
                    <w:ind w:right="-15"/>
                    <w:rPr>
                      <w:color w:val="000000"/>
                    </w:rPr>
                  </w:pPr>
                  <w:r>
                    <w:rPr>
                      <w:color w:val="000000"/>
                      <w:spacing w:val="-7"/>
                    </w:rPr>
                    <w:t>险金、重大疾病津贴保险金责任已终止，我们按本合同约定给付第二次重大疾病</w:t>
                  </w:r>
                </w:p>
              </w:txbxContent>
            </v:textbox>
            <v:fill type="solid"/>
          </v:shape>
        </w:pict>
      </w:r>
      <w:r>
        <w:rPr>
          <w:sz w:val="20"/>
        </w:rPr>
      </w:r>
    </w:p>
    <w:p>
      <w:pPr>
        <w:pStyle w:val="BodyText"/>
        <w:ind w:left="2588"/>
        <w:rPr>
          <w:sz w:val="20"/>
        </w:rPr>
      </w:pPr>
      <w:r>
        <w:rPr>
          <w:sz w:val="20"/>
        </w:rPr>
        <w:pict>
          <v:shape style="width:115.45pt;height:13.95pt;mso-position-horizontal-relative:char;mso-position-vertical-relative:line" type="#_x0000_t202" id="docshape51" filled="true" fillcolor="#d9d9d9" stroked="false">
            <w10:anchorlock/>
            <v:textbox inset="0,0,0,0">
              <w:txbxContent>
                <w:p>
                  <w:pPr>
                    <w:pStyle w:val="BodyText"/>
                    <w:spacing w:before="6"/>
                    <w:ind w:right="-15"/>
                    <w:rPr>
                      <w:color w:val="000000"/>
                    </w:rPr>
                  </w:pPr>
                  <w:r>
                    <w:rPr>
                      <w:color w:val="000000"/>
                      <w:spacing w:val="-5"/>
                    </w:rPr>
                    <w:t>保险金后，本合同终止。</w:t>
                  </w:r>
                </w:p>
              </w:txbxContent>
            </v:textbox>
            <v:fill type="solid"/>
          </v:shape>
        </w:pict>
      </w:r>
      <w:r>
        <w:rPr>
          <w:sz w:val="20"/>
        </w:rPr>
      </w:r>
    </w:p>
    <w:p>
      <w:pPr>
        <w:pStyle w:val="BodyText"/>
        <w:spacing w:before="5"/>
        <w:rPr>
          <w:sz w:val="20"/>
        </w:rPr>
      </w:pPr>
    </w:p>
    <w:p>
      <w:pPr>
        <w:spacing w:after="0"/>
        <w:rPr>
          <w:sz w:val="20"/>
        </w:rPr>
        <w:sectPr>
          <w:pgSz w:w="11910" w:h="16840"/>
          <w:pgMar w:top="1140" w:bottom="280" w:left="920" w:right="820"/>
        </w:sectPr>
      </w:pPr>
    </w:p>
    <w:p>
      <w:pPr>
        <w:pStyle w:val="Heading1"/>
        <w:spacing w:line="163" w:lineRule="auto" w:before="77"/>
        <w:ind w:left="1307"/>
        <w:jc w:val="both"/>
      </w:pPr>
      <w:r>
        <w:rPr>
          <w:spacing w:val="33"/>
        </w:rPr>
        <w:t>重大疾病</w:t>
      </w:r>
      <w:r>
        <w:rPr>
          <w:spacing w:val="33"/>
        </w:rPr>
        <w:t>津贴保险</w:t>
      </w:r>
      <w:r>
        <w:rPr>
          <w:spacing w:val="-10"/>
        </w:rPr>
        <w:t>金</w:t>
      </w:r>
    </w:p>
    <w:p>
      <w:pPr>
        <w:pStyle w:val="BodyText"/>
        <w:spacing w:line="278" w:lineRule="auto" w:before="72"/>
        <w:ind w:left="132" w:right="301"/>
        <w:jc w:val="both"/>
      </w:pPr>
      <w:r>
        <w:rPr/>
        <w:br w:type="column"/>
      </w:r>
      <w:r>
        <w:rPr>
          <w:spacing w:val="-5"/>
        </w:rPr>
        <w:t>被保险人初次发生并被医院的专科医生确诊患有本合同约定的重大疾病</w:t>
      </w:r>
      <w:r>
        <w:rPr>
          <w:spacing w:val="-2"/>
        </w:rPr>
        <w:t>（无论一</w:t>
      </w:r>
      <w:r>
        <w:rPr>
          <w:spacing w:val="-4"/>
        </w:rPr>
        <w:t>项或多项）且必须在医院住院治疗的，我们自该被保险人每年住院的第四日起开</w:t>
      </w:r>
      <w:r>
        <w:rPr>
          <w:spacing w:val="-2"/>
        </w:rPr>
        <w:t>始按日给付重大疾病津贴保险金：</w:t>
      </w:r>
    </w:p>
    <w:p>
      <w:pPr>
        <w:pStyle w:val="BodyText"/>
        <w:spacing w:line="269" w:lineRule="exact"/>
        <w:ind w:left="1088"/>
        <w:jc w:val="both"/>
      </w:pPr>
      <w:r>
        <w:rPr>
          <w:spacing w:val="-2"/>
        </w:rPr>
        <w:t>重大疾病津贴保险金＝</w:t>
      </w:r>
      <w:r>
        <w:rPr>
          <w:spacing w:val="-17"/>
        </w:rPr>
        <w:t>每天 </w:t>
      </w:r>
      <w:r>
        <w:rPr>
          <w:spacing w:val="-2"/>
        </w:rPr>
        <w:t>300</w:t>
      </w:r>
      <w:r>
        <w:rPr>
          <w:spacing w:val="-16"/>
        </w:rPr>
        <w:t> 元×</w:t>
      </w:r>
      <w:r>
        <w:rPr>
          <w:spacing w:val="-2"/>
        </w:rPr>
        <w:t>（每年住院天数</w:t>
      </w:r>
      <w:r>
        <w:rPr>
          <w:spacing w:val="-5"/>
        </w:rPr>
        <w:t>－3）</w:t>
      </w:r>
    </w:p>
    <w:p>
      <w:pPr>
        <w:spacing w:after="0" w:line="269" w:lineRule="exact"/>
        <w:jc w:val="both"/>
        <w:sectPr>
          <w:type w:val="continuous"/>
          <w:pgSz w:w="11910" w:h="16840"/>
          <w:pgMar w:top="740" w:bottom="280" w:left="920" w:right="820"/>
          <w:cols w:num="2" w:equalWidth="0">
            <w:col w:w="2417" w:space="40"/>
            <w:col w:w="7713"/>
          </w:cols>
        </w:sectPr>
      </w:pPr>
    </w:p>
    <w:p>
      <w:pPr>
        <w:pStyle w:val="BodyText"/>
        <w:spacing w:before="3" w:after="1"/>
        <w:rPr>
          <w:sz w:val="27"/>
        </w:rPr>
      </w:pPr>
    </w:p>
    <w:p>
      <w:pPr>
        <w:pStyle w:val="BodyText"/>
        <w:ind w:left="2588"/>
        <w:rPr>
          <w:sz w:val="20"/>
        </w:rPr>
      </w:pPr>
      <w:r>
        <w:rPr>
          <w:sz w:val="20"/>
        </w:rPr>
        <w:pict>
          <v:shape style="width:363.4pt;height:13.95pt;mso-position-horizontal-relative:char;mso-position-vertical-relative:line" type="#_x0000_t202" id="docshape52" filled="true" fillcolor="#d9d9d9" stroked="false">
            <w10:anchorlock/>
            <v:textbox inset="0,0,0,0">
              <w:txbxContent>
                <w:p>
                  <w:pPr>
                    <w:pStyle w:val="BodyText"/>
                    <w:spacing w:line="248" w:lineRule="exact" w:before="6"/>
                    <w:ind w:right="-15"/>
                    <w:rPr>
                      <w:color w:val="000000"/>
                    </w:rPr>
                  </w:pPr>
                  <w:r>
                    <w:rPr>
                      <w:color w:val="000000"/>
                      <w:spacing w:val="-12"/>
                    </w:rPr>
                    <w:t>同一个保单年度内，我们对每年重大疾病津贴保险金累计给付天数不超过 180</w:t>
                  </w:r>
                  <w:r>
                    <w:rPr>
                      <w:color w:val="000000"/>
                      <w:spacing w:val="-10"/>
                    </w:rPr>
                    <w:t> 日</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88"/>
        <w:rPr>
          <w:sz w:val="20"/>
        </w:rPr>
      </w:pPr>
      <w:r>
        <w:rPr>
          <w:sz w:val="20"/>
        </w:rPr>
        <w:pict>
          <v:shape style="width:36.75pt;height:13.95pt;mso-position-horizontal-relative:char;mso-position-vertical-relative:line" type="#_x0000_t202" id="docshape53" filled="true" fillcolor="#d9d9d9" stroked="false">
            <w10:anchorlock/>
            <v:textbox inset="0,0,0,0">
              <w:txbxContent>
                <w:p>
                  <w:pPr>
                    <w:pStyle w:val="BodyText"/>
                    <w:spacing w:before="6"/>
                    <w:ind w:right="-15"/>
                    <w:rPr>
                      <w:color w:val="000000"/>
                    </w:rPr>
                  </w:pPr>
                  <w:r>
                    <w:rPr>
                      <w:color w:val="000000"/>
                    </w:rPr>
                    <w:t>（含</w:t>
                  </w:r>
                  <w:r>
                    <w:rPr>
                      <w:color w:val="000000"/>
                      <w:spacing w:val="-106"/>
                    </w:rPr>
                    <w:t>）</w:t>
                  </w:r>
                  <w:r>
                    <w:rPr>
                      <w:color w:val="000000"/>
                      <w:spacing w:val="-10"/>
                    </w:rPr>
                    <w:t>。</w:t>
                  </w:r>
                </w:p>
              </w:txbxContent>
            </v:textbox>
            <v:fill type="solid"/>
          </v:shape>
        </w:pict>
      </w:r>
      <w:r>
        <w:rPr>
          <w:sz w:val="20"/>
        </w:rPr>
      </w:r>
    </w:p>
    <w:p>
      <w:pPr>
        <w:pStyle w:val="BodyText"/>
        <w:spacing w:before="4"/>
        <w:rPr>
          <w:sz w:val="24"/>
        </w:rPr>
      </w:pPr>
      <w:r>
        <w:rPr/>
        <w:pict>
          <v:shape style="position:absolute;margin-left:175.440002pt;margin-top:16.799999pt;width:363.4pt;height:13.95pt;mso-position-horizontal-relative:page;mso-position-vertical-relative:paragraph;z-index:-15695872;mso-wrap-distance-left:0;mso-wrap-distance-right:0" type="#_x0000_t202" id="docshape54" filled="true" fillcolor="#d9d9d9" stroked="false">
            <v:textbox inset="0,0,0,0">
              <w:txbxContent>
                <w:p>
                  <w:pPr>
                    <w:pStyle w:val="BodyText"/>
                    <w:spacing w:line="248" w:lineRule="exact" w:before="6"/>
                    <w:ind w:right="-15"/>
                    <w:rPr>
                      <w:color w:val="000000"/>
                    </w:rPr>
                  </w:pPr>
                  <w:r>
                    <w:rPr>
                      <w:color w:val="000000"/>
                      <w:spacing w:val="-6"/>
                    </w:rPr>
                    <w:t>在保险期间内，重大疾病津贴保险金的累计给付金额以 </w:t>
                  </w:r>
                  <w:r>
                    <w:rPr>
                      <w:color w:val="000000"/>
                      <w:spacing w:val="-4"/>
                    </w:rPr>
                    <w:t>8</w:t>
                  </w:r>
                  <w:r>
                    <w:rPr>
                      <w:color w:val="000000"/>
                      <w:spacing w:val="-11"/>
                    </w:rPr>
                    <w:t> 万元为限，一次或累计</w:t>
                  </w:r>
                </w:p>
                <w:p>
                  <w:pPr>
                    <w:spacing w:line="24" w:lineRule="exact" w:before="0"/>
                    <w:ind w:left="1089" w:right="0" w:firstLine="0"/>
                    <w:jc w:val="left"/>
                    <w:rPr>
                      <w:color w:val="000000"/>
                      <w:sz w:val="4"/>
                    </w:rPr>
                  </w:pPr>
                  <w:r>
                    <w:rPr>
                      <w:color w:val="000000"/>
                      <w:w w:val="72"/>
                      <w:sz w:val="4"/>
                    </w:rPr>
                    <w:t>●</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210pt;height:13.95pt;mso-position-horizontal-relative:char;mso-position-vertical-relative:line" type="#_x0000_t202" id="docshape55" filled="true" fillcolor="#d9d9d9" stroked="false">
            <w10:anchorlock/>
            <v:textbox inset="0,0,0,0">
              <w:txbxContent>
                <w:p>
                  <w:pPr>
                    <w:pStyle w:val="BodyText"/>
                    <w:spacing w:before="6"/>
                    <w:ind w:right="-15"/>
                    <w:rPr>
                      <w:color w:val="000000"/>
                    </w:rPr>
                  </w:pPr>
                  <w:r>
                    <w:rPr>
                      <w:color w:val="000000"/>
                      <w:spacing w:val="-9"/>
                    </w:rPr>
                    <w:t>给付金额达到 </w:t>
                  </w:r>
                  <w:r>
                    <w:rPr>
                      <w:color w:val="000000"/>
                      <w:spacing w:val="-10"/>
                    </w:rPr>
                    <w:t>8 万元时，该项保险责任终止。</w:t>
                  </w:r>
                </w:p>
              </w:txbxContent>
            </v:textbox>
            <v:fill type="solid"/>
          </v:shape>
        </w:pict>
      </w:r>
      <w:r>
        <w:rPr>
          <w:sz w:val="20"/>
        </w:rPr>
      </w:r>
    </w:p>
    <w:p>
      <w:pPr>
        <w:pStyle w:val="BodyText"/>
        <w:spacing w:before="3"/>
        <w:rPr>
          <w:sz w:val="20"/>
        </w:rPr>
      </w:pPr>
    </w:p>
    <w:p>
      <w:pPr>
        <w:pStyle w:val="ListParagraph"/>
        <w:numPr>
          <w:ilvl w:val="1"/>
          <w:numId w:val="2"/>
        </w:numPr>
        <w:tabs>
          <w:tab w:pos="1364" w:val="left" w:leader="none"/>
          <w:tab w:pos="1365" w:val="left" w:leader="none"/>
        </w:tabs>
        <w:spacing w:line="240" w:lineRule="auto" w:before="4" w:after="0"/>
        <w:ind w:left="1364" w:right="0" w:hanging="850"/>
        <w:jc w:val="left"/>
        <w:rPr>
          <w:rFonts w:ascii="微软雅黑" w:eastAsia="微软雅黑"/>
          <w:b/>
          <w:sz w:val="21"/>
        </w:rPr>
      </w:pPr>
      <w:r>
        <w:rPr/>
        <w:drawing>
          <wp:anchor distT="0" distB="0" distL="0" distR="0" allowOverlap="1" layoutInCell="1" locked="0" behindDoc="0" simplePos="0" relativeHeight="15769600">
            <wp:simplePos x="0" y="0"/>
            <wp:positionH relativeFrom="page">
              <wp:posOffset>2228088</wp:posOffset>
            </wp:positionH>
            <wp:positionV relativeFrom="paragraph">
              <wp:posOffset>833834</wp:posOffset>
            </wp:positionV>
            <wp:extent cx="4614671" cy="176784"/>
            <wp:effectExtent l="0" t="0" r="0" b="0"/>
            <wp:wrapNone/>
            <wp:docPr id="23" name="image7.png"/>
            <wp:cNvGraphicFramePr>
              <a:graphicFrameLocks noChangeAspect="1"/>
            </wp:cNvGraphicFramePr>
            <a:graphic>
              <a:graphicData uri="http://schemas.openxmlformats.org/drawingml/2006/picture">
                <pic:pic>
                  <pic:nvPicPr>
                    <pic:cNvPr id="24" name="image7.png"/>
                    <pic:cNvPicPr/>
                  </pic:nvPicPr>
                  <pic:blipFill>
                    <a:blip r:embed="rId11" cstate="print"/>
                    <a:stretch>
                      <a:fillRect/>
                    </a:stretch>
                  </pic:blipFill>
                  <pic:spPr>
                    <a:xfrm>
                      <a:off x="0" y="0"/>
                      <a:ext cx="4614671" cy="176784"/>
                    </a:xfrm>
                    <a:prstGeom prst="rect">
                      <a:avLst/>
                    </a:prstGeom>
                  </pic:spPr>
                </pic:pic>
              </a:graphicData>
            </a:graphic>
          </wp:anchor>
        </w:drawing>
      </w:r>
      <w:r>
        <w:rPr/>
        <w:pict>
          <v:shape style="position:absolute;margin-left:175.440002pt;margin-top:65.656258pt;width:368.9pt;height:13.95pt;mso-position-horizontal-relative:page;mso-position-vertical-relative:paragraph;z-index:15770112" type="#_x0000_t202" id="docshape56" filled="false" stroked="false">
            <v:textbox inset="0,0,0,0">
              <w:txbxContent>
                <w:p>
                  <w:pPr>
                    <w:pStyle w:val="BodyText"/>
                    <w:spacing w:before="6"/>
                  </w:pPr>
                  <w:r>
                    <w:rPr>
                      <w:spacing w:val="-4"/>
                    </w:rPr>
                    <w:t>（3）</w:t>
                  </w:r>
                  <w:r>
                    <w:rPr>
                      <w:spacing w:val="-6"/>
                    </w:rPr>
                    <w:t>被保险人故意自伤、或自本合同成立或者合同效力恢复之日起 </w:t>
                  </w:r>
                  <w:r>
                    <w:rPr>
                      <w:spacing w:val="-4"/>
                    </w:rPr>
                    <w:t>2</w:t>
                  </w:r>
                  <w:r>
                    <w:rPr>
                      <w:spacing w:val="-13"/>
                    </w:rPr>
                    <w:t> 年内自杀，</w:t>
                  </w:r>
                </w:p>
              </w:txbxContent>
            </v:textbox>
            <w10:wrap type="none"/>
          </v:shape>
        </w:pict>
      </w:r>
      <w:r>
        <w:rPr/>
        <w:pict>
          <v:shape style="position:absolute;margin-left:201.600006pt;margin-top:81.256256pt;width:220.7pt;height:13.95pt;mso-position-horizontal-relative:page;mso-position-vertical-relative:paragraph;z-index:15770624" type="#_x0000_t202" id="docshape57" filled="true" fillcolor="#d9d9d9" stroked="false">
            <v:textbox inset="0,0,0,0">
              <w:txbxContent>
                <w:p>
                  <w:pPr>
                    <w:pStyle w:val="BodyText"/>
                    <w:spacing w:before="6"/>
                    <w:ind w:right="-15"/>
                    <w:rPr>
                      <w:color w:val="000000"/>
                    </w:rPr>
                  </w:pPr>
                  <w:r>
                    <w:rPr>
                      <w:color w:val="000000"/>
                      <w:spacing w:val="-3"/>
                    </w:rPr>
                    <w:t>但被保险人自杀时为无民事行为能力人的除外；</w:t>
                  </w:r>
                </w:p>
              </w:txbxContent>
            </v:textbox>
            <v:fill type="solid"/>
            <w10:wrap type="none"/>
          </v:shape>
        </w:pict>
      </w:r>
      <w:r>
        <w:rPr/>
        <w:pict>
          <v:shape style="position:absolute;margin-left:175.440002pt;margin-top:50.056259pt;width:267.6pt;height:13.95pt;mso-position-horizontal-relative:page;mso-position-vertical-relative:paragraph;z-index:15771136" type="#_x0000_t202" id="docshape58" filled="true" fillcolor="#d9d9d9" stroked="false">
            <v:textbox inset="0,0,0,0">
              <w:txbxContent>
                <w:p>
                  <w:pPr>
                    <w:pStyle w:val="BodyText"/>
                    <w:spacing w:before="6"/>
                    <w:ind w:right="-15"/>
                    <w:rPr>
                      <w:color w:val="000000"/>
                    </w:rPr>
                  </w:pPr>
                  <w:r>
                    <w:rPr>
                      <w:color w:val="000000"/>
                      <w:spacing w:val="-2"/>
                    </w:rPr>
                    <w:t>（2）</w:t>
                  </w:r>
                  <w:r>
                    <w:rPr>
                      <w:color w:val="000000"/>
                      <w:spacing w:val="-3"/>
                    </w:rPr>
                    <w:t>被保险人故意犯罪或抗拒依法采取的刑事强制措施；</w:t>
                  </w:r>
                </w:p>
              </w:txbxContent>
            </v:textbox>
            <v:fill type="solid"/>
            <w10:wrap type="none"/>
          </v:shape>
        </w:pict>
      </w:r>
      <w:r>
        <w:rPr/>
        <w:pict>
          <v:shape style="position:absolute;margin-left:175.440002pt;margin-top:34.456257pt;width:225.6pt;height:13.95pt;mso-position-horizontal-relative:page;mso-position-vertical-relative:paragraph;z-index:15771648" type="#_x0000_t202" id="docshape59" filled="true" fillcolor="#d9d9d9" stroked="false">
            <v:textbox inset="0,0,0,0">
              <w:txbxContent>
                <w:p>
                  <w:pPr>
                    <w:pStyle w:val="BodyText"/>
                    <w:spacing w:before="6"/>
                    <w:ind w:right="-15"/>
                    <w:rPr>
                      <w:color w:val="000000"/>
                    </w:rPr>
                  </w:pPr>
                  <w:r>
                    <w:rPr>
                      <w:color w:val="000000"/>
                      <w:spacing w:val="-2"/>
                    </w:rPr>
                    <w:t>（1）</w:t>
                  </w:r>
                  <w:r>
                    <w:rPr>
                      <w:color w:val="000000"/>
                      <w:spacing w:val="-3"/>
                    </w:rPr>
                    <w:t>投保人对被保险人的故意杀害、故意伤害；</w:t>
                  </w:r>
                </w:p>
              </w:txbxContent>
            </v:textbox>
            <v:fill type="solid"/>
            <w10:wrap type="none"/>
          </v:shape>
        </w:pict>
      </w:r>
      <w:r>
        <w:rPr/>
        <w:pict>
          <v:shape style="position:absolute;margin-left:175.440002pt;margin-top:18.856256pt;width:104.9pt;height:13.95pt;mso-position-horizontal-relative:page;mso-position-vertical-relative:paragraph;z-index:15772160" type="#_x0000_t202" id="docshape60" filled="true" fillcolor="#d9d9d9" stroked="false">
            <v:textbox inset="0,0,0,0">
              <w:txbxContent>
                <w:p>
                  <w:pPr>
                    <w:pStyle w:val="BodyText"/>
                    <w:spacing w:before="6"/>
                    <w:ind w:right="-15"/>
                    <w:rPr>
                      <w:color w:val="000000"/>
                    </w:rPr>
                  </w:pPr>
                  <w:r>
                    <w:rPr>
                      <w:color w:val="000000"/>
                      <w:spacing w:val="-3"/>
                    </w:rPr>
                    <w:t>担给付保险金的责任：</w:t>
                  </w:r>
                </w:p>
              </w:txbxContent>
            </v:textbox>
            <v:fill type="solid"/>
            <w10:wrap type="none"/>
          </v:shape>
        </w:pict>
      </w:r>
      <w:r>
        <w:rPr/>
        <w:pict>
          <v:shape style="position:absolute;margin-left:175.440002pt;margin-top:3.256257pt;width:363.4pt;height:13.95pt;mso-position-horizontal-relative:page;mso-position-vertical-relative:paragraph;z-index:15772672" type="#_x0000_t202" id="docshape61" filled="true" fillcolor="#d9d9d9" stroked="false">
            <v:textbox inset="0,0,0,0">
              <w:txbxContent>
                <w:p>
                  <w:pPr>
                    <w:pStyle w:val="BodyText"/>
                    <w:spacing w:before="6"/>
                    <w:ind w:right="-15"/>
                    <w:rPr>
                      <w:color w:val="000000"/>
                    </w:rPr>
                  </w:pPr>
                  <w:r>
                    <w:rPr>
                      <w:color w:val="000000"/>
                      <w:spacing w:val="-4"/>
                    </w:rPr>
                    <w:t>因下列第（1）至第（9）</w:t>
                  </w:r>
                  <w:r>
                    <w:rPr>
                      <w:color w:val="000000"/>
                      <w:spacing w:val="-5"/>
                    </w:rPr>
                    <w:t>项情形之一，导致被保险人发生保险事故的，我们不承</w:t>
                  </w:r>
                </w:p>
              </w:txbxContent>
            </v:textbox>
            <v:fill type="solid"/>
            <w10:wrap type="none"/>
          </v:shape>
        </w:pict>
      </w:r>
      <w:r>
        <w:rPr>
          <w:rFonts w:ascii="微软雅黑" w:eastAsia="微软雅黑"/>
          <w:b/>
          <w:spacing w:val="-3"/>
          <w:sz w:val="21"/>
        </w:rPr>
        <w:t>责任免除</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1"/>
        <w:rPr>
          <w:rFonts w:ascii="微软雅黑"/>
          <w:b/>
          <w:sz w:val="22"/>
        </w:rPr>
      </w:pPr>
      <w:r>
        <w:rPr/>
        <w:pict>
          <v:shape style="position:absolute;margin-left:175.440002pt;margin-top:22.034151pt;width:233.8pt;height:13.95pt;mso-position-horizontal-relative:page;mso-position-vertical-relative:paragraph;z-index:-15694848;mso-wrap-distance-left:0;mso-wrap-distance-right:0" type="#_x0000_t202" id="docshape62" filled="true" fillcolor="#d9d9d9" stroked="false">
            <v:textbox inset="0,0,0,0">
              <w:txbxContent>
                <w:p>
                  <w:pPr>
                    <w:pStyle w:val="BodyText"/>
                    <w:spacing w:line="278" w:lineRule="exact"/>
                    <w:ind w:right="-15"/>
                    <w:rPr>
                      <w:color w:val="000000"/>
                    </w:rPr>
                  </w:pPr>
                  <w:r>
                    <w:rPr>
                      <w:color w:val="000000"/>
                      <w:spacing w:val="-2"/>
                    </w:rPr>
                    <w:t>（4）被保险人服用、吸食或注射</w:t>
                  </w:r>
                  <w:r>
                    <w:rPr>
                      <w:rFonts w:ascii="微软雅黑" w:eastAsia="微软雅黑"/>
                      <w:b/>
                      <w:color w:val="000000"/>
                      <w:spacing w:val="-2"/>
                    </w:rPr>
                    <w:t>毒品</w:t>
                  </w:r>
                  <w:r>
                    <w:rPr>
                      <w:color w:val="000000"/>
                      <w:spacing w:val="-2"/>
                    </w:rPr>
                    <w:t>（</w:t>
                  </w:r>
                  <w:r>
                    <w:rPr>
                      <w:color w:val="000000"/>
                      <w:spacing w:val="-20"/>
                    </w:rPr>
                    <w:t>见 </w:t>
                  </w:r>
                  <w:r>
                    <w:rPr>
                      <w:color w:val="000000"/>
                      <w:spacing w:val="5"/>
                    </w:rPr>
                    <w:t>9.18</w:t>
                  </w:r>
                  <w:r>
                    <w:rPr>
                      <w:color w:val="000000"/>
                      <w:spacing w:val="-101"/>
                    </w:rPr>
                    <w:t>）</w:t>
                  </w:r>
                  <w:r>
                    <w:rPr>
                      <w:color w:val="000000"/>
                      <w:spacing w:val="5"/>
                    </w:rPr>
                    <w:t>；</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363.4pt;height:13.95pt;mso-position-horizontal-relative:char;mso-position-vertical-relative:line" type="#_x0000_t202" id="docshape63" filled="true" fillcolor="#d9d9d9" stroked="false">
            <w10:anchorlock/>
            <v:textbox inset="0,0,0,0">
              <w:txbxContent>
                <w:p>
                  <w:pPr>
                    <w:spacing w:line="278" w:lineRule="exact" w:before="0"/>
                    <w:ind w:left="0" w:right="-15" w:firstLine="0"/>
                    <w:jc w:val="left"/>
                    <w:rPr>
                      <w:color w:val="000000"/>
                      <w:sz w:val="21"/>
                    </w:rPr>
                  </w:pPr>
                  <w:r>
                    <w:rPr>
                      <w:color w:val="000000"/>
                      <w:spacing w:val="-12"/>
                      <w:sz w:val="21"/>
                    </w:rPr>
                    <w:t>（5）被保险人</w:t>
                  </w:r>
                  <w:r>
                    <w:rPr>
                      <w:rFonts w:ascii="微软雅黑" w:eastAsia="微软雅黑"/>
                      <w:b/>
                      <w:color w:val="000000"/>
                      <w:spacing w:val="-12"/>
                      <w:sz w:val="21"/>
                    </w:rPr>
                    <w:t>酒后驾驶</w:t>
                  </w:r>
                  <w:r>
                    <w:rPr>
                      <w:color w:val="000000"/>
                      <w:spacing w:val="-12"/>
                      <w:sz w:val="21"/>
                    </w:rPr>
                    <w:t>（</w:t>
                  </w:r>
                  <w:r>
                    <w:rPr>
                      <w:color w:val="000000"/>
                      <w:spacing w:val="-1"/>
                      <w:sz w:val="21"/>
                    </w:rPr>
                    <w:t>见 </w:t>
                  </w:r>
                  <w:r>
                    <w:rPr>
                      <w:color w:val="000000"/>
                      <w:spacing w:val="5"/>
                      <w:sz w:val="21"/>
                    </w:rPr>
                    <w:t>9</w:t>
                  </w:r>
                  <w:r>
                    <w:rPr>
                      <w:color w:val="000000"/>
                      <w:spacing w:val="10"/>
                      <w:sz w:val="21"/>
                    </w:rPr>
                    <w:t>.19</w:t>
                  </w:r>
                  <w:r>
                    <w:rPr>
                      <w:color w:val="000000"/>
                      <w:spacing w:val="-96"/>
                      <w:sz w:val="21"/>
                    </w:rPr>
                    <w:t>）</w:t>
                  </w:r>
                  <w:r>
                    <w:rPr>
                      <w:color w:val="000000"/>
                      <w:spacing w:val="-12"/>
                      <w:sz w:val="21"/>
                    </w:rPr>
                    <w:t>、</w:t>
                  </w:r>
                  <w:r>
                    <w:rPr>
                      <w:rFonts w:ascii="微软雅黑" w:eastAsia="微软雅黑"/>
                      <w:b/>
                      <w:color w:val="000000"/>
                      <w:spacing w:val="-12"/>
                      <w:sz w:val="21"/>
                    </w:rPr>
                    <w:t>无合法有效驾驶证驾驶</w:t>
                  </w:r>
                  <w:r>
                    <w:rPr>
                      <w:color w:val="000000"/>
                      <w:spacing w:val="-12"/>
                      <w:sz w:val="21"/>
                    </w:rPr>
                    <w:t>（</w:t>
                  </w:r>
                  <w:r>
                    <w:rPr>
                      <w:color w:val="000000"/>
                      <w:sz w:val="21"/>
                    </w:rPr>
                    <w:t>见 </w:t>
                  </w:r>
                  <w:r>
                    <w:rPr>
                      <w:color w:val="000000"/>
                      <w:spacing w:val="9"/>
                      <w:sz w:val="21"/>
                    </w:rPr>
                    <w:t>9.20</w:t>
                  </w:r>
                  <w:r>
                    <w:rPr>
                      <w:color w:val="000000"/>
                      <w:spacing w:val="-97"/>
                      <w:sz w:val="21"/>
                    </w:rPr>
                    <w:t>）</w:t>
                  </w:r>
                  <w:r>
                    <w:rPr>
                      <w:color w:val="000000"/>
                      <w:spacing w:val="-13"/>
                      <w:sz w:val="21"/>
                    </w:rPr>
                    <w:t>，或驾驶</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3112"/>
        <w:rPr>
          <w:rFonts w:ascii="微软雅黑"/>
          <w:sz w:val="20"/>
        </w:rPr>
      </w:pPr>
      <w:r>
        <w:rPr>
          <w:rFonts w:ascii="微软雅黑"/>
          <w:position w:val="-5"/>
          <w:sz w:val="20"/>
        </w:rPr>
        <w:pict>
          <v:shape style="width:220.7pt;height:13.95pt;mso-position-horizontal-relative:char;mso-position-vertical-relative:line" type="#_x0000_t202" id="docshape64" filled="true" fillcolor="#d9d9d9" stroked="false">
            <w10:anchorlock/>
            <v:textbox inset="0,0,0,0">
              <w:txbxContent>
                <w:p>
                  <w:pPr>
                    <w:spacing w:line="278" w:lineRule="exact" w:before="0"/>
                    <w:ind w:left="0" w:right="-15" w:firstLine="0"/>
                    <w:jc w:val="left"/>
                    <w:rPr>
                      <w:color w:val="000000"/>
                      <w:sz w:val="21"/>
                    </w:rPr>
                  </w:pPr>
                  <w:r>
                    <w:rPr>
                      <w:rFonts w:ascii="微软雅黑" w:eastAsia="微软雅黑"/>
                      <w:b/>
                      <w:color w:val="000000"/>
                      <w:spacing w:val="-4"/>
                      <w:sz w:val="21"/>
                    </w:rPr>
                    <w:t>无有效行驶证</w:t>
                  </w:r>
                  <w:r>
                    <w:rPr>
                      <w:color w:val="000000"/>
                      <w:spacing w:val="-4"/>
                      <w:sz w:val="21"/>
                    </w:rPr>
                    <w:t>（</w:t>
                  </w:r>
                  <w:r>
                    <w:rPr>
                      <w:color w:val="000000"/>
                      <w:spacing w:val="-15"/>
                      <w:sz w:val="21"/>
                    </w:rPr>
                    <w:t>见 </w:t>
                  </w:r>
                  <w:r>
                    <w:rPr>
                      <w:color w:val="000000"/>
                      <w:spacing w:val="-4"/>
                      <w:sz w:val="21"/>
                    </w:rPr>
                    <w:t>9.21）的</w:t>
                  </w:r>
                  <w:r>
                    <w:rPr>
                      <w:rFonts w:ascii="微软雅黑" w:eastAsia="微软雅黑"/>
                      <w:b/>
                      <w:color w:val="000000"/>
                      <w:spacing w:val="-4"/>
                      <w:sz w:val="21"/>
                    </w:rPr>
                    <w:t>机动车</w:t>
                  </w:r>
                  <w:r>
                    <w:rPr>
                      <w:color w:val="000000"/>
                      <w:spacing w:val="-4"/>
                      <w:sz w:val="21"/>
                    </w:rPr>
                    <w:t>（</w:t>
                  </w:r>
                  <w:r>
                    <w:rPr>
                      <w:color w:val="000000"/>
                      <w:spacing w:val="-13"/>
                      <w:sz w:val="21"/>
                    </w:rPr>
                    <w:t>见 </w:t>
                  </w:r>
                  <w:r>
                    <w:rPr>
                      <w:color w:val="000000"/>
                      <w:spacing w:val="5"/>
                      <w:sz w:val="21"/>
                    </w:rPr>
                    <w:t>9.2</w:t>
                  </w:r>
                  <w:r>
                    <w:rPr>
                      <w:color w:val="000000"/>
                      <w:sz w:val="21"/>
                    </w:rPr>
                    <w:t>2</w:t>
                  </w:r>
                  <w:r>
                    <w:rPr>
                      <w:color w:val="000000"/>
                      <w:spacing w:val="-101"/>
                      <w:sz w:val="21"/>
                    </w:rPr>
                    <w:t>）</w:t>
                  </w:r>
                  <w:r>
                    <w:rPr>
                      <w:color w:val="000000"/>
                      <w:spacing w:val="5"/>
                      <w:sz w:val="21"/>
                    </w:rPr>
                    <w:t>；</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260.2pt;height:13.95pt;mso-position-horizontal-relative:char;mso-position-vertical-relative:line" type="#_x0000_t202" id="docshape65" filled="true" fillcolor="#d9d9d9" stroked="false">
            <w10:anchorlock/>
            <v:textbox inset="0,0,0,0">
              <w:txbxContent>
                <w:p>
                  <w:pPr>
                    <w:spacing w:line="278" w:lineRule="exact" w:before="0"/>
                    <w:ind w:left="0" w:right="-15" w:firstLine="0"/>
                    <w:jc w:val="left"/>
                    <w:rPr>
                      <w:color w:val="000000"/>
                      <w:sz w:val="21"/>
                    </w:rPr>
                  </w:pPr>
                  <w:r>
                    <w:rPr>
                      <w:color w:val="000000"/>
                      <w:spacing w:val="-2"/>
                      <w:sz w:val="21"/>
                    </w:rPr>
                    <w:t>（6）被保险人</w:t>
                  </w:r>
                  <w:r>
                    <w:rPr>
                      <w:rFonts w:ascii="微软雅黑" w:eastAsia="微软雅黑"/>
                      <w:b/>
                      <w:color w:val="000000"/>
                      <w:spacing w:val="-2"/>
                      <w:sz w:val="21"/>
                    </w:rPr>
                    <w:t>感染艾滋病病毒或患艾滋病</w:t>
                  </w:r>
                  <w:r>
                    <w:rPr>
                      <w:color w:val="000000"/>
                      <w:spacing w:val="-2"/>
                      <w:sz w:val="21"/>
                    </w:rPr>
                    <w:t>（</w:t>
                  </w:r>
                  <w:r>
                    <w:rPr>
                      <w:color w:val="000000"/>
                      <w:spacing w:val="-15"/>
                      <w:sz w:val="21"/>
                    </w:rPr>
                    <w:t>见 </w:t>
                  </w:r>
                  <w:r>
                    <w:rPr>
                      <w:color w:val="000000"/>
                      <w:spacing w:val="-2"/>
                      <w:sz w:val="21"/>
                    </w:rPr>
                    <w:t>9.23）；</w:t>
                  </w:r>
                </w:p>
              </w:txbxContent>
            </v:textbox>
            <v:fill type="solid"/>
          </v:shape>
        </w:pict>
      </w:r>
      <w:r>
        <w:rPr>
          <w:rFonts w:ascii="微软雅黑"/>
          <w:position w:val="-5"/>
          <w:sz w:val="20"/>
        </w:rPr>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194.2pt;height:13.95pt;mso-position-horizontal-relative:char;mso-position-vertical-relative:line" type="#_x0000_t202" id="docshape66" filled="true" fillcolor="#d9d9d9" stroked="false">
            <w10:anchorlock/>
            <v:textbox inset="0,0,0,0">
              <w:txbxContent>
                <w:p>
                  <w:pPr>
                    <w:pStyle w:val="BodyText"/>
                    <w:spacing w:before="6"/>
                    <w:ind w:right="-15"/>
                    <w:rPr>
                      <w:color w:val="000000"/>
                    </w:rPr>
                  </w:pPr>
                  <w:r>
                    <w:rPr>
                      <w:color w:val="000000"/>
                      <w:spacing w:val="-4"/>
                    </w:rPr>
                    <w:t>（7）</w:t>
                  </w:r>
                  <w:r>
                    <w:rPr>
                      <w:color w:val="000000"/>
                      <w:spacing w:val="-5"/>
                    </w:rPr>
                    <w:t>战争、军事冲突、暴乱或武装叛乱；</w:t>
                  </w:r>
                </w:p>
              </w:txbxContent>
            </v:textbox>
            <v:fill type="solid"/>
          </v:shape>
        </w:pict>
      </w:r>
      <w:r>
        <w:rPr>
          <w:rFonts w:ascii="微软雅黑"/>
          <w:position w:val="-5"/>
          <w:sz w:val="20"/>
        </w:rPr>
      </w:r>
    </w:p>
    <w:p>
      <w:pPr>
        <w:pStyle w:val="BodyText"/>
        <w:spacing w:line="278" w:lineRule="exact"/>
        <w:ind w:left="2588"/>
        <w:rPr>
          <w:rFonts w:ascii="微软雅黑"/>
          <w:sz w:val="20"/>
        </w:rPr>
      </w:pPr>
      <w:r>
        <w:rPr>
          <w:rFonts w:ascii="微软雅黑"/>
          <w:position w:val="-5"/>
          <w:sz w:val="20"/>
        </w:rPr>
        <w:pict>
          <v:shape style="width:152.2pt;height:13.95pt;mso-position-horizontal-relative:char;mso-position-vertical-relative:line" type="#_x0000_t202" id="docshape67" filled="true" fillcolor="#d9d9d9" stroked="false">
            <w10:anchorlock/>
            <v:textbox inset="0,0,0,0">
              <w:txbxContent>
                <w:p>
                  <w:pPr>
                    <w:pStyle w:val="BodyText"/>
                    <w:spacing w:before="6"/>
                    <w:ind w:right="-15"/>
                    <w:rPr>
                      <w:color w:val="000000"/>
                    </w:rPr>
                  </w:pPr>
                  <w:r>
                    <w:rPr>
                      <w:color w:val="000000"/>
                      <w:spacing w:val="-4"/>
                    </w:rPr>
                    <w:t>（8）</w:t>
                  </w:r>
                  <w:r>
                    <w:rPr>
                      <w:color w:val="000000"/>
                      <w:spacing w:val="-5"/>
                    </w:rPr>
                    <w:t>核爆炸、核辐射或核污染；</w:t>
                  </w:r>
                </w:p>
              </w:txbxContent>
            </v:textbox>
            <v:fill type="solid"/>
          </v:shape>
        </w:pict>
      </w:r>
      <w:r>
        <w:rPr>
          <w:rFonts w:ascii="微软雅黑"/>
          <w:position w:val="-5"/>
          <w:sz w:val="20"/>
        </w:rPr>
      </w:r>
    </w:p>
    <w:p>
      <w:pPr>
        <w:pStyle w:val="BodyText"/>
        <w:rPr>
          <w:rFonts w:ascii="微软雅黑"/>
          <w:b/>
          <w:sz w:val="3"/>
        </w:rPr>
      </w:pPr>
    </w:p>
    <w:p>
      <w:pPr>
        <w:pStyle w:val="BodyText"/>
        <w:spacing w:line="278" w:lineRule="exact"/>
        <w:ind w:left="2588"/>
        <w:rPr>
          <w:rFonts w:ascii="微软雅黑"/>
          <w:sz w:val="20"/>
        </w:rPr>
      </w:pPr>
      <w:r>
        <w:rPr>
          <w:rFonts w:ascii="微软雅黑"/>
          <w:position w:val="-5"/>
          <w:sz w:val="20"/>
        </w:rPr>
        <w:pict>
          <v:shape style="width:347.3pt;height:13.95pt;mso-position-horizontal-relative:char;mso-position-vertical-relative:line" type="#_x0000_t202" id="docshape68" filled="true" fillcolor="#d9d9d9" stroked="false">
            <w10:anchorlock/>
            <v:textbox inset="0,0,0,0">
              <w:txbxContent>
                <w:p>
                  <w:pPr>
                    <w:spacing w:line="278" w:lineRule="exact" w:before="0"/>
                    <w:ind w:left="0" w:right="-15" w:firstLine="0"/>
                    <w:jc w:val="left"/>
                    <w:rPr>
                      <w:color w:val="000000"/>
                      <w:sz w:val="21"/>
                    </w:rPr>
                  </w:pPr>
                  <w:r>
                    <w:rPr>
                      <w:color w:val="000000"/>
                      <w:spacing w:val="-10"/>
                      <w:sz w:val="21"/>
                    </w:rPr>
                    <w:t>（9）</w:t>
                  </w:r>
                  <w:r>
                    <w:rPr>
                      <w:rFonts w:ascii="微软雅黑" w:eastAsia="微软雅黑"/>
                      <w:b/>
                      <w:color w:val="000000"/>
                      <w:spacing w:val="-10"/>
                      <w:sz w:val="21"/>
                    </w:rPr>
                    <w:t>遗传性疾病</w:t>
                  </w:r>
                  <w:r>
                    <w:rPr>
                      <w:color w:val="000000"/>
                      <w:spacing w:val="-10"/>
                      <w:sz w:val="21"/>
                    </w:rPr>
                    <w:t>（</w:t>
                  </w:r>
                  <w:r>
                    <w:rPr>
                      <w:color w:val="000000"/>
                      <w:spacing w:val="3"/>
                      <w:sz w:val="21"/>
                    </w:rPr>
                    <w:t>见 </w:t>
                  </w:r>
                  <w:r>
                    <w:rPr>
                      <w:color w:val="000000"/>
                      <w:spacing w:val="9"/>
                      <w:sz w:val="21"/>
                    </w:rPr>
                    <w:t>9.24</w:t>
                  </w:r>
                  <w:r>
                    <w:rPr>
                      <w:color w:val="000000"/>
                      <w:spacing w:val="-102"/>
                      <w:sz w:val="21"/>
                    </w:rPr>
                    <w:t>）</w:t>
                  </w:r>
                  <w:r>
                    <w:rPr>
                      <w:color w:val="000000"/>
                      <w:spacing w:val="4"/>
                      <w:sz w:val="21"/>
                    </w:rPr>
                    <w:t>，</w:t>
                  </w:r>
                  <w:r>
                    <w:rPr>
                      <w:rFonts w:ascii="微软雅黑" w:eastAsia="微软雅黑"/>
                      <w:b/>
                      <w:color w:val="000000"/>
                      <w:spacing w:val="-10"/>
                      <w:sz w:val="21"/>
                    </w:rPr>
                    <w:t>先天性畸形、变形或染色体异常</w:t>
                  </w:r>
                  <w:r>
                    <w:rPr>
                      <w:color w:val="000000"/>
                      <w:spacing w:val="-10"/>
                      <w:sz w:val="21"/>
                    </w:rPr>
                    <w:t>（</w:t>
                  </w:r>
                  <w:r>
                    <w:rPr>
                      <w:color w:val="000000"/>
                      <w:spacing w:val="3"/>
                      <w:sz w:val="21"/>
                    </w:rPr>
                    <w:t>见 </w:t>
                  </w:r>
                  <w:r>
                    <w:rPr>
                      <w:color w:val="000000"/>
                      <w:spacing w:val="12"/>
                      <w:sz w:val="21"/>
                    </w:rPr>
                    <w:t>9.2</w:t>
                  </w:r>
                  <w:r>
                    <w:rPr>
                      <w:color w:val="000000"/>
                      <w:spacing w:val="7"/>
                      <w:sz w:val="21"/>
                    </w:rPr>
                    <w:t>5</w:t>
                  </w:r>
                  <w:r>
                    <w:rPr>
                      <w:color w:val="000000"/>
                      <w:spacing w:val="-94"/>
                      <w:sz w:val="21"/>
                    </w:rPr>
                    <w:t>）</w:t>
                  </w:r>
                  <w:r>
                    <w:rPr>
                      <w:color w:val="000000"/>
                      <w:spacing w:val="-10"/>
                      <w:sz w:val="21"/>
                    </w:rPr>
                    <w:t>。</w:t>
                  </w:r>
                </w:p>
              </w:txbxContent>
            </v:textbox>
            <v:fill type="solid"/>
          </v:shape>
        </w:pict>
      </w:r>
      <w:r>
        <w:rPr>
          <w:rFonts w:ascii="微软雅黑"/>
          <w:position w:val="-5"/>
          <w:sz w:val="20"/>
        </w:rPr>
      </w:r>
    </w:p>
    <w:p>
      <w:pPr>
        <w:pStyle w:val="BodyText"/>
        <w:spacing w:before="9"/>
        <w:rPr>
          <w:rFonts w:ascii="微软雅黑"/>
          <w:b/>
          <w:sz w:val="17"/>
        </w:rPr>
      </w:pPr>
      <w:r>
        <w:rPr/>
        <w:pict>
          <v:shape style="position:absolute;margin-left:175.440002pt;margin-top:17.34206pt;width:363.4pt;height:13.95pt;mso-position-horizontal-relative:page;mso-position-vertical-relative:paragraph;z-index:-15691264;mso-wrap-distance-left:0;mso-wrap-distance-right:0" type="#_x0000_t202" id="docshape69" filled="true" fillcolor="#d9d9d9" stroked="false">
            <v:textbox inset="0,0,0,0">
              <w:txbxContent>
                <w:p>
                  <w:pPr>
                    <w:pStyle w:val="BodyText"/>
                    <w:spacing w:before="6"/>
                    <w:ind w:right="-15"/>
                    <w:rPr>
                      <w:color w:val="000000"/>
                    </w:rPr>
                  </w:pPr>
                  <w:r>
                    <w:rPr>
                      <w:color w:val="000000"/>
                      <w:spacing w:val="-2"/>
                    </w:rPr>
                    <w:t>发生上述第（1）</w:t>
                  </w:r>
                  <w:r>
                    <w:rPr>
                      <w:color w:val="000000"/>
                      <w:spacing w:val="-3"/>
                    </w:rPr>
                    <w:t>项情形导致被保险人身故，本合同终止，我们向被保险人的继</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136.6pt;height:13.95pt;mso-position-horizontal-relative:char;mso-position-vertical-relative:line" type="#_x0000_t202" id="docshape70" filled="true" fillcolor="#d9d9d9" stroked="false">
            <w10:anchorlock/>
            <v:textbox inset="0,0,0,0">
              <w:txbxContent>
                <w:p>
                  <w:pPr>
                    <w:pStyle w:val="BodyText"/>
                    <w:spacing w:before="6"/>
                    <w:ind w:right="-15"/>
                    <w:rPr>
                      <w:color w:val="000000"/>
                    </w:rPr>
                  </w:pPr>
                  <w:r>
                    <w:rPr>
                      <w:color w:val="000000"/>
                      <w:spacing w:val="-5"/>
                    </w:rPr>
                    <w:t>承人退还本合同的现金价值。</w:t>
                  </w:r>
                </w:p>
              </w:txbxContent>
            </v:textbox>
            <v:fill type="solid"/>
          </v:shape>
        </w:pict>
      </w:r>
      <w:r>
        <w:rPr>
          <w:rFonts w:ascii="微软雅黑"/>
          <w:position w:val="-5"/>
          <w:sz w:val="20"/>
        </w:rPr>
      </w:r>
    </w:p>
    <w:p>
      <w:pPr>
        <w:pStyle w:val="BodyText"/>
        <w:spacing w:before="5"/>
        <w:rPr>
          <w:rFonts w:ascii="微软雅黑"/>
          <w:b/>
          <w:sz w:val="17"/>
        </w:rPr>
      </w:pPr>
      <w:r>
        <w:rPr/>
        <w:pict>
          <v:shape style="position:absolute;margin-left:175.440002pt;margin-top:17.136738pt;width:363.4pt;height:13.95pt;mso-position-horizontal-relative:page;mso-position-vertical-relative:paragraph;z-index:-15690240;mso-wrap-distance-left:0;mso-wrap-distance-right:0" type="#_x0000_t202" id="docshape71" filled="true" fillcolor="#d9d9d9" stroked="false">
            <v:textbox inset="0,0,0,0">
              <w:txbxContent>
                <w:p>
                  <w:pPr>
                    <w:pStyle w:val="BodyText"/>
                    <w:spacing w:line="248" w:lineRule="exact" w:before="6"/>
                    <w:ind w:right="-15"/>
                    <w:rPr>
                      <w:color w:val="000000"/>
                    </w:rPr>
                  </w:pPr>
                  <w:r>
                    <w:rPr>
                      <w:color w:val="000000"/>
                      <w:spacing w:val="-2"/>
                    </w:rPr>
                    <w:t>发生上述第（1）</w:t>
                  </w:r>
                  <w:r>
                    <w:rPr>
                      <w:color w:val="000000"/>
                      <w:spacing w:val="-3"/>
                    </w:rPr>
                    <w:t>项情形导致被保险人发生全残、重大疾病、中症疾病、轻症疾</w:t>
                  </w:r>
                </w:p>
                <w:p>
                  <w:pPr>
                    <w:spacing w:line="24" w:lineRule="exact" w:before="0"/>
                    <w:ind w:left="671" w:right="0" w:firstLine="0"/>
                    <w:jc w:val="left"/>
                    <w:rPr>
                      <w:color w:val="000000"/>
                      <w:sz w:val="4"/>
                    </w:rPr>
                  </w:pPr>
                  <w:r>
                    <w:rPr>
                      <w:color w:val="000000"/>
                      <w:w w:val="72"/>
                      <w:sz w:val="4"/>
                    </w:rPr>
                    <w:t>●</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283.45pt;height:13.95pt;mso-position-horizontal-relative:char;mso-position-vertical-relative:line" type="#_x0000_t202" id="docshape72" filled="true" fillcolor="#d9d9d9" stroked="false">
            <w10:anchorlock/>
            <v:textbox inset="0,0,0,0">
              <w:txbxContent>
                <w:p>
                  <w:pPr>
                    <w:pStyle w:val="BodyText"/>
                    <w:spacing w:before="6"/>
                    <w:ind w:right="-15"/>
                    <w:rPr>
                      <w:color w:val="000000"/>
                    </w:rPr>
                  </w:pPr>
                  <w:r>
                    <w:rPr>
                      <w:color w:val="000000"/>
                      <w:spacing w:val="-5"/>
                    </w:rPr>
                    <w:t>病的，本合同终止，我们向被保险人退还本合同的现金价值。</w:t>
                  </w:r>
                </w:p>
              </w:txbxContent>
            </v:textbox>
            <v:fill type="solid"/>
          </v:shape>
        </w:pict>
      </w:r>
      <w:r>
        <w:rPr>
          <w:rFonts w:ascii="微软雅黑"/>
          <w:position w:val="-5"/>
          <w:sz w:val="20"/>
        </w:rPr>
      </w:r>
    </w:p>
    <w:p>
      <w:pPr>
        <w:pStyle w:val="BodyText"/>
        <w:spacing w:before="5"/>
        <w:rPr>
          <w:rFonts w:ascii="微软雅黑"/>
          <w:b/>
          <w:sz w:val="17"/>
        </w:rPr>
      </w:pPr>
      <w:r>
        <w:rPr/>
        <w:pict>
          <v:shape style="position:absolute;margin-left:175.440002pt;margin-top:17.136738pt;width:363.4pt;height:13.95pt;mso-position-horizontal-relative:page;mso-position-vertical-relative:paragraph;z-index:-15689216;mso-wrap-distance-left:0;mso-wrap-distance-right:0" type="#_x0000_t202" id="docshape73" filled="true" fillcolor="#d9d9d9" stroked="false">
            <v:textbox inset="0,0,0,0">
              <w:txbxContent>
                <w:p>
                  <w:pPr>
                    <w:pStyle w:val="BodyText"/>
                    <w:spacing w:before="6"/>
                    <w:ind w:right="-15"/>
                    <w:rPr>
                      <w:color w:val="000000"/>
                    </w:rPr>
                  </w:pPr>
                  <w:r>
                    <w:rPr>
                      <w:color w:val="000000"/>
                      <w:spacing w:val="-4"/>
                    </w:rPr>
                    <w:t>发生上述第（2）至第（9）</w:t>
                  </w:r>
                  <w:r>
                    <w:rPr>
                      <w:color w:val="000000"/>
                      <w:spacing w:val="-5"/>
                    </w:rPr>
                    <w:t>项情形导致被保险人身故、全残、重大疾病、中症疾</w:t>
                  </w:r>
                </w:p>
              </w:txbxContent>
            </v:textbox>
            <v:fill type="solid"/>
            <w10:wrap type="topAndBottom"/>
          </v:shape>
        </w:pict>
      </w:r>
    </w:p>
    <w:p>
      <w:pPr>
        <w:pStyle w:val="BodyText"/>
        <w:rPr>
          <w:rFonts w:ascii="微软雅黑"/>
          <w:b/>
          <w:sz w:val="2"/>
        </w:rPr>
      </w:pPr>
    </w:p>
    <w:p>
      <w:pPr>
        <w:pStyle w:val="BodyText"/>
        <w:spacing w:line="278" w:lineRule="exact"/>
        <w:ind w:left="2588"/>
        <w:rPr>
          <w:rFonts w:ascii="微软雅黑"/>
          <w:sz w:val="20"/>
        </w:rPr>
      </w:pPr>
      <w:r>
        <w:rPr>
          <w:rFonts w:ascii="微软雅黑"/>
          <w:position w:val="-5"/>
          <w:sz w:val="20"/>
        </w:rPr>
        <w:pict>
          <v:shape style="width:304.350pt;height:13.95pt;mso-position-horizontal-relative:char;mso-position-vertical-relative:line" type="#_x0000_t202" id="docshape74" filled="true" fillcolor="#d9d9d9" stroked="false">
            <w10:anchorlock/>
            <v:textbox inset="0,0,0,0">
              <w:txbxContent>
                <w:p>
                  <w:pPr>
                    <w:pStyle w:val="BodyText"/>
                    <w:spacing w:before="6"/>
                    <w:ind w:right="-15"/>
                    <w:rPr>
                      <w:color w:val="000000"/>
                    </w:rPr>
                  </w:pPr>
                  <w:r>
                    <w:rPr>
                      <w:color w:val="000000"/>
                      <w:spacing w:val="-5"/>
                    </w:rPr>
                    <w:t>病、轻症疾病的，本合同终止，我们向您退还本合同的现金价值。</w:t>
                  </w:r>
                </w:p>
              </w:txbxContent>
            </v:textbox>
            <v:fill type="solid"/>
          </v:shape>
        </w:pict>
      </w:r>
      <w:r>
        <w:rPr>
          <w:rFonts w:ascii="微软雅黑"/>
          <w:position w:val="-5"/>
          <w:sz w:val="20"/>
        </w:rPr>
      </w:r>
    </w:p>
    <w:p>
      <w:pPr>
        <w:pStyle w:val="BodyText"/>
        <w:spacing w:before="15"/>
        <w:rPr>
          <w:rFonts w:ascii="微软雅黑"/>
          <w:b/>
          <w:sz w:val="17"/>
        </w:rPr>
      </w:pPr>
    </w:p>
    <w:p>
      <w:pPr>
        <w:pStyle w:val="Heading1"/>
        <w:tabs>
          <w:tab w:pos="1364" w:val="left" w:leader="none"/>
        </w:tabs>
        <w:spacing w:before="38"/>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2"/>
        </w:rPr>
        <w:t>如何申请领取保险金</w:t>
      </w:r>
    </w:p>
    <w:p>
      <w:pPr>
        <w:pStyle w:val="BodyText"/>
        <w:spacing w:before="12"/>
        <w:rPr>
          <w:rFonts w:ascii="微软雅黑"/>
          <w:b/>
          <w:sz w:val="2"/>
        </w:rPr>
      </w:pPr>
      <w:r>
        <w:rPr/>
        <w:drawing>
          <wp:anchor distT="0" distB="0" distL="0" distR="0" allowOverlap="1" layoutInCell="1" locked="0" behindDoc="0" simplePos="0" relativeHeight="79">
            <wp:simplePos x="0" y="0"/>
            <wp:positionH relativeFrom="page">
              <wp:posOffset>649223</wp:posOffset>
            </wp:positionH>
            <wp:positionV relativeFrom="paragraph">
              <wp:posOffset>46659</wp:posOffset>
            </wp:positionV>
            <wp:extent cx="6312574" cy="12287"/>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3" cstate="print"/>
                    <a:stretch>
                      <a:fillRect/>
                    </a:stretch>
                  </pic:blipFill>
                  <pic:spPr>
                    <a:xfrm>
                      <a:off x="0" y="0"/>
                      <a:ext cx="6312574" cy="12287"/>
                    </a:xfrm>
                    <a:prstGeom prst="rect">
                      <a:avLst/>
                    </a:prstGeom>
                  </pic:spPr>
                </pic:pic>
              </a:graphicData>
            </a:graphic>
          </wp:anchor>
        </w:drawing>
      </w:r>
    </w:p>
    <w:p>
      <w:pPr>
        <w:pStyle w:val="ListParagraph"/>
        <w:numPr>
          <w:ilvl w:val="1"/>
          <w:numId w:val="3"/>
        </w:numPr>
        <w:tabs>
          <w:tab w:pos="1364" w:val="left" w:leader="none"/>
          <w:tab w:pos="1365" w:val="left" w:leader="none"/>
          <w:tab w:pos="2588" w:val="left" w:leader="none"/>
        </w:tabs>
        <w:spacing w:line="240" w:lineRule="auto" w:before="265" w:after="0"/>
        <w:ind w:left="1364" w:right="0" w:hanging="850"/>
        <w:jc w:val="left"/>
        <w:rPr>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w:t>
      </w:r>
      <w:r>
        <w:rPr>
          <w:spacing w:val="-2"/>
          <w:sz w:val="21"/>
        </w:rPr>
        <w:t>险金受</w:t>
      </w:r>
      <w:r>
        <w:rPr>
          <w:spacing w:val="-2"/>
          <w:sz w:val="21"/>
        </w:rPr>
        <w:t>益</w:t>
      </w:r>
      <w:r>
        <w:rPr>
          <w:spacing w:val="-2"/>
          <w:sz w:val="21"/>
        </w:rPr>
        <w:t>人</w:t>
      </w:r>
      <w:r>
        <w:rPr>
          <w:spacing w:val="-10"/>
          <w:sz w:val="21"/>
        </w:rPr>
        <w:t>。</w:t>
      </w:r>
    </w:p>
    <w:p>
      <w:pPr>
        <w:pStyle w:val="BodyText"/>
        <w:spacing w:before="9"/>
        <w:rPr>
          <w:sz w:val="23"/>
        </w:rPr>
      </w:pPr>
    </w:p>
    <w:p>
      <w:pPr>
        <w:pStyle w:val="BodyText"/>
        <w:spacing w:line="278" w:lineRule="auto"/>
        <w:ind w:left="2588" w:right="301"/>
        <w:jc w:val="both"/>
      </w:pPr>
      <w:r>
        <w:rPr>
          <w:spacing w:val="-4"/>
        </w:rPr>
        <w:t>身故保险金受益人为多人时，可以确定受益顺序和受益份额；如果没有确定受益</w:t>
      </w:r>
      <w:r>
        <w:rPr>
          <w:spacing w:val="-4"/>
        </w:rPr>
        <w:t>顺序，各受益人均按照第一顺序享有受益权；如果没有确定受益份额，各受益人</w:t>
      </w:r>
      <w:r>
        <w:rPr>
          <w:spacing w:val="-2"/>
        </w:rPr>
        <w:t>按照相等份额享有受益权。</w:t>
      </w:r>
    </w:p>
    <w:p>
      <w:pPr>
        <w:spacing w:after="0" w:line="278" w:lineRule="auto"/>
        <w:jc w:val="both"/>
        <w:sectPr>
          <w:type w:val="continuous"/>
          <w:pgSz w:w="11910" w:h="16840"/>
          <w:pgMar w:top="740" w:bottom="280" w:left="920" w:right="820"/>
        </w:sectPr>
      </w:pPr>
    </w:p>
    <w:p>
      <w:pPr>
        <w:pStyle w:val="BodyText"/>
        <w:spacing w:line="278" w:lineRule="auto" w:before="59"/>
        <w:ind w:left="2588" w:right="301"/>
      </w:pPr>
      <w:r>
        <w:rPr>
          <w:spacing w:val="-6"/>
        </w:rPr>
        <w:t>被保险人为无民事行为能力人或限制民事行为能力人的，可以由其监护人指定受</w:t>
      </w:r>
      <w:r>
        <w:rPr>
          <w:spacing w:val="-4"/>
        </w:rPr>
        <w:t>益人。</w:t>
      </w:r>
    </w:p>
    <w:p>
      <w:pPr>
        <w:pStyle w:val="BodyText"/>
        <w:spacing w:before="4"/>
        <w:rPr>
          <w:sz w:val="24"/>
        </w:rPr>
      </w:pPr>
    </w:p>
    <w:p>
      <w:pPr>
        <w:pStyle w:val="BodyText"/>
        <w:spacing w:line="278" w:lineRule="auto"/>
        <w:ind w:left="2588" w:right="219"/>
      </w:pPr>
      <w:r>
        <w:rPr>
          <w:spacing w:val="-2"/>
        </w:rPr>
        <w:t>您或者被保险人可以变更身故保险金受益人、受益顺序或受益份额，并书面通知</w:t>
      </w:r>
      <w:r>
        <w:rPr>
          <w:spacing w:val="-3"/>
        </w:rPr>
        <w:t>我们，我们收到变更书面通知后，在保险单或其他保险凭证上批注或附贴批单。</w:t>
      </w:r>
    </w:p>
    <w:p>
      <w:pPr>
        <w:pStyle w:val="BodyText"/>
        <w:spacing w:before="5"/>
        <w:rPr>
          <w:sz w:val="24"/>
        </w:rPr>
      </w:pPr>
    </w:p>
    <w:p>
      <w:pPr>
        <w:pStyle w:val="BodyText"/>
        <w:spacing w:line="278" w:lineRule="auto"/>
        <w:ind w:left="2588" w:right="301"/>
      </w:pPr>
      <w:r>
        <w:rPr>
          <w:spacing w:val="-4"/>
        </w:rPr>
        <w:t>您在指定和变更身故保险金受益人、受益顺序或受益份额时，必须经过被保险人</w:t>
      </w:r>
      <w:r>
        <w:rPr>
          <w:spacing w:val="-4"/>
        </w:rPr>
        <w:t>同意。</w:t>
      </w:r>
    </w:p>
    <w:p>
      <w:pPr>
        <w:pStyle w:val="BodyText"/>
        <w:spacing w:before="4"/>
        <w:rPr>
          <w:sz w:val="24"/>
        </w:rPr>
      </w:pPr>
    </w:p>
    <w:p>
      <w:pPr>
        <w:pStyle w:val="BodyText"/>
        <w:ind w:left="2588"/>
      </w:pPr>
      <w:r>
        <w:rPr>
          <w:spacing w:val="-5"/>
        </w:rPr>
        <w:t>被保险人身故后，有下列情形之一的，保险金作为被保险人的遗产，由我们依照</w:t>
      </w:r>
    </w:p>
    <w:p>
      <w:pPr>
        <w:pStyle w:val="BodyText"/>
        <w:spacing w:before="43"/>
        <w:ind w:left="2588"/>
      </w:pPr>
      <w:r>
        <w:rPr>
          <w:spacing w:val="-3"/>
        </w:rPr>
        <w:t>《中华人民共和国民法典》的规定履行给付保险金的义务：</w:t>
      </w:r>
    </w:p>
    <w:p>
      <w:pPr>
        <w:pStyle w:val="ListParagraph"/>
        <w:numPr>
          <w:ilvl w:val="2"/>
          <w:numId w:val="3"/>
        </w:numPr>
        <w:tabs>
          <w:tab w:pos="3118" w:val="left" w:leader="none"/>
        </w:tabs>
        <w:spacing w:line="240" w:lineRule="auto" w:before="43" w:after="0"/>
        <w:ind w:left="3117" w:right="0" w:hanging="530"/>
        <w:jc w:val="left"/>
        <w:rPr>
          <w:sz w:val="21"/>
        </w:rPr>
      </w:pPr>
      <w:r>
        <w:rPr>
          <w:spacing w:val="-3"/>
          <w:sz w:val="21"/>
        </w:rPr>
        <w:t>没有指定受益人，或者受益人指定不明无法确定的；</w:t>
      </w:r>
    </w:p>
    <w:p>
      <w:pPr>
        <w:pStyle w:val="ListParagraph"/>
        <w:numPr>
          <w:ilvl w:val="2"/>
          <w:numId w:val="3"/>
        </w:numPr>
        <w:tabs>
          <w:tab w:pos="3118" w:val="left" w:leader="none"/>
        </w:tabs>
        <w:spacing w:line="240" w:lineRule="auto" w:before="42" w:after="0"/>
        <w:ind w:left="3117" w:right="0" w:hanging="530"/>
        <w:jc w:val="left"/>
        <w:rPr>
          <w:sz w:val="21"/>
        </w:rPr>
      </w:pPr>
      <w:r>
        <w:rPr>
          <w:spacing w:val="-3"/>
          <w:sz w:val="21"/>
        </w:rPr>
        <w:t>受益人先于被保险人身故，没有其他受益人的；</w:t>
      </w:r>
    </w:p>
    <w:p>
      <w:pPr>
        <w:pStyle w:val="ListParagraph"/>
        <w:numPr>
          <w:ilvl w:val="2"/>
          <w:numId w:val="3"/>
        </w:numPr>
        <w:tabs>
          <w:tab w:pos="3118" w:val="left" w:leader="none"/>
        </w:tabs>
        <w:spacing w:line="240" w:lineRule="auto" w:before="43" w:after="0"/>
        <w:ind w:left="3117" w:right="0" w:hanging="530"/>
        <w:jc w:val="left"/>
        <w:rPr>
          <w:sz w:val="21"/>
        </w:rPr>
      </w:pPr>
      <w:r>
        <w:rPr>
          <w:spacing w:val="-3"/>
          <w:sz w:val="21"/>
        </w:rPr>
        <w:t>受益人依法丧失受益权或者放弃受益权，没有其他受益人的。</w:t>
      </w:r>
    </w:p>
    <w:p>
      <w:pPr>
        <w:pStyle w:val="BodyText"/>
        <w:spacing w:before="9"/>
        <w:rPr>
          <w:sz w:val="27"/>
        </w:rPr>
      </w:pPr>
    </w:p>
    <w:p>
      <w:pPr>
        <w:pStyle w:val="BodyText"/>
        <w:spacing w:line="278" w:lineRule="auto"/>
        <w:ind w:left="2588" w:right="301"/>
      </w:pPr>
      <w:r>
        <w:rPr>
          <w:spacing w:val="-4"/>
        </w:rPr>
        <w:t>受益人与被保险人在同一事件中身故，且不能确定身故先后顺序的，推定受益人</w:t>
      </w:r>
      <w:r>
        <w:rPr>
          <w:spacing w:val="-2"/>
        </w:rPr>
        <w:t>身故在先。</w:t>
      </w:r>
    </w:p>
    <w:p>
      <w:pPr>
        <w:pStyle w:val="BodyText"/>
        <w:spacing w:before="4"/>
        <w:rPr>
          <w:sz w:val="24"/>
        </w:rPr>
      </w:pPr>
    </w:p>
    <w:p>
      <w:pPr>
        <w:pStyle w:val="BodyText"/>
        <w:spacing w:line="278" w:lineRule="auto"/>
        <w:ind w:left="2588" w:right="219"/>
      </w:pPr>
      <w:r>
        <w:rPr>
          <w:spacing w:val="-2"/>
        </w:rPr>
        <w:t>受益人故意造成被保险人身故、伤残、疾病的，或者故意杀害被保险人未遂的，</w:t>
      </w:r>
      <w:r>
        <w:rPr>
          <w:spacing w:val="-2"/>
        </w:rPr>
        <w:t>该受益人丧失受益权。</w:t>
      </w:r>
    </w:p>
    <w:p>
      <w:pPr>
        <w:pStyle w:val="BodyText"/>
        <w:spacing w:before="4"/>
        <w:rPr>
          <w:sz w:val="24"/>
        </w:rPr>
      </w:pPr>
    </w:p>
    <w:p>
      <w:pPr>
        <w:pStyle w:val="BodyText"/>
        <w:spacing w:line="278" w:lineRule="auto"/>
        <w:ind w:left="2588" w:right="301"/>
      </w:pPr>
      <w:r>
        <w:rPr>
          <w:spacing w:val="-4"/>
        </w:rPr>
        <w:t>除另有约定外，本合同全残保险金、首次重大疾病保险金、中症疾病保险金、轻</w:t>
      </w:r>
      <w:r>
        <w:rPr>
          <w:spacing w:val="-5"/>
        </w:rPr>
        <w:t>症疾病保险金、重大疾病津贴保险金、第二次恶性肿瘤——重度关爱保险金、第</w:t>
      </w:r>
    </w:p>
    <w:p>
      <w:pPr>
        <w:pStyle w:val="BodyText"/>
        <w:spacing w:line="248" w:lineRule="exact" w:before="1"/>
        <w:ind w:left="2588"/>
      </w:pPr>
      <w:r>
        <w:rPr>
          <w:spacing w:val="-3"/>
        </w:rPr>
        <w:t>二次重大疾病保险金和少儿特定疾病保险金的受益人为被保险人本人。</w:t>
      </w:r>
    </w:p>
    <w:p>
      <w:pPr>
        <w:spacing w:line="31" w:lineRule="exact" w:before="0"/>
        <w:ind w:left="0" w:right="1931" w:firstLine="0"/>
        <w:jc w:val="center"/>
        <w:rPr>
          <w:sz w:val="4"/>
        </w:rPr>
      </w:pPr>
      <w:r>
        <w:rPr>
          <w:w w:val="72"/>
          <w:sz w:val="4"/>
        </w:rPr>
        <w:t>●</w:t>
      </w:r>
    </w:p>
    <w:p>
      <w:pPr>
        <w:pStyle w:val="BodyText"/>
        <w:spacing w:before="4"/>
      </w:pPr>
    </w:p>
    <w:p>
      <w:pPr>
        <w:spacing w:after="0"/>
        <w:sectPr>
          <w:pgSz w:w="11910" w:h="16840"/>
          <w:pgMar w:top="1080" w:bottom="280" w:left="920" w:right="820"/>
        </w:sectPr>
      </w:pPr>
    </w:p>
    <w:p>
      <w:pPr>
        <w:pStyle w:val="Heading3"/>
        <w:numPr>
          <w:ilvl w:val="1"/>
          <w:numId w:val="3"/>
        </w:numPr>
        <w:tabs>
          <w:tab w:pos="1364" w:val="left" w:leader="none"/>
          <w:tab w:pos="1365" w:val="left" w:leader="none"/>
        </w:tabs>
        <w:spacing w:line="194" w:lineRule="auto" w:before="57" w:after="0"/>
        <w:ind w:left="1364" w:right="0" w:hanging="850"/>
        <w:jc w:val="left"/>
      </w:pPr>
      <w:r>
        <w:rPr>
          <w:spacing w:val="-4"/>
        </w:rPr>
        <w:t>保险事故</w:t>
      </w:r>
      <w:r>
        <w:rPr>
          <w:spacing w:val="-6"/>
        </w:rPr>
        <w:t>通知</w:t>
      </w:r>
    </w:p>
    <w:p>
      <w:pPr>
        <w:pStyle w:val="BodyText"/>
        <w:spacing w:before="72"/>
        <w:ind w:left="339"/>
      </w:pPr>
      <w:r>
        <w:rPr/>
        <w:br w:type="column"/>
      </w:r>
      <w:r>
        <w:rPr>
          <w:spacing w:val="-2"/>
        </w:rPr>
        <w:t>请您、被保险人或受益人在知道或应当知道保险事故后10</w:t>
      </w:r>
      <w:r>
        <w:rPr>
          <w:spacing w:val="-4"/>
        </w:rPr>
        <w:t>日内通知我们。</w:t>
      </w:r>
    </w:p>
    <w:p>
      <w:pPr>
        <w:spacing w:after="0"/>
        <w:sectPr>
          <w:type w:val="continuous"/>
          <w:pgSz w:w="11910" w:h="16840"/>
          <w:pgMar w:top="740" w:bottom="280" w:left="920" w:right="820"/>
          <w:cols w:num="2" w:equalWidth="0">
            <w:col w:w="2210" w:space="40"/>
            <w:col w:w="7920"/>
          </w:cols>
        </w:sectPr>
      </w:pPr>
    </w:p>
    <w:p>
      <w:pPr>
        <w:pStyle w:val="BodyText"/>
        <w:ind w:left="2588"/>
        <w:rPr>
          <w:sz w:val="20"/>
        </w:rPr>
      </w:pPr>
      <w:r>
        <w:rPr>
          <w:sz w:val="20"/>
        </w:rPr>
        <w:pict>
          <v:shape style="width:363.4pt;height:13.95pt;mso-position-horizontal-relative:char;mso-position-vertical-relative:line" type="#_x0000_t202" id="docshape75" filled="true" fillcolor="#d9d9d9" stroked="false">
            <w10:anchorlock/>
            <v:textbox inset="0,0,0,0">
              <w:txbxContent>
                <w:p>
                  <w:pPr>
                    <w:pStyle w:val="BodyText"/>
                    <w:spacing w:before="6"/>
                    <w:ind w:right="-15"/>
                    <w:rPr>
                      <w:color w:val="000000"/>
                    </w:rPr>
                  </w:pPr>
                  <w:r>
                    <w:rPr>
                      <w:color w:val="000000"/>
                      <w:spacing w:val="-7"/>
                    </w:rPr>
                    <w:t>如果您、被保险人或受益人故意或者因重大过失未及时通知，致使保险事故的性</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76" filled="true" fillcolor="#d9d9d9" stroked="false">
            <w10:anchorlock/>
            <v:textbox inset="0,0,0,0">
              <w:txbxContent>
                <w:p>
                  <w:pPr>
                    <w:pStyle w:val="BodyText"/>
                    <w:spacing w:before="6"/>
                    <w:ind w:right="-15"/>
                    <w:rPr>
                      <w:color w:val="000000"/>
                    </w:rPr>
                  </w:pPr>
                  <w:r>
                    <w:rPr>
                      <w:color w:val="000000"/>
                      <w:spacing w:val="-7"/>
                    </w:rPr>
                    <w:t>质、原因、损失程度等难以确定的，我们对无法确定的部分，不承担给付保险金</w:t>
                  </w:r>
                </w:p>
              </w:txbxContent>
            </v:textbox>
            <v:fill type="solid"/>
          </v:shape>
        </w:pict>
      </w:r>
      <w:r>
        <w:rPr>
          <w:sz w:val="20"/>
        </w:rPr>
      </w:r>
    </w:p>
    <w:p>
      <w:pPr>
        <w:pStyle w:val="BodyText"/>
        <w:spacing w:line="278" w:lineRule="auto" w:before="36"/>
        <w:ind w:left="2588" w:right="301"/>
      </w:pPr>
      <w:r>
        <w:rPr/>
        <w:drawing>
          <wp:anchor distT="0" distB="0" distL="0" distR="0" allowOverlap="1" layoutInCell="1" locked="0" behindDoc="1" simplePos="0" relativeHeight="485611008">
            <wp:simplePos x="0" y="0"/>
            <wp:positionH relativeFrom="page">
              <wp:posOffset>2228088</wp:posOffset>
            </wp:positionH>
            <wp:positionV relativeFrom="paragraph">
              <wp:posOffset>19037</wp:posOffset>
            </wp:positionV>
            <wp:extent cx="484631" cy="176784"/>
            <wp:effectExtent l="0" t="0" r="0" b="0"/>
            <wp:wrapNone/>
            <wp:docPr id="27" name="image10.png"/>
            <wp:cNvGraphicFramePr>
              <a:graphicFrameLocks noChangeAspect="1"/>
            </wp:cNvGraphicFramePr>
            <a:graphic>
              <a:graphicData uri="http://schemas.openxmlformats.org/drawingml/2006/picture">
                <pic:pic>
                  <pic:nvPicPr>
                    <pic:cNvPr id="28" name="image10.png"/>
                    <pic:cNvPicPr/>
                  </pic:nvPicPr>
                  <pic:blipFill>
                    <a:blip r:embed="rId14" cstate="print"/>
                    <a:stretch>
                      <a:fillRect/>
                    </a:stretch>
                  </pic:blipFill>
                  <pic:spPr>
                    <a:xfrm>
                      <a:off x="0" y="0"/>
                      <a:ext cx="484631" cy="176784"/>
                    </a:xfrm>
                    <a:prstGeom prst="rect">
                      <a:avLst/>
                    </a:prstGeom>
                  </pic:spPr>
                </pic:pic>
              </a:graphicData>
            </a:graphic>
          </wp:anchor>
        </w:drawing>
      </w:r>
      <w:r>
        <w:rPr>
          <w:spacing w:val="-11"/>
        </w:rPr>
        <w:t>的责任，但我们通过其他途径已经及时知道或者应当及时知道保险事故发生或者</w:t>
      </w:r>
      <w:r>
        <w:rPr>
          <w:spacing w:val="-2"/>
        </w:rPr>
        <w:t>虽未及时通知但不影响我们确定保险事故的性质、原因、损失程度的除外。</w:t>
      </w: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3"/>
        </w:numPr>
        <w:tabs>
          <w:tab w:pos="1364" w:val="left" w:leader="none"/>
          <w:tab w:pos="1365" w:val="left" w:leader="none"/>
        </w:tabs>
        <w:spacing w:line="194" w:lineRule="auto" w:before="58" w:after="0"/>
        <w:ind w:left="1364" w:right="0" w:hanging="850"/>
        <w:jc w:val="left"/>
      </w:pPr>
      <w:r>
        <w:rPr>
          <w:spacing w:val="-9"/>
        </w:rPr>
        <w:t>保 险 金 申</w:t>
      </w:r>
      <w:r>
        <w:rPr>
          <w:spacing w:val="-10"/>
        </w:rPr>
        <w:t>请</w:t>
      </w:r>
    </w:p>
    <w:p>
      <w:pPr>
        <w:pStyle w:val="BodyText"/>
        <w:spacing w:before="72"/>
        <w:ind w:left="180"/>
      </w:pPr>
      <w:r>
        <w:rPr/>
        <w:br w:type="column"/>
      </w:r>
      <w:r>
        <w:rPr>
          <w:spacing w:val="-3"/>
        </w:rPr>
        <w:t>在申请保险金时，请按照下列方式办理：</w:t>
      </w:r>
    </w:p>
    <w:p>
      <w:pPr>
        <w:spacing w:after="0"/>
        <w:sectPr>
          <w:type w:val="continuous"/>
          <w:pgSz w:w="11910" w:h="16840"/>
          <w:pgMar w:top="740" w:bottom="280" w:left="920" w:right="820"/>
          <w:cols w:num="2" w:equalWidth="0">
            <w:col w:w="2369" w:space="40"/>
            <w:col w:w="7761"/>
          </w:cols>
        </w:sectPr>
      </w:pPr>
    </w:p>
    <w:p>
      <w:pPr>
        <w:pStyle w:val="BodyText"/>
        <w:spacing w:before="7"/>
        <w:rPr>
          <w:sz w:val="19"/>
        </w:rPr>
      </w:pPr>
    </w:p>
    <w:p>
      <w:pPr>
        <w:spacing w:after="0"/>
        <w:rPr>
          <w:sz w:val="19"/>
        </w:rPr>
        <w:sectPr>
          <w:type w:val="continuous"/>
          <w:pgSz w:w="11910" w:h="16840"/>
          <w:pgMar w:top="740" w:bottom="280" w:left="920" w:right="820"/>
        </w:sectPr>
      </w:pPr>
    </w:p>
    <w:p>
      <w:pPr>
        <w:pStyle w:val="Heading1"/>
        <w:spacing w:line="163" w:lineRule="auto" w:before="77"/>
        <w:ind w:left="1307"/>
        <w:jc w:val="both"/>
      </w:pPr>
      <w:r>
        <w:rPr/>
        <w:pict>
          <v:shape style="position:absolute;margin-left:156.719635pt;margin-top:45.114231pt;width:1.45pt;height:2.9pt;mso-position-horizontal-relative:page;mso-position-vertical-relative:paragraph;z-index:-17704960" type="#_x0000_t202" id="docshape77"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spacing w:val="33"/>
        </w:rPr>
        <w:t>首次重大</w:t>
      </w:r>
      <w:r>
        <w:rPr>
          <w:spacing w:val="33"/>
        </w:rPr>
        <w:t>疾病保险</w:t>
      </w:r>
      <w:r>
        <w:rPr>
          <w:spacing w:val="-23"/>
        </w:rPr>
        <w:t>金、少儿特</w:t>
      </w:r>
      <w:r>
        <w:rPr>
          <w:spacing w:val="33"/>
        </w:rPr>
        <w:t>定疾病保</w:t>
      </w:r>
      <w:r>
        <w:rPr>
          <w:spacing w:val="-23"/>
        </w:rPr>
        <w:t>险金、中症</w:t>
      </w:r>
      <w:r>
        <w:rPr>
          <w:spacing w:val="33"/>
        </w:rPr>
        <w:t>疾病保险</w:t>
      </w:r>
      <w:r>
        <w:rPr>
          <w:spacing w:val="-22"/>
        </w:rPr>
        <w:t>金、轻症疾</w:t>
      </w:r>
    </w:p>
    <w:p>
      <w:pPr>
        <w:pStyle w:val="BodyText"/>
        <w:spacing w:line="278" w:lineRule="auto" w:before="73"/>
        <w:ind w:left="132" w:right="301"/>
        <w:jc w:val="both"/>
      </w:pPr>
      <w:r>
        <w:rPr/>
        <w:br w:type="column"/>
      </w:r>
      <w:r>
        <w:rPr>
          <w:spacing w:val="-4"/>
        </w:rPr>
        <w:t>在申请首次重大疾病保险金、少儿特定疾病保险金、中症疾病保险金、轻症疾病</w:t>
      </w:r>
      <w:r>
        <w:rPr>
          <w:spacing w:val="-4"/>
        </w:rPr>
        <w:t>保险金、第二次恶性肿瘤——重度关爱保险金和第二次重大疾病保险金时，受益</w:t>
      </w:r>
      <w:r>
        <w:rPr>
          <w:spacing w:val="-2"/>
        </w:rPr>
        <w:t>人须填写保险金给付申请书，并提供下列证明和资料：</w:t>
      </w:r>
    </w:p>
    <w:p>
      <w:pPr>
        <w:pStyle w:val="ListParagraph"/>
        <w:numPr>
          <w:ilvl w:val="0"/>
          <w:numId w:val="4"/>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4"/>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4"/>
        </w:numPr>
        <w:tabs>
          <w:tab w:pos="662" w:val="left" w:leader="none"/>
        </w:tabs>
        <w:spacing w:line="278" w:lineRule="auto" w:before="38" w:after="0"/>
        <w:ind w:left="660" w:right="325" w:hanging="528"/>
        <w:jc w:val="left"/>
        <w:rPr>
          <w:sz w:val="21"/>
        </w:rPr>
      </w:pPr>
      <w:r>
        <w:rPr>
          <w:spacing w:val="-2"/>
          <w:sz w:val="21"/>
        </w:rPr>
        <w:t>医院出具的附有病理显微镜检查、血液检验及其他科学方法检验报告的疾</w:t>
      </w:r>
      <w:r>
        <w:rPr>
          <w:spacing w:val="-2"/>
          <w:sz w:val="21"/>
        </w:rPr>
        <w:t>病诊断证明书；</w:t>
      </w:r>
    </w:p>
    <w:p>
      <w:pPr>
        <w:spacing w:after="0" w:line="278" w:lineRule="auto"/>
        <w:jc w:val="left"/>
        <w:rPr>
          <w:sz w:val="21"/>
        </w:rPr>
        <w:sectPr>
          <w:type w:val="continuous"/>
          <w:pgSz w:w="11910" w:h="16840"/>
          <w:pgMar w:top="740" w:bottom="280" w:left="920" w:right="820"/>
          <w:cols w:num="2" w:equalWidth="0">
            <w:col w:w="2417" w:space="40"/>
            <w:col w:w="7713"/>
          </w:cols>
        </w:sectPr>
      </w:pPr>
    </w:p>
    <w:p>
      <w:pPr>
        <w:pStyle w:val="BodyText"/>
        <w:spacing w:line="199" w:lineRule="exact"/>
        <w:ind w:left="1307"/>
      </w:pPr>
      <w:r>
        <w:rPr>
          <w:rFonts w:ascii="微软雅黑" w:eastAsia="微软雅黑"/>
          <w:b/>
          <w:spacing w:val="5"/>
          <w:position w:val="7"/>
          <w:sz w:val="24"/>
        </w:rPr>
        <w:t>病保险金、 </w:t>
      </w:r>
      <w:r>
        <w:rPr>
          <w:spacing w:val="-2"/>
        </w:rPr>
        <w:t>（4）</w:t>
      </w:r>
      <w:r>
        <w:rPr>
          <w:spacing w:val="-3"/>
        </w:rPr>
        <w:t>所能提供的与确认保险事故的性质、原因等有关的其他证明和资料。</w:t>
      </w:r>
    </w:p>
    <w:p>
      <w:pPr>
        <w:spacing w:line="163" w:lineRule="auto" w:before="26"/>
        <w:ind w:left="1307" w:right="7746" w:firstLine="0"/>
        <w:jc w:val="left"/>
        <w:rPr>
          <w:rFonts w:ascii="微软雅黑" w:hAnsi="微软雅黑" w:eastAsia="微软雅黑"/>
          <w:b/>
          <w:sz w:val="24"/>
        </w:rPr>
      </w:pPr>
      <w:r>
        <w:rPr>
          <w:rFonts w:ascii="微软雅黑" w:hAnsi="微软雅黑" w:eastAsia="微软雅黑"/>
          <w:b/>
          <w:spacing w:val="33"/>
          <w:sz w:val="24"/>
        </w:rPr>
        <w:t>第二次恶</w:t>
      </w:r>
      <w:r>
        <w:rPr>
          <w:rFonts w:ascii="微软雅黑" w:hAnsi="微软雅黑" w:eastAsia="微软雅黑"/>
          <w:b/>
          <w:spacing w:val="31"/>
          <w:sz w:val="24"/>
        </w:rPr>
        <w:t>性肿瘤—</w:t>
      </w:r>
    </w:p>
    <w:p>
      <w:pPr>
        <w:spacing w:line="163" w:lineRule="auto" w:before="0"/>
        <w:ind w:left="1307" w:right="7746" w:firstLine="0"/>
        <w:jc w:val="left"/>
        <w:rPr>
          <w:rFonts w:ascii="微软雅黑" w:hAnsi="微软雅黑" w:eastAsia="微软雅黑"/>
          <w:b/>
          <w:sz w:val="24"/>
        </w:rPr>
      </w:pPr>
      <w:r>
        <w:rPr>
          <w:rFonts w:ascii="微软雅黑" w:hAnsi="微软雅黑" w:eastAsia="微软雅黑"/>
          <w:b/>
          <w:spacing w:val="9"/>
          <w:sz w:val="24"/>
        </w:rPr>
        <w:t>— 重度关</w:t>
      </w:r>
      <w:r>
        <w:rPr>
          <w:rFonts w:ascii="微软雅黑" w:hAnsi="微软雅黑" w:eastAsia="微软雅黑"/>
          <w:b/>
          <w:spacing w:val="34"/>
          <w:sz w:val="24"/>
        </w:rPr>
        <w:t>爱保险金</w:t>
      </w:r>
    </w:p>
    <w:p>
      <w:pPr>
        <w:spacing w:after="0" w:line="163" w:lineRule="auto"/>
        <w:jc w:val="left"/>
        <w:rPr>
          <w:rFonts w:ascii="微软雅黑" w:hAnsi="微软雅黑" w:eastAsia="微软雅黑"/>
          <w:sz w:val="24"/>
        </w:rPr>
        <w:sectPr>
          <w:type w:val="continuous"/>
          <w:pgSz w:w="11910" w:h="16840"/>
          <w:pgMar w:top="740" w:bottom="280" w:left="920" w:right="820"/>
        </w:sectPr>
      </w:pPr>
    </w:p>
    <w:p>
      <w:pPr>
        <w:spacing w:line="163" w:lineRule="auto" w:before="64"/>
        <w:ind w:left="1307" w:right="7746" w:firstLine="0"/>
        <w:jc w:val="both"/>
        <w:rPr>
          <w:rFonts w:ascii="微软雅黑" w:eastAsia="微软雅黑"/>
          <w:b/>
          <w:sz w:val="24"/>
        </w:rPr>
      </w:pPr>
      <w:r>
        <w:rPr>
          <w:rFonts w:ascii="微软雅黑" w:eastAsia="微软雅黑"/>
          <w:b/>
          <w:spacing w:val="33"/>
          <w:sz w:val="24"/>
        </w:rPr>
        <w:t>和第二次</w:t>
      </w:r>
      <w:r>
        <w:rPr>
          <w:rFonts w:ascii="微软雅黑" w:eastAsia="微软雅黑"/>
          <w:b/>
          <w:spacing w:val="33"/>
          <w:sz w:val="24"/>
        </w:rPr>
        <w:t>重大疾病保险金申</w:t>
      </w:r>
      <w:r>
        <w:rPr>
          <w:rFonts w:ascii="微软雅黑" w:eastAsia="微软雅黑"/>
          <w:b/>
          <w:spacing w:val="-10"/>
          <w:sz w:val="24"/>
        </w:rPr>
        <w:t>请</w:t>
      </w:r>
    </w:p>
    <w:p>
      <w:pPr>
        <w:pStyle w:val="BodyText"/>
        <w:spacing w:before="10"/>
        <w:rPr>
          <w:rFonts w:ascii="微软雅黑"/>
          <w:b/>
          <w:sz w:val="12"/>
        </w:rPr>
      </w:pPr>
    </w:p>
    <w:p>
      <w:pPr>
        <w:spacing w:after="0"/>
        <w:rPr>
          <w:rFonts w:ascii="微软雅黑"/>
          <w:sz w:val="12"/>
        </w:rPr>
        <w:sectPr>
          <w:pgSz w:w="11910" w:h="16840"/>
          <w:pgMar w:top="1080" w:bottom="280" w:left="920" w:right="820"/>
        </w:sectPr>
      </w:pPr>
    </w:p>
    <w:p>
      <w:pPr>
        <w:spacing w:line="163" w:lineRule="auto" w:before="77"/>
        <w:ind w:left="1307" w:right="0" w:firstLine="0"/>
        <w:jc w:val="both"/>
        <w:rPr>
          <w:rFonts w:ascii="微软雅黑" w:eastAsia="微软雅黑"/>
          <w:b/>
          <w:sz w:val="24"/>
        </w:rPr>
      </w:pPr>
      <w:r>
        <w:rPr/>
        <w:pict>
          <v:shape style="position:absolute;margin-left:113.280121pt;margin-top:15.117547pt;width:1.45pt;height:2.9pt;mso-position-horizontal-relative:page;mso-position-vertical-relative:paragraph;z-index:-17704448" type="#_x0000_t202" id="docshape78" filled="false" stroked="false">
            <v:textbox inset="0,0,0,0">
              <w:txbxContent>
                <w:p>
                  <w:pPr>
                    <w:spacing w:line="50" w:lineRule="exact" w:before="7"/>
                    <w:ind w:left="0" w:right="0" w:firstLine="0"/>
                    <w:jc w:val="left"/>
                    <w:rPr>
                      <w:sz w:val="4"/>
                    </w:rPr>
                  </w:pPr>
                  <w:r>
                    <w:rPr>
                      <w:w w:val="72"/>
                      <w:sz w:val="4"/>
                    </w:rPr>
                    <w:t>●</w:t>
                  </w:r>
                </w:p>
              </w:txbxContent>
            </v:textbox>
            <w10:wrap type="none"/>
          </v:shape>
        </w:pict>
      </w:r>
      <w:r>
        <w:rPr>
          <w:rFonts w:ascii="微软雅黑" w:eastAsia="微软雅黑"/>
          <w:b/>
          <w:spacing w:val="33"/>
          <w:sz w:val="24"/>
        </w:rPr>
        <w:t>身故或全</w:t>
      </w:r>
      <w:r>
        <w:rPr>
          <w:rFonts w:ascii="微软雅黑" w:eastAsia="微软雅黑"/>
          <w:b/>
          <w:spacing w:val="33"/>
          <w:sz w:val="24"/>
        </w:rPr>
        <w:t>残保险金</w:t>
      </w:r>
      <w:r>
        <w:rPr>
          <w:rFonts w:ascii="微软雅黑" w:eastAsia="微软雅黑"/>
          <w:b/>
          <w:spacing w:val="-6"/>
          <w:sz w:val="24"/>
        </w:rPr>
        <w:t>申请</w:t>
      </w:r>
    </w:p>
    <w:p>
      <w:pPr>
        <w:pStyle w:val="BodyText"/>
        <w:spacing w:line="278" w:lineRule="auto" w:before="73"/>
        <w:ind w:left="132" w:right="301"/>
      </w:pPr>
      <w:r>
        <w:rPr/>
        <w:br w:type="column"/>
      </w:r>
      <w:r>
        <w:rPr>
          <w:spacing w:val="-4"/>
        </w:rPr>
        <w:t>在申请身故或全残保险金时，受益人须填写保险金给付申请书，并提供下列证明</w:t>
      </w:r>
      <w:r>
        <w:rPr>
          <w:spacing w:val="-4"/>
        </w:rPr>
        <w:t>和资料：</w:t>
      </w:r>
    </w:p>
    <w:p>
      <w:pPr>
        <w:pStyle w:val="ListParagraph"/>
        <w:numPr>
          <w:ilvl w:val="0"/>
          <w:numId w:val="5"/>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5"/>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5"/>
        </w:numPr>
        <w:tabs>
          <w:tab w:pos="662" w:val="left" w:leader="none"/>
        </w:tabs>
        <w:spacing w:line="240" w:lineRule="auto" w:before="43" w:after="0"/>
        <w:ind w:left="661" w:right="0" w:hanging="530"/>
        <w:jc w:val="left"/>
        <w:rPr>
          <w:sz w:val="21"/>
        </w:rPr>
      </w:pPr>
      <w:r>
        <w:rPr>
          <w:spacing w:val="-7"/>
          <w:sz w:val="21"/>
        </w:rPr>
        <w:t>由双方认可的伤残鉴定机构出具的残疾程度鉴定书</w:t>
      </w:r>
      <w:r>
        <w:rPr>
          <w:spacing w:val="-2"/>
          <w:sz w:val="21"/>
        </w:rPr>
        <w:t>（被保险人全残时提供</w:t>
      </w:r>
      <w:r>
        <w:rPr>
          <w:spacing w:val="-111"/>
          <w:sz w:val="21"/>
        </w:rPr>
        <w:t>）</w:t>
      </w:r>
      <w:r>
        <w:rPr>
          <w:spacing w:val="-5"/>
          <w:sz w:val="21"/>
        </w:rPr>
        <w:t>；</w:t>
      </w:r>
    </w:p>
    <w:p>
      <w:pPr>
        <w:pStyle w:val="ListParagraph"/>
        <w:numPr>
          <w:ilvl w:val="0"/>
          <w:numId w:val="5"/>
        </w:numPr>
        <w:tabs>
          <w:tab w:pos="662" w:val="left" w:leader="none"/>
        </w:tabs>
        <w:spacing w:line="278" w:lineRule="auto" w:before="43" w:after="0"/>
        <w:ind w:left="656" w:right="296" w:hanging="524"/>
        <w:jc w:val="left"/>
        <w:rPr>
          <w:sz w:val="21"/>
        </w:rPr>
      </w:pPr>
      <w:r>
        <w:rPr>
          <w:spacing w:val="-2"/>
          <w:sz w:val="21"/>
        </w:rPr>
        <w:t>国家卫生行政部门认定的医疗机构、公安部门或其他相关机构出具的被保</w:t>
      </w:r>
      <w:r>
        <w:rPr>
          <w:spacing w:val="-2"/>
          <w:sz w:val="21"/>
        </w:rPr>
        <w:t>险人的死亡证明（被保险人身故时提供</w:t>
      </w:r>
      <w:r>
        <w:rPr>
          <w:spacing w:val="-111"/>
          <w:sz w:val="21"/>
        </w:rPr>
        <w:t>）</w:t>
      </w:r>
      <w:r>
        <w:rPr>
          <w:sz w:val="21"/>
        </w:rPr>
        <w:t>；</w:t>
      </w:r>
    </w:p>
    <w:p>
      <w:pPr>
        <w:pStyle w:val="ListParagraph"/>
        <w:numPr>
          <w:ilvl w:val="0"/>
          <w:numId w:val="5"/>
        </w:numPr>
        <w:tabs>
          <w:tab w:pos="662" w:val="left" w:leader="none"/>
        </w:tabs>
        <w:spacing w:line="269" w:lineRule="exact" w:before="0" w:after="0"/>
        <w:ind w:left="661" w:right="0" w:hanging="530"/>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top="740" w:bottom="280" w:left="920" w:right="820"/>
          <w:cols w:num="2" w:equalWidth="0">
            <w:col w:w="2417" w:space="40"/>
            <w:col w:w="7713"/>
          </w:cols>
        </w:sectPr>
      </w:pPr>
    </w:p>
    <w:p>
      <w:pPr>
        <w:pStyle w:val="BodyText"/>
        <w:rPr>
          <w:sz w:val="22"/>
        </w:rPr>
      </w:pPr>
    </w:p>
    <w:p>
      <w:pPr>
        <w:spacing w:after="0"/>
        <w:rPr>
          <w:sz w:val="22"/>
        </w:rPr>
        <w:sectPr>
          <w:type w:val="continuous"/>
          <w:pgSz w:w="11910" w:h="16840"/>
          <w:pgMar w:top="740" w:bottom="280" w:left="920" w:right="820"/>
        </w:sectPr>
      </w:pPr>
    </w:p>
    <w:p>
      <w:pPr>
        <w:pStyle w:val="Heading2"/>
        <w:spacing w:line="235" w:lineRule="auto"/>
        <w:ind w:left="1307"/>
      </w:pPr>
      <w:r>
        <w:rPr>
          <w:spacing w:val="33"/>
        </w:rPr>
        <w:t>重大疾病</w:t>
      </w:r>
      <w:r>
        <w:rPr>
          <w:spacing w:val="33"/>
        </w:rPr>
        <w:t>津贴保险</w:t>
      </w:r>
      <w:r>
        <w:rPr>
          <w:spacing w:val="-4"/>
        </w:rPr>
        <w:t>金申请</w:t>
      </w:r>
    </w:p>
    <w:p>
      <w:pPr>
        <w:pStyle w:val="BodyText"/>
        <w:spacing w:line="278" w:lineRule="auto" w:before="73"/>
        <w:ind w:left="132" w:right="301"/>
      </w:pPr>
      <w:r>
        <w:rPr/>
        <w:br w:type="column"/>
      </w:r>
      <w:r>
        <w:rPr>
          <w:spacing w:val="-4"/>
        </w:rPr>
        <w:t>在申请重大疾病津贴保险金时，受益人须填写保险金给付申请书，并提供下列证</w:t>
      </w:r>
      <w:r>
        <w:rPr>
          <w:spacing w:val="-2"/>
        </w:rPr>
        <w:t>明和资料：</w:t>
      </w:r>
    </w:p>
    <w:p>
      <w:pPr>
        <w:pStyle w:val="ListParagraph"/>
        <w:numPr>
          <w:ilvl w:val="0"/>
          <w:numId w:val="6"/>
        </w:numPr>
        <w:tabs>
          <w:tab w:pos="662" w:val="left" w:leader="none"/>
        </w:tabs>
        <w:spacing w:line="269" w:lineRule="exact" w:before="0" w:after="0"/>
        <w:ind w:left="661" w:right="0" w:hanging="530"/>
        <w:jc w:val="left"/>
        <w:rPr>
          <w:sz w:val="21"/>
        </w:rPr>
      </w:pPr>
      <w:r>
        <w:rPr>
          <w:spacing w:val="-4"/>
          <w:sz w:val="21"/>
        </w:rPr>
        <w:t>保险合同；</w:t>
      </w:r>
    </w:p>
    <w:p>
      <w:pPr>
        <w:pStyle w:val="ListParagraph"/>
        <w:numPr>
          <w:ilvl w:val="0"/>
          <w:numId w:val="6"/>
        </w:numPr>
        <w:tabs>
          <w:tab w:pos="662" w:val="left" w:leader="none"/>
        </w:tabs>
        <w:spacing w:line="240" w:lineRule="auto" w:before="43" w:after="0"/>
        <w:ind w:left="661" w:right="0" w:hanging="530"/>
        <w:jc w:val="left"/>
        <w:rPr>
          <w:sz w:val="21"/>
        </w:rPr>
      </w:pPr>
      <w:r>
        <w:rPr>
          <w:spacing w:val="-3"/>
          <w:sz w:val="21"/>
        </w:rPr>
        <w:t>受益人的有效身份证件；</w:t>
      </w:r>
    </w:p>
    <w:p>
      <w:pPr>
        <w:pStyle w:val="ListParagraph"/>
        <w:numPr>
          <w:ilvl w:val="0"/>
          <w:numId w:val="6"/>
        </w:numPr>
        <w:tabs>
          <w:tab w:pos="662" w:val="left" w:leader="none"/>
        </w:tabs>
        <w:spacing w:line="310" w:lineRule="atLeast" w:before="2" w:after="0"/>
        <w:ind w:left="660" w:right="325" w:hanging="528"/>
        <w:jc w:val="left"/>
        <w:rPr>
          <w:sz w:val="21"/>
        </w:rPr>
      </w:pPr>
      <w:r>
        <w:rPr>
          <w:spacing w:val="-2"/>
          <w:sz w:val="21"/>
        </w:rPr>
        <w:t>医院出具的附有病理显微镜检查、血液检验及其他科学方法检验报告的疾</w:t>
      </w:r>
      <w:r>
        <w:rPr>
          <w:spacing w:val="-2"/>
          <w:sz w:val="21"/>
        </w:rPr>
        <w:t>病诊断证明书；</w:t>
      </w:r>
    </w:p>
    <w:p>
      <w:pPr>
        <w:spacing w:line="12" w:lineRule="exact" w:before="0"/>
        <w:ind w:left="699" w:right="0" w:firstLine="0"/>
        <w:jc w:val="left"/>
        <w:rPr>
          <w:sz w:val="4"/>
        </w:rPr>
      </w:pPr>
      <w:r>
        <w:rPr>
          <w:w w:val="72"/>
          <w:sz w:val="4"/>
        </w:rPr>
        <w:t>●</w:t>
      </w:r>
    </w:p>
    <w:p>
      <w:pPr>
        <w:pStyle w:val="ListParagraph"/>
        <w:numPr>
          <w:ilvl w:val="0"/>
          <w:numId w:val="6"/>
        </w:numPr>
        <w:tabs>
          <w:tab w:pos="662" w:val="left" w:leader="none"/>
        </w:tabs>
        <w:spacing w:line="278" w:lineRule="auto" w:before="33" w:after="0"/>
        <w:ind w:left="660" w:right="325" w:hanging="528"/>
        <w:jc w:val="left"/>
        <w:rPr>
          <w:sz w:val="21"/>
        </w:rPr>
      </w:pPr>
      <w:r>
        <w:rPr>
          <w:spacing w:val="-2"/>
          <w:sz w:val="21"/>
        </w:rPr>
        <w:t>医疗机构出具的病历材料（包括门急诊病历、住院病历或出院小结以及相</w:t>
      </w:r>
      <w:r>
        <w:rPr>
          <w:spacing w:val="-2"/>
          <w:sz w:val="21"/>
        </w:rPr>
        <w:t>关的检查检验报告）</w:t>
      </w:r>
    </w:p>
    <w:p>
      <w:pPr>
        <w:pStyle w:val="ListParagraph"/>
        <w:numPr>
          <w:ilvl w:val="0"/>
          <w:numId w:val="6"/>
        </w:numPr>
        <w:tabs>
          <w:tab w:pos="662" w:val="left" w:leader="none"/>
        </w:tabs>
        <w:spacing w:line="269" w:lineRule="exact" w:before="0" w:after="0"/>
        <w:ind w:left="661" w:right="0" w:hanging="530"/>
        <w:jc w:val="left"/>
        <w:rPr>
          <w:sz w:val="21"/>
        </w:rPr>
      </w:pPr>
      <w:r>
        <w:rPr>
          <w:spacing w:val="-3"/>
          <w:sz w:val="21"/>
        </w:rPr>
        <w:t>所能提供的与确认保险事故的性质、原因等有关的其他证明和资料。</w:t>
      </w:r>
    </w:p>
    <w:p>
      <w:pPr>
        <w:pStyle w:val="BodyText"/>
        <w:spacing w:before="9"/>
        <w:rPr>
          <w:sz w:val="27"/>
        </w:rPr>
      </w:pPr>
    </w:p>
    <w:p>
      <w:pPr>
        <w:pStyle w:val="BodyText"/>
        <w:spacing w:line="278" w:lineRule="auto"/>
        <w:ind w:left="132" w:right="301" w:hanging="1"/>
      </w:pPr>
      <w:r>
        <w:rPr>
          <w:spacing w:val="-4"/>
        </w:rPr>
        <w:t>对于以上各项保险金，如受益人委托他人代为申请的，受托人还应提供受益人亲</w:t>
      </w:r>
      <w:r>
        <w:rPr>
          <w:spacing w:val="-2"/>
        </w:rPr>
        <w:t>笔签名的授权委托书、受托人的有效身份证件等相关证明文件。</w:t>
      </w:r>
    </w:p>
    <w:p>
      <w:pPr>
        <w:pStyle w:val="BodyText"/>
        <w:spacing w:before="4"/>
        <w:rPr>
          <w:sz w:val="24"/>
        </w:rPr>
      </w:pPr>
    </w:p>
    <w:p>
      <w:pPr>
        <w:pStyle w:val="BodyText"/>
        <w:ind w:left="132"/>
      </w:pPr>
      <w:r>
        <w:rPr>
          <w:spacing w:val="-3"/>
        </w:rPr>
        <w:t>保险金作为被保险人遗产时，必须提供可证明合法继承权的相关权利文件。</w:t>
      </w:r>
    </w:p>
    <w:p>
      <w:pPr>
        <w:pStyle w:val="BodyText"/>
        <w:spacing w:before="6"/>
        <w:rPr>
          <w:sz w:val="24"/>
        </w:rPr>
      </w:pPr>
    </w:p>
    <w:p>
      <w:pPr>
        <w:pStyle w:val="BodyText"/>
        <w:spacing w:line="310" w:lineRule="atLeast"/>
        <w:ind w:left="132" w:right="301"/>
      </w:pPr>
      <w:r>
        <w:rPr>
          <w:spacing w:val="-6"/>
        </w:rPr>
        <w:t>受益人或继承人为未成年人或无民事行为能力人的，由其合法监护人代其申请领</w:t>
      </w:r>
      <w:r>
        <w:rPr>
          <w:spacing w:val="-11"/>
        </w:rPr>
        <w:t>取保险金，其合法监护人还必须提供受益人或继承人为未成年人或无民事行为能</w:t>
      </w:r>
    </w:p>
    <w:p>
      <w:pPr>
        <w:spacing w:line="12" w:lineRule="exact" w:before="0"/>
        <w:ind w:left="171" w:right="0" w:firstLine="0"/>
        <w:jc w:val="left"/>
        <w:rPr>
          <w:sz w:val="4"/>
        </w:rPr>
      </w:pPr>
      <w:r>
        <w:rPr>
          <w:w w:val="72"/>
          <w:sz w:val="4"/>
        </w:rPr>
        <w:t>●</w:t>
      </w:r>
    </w:p>
    <w:p>
      <w:pPr>
        <w:pStyle w:val="BodyText"/>
        <w:spacing w:before="33"/>
        <w:ind w:left="132"/>
      </w:pPr>
      <w:r>
        <w:rPr>
          <w:spacing w:val="-3"/>
        </w:rPr>
        <w:t>力人的证明和监护人具有合法监护权的证明。</w:t>
      </w:r>
    </w:p>
    <w:p>
      <w:pPr>
        <w:pStyle w:val="BodyText"/>
        <w:spacing w:before="9"/>
        <w:rPr>
          <w:sz w:val="27"/>
        </w:rPr>
      </w:pPr>
    </w:p>
    <w:p>
      <w:pPr>
        <w:pStyle w:val="BodyText"/>
        <w:ind w:left="132"/>
      </w:pPr>
      <w:r>
        <w:rPr>
          <w:spacing w:val="-3"/>
        </w:rPr>
        <w:t>以上证明和资料不完整的，我们将一次性通知受益人补充提供有关证明和资料。</w:t>
      </w:r>
    </w:p>
    <w:p>
      <w:pPr>
        <w:spacing w:after="0"/>
        <w:sectPr>
          <w:type w:val="continuous"/>
          <w:pgSz w:w="11910" w:h="16840"/>
          <w:pgMar w:top="740" w:bottom="280" w:left="920" w:right="820"/>
          <w:cols w:num="2" w:equalWidth="0">
            <w:col w:w="2417" w:space="40"/>
            <w:col w:w="7713"/>
          </w:cols>
        </w:sectPr>
      </w:pPr>
    </w:p>
    <w:p>
      <w:pPr>
        <w:pStyle w:val="BodyText"/>
        <w:spacing w:before="2"/>
        <w:rPr>
          <w:sz w:val="22"/>
        </w:rPr>
      </w:pPr>
    </w:p>
    <w:p>
      <w:pPr>
        <w:spacing w:after="0"/>
        <w:rPr>
          <w:sz w:val="22"/>
        </w:rPr>
        <w:sectPr>
          <w:type w:val="continuous"/>
          <w:pgSz w:w="11910" w:h="16840"/>
          <w:pgMar w:top="740" w:bottom="280" w:left="920" w:right="820"/>
        </w:sectPr>
      </w:pPr>
    </w:p>
    <w:p>
      <w:pPr>
        <w:pStyle w:val="Heading3"/>
        <w:numPr>
          <w:ilvl w:val="1"/>
          <w:numId w:val="3"/>
        </w:numPr>
        <w:tabs>
          <w:tab w:pos="1364" w:val="left" w:leader="none"/>
          <w:tab w:pos="1365" w:val="left" w:leader="none"/>
        </w:tabs>
        <w:spacing w:line="194" w:lineRule="auto" w:before="57" w:after="0"/>
        <w:ind w:left="1364" w:right="0" w:hanging="850"/>
        <w:jc w:val="left"/>
      </w:pPr>
      <w:r>
        <w:rPr>
          <w:spacing w:val="-9"/>
        </w:rPr>
        <w:t>保 险 金 给</w:t>
      </w:r>
      <w:r>
        <w:rPr>
          <w:spacing w:val="-10"/>
        </w:rPr>
        <w:t>付</w:t>
      </w:r>
    </w:p>
    <w:p>
      <w:pPr>
        <w:pStyle w:val="BodyText"/>
        <w:spacing w:line="278" w:lineRule="auto" w:before="71"/>
        <w:ind w:left="180" w:right="195"/>
      </w:pPr>
      <w:r>
        <w:rPr/>
        <w:br w:type="column"/>
      </w:r>
      <w:r>
        <w:rPr>
          <w:spacing w:val="-6"/>
        </w:rPr>
        <w:t>我们在收到保险金给付申请书及合同约定的证明和资料后，将在</w:t>
      </w:r>
      <w:r>
        <w:rPr>
          <w:spacing w:val="-2"/>
        </w:rPr>
        <w:t>5日内作出核定；</w:t>
      </w:r>
      <w:r>
        <w:rPr>
          <w:spacing w:val="-2"/>
        </w:rPr>
        <w:t>情形复杂的，在30日内作出核定。</w:t>
      </w:r>
    </w:p>
    <w:p>
      <w:pPr>
        <w:pStyle w:val="BodyText"/>
        <w:spacing w:before="4"/>
        <w:rPr>
          <w:sz w:val="24"/>
        </w:rPr>
      </w:pPr>
    </w:p>
    <w:p>
      <w:pPr>
        <w:pStyle w:val="BodyText"/>
        <w:spacing w:line="278" w:lineRule="auto"/>
        <w:ind w:left="180" w:right="301"/>
      </w:pPr>
      <w:r>
        <w:rPr>
          <w:spacing w:val="-4"/>
        </w:rPr>
        <w:t>对属于保险责任的，我们在与受益人达成给付保险金的协议后10日内，履行给付</w:t>
      </w:r>
      <w:r>
        <w:rPr>
          <w:spacing w:val="-2"/>
        </w:rPr>
        <w:t>保险金义务。</w:t>
      </w:r>
    </w:p>
    <w:p>
      <w:pPr>
        <w:pStyle w:val="BodyText"/>
        <w:spacing w:before="4"/>
        <w:rPr>
          <w:sz w:val="24"/>
        </w:rPr>
      </w:pPr>
    </w:p>
    <w:p>
      <w:pPr>
        <w:pStyle w:val="BodyText"/>
        <w:spacing w:line="278" w:lineRule="auto" w:before="1"/>
        <w:ind w:left="180" w:right="301"/>
        <w:jc w:val="both"/>
      </w:pPr>
      <w:r>
        <w:rPr>
          <w:spacing w:val="-4"/>
        </w:rPr>
        <w:t>我们未及时履行前款规定义务的，对属于保险责任的，除支付保险金外，应当赔</w:t>
      </w:r>
      <w:r>
        <w:rPr>
          <w:spacing w:val="-9"/>
        </w:rPr>
        <w:t>偿受益人因此受到的利息损失。利息损失指根据中国人民银行最近一次已公布的</w:t>
      </w:r>
      <w:r>
        <w:rPr>
          <w:spacing w:val="-2"/>
        </w:rPr>
        <w:t>同期的人民币活期存款基准利率计算的利息损失。</w:t>
      </w:r>
    </w:p>
    <w:p>
      <w:pPr>
        <w:pStyle w:val="BodyText"/>
        <w:spacing w:before="3"/>
        <w:rPr>
          <w:sz w:val="24"/>
        </w:rPr>
      </w:pPr>
    </w:p>
    <w:p>
      <w:pPr>
        <w:pStyle w:val="BodyText"/>
        <w:spacing w:before="1"/>
        <w:ind w:left="180"/>
      </w:pPr>
      <w:r>
        <w:rPr>
          <w:spacing w:val="-2"/>
        </w:rPr>
        <w:t>对不属于保险责任的，我们自作出核定之日起3</w:t>
      </w:r>
      <w:r>
        <w:rPr>
          <w:spacing w:val="-3"/>
        </w:rPr>
        <w:t>日内向受益人发出拒绝给付保险</w:t>
      </w:r>
    </w:p>
    <w:p>
      <w:pPr>
        <w:spacing w:after="0"/>
        <w:sectPr>
          <w:type w:val="continuous"/>
          <w:pgSz w:w="11910" w:h="16840"/>
          <w:pgMar w:top="740" w:bottom="280" w:left="920" w:right="820"/>
          <w:cols w:num="2" w:equalWidth="0">
            <w:col w:w="2369" w:space="40"/>
            <w:col w:w="7761"/>
          </w:cols>
        </w:sectPr>
      </w:pPr>
    </w:p>
    <w:p>
      <w:pPr>
        <w:pStyle w:val="BodyText"/>
        <w:spacing w:before="59"/>
        <w:ind w:left="2588"/>
      </w:pPr>
      <w:r>
        <w:rPr>
          <w:spacing w:val="-3"/>
        </w:rPr>
        <w:t>金通知书并说明理由。</w:t>
      </w:r>
    </w:p>
    <w:p>
      <w:pPr>
        <w:pStyle w:val="BodyText"/>
        <w:spacing w:before="9"/>
        <w:rPr>
          <w:sz w:val="27"/>
        </w:rPr>
      </w:pPr>
    </w:p>
    <w:p>
      <w:pPr>
        <w:pStyle w:val="BodyText"/>
        <w:spacing w:line="278" w:lineRule="auto"/>
        <w:ind w:left="2588" w:right="301"/>
        <w:jc w:val="both"/>
      </w:pPr>
      <w:r>
        <w:rPr>
          <w:spacing w:val="-3"/>
        </w:rPr>
        <w:t>我们在收到保险金给付申请书及有关证明和资料之日起 </w:t>
      </w:r>
      <w:r>
        <w:rPr>
          <w:spacing w:val="-2"/>
        </w:rPr>
        <w:t>60</w:t>
      </w:r>
      <w:r>
        <w:rPr>
          <w:spacing w:val="-6"/>
        </w:rPr>
        <w:t> 日内，对给付保险金</w:t>
      </w:r>
      <w:r>
        <w:rPr>
          <w:spacing w:val="-4"/>
        </w:rPr>
        <w:t>的数额不能确定的，根据已有证明和资料可以确定的数额先予支付；我们最终确</w:t>
      </w:r>
      <w:r>
        <w:rPr>
          <w:spacing w:val="-2"/>
        </w:rPr>
        <w:t>定给付保险金的数额后，将支付相应的差额。</w:t>
      </w:r>
    </w:p>
    <w:p>
      <w:pPr>
        <w:pStyle w:val="BodyText"/>
        <w:spacing w:before="4"/>
        <w:rPr>
          <w:sz w:val="24"/>
        </w:rPr>
      </w:pPr>
    </w:p>
    <w:p>
      <w:pPr>
        <w:pStyle w:val="BodyText"/>
        <w:spacing w:line="278" w:lineRule="auto"/>
        <w:ind w:left="2588" w:right="301"/>
        <w:jc w:val="both"/>
      </w:pPr>
      <w:r>
        <w:rPr>
          <w:spacing w:val="-4"/>
        </w:rPr>
        <w:t>在本合同有效期内，如果被保险人失踪且被法院宣告死亡，我们以法院判决宣告</w:t>
      </w:r>
      <w:r>
        <w:rPr>
          <w:spacing w:val="-4"/>
        </w:rPr>
        <w:t>死亡之日作为被保险人的死亡时间，按本合同的约定给付身故保险金，本合同终</w:t>
      </w:r>
      <w:r>
        <w:rPr>
          <w:spacing w:val="-6"/>
        </w:rPr>
        <w:t>止。</w:t>
      </w:r>
    </w:p>
    <w:p>
      <w:pPr>
        <w:pStyle w:val="BodyText"/>
        <w:spacing w:before="4"/>
        <w:rPr>
          <w:sz w:val="24"/>
        </w:rPr>
      </w:pPr>
    </w:p>
    <w:p>
      <w:pPr>
        <w:pStyle w:val="BodyText"/>
        <w:spacing w:line="278" w:lineRule="auto"/>
        <w:ind w:left="2588" w:right="219"/>
      </w:pPr>
      <w:r>
        <w:rPr>
          <w:spacing w:val="-2"/>
        </w:rPr>
        <w:t>如果被保险人在宣告死亡后重新出现或者身故保险金受益人确知其没有死亡的，</w:t>
      </w:r>
      <w:r>
        <w:rPr>
          <w:spacing w:val="-1"/>
        </w:rPr>
        <w:t>身故保险金受益人应于知道或应当知道后 </w:t>
      </w:r>
      <w:r>
        <w:rPr/>
        <w:t>30</w:t>
      </w:r>
      <w:r>
        <w:rPr>
          <w:spacing w:val="-4"/>
        </w:rPr>
        <w:t> 日内向我们退还已领取的身故保险</w:t>
      </w:r>
      <w:r>
        <w:rPr>
          <w:spacing w:val="-2"/>
        </w:rPr>
        <w:t>金，本合同的效力依法确定。</w:t>
      </w:r>
    </w:p>
    <w:p>
      <w:pPr>
        <w:pStyle w:val="BodyText"/>
        <w:spacing w:before="10"/>
        <w:rPr>
          <w:sz w:val="25"/>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如何支付保险费</w:t>
      </w:r>
    </w:p>
    <w:p>
      <w:pPr>
        <w:pStyle w:val="BodyText"/>
        <w:spacing w:before="12"/>
        <w:rPr>
          <w:rFonts w:ascii="微软雅黑"/>
          <w:b/>
          <w:sz w:val="2"/>
        </w:rPr>
      </w:pPr>
      <w:r>
        <w:rPr/>
        <w:drawing>
          <wp:anchor distT="0" distB="0" distL="0" distR="0" allowOverlap="1" layoutInCell="1" locked="0" behindDoc="0" simplePos="0" relativeHeight="92">
            <wp:simplePos x="0" y="0"/>
            <wp:positionH relativeFrom="page">
              <wp:posOffset>649223</wp:posOffset>
            </wp:positionH>
            <wp:positionV relativeFrom="paragraph">
              <wp:posOffset>46593</wp:posOffset>
            </wp:positionV>
            <wp:extent cx="6312574" cy="12287"/>
            <wp:effectExtent l="0" t="0" r="0" b="0"/>
            <wp:wrapTopAndBottom/>
            <wp:docPr id="29" name="image9.png"/>
            <wp:cNvGraphicFramePr>
              <a:graphicFrameLocks noChangeAspect="1"/>
            </wp:cNvGraphicFramePr>
            <a:graphic>
              <a:graphicData uri="http://schemas.openxmlformats.org/drawingml/2006/picture">
                <pic:pic>
                  <pic:nvPicPr>
                    <pic:cNvPr id="30" name="image9.png"/>
                    <pic:cNvPicPr/>
                  </pic:nvPicPr>
                  <pic:blipFill>
                    <a:blip r:embed="rId13" cstate="print"/>
                    <a:stretch>
                      <a:fillRect/>
                    </a:stretch>
                  </pic:blipFill>
                  <pic:spPr>
                    <a:xfrm>
                      <a:off x="0" y="0"/>
                      <a:ext cx="6312574" cy="12287"/>
                    </a:xfrm>
                    <a:prstGeom prst="rect">
                      <a:avLst/>
                    </a:prstGeom>
                  </pic:spPr>
                </pic:pic>
              </a:graphicData>
            </a:graphic>
          </wp:anchor>
        </w:drawing>
      </w:r>
    </w:p>
    <w:p>
      <w:pPr>
        <w:pStyle w:val="BodyText"/>
        <w:spacing w:before="2"/>
        <w:rPr>
          <w:rFonts w:ascii="微软雅黑"/>
          <w:b/>
          <w:sz w:val="14"/>
        </w:rPr>
      </w:pPr>
    </w:p>
    <w:p>
      <w:pPr>
        <w:spacing w:after="0"/>
        <w:rPr>
          <w:rFonts w:ascii="微软雅黑"/>
          <w:sz w:val="14"/>
        </w:rPr>
        <w:sectPr>
          <w:pgSz w:w="11910" w:h="16840"/>
          <w:pgMar w:top="1080" w:bottom="280" w:left="920" w:right="820"/>
        </w:sectPr>
      </w:pPr>
    </w:p>
    <w:p>
      <w:pPr>
        <w:pStyle w:val="Heading3"/>
        <w:numPr>
          <w:ilvl w:val="1"/>
          <w:numId w:val="7"/>
        </w:numPr>
        <w:tabs>
          <w:tab w:pos="1364" w:val="left" w:leader="none"/>
          <w:tab w:pos="1365" w:val="left" w:leader="none"/>
        </w:tabs>
        <w:spacing w:line="194" w:lineRule="auto" w:before="57" w:after="0"/>
        <w:ind w:left="1364" w:right="0" w:hanging="850"/>
        <w:jc w:val="left"/>
      </w:pPr>
      <w:r>
        <w:rPr>
          <w:spacing w:val="-4"/>
        </w:rPr>
        <w:t>保险费的</w:t>
      </w:r>
      <w:r>
        <w:rPr>
          <w:spacing w:val="-6"/>
        </w:rPr>
        <w:t>支付</w:t>
      </w:r>
    </w:p>
    <w:p>
      <w:pPr>
        <w:pStyle w:val="BodyText"/>
        <w:spacing w:before="72"/>
        <w:ind w:left="339"/>
      </w:pPr>
      <w:r>
        <w:rPr/>
        <w:br w:type="column"/>
      </w:r>
      <w:r>
        <w:rPr>
          <w:spacing w:val="-3"/>
        </w:rPr>
        <w:t>本合同的交费方式和交费期间由您和我们约定并在保险单上载明。</w:t>
      </w:r>
    </w:p>
    <w:p>
      <w:pPr>
        <w:pStyle w:val="BodyText"/>
        <w:spacing w:before="12"/>
        <w:rPr>
          <w:sz w:val="26"/>
        </w:rPr>
      </w:pPr>
    </w:p>
    <w:p>
      <w:pPr>
        <w:pStyle w:val="BodyText"/>
        <w:spacing w:line="278" w:lineRule="auto"/>
        <w:ind w:left="339" w:right="301"/>
      </w:pPr>
      <w:r>
        <w:rPr>
          <w:spacing w:val="-4"/>
        </w:rPr>
        <w:t>您应当按照本合同约定向我们支付保险费。如果您选择分期支付保险费，您在支</w:t>
      </w:r>
      <w:r>
        <w:rPr>
          <w:spacing w:val="-2"/>
        </w:rPr>
        <w:t>付首期保险费后，应在每期保险费约定支付日或之前支付对应各期的保险费。</w:t>
      </w:r>
    </w:p>
    <w:p>
      <w:pPr>
        <w:spacing w:after="0" w:line="278" w:lineRule="auto"/>
        <w:sectPr>
          <w:type w:val="continuous"/>
          <w:pgSz w:w="11910" w:h="16840"/>
          <w:pgMar w:top="740" w:bottom="280" w:left="920" w:right="820"/>
          <w:cols w:num="2" w:equalWidth="0">
            <w:col w:w="2210" w:space="40"/>
            <w:col w:w="7920"/>
          </w:cols>
        </w:sectPr>
      </w:pPr>
    </w:p>
    <w:p>
      <w:pPr>
        <w:pStyle w:val="BodyText"/>
        <w:spacing w:before="9"/>
        <w:rPr>
          <w:sz w:val="18"/>
        </w:rPr>
      </w:pPr>
    </w:p>
    <w:p>
      <w:pPr>
        <w:pStyle w:val="ListParagraph"/>
        <w:numPr>
          <w:ilvl w:val="1"/>
          <w:numId w:val="7"/>
        </w:numPr>
        <w:tabs>
          <w:tab w:pos="1365" w:val="left" w:leader="none"/>
        </w:tabs>
        <w:spacing w:line="256" w:lineRule="auto" w:before="5" w:after="0"/>
        <w:ind w:left="2588" w:right="301" w:hanging="2074"/>
        <w:jc w:val="both"/>
        <w:rPr>
          <w:sz w:val="21"/>
        </w:rPr>
      </w:pPr>
      <w:r>
        <w:rPr>
          <w:rFonts w:ascii="微软雅黑" w:eastAsia="微软雅黑"/>
          <w:b/>
          <w:sz w:val="21"/>
        </w:rPr>
        <w:t>宽限期</w:t>
      </w:r>
      <w:r>
        <w:rPr>
          <w:rFonts w:ascii="微软雅黑" w:eastAsia="微软雅黑"/>
          <w:b/>
          <w:spacing w:val="421"/>
          <w:sz w:val="21"/>
        </w:rPr>
        <w:t> </w:t>
      </w:r>
      <w:r>
        <w:rPr>
          <w:sz w:val="21"/>
        </w:rPr>
        <w:t>分期支付保险费的，您支付首期保险费后，如果您到期未支付保险费，自保险费</w:t>
      </w:r>
      <w:r>
        <w:rPr>
          <w:spacing w:val="-4"/>
          <w:sz w:val="21"/>
        </w:rPr>
        <w:t>约定支付日的次日零时起 </w:t>
      </w:r>
      <w:r>
        <w:rPr>
          <w:spacing w:val="-2"/>
          <w:sz w:val="21"/>
        </w:rPr>
        <w:t>60</w:t>
      </w:r>
      <w:r>
        <w:rPr>
          <w:spacing w:val="-6"/>
          <w:sz w:val="21"/>
        </w:rPr>
        <w:t> 日为宽限期。宽限期内发生的保险事故，我们仍会</w:t>
      </w:r>
      <w:r>
        <w:rPr>
          <w:spacing w:val="-2"/>
          <w:sz w:val="21"/>
        </w:rPr>
        <w:t>承担保险责任，但在给付保险金时会扣减您欠交的保险费。</w:t>
      </w:r>
    </w:p>
    <w:p>
      <w:pPr>
        <w:pStyle w:val="BodyText"/>
        <w:spacing w:before="3"/>
        <w:rPr>
          <w:sz w:val="24"/>
        </w:rPr>
      </w:pPr>
    </w:p>
    <w:p>
      <w:pPr>
        <w:pStyle w:val="BodyText"/>
        <w:spacing w:line="278" w:lineRule="auto"/>
        <w:ind w:left="2588" w:right="301"/>
      </w:pPr>
      <w:r>
        <w:rPr>
          <w:spacing w:val="-7"/>
        </w:rPr>
        <w:t>如果您在宽限期结束之后仍未支付保险费，则本合同自宽限期满的次日零时起效</w:t>
      </w:r>
      <w:r>
        <w:rPr>
          <w:spacing w:val="-2"/>
        </w:rPr>
        <w:t>力中止，但本合同另有约定的除外。</w:t>
      </w:r>
    </w:p>
    <w:p>
      <w:pPr>
        <w:pStyle w:val="BodyText"/>
        <w:spacing w:before="10"/>
        <w:rPr>
          <w:sz w:val="25"/>
        </w:rPr>
      </w:pPr>
    </w:p>
    <w:p>
      <w:pPr>
        <w:tabs>
          <w:tab w:pos="1364" w:val="left" w:leader="none"/>
        </w:tabs>
        <w:spacing w:before="0"/>
        <w:ind w:left="409"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2"/>
          <w:sz w:val="24"/>
        </w:rPr>
        <w:t>现金价值权益</w:t>
      </w:r>
    </w:p>
    <w:p>
      <w:pPr>
        <w:pStyle w:val="BodyText"/>
        <w:spacing w:before="12"/>
        <w:rPr>
          <w:rFonts w:ascii="微软雅黑"/>
          <w:b/>
          <w:sz w:val="2"/>
        </w:rPr>
      </w:pPr>
      <w:r>
        <w:rPr/>
        <w:drawing>
          <wp:anchor distT="0" distB="0" distL="0" distR="0" allowOverlap="1" layoutInCell="1" locked="0" behindDoc="0" simplePos="0" relativeHeight="93">
            <wp:simplePos x="0" y="0"/>
            <wp:positionH relativeFrom="page">
              <wp:posOffset>649223</wp:posOffset>
            </wp:positionH>
            <wp:positionV relativeFrom="paragraph">
              <wp:posOffset>46509</wp:posOffset>
            </wp:positionV>
            <wp:extent cx="6263640" cy="12191"/>
            <wp:effectExtent l="0" t="0" r="0" b="0"/>
            <wp:wrapTopAndBottom/>
            <wp:docPr id="31" name="image3.png"/>
            <wp:cNvGraphicFramePr>
              <a:graphicFrameLocks noChangeAspect="1"/>
            </wp:cNvGraphicFramePr>
            <a:graphic>
              <a:graphicData uri="http://schemas.openxmlformats.org/drawingml/2006/picture">
                <pic:pic>
                  <pic:nvPicPr>
                    <pic:cNvPr id="32" name="image3.png"/>
                    <pic:cNvPicPr/>
                  </pic:nvPicPr>
                  <pic:blipFill>
                    <a:blip r:embed="rId7" cstate="print"/>
                    <a:stretch>
                      <a:fillRect/>
                    </a:stretch>
                  </pic:blipFill>
                  <pic:spPr>
                    <a:xfrm>
                      <a:off x="0" y="0"/>
                      <a:ext cx="6263640" cy="12191"/>
                    </a:xfrm>
                    <a:prstGeom prst="rect">
                      <a:avLst/>
                    </a:prstGeom>
                  </pic:spPr>
                </pic:pic>
              </a:graphicData>
            </a:graphic>
          </wp:anchor>
        </w:drawing>
      </w:r>
    </w:p>
    <w:p>
      <w:pPr>
        <w:pStyle w:val="ListParagraph"/>
        <w:numPr>
          <w:ilvl w:val="1"/>
          <w:numId w:val="8"/>
        </w:numPr>
        <w:tabs>
          <w:tab w:pos="1365" w:val="left" w:leader="none"/>
        </w:tabs>
        <w:spacing w:line="256" w:lineRule="auto" w:before="270" w:after="0"/>
        <w:ind w:left="2588" w:right="301" w:hanging="2074"/>
        <w:jc w:val="both"/>
        <w:rPr>
          <w:sz w:val="21"/>
        </w:rPr>
      </w:pPr>
      <w:r>
        <w:rPr>
          <w:rFonts w:ascii="微软雅黑" w:eastAsia="微软雅黑"/>
          <w:b/>
          <w:spacing w:val="42"/>
          <w:sz w:val="21"/>
        </w:rPr>
        <w:t>现金价值 </w:t>
      </w:r>
      <w:r>
        <w:rPr>
          <w:sz w:val="21"/>
        </w:rPr>
        <w:t>指保险单所具有的价值，通常体现为解除合同时，根据精算原理计算的，由我们</w:t>
      </w:r>
      <w:r>
        <w:rPr>
          <w:spacing w:val="-4"/>
          <w:sz w:val="21"/>
        </w:rPr>
        <w:t>退还的那部分金额。本合同保单年度末的现金价值会在保险单上载明。保单年度</w:t>
      </w:r>
      <w:r>
        <w:rPr>
          <w:spacing w:val="-2"/>
          <w:sz w:val="21"/>
        </w:rPr>
        <w:t>内的现金价值，您可以向我们咨询。</w:t>
      </w:r>
    </w:p>
    <w:p>
      <w:pPr>
        <w:pStyle w:val="BodyText"/>
        <w:spacing w:before="10"/>
        <w:rPr>
          <w:sz w:val="19"/>
        </w:rPr>
      </w:pPr>
    </w:p>
    <w:p>
      <w:pPr>
        <w:spacing w:after="0"/>
        <w:rPr>
          <w:sz w:val="19"/>
        </w:rPr>
        <w:sectPr>
          <w:type w:val="continuous"/>
          <w:pgSz w:w="11910" w:h="16840"/>
          <w:pgMar w:top="740" w:bottom="280" w:left="920" w:right="820"/>
        </w:sectPr>
      </w:pPr>
    </w:p>
    <w:p>
      <w:pPr>
        <w:pStyle w:val="Heading3"/>
        <w:numPr>
          <w:ilvl w:val="1"/>
          <w:numId w:val="8"/>
        </w:numPr>
        <w:tabs>
          <w:tab w:pos="1364" w:val="left" w:leader="none"/>
          <w:tab w:pos="1365" w:val="left" w:leader="none"/>
        </w:tabs>
        <w:spacing w:line="320" w:lineRule="exact" w:before="4" w:after="0"/>
        <w:ind w:left="1364" w:right="0" w:hanging="850"/>
        <w:jc w:val="left"/>
      </w:pPr>
      <w:r>
        <w:rPr>
          <w:spacing w:val="-3"/>
        </w:rPr>
        <w:t>保单贷款</w:t>
      </w:r>
    </w:p>
    <w:p>
      <w:pPr>
        <w:spacing w:line="26" w:lineRule="exact" w:before="0"/>
        <w:ind w:left="0" w:right="353" w:firstLine="0"/>
        <w:jc w:val="right"/>
        <w:rPr>
          <w:sz w:val="4"/>
        </w:rPr>
      </w:pPr>
      <w:r>
        <w:rPr>
          <w:w w:val="72"/>
          <w:sz w:val="4"/>
        </w:rPr>
        <w:t>●</w:t>
      </w:r>
    </w:p>
    <w:p>
      <w:pPr>
        <w:pStyle w:val="BodyText"/>
        <w:spacing w:line="310" w:lineRule="atLeast" w:before="31"/>
        <w:ind w:left="339" w:right="296"/>
      </w:pPr>
      <w:r>
        <w:rPr/>
        <w:br w:type="column"/>
      </w:r>
      <w:r>
        <w:rPr>
          <w:spacing w:val="-4"/>
        </w:rPr>
        <w:t>在本合同有效期内，您可以申请并经我们审核同意后办理保单贷款。贷款金额不</w:t>
      </w:r>
      <w:r>
        <w:rPr>
          <w:spacing w:val="-2"/>
        </w:rPr>
        <w:t>得超过您申请时本合同现金价值扣除各项欠款及应付利息后余额的80%，</w:t>
      </w:r>
      <w:r>
        <w:rPr>
          <w:spacing w:val="-5"/>
        </w:rPr>
        <w:t>每次贷</w:t>
      </w:r>
    </w:p>
    <w:p>
      <w:pPr>
        <w:spacing w:line="12" w:lineRule="exact" w:before="0"/>
        <w:ind w:left="377" w:right="0" w:firstLine="0"/>
        <w:jc w:val="left"/>
        <w:rPr>
          <w:sz w:val="4"/>
        </w:rPr>
      </w:pPr>
      <w:r>
        <w:rPr>
          <w:w w:val="72"/>
          <w:sz w:val="4"/>
        </w:rPr>
        <w:t>●</w:t>
      </w:r>
    </w:p>
    <w:p>
      <w:pPr>
        <w:pStyle w:val="BodyText"/>
        <w:spacing w:line="278" w:lineRule="auto" w:before="33"/>
        <w:ind w:left="338" w:right="296"/>
        <w:jc w:val="both"/>
      </w:pPr>
      <w:r>
        <w:rPr>
          <w:spacing w:val="-2"/>
        </w:rPr>
        <w:t>款期限最长不超过6个月，贷款利率按我们收到保单贷款申请书时我们已宣布的</w:t>
      </w:r>
      <w:r>
        <w:rPr>
          <w:spacing w:val="-4"/>
        </w:rPr>
        <w:t>贷款利率执行。贷款本息在贷款到期时一并归还。若您到期未能足额偿还贷款本</w:t>
      </w:r>
      <w:r>
        <w:rPr>
          <w:spacing w:val="-2"/>
        </w:rPr>
        <w:t>息，则您所欠的贷款本金及利息将作为新的贷款本金计息。</w:t>
      </w:r>
    </w:p>
    <w:p>
      <w:pPr>
        <w:spacing w:after="0" w:line="278" w:lineRule="auto"/>
        <w:jc w:val="both"/>
        <w:sectPr>
          <w:type w:val="continuous"/>
          <w:pgSz w:w="11910" w:h="16840"/>
          <w:pgMar w:top="740" w:bottom="280" w:left="920" w:right="820"/>
          <w:cols w:num="2" w:equalWidth="0">
            <w:col w:w="2210" w:space="40"/>
            <w:col w:w="7920"/>
          </w:cols>
        </w:sectPr>
      </w:pPr>
    </w:p>
    <w:p>
      <w:pPr>
        <w:pStyle w:val="BodyText"/>
        <w:spacing w:before="9"/>
        <w:rPr>
          <w:sz w:val="18"/>
        </w:rPr>
      </w:pPr>
    </w:p>
    <w:p>
      <w:pPr>
        <w:pStyle w:val="BodyText"/>
        <w:spacing w:before="72"/>
        <w:ind w:left="2588"/>
      </w:pPr>
      <w:r>
        <w:rPr/>
        <w:pict>
          <v:shape style="position:absolute;margin-left:175.440002pt;margin-top:18.253571pt;width:73.45pt;height:13.95pt;mso-position-horizontal-relative:page;mso-position-vertical-relative:paragraph;z-index:-15680512;mso-wrap-distance-left:0;mso-wrap-distance-right:0" type="#_x0000_t202" id="docshape79" filled="true" fillcolor="#d9d9d9" stroked="false">
            <v:textbox inset="0,0,0,0">
              <w:txbxContent>
                <w:p>
                  <w:pPr>
                    <w:pStyle w:val="BodyText"/>
                    <w:spacing w:line="248" w:lineRule="exact" w:before="6"/>
                    <w:ind w:right="-15"/>
                    <w:rPr>
                      <w:color w:val="000000"/>
                    </w:rPr>
                  </w:pPr>
                  <w:r>
                    <w:rPr>
                      <w:color w:val="000000"/>
                      <w:spacing w:val="-4"/>
                    </w:rPr>
                    <w:t>合同效力中止。</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r>
        <w:rPr>
          <w:color w:val="000000"/>
          <w:spacing w:val="-6"/>
          <w:shd w:fill="D9D9D9" w:color="auto" w:val="clear"/>
        </w:rPr>
        <w:t>当未还贷款本金及利息加上其他各项欠款及应付利息达到本合同现金价值时，本</w:t>
      </w:r>
    </w:p>
    <w:p>
      <w:pPr>
        <w:spacing w:after="0"/>
        <w:sectPr>
          <w:type w:val="continuous"/>
          <w:pgSz w:w="11910" w:h="16840"/>
          <w:pgMar w:top="740" w:bottom="280" w:left="920" w:right="820"/>
        </w:sectPr>
      </w:pPr>
    </w:p>
    <w:p>
      <w:pPr>
        <w:pStyle w:val="Heading1"/>
        <w:tabs>
          <w:tab w:pos="1364" w:val="left" w:leader="none"/>
        </w:tabs>
        <w:spacing w:before="17"/>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1"/>
        </w:rPr>
        <w:t>合同效力的中止和恢复</w:t>
      </w:r>
    </w:p>
    <w:p>
      <w:pPr>
        <w:pStyle w:val="BodyText"/>
        <w:spacing w:before="12"/>
        <w:rPr>
          <w:rFonts w:ascii="微软雅黑"/>
          <w:b/>
          <w:sz w:val="2"/>
        </w:rPr>
      </w:pPr>
      <w:r>
        <w:rPr/>
        <w:drawing>
          <wp:anchor distT="0" distB="0" distL="0" distR="0" allowOverlap="1" layoutInCell="1" locked="0" behindDoc="0" simplePos="0" relativeHeight="95">
            <wp:simplePos x="0" y="0"/>
            <wp:positionH relativeFrom="page">
              <wp:posOffset>649223</wp:posOffset>
            </wp:positionH>
            <wp:positionV relativeFrom="paragraph">
              <wp:posOffset>46799</wp:posOffset>
            </wp:positionV>
            <wp:extent cx="6263639" cy="12192"/>
            <wp:effectExtent l="0" t="0" r="0" b="0"/>
            <wp:wrapTopAndBottom/>
            <wp:docPr id="33" name="image3.png"/>
            <wp:cNvGraphicFramePr>
              <a:graphicFrameLocks noChangeAspect="1"/>
            </wp:cNvGraphicFramePr>
            <a:graphic>
              <a:graphicData uri="http://schemas.openxmlformats.org/drawingml/2006/picture">
                <pic:pic>
                  <pic:nvPicPr>
                    <pic:cNvPr id="34"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ListParagraph"/>
        <w:numPr>
          <w:ilvl w:val="1"/>
          <w:numId w:val="9"/>
        </w:numPr>
        <w:tabs>
          <w:tab w:pos="1364" w:val="left" w:leader="none"/>
          <w:tab w:pos="1365" w:val="left" w:leader="none"/>
          <w:tab w:pos="2588" w:val="left" w:leader="none"/>
        </w:tabs>
        <w:spacing w:line="240" w:lineRule="auto" w:before="265" w:after="0"/>
        <w:ind w:left="1364" w:right="0" w:hanging="850"/>
        <w:jc w:val="left"/>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color w:val="000000"/>
          <w:spacing w:val="-2"/>
          <w:sz w:val="21"/>
          <w:shd w:fill="D9D9D9" w:color="auto" w:val="clear"/>
        </w:rPr>
        <w:t>在</w:t>
      </w:r>
      <w:r>
        <w:rPr>
          <w:color w:val="000000"/>
          <w:spacing w:val="-2"/>
          <w:sz w:val="21"/>
          <w:shd w:fill="D9D9D9" w:color="auto" w:val="clear"/>
        </w:rPr>
        <w:t>本</w:t>
      </w:r>
      <w:r>
        <w:rPr>
          <w:color w:val="000000"/>
          <w:spacing w:val="-2"/>
          <w:sz w:val="21"/>
          <w:shd w:fill="D9D9D9" w:color="auto" w:val="clear"/>
        </w:rPr>
        <w:t>合</w:t>
      </w:r>
      <w:r>
        <w:rPr>
          <w:color w:val="000000"/>
          <w:spacing w:val="-2"/>
          <w:sz w:val="21"/>
          <w:shd w:fill="D9D9D9" w:color="auto" w:val="clear"/>
        </w:rPr>
        <w:t>同</w:t>
      </w:r>
      <w:r>
        <w:rPr>
          <w:color w:val="000000"/>
          <w:spacing w:val="-2"/>
          <w:sz w:val="21"/>
          <w:shd w:fill="D9D9D9" w:color="auto" w:val="clear"/>
        </w:rPr>
        <w:t>效</w:t>
      </w:r>
      <w:r>
        <w:rPr>
          <w:color w:val="000000"/>
          <w:spacing w:val="-2"/>
          <w:sz w:val="21"/>
          <w:shd w:fill="D9D9D9" w:color="auto" w:val="clear"/>
        </w:rPr>
        <w:t>力</w:t>
      </w:r>
      <w:r>
        <w:rPr>
          <w:color w:val="000000"/>
          <w:spacing w:val="-2"/>
          <w:sz w:val="21"/>
          <w:shd w:fill="D9D9D9" w:color="auto" w:val="clear"/>
        </w:rPr>
        <w:t>中</w:t>
      </w:r>
      <w:r>
        <w:rPr>
          <w:color w:val="000000"/>
          <w:spacing w:val="-2"/>
          <w:sz w:val="21"/>
          <w:shd w:fill="D9D9D9" w:color="auto" w:val="clear"/>
        </w:rPr>
        <w:t>止</w:t>
      </w:r>
      <w:r>
        <w:rPr>
          <w:color w:val="000000"/>
          <w:spacing w:val="-2"/>
          <w:sz w:val="21"/>
          <w:shd w:fill="D9D9D9" w:color="auto" w:val="clear"/>
        </w:rPr>
        <w:t>期</w:t>
      </w:r>
      <w:r>
        <w:rPr>
          <w:color w:val="000000"/>
          <w:spacing w:val="-2"/>
          <w:sz w:val="21"/>
          <w:shd w:fill="D9D9D9" w:color="auto" w:val="clear"/>
        </w:rPr>
        <w:t>间</w:t>
      </w:r>
      <w:r>
        <w:rPr>
          <w:color w:val="000000"/>
          <w:spacing w:val="-2"/>
          <w:sz w:val="21"/>
          <w:shd w:fill="D9D9D9" w:color="auto" w:val="clear"/>
        </w:rPr>
        <w:t>，</w:t>
      </w:r>
      <w:r>
        <w:rPr>
          <w:color w:val="000000"/>
          <w:spacing w:val="-2"/>
          <w:sz w:val="21"/>
          <w:shd w:fill="D9D9D9" w:color="auto" w:val="clear"/>
        </w:rPr>
        <w:t>我</w:t>
      </w:r>
      <w:r>
        <w:rPr>
          <w:color w:val="000000"/>
          <w:spacing w:val="-2"/>
          <w:sz w:val="21"/>
          <w:shd w:fill="D9D9D9" w:color="auto" w:val="clear"/>
        </w:rPr>
        <w:t>们</w:t>
      </w:r>
      <w:r>
        <w:rPr>
          <w:color w:val="000000"/>
          <w:spacing w:val="-2"/>
          <w:sz w:val="21"/>
          <w:shd w:fill="D9D9D9" w:color="auto" w:val="clear"/>
        </w:rPr>
        <w:t>不</w:t>
      </w:r>
      <w:r>
        <w:rPr>
          <w:color w:val="000000"/>
          <w:spacing w:val="-2"/>
          <w:sz w:val="21"/>
          <w:shd w:fill="D9D9D9" w:color="auto" w:val="clear"/>
        </w:rPr>
        <w:t>承</w:t>
      </w:r>
      <w:r>
        <w:rPr>
          <w:color w:val="000000"/>
          <w:spacing w:val="-2"/>
          <w:sz w:val="21"/>
          <w:shd w:fill="D9D9D9" w:color="auto" w:val="clear"/>
        </w:rPr>
        <w:t>担</w:t>
      </w:r>
      <w:r>
        <w:rPr>
          <w:color w:val="000000"/>
          <w:spacing w:val="-2"/>
          <w:sz w:val="21"/>
          <w:shd w:fill="D9D9D9" w:color="auto" w:val="clear"/>
        </w:rPr>
        <w:t>保</w:t>
      </w:r>
      <w:r>
        <w:rPr>
          <w:color w:val="000000"/>
          <w:spacing w:val="-2"/>
          <w:sz w:val="21"/>
          <w:shd w:fill="D9D9D9" w:color="auto" w:val="clear"/>
        </w:rPr>
        <w:t>险</w:t>
      </w:r>
      <w:r>
        <w:rPr>
          <w:color w:val="000000"/>
          <w:spacing w:val="-2"/>
          <w:sz w:val="21"/>
          <w:shd w:fill="D9D9D9" w:color="auto" w:val="clear"/>
        </w:rPr>
        <w:t>责</w:t>
      </w:r>
      <w:r>
        <w:rPr>
          <w:color w:val="000000"/>
          <w:spacing w:val="-2"/>
          <w:sz w:val="21"/>
          <w:shd w:fill="D9D9D9" w:color="auto" w:val="clear"/>
        </w:rPr>
        <w:t>任</w:t>
      </w:r>
      <w:r>
        <w:rPr>
          <w:color w:val="000000"/>
          <w:spacing w:val="-10"/>
          <w:sz w:val="21"/>
          <w:shd w:fill="D9D9D9" w:color="auto" w:val="clear"/>
        </w:rPr>
        <w:t>。</w:t>
      </w:r>
    </w:p>
    <w:p>
      <w:pPr>
        <w:pStyle w:val="BodyText"/>
        <w:spacing w:before="12"/>
        <w:rPr>
          <w:sz w:val="18"/>
        </w:rPr>
      </w:pPr>
    </w:p>
    <w:p>
      <w:pPr>
        <w:pStyle w:val="ListParagraph"/>
        <w:numPr>
          <w:ilvl w:val="1"/>
          <w:numId w:val="9"/>
        </w:numPr>
        <w:tabs>
          <w:tab w:pos="1364" w:val="left" w:leader="none"/>
          <w:tab w:pos="1365" w:val="left" w:leader="none"/>
          <w:tab w:pos="2588" w:val="left" w:leader="none"/>
        </w:tabs>
        <w:spacing w:line="235" w:lineRule="auto" w:before="0" w:after="0"/>
        <w:ind w:left="2588" w:right="301" w:hanging="2074"/>
        <w:jc w:val="left"/>
        <w:rPr>
          <w:sz w:val="21"/>
        </w:rPr>
      </w:pPr>
      <w:r>
        <w:rPr>
          <w:rFonts w:ascii="微软雅黑" w:eastAsia="微软雅黑"/>
          <w:b/>
          <w:spacing w:val="-4"/>
          <w:sz w:val="21"/>
        </w:rPr>
        <w:t>效</w:t>
      </w:r>
      <w:r>
        <w:rPr>
          <w:rFonts w:ascii="微软雅黑" w:eastAsia="微软雅黑"/>
          <w:b/>
          <w:spacing w:val="-4"/>
          <w:sz w:val="21"/>
        </w:rPr>
        <w:t>力</w:t>
      </w:r>
      <w:r>
        <w:rPr>
          <w:rFonts w:ascii="微软雅黑" w:eastAsia="微软雅黑"/>
          <w:b/>
          <w:spacing w:val="-4"/>
          <w:sz w:val="21"/>
        </w:rPr>
        <w:t>恢</w:t>
      </w:r>
      <w:r>
        <w:rPr>
          <w:rFonts w:ascii="微软雅黑" w:eastAsia="微软雅黑"/>
          <w:b/>
          <w:spacing w:val="-4"/>
          <w:sz w:val="21"/>
        </w:rPr>
        <w:t>复</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效</w:t>
      </w:r>
      <w:r>
        <w:rPr>
          <w:spacing w:val="-4"/>
          <w:sz w:val="21"/>
        </w:rPr>
        <w:t>力</w:t>
      </w:r>
      <w:r>
        <w:rPr>
          <w:spacing w:val="-4"/>
          <w:sz w:val="21"/>
        </w:rPr>
        <w:t>中</w:t>
      </w:r>
      <w:r>
        <w:rPr>
          <w:spacing w:val="-4"/>
          <w:sz w:val="21"/>
        </w:rPr>
        <w:t>止</w:t>
      </w:r>
      <w:r>
        <w:rPr>
          <w:spacing w:val="-4"/>
          <w:sz w:val="21"/>
        </w:rPr>
        <w:t>后</w:t>
      </w:r>
      <w:r>
        <w:rPr>
          <w:spacing w:val="-35"/>
          <w:sz w:val="21"/>
        </w:rPr>
        <w:t> </w:t>
      </w:r>
      <w:r>
        <w:rPr>
          <w:spacing w:val="-4"/>
          <w:sz w:val="21"/>
        </w:rPr>
        <w:t>2</w:t>
      </w:r>
      <w:r>
        <w:rPr>
          <w:spacing w:val="-40"/>
          <w:sz w:val="21"/>
        </w:rPr>
        <w:t> </w:t>
      </w:r>
      <w:r>
        <w:rPr>
          <w:spacing w:val="-4"/>
          <w:sz w:val="21"/>
        </w:rPr>
        <w:t>年内，</w:t>
      </w:r>
      <w:r>
        <w:rPr>
          <w:spacing w:val="-4"/>
          <w:sz w:val="21"/>
        </w:rPr>
        <w:t>您</w:t>
      </w:r>
      <w:r>
        <w:rPr>
          <w:spacing w:val="-4"/>
          <w:sz w:val="21"/>
        </w:rPr>
        <w:t>可</w:t>
      </w:r>
      <w:r>
        <w:rPr>
          <w:spacing w:val="-4"/>
          <w:sz w:val="21"/>
        </w:rPr>
        <w:t>以</w:t>
      </w:r>
      <w:r>
        <w:rPr>
          <w:spacing w:val="-4"/>
          <w:sz w:val="21"/>
        </w:rPr>
        <w:t>申</w:t>
      </w:r>
      <w:r>
        <w:rPr>
          <w:spacing w:val="-4"/>
          <w:sz w:val="21"/>
        </w:rPr>
        <w:t>请</w:t>
      </w:r>
      <w:r>
        <w:rPr>
          <w:spacing w:val="-4"/>
          <w:sz w:val="21"/>
        </w:rPr>
        <w:t>恢</w:t>
      </w:r>
      <w:r>
        <w:rPr>
          <w:spacing w:val="-4"/>
          <w:sz w:val="21"/>
        </w:rPr>
        <w:t>复</w:t>
      </w:r>
      <w:r>
        <w:rPr>
          <w:spacing w:val="-4"/>
          <w:sz w:val="21"/>
        </w:rPr>
        <w:t>合</w:t>
      </w:r>
      <w:r>
        <w:rPr>
          <w:spacing w:val="-4"/>
          <w:sz w:val="21"/>
        </w:rPr>
        <w:t>同</w:t>
      </w:r>
      <w:r>
        <w:rPr>
          <w:spacing w:val="-4"/>
          <w:sz w:val="21"/>
        </w:rPr>
        <w:t>效</w:t>
      </w:r>
      <w:r>
        <w:rPr>
          <w:spacing w:val="-4"/>
          <w:sz w:val="21"/>
        </w:rPr>
        <w:t>力。</w:t>
      </w:r>
      <w:r>
        <w:rPr>
          <w:spacing w:val="-4"/>
          <w:sz w:val="21"/>
        </w:rPr>
        <w:t>经</w:t>
      </w:r>
      <w:r>
        <w:rPr>
          <w:spacing w:val="-4"/>
          <w:sz w:val="21"/>
        </w:rPr>
        <w:t>我</w:t>
      </w:r>
      <w:r>
        <w:rPr>
          <w:spacing w:val="-4"/>
          <w:sz w:val="21"/>
        </w:rPr>
        <w:t>们</w:t>
      </w:r>
      <w:r>
        <w:rPr>
          <w:spacing w:val="-4"/>
          <w:sz w:val="21"/>
        </w:rPr>
        <w:t>与</w:t>
      </w:r>
      <w:r>
        <w:rPr>
          <w:spacing w:val="-4"/>
          <w:sz w:val="21"/>
        </w:rPr>
        <w:t>您</w:t>
      </w:r>
      <w:r>
        <w:rPr>
          <w:spacing w:val="-4"/>
          <w:sz w:val="21"/>
        </w:rPr>
        <w:t>协</w:t>
      </w:r>
      <w:r>
        <w:rPr>
          <w:spacing w:val="-4"/>
          <w:sz w:val="21"/>
        </w:rPr>
        <w:t>商</w:t>
      </w:r>
      <w:r>
        <w:rPr>
          <w:spacing w:val="-4"/>
          <w:sz w:val="21"/>
        </w:rPr>
        <w:t>并</w:t>
      </w:r>
      <w:r>
        <w:rPr>
          <w:spacing w:val="-4"/>
          <w:sz w:val="21"/>
        </w:rPr>
        <w:t>达</w:t>
      </w:r>
      <w:r>
        <w:rPr>
          <w:spacing w:val="-4"/>
          <w:sz w:val="21"/>
        </w:rPr>
        <w:t>成</w:t>
      </w:r>
      <w:r>
        <w:rPr>
          <w:spacing w:val="-4"/>
          <w:sz w:val="21"/>
        </w:rPr>
        <w:t>协</w:t>
      </w:r>
      <w:r>
        <w:rPr>
          <w:spacing w:val="-2"/>
          <w:sz w:val="21"/>
        </w:rPr>
        <w:t>议</w:t>
      </w:r>
      <w:r>
        <w:rPr>
          <w:spacing w:val="-2"/>
          <w:sz w:val="21"/>
        </w:rPr>
        <w:t>，</w:t>
      </w:r>
      <w:r>
        <w:rPr>
          <w:spacing w:val="-2"/>
          <w:sz w:val="21"/>
        </w:rPr>
        <w:t>在</w:t>
      </w:r>
      <w:r>
        <w:rPr>
          <w:spacing w:val="-2"/>
          <w:sz w:val="21"/>
        </w:rPr>
        <w:t>您</w:t>
      </w:r>
      <w:r>
        <w:rPr>
          <w:spacing w:val="-2"/>
          <w:sz w:val="21"/>
        </w:rPr>
        <w:t>补</w:t>
      </w:r>
      <w:r>
        <w:rPr>
          <w:spacing w:val="-2"/>
          <w:sz w:val="21"/>
        </w:rPr>
        <w:t>交</w:t>
      </w:r>
      <w:r>
        <w:rPr>
          <w:spacing w:val="-2"/>
          <w:sz w:val="21"/>
        </w:rPr>
        <w:t>保</w:t>
      </w:r>
      <w:r>
        <w:rPr>
          <w:spacing w:val="-2"/>
          <w:sz w:val="21"/>
        </w:rPr>
        <w:t>险</w:t>
      </w:r>
      <w:r>
        <w:rPr>
          <w:spacing w:val="-2"/>
          <w:sz w:val="21"/>
        </w:rPr>
        <w:t>费</w:t>
      </w:r>
      <w:r>
        <w:rPr>
          <w:spacing w:val="-2"/>
          <w:sz w:val="21"/>
        </w:rPr>
        <w:t>、</w:t>
      </w:r>
      <w:r>
        <w:rPr>
          <w:spacing w:val="-2"/>
          <w:sz w:val="21"/>
        </w:rPr>
        <w:t>利</w:t>
      </w:r>
      <w:r>
        <w:rPr>
          <w:spacing w:val="-2"/>
          <w:sz w:val="21"/>
        </w:rPr>
        <w:t>息</w:t>
      </w:r>
      <w:r>
        <w:rPr>
          <w:spacing w:val="-2"/>
          <w:sz w:val="21"/>
        </w:rPr>
        <w:t>及</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的</w:t>
      </w:r>
      <w:r>
        <w:rPr>
          <w:spacing w:val="-2"/>
          <w:sz w:val="21"/>
        </w:rPr>
        <w:t>次日零</w:t>
      </w:r>
      <w:r>
        <w:rPr>
          <w:spacing w:val="-2"/>
          <w:sz w:val="21"/>
        </w:rPr>
        <w:t>时</w:t>
      </w:r>
      <w:r>
        <w:rPr>
          <w:spacing w:val="-2"/>
          <w:sz w:val="21"/>
        </w:rPr>
        <w:t>起</w:t>
      </w:r>
      <w:r>
        <w:rPr>
          <w:spacing w:val="-2"/>
          <w:sz w:val="21"/>
        </w:rPr>
        <w:t>，</w:t>
      </w:r>
      <w:r>
        <w:rPr>
          <w:spacing w:val="-2"/>
          <w:sz w:val="21"/>
        </w:rPr>
        <w:t>合</w:t>
      </w:r>
      <w:r>
        <w:rPr>
          <w:spacing w:val="-2"/>
          <w:sz w:val="21"/>
        </w:rPr>
        <w:t>同</w:t>
      </w:r>
      <w:r>
        <w:rPr>
          <w:spacing w:val="-2"/>
          <w:sz w:val="21"/>
        </w:rPr>
        <w:t>效</w:t>
      </w:r>
      <w:r>
        <w:rPr>
          <w:spacing w:val="-2"/>
          <w:sz w:val="21"/>
        </w:rPr>
        <w:t>力</w:t>
      </w:r>
      <w:r>
        <w:rPr>
          <w:spacing w:val="-2"/>
          <w:sz w:val="21"/>
        </w:rPr>
        <w:t>恢</w:t>
      </w:r>
      <w:r>
        <w:rPr>
          <w:spacing w:val="-2"/>
          <w:sz w:val="21"/>
        </w:rPr>
        <w:t>复。</w:t>
      </w:r>
    </w:p>
    <w:p>
      <w:pPr>
        <w:pStyle w:val="BodyText"/>
        <w:spacing w:before="4"/>
        <w:rPr>
          <w:sz w:val="25"/>
        </w:rPr>
      </w:pPr>
      <w:r>
        <w:rPr/>
        <w:drawing>
          <wp:anchor distT="0" distB="0" distL="0" distR="0" allowOverlap="1" layoutInCell="1" locked="0" behindDoc="1" simplePos="0" relativeHeight="485614592">
            <wp:simplePos x="0" y="0"/>
            <wp:positionH relativeFrom="page">
              <wp:posOffset>2228088</wp:posOffset>
            </wp:positionH>
            <wp:positionV relativeFrom="paragraph">
              <wp:posOffset>221402</wp:posOffset>
            </wp:positionV>
            <wp:extent cx="4614671" cy="374903"/>
            <wp:effectExtent l="0" t="0" r="0" b="0"/>
            <wp:wrapNone/>
            <wp:docPr id="35" name="image11.png"/>
            <wp:cNvGraphicFramePr>
              <a:graphicFrameLocks noChangeAspect="1"/>
            </wp:cNvGraphicFramePr>
            <a:graphic>
              <a:graphicData uri="http://schemas.openxmlformats.org/drawingml/2006/picture">
                <pic:pic>
                  <pic:nvPicPr>
                    <pic:cNvPr id="36" name="image11.png"/>
                    <pic:cNvPicPr/>
                  </pic:nvPicPr>
                  <pic:blipFill>
                    <a:blip r:embed="rId15" cstate="print"/>
                    <a:stretch>
                      <a:fillRect/>
                    </a:stretch>
                  </pic:blipFill>
                  <pic:spPr>
                    <a:xfrm>
                      <a:off x="0" y="0"/>
                      <a:ext cx="4614671" cy="374903"/>
                    </a:xfrm>
                    <a:prstGeom prst="rect">
                      <a:avLst/>
                    </a:prstGeom>
                  </pic:spPr>
                </pic:pic>
              </a:graphicData>
            </a:graphic>
          </wp:anchor>
        </w:drawing>
      </w:r>
      <w:r>
        <w:rPr/>
        <w:pict>
          <v:shape style="position:absolute;margin-left:175.440002pt;margin-top:17.433277pt;width:367.7pt;height:29.55pt;mso-position-horizontal-relative:page;mso-position-vertical-relative:paragraph;z-index:-17701376" type="#_x0000_t202" id="docshape80" filled="false" stroked="false">
            <v:textbox inset="0,0,0,0">
              <w:txbxContent>
                <w:p>
                  <w:pPr>
                    <w:pStyle w:val="BodyText"/>
                    <w:spacing w:before="10"/>
                    <w:rPr>
                      <w:sz w:val="24"/>
                    </w:rPr>
                  </w:pPr>
                </w:p>
                <w:p>
                  <w:pPr>
                    <w:pStyle w:val="BodyText"/>
                  </w:pPr>
                  <w:r>
                    <w:rPr>
                      <w:spacing w:val="-3"/>
                    </w:rPr>
                    <w:t>解除合同。本合同自解除之日起终止，我们向您退还合同效力中止时现金价值。</w:t>
                  </w:r>
                </w:p>
              </w:txbxContent>
            </v:textbox>
            <w10:wrap type="none"/>
          </v:shape>
        </w:pict>
      </w:r>
      <w:r>
        <w:rPr/>
        <w:pict>
          <v:shape style="position:absolute;margin-left:175.440002pt;margin-top:17.433277pt;width:363.4pt;height:13.95pt;mso-position-horizontal-relative:page;mso-position-vertical-relative:paragraph;z-index:-15678464;mso-wrap-distance-left:0;mso-wrap-distance-right:0" type="#_x0000_t202" id="docshape81" filled="true" fillcolor="#d9d9d9" stroked="false">
            <v:textbox inset="0,0,0,0">
              <w:txbxContent>
                <w:p>
                  <w:pPr>
                    <w:pStyle w:val="BodyText"/>
                    <w:spacing w:before="6"/>
                    <w:ind w:right="-15"/>
                    <w:rPr>
                      <w:color w:val="000000"/>
                    </w:rPr>
                  </w:pPr>
                  <w:r>
                    <w:rPr>
                      <w:color w:val="000000"/>
                      <w:spacing w:val="-5"/>
                    </w:rPr>
                    <w:t>自本合同效力中止之日起满 </w:t>
                  </w:r>
                  <w:r>
                    <w:rPr>
                      <w:color w:val="000000"/>
                      <w:spacing w:val="-2"/>
                    </w:rPr>
                    <w:t>2</w:t>
                  </w:r>
                  <w:r>
                    <w:rPr>
                      <w:color w:val="000000"/>
                      <w:spacing w:val="-13"/>
                    </w:rPr>
                    <w:t> 年您和我们未达成协议恢复合同效力的，我们有权</w:t>
                  </w:r>
                </w:p>
              </w:txbxContent>
            </v:textbox>
            <v:fill type="solid"/>
            <w10:wrap type="topAndBottom"/>
          </v:shape>
        </w:pict>
      </w:r>
    </w:p>
    <w:p>
      <w:pPr>
        <w:pStyle w:val="BodyText"/>
        <w:spacing w:before="11"/>
        <w:rPr>
          <w:sz w:val="25"/>
        </w:rPr>
      </w:pPr>
    </w:p>
    <w:p>
      <w:pPr>
        <w:pStyle w:val="Heading1"/>
        <w:tabs>
          <w:tab w:pos="1364" w:val="left" w:leader="none"/>
        </w:tabs>
        <w:spacing w:before="38"/>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2"/>
        </w:rPr>
        <w:t>如何解除保险合同</w:t>
      </w:r>
    </w:p>
    <w:p>
      <w:pPr>
        <w:pStyle w:val="BodyText"/>
        <w:spacing w:before="12"/>
        <w:rPr>
          <w:rFonts w:ascii="微软雅黑"/>
          <w:b/>
          <w:sz w:val="2"/>
        </w:rPr>
      </w:pPr>
      <w:r>
        <w:rPr/>
        <w:drawing>
          <wp:anchor distT="0" distB="0" distL="0" distR="0" allowOverlap="1" layoutInCell="1" locked="0" behindDoc="0" simplePos="0" relativeHeight="99">
            <wp:simplePos x="0" y="0"/>
            <wp:positionH relativeFrom="page">
              <wp:posOffset>649223</wp:posOffset>
            </wp:positionH>
            <wp:positionV relativeFrom="paragraph">
              <wp:posOffset>46601</wp:posOffset>
            </wp:positionV>
            <wp:extent cx="6263639" cy="12192"/>
            <wp:effectExtent l="0" t="0" r="0" b="0"/>
            <wp:wrapTopAndBottom/>
            <wp:docPr id="37" name="image3.png"/>
            <wp:cNvGraphicFramePr>
              <a:graphicFrameLocks noChangeAspect="1"/>
            </wp:cNvGraphicFramePr>
            <a:graphic>
              <a:graphicData uri="http://schemas.openxmlformats.org/drawingml/2006/picture">
                <pic:pic>
                  <pic:nvPicPr>
                    <pic:cNvPr id="38"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BodyText"/>
        <w:spacing w:before="7"/>
        <w:rPr>
          <w:rFonts w:ascii="微软雅黑"/>
          <w:b/>
          <w:sz w:val="14"/>
        </w:rPr>
      </w:pPr>
    </w:p>
    <w:p>
      <w:pPr>
        <w:spacing w:after="0"/>
        <w:rPr>
          <w:rFonts w:ascii="微软雅黑"/>
          <w:sz w:val="14"/>
        </w:rPr>
        <w:sectPr>
          <w:pgSz w:w="11910" w:h="16840"/>
          <w:pgMar w:top="1140" w:bottom="280" w:left="920" w:right="820"/>
        </w:sectPr>
      </w:pPr>
    </w:p>
    <w:p>
      <w:pPr>
        <w:pStyle w:val="Heading3"/>
        <w:spacing w:line="194" w:lineRule="auto" w:before="57"/>
        <w:ind w:left="1364" w:hanging="850"/>
        <w:jc w:val="both"/>
      </w:pPr>
      <w:r>
        <w:rPr/>
        <w:t>7.1</w:t>
      </w:r>
      <w:r>
        <w:rPr>
          <w:spacing w:val="434"/>
        </w:rPr>
        <w:t> </w:t>
      </w:r>
      <w:r>
        <w:rPr/>
        <w:t>您解除合</w:t>
      </w:r>
      <w:r>
        <w:rPr>
          <w:spacing w:val="-4"/>
        </w:rPr>
        <w:t>同的手续</w:t>
      </w:r>
      <w:r>
        <w:rPr>
          <w:spacing w:val="-4"/>
        </w:rPr>
        <w:t>及风险</w:t>
      </w:r>
    </w:p>
    <w:p>
      <w:pPr>
        <w:pStyle w:val="BodyText"/>
        <w:spacing w:line="278" w:lineRule="auto" w:before="72"/>
        <w:ind w:left="339" w:right="301"/>
      </w:pPr>
      <w:r>
        <w:rPr/>
        <w:br w:type="column"/>
      </w:r>
      <w:r>
        <w:rPr>
          <w:w w:val="100"/>
        </w:rPr>
        <w:t>如您在犹豫期后申请解除本合同，请填写解除合同申请书并向我们提供下列资料：</w:t>
      </w:r>
    </w:p>
    <w:p>
      <w:pPr>
        <w:pStyle w:val="ListParagraph"/>
        <w:numPr>
          <w:ilvl w:val="1"/>
          <w:numId w:val="6"/>
        </w:numPr>
        <w:tabs>
          <w:tab w:pos="869" w:val="left" w:leader="none"/>
        </w:tabs>
        <w:spacing w:line="269" w:lineRule="exact" w:before="0" w:after="0"/>
        <w:ind w:left="868" w:right="0" w:hanging="530"/>
        <w:jc w:val="left"/>
        <w:rPr>
          <w:sz w:val="21"/>
        </w:rPr>
      </w:pPr>
      <w:r>
        <w:rPr>
          <w:spacing w:val="-4"/>
          <w:sz w:val="21"/>
        </w:rPr>
        <w:t>保险合同；</w:t>
      </w:r>
    </w:p>
    <w:p>
      <w:pPr>
        <w:pStyle w:val="ListParagraph"/>
        <w:numPr>
          <w:ilvl w:val="1"/>
          <w:numId w:val="6"/>
        </w:numPr>
        <w:tabs>
          <w:tab w:pos="869" w:val="left" w:leader="none"/>
        </w:tabs>
        <w:spacing w:line="240" w:lineRule="auto" w:before="43" w:after="0"/>
        <w:ind w:left="868" w:right="0" w:hanging="530"/>
        <w:jc w:val="left"/>
        <w:rPr>
          <w:sz w:val="21"/>
        </w:rPr>
      </w:pPr>
      <w:r>
        <w:rPr>
          <w:spacing w:val="-3"/>
          <w:sz w:val="21"/>
        </w:rPr>
        <w:t>您的有效身份证件。</w:t>
      </w:r>
    </w:p>
    <w:p>
      <w:pPr>
        <w:pStyle w:val="BodyText"/>
        <w:spacing w:before="8"/>
        <w:rPr>
          <w:sz w:val="27"/>
        </w:rPr>
      </w:pPr>
    </w:p>
    <w:p>
      <w:pPr>
        <w:pStyle w:val="BodyText"/>
        <w:spacing w:line="278" w:lineRule="auto" w:before="1"/>
        <w:ind w:left="339" w:right="301"/>
      </w:pPr>
      <w:r>
        <w:rPr>
          <w:spacing w:val="-10"/>
        </w:rPr>
        <w:t>自我们收到解除合同申请书时起，本合同效力终止。我们将于收到上述资料后 </w:t>
      </w:r>
      <w:r>
        <w:rPr/>
        <w:t>30</w:t>
      </w:r>
      <w:r>
        <w:rPr>
          <w:spacing w:val="-2"/>
        </w:rPr>
        <w:t>日内向您退还本合同终止时的现金价值。</w:t>
      </w:r>
    </w:p>
    <w:p>
      <w:pPr>
        <w:spacing w:after="0" w:line="278" w:lineRule="auto"/>
        <w:sectPr>
          <w:type w:val="continuous"/>
          <w:pgSz w:w="11910" w:h="16840"/>
          <w:pgMar w:top="740" w:bottom="280" w:left="920" w:right="820"/>
          <w:cols w:num="2" w:equalWidth="0">
            <w:col w:w="2210" w:space="40"/>
            <w:col w:w="7920"/>
          </w:cols>
        </w:sectPr>
      </w:pPr>
    </w:p>
    <w:p>
      <w:pPr>
        <w:pStyle w:val="BodyText"/>
        <w:spacing w:before="11"/>
        <w:rPr>
          <w:sz w:val="23"/>
        </w:rPr>
      </w:pPr>
    </w:p>
    <w:p>
      <w:pPr>
        <w:pStyle w:val="BodyText"/>
        <w:ind w:left="2588"/>
        <w:rPr>
          <w:sz w:val="20"/>
        </w:rPr>
      </w:pPr>
      <w:r>
        <w:rPr>
          <w:sz w:val="20"/>
        </w:rPr>
        <w:pict>
          <v:shape style="width:188.9pt;height:13.95pt;mso-position-horizontal-relative:char;mso-position-vertical-relative:line" type="#_x0000_t202" id="docshape82" filled="true" fillcolor="#d9d9d9" stroked="false">
            <w10:anchorlock/>
            <v:textbox inset="0,0,0,0">
              <w:txbxContent>
                <w:p>
                  <w:pPr>
                    <w:pStyle w:val="BodyText"/>
                    <w:spacing w:line="248" w:lineRule="exact" w:before="6"/>
                    <w:ind w:right="-15"/>
                    <w:rPr>
                      <w:color w:val="000000"/>
                    </w:rPr>
                  </w:pPr>
                  <w:r>
                    <w:rPr>
                      <w:color w:val="000000"/>
                      <w:spacing w:val="-5"/>
                    </w:rPr>
                    <w:t>您在犹豫期后解除合同会遭受一定损失。</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spacing w:before="2"/>
        <w:rPr>
          <w:sz w:val="24"/>
        </w:rPr>
      </w:pPr>
    </w:p>
    <w:p>
      <w:pPr>
        <w:pStyle w:val="Heading1"/>
        <w:tabs>
          <w:tab w:pos="1364" w:val="left" w:leader="none"/>
        </w:tabs>
        <w:spacing w:before="33"/>
        <w:ind w:left="409"/>
      </w:pPr>
      <w:r>
        <w:rPr>
          <w:rFonts w:ascii="宋体" w:hAnsi="宋体" w:eastAsia="宋体" w:hint="eastAsia"/>
          <w:b w:val="0"/>
          <w:spacing w:val="-10"/>
          <w:position w:val="-3"/>
          <w:sz w:val="40"/>
        </w:rPr>
        <w:t></w:t>
      </w:r>
      <w:r>
        <w:rPr>
          <w:rFonts w:ascii="宋体" w:hAnsi="宋体" w:eastAsia="宋体" w:hint="eastAsia"/>
          <w:b w:val="0"/>
          <w:position w:val="-3"/>
          <w:sz w:val="40"/>
        </w:rPr>
        <w:tab/>
      </w:r>
      <w:r>
        <w:rPr>
          <w:spacing w:val="-2"/>
        </w:rPr>
        <w:t>其他需要关注的事项</w:t>
      </w:r>
    </w:p>
    <w:p>
      <w:pPr>
        <w:pStyle w:val="BodyText"/>
        <w:spacing w:before="17"/>
        <w:rPr>
          <w:rFonts w:ascii="微软雅黑"/>
          <w:b/>
          <w:sz w:val="2"/>
        </w:rPr>
      </w:pPr>
      <w:r>
        <w:rPr/>
        <w:drawing>
          <wp:anchor distT="0" distB="0" distL="0" distR="0" allowOverlap="1" layoutInCell="1" locked="0" behindDoc="0" simplePos="0" relativeHeight="101">
            <wp:simplePos x="0" y="0"/>
            <wp:positionH relativeFrom="page">
              <wp:posOffset>649223</wp:posOffset>
            </wp:positionH>
            <wp:positionV relativeFrom="paragraph">
              <wp:posOffset>49911</wp:posOffset>
            </wp:positionV>
            <wp:extent cx="6263640" cy="12191"/>
            <wp:effectExtent l="0" t="0" r="0" b="0"/>
            <wp:wrapTopAndBottom/>
            <wp:docPr id="39" name="image3.png"/>
            <wp:cNvGraphicFramePr>
              <a:graphicFrameLocks noChangeAspect="1"/>
            </wp:cNvGraphicFramePr>
            <a:graphic>
              <a:graphicData uri="http://schemas.openxmlformats.org/drawingml/2006/picture">
                <pic:pic>
                  <pic:nvPicPr>
                    <pic:cNvPr id="40" name="image3.png"/>
                    <pic:cNvPicPr/>
                  </pic:nvPicPr>
                  <pic:blipFill>
                    <a:blip r:embed="rId7" cstate="print"/>
                    <a:stretch>
                      <a:fillRect/>
                    </a:stretch>
                  </pic:blipFill>
                  <pic:spPr>
                    <a:xfrm>
                      <a:off x="0" y="0"/>
                      <a:ext cx="6263640" cy="12191"/>
                    </a:xfrm>
                    <a:prstGeom prst="rect">
                      <a:avLst/>
                    </a:prstGeom>
                  </pic:spPr>
                </pic:pic>
              </a:graphicData>
            </a:graphic>
          </wp:anchor>
        </w:drawing>
      </w:r>
    </w:p>
    <w:p>
      <w:pPr>
        <w:pStyle w:val="BodyText"/>
        <w:spacing w:before="2"/>
        <w:rPr>
          <w:rFonts w:ascii="微软雅黑"/>
          <w:b/>
          <w:sz w:val="14"/>
        </w:rPr>
      </w:pPr>
    </w:p>
    <w:p>
      <w:pPr>
        <w:spacing w:after="0"/>
        <w:rPr>
          <w:rFonts w:ascii="微软雅黑"/>
          <w:sz w:val="14"/>
        </w:rPr>
        <w:sectPr>
          <w:type w:val="continuous"/>
          <w:pgSz w:w="11910" w:h="16840"/>
          <w:pgMar w:top="740" w:bottom="280" w:left="920" w:right="820"/>
        </w:sectPr>
      </w:pPr>
    </w:p>
    <w:p>
      <w:pPr>
        <w:pStyle w:val="Heading3"/>
        <w:numPr>
          <w:ilvl w:val="1"/>
          <w:numId w:val="10"/>
        </w:numPr>
        <w:tabs>
          <w:tab w:pos="1365" w:val="left" w:leader="none"/>
        </w:tabs>
        <w:spacing w:line="194" w:lineRule="auto" w:before="58" w:after="0"/>
        <w:ind w:left="1364" w:right="0" w:hanging="850"/>
        <w:jc w:val="both"/>
      </w:pPr>
      <w:r>
        <w:rPr>
          <w:spacing w:val="-4"/>
        </w:rPr>
        <w:t>明确说明</w:t>
      </w:r>
      <w:r>
        <w:rPr>
          <w:spacing w:val="-4"/>
        </w:rPr>
        <w:t>与如实告</w:t>
      </w:r>
      <w:r>
        <w:rPr>
          <w:spacing w:val="-10"/>
        </w:rPr>
        <w:t>知</w:t>
      </w:r>
    </w:p>
    <w:p>
      <w:pPr>
        <w:pStyle w:val="BodyText"/>
        <w:spacing w:before="72"/>
        <w:ind w:left="339"/>
      </w:pPr>
      <w:r>
        <w:rPr/>
        <w:br w:type="column"/>
      </w:r>
      <w:r>
        <w:rPr>
          <w:spacing w:val="-3"/>
        </w:rPr>
        <w:t>订立本合同时，我们应向您说明本合同的内容。</w:t>
      </w:r>
    </w:p>
    <w:p>
      <w:pPr>
        <w:pStyle w:val="BodyText"/>
        <w:spacing w:before="9"/>
        <w:rPr>
          <w:sz w:val="27"/>
        </w:rPr>
      </w:pPr>
    </w:p>
    <w:p>
      <w:pPr>
        <w:pStyle w:val="BodyText"/>
        <w:spacing w:line="248" w:lineRule="exact"/>
        <w:ind w:left="339"/>
      </w:pPr>
      <w:r>
        <w:rPr>
          <w:spacing w:val="-5"/>
        </w:rPr>
        <w:t>对保险条款中免除我们责任的条款，我们在订立合同时应当在投保单、保险单或</w:t>
      </w:r>
    </w:p>
    <w:p>
      <w:pPr>
        <w:spacing w:line="31" w:lineRule="exact" w:before="0"/>
        <w:ind w:left="377" w:right="0" w:firstLine="0"/>
        <w:jc w:val="left"/>
        <w:rPr>
          <w:sz w:val="4"/>
        </w:rPr>
      </w:pPr>
      <w:r>
        <w:rPr>
          <w:w w:val="72"/>
          <w:sz w:val="4"/>
        </w:rPr>
        <w:t>●</w:t>
      </w:r>
    </w:p>
    <w:p>
      <w:pPr>
        <w:pStyle w:val="BodyText"/>
        <w:spacing w:line="278" w:lineRule="auto" w:before="33"/>
        <w:ind w:left="339" w:right="301"/>
      </w:pPr>
      <w:r>
        <w:rPr>
          <w:spacing w:val="-7"/>
        </w:rPr>
        <w:t>者其他保险凭证上作出足以引起您注意的提示，并对该条款的内容以书面或者口</w:t>
      </w:r>
      <w:r>
        <w:rPr>
          <w:spacing w:val="-2"/>
        </w:rPr>
        <w:t>头形式向您作出明确说明，未作提示或者明确说明的，该条款不产生效力。</w:t>
      </w:r>
    </w:p>
    <w:p>
      <w:pPr>
        <w:pStyle w:val="BodyText"/>
        <w:spacing w:before="4"/>
        <w:rPr>
          <w:sz w:val="24"/>
        </w:rPr>
      </w:pPr>
    </w:p>
    <w:p>
      <w:pPr>
        <w:pStyle w:val="BodyText"/>
        <w:ind w:left="339"/>
      </w:pPr>
      <w:r>
        <w:rPr>
          <w:spacing w:val="-3"/>
        </w:rPr>
        <w:t>我们就您和被保险人的有关情况提出询问，您应当如实告知。</w:t>
      </w:r>
    </w:p>
    <w:p>
      <w:pPr>
        <w:spacing w:after="0"/>
        <w:sectPr>
          <w:type w:val="continuous"/>
          <w:pgSz w:w="11910" w:h="16840"/>
          <w:pgMar w:top="740" w:bottom="280" w:left="920" w:right="820"/>
          <w:cols w:num="2" w:equalWidth="0">
            <w:col w:w="2210" w:space="40"/>
            <w:col w:w="7920"/>
          </w:cols>
        </w:sectPr>
      </w:pPr>
    </w:p>
    <w:p>
      <w:pPr>
        <w:pStyle w:val="BodyText"/>
        <w:spacing w:before="3"/>
        <w:rPr>
          <w:sz w:val="27"/>
        </w:rPr>
      </w:pPr>
    </w:p>
    <w:p>
      <w:pPr>
        <w:pStyle w:val="BodyText"/>
        <w:ind w:left="2588"/>
        <w:rPr>
          <w:sz w:val="20"/>
        </w:rPr>
      </w:pPr>
      <w:r>
        <w:rPr>
          <w:sz w:val="20"/>
        </w:rPr>
        <w:pict>
          <v:shape style="width:363.4pt;height:13.95pt;mso-position-horizontal-relative:char;mso-position-vertical-relative:line" type="#_x0000_t202" id="docshape83" filled="true" fillcolor="#d9d9d9" stroked="false">
            <w10:anchorlock/>
            <v:textbox inset="0,0,0,0">
              <w:txbxContent>
                <w:p>
                  <w:pPr>
                    <w:pStyle w:val="BodyText"/>
                    <w:spacing w:line="248" w:lineRule="exact" w:before="6"/>
                    <w:ind w:right="-15"/>
                    <w:rPr>
                      <w:color w:val="000000"/>
                    </w:rPr>
                  </w:pPr>
                  <w:r>
                    <w:rPr>
                      <w:color w:val="000000"/>
                      <w:spacing w:val="-7"/>
                    </w:rPr>
                    <w:t>如果您故意或者因重大过失未履行前款规定的如实告知义务，足以影响我们决定</w:t>
                  </w:r>
                </w:p>
                <w:p>
                  <w:pPr>
                    <w:spacing w:line="24" w:lineRule="exact" w:before="0"/>
                    <w:ind w:left="1511" w:right="0" w:firstLine="0"/>
                    <w:jc w:val="left"/>
                    <w:rPr>
                      <w:color w:val="000000"/>
                      <w:sz w:val="4"/>
                    </w:rPr>
                  </w:pPr>
                  <w:r>
                    <w:rPr>
                      <w:color w:val="000000"/>
                      <w:w w:val="72"/>
                      <w:sz w:val="4"/>
                    </w:rPr>
                    <w:t>●</w:t>
                  </w:r>
                </w:p>
              </w:txbxContent>
            </v:textbox>
            <v:fill type="solid"/>
          </v:shape>
        </w:pict>
      </w:r>
      <w:r>
        <w:rPr>
          <w:sz w:val="20"/>
        </w:rPr>
      </w:r>
    </w:p>
    <w:p>
      <w:pPr>
        <w:pStyle w:val="BodyText"/>
        <w:spacing w:before="18"/>
        <w:ind w:left="2588"/>
      </w:pPr>
      <w:r>
        <w:rPr>
          <w:color w:val="000000"/>
          <w:spacing w:val="-3"/>
          <w:shd w:fill="D9D9D9" w:color="auto" w:val="clear"/>
        </w:rPr>
        <w:t>是否同意承保或者提高保险费率的，我们有权解除本合同。</w:t>
      </w:r>
    </w:p>
    <w:p>
      <w:pPr>
        <w:pStyle w:val="BodyText"/>
        <w:spacing w:before="1"/>
        <w:rPr>
          <w:sz w:val="22"/>
        </w:rPr>
      </w:pPr>
    </w:p>
    <w:p>
      <w:pPr>
        <w:pStyle w:val="BodyText"/>
        <w:spacing w:line="278" w:lineRule="auto" w:before="72"/>
        <w:ind w:left="2588" w:right="301"/>
      </w:pPr>
      <w:r>
        <w:rPr>
          <w:color w:val="000000"/>
          <w:spacing w:val="-4"/>
          <w:shd w:fill="D9D9D9" w:color="auto" w:val="clear"/>
        </w:rPr>
        <w:t>如果您故意不履行如实告知义务，对于本合同解除前发生的保险事故，我们不承</w:t>
      </w:r>
      <w:r>
        <w:rPr>
          <w:color w:val="000000"/>
          <w:spacing w:val="80"/>
          <w:w w:val="150"/>
          <w:shd w:fill="D9D9D9" w:color="auto" w:val="clear"/>
        </w:rPr>
        <w:t>                                       </w:t>
      </w:r>
      <w:r>
        <w:rPr>
          <w:color w:val="000000"/>
          <w:spacing w:val="-2"/>
          <w:shd w:fill="D9D9D9" w:color="auto" w:val="clear"/>
        </w:rPr>
        <w:t>担给付保险金的责任，并不退还保险费。</w:t>
      </w:r>
    </w:p>
    <w:p>
      <w:pPr>
        <w:pStyle w:val="BodyText"/>
        <w:spacing w:before="9"/>
        <w:rPr>
          <w:sz w:val="18"/>
        </w:rPr>
      </w:pPr>
    </w:p>
    <w:p>
      <w:pPr>
        <w:pStyle w:val="BodyText"/>
        <w:spacing w:line="278" w:lineRule="auto" w:before="72"/>
        <w:ind w:left="2588" w:right="301"/>
        <w:jc w:val="both"/>
      </w:pPr>
      <w:r>
        <w:rPr>
          <w:color w:val="000000"/>
          <w:spacing w:val="-4"/>
          <w:shd w:fill="D9D9D9" w:color="auto" w:val="clear"/>
        </w:rPr>
        <w:t>如果您因重大过失未履行如实告知义务，对保险事故的发生有严重影响的，对于</w:t>
      </w:r>
      <w:r>
        <w:rPr>
          <w:color w:val="000000"/>
          <w:spacing w:val="40"/>
          <w:shd w:fill="D9D9D9" w:color="auto" w:val="clear"/>
        </w:rPr>
        <w:t> </w:t>
      </w:r>
      <w:r>
        <w:rPr>
          <w:color w:val="000000"/>
          <w:spacing w:val="-4"/>
          <w:shd w:fill="D9D9D9" w:color="auto" w:val="clear"/>
        </w:rPr>
        <w:t>本合同解除前发生的保险事故，我们不承担给付保险金的责任，但应当退还保险</w:t>
      </w:r>
      <w:r>
        <w:rPr>
          <w:color w:val="000000"/>
          <w:spacing w:val="-6"/>
          <w:shd w:fill="D9D9D9" w:color="auto" w:val="clear"/>
        </w:rPr>
        <w:t>费。</w:t>
      </w:r>
    </w:p>
    <w:p>
      <w:pPr>
        <w:pStyle w:val="BodyText"/>
        <w:spacing w:before="4"/>
        <w:rPr>
          <w:sz w:val="24"/>
        </w:rPr>
      </w:pPr>
    </w:p>
    <w:p>
      <w:pPr>
        <w:pStyle w:val="BodyText"/>
        <w:ind w:left="2588"/>
      </w:pPr>
      <w:r>
        <w:rPr>
          <w:spacing w:val="-5"/>
        </w:rPr>
        <w:t>我们在合同订立时已经知道您未如实告知的情况的，我们不得解除合同；发生保</w:t>
      </w:r>
    </w:p>
    <w:p>
      <w:pPr>
        <w:spacing w:after="0"/>
        <w:sectPr>
          <w:type w:val="continuous"/>
          <w:pgSz w:w="11910" w:h="16840"/>
          <w:pgMar w:top="740" w:bottom="280" w:left="920" w:right="820"/>
        </w:sectPr>
      </w:pPr>
    </w:p>
    <w:p>
      <w:pPr>
        <w:pStyle w:val="BodyText"/>
        <w:spacing w:before="59"/>
        <w:ind w:left="2588"/>
      </w:pPr>
      <w:r>
        <w:rPr>
          <w:spacing w:val="-3"/>
        </w:rPr>
        <w:t>险事故的，我们承担给付保险金的责任。</w:t>
      </w:r>
    </w:p>
    <w:p>
      <w:pPr>
        <w:pStyle w:val="BodyText"/>
        <w:spacing w:before="1"/>
        <w:rPr>
          <w:sz w:val="22"/>
        </w:rPr>
      </w:pPr>
    </w:p>
    <w:p>
      <w:pPr>
        <w:spacing w:after="0"/>
        <w:rPr>
          <w:sz w:val="22"/>
        </w:rPr>
        <w:sectPr>
          <w:pgSz w:w="11910" w:h="16840"/>
          <w:pgMar w:top="1080" w:bottom="280" w:left="920" w:right="820"/>
        </w:sectPr>
      </w:pPr>
    </w:p>
    <w:p>
      <w:pPr>
        <w:pStyle w:val="Heading3"/>
        <w:numPr>
          <w:ilvl w:val="1"/>
          <w:numId w:val="10"/>
        </w:numPr>
        <w:tabs>
          <w:tab w:pos="1365" w:val="left" w:leader="none"/>
        </w:tabs>
        <w:spacing w:line="194" w:lineRule="auto" w:before="58" w:after="0"/>
        <w:ind w:left="1364" w:right="0" w:hanging="850"/>
        <w:jc w:val="both"/>
      </w:pPr>
      <w:r>
        <w:rPr>
          <w:spacing w:val="-4"/>
        </w:rPr>
        <w:t>我们合同</w:t>
      </w:r>
      <w:r>
        <w:rPr>
          <w:spacing w:val="-4"/>
        </w:rPr>
        <w:t>解除权的</w:t>
      </w:r>
      <w:r>
        <w:rPr>
          <w:spacing w:val="-6"/>
        </w:rPr>
        <w:t>限制</w:t>
      </w:r>
    </w:p>
    <w:p>
      <w:pPr>
        <w:pStyle w:val="BodyText"/>
        <w:spacing w:before="72"/>
        <w:ind w:left="339"/>
      </w:pPr>
      <w:r>
        <w:rPr/>
        <w:br w:type="column"/>
      </w:r>
      <w:r>
        <w:rPr>
          <w:spacing w:val="-3"/>
        </w:rPr>
        <w:t>前条规定的合同解除权，自我们知道有解除事由之日起，超过 </w:t>
      </w:r>
      <w:r>
        <w:rPr>
          <w:spacing w:val="-2"/>
        </w:rPr>
        <w:t>30</w:t>
      </w:r>
      <w:r>
        <w:rPr>
          <w:spacing w:val="-8"/>
        </w:rPr>
        <w:t> 日不行使而消</w:t>
      </w:r>
    </w:p>
    <w:p>
      <w:pPr>
        <w:pStyle w:val="BodyText"/>
        <w:spacing w:line="278" w:lineRule="auto" w:before="43"/>
        <w:ind w:left="339" w:right="301"/>
      </w:pPr>
      <w:r>
        <w:rPr>
          <w:spacing w:val="-6"/>
        </w:rPr>
        <w:t>灭。自本合同成立或复效之日起超过 </w:t>
      </w:r>
      <w:r>
        <w:rPr>
          <w:spacing w:val="-4"/>
        </w:rPr>
        <w:t>2</w:t>
      </w:r>
      <w:r>
        <w:rPr>
          <w:spacing w:val="-10"/>
        </w:rPr>
        <w:t> 年的，我们不得解除合同；发生保险事故</w:t>
      </w:r>
      <w:r>
        <w:rPr>
          <w:spacing w:val="-2"/>
        </w:rPr>
        <w:t>的，我们承担给付保险金的责任。</w:t>
      </w:r>
    </w:p>
    <w:p>
      <w:pPr>
        <w:spacing w:after="0" w:line="278" w:lineRule="auto"/>
        <w:sectPr>
          <w:type w:val="continuous"/>
          <w:pgSz w:w="11910" w:h="16840"/>
          <w:pgMar w:top="740" w:bottom="280" w:left="920" w:right="820"/>
          <w:cols w:num="2" w:equalWidth="0">
            <w:col w:w="2210" w:space="40"/>
            <w:col w:w="7920"/>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10"/>
        </w:numPr>
        <w:tabs>
          <w:tab w:pos="1364" w:val="left" w:leader="none"/>
          <w:tab w:pos="1365" w:val="left" w:leader="none"/>
        </w:tabs>
        <w:spacing w:line="194" w:lineRule="auto" w:before="57" w:after="0"/>
        <w:ind w:left="1364" w:right="0" w:hanging="850"/>
        <w:jc w:val="left"/>
      </w:pPr>
      <w:r>
        <w:rPr>
          <w:spacing w:val="-12"/>
        </w:rPr>
        <w:t>年龄、性别</w:t>
      </w:r>
      <w:r>
        <w:rPr>
          <w:spacing w:val="-6"/>
        </w:rPr>
        <w:t>错误</w:t>
      </w:r>
    </w:p>
    <w:p>
      <w:pPr>
        <w:pStyle w:val="BodyText"/>
        <w:spacing w:line="278" w:lineRule="auto" w:before="72"/>
        <w:ind w:left="175" w:right="301"/>
      </w:pPr>
      <w:r>
        <w:rPr/>
        <w:br w:type="column"/>
      </w:r>
      <w:r>
        <w:rPr>
          <w:spacing w:val="-11"/>
        </w:rPr>
        <w:t>您在申请投保时，应将与有效身份证件相符的被保险人的出生日期及性别在投保</w:t>
      </w:r>
      <w:r>
        <w:rPr>
          <w:spacing w:val="-2"/>
        </w:rPr>
        <w:t>单上填明，如果发生错误按照下列方式办理：</w:t>
      </w:r>
    </w:p>
    <w:p>
      <w:pPr>
        <w:pStyle w:val="BodyText"/>
        <w:ind w:left="175"/>
      </w:pPr>
      <w:r>
        <w:rPr/>
        <w:pict>
          <v:shape style="position:absolute;margin-left:201.600006pt;margin-top:-.298076pt;width:337.2pt;height:107.4pt;mso-position-horizontal-relative:page;mso-position-vertical-relative:paragraph;z-index:15781888" type="#_x0000_t202" id="docshape84"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3994"/>
                    <w:gridCol w:w="2333"/>
                  </w:tblGrid>
                  <w:tr>
                    <w:trPr>
                      <w:trHeight w:val="272" w:hRule="atLeast"/>
                    </w:trPr>
                    <w:tc>
                      <w:tcPr>
                        <w:tcW w:w="6745" w:type="dxa"/>
                        <w:gridSpan w:val="3"/>
                        <w:tcBorders>
                          <w:bottom w:val="single" w:sz="18" w:space="0" w:color="FFFFFF"/>
                        </w:tcBorders>
                        <w:shd w:val="clear" w:color="auto" w:fill="D9D9D9"/>
                      </w:tcPr>
                      <w:p>
                        <w:pPr>
                          <w:pStyle w:val="TableParagraph"/>
                          <w:spacing w:line="247" w:lineRule="exact" w:before="6"/>
                          <w:ind w:left="0" w:right="-15"/>
                          <w:rPr>
                            <w:sz w:val="21"/>
                          </w:rPr>
                        </w:pPr>
                        <w:r>
                          <w:rPr>
                            <w:spacing w:val="-3"/>
                            <w:sz w:val="21"/>
                          </w:rPr>
                          <w:t>您申报的被保险人年龄不真实，并且其真实年龄不符合本合同约定投保年</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龄限制的，在保险事故发生之前我们有权解除合同，并向您退还保险单的</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z w:val="21"/>
                          </w:rPr>
                          <w:t>现金价值。我们行使合同解除权适用“8.2</w:t>
                        </w:r>
                        <w:r>
                          <w:rPr>
                            <w:spacing w:val="-4"/>
                            <w:sz w:val="21"/>
                          </w:rPr>
                          <w:t> 我们合同解除权的限制”的规</w:t>
                        </w:r>
                      </w:p>
                    </w:tc>
                  </w:tr>
                  <w:tr>
                    <w:trPr>
                      <w:trHeight w:val="266" w:hRule="atLeast"/>
                    </w:trPr>
                    <w:tc>
                      <w:tcPr>
                        <w:tcW w:w="418" w:type="dxa"/>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5"/>
                            <w:sz w:val="21"/>
                          </w:rPr>
                          <w:t>定；</w:t>
                        </w:r>
                      </w:p>
                    </w:tc>
                    <w:tc>
                      <w:tcPr>
                        <w:tcW w:w="6327" w:type="dxa"/>
                        <w:gridSpan w:val="2"/>
                        <w:tcBorders>
                          <w:top w:val="single" w:sz="18" w:space="0" w:color="FFFFFF"/>
                          <w:bottom w:val="single" w:sz="18" w:space="0" w:color="FFFFFF"/>
                        </w:tcBorders>
                      </w:tcPr>
                      <w:p>
                        <w:pPr>
                          <w:pStyle w:val="TableParagraph"/>
                          <w:ind w:left="0"/>
                          <w:rPr>
                            <w:rFonts w:ascii="Times New Roman"/>
                            <w:sz w:val="18"/>
                          </w:rPr>
                        </w:pP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您申报的被保险人年龄或性别不真实，致使您实付保险费少于应付保险费</w:t>
                        </w:r>
                      </w:p>
                    </w:tc>
                  </w:tr>
                  <w:tr>
                    <w:trPr>
                      <w:trHeight w:val="267" w:hRule="atLeast"/>
                    </w:trPr>
                    <w:tc>
                      <w:tcPr>
                        <w:tcW w:w="6745"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的，我们有权更正并要求您补交保险费。若已经发生保险事故，在给付保</w:t>
                        </w:r>
                      </w:p>
                    </w:tc>
                  </w:tr>
                  <w:tr>
                    <w:trPr>
                      <w:trHeight w:val="272" w:hRule="atLeast"/>
                    </w:trPr>
                    <w:tc>
                      <w:tcPr>
                        <w:tcW w:w="4412" w:type="dxa"/>
                        <w:gridSpan w:val="2"/>
                        <w:tcBorders>
                          <w:top w:val="single" w:sz="18" w:space="0" w:color="FFFFFF"/>
                        </w:tcBorders>
                        <w:shd w:val="clear" w:color="auto" w:fill="D9D9D9"/>
                      </w:tcPr>
                      <w:p>
                        <w:pPr>
                          <w:pStyle w:val="TableParagraph"/>
                          <w:spacing w:line="252" w:lineRule="exact"/>
                          <w:ind w:left="0" w:right="-15"/>
                          <w:rPr>
                            <w:sz w:val="21"/>
                          </w:rPr>
                        </w:pPr>
                        <w:r>
                          <w:rPr>
                            <w:spacing w:val="-3"/>
                            <w:sz w:val="21"/>
                          </w:rPr>
                          <w:t>险金时按实付保险费和应付保险费的比例给付；</w:t>
                        </w:r>
                      </w:p>
                    </w:tc>
                    <w:tc>
                      <w:tcPr>
                        <w:tcW w:w="2333" w:type="dxa"/>
                        <w:tcBorders>
                          <w:top w:val="single" w:sz="18" w:space="0" w:color="FFFFFF"/>
                        </w:tcBorders>
                      </w:tcPr>
                      <w:p>
                        <w:pPr>
                          <w:pStyle w:val="TableParagraph"/>
                          <w:ind w:left="0"/>
                          <w:rPr>
                            <w:rFonts w:ascii="Times New Roman"/>
                            <w:sz w:val="20"/>
                          </w:rPr>
                        </w:pPr>
                      </w:p>
                    </w:tc>
                  </w:tr>
                </w:tbl>
                <w:p>
                  <w:pPr>
                    <w:pStyle w:val="BodyText"/>
                  </w:pPr>
                </w:p>
              </w:txbxContent>
            </v:textbox>
            <w10:wrap type="none"/>
          </v:shape>
        </w:pict>
      </w:r>
      <w:r>
        <w:rPr>
          <w:spacing w:val="-5"/>
        </w:rPr>
        <w:t>（1）</w:t>
      </w: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ind w:left="175"/>
      </w:pPr>
      <w:r>
        <w:rPr>
          <w:spacing w:val="-5"/>
        </w:rPr>
        <w:t>（2）</w:t>
      </w:r>
    </w:p>
    <w:p>
      <w:pPr>
        <w:pStyle w:val="BodyText"/>
        <w:rPr>
          <w:sz w:val="20"/>
        </w:rPr>
      </w:pPr>
    </w:p>
    <w:p>
      <w:pPr>
        <w:pStyle w:val="BodyText"/>
        <w:rPr>
          <w:sz w:val="20"/>
        </w:rPr>
      </w:pPr>
    </w:p>
    <w:p>
      <w:pPr>
        <w:pStyle w:val="ListParagraph"/>
        <w:numPr>
          <w:ilvl w:val="1"/>
          <w:numId w:val="6"/>
        </w:numPr>
        <w:tabs>
          <w:tab w:pos="705" w:val="left" w:leader="none"/>
        </w:tabs>
        <w:spacing w:line="248" w:lineRule="exact" w:before="155" w:after="0"/>
        <w:ind w:left="704" w:right="0" w:hanging="530"/>
        <w:jc w:val="left"/>
        <w:rPr>
          <w:sz w:val="21"/>
        </w:rPr>
      </w:pPr>
      <w:r>
        <w:rPr>
          <w:spacing w:val="-3"/>
          <w:sz w:val="21"/>
        </w:rPr>
        <w:t>您申报的被保险人年龄或性别不真实，致使您实付保险费多于应付保险费</w:t>
      </w:r>
    </w:p>
    <w:p>
      <w:pPr>
        <w:spacing w:line="31" w:lineRule="exact" w:before="0"/>
        <w:ind w:left="214" w:right="0" w:firstLine="0"/>
        <w:jc w:val="left"/>
        <w:rPr>
          <w:sz w:val="4"/>
        </w:rPr>
      </w:pPr>
      <w:r>
        <w:rPr>
          <w:w w:val="72"/>
          <w:sz w:val="4"/>
        </w:rPr>
        <w:t>●</w:t>
      </w:r>
    </w:p>
    <w:p>
      <w:pPr>
        <w:spacing w:after="0" w:line="31" w:lineRule="exact"/>
        <w:jc w:val="left"/>
        <w:rPr>
          <w:sz w:val="4"/>
        </w:rPr>
        <w:sectPr>
          <w:type w:val="continuous"/>
          <w:pgSz w:w="11910" w:h="16840"/>
          <w:pgMar w:top="740" w:bottom="280" w:left="920" w:right="820"/>
          <w:cols w:num="2" w:equalWidth="0">
            <w:col w:w="2373" w:space="40"/>
            <w:col w:w="7757"/>
          </w:cols>
        </w:sectPr>
      </w:pPr>
    </w:p>
    <w:p>
      <w:pPr>
        <w:pStyle w:val="BodyText"/>
        <w:spacing w:line="248" w:lineRule="exact" w:before="33"/>
        <w:ind w:left="3112"/>
      </w:pPr>
      <w:r>
        <w:rPr>
          <w:spacing w:val="-3"/>
        </w:rPr>
        <w:t>的，我们会将多收的保险费退还给您。</w:t>
      </w:r>
    </w:p>
    <w:p>
      <w:pPr>
        <w:spacing w:line="31" w:lineRule="exact" w:before="0"/>
        <w:ind w:left="3150" w:right="0" w:firstLine="0"/>
        <w:jc w:val="left"/>
        <w:rPr>
          <w:sz w:val="4"/>
        </w:rPr>
      </w:pPr>
      <w:r>
        <w:rPr>
          <w:w w:val="72"/>
          <w:sz w:val="4"/>
        </w:rPr>
        <w:t>●</w:t>
      </w:r>
    </w:p>
    <w:p>
      <w:pPr>
        <w:pStyle w:val="BodyText"/>
        <w:spacing w:before="4"/>
      </w:pPr>
    </w:p>
    <w:p>
      <w:pPr>
        <w:pStyle w:val="ListParagraph"/>
        <w:numPr>
          <w:ilvl w:val="1"/>
          <w:numId w:val="10"/>
        </w:numPr>
        <w:tabs>
          <w:tab w:pos="1364" w:val="left" w:leader="none"/>
          <w:tab w:pos="1365" w:val="left" w:leader="none"/>
          <w:tab w:pos="2588" w:val="left" w:leader="none"/>
        </w:tabs>
        <w:spacing w:line="235" w:lineRule="auto" w:before="10" w:after="0"/>
        <w:ind w:left="2588" w:right="301" w:hanging="2074"/>
        <w:jc w:val="left"/>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4"/>
          <w:sz w:val="21"/>
        </w:rPr>
        <w:t>我</w:t>
      </w:r>
      <w:r>
        <w:rPr>
          <w:spacing w:val="-4"/>
          <w:sz w:val="21"/>
        </w:rPr>
        <w:t>们</w:t>
      </w:r>
      <w:r>
        <w:rPr>
          <w:spacing w:val="-4"/>
          <w:sz w:val="21"/>
        </w:rPr>
        <w:t>在</w:t>
      </w:r>
      <w:r>
        <w:rPr>
          <w:spacing w:val="-4"/>
          <w:sz w:val="21"/>
        </w:rPr>
        <w:t>给</w:t>
      </w:r>
      <w:r>
        <w:rPr>
          <w:spacing w:val="-4"/>
          <w:sz w:val="21"/>
        </w:rPr>
        <w:t>付</w:t>
      </w:r>
      <w:r>
        <w:rPr>
          <w:spacing w:val="-4"/>
          <w:sz w:val="21"/>
        </w:rPr>
        <w:t>各</w:t>
      </w:r>
      <w:r>
        <w:rPr>
          <w:spacing w:val="-4"/>
          <w:sz w:val="21"/>
        </w:rPr>
        <w:t>项</w:t>
      </w:r>
      <w:r>
        <w:rPr>
          <w:spacing w:val="-4"/>
          <w:sz w:val="21"/>
        </w:rPr>
        <w:t>保</w:t>
      </w:r>
      <w:r>
        <w:rPr>
          <w:spacing w:val="-4"/>
          <w:sz w:val="21"/>
        </w:rPr>
        <w:t>险金、</w:t>
      </w:r>
      <w:r>
        <w:rPr>
          <w:spacing w:val="-4"/>
          <w:sz w:val="21"/>
        </w:rPr>
        <w:t>退</w:t>
      </w:r>
      <w:r>
        <w:rPr>
          <w:spacing w:val="-4"/>
          <w:sz w:val="21"/>
        </w:rPr>
        <w:t>还</w:t>
      </w:r>
      <w:r>
        <w:rPr>
          <w:spacing w:val="-4"/>
          <w:sz w:val="21"/>
        </w:rPr>
        <w:t>现</w:t>
      </w:r>
      <w:r>
        <w:rPr>
          <w:spacing w:val="-4"/>
          <w:sz w:val="21"/>
        </w:rPr>
        <w:t>金</w:t>
      </w:r>
      <w:r>
        <w:rPr>
          <w:spacing w:val="-4"/>
          <w:sz w:val="21"/>
        </w:rPr>
        <w:t>价</w:t>
      </w:r>
      <w:r>
        <w:rPr>
          <w:spacing w:val="-4"/>
          <w:sz w:val="21"/>
        </w:rPr>
        <w:t>值</w:t>
      </w:r>
      <w:r>
        <w:rPr>
          <w:spacing w:val="-4"/>
          <w:sz w:val="21"/>
        </w:rPr>
        <w:t>或</w:t>
      </w:r>
      <w:r>
        <w:rPr>
          <w:spacing w:val="-4"/>
          <w:sz w:val="21"/>
        </w:rPr>
        <w:t>退</w:t>
      </w:r>
      <w:r>
        <w:rPr>
          <w:spacing w:val="-4"/>
          <w:sz w:val="21"/>
        </w:rPr>
        <w:t>还</w:t>
      </w:r>
      <w:r>
        <w:rPr>
          <w:spacing w:val="-4"/>
          <w:sz w:val="21"/>
        </w:rPr>
        <w:t>保</w:t>
      </w:r>
      <w:r>
        <w:rPr>
          <w:spacing w:val="-4"/>
          <w:sz w:val="21"/>
        </w:rPr>
        <w:t>险</w:t>
      </w:r>
      <w:r>
        <w:rPr>
          <w:spacing w:val="-4"/>
          <w:sz w:val="21"/>
        </w:rPr>
        <w:t>费时，如果</w:t>
      </w:r>
      <w:r>
        <w:rPr>
          <w:spacing w:val="-4"/>
          <w:sz w:val="21"/>
        </w:rPr>
        <w:t>您</w:t>
      </w:r>
      <w:r>
        <w:rPr>
          <w:spacing w:val="-4"/>
          <w:sz w:val="21"/>
        </w:rPr>
        <w:t>有</w:t>
      </w:r>
      <w:r>
        <w:rPr>
          <w:spacing w:val="-4"/>
          <w:sz w:val="21"/>
        </w:rPr>
        <w:t>欠</w:t>
      </w:r>
      <w:r>
        <w:rPr>
          <w:spacing w:val="-4"/>
          <w:sz w:val="21"/>
        </w:rPr>
        <w:t>交</w:t>
      </w:r>
      <w:r>
        <w:rPr>
          <w:spacing w:val="-4"/>
          <w:sz w:val="21"/>
        </w:rPr>
        <w:t>的</w:t>
      </w:r>
      <w:r>
        <w:rPr>
          <w:spacing w:val="-4"/>
          <w:sz w:val="21"/>
        </w:rPr>
        <w:t>保</w:t>
      </w:r>
      <w:r>
        <w:rPr>
          <w:spacing w:val="-4"/>
          <w:sz w:val="21"/>
        </w:rPr>
        <w:t>险</w:t>
      </w:r>
      <w:r>
        <w:rPr>
          <w:spacing w:val="-4"/>
          <w:sz w:val="21"/>
        </w:rPr>
        <w:t>费</w:t>
      </w:r>
      <w:r>
        <w:rPr>
          <w:spacing w:val="-2"/>
          <w:sz w:val="21"/>
        </w:rPr>
        <w:t>或</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，我</w:t>
      </w:r>
      <w:r>
        <w:rPr>
          <w:spacing w:val="-2"/>
          <w:sz w:val="21"/>
        </w:rPr>
        <w:t>们</w:t>
      </w:r>
      <w:r>
        <w:rPr>
          <w:spacing w:val="-2"/>
          <w:sz w:val="21"/>
        </w:rPr>
        <w:t>在</w:t>
      </w:r>
      <w:r>
        <w:rPr>
          <w:spacing w:val="-2"/>
          <w:sz w:val="21"/>
        </w:rPr>
        <w:t>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w:t>
      </w:r>
      <w:r>
        <w:rPr>
          <w:spacing w:val="-2"/>
          <w:sz w:val="21"/>
        </w:rPr>
        <w:t>款</w:t>
      </w:r>
      <w:r>
        <w:rPr>
          <w:spacing w:val="-2"/>
          <w:sz w:val="21"/>
        </w:rPr>
        <w:t>及</w:t>
      </w:r>
      <w:r>
        <w:rPr>
          <w:spacing w:val="-2"/>
          <w:sz w:val="21"/>
        </w:rPr>
        <w:t>应付利</w:t>
      </w:r>
      <w:r>
        <w:rPr>
          <w:spacing w:val="-2"/>
          <w:sz w:val="21"/>
        </w:rPr>
        <w:t>息</w:t>
      </w:r>
      <w:r>
        <w:rPr>
          <w:spacing w:val="-2"/>
          <w:sz w:val="21"/>
        </w:rPr>
        <w:t>后</w:t>
      </w:r>
      <w:r>
        <w:rPr>
          <w:spacing w:val="-2"/>
          <w:sz w:val="21"/>
        </w:rPr>
        <w:t>给</w:t>
      </w:r>
      <w:r>
        <w:rPr>
          <w:spacing w:val="-2"/>
          <w:sz w:val="21"/>
        </w:rPr>
        <w:t>付</w:t>
      </w:r>
      <w:r>
        <w:rPr>
          <w:spacing w:val="-2"/>
          <w:sz w:val="21"/>
        </w:rPr>
        <w:t>。</w:t>
      </w:r>
    </w:p>
    <w:p>
      <w:pPr>
        <w:pStyle w:val="BodyText"/>
        <w:spacing w:before="1"/>
        <w:rPr>
          <w:sz w:val="22"/>
        </w:rPr>
      </w:pPr>
    </w:p>
    <w:p>
      <w:pPr>
        <w:spacing w:after="0"/>
        <w:rPr>
          <w:sz w:val="22"/>
        </w:rPr>
        <w:sectPr>
          <w:type w:val="continuous"/>
          <w:pgSz w:w="11910" w:h="16840"/>
          <w:pgMar w:top="740" w:bottom="280" w:left="920" w:right="820"/>
        </w:sectPr>
      </w:pPr>
    </w:p>
    <w:p>
      <w:pPr>
        <w:pStyle w:val="Heading3"/>
        <w:numPr>
          <w:ilvl w:val="1"/>
          <w:numId w:val="10"/>
        </w:numPr>
        <w:tabs>
          <w:tab w:pos="1364" w:val="left" w:leader="none"/>
          <w:tab w:pos="1365" w:val="left" w:leader="none"/>
        </w:tabs>
        <w:spacing w:line="194" w:lineRule="auto" w:before="57" w:after="0"/>
        <w:ind w:left="1364" w:right="0" w:hanging="850"/>
        <w:jc w:val="left"/>
      </w:pPr>
      <w:r>
        <w:rPr>
          <w:spacing w:val="-4"/>
        </w:rPr>
        <w:t>合同内容</w:t>
      </w:r>
      <w:r>
        <w:rPr>
          <w:spacing w:val="-6"/>
        </w:rPr>
        <w:t>变更</w:t>
      </w:r>
    </w:p>
    <w:p>
      <w:pPr>
        <w:pStyle w:val="BodyText"/>
        <w:spacing w:line="278" w:lineRule="auto" w:before="72"/>
        <w:ind w:left="339" w:right="301"/>
        <w:jc w:val="both"/>
      </w:pPr>
      <w:r>
        <w:rPr/>
        <w:br w:type="column"/>
      </w:r>
      <w:r>
        <w:rPr>
          <w:spacing w:val="-4"/>
        </w:rPr>
        <w:t>在本合同有效期内，经您与我们协商一致，可以变更本合同内容。变更本合同内</w:t>
      </w:r>
      <w:r>
        <w:rPr>
          <w:spacing w:val="-4"/>
        </w:rPr>
        <w:t>容的，应当由我们在保险单或其他保险凭证上批注或附贴批单，或由您与我们订</w:t>
      </w:r>
      <w:r>
        <w:rPr>
          <w:spacing w:val="-2"/>
        </w:rPr>
        <w:t>立书面的变更协议。</w:t>
      </w:r>
    </w:p>
    <w:p>
      <w:pPr>
        <w:spacing w:after="0" w:line="278" w:lineRule="auto"/>
        <w:jc w:val="both"/>
        <w:sectPr>
          <w:type w:val="continuous"/>
          <w:pgSz w:w="11910" w:h="16840"/>
          <w:pgMar w:top="740" w:bottom="280" w:left="920" w:right="820"/>
          <w:cols w:num="2" w:equalWidth="0">
            <w:col w:w="2210" w:space="40"/>
            <w:col w:w="7920"/>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10"/>
        </w:numPr>
        <w:tabs>
          <w:tab w:pos="1364" w:val="left" w:leader="none"/>
          <w:tab w:pos="1365" w:val="left" w:leader="none"/>
        </w:tabs>
        <w:spacing w:line="194" w:lineRule="auto" w:before="57" w:after="0"/>
        <w:ind w:left="1364" w:right="0" w:hanging="850"/>
        <w:jc w:val="left"/>
      </w:pPr>
      <w:r>
        <w:rPr>
          <w:spacing w:val="-4"/>
        </w:rPr>
        <w:t>联系方式</w:t>
      </w:r>
      <w:r>
        <w:rPr>
          <w:spacing w:val="-6"/>
        </w:rPr>
        <w:t>变更</w:t>
      </w:r>
    </w:p>
    <w:p>
      <w:pPr>
        <w:pStyle w:val="BodyText"/>
        <w:spacing w:line="310" w:lineRule="atLeast" w:before="31"/>
        <w:ind w:left="339" w:right="301"/>
        <w:jc w:val="both"/>
      </w:pPr>
      <w:r>
        <w:rPr/>
        <w:br w:type="column"/>
      </w:r>
      <w:r>
        <w:rPr>
          <w:spacing w:val="-4"/>
        </w:rPr>
        <w:t>为了保障您的合法权益，您的住所、通讯地址或电话等联系方式变更时，请及时</w:t>
      </w:r>
      <w:r>
        <w:rPr>
          <w:spacing w:val="-6"/>
        </w:rPr>
        <w:t>以书面形式或双方认可的其他形式通知我们。若您未以书面形式或双方认可的其</w:t>
      </w:r>
      <w:r>
        <w:rPr>
          <w:spacing w:val="-4"/>
        </w:rPr>
        <w:t>他形式通知我们，我们按本合同载明的最后住所或通讯地址发送的有关通知，均</w:t>
      </w:r>
      <w:r>
        <w:rPr>
          <w:spacing w:val="-2"/>
        </w:rPr>
        <w:t>视为已送达给您。</w:t>
      </w:r>
    </w:p>
    <w:p>
      <w:pPr>
        <w:spacing w:line="16" w:lineRule="exact" w:before="0"/>
        <w:ind w:left="377" w:right="0" w:firstLine="0"/>
        <w:jc w:val="left"/>
        <w:rPr>
          <w:sz w:val="4"/>
        </w:rPr>
      </w:pPr>
      <w:r>
        <w:rPr>
          <w:w w:val="72"/>
          <w:sz w:val="4"/>
        </w:rPr>
        <w:t>●</w:t>
      </w:r>
    </w:p>
    <w:p>
      <w:pPr>
        <w:spacing w:after="0" w:line="16" w:lineRule="exact"/>
        <w:jc w:val="left"/>
        <w:rPr>
          <w:sz w:val="4"/>
        </w:rPr>
        <w:sectPr>
          <w:type w:val="continuous"/>
          <w:pgSz w:w="11910" w:h="16840"/>
          <w:pgMar w:top="740" w:bottom="280" w:left="920" w:right="820"/>
          <w:cols w:num="2" w:equalWidth="0">
            <w:col w:w="2210" w:space="40"/>
            <w:col w:w="7920"/>
          </w:cols>
        </w:sectPr>
      </w:pPr>
    </w:p>
    <w:p>
      <w:pPr>
        <w:pStyle w:val="BodyText"/>
        <w:spacing w:before="4"/>
      </w:pPr>
    </w:p>
    <w:p>
      <w:pPr>
        <w:pStyle w:val="ListParagraph"/>
        <w:numPr>
          <w:ilvl w:val="1"/>
          <w:numId w:val="10"/>
        </w:numPr>
        <w:tabs>
          <w:tab w:pos="1364" w:val="left" w:leader="none"/>
          <w:tab w:pos="1365" w:val="left" w:leader="none"/>
          <w:tab w:pos="2588" w:val="left" w:leader="none"/>
        </w:tabs>
        <w:spacing w:line="235" w:lineRule="auto" w:before="10" w:after="0"/>
        <w:ind w:left="2588" w:right="301" w:hanging="2074"/>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4"/>
          <w:sz w:val="21"/>
        </w:rPr>
        <w:t>本</w:t>
      </w:r>
      <w:r>
        <w:rPr>
          <w:spacing w:val="-4"/>
          <w:sz w:val="21"/>
        </w:rPr>
        <w:t>合</w:t>
      </w:r>
      <w:r>
        <w:rPr>
          <w:spacing w:val="-4"/>
          <w:sz w:val="21"/>
        </w:rPr>
        <w:t>同</w:t>
      </w:r>
      <w:r>
        <w:rPr>
          <w:spacing w:val="-4"/>
          <w:sz w:val="21"/>
        </w:rPr>
        <w:t>履</w:t>
      </w:r>
      <w:r>
        <w:rPr>
          <w:spacing w:val="-4"/>
          <w:sz w:val="21"/>
        </w:rPr>
        <w:t>行</w:t>
      </w:r>
      <w:r>
        <w:rPr>
          <w:spacing w:val="-4"/>
          <w:sz w:val="21"/>
        </w:rPr>
        <w:t>过</w:t>
      </w:r>
      <w:r>
        <w:rPr>
          <w:spacing w:val="-4"/>
          <w:sz w:val="21"/>
        </w:rPr>
        <w:t>程</w:t>
      </w:r>
      <w:r>
        <w:rPr>
          <w:spacing w:val="-4"/>
          <w:sz w:val="21"/>
        </w:rPr>
        <w:t>中，</w:t>
      </w:r>
      <w:r>
        <w:rPr>
          <w:spacing w:val="-4"/>
          <w:sz w:val="21"/>
        </w:rPr>
        <w:t>双</w:t>
      </w:r>
      <w:r>
        <w:rPr>
          <w:spacing w:val="-4"/>
          <w:sz w:val="21"/>
        </w:rPr>
        <w:t>方</w:t>
      </w:r>
      <w:r>
        <w:rPr>
          <w:spacing w:val="-4"/>
          <w:sz w:val="21"/>
        </w:rPr>
        <w:t>发</w:t>
      </w:r>
      <w:r>
        <w:rPr>
          <w:spacing w:val="-4"/>
          <w:sz w:val="21"/>
        </w:rPr>
        <w:t>生</w:t>
      </w:r>
      <w:r>
        <w:rPr>
          <w:spacing w:val="-4"/>
          <w:sz w:val="21"/>
        </w:rPr>
        <w:t>争</w:t>
      </w:r>
      <w:r>
        <w:rPr>
          <w:spacing w:val="-4"/>
          <w:sz w:val="21"/>
        </w:rPr>
        <w:t>议</w:t>
      </w:r>
      <w:r>
        <w:rPr>
          <w:spacing w:val="-4"/>
          <w:sz w:val="21"/>
        </w:rPr>
        <w:t>时，由双</w:t>
      </w:r>
      <w:r>
        <w:rPr>
          <w:spacing w:val="-4"/>
          <w:sz w:val="21"/>
        </w:rPr>
        <w:t>方</w:t>
      </w:r>
      <w:r>
        <w:rPr>
          <w:spacing w:val="-4"/>
          <w:sz w:val="21"/>
        </w:rPr>
        <w:t>协</w:t>
      </w:r>
      <w:r>
        <w:rPr>
          <w:spacing w:val="-4"/>
          <w:sz w:val="21"/>
        </w:rPr>
        <w:t>商</w:t>
      </w:r>
      <w:r>
        <w:rPr>
          <w:spacing w:val="-4"/>
          <w:sz w:val="21"/>
        </w:rPr>
        <w:t>解决，协商</w:t>
      </w:r>
      <w:r>
        <w:rPr>
          <w:spacing w:val="-4"/>
          <w:sz w:val="21"/>
        </w:rPr>
        <w:t>不</w:t>
      </w:r>
      <w:r>
        <w:rPr>
          <w:spacing w:val="-4"/>
          <w:sz w:val="21"/>
        </w:rPr>
        <w:t>成</w:t>
      </w:r>
      <w:r>
        <w:rPr>
          <w:spacing w:val="-4"/>
          <w:sz w:val="21"/>
        </w:rPr>
        <w:t>的</w:t>
      </w:r>
      <w:r>
        <w:rPr>
          <w:spacing w:val="-4"/>
          <w:sz w:val="21"/>
        </w:rPr>
        <w:t>，</w:t>
      </w:r>
      <w:r>
        <w:rPr>
          <w:spacing w:val="-4"/>
          <w:sz w:val="21"/>
        </w:rPr>
        <w:t>可</w:t>
      </w:r>
      <w:r>
        <w:rPr>
          <w:spacing w:val="-4"/>
          <w:sz w:val="21"/>
        </w:rPr>
        <w:t>以</w:t>
      </w:r>
      <w:r>
        <w:rPr>
          <w:spacing w:val="-4"/>
          <w:sz w:val="21"/>
        </w:rPr>
        <w:t>从</w:t>
      </w:r>
      <w:r>
        <w:rPr>
          <w:spacing w:val="-4"/>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2"/>
          <w:sz w:val="21"/>
        </w:rPr>
        <w:t>处</w:t>
      </w:r>
      <w:r>
        <w:rPr>
          <w:spacing w:val="-2"/>
          <w:sz w:val="21"/>
        </w:rPr>
        <w:t>理</w:t>
      </w:r>
      <w:r>
        <w:rPr>
          <w:spacing w:val="-2"/>
          <w:sz w:val="21"/>
        </w:rPr>
        <w:t>方</w:t>
      </w:r>
      <w:r>
        <w:rPr>
          <w:spacing w:val="-2"/>
          <w:sz w:val="21"/>
        </w:rPr>
        <w:t>式</w:t>
      </w:r>
      <w:r>
        <w:rPr>
          <w:spacing w:val="-2"/>
          <w:sz w:val="21"/>
        </w:rPr>
        <w:t>：</w:t>
      </w:r>
    </w:p>
    <w:p>
      <w:pPr>
        <w:pStyle w:val="ListParagraph"/>
        <w:numPr>
          <w:ilvl w:val="2"/>
          <w:numId w:val="10"/>
        </w:numPr>
        <w:tabs>
          <w:tab w:pos="3118" w:val="left" w:leader="none"/>
        </w:tabs>
        <w:spacing w:line="240" w:lineRule="auto" w:before="43" w:after="0"/>
        <w:ind w:left="3117" w:right="0" w:hanging="530"/>
        <w:jc w:val="left"/>
        <w:rPr>
          <w:sz w:val="21"/>
        </w:rPr>
      </w:pPr>
      <w:r>
        <w:rPr>
          <w:spacing w:val="-3"/>
          <w:sz w:val="21"/>
        </w:rPr>
        <w:t>提交双方选定的仲裁委员会仲裁；</w:t>
      </w:r>
    </w:p>
    <w:p>
      <w:pPr>
        <w:pStyle w:val="ListParagraph"/>
        <w:numPr>
          <w:ilvl w:val="2"/>
          <w:numId w:val="10"/>
        </w:numPr>
        <w:tabs>
          <w:tab w:pos="3114" w:val="left" w:leader="none"/>
        </w:tabs>
        <w:spacing w:line="240" w:lineRule="auto" w:before="43" w:after="0"/>
        <w:ind w:left="3113" w:right="0" w:hanging="530"/>
        <w:jc w:val="left"/>
        <w:rPr>
          <w:sz w:val="21"/>
        </w:rPr>
      </w:pPr>
      <w:r>
        <w:rPr>
          <w:spacing w:val="-3"/>
          <w:sz w:val="21"/>
        </w:rPr>
        <w:t>依法提交人民法院起诉。</w:t>
      </w:r>
    </w:p>
    <w:p>
      <w:pPr>
        <w:pStyle w:val="BodyText"/>
        <w:spacing w:before="1"/>
        <w:rPr>
          <w:sz w:val="29"/>
        </w:rPr>
      </w:pPr>
    </w:p>
    <w:p>
      <w:pPr>
        <w:tabs>
          <w:tab w:pos="1364" w:val="left" w:leader="none"/>
        </w:tabs>
        <w:spacing w:before="0"/>
        <w:ind w:left="404" w:right="0" w:firstLine="0"/>
        <w:jc w:val="left"/>
        <w:rPr>
          <w:rFonts w:ascii="微软雅黑" w:hAnsi="微软雅黑" w:eastAsia="微软雅黑"/>
          <w:b/>
          <w:sz w:val="24"/>
        </w:rPr>
      </w:pPr>
      <w:r>
        <w:rPr>
          <w:spacing w:val="-10"/>
          <w:position w:val="-3"/>
          <w:sz w:val="40"/>
        </w:rPr>
        <w:t></w:t>
      </w:r>
      <w:r>
        <w:rPr>
          <w:position w:val="-3"/>
          <w:sz w:val="40"/>
        </w:rPr>
        <w:tab/>
      </w:r>
      <w:r>
        <w:rPr>
          <w:rFonts w:ascii="微软雅黑" w:hAnsi="微软雅黑" w:eastAsia="微软雅黑"/>
          <w:b/>
          <w:spacing w:val="-5"/>
          <w:sz w:val="24"/>
        </w:rPr>
        <w:t>释义</w:t>
      </w:r>
    </w:p>
    <w:p>
      <w:pPr>
        <w:pStyle w:val="BodyText"/>
        <w:spacing w:before="12"/>
        <w:rPr>
          <w:rFonts w:ascii="微软雅黑"/>
          <w:b/>
          <w:sz w:val="2"/>
        </w:rPr>
      </w:pPr>
      <w:r>
        <w:rPr/>
        <w:drawing>
          <wp:anchor distT="0" distB="0" distL="0" distR="0" allowOverlap="1" layoutInCell="1" locked="0" behindDoc="0" simplePos="0" relativeHeight="103">
            <wp:simplePos x="0" y="0"/>
            <wp:positionH relativeFrom="page">
              <wp:posOffset>649223</wp:posOffset>
            </wp:positionH>
            <wp:positionV relativeFrom="paragraph">
              <wp:posOffset>46842</wp:posOffset>
            </wp:positionV>
            <wp:extent cx="6263639" cy="12192"/>
            <wp:effectExtent l="0" t="0" r="0" b="0"/>
            <wp:wrapTopAndBottom/>
            <wp:docPr id="41" name="image3.png"/>
            <wp:cNvGraphicFramePr>
              <a:graphicFrameLocks noChangeAspect="1"/>
            </wp:cNvGraphicFramePr>
            <a:graphic>
              <a:graphicData uri="http://schemas.openxmlformats.org/drawingml/2006/picture">
                <pic:pic>
                  <pic:nvPicPr>
                    <pic:cNvPr id="42" name="image3.png"/>
                    <pic:cNvPicPr/>
                  </pic:nvPicPr>
                  <pic:blipFill>
                    <a:blip r:embed="rId7" cstate="print"/>
                    <a:stretch>
                      <a:fillRect/>
                    </a:stretch>
                  </pic:blipFill>
                  <pic:spPr>
                    <a:xfrm>
                      <a:off x="0" y="0"/>
                      <a:ext cx="6263639" cy="12192"/>
                    </a:xfrm>
                    <a:prstGeom prst="rect">
                      <a:avLst/>
                    </a:prstGeom>
                  </pic:spPr>
                </pic:pic>
              </a:graphicData>
            </a:graphic>
          </wp:anchor>
        </w:drawing>
      </w:r>
    </w:p>
    <w:p>
      <w:pPr>
        <w:pStyle w:val="ListParagraph"/>
        <w:numPr>
          <w:ilvl w:val="1"/>
          <w:numId w:val="11"/>
        </w:numPr>
        <w:tabs>
          <w:tab w:pos="1364" w:val="left" w:leader="none"/>
          <w:tab w:pos="1365" w:val="left" w:leader="none"/>
          <w:tab w:pos="2588" w:val="left" w:leader="none"/>
        </w:tabs>
        <w:spacing w:line="235" w:lineRule="auto" w:before="270" w:after="0"/>
        <w:ind w:left="2588" w:right="301" w:hanging="2074"/>
        <w:jc w:val="left"/>
        <w:rPr>
          <w:sz w:val="21"/>
        </w:rPr>
      </w:pPr>
      <w:r>
        <w:rPr>
          <w:rFonts w:ascii="微软雅黑" w:eastAsia="微软雅黑"/>
          <w:b/>
          <w:w w:val="100"/>
          <w:sz w:val="21"/>
        </w:rPr>
        <w:t>保单年度</w:t>
      </w:r>
      <w:r>
        <w:rPr>
          <w:rFonts w:ascii="微软雅黑" w:eastAsia="微软雅黑"/>
          <w:b/>
          <w:sz w:val="21"/>
        </w:rPr>
        <w:tab/>
      </w:r>
      <w:r>
        <w:rPr>
          <w:spacing w:val="4"/>
          <w:w w:val="100"/>
          <w:sz w:val="21"/>
        </w:rPr>
        <w:t>指从</w:t>
      </w:r>
      <w:r>
        <w:rPr>
          <w:w w:val="100"/>
          <w:sz w:val="21"/>
        </w:rPr>
        <w:t>保</w:t>
      </w:r>
      <w:r>
        <w:rPr>
          <w:spacing w:val="4"/>
          <w:w w:val="100"/>
          <w:sz w:val="21"/>
        </w:rPr>
        <w:t>险</w:t>
      </w:r>
      <w:r>
        <w:rPr>
          <w:w w:val="100"/>
          <w:sz w:val="21"/>
        </w:rPr>
        <w:t>合</w:t>
      </w:r>
      <w:r>
        <w:rPr>
          <w:spacing w:val="4"/>
          <w:w w:val="100"/>
          <w:sz w:val="21"/>
        </w:rPr>
        <w:t>同</w:t>
      </w:r>
      <w:r>
        <w:rPr>
          <w:w w:val="100"/>
          <w:sz w:val="21"/>
        </w:rPr>
        <w:t>生</w:t>
      </w:r>
      <w:r>
        <w:rPr>
          <w:spacing w:val="4"/>
          <w:w w:val="100"/>
          <w:sz w:val="21"/>
        </w:rPr>
        <w:t>效日</w:t>
      </w:r>
      <w:r>
        <w:rPr>
          <w:w w:val="100"/>
          <w:sz w:val="21"/>
        </w:rPr>
        <w:t>或</w:t>
      </w:r>
      <w:r>
        <w:rPr>
          <w:spacing w:val="4"/>
          <w:w w:val="100"/>
          <w:sz w:val="21"/>
        </w:rPr>
        <w:t>生</w:t>
      </w:r>
      <w:r>
        <w:rPr>
          <w:w w:val="100"/>
          <w:sz w:val="21"/>
        </w:rPr>
        <w:t>效</w:t>
      </w:r>
      <w:r>
        <w:rPr>
          <w:spacing w:val="4"/>
          <w:w w:val="100"/>
          <w:sz w:val="21"/>
        </w:rPr>
        <w:t>对</w:t>
      </w:r>
      <w:r>
        <w:rPr>
          <w:w w:val="100"/>
          <w:sz w:val="21"/>
        </w:rPr>
        <w:t>应</w:t>
      </w:r>
      <w:r>
        <w:rPr>
          <w:spacing w:val="4"/>
          <w:w w:val="100"/>
          <w:sz w:val="21"/>
        </w:rPr>
        <w:t>日</w:t>
      </w:r>
      <w:r>
        <w:rPr>
          <w:w w:val="100"/>
          <w:sz w:val="21"/>
        </w:rPr>
        <w:t>零</w:t>
      </w:r>
      <w:r>
        <w:rPr>
          <w:spacing w:val="4"/>
          <w:w w:val="100"/>
          <w:sz w:val="21"/>
        </w:rPr>
        <w:t>时起</w:t>
      </w:r>
      <w:r>
        <w:rPr>
          <w:w w:val="100"/>
          <w:sz w:val="21"/>
        </w:rPr>
        <w:t>至</w:t>
      </w:r>
      <w:r>
        <w:rPr>
          <w:spacing w:val="4"/>
          <w:w w:val="100"/>
          <w:sz w:val="21"/>
        </w:rPr>
        <w:t>下</w:t>
      </w:r>
      <w:r>
        <w:rPr>
          <w:w w:val="100"/>
          <w:sz w:val="21"/>
        </w:rPr>
        <w:t>一年</w:t>
      </w:r>
      <w:r>
        <w:rPr>
          <w:spacing w:val="4"/>
          <w:w w:val="100"/>
          <w:sz w:val="21"/>
        </w:rPr>
        <w:t>度保</w:t>
      </w:r>
      <w:r>
        <w:rPr>
          <w:w w:val="100"/>
          <w:sz w:val="21"/>
        </w:rPr>
        <w:t>险</w:t>
      </w:r>
      <w:r>
        <w:rPr>
          <w:spacing w:val="4"/>
          <w:w w:val="100"/>
          <w:sz w:val="21"/>
        </w:rPr>
        <w:t>合</w:t>
      </w:r>
      <w:r>
        <w:rPr>
          <w:w w:val="100"/>
          <w:sz w:val="21"/>
        </w:rPr>
        <w:t>同</w:t>
      </w:r>
      <w:r>
        <w:rPr>
          <w:spacing w:val="4"/>
          <w:w w:val="100"/>
          <w:sz w:val="21"/>
        </w:rPr>
        <w:t>生</w:t>
      </w:r>
      <w:r>
        <w:rPr>
          <w:w w:val="100"/>
          <w:sz w:val="21"/>
        </w:rPr>
        <w:t>效</w:t>
      </w:r>
      <w:r>
        <w:rPr>
          <w:spacing w:val="4"/>
          <w:w w:val="100"/>
          <w:sz w:val="21"/>
        </w:rPr>
        <w:t>对应</w:t>
      </w:r>
      <w:r>
        <w:rPr>
          <w:w w:val="100"/>
          <w:sz w:val="21"/>
        </w:rPr>
        <w:t>日</w:t>
      </w:r>
      <w:r>
        <w:rPr>
          <w:spacing w:val="4"/>
          <w:w w:val="100"/>
          <w:sz w:val="21"/>
        </w:rPr>
        <w:t>零</w:t>
      </w:r>
      <w:r>
        <w:rPr>
          <w:w w:val="100"/>
          <w:sz w:val="21"/>
        </w:rPr>
        <w:t>时止的期间</w:t>
      </w:r>
      <w:r>
        <w:rPr>
          <w:spacing w:val="-5"/>
          <w:w w:val="100"/>
          <w:sz w:val="21"/>
        </w:rPr>
        <w:t>为</w:t>
      </w:r>
      <w:r>
        <w:rPr>
          <w:w w:val="100"/>
          <w:sz w:val="21"/>
        </w:rPr>
        <w:t>一个保</w:t>
      </w:r>
      <w:r>
        <w:rPr>
          <w:spacing w:val="-5"/>
          <w:w w:val="100"/>
          <w:sz w:val="21"/>
        </w:rPr>
        <w:t>单</w:t>
      </w:r>
      <w:r>
        <w:rPr>
          <w:w w:val="100"/>
          <w:sz w:val="21"/>
        </w:rPr>
        <w:t>年度。</w:t>
      </w:r>
    </w:p>
    <w:p>
      <w:pPr>
        <w:pStyle w:val="BodyText"/>
        <w:spacing w:before="11"/>
        <w:rPr>
          <w:sz w:val="22"/>
        </w:rPr>
      </w:pPr>
    </w:p>
    <w:p>
      <w:pPr>
        <w:pStyle w:val="ListParagraph"/>
        <w:numPr>
          <w:ilvl w:val="1"/>
          <w:numId w:val="11"/>
        </w:numPr>
        <w:tabs>
          <w:tab w:pos="1364" w:val="left" w:leader="none"/>
          <w:tab w:pos="1365" w:val="left" w:leader="none"/>
          <w:tab w:pos="2588" w:val="left" w:leader="none"/>
        </w:tabs>
        <w:spacing w:line="235" w:lineRule="auto" w:before="0" w:after="0"/>
        <w:ind w:left="2588" w:right="301" w:hanging="2074"/>
        <w:jc w:val="left"/>
        <w:rPr>
          <w:sz w:val="21"/>
        </w:rPr>
      </w:pPr>
      <w:r>
        <w:rPr>
          <w:rFonts w:ascii="微软雅黑" w:eastAsia="微软雅黑"/>
          <w:b/>
          <w:spacing w:val="-6"/>
          <w:sz w:val="21"/>
        </w:rPr>
        <w:t>周</w:t>
      </w:r>
      <w:r>
        <w:rPr>
          <w:rFonts w:ascii="微软雅黑" w:eastAsia="微软雅黑"/>
          <w:b/>
          <w:spacing w:val="-6"/>
          <w:sz w:val="21"/>
        </w:rPr>
        <w:t>岁</w:t>
      </w:r>
      <w:r>
        <w:rPr>
          <w:rFonts w:ascii="微软雅黑" w:eastAsia="微软雅黑"/>
          <w:b/>
          <w:sz w:val="21"/>
        </w:rPr>
        <w:tab/>
      </w:r>
      <w:r>
        <w:rPr>
          <w:spacing w:val="-4"/>
          <w:sz w:val="21"/>
        </w:rPr>
        <w:t>指</w:t>
      </w:r>
      <w:r>
        <w:rPr>
          <w:spacing w:val="-4"/>
          <w:sz w:val="21"/>
        </w:rPr>
        <w:t>按</w:t>
      </w:r>
      <w:r>
        <w:rPr>
          <w:spacing w:val="-4"/>
          <w:sz w:val="21"/>
        </w:rPr>
        <w:t>有</w:t>
      </w:r>
      <w:r>
        <w:rPr>
          <w:spacing w:val="-4"/>
          <w:sz w:val="21"/>
        </w:rPr>
        <w:t>效</w:t>
      </w:r>
      <w:r>
        <w:rPr>
          <w:spacing w:val="-4"/>
          <w:sz w:val="21"/>
        </w:rPr>
        <w:t>身</w:t>
      </w:r>
      <w:r>
        <w:rPr>
          <w:spacing w:val="-4"/>
          <w:sz w:val="21"/>
        </w:rPr>
        <w:t>份</w:t>
      </w:r>
      <w:r>
        <w:rPr>
          <w:spacing w:val="-4"/>
          <w:sz w:val="21"/>
        </w:rPr>
        <w:t>证</w:t>
      </w:r>
      <w:r>
        <w:rPr>
          <w:spacing w:val="-4"/>
          <w:sz w:val="21"/>
        </w:rPr>
        <w:t>件</w:t>
      </w:r>
      <w:r>
        <w:rPr>
          <w:spacing w:val="-4"/>
          <w:sz w:val="21"/>
        </w:rPr>
        <w:t>中</w:t>
      </w:r>
      <w:r>
        <w:rPr>
          <w:spacing w:val="-4"/>
          <w:sz w:val="21"/>
        </w:rPr>
        <w:t>记</w:t>
      </w:r>
      <w:r>
        <w:rPr>
          <w:spacing w:val="-4"/>
          <w:sz w:val="21"/>
        </w:rPr>
        <w:t>载</w:t>
      </w:r>
      <w:r>
        <w:rPr>
          <w:spacing w:val="-4"/>
          <w:sz w:val="21"/>
        </w:rPr>
        <w:t>的</w:t>
      </w:r>
      <w:r>
        <w:rPr>
          <w:spacing w:val="-4"/>
          <w:sz w:val="21"/>
        </w:rPr>
        <w:t>出</w:t>
      </w:r>
      <w:r>
        <w:rPr>
          <w:spacing w:val="-4"/>
          <w:sz w:val="21"/>
        </w:rPr>
        <w:t>生</w:t>
      </w:r>
      <w:r>
        <w:rPr>
          <w:spacing w:val="-4"/>
          <w:sz w:val="21"/>
        </w:rPr>
        <w:t>日</w:t>
      </w:r>
      <w:r>
        <w:rPr>
          <w:spacing w:val="-4"/>
          <w:sz w:val="21"/>
        </w:rPr>
        <w:t>期</w:t>
      </w:r>
      <w:r>
        <w:rPr>
          <w:spacing w:val="-4"/>
          <w:sz w:val="21"/>
        </w:rPr>
        <w:t>计</w:t>
      </w:r>
      <w:r>
        <w:rPr>
          <w:spacing w:val="-4"/>
          <w:sz w:val="21"/>
        </w:rPr>
        <w:t>算</w:t>
      </w:r>
      <w:r>
        <w:rPr>
          <w:spacing w:val="-4"/>
          <w:sz w:val="21"/>
        </w:rPr>
        <w:t>的</w:t>
      </w:r>
      <w:r>
        <w:rPr>
          <w:spacing w:val="-4"/>
          <w:sz w:val="21"/>
        </w:rPr>
        <w:t>年</w:t>
      </w:r>
      <w:r>
        <w:rPr>
          <w:spacing w:val="-4"/>
          <w:sz w:val="21"/>
        </w:rPr>
        <w:t>龄，自</w:t>
      </w:r>
      <w:r>
        <w:rPr>
          <w:spacing w:val="-4"/>
          <w:sz w:val="21"/>
        </w:rPr>
        <w:t>出</w:t>
      </w:r>
      <w:r>
        <w:rPr>
          <w:spacing w:val="-4"/>
          <w:sz w:val="21"/>
        </w:rPr>
        <w:t>生</w:t>
      </w:r>
      <w:r>
        <w:rPr>
          <w:spacing w:val="-4"/>
          <w:sz w:val="21"/>
        </w:rPr>
        <w:t>之</w:t>
      </w:r>
      <w:r>
        <w:rPr>
          <w:spacing w:val="-4"/>
          <w:sz w:val="21"/>
        </w:rPr>
        <w:t>日</w:t>
      </w:r>
      <w:r>
        <w:rPr>
          <w:spacing w:val="-4"/>
          <w:sz w:val="21"/>
        </w:rPr>
        <w:t>起</w:t>
      </w:r>
      <w:r>
        <w:rPr>
          <w:spacing w:val="-4"/>
          <w:sz w:val="21"/>
        </w:rPr>
        <w:t>为</w:t>
      </w:r>
      <w:r>
        <w:rPr>
          <w:spacing w:val="-4"/>
          <w:sz w:val="21"/>
        </w:rPr>
        <w:t>零</w:t>
      </w:r>
      <w:r>
        <w:rPr>
          <w:spacing w:val="-4"/>
          <w:sz w:val="21"/>
        </w:rPr>
        <w:t>周</w:t>
      </w:r>
      <w:r>
        <w:rPr>
          <w:spacing w:val="-4"/>
          <w:sz w:val="21"/>
        </w:rPr>
        <w:t>岁，每</w:t>
      </w:r>
      <w:r>
        <w:rPr>
          <w:spacing w:val="-4"/>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1"/>
        <w:rPr>
          <w:sz w:val="22"/>
        </w:rPr>
      </w:pPr>
    </w:p>
    <w:p>
      <w:pPr>
        <w:spacing w:after="0"/>
        <w:rPr>
          <w:sz w:val="22"/>
        </w:rPr>
        <w:sectPr>
          <w:type w:val="continuous"/>
          <w:pgSz w:w="11910" w:h="16840"/>
          <w:pgMar w:top="740" w:bottom="280" w:left="920" w:right="820"/>
        </w:sectPr>
      </w:pPr>
    </w:p>
    <w:p>
      <w:pPr>
        <w:pStyle w:val="Heading3"/>
        <w:numPr>
          <w:ilvl w:val="1"/>
          <w:numId w:val="11"/>
        </w:numPr>
        <w:tabs>
          <w:tab w:pos="1364" w:val="left" w:leader="none"/>
          <w:tab w:pos="1365" w:val="left" w:leader="none"/>
        </w:tabs>
        <w:spacing w:line="194" w:lineRule="auto" w:before="57" w:after="0"/>
        <w:ind w:left="1364" w:right="0" w:hanging="850"/>
        <w:jc w:val="left"/>
      </w:pPr>
      <w:r>
        <w:rPr>
          <w:spacing w:val="-4"/>
        </w:rPr>
        <w:t>有效身份</w:t>
      </w:r>
      <w:r>
        <w:rPr>
          <w:spacing w:val="-6"/>
        </w:rPr>
        <w:t>证件</w:t>
      </w:r>
    </w:p>
    <w:p>
      <w:pPr>
        <w:pStyle w:val="BodyText"/>
        <w:spacing w:line="278" w:lineRule="auto" w:before="72"/>
        <w:ind w:left="339" w:right="301"/>
      </w:pPr>
      <w:r>
        <w:rPr/>
        <w:br w:type="column"/>
      </w:r>
      <w:r>
        <w:rPr>
          <w:spacing w:val="-4"/>
        </w:rPr>
        <w:t>指由政府主管部门规定的证明其身份的证件，如：居民身份证、按规定可使用的</w:t>
      </w:r>
      <w:r>
        <w:rPr>
          <w:spacing w:val="-2"/>
        </w:rPr>
        <w:t>有效护照、港澳居民往来大陆通行证等证件。</w:t>
      </w:r>
    </w:p>
    <w:p>
      <w:pPr>
        <w:spacing w:after="0" w:line="278" w:lineRule="auto"/>
        <w:sectPr>
          <w:type w:val="continuous"/>
          <w:pgSz w:w="11910" w:h="16840"/>
          <w:pgMar w:top="740" w:bottom="280" w:left="920" w:right="820"/>
          <w:cols w:num="2" w:equalWidth="0">
            <w:col w:w="2210" w:space="40"/>
            <w:col w:w="7920"/>
          </w:cols>
        </w:sectPr>
      </w:pPr>
    </w:p>
    <w:p>
      <w:pPr>
        <w:pStyle w:val="Heading3"/>
        <w:numPr>
          <w:ilvl w:val="1"/>
          <w:numId w:val="11"/>
        </w:numPr>
        <w:tabs>
          <w:tab w:pos="1364" w:val="left" w:leader="none"/>
          <w:tab w:pos="1365" w:val="left" w:leader="none"/>
        </w:tabs>
        <w:spacing w:line="194" w:lineRule="auto" w:before="37" w:after="0"/>
        <w:ind w:left="1364" w:right="0" w:hanging="850"/>
        <w:jc w:val="left"/>
      </w:pPr>
      <w:r>
        <w:rPr>
          <w:spacing w:val="-4"/>
        </w:rPr>
        <w:t>意外伤害</w:t>
      </w:r>
      <w:r>
        <w:rPr>
          <w:spacing w:val="-6"/>
        </w:rPr>
        <w:t>事故</w:t>
      </w:r>
    </w:p>
    <w:p>
      <w:pPr>
        <w:pStyle w:val="BodyText"/>
        <w:spacing w:before="51"/>
        <w:ind w:left="339"/>
      </w:pPr>
      <w:r>
        <w:rPr/>
        <w:br w:type="column"/>
      </w:r>
      <w:r>
        <w:rPr>
          <w:spacing w:val="-3"/>
        </w:rPr>
        <w:t>指外来的、突发的、非本意的、非疾病的使被保险人身体受到伤害的客观事件。</w:t>
      </w:r>
    </w:p>
    <w:p>
      <w:pPr>
        <w:spacing w:after="0"/>
        <w:sectPr>
          <w:pgSz w:w="11910" w:h="16840"/>
          <w:pgMar w:top="1400" w:bottom="280" w:left="920" w:right="820"/>
          <w:cols w:num="2" w:equalWidth="0">
            <w:col w:w="2210" w:space="40"/>
            <w:col w:w="7920"/>
          </w:cols>
        </w:sectPr>
      </w:pPr>
    </w:p>
    <w:p>
      <w:pPr>
        <w:pStyle w:val="BodyText"/>
        <w:spacing w:before="8"/>
        <w:rPr>
          <w:sz w:val="19"/>
        </w:rPr>
      </w:pPr>
    </w:p>
    <w:p>
      <w:pPr>
        <w:pStyle w:val="Heading3"/>
        <w:numPr>
          <w:ilvl w:val="1"/>
          <w:numId w:val="11"/>
        </w:numPr>
        <w:tabs>
          <w:tab w:pos="1364" w:val="left" w:leader="none"/>
          <w:tab w:pos="1365" w:val="left" w:leader="none"/>
        </w:tabs>
        <w:spacing w:line="194" w:lineRule="auto" w:before="57" w:after="6"/>
        <w:ind w:left="1364" w:right="7952" w:hanging="845"/>
        <w:jc w:val="left"/>
      </w:pPr>
      <w:r>
        <w:rPr/>
        <w:pict>
          <v:shape style="position:absolute;margin-left:175.440002pt;margin-top:18.876076pt;width:363.4pt;height:13.95pt;mso-position-horizontal-relative:page;mso-position-vertical-relative:paragraph;z-index:15784448" type="#_x0000_t202" id="docshape85" filled="true" fillcolor="#d9d9d9" stroked="false">
            <v:textbox inset="0,0,0,0">
              <w:txbxContent>
                <w:p>
                  <w:pPr>
                    <w:pStyle w:val="BodyText"/>
                    <w:spacing w:before="6"/>
                    <w:ind w:right="-15"/>
                    <w:rPr>
                      <w:color w:val="000000"/>
                    </w:rPr>
                  </w:pPr>
                  <w:r>
                    <w:rPr>
                      <w:color w:val="000000"/>
                      <w:spacing w:val="-5"/>
                    </w:rPr>
                    <w:t>的保险费。若基本保险金额或保险费支付方式发生变更，本合同已交保险费将进</w:t>
                  </w:r>
                </w:p>
              </w:txbxContent>
            </v:textbox>
            <v:fill type="solid"/>
            <w10:wrap type="none"/>
          </v:shape>
        </w:pict>
      </w:r>
      <w:r>
        <w:rPr/>
        <w:pict>
          <v:shape style="position:absolute;margin-left:175.440002pt;margin-top:3.276077pt;width:363.4pt;height:13.95pt;mso-position-horizontal-relative:page;mso-position-vertical-relative:paragraph;z-index:15784960" type="#_x0000_t202" id="docshape86" filled="true" fillcolor="#d9d9d9" stroked="false">
            <v:textbox inset="0,0,0,0">
              <w:txbxContent>
                <w:p>
                  <w:pPr>
                    <w:pStyle w:val="BodyText"/>
                    <w:spacing w:before="6"/>
                    <w:ind w:right="-15"/>
                    <w:rPr>
                      <w:color w:val="000000"/>
                    </w:rPr>
                  </w:pPr>
                  <w:r>
                    <w:rPr>
                      <w:color w:val="000000"/>
                      <w:spacing w:val="-5"/>
                    </w:rPr>
                    <w:t>指您为本合同已支付的保险费金额总和，不包括职业加费、健康加费及附加合同</w:t>
                  </w:r>
                </w:p>
              </w:txbxContent>
            </v:textbox>
            <v:fill type="solid"/>
            <w10:wrap type="none"/>
          </v:shape>
        </w:pict>
      </w:r>
      <w:r>
        <w:rPr>
          <w:spacing w:val="-4"/>
        </w:rPr>
        <w:t>本合同已</w:t>
      </w:r>
      <w:r>
        <w:rPr>
          <w:spacing w:val="-3"/>
        </w:rPr>
        <w:t>交保险费</w:t>
      </w:r>
    </w:p>
    <w:p>
      <w:pPr>
        <w:pStyle w:val="BodyText"/>
        <w:spacing w:line="278" w:lineRule="exact"/>
        <w:ind w:left="2588"/>
        <w:rPr>
          <w:rFonts w:ascii="微软雅黑"/>
          <w:sz w:val="20"/>
        </w:rPr>
      </w:pPr>
      <w:r>
        <w:rPr>
          <w:rFonts w:ascii="微软雅黑"/>
          <w:position w:val="-5"/>
          <w:sz w:val="20"/>
        </w:rPr>
        <w:pict>
          <v:shape style="width:73.45pt;height:13.95pt;mso-position-horizontal-relative:char;mso-position-vertical-relative:line" type="#_x0000_t202" id="docshape87" filled="true" fillcolor="#d9d9d9" stroked="false">
            <w10:anchorlock/>
            <v:textbox inset="0,0,0,0">
              <w:txbxContent>
                <w:p>
                  <w:pPr>
                    <w:pStyle w:val="BodyText"/>
                    <w:spacing w:line="248" w:lineRule="exact" w:before="6"/>
                    <w:ind w:right="-15"/>
                    <w:rPr>
                      <w:color w:val="000000"/>
                    </w:rPr>
                  </w:pPr>
                  <w:r>
                    <w:rPr>
                      <w:color w:val="000000"/>
                      <w:spacing w:val="-6"/>
                    </w:rPr>
                    <w:t>行相应的调整。</w:t>
                  </w:r>
                </w:p>
                <w:p>
                  <w:pPr>
                    <w:spacing w:line="24" w:lineRule="exact" w:before="0"/>
                    <w:ind w:left="0" w:right="348" w:firstLine="0"/>
                    <w:jc w:val="right"/>
                    <w:rPr>
                      <w:color w:val="000000"/>
                      <w:sz w:val="4"/>
                    </w:rPr>
                  </w:pPr>
                  <w:r>
                    <w:rPr>
                      <w:color w:val="000000"/>
                      <w:w w:val="72"/>
                      <w:sz w:val="4"/>
                    </w:rPr>
                    <w:t>●</w:t>
                  </w:r>
                </w:p>
              </w:txbxContent>
            </v:textbox>
            <v:fill type="solid"/>
          </v:shape>
        </w:pict>
      </w:r>
      <w:r>
        <w:rPr>
          <w:rFonts w:ascii="微软雅黑"/>
          <w:position w:val="-5"/>
          <w:sz w:val="20"/>
        </w:rPr>
      </w:r>
    </w:p>
    <w:p>
      <w:pPr>
        <w:pStyle w:val="BodyText"/>
        <w:spacing w:before="3"/>
        <w:rPr>
          <w:rFonts w:ascii="微软雅黑"/>
          <w:b/>
          <w:sz w:val="15"/>
        </w:rPr>
      </w:pPr>
    </w:p>
    <w:p>
      <w:pPr>
        <w:pStyle w:val="ListParagraph"/>
        <w:numPr>
          <w:ilvl w:val="1"/>
          <w:numId w:val="11"/>
        </w:numPr>
        <w:tabs>
          <w:tab w:pos="1364" w:val="left" w:leader="none"/>
          <w:tab w:pos="1365" w:val="left" w:leader="none"/>
          <w:tab w:pos="2588" w:val="left" w:leader="none"/>
        </w:tabs>
        <w:spacing w:line="320" w:lineRule="exact" w:before="5" w:after="0"/>
        <w:ind w:left="1364" w:right="0" w:hanging="850"/>
        <w:jc w:val="left"/>
        <w:rPr>
          <w:sz w:val="21"/>
        </w:rPr>
      </w:pPr>
      <w:r>
        <w:rPr>
          <w:rFonts w:ascii="微软雅黑" w:eastAsia="微软雅黑"/>
          <w:b/>
          <w:sz w:val="21"/>
        </w:rPr>
        <w:t>全</w:t>
      </w:r>
      <w:r>
        <w:rPr>
          <w:rFonts w:ascii="微软雅黑" w:eastAsia="微软雅黑"/>
          <w:b/>
          <w:spacing w:val="-10"/>
          <w:sz w:val="21"/>
        </w:rPr>
        <w:t>残</w:t>
      </w:r>
      <w:r>
        <w:rPr>
          <w:rFonts w:ascii="微软雅黑" w:eastAsia="微软雅黑"/>
          <w:b/>
          <w:sz w:val="21"/>
        </w:rPr>
        <w:tab/>
      </w:r>
      <w:r>
        <w:rPr>
          <w:spacing w:val="-2"/>
          <w:sz w:val="21"/>
        </w:rPr>
        <w:t>指</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10"/>
          <w:sz w:val="21"/>
        </w:rPr>
        <w:t>：</w:t>
      </w:r>
    </w:p>
    <w:p>
      <w:pPr>
        <w:spacing w:line="26" w:lineRule="exact" w:before="0"/>
        <w:ind w:left="553" w:right="0" w:firstLine="0"/>
        <w:jc w:val="left"/>
        <w:rPr>
          <w:sz w:val="4"/>
        </w:rPr>
      </w:pPr>
      <w:r>
        <w:rPr>
          <w:w w:val="72"/>
          <w:sz w:val="4"/>
        </w:rPr>
        <w:t>●</w:t>
      </w:r>
    </w:p>
    <w:p>
      <w:pPr>
        <w:pStyle w:val="ListParagraph"/>
        <w:numPr>
          <w:ilvl w:val="2"/>
          <w:numId w:val="11"/>
        </w:numPr>
        <w:tabs>
          <w:tab w:pos="3118" w:val="left" w:leader="none"/>
        </w:tabs>
        <w:spacing w:line="240" w:lineRule="auto" w:before="33" w:after="0"/>
        <w:ind w:left="3117" w:right="0" w:hanging="530"/>
        <w:jc w:val="left"/>
        <w:rPr>
          <w:sz w:val="21"/>
        </w:rPr>
      </w:pPr>
      <w:r>
        <w:rPr>
          <w:spacing w:val="-7"/>
          <w:sz w:val="21"/>
        </w:rPr>
        <w:t>双目永久完全失明的(注 </w:t>
      </w:r>
      <w:r>
        <w:rPr>
          <w:spacing w:val="-2"/>
          <w:sz w:val="21"/>
        </w:rPr>
        <w:t>1</w:t>
      </w:r>
      <w:r>
        <w:rPr>
          <w:spacing w:val="-16"/>
          <w:sz w:val="21"/>
        </w:rPr>
        <w:t>、注 </w:t>
      </w:r>
      <w:r>
        <w:rPr>
          <w:spacing w:val="-5"/>
          <w:sz w:val="21"/>
        </w:rPr>
        <w:t>5)；</w:t>
      </w:r>
    </w:p>
    <w:p>
      <w:pPr>
        <w:pStyle w:val="ListParagraph"/>
        <w:numPr>
          <w:ilvl w:val="2"/>
          <w:numId w:val="11"/>
        </w:numPr>
        <w:tabs>
          <w:tab w:pos="3118" w:val="left" w:leader="none"/>
        </w:tabs>
        <w:spacing w:line="240" w:lineRule="auto" w:before="43" w:after="0"/>
        <w:ind w:left="3117" w:right="0" w:hanging="530"/>
        <w:jc w:val="left"/>
        <w:rPr>
          <w:sz w:val="21"/>
        </w:rPr>
      </w:pPr>
      <w:r>
        <w:rPr>
          <w:spacing w:val="-3"/>
          <w:sz w:val="21"/>
        </w:rPr>
        <w:t>两上肢腕关节以上或两下肢踝关节以上缺失的；</w:t>
      </w:r>
    </w:p>
    <w:p>
      <w:pPr>
        <w:pStyle w:val="ListParagraph"/>
        <w:numPr>
          <w:ilvl w:val="2"/>
          <w:numId w:val="11"/>
        </w:numPr>
        <w:tabs>
          <w:tab w:pos="3118" w:val="left" w:leader="none"/>
        </w:tabs>
        <w:spacing w:line="240" w:lineRule="auto" w:before="43" w:after="0"/>
        <w:ind w:left="3117" w:right="0" w:hanging="530"/>
        <w:jc w:val="left"/>
        <w:rPr>
          <w:sz w:val="21"/>
        </w:rPr>
      </w:pPr>
      <w:r>
        <w:rPr>
          <w:spacing w:val="-3"/>
          <w:sz w:val="21"/>
        </w:rPr>
        <w:t>一上肢腕关节以上及一下肢踝关节以上缺失的；</w:t>
      </w:r>
    </w:p>
    <w:p>
      <w:pPr>
        <w:pStyle w:val="ListParagraph"/>
        <w:numPr>
          <w:ilvl w:val="2"/>
          <w:numId w:val="11"/>
        </w:numPr>
        <w:tabs>
          <w:tab w:pos="3118" w:val="left" w:leader="none"/>
        </w:tabs>
        <w:spacing w:line="240" w:lineRule="auto" w:before="43" w:after="0"/>
        <w:ind w:left="3117" w:right="0" w:hanging="530"/>
        <w:jc w:val="left"/>
        <w:rPr>
          <w:sz w:val="21"/>
        </w:rPr>
      </w:pPr>
      <w:r>
        <w:rPr>
          <w:spacing w:val="-6"/>
          <w:sz w:val="21"/>
        </w:rPr>
        <w:t>一目永久完全失明(注 </w:t>
      </w:r>
      <w:r>
        <w:rPr>
          <w:spacing w:val="-2"/>
          <w:sz w:val="21"/>
        </w:rPr>
        <w:t>1</w:t>
      </w:r>
      <w:r>
        <w:rPr>
          <w:spacing w:val="-16"/>
          <w:sz w:val="21"/>
        </w:rPr>
        <w:t>、注 </w:t>
      </w:r>
      <w:r>
        <w:rPr>
          <w:spacing w:val="-2"/>
          <w:sz w:val="21"/>
        </w:rPr>
        <w:t>5)</w:t>
      </w:r>
      <w:r>
        <w:rPr>
          <w:spacing w:val="-3"/>
          <w:sz w:val="21"/>
        </w:rPr>
        <w:t>及一上肢腕关节以上缺失的；</w:t>
      </w:r>
    </w:p>
    <w:p>
      <w:pPr>
        <w:pStyle w:val="ListParagraph"/>
        <w:numPr>
          <w:ilvl w:val="2"/>
          <w:numId w:val="11"/>
        </w:numPr>
        <w:tabs>
          <w:tab w:pos="3118" w:val="left" w:leader="none"/>
        </w:tabs>
        <w:spacing w:line="248" w:lineRule="exact" w:before="43" w:after="0"/>
        <w:ind w:left="3117" w:right="0" w:hanging="530"/>
        <w:jc w:val="left"/>
        <w:rPr>
          <w:sz w:val="21"/>
        </w:rPr>
      </w:pPr>
      <w:r>
        <w:rPr>
          <w:spacing w:val="-6"/>
          <w:sz w:val="21"/>
        </w:rPr>
        <w:t>一目永久完全失明(注 </w:t>
      </w:r>
      <w:r>
        <w:rPr>
          <w:spacing w:val="-2"/>
          <w:sz w:val="21"/>
        </w:rPr>
        <w:t>1</w:t>
      </w:r>
      <w:r>
        <w:rPr>
          <w:spacing w:val="-16"/>
          <w:sz w:val="21"/>
        </w:rPr>
        <w:t>、注 </w:t>
      </w:r>
      <w:r>
        <w:rPr>
          <w:spacing w:val="-2"/>
          <w:sz w:val="21"/>
        </w:rPr>
        <w:t>5)</w:t>
      </w:r>
      <w:r>
        <w:rPr>
          <w:spacing w:val="-3"/>
          <w:sz w:val="21"/>
        </w:rPr>
        <w:t>及一下肢踝关节以上缺失的；</w:t>
      </w:r>
    </w:p>
    <w:p>
      <w:pPr>
        <w:spacing w:line="31" w:lineRule="exact" w:before="0"/>
        <w:ind w:left="2627" w:right="0" w:firstLine="0"/>
        <w:jc w:val="left"/>
        <w:rPr>
          <w:sz w:val="4"/>
        </w:rPr>
      </w:pPr>
      <w:r>
        <w:rPr>
          <w:w w:val="72"/>
          <w:sz w:val="4"/>
        </w:rPr>
        <w:t>●</w:t>
      </w:r>
    </w:p>
    <w:p>
      <w:pPr>
        <w:pStyle w:val="ListParagraph"/>
        <w:numPr>
          <w:ilvl w:val="2"/>
          <w:numId w:val="11"/>
        </w:numPr>
        <w:tabs>
          <w:tab w:pos="3118" w:val="left" w:leader="none"/>
        </w:tabs>
        <w:spacing w:line="240" w:lineRule="auto" w:before="33" w:after="0"/>
        <w:ind w:left="3117" w:right="0" w:hanging="530"/>
        <w:jc w:val="left"/>
        <w:rPr>
          <w:sz w:val="21"/>
        </w:rPr>
      </w:pPr>
      <w:r>
        <w:rPr>
          <w:spacing w:val="-2"/>
          <w:sz w:val="21"/>
        </w:rPr>
        <w:t>四肢关节机能永久完全丧失的（</w:t>
      </w:r>
      <w:r>
        <w:rPr>
          <w:spacing w:val="-25"/>
          <w:sz w:val="21"/>
        </w:rPr>
        <w:t>注 </w:t>
      </w:r>
      <w:r>
        <w:rPr>
          <w:spacing w:val="-2"/>
          <w:sz w:val="21"/>
        </w:rPr>
        <w:t>2</w:t>
      </w:r>
      <w:r>
        <w:rPr>
          <w:spacing w:val="-17"/>
          <w:sz w:val="21"/>
        </w:rPr>
        <w:t>、注 </w:t>
      </w:r>
      <w:r>
        <w:rPr>
          <w:spacing w:val="27"/>
          <w:sz w:val="21"/>
        </w:rPr>
        <w:t>5</w:t>
      </w:r>
      <w:r>
        <w:rPr>
          <w:spacing w:val="-74"/>
          <w:sz w:val="21"/>
        </w:rPr>
        <w:t>）</w:t>
      </w:r>
      <w:r>
        <w:rPr>
          <w:spacing w:val="32"/>
          <w:sz w:val="21"/>
        </w:rPr>
        <w:t>；</w:t>
      </w:r>
    </w:p>
    <w:p>
      <w:pPr>
        <w:pStyle w:val="ListParagraph"/>
        <w:numPr>
          <w:ilvl w:val="2"/>
          <w:numId w:val="11"/>
        </w:numPr>
        <w:tabs>
          <w:tab w:pos="3118" w:val="left" w:leader="none"/>
        </w:tabs>
        <w:spacing w:line="240" w:lineRule="auto" w:before="43" w:after="0"/>
        <w:ind w:left="3117" w:right="0" w:hanging="530"/>
        <w:jc w:val="left"/>
        <w:rPr>
          <w:sz w:val="21"/>
        </w:rPr>
      </w:pPr>
      <w:r>
        <w:rPr>
          <w:spacing w:val="-2"/>
          <w:sz w:val="21"/>
        </w:rPr>
        <w:t>咀嚼、吞咽机能永久完全丧失的（</w:t>
      </w:r>
      <w:r>
        <w:rPr>
          <w:spacing w:val="-26"/>
          <w:sz w:val="21"/>
        </w:rPr>
        <w:t>注 </w:t>
      </w:r>
      <w:r>
        <w:rPr>
          <w:spacing w:val="-2"/>
          <w:sz w:val="21"/>
        </w:rPr>
        <w:t>3</w:t>
      </w:r>
      <w:r>
        <w:rPr>
          <w:spacing w:val="-17"/>
          <w:sz w:val="21"/>
        </w:rPr>
        <w:t>、注 </w:t>
      </w:r>
      <w:r>
        <w:rPr>
          <w:spacing w:val="32"/>
          <w:sz w:val="21"/>
        </w:rPr>
        <w:t>5</w:t>
      </w:r>
      <w:r>
        <w:rPr>
          <w:spacing w:val="-79"/>
          <w:sz w:val="21"/>
        </w:rPr>
        <w:t>）</w:t>
      </w:r>
      <w:r>
        <w:rPr>
          <w:spacing w:val="32"/>
          <w:sz w:val="21"/>
        </w:rPr>
        <w:t>；</w:t>
      </w:r>
    </w:p>
    <w:p>
      <w:pPr>
        <w:pStyle w:val="ListParagraph"/>
        <w:numPr>
          <w:ilvl w:val="2"/>
          <w:numId w:val="11"/>
        </w:numPr>
        <w:tabs>
          <w:tab w:pos="3118" w:val="left" w:leader="none"/>
        </w:tabs>
        <w:spacing w:line="278" w:lineRule="auto" w:before="43" w:after="0"/>
        <w:ind w:left="3112" w:right="195" w:hanging="524"/>
        <w:jc w:val="left"/>
        <w:rPr>
          <w:sz w:val="21"/>
        </w:rPr>
      </w:pPr>
      <w:r>
        <w:rPr>
          <w:spacing w:val="-4"/>
          <w:sz w:val="21"/>
        </w:rPr>
        <w:t>中枢神经系统机能或胸、腹部脏器机能极度障碍，终身不能从事任何工作，</w:t>
      </w:r>
      <w:r>
        <w:rPr>
          <w:sz w:val="21"/>
        </w:rPr>
        <w:t>为维持生命必要的日常生活活动，全需他人扶助的（</w:t>
      </w:r>
      <w:r>
        <w:rPr>
          <w:spacing w:val="-21"/>
          <w:sz w:val="21"/>
        </w:rPr>
        <w:t>注 </w:t>
      </w:r>
      <w:r>
        <w:rPr>
          <w:sz w:val="21"/>
        </w:rPr>
        <w:t>4</w:t>
      </w:r>
      <w:r>
        <w:rPr>
          <w:spacing w:val="-106"/>
          <w:sz w:val="21"/>
        </w:rPr>
        <w:t>）</w:t>
      </w:r>
      <w:r>
        <w:rPr>
          <w:sz w:val="21"/>
        </w:rPr>
        <w:t>。</w:t>
      </w:r>
    </w:p>
    <w:p>
      <w:pPr>
        <w:pStyle w:val="BodyText"/>
        <w:spacing w:line="278" w:lineRule="auto"/>
        <w:ind w:left="3366" w:right="195" w:hanging="893"/>
      </w:pPr>
      <w:r>
        <w:rPr>
          <w:w w:val="100"/>
        </w:rPr>
        <w:t>（注</w:t>
      </w:r>
      <w:r>
        <w:rPr>
          <w:spacing w:val="-53"/>
        </w:rPr>
        <w:t> </w:t>
      </w:r>
      <w:r>
        <w:rPr>
          <w:w w:val="100"/>
        </w:rPr>
        <w:t>1</w:t>
      </w:r>
      <w:r>
        <w:rPr>
          <w:spacing w:val="-111"/>
          <w:w w:val="100"/>
        </w:rPr>
        <w:t>）</w:t>
      </w:r>
      <w:r>
        <w:rPr>
          <w:spacing w:val="-13"/>
          <w:w w:val="100"/>
        </w:rPr>
        <w:t>：失明：包括眼球缺失或摘除、或不能辨别明暗、或仅能辨别眼前手动者，</w:t>
      </w:r>
      <w:r>
        <w:rPr>
          <w:spacing w:val="-3"/>
          <w:w w:val="100"/>
        </w:rPr>
        <w:t>最佳矫正视力低于国际标准视力表</w:t>
      </w:r>
      <w:r>
        <w:rPr>
          <w:spacing w:val="-53"/>
        </w:rPr>
        <w:t> </w:t>
      </w:r>
      <w:r>
        <w:rPr>
          <w:w w:val="100"/>
        </w:rPr>
        <w:t>0.0</w:t>
      </w:r>
      <w:r>
        <w:rPr>
          <w:spacing w:val="-5"/>
          <w:w w:val="100"/>
        </w:rPr>
        <w:t>2</w:t>
      </w:r>
      <w:r>
        <w:rPr>
          <w:spacing w:val="-7"/>
          <w:w w:val="100"/>
        </w:rPr>
        <w:t>，或视野半径小于</w:t>
      </w:r>
      <w:r>
        <w:rPr>
          <w:spacing w:val="-53"/>
        </w:rPr>
        <w:t> </w:t>
      </w:r>
      <w:r>
        <w:rPr>
          <w:w w:val="100"/>
        </w:rPr>
        <w:t>5</w:t>
      </w:r>
      <w:r>
        <w:rPr>
          <w:spacing w:val="-53"/>
        </w:rPr>
        <w:t> </w:t>
      </w:r>
      <w:r>
        <w:rPr>
          <w:spacing w:val="-10"/>
          <w:w w:val="100"/>
        </w:rPr>
        <w:t>度，并由我</w:t>
      </w:r>
      <w:r>
        <w:rPr>
          <w:spacing w:val="3"/>
          <w:w w:val="100"/>
        </w:rPr>
        <w:t>们认可的医院专科医生或双方认可的医疗机构(或鉴定机构)出具医疗诊断证明</w:t>
      </w:r>
      <w:r>
        <w:rPr>
          <w:spacing w:val="-5"/>
          <w:w w:val="100"/>
        </w:rPr>
        <w:t>（</w:t>
      </w:r>
      <w:r>
        <w:rPr>
          <w:w w:val="100"/>
        </w:rPr>
        <w:t>或鉴定书</w:t>
      </w:r>
      <w:r>
        <w:rPr>
          <w:spacing w:val="-111"/>
          <w:w w:val="100"/>
        </w:rPr>
        <w:t>）</w:t>
      </w:r>
      <w:r>
        <w:rPr>
          <w:w w:val="100"/>
        </w:rPr>
        <w:t>。</w:t>
      </w:r>
    </w:p>
    <w:p>
      <w:pPr>
        <w:pStyle w:val="BodyText"/>
        <w:spacing w:line="278" w:lineRule="auto"/>
        <w:ind w:left="3366" w:right="301" w:hanging="893"/>
      </w:pPr>
      <w:r>
        <w:rPr>
          <w:spacing w:val="-4"/>
        </w:rPr>
        <w:t>（</w:t>
      </w:r>
      <w:r>
        <w:rPr>
          <w:spacing w:val="-29"/>
        </w:rPr>
        <w:t>注 </w:t>
      </w:r>
      <w:r>
        <w:rPr>
          <w:spacing w:val="33"/>
        </w:rPr>
        <w:t>2</w:t>
      </w:r>
      <w:r>
        <w:rPr>
          <w:spacing w:val="-73"/>
        </w:rPr>
        <w:t>）</w:t>
      </w:r>
      <w:r>
        <w:rPr>
          <w:spacing w:val="-4"/>
        </w:rPr>
        <w:t>：关节机能的丧失：指关节永久完全僵硬、或麻痹、或关节不能随意识活</w:t>
      </w:r>
      <w:r>
        <w:rPr>
          <w:spacing w:val="-6"/>
        </w:rPr>
        <w:t>动。</w:t>
      </w:r>
    </w:p>
    <w:p>
      <w:pPr>
        <w:pStyle w:val="BodyText"/>
        <w:spacing w:line="278" w:lineRule="auto"/>
        <w:ind w:left="3366" w:right="195" w:hanging="893"/>
      </w:pPr>
      <w:r>
        <w:rPr>
          <w:spacing w:val="-2"/>
        </w:rPr>
        <w:t>（</w:t>
      </w:r>
      <w:r>
        <w:rPr>
          <w:spacing w:val="-22"/>
        </w:rPr>
        <w:t>注 </w:t>
      </w:r>
      <w:r>
        <w:rPr>
          <w:spacing w:val="36"/>
        </w:rPr>
        <w:t>3</w:t>
      </w:r>
      <w:r>
        <w:rPr>
          <w:spacing w:val="-70"/>
        </w:rPr>
        <w:t>）</w:t>
      </w:r>
      <w:r>
        <w:rPr>
          <w:spacing w:val="-2"/>
        </w:rPr>
        <w:t>：咀嚼、吞咽机能的丧失：指由于牙齿以外的原因引起器质障碍或机能障</w:t>
      </w:r>
      <w:r>
        <w:rPr>
          <w:spacing w:val="-7"/>
        </w:rPr>
        <w:t>碍，以致不能作咀嚼、吞咽运动，除流质食物外不能摄取或吞咽的状态。</w:t>
      </w:r>
    </w:p>
    <w:p>
      <w:pPr>
        <w:pStyle w:val="BodyText"/>
        <w:spacing w:line="278" w:lineRule="auto"/>
        <w:ind w:left="3366" w:right="282" w:hanging="893"/>
      </w:pPr>
      <w:r>
        <w:rPr>
          <w:spacing w:val="-4"/>
        </w:rPr>
        <w:t>（</w:t>
      </w:r>
      <w:r>
        <w:rPr>
          <w:spacing w:val="-24"/>
        </w:rPr>
        <w:t>注 </w:t>
      </w:r>
      <w:r>
        <w:rPr>
          <w:spacing w:val="33"/>
        </w:rPr>
        <w:t>4</w:t>
      </w:r>
      <w:r>
        <w:rPr>
          <w:spacing w:val="-73"/>
        </w:rPr>
        <w:t>）</w:t>
      </w:r>
      <w:r>
        <w:rPr>
          <w:spacing w:val="-4"/>
        </w:rPr>
        <w:t>：为维持生命必要之日常生活活动，全需他人扶助：指食物摄取、大小便</w:t>
      </w:r>
      <w:r>
        <w:rPr>
          <w:spacing w:val="-3"/>
        </w:rPr>
        <w:t>始末、穿脱衣服、起居、步行、入浴等，皆不能自理，需要他人帮助。</w:t>
      </w:r>
    </w:p>
    <w:p>
      <w:pPr>
        <w:pStyle w:val="BodyText"/>
        <w:spacing w:line="278" w:lineRule="auto"/>
        <w:ind w:left="3366" w:right="301" w:hanging="893"/>
      </w:pPr>
      <w:r>
        <w:rPr>
          <w:spacing w:val="-4"/>
        </w:rPr>
        <w:t>（</w:t>
      </w:r>
      <w:r>
        <w:rPr>
          <w:spacing w:val="-29"/>
        </w:rPr>
        <w:t>注 </w:t>
      </w:r>
      <w:r>
        <w:rPr>
          <w:spacing w:val="34"/>
        </w:rPr>
        <w:t>5</w:t>
      </w:r>
      <w:r>
        <w:rPr>
          <w:spacing w:val="-72"/>
        </w:rPr>
        <w:t>）</w:t>
      </w:r>
      <w:r>
        <w:rPr>
          <w:spacing w:val="-6"/>
        </w:rPr>
        <w:t>：永久完全：指自意外伤害事故或疾病诊断之日起经过 </w:t>
      </w:r>
      <w:r>
        <w:rPr>
          <w:spacing w:val="-4"/>
        </w:rPr>
        <w:t>180</w:t>
      </w:r>
      <w:r>
        <w:rPr>
          <w:spacing w:val="-13"/>
        </w:rPr>
        <w:t> 天的治疗，机</w:t>
      </w:r>
      <w:r>
        <w:rPr>
          <w:spacing w:val="-2"/>
        </w:rPr>
        <w:t>能仍然完全丧失，但眼球摘除等明显无法复原之情况，不在此限。</w:t>
      </w:r>
    </w:p>
    <w:p>
      <w:pPr>
        <w:pStyle w:val="BodyText"/>
        <w:spacing w:before="1"/>
        <w:rPr>
          <w:sz w:val="23"/>
        </w:rPr>
      </w:pPr>
    </w:p>
    <w:p>
      <w:pPr>
        <w:pStyle w:val="Heading3"/>
        <w:numPr>
          <w:ilvl w:val="1"/>
          <w:numId w:val="11"/>
        </w:numPr>
        <w:tabs>
          <w:tab w:pos="1364" w:val="left" w:leader="none"/>
          <w:tab w:pos="1365" w:val="left" w:leader="none"/>
          <w:tab w:pos="2569" w:val="left" w:leader="none"/>
        </w:tabs>
        <w:spacing w:line="194" w:lineRule="auto" w:before="0" w:after="0"/>
        <w:ind w:left="2569" w:right="301" w:hanging="2055"/>
        <w:jc w:val="left"/>
      </w:pPr>
      <w:r>
        <w:rPr>
          <w:spacing w:val="-4"/>
        </w:rPr>
        <w:t>重</w:t>
      </w:r>
      <w:r>
        <w:rPr>
          <w:spacing w:val="-4"/>
        </w:rPr>
        <w:t>大</w:t>
      </w:r>
      <w:r>
        <w:rPr>
          <w:spacing w:val="-4"/>
        </w:rPr>
        <w:t>疾</w:t>
      </w:r>
      <w:r>
        <w:rPr>
          <w:spacing w:val="-4"/>
        </w:rPr>
        <w:t>病</w:t>
      </w:r>
      <w:r>
        <w:rPr/>
        <w:tab/>
      </w:r>
      <w:r>
        <w:rPr>
          <w:spacing w:val="-2"/>
        </w:rPr>
        <w:t>以</w:t>
      </w:r>
      <w:r>
        <w:rPr>
          <w:spacing w:val="-2"/>
        </w:rPr>
        <w:t>下</w:t>
      </w:r>
      <w:r>
        <w:rPr>
          <w:spacing w:val="-2"/>
        </w:rPr>
        <w:t>重</w:t>
      </w:r>
      <w:r>
        <w:rPr>
          <w:spacing w:val="-2"/>
        </w:rPr>
        <w:t>大</w:t>
      </w:r>
      <w:r>
        <w:rPr>
          <w:spacing w:val="-2"/>
        </w:rPr>
        <w:t>疾</w:t>
      </w:r>
      <w:r>
        <w:rPr>
          <w:spacing w:val="-2"/>
        </w:rPr>
        <w:t>病</w:t>
      </w:r>
      <w:r>
        <w:rPr>
          <w:spacing w:val="-2"/>
        </w:rPr>
        <w:t>定</w:t>
      </w:r>
      <w:r>
        <w:rPr>
          <w:spacing w:val="-2"/>
        </w:rPr>
        <w:t>义</w:t>
      </w:r>
      <w:r>
        <w:rPr>
          <w:spacing w:val="-2"/>
        </w:rPr>
        <w:t>是</w:t>
      </w:r>
      <w:r>
        <w:rPr>
          <w:spacing w:val="-2"/>
        </w:rPr>
        <w:t>由</w:t>
      </w:r>
      <w:r>
        <w:rPr>
          <w:spacing w:val="-2"/>
        </w:rPr>
        <w:t>中</w:t>
      </w:r>
      <w:r>
        <w:rPr>
          <w:spacing w:val="-2"/>
        </w:rPr>
        <w:t>国</w:t>
      </w:r>
      <w:r>
        <w:rPr>
          <w:spacing w:val="-2"/>
        </w:rPr>
        <w:t>保</w:t>
      </w:r>
      <w:r>
        <w:rPr>
          <w:spacing w:val="-2"/>
        </w:rPr>
        <w:t>险</w:t>
      </w:r>
      <w:r>
        <w:rPr>
          <w:spacing w:val="-2"/>
        </w:rPr>
        <w:t>行</w:t>
      </w:r>
      <w:r>
        <w:rPr>
          <w:spacing w:val="-2"/>
        </w:rPr>
        <w:t>业</w:t>
      </w:r>
      <w:r>
        <w:rPr>
          <w:spacing w:val="-2"/>
        </w:rPr>
        <w:t>协</w:t>
      </w:r>
      <w:r>
        <w:rPr>
          <w:spacing w:val="-2"/>
        </w:rPr>
        <w:t>会</w:t>
      </w:r>
      <w:r>
        <w:rPr>
          <w:spacing w:val="-2"/>
        </w:rPr>
        <w:t>与</w:t>
      </w:r>
      <w:r>
        <w:rPr>
          <w:spacing w:val="-2"/>
        </w:rPr>
        <w:t>中</w:t>
      </w:r>
      <w:r>
        <w:rPr>
          <w:spacing w:val="-2"/>
        </w:rPr>
        <w:t>国</w:t>
      </w:r>
      <w:r>
        <w:rPr>
          <w:spacing w:val="-2"/>
        </w:rPr>
        <w:t>医</w:t>
      </w:r>
      <w:r>
        <w:rPr>
          <w:spacing w:val="-2"/>
        </w:rPr>
        <w:t>师</w:t>
      </w:r>
      <w:r>
        <w:rPr>
          <w:spacing w:val="-2"/>
        </w:rPr>
        <w:t>协</w:t>
      </w:r>
      <w:r>
        <w:rPr>
          <w:spacing w:val="-2"/>
        </w:rPr>
        <w:t>会</w:t>
      </w:r>
      <w:r>
        <w:rPr>
          <w:spacing w:val="-2"/>
        </w:rPr>
        <w:t>联</w:t>
      </w:r>
      <w:r>
        <w:rPr>
          <w:spacing w:val="-2"/>
        </w:rPr>
        <w:t>合</w:t>
      </w:r>
      <w:r>
        <w:rPr>
          <w:spacing w:val="-2"/>
        </w:rPr>
        <w:t>发</w:t>
      </w:r>
      <w:r>
        <w:rPr>
          <w:spacing w:val="-92"/>
        </w:rPr>
        <w:t>布</w:t>
      </w:r>
      <w:r>
        <w:rPr>
          <w:spacing w:val="-2"/>
        </w:rPr>
        <w:t>《</w:t>
      </w:r>
      <w:r>
        <w:rPr>
          <w:spacing w:val="-2"/>
        </w:rPr>
        <w:t>重</w:t>
      </w:r>
      <w:r>
        <w:rPr>
          <w:spacing w:val="-2"/>
        </w:rPr>
        <w:t>大</w:t>
      </w:r>
      <w:r>
        <w:rPr>
          <w:spacing w:val="-2"/>
        </w:rPr>
        <w:t>疾</w:t>
      </w:r>
      <w:r>
        <w:rPr>
          <w:spacing w:val="-2"/>
        </w:rPr>
        <w:t>病</w:t>
      </w:r>
      <w:r>
        <w:rPr>
          <w:spacing w:val="-2"/>
        </w:rPr>
        <w:t>保</w:t>
      </w:r>
      <w:r>
        <w:rPr/>
        <w:t>险</w:t>
      </w:r>
      <w:r>
        <w:rPr/>
        <w:t>的</w:t>
      </w:r>
      <w:r>
        <w:rPr/>
        <w:t>疾</w:t>
      </w:r>
      <w:r>
        <w:rPr/>
        <w:t>病</w:t>
      </w:r>
      <w:r>
        <w:rPr/>
        <w:t>定</w:t>
      </w:r>
      <w:r>
        <w:rPr/>
        <w:t>义</w:t>
      </w:r>
      <w:r>
        <w:rPr/>
        <w:t>使</w:t>
      </w:r>
      <w:r>
        <w:rPr/>
        <w:t>用</w:t>
      </w:r>
      <w:r>
        <w:rPr/>
        <w:t>规</w:t>
      </w:r>
      <w:r>
        <w:rPr/>
        <w:t>范</w:t>
      </w:r>
      <w:r>
        <w:rPr/>
        <w:t>（2020 </w:t>
      </w:r>
      <w:r>
        <w:rPr/>
        <w:t>年修订版）》的疾病定</w:t>
      </w:r>
      <w:r>
        <w:rPr/>
        <w:t>义。</w:t>
      </w:r>
    </w:p>
    <w:p>
      <w:pPr>
        <w:pStyle w:val="BodyText"/>
        <w:spacing w:before="16"/>
        <w:rPr>
          <w:rFonts w:ascii="微软雅黑"/>
          <w:b/>
          <w:sz w:val="13"/>
        </w:rPr>
      </w:pPr>
    </w:p>
    <w:p>
      <w:pPr>
        <w:spacing w:line="383" w:lineRule="exact" w:before="0"/>
        <w:ind w:left="2569"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一</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p>
    <w:p>
      <w:pPr>
        <w:pStyle w:val="BodyText"/>
        <w:spacing w:line="278" w:lineRule="auto"/>
        <w:ind w:left="2569" w:right="195"/>
      </w:pPr>
      <w:r>
        <w:rPr>
          <w:spacing w:val="-7"/>
          <w:w w:val="100"/>
        </w:rPr>
        <w:t>指恶性细胞不受控制的进行性增长和扩散，浸润和破坏周围正常组织，可以经血</w:t>
      </w:r>
      <w:r>
        <w:rPr>
          <w:spacing w:val="-8"/>
          <w:w w:val="100"/>
        </w:rPr>
        <w:t>管、淋巴管和体腔扩散转移到身体其他部位，病灶经组织病理学检查</w:t>
      </w:r>
      <w:r>
        <w:rPr>
          <w:spacing w:val="-5"/>
          <w:w w:val="100"/>
        </w:rPr>
        <w:t>（</w:t>
      </w:r>
      <w:r>
        <w:rPr>
          <w:w w:val="100"/>
        </w:rPr>
        <w:t>涵盖骨髓病理学检查</w:t>
      </w:r>
      <w:r>
        <w:rPr>
          <w:spacing w:val="-207"/>
          <w:w w:val="100"/>
        </w:rPr>
        <w:t>）</w:t>
      </w:r>
      <w:r>
        <w:rPr>
          <w:w w:val="100"/>
        </w:rPr>
        <w:t>（</w:t>
      </w:r>
      <w:r>
        <w:rPr>
          <w:spacing w:val="-21"/>
          <w:w w:val="100"/>
        </w:rPr>
        <w:t>见术语释义</w:t>
      </w:r>
      <w:r>
        <w:rPr>
          <w:spacing w:val="-5"/>
          <w:w w:val="100"/>
        </w:rPr>
        <w:t>（</w:t>
      </w:r>
      <w:r>
        <w:rPr>
          <w:w w:val="100"/>
        </w:rPr>
        <w:t>一</w:t>
      </w:r>
      <w:r>
        <w:rPr>
          <w:spacing w:val="-106"/>
          <w:w w:val="100"/>
        </w:rPr>
        <w:t>）</w:t>
      </w:r>
      <w:r>
        <w:rPr>
          <w:spacing w:val="-96"/>
          <w:w w:val="100"/>
        </w:rPr>
        <w:t>）</w:t>
      </w:r>
      <w:r>
        <w:rPr>
          <w:spacing w:val="-17"/>
          <w:w w:val="100"/>
        </w:rPr>
        <w:t>结果明确诊断，临床诊断属于世界卫生组织</w:t>
      </w:r>
      <w:r>
        <w:rPr>
          <w:spacing w:val="-3"/>
          <w:w w:val="100"/>
        </w:rPr>
        <w:t>（WHO，</w:t>
      </w:r>
      <w:r>
        <w:rPr>
          <w:w w:val="100"/>
        </w:rPr>
        <w:t> World</w:t>
      </w:r>
      <w:r>
        <w:rPr>
          <w:spacing w:val="-24"/>
        </w:rPr>
        <w:t> </w:t>
      </w:r>
      <w:r>
        <w:rPr>
          <w:w w:val="100"/>
        </w:rPr>
        <w:t>H</w:t>
      </w:r>
      <w:r>
        <w:rPr>
          <w:spacing w:val="-5"/>
          <w:w w:val="100"/>
        </w:rPr>
        <w:t>e</w:t>
      </w:r>
      <w:r>
        <w:rPr>
          <w:w w:val="100"/>
        </w:rPr>
        <w:t>alth</w:t>
      </w:r>
      <w:r>
        <w:rPr>
          <w:spacing w:val="-29"/>
        </w:rPr>
        <w:t> </w:t>
      </w:r>
      <w:r>
        <w:rPr>
          <w:w w:val="100"/>
        </w:rPr>
        <w:t>Organ</w:t>
      </w:r>
      <w:r>
        <w:rPr>
          <w:spacing w:val="-5"/>
          <w:w w:val="100"/>
        </w:rPr>
        <w:t>i</w:t>
      </w:r>
      <w:r>
        <w:rPr>
          <w:w w:val="100"/>
        </w:rPr>
        <w:t>zation</w:t>
      </w:r>
      <w:r>
        <w:rPr>
          <w:spacing w:val="-116"/>
          <w:w w:val="100"/>
        </w:rPr>
        <w:t>）</w:t>
      </w:r>
      <w:r>
        <w:rPr>
          <w:spacing w:val="-5"/>
          <w:w w:val="100"/>
        </w:rPr>
        <w:t>《疾病和有关健康问题的国际统计分类》第十次修订版（ICD-10（见术语释义（二</w:t>
      </w:r>
      <w:r>
        <w:rPr>
          <w:spacing w:val="-106"/>
          <w:w w:val="100"/>
        </w:rPr>
        <w:t>）</w:t>
      </w:r>
      <w:r>
        <w:rPr>
          <w:w w:val="100"/>
        </w:rPr>
        <w:t>）的恶性肿瘤类别及《国际疾病分类肿瘤学专</w:t>
      </w:r>
      <w:r>
        <w:rPr>
          <w:spacing w:val="-2"/>
          <w:w w:val="100"/>
        </w:rPr>
        <w:t>辑》第三版</w:t>
      </w:r>
      <w:r>
        <w:rPr>
          <w:w w:val="100"/>
        </w:rPr>
        <w:t>（IC</w:t>
      </w:r>
      <w:r>
        <w:rPr>
          <w:spacing w:val="-5"/>
          <w:w w:val="100"/>
        </w:rPr>
        <w:t>D</w:t>
      </w:r>
      <w:r>
        <w:rPr>
          <w:w w:val="100"/>
        </w:rPr>
        <w:t>-O-</w:t>
      </w:r>
      <w:r>
        <w:rPr>
          <w:spacing w:val="-5"/>
          <w:w w:val="100"/>
        </w:rPr>
        <w:t>3</w:t>
      </w:r>
      <w:r>
        <w:rPr>
          <w:w w:val="100"/>
        </w:rPr>
        <w:t>（</w:t>
      </w:r>
      <w:r>
        <w:rPr>
          <w:spacing w:val="-2"/>
          <w:w w:val="100"/>
        </w:rPr>
        <w:t>见术语释义</w:t>
      </w:r>
      <w:r>
        <w:rPr>
          <w:spacing w:val="-5"/>
          <w:w w:val="100"/>
        </w:rPr>
        <w:t>（</w:t>
      </w:r>
      <w:r>
        <w:rPr>
          <w:w w:val="100"/>
        </w:rPr>
        <w:t>二</w:t>
      </w:r>
      <w:r>
        <w:rPr>
          <w:spacing w:val="-106"/>
          <w:w w:val="100"/>
        </w:rPr>
        <w:t>）</w:t>
      </w:r>
      <w:r>
        <w:rPr>
          <w:spacing w:val="-5"/>
          <w:w w:val="100"/>
        </w:rPr>
        <w:t>）</w:t>
      </w:r>
      <w:r>
        <w:rPr>
          <w:spacing w:val="-3"/>
          <w:w w:val="100"/>
        </w:rPr>
        <w:t>的肿瘤形态学编码属于</w:t>
      </w:r>
      <w:r>
        <w:rPr>
          <w:spacing w:val="-53"/>
        </w:rPr>
        <w:t> </w:t>
      </w:r>
      <w:r>
        <w:rPr>
          <w:w w:val="100"/>
        </w:rPr>
        <w:t>3、</w:t>
      </w:r>
      <w:r>
        <w:rPr>
          <w:spacing w:val="-5"/>
          <w:w w:val="100"/>
        </w:rPr>
        <w:t>6</w:t>
      </w:r>
      <w:r>
        <w:rPr>
          <w:w w:val="100"/>
        </w:rPr>
        <w:t>、</w:t>
      </w:r>
      <w:r>
        <w:rPr>
          <w:spacing w:val="-5"/>
          <w:w w:val="100"/>
        </w:rPr>
        <w:t>9</w:t>
      </w:r>
      <w:r>
        <w:rPr>
          <w:w w:val="100"/>
        </w:rPr>
        <w:t>（恶性肿瘤）</w:t>
      </w:r>
      <w:r>
        <w:rPr>
          <w:spacing w:val="-3"/>
          <w:w w:val="100"/>
        </w:rPr>
        <w:t>范畴的疾病。</w:t>
      </w:r>
    </w:p>
    <w:p>
      <w:pPr>
        <w:pStyle w:val="BodyText"/>
        <w:spacing w:before="9"/>
      </w:pPr>
      <w:r>
        <w:rPr/>
        <w:pict>
          <v:shape style="position:absolute;margin-left:174.479996pt;margin-top:15.114076pt;width:267.6pt;height:13.95pt;mso-position-horizontal-relative:page;mso-position-vertical-relative:paragraph;z-index:-15674368;mso-wrap-distance-left:0;mso-wrap-distance-right:0" type="#_x0000_t202" id="docshape88" filled="true" fillcolor="#d9d9d9" stroked="false">
            <v:textbox inset="0,0,0,0">
              <w:txbxContent>
                <w:p>
                  <w:pPr>
                    <w:pStyle w:val="BodyText"/>
                    <w:spacing w:before="6"/>
                    <w:ind w:right="-15"/>
                    <w:rPr>
                      <w:color w:val="000000"/>
                    </w:rPr>
                  </w:pPr>
                  <w:r>
                    <w:rPr>
                      <w:color w:val="000000"/>
                      <w:spacing w:val="-10"/>
                    </w:rPr>
                    <w:t>下列疾病不属于“恶性肿瘤——重度”，不在保障范围内：</w:t>
                  </w:r>
                </w:p>
              </w:txbxContent>
            </v:textbox>
            <v:fill type="solid"/>
            <w10:wrap type="topAndBottom"/>
          </v:shape>
        </w:pict>
      </w:r>
    </w:p>
    <w:p>
      <w:pPr>
        <w:pStyle w:val="BodyText"/>
        <w:spacing w:before="7"/>
        <w:rPr>
          <w:sz w:val="2"/>
        </w:rPr>
      </w:pPr>
    </w:p>
    <w:p>
      <w:pPr>
        <w:pStyle w:val="BodyText"/>
        <w:ind w:left="2569"/>
        <w:rPr>
          <w:sz w:val="20"/>
        </w:rPr>
      </w:pPr>
      <w:r>
        <w:rPr>
          <w:sz w:val="20"/>
        </w:rPr>
        <w:pict>
          <v:shape style="width:364.35pt;height:13.95pt;mso-position-horizontal-relative:char;mso-position-vertical-relative:line" type="#_x0000_t202" id="docshape89" filled="true" fillcolor="#d9d9d9" stroked="false">
            <w10:anchorlock/>
            <v:textbox inset="0,0,0,0">
              <w:txbxContent>
                <w:p>
                  <w:pPr>
                    <w:pStyle w:val="BodyText"/>
                    <w:spacing w:before="6"/>
                    <w:ind w:right="-15"/>
                    <w:rPr>
                      <w:color w:val="000000"/>
                    </w:rPr>
                  </w:pPr>
                  <w:r>
                    <w:rPr>
                      <w:color w:val="000000"/>
                      <w:spacing w:val="-6"/>
                    </w:rPr>
                    <w:t>（1）ICD-O-3 肿瘤形态学编码属于 0（良性肿瘤</w:t>
                  </w:r>
                  <w:r>
                    <w:rPr>
                      <w:color w:val="000000"/>
                      <w:spacing w:val="-106"/>
                    </w:rPr>
                    <w:t>）</w:t>
                  </w:r>
                  <w:r>
                    <w:rPr>
                      <w:color w:val="000000"/>
                      <w:spacing w:val="-6"/>
                    </w:rPr>
                    <w:t>、1（动态未定性肿瘤</w:t>
                  </w:r>
                  <w:r>
                    <w:rPr>
                      <w:color w:val="000000"/>
                      <w:spacing w:val="-111"/>
                    </w:rPr>
                    <w:t>）</w:t>
                  </w:r>
                  <w:r>
                    <w:rPr>
                      <w:color w:val="000000"/>
                      <w:spacing w:val="-6"/>
                    </w:rPr>
                    <w:t>、2（</w:t>
                  </w:r>
                  <w:r>
                    <w:rPr>
                      <w:color w:val="000000"/>
                      <w:spacing w:val="-10"/>
                    </w:rPr>
                    <w:t>原</w:t>
                  </w:r>
                </w:p>
              </w:txbxContent>
            </v:textbox>
            <v:fill type="solid"/>
          </v:shape>
        </w:pict>
      </w:r>
      <w:r>
        <w:rPr>
          <w:sz w:val="20"/>
        </w:rPr>
      </w:r>
    </w:p>
    <w:p>
      <w:pPr>
        <w:pStyle w:val="BodyText"/>
        <w:ind w:left="2569"/>
        <w:rPr>
          <w:sz w:val="20"/>
        </w:rPr>
      </w:pPr>
      <w:r>
        <w:rPr>
          <w:sz w:val="20"/>
        </w:rPr>
        <w:pict>
          <v:shape style="width:178.6pt;height:13.95pt;mso-position-horizontal-relative:char;mso-position-vertical-relative:line" type="#_x0000_t202" id="docshape90"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spacing w:after="0"/>
        <w:rPr>
          <w:sz w:val="20"/>
        </w:rPr>
        <w:sectPr>
          <w:type w:val="continuous"/>
          <w:pgSz w:w="11910" w:h="16840"/>
          <w:pgMar w:top="740" w:bottom="280" w:left="920" w:right="820"/>
        </w:sectPr>
      </w:pPr>
    </w:p>
    <w:p>
      <w:pPr>
        <w:pStyle w:val="BodyText"/>
        <w:ind w:left="2819"/>
        <w:rPr>
          <w:sz w:val="20"/>
        </w:rPr>
      </w:pPr>
      <w:r>
        <w:rPr>
          <w:sz w:val="20"/>
        </w:rPr>
        <w:pict>
          <v:shape style="width:351.85pt;height:13.95pt;mso-position-horizontal-relative:char;mso-position-vertical-relative:line" type="#_x0000_t202" id="docshape91" filled="true" fillcolor="#d9d9d9" stroked="false">
            <w10:anchorlock/>
            <v:textbox inset="0,0,0,0">
              <w:txbxContent>
                <w:p>
                  <w:pPr>
                    <w:pStyle w:val="BodyText"/>
                    <w:spacing w:before="6"/>
                    <w:ind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19"/>
        <w:rPr>
          <w:sz w:val="20"/>
        </w:rPr>
      </w:pPr>
      <w:r>
        <w:rPr>
          <w:sz w:val="20"/>
        </w:rPr>
        <w:pict>
          <v:shape style="width:157.450pt;height:13.95pt;mso-position-horizontal-relative:char;mso-position-vertical-relative:line" type="#_x0000_t202" id="docshape92" filled="true" fillcolor="#d9d9d9" stroked="false">
            <w10:anchorlock/>
            <v:textbox inset="0,0,0,0">
              <w:txbxContent>
                <w:p>
                  <w:pPr>
                    <w:pStyle w:val="BodyText"/>
                    <w:spacing w:before="6"/>
                    <w:ind w:right="-15"/>
                    <w:rPr>
                      <w:color w:val="000000"/>
                    </w:rPr>
                  </w:pPr>
                  <w:r>
                    <w:rPr>
                      <w:color w:val="000000"/>
                      <w:spacing w:val="-5"/>
                    </w:rPr>
                    <w:t>皮内瘤变，细胞不典型性增生等；</w:t>
                  </w:r>
                </w:p>
              </w:txbxContent>
            </v:textbox>
            <v:fill type="solid"/>
          </v:shape>
        </w:pict>
      </w:r>
      <w:r>
        <w:rPr>
          <w:sz w:val="20"/>
        </w:rPr>
      </w:r>
    </w:p>
    <w:p>
      <w:pPr>
        <w:pStyle w:val="BodyText"/>
        <w:ind w:left="2819"/>
        <w:rPr>
          <w:sz w:val="20"/>
        </w:rPr>
      </w:pPr>
      <w:r>
        <w:rPr>
          <w:sz w:val="20"/>
        </w:rPr>
        <w:pict>
          <v:shape style="width:346.35pt;height:13.95pt;mso-position-horizontal-relative:char;mso-position-vertical-relative:line" type="#_x0000_t202" id="docshape93" filled="true" fillcolor="#d9d9d9" stroked="false">
            <w10:anchorlock/>
            <v:textbox inset="0,0,0,0">
              <w:txbxContent>
                <w:p>
                  <w:pPr>
                    <w:pStyle w:val="BodyText"/>
                    <w:spacing w:before="6"/>
                    <w:ind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spacing w:before="2"/>
        <w:rPr>
          <w:sz w:val="2"/>
        </w:rPr>
      </w:pPr>
    </w:p>
    <w:p>
      <w:pPr>
        <w:pStyle w:val="BodyText"/>
        <w:ind w:left="2569"/>
        <w:rPr>
          <w:sz w:val="20"/>
        </w:rPr>
      </w:pPr>
      <w:r>
        <w:rPr>
          <w:sz w:val="20"/>
        </w:rPr>
        <w:pict>
          <v:shape style="width:312.25pt;height:13.95pt;mso-position-horizontal-relative:char;mso-position-vertical-relative:line" type="#_x0000_t202" id="docshape94" filled="true" fillcolor="#d9d9d9" stroked="false">
            <w10:anchorlock/>
            <v:textbox inset="0,0,0,0">
              <w:txbxContent>
                <w:p>
                  <w:pPr>
                    <w:pStyle w:val="BodyText"/>
                    <w:spacing w:line="248" w:lineRule="exact" w:before="6"/>
                    <w:ind w:right="-15"/>
                    <w:rPr>
                      <w:color w:val="000000"/>
                    </w:rPr>
                  </w:pPr>
                  <w:r>
                    <w:rPr>
                      <w:color w:val="000000"/>
                      <w:spacing w:val="-4"/>
                    </w:rPr>
                    <w:t>（2）TNM</w:t>
                  </w:r>
                  <w:r>
                    <w:rPr>
                      <w:color w:val="000000"/>
                    </w:rPr>
                    <w:t> 分期</w:t>
                  </w:r>
                  <w:r>
                    <w:rPr>
                      <w:color w:val="000000"/>
                      <w:spacing w:val="-4"/>
                    </w:rPr>
                    <w:t>（见术语释义（三</w:t>
                  </w:r>
                  <w:r>
                    <w:rPr>
                      <w:color w:val="000000"/>
                      <w:spacing w:val="-106"/>
                    </w:rPr>
                    <w:t>）</w:t>
                  </w:r>
                  <w:r>
                    <w:rPr>
                      <w:color w:val="000000"/>
                    </w:rPr>
                    <w:t>）</w:t>
                  </w:r>
                  <w:r>
                    <w:rPr>
                      <w:color w:val="000000"/>
                      <w:spacing w:val="-5"/>
                    </w:rPr>
                    <w:t>为Ⅰ期或更轻分期的甲状腺癌；</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ind w:left="2569"/>
        <w:rPr>
          <w:sz w:val="20"/>
        </w:rPr>
      </w:pPr>
      <w:r>
        <w:rPr>
          <w:sz w:val="20"/>
        </w:rPr>
        <w:pict>
          <v:shape style="width:230.2pt;height:13.95pt;mso-position-horizontal-relative:char;mso-position-vertical-relative:line" type="#_x0000_t202" id="docshape95" filled="true" fillcolor="#d9d9d9" stroked="false">
            <w10:anchorlock/>
            <v:textbox inset="0,0,0,0">
              <w:txbxContent>
                <w:p>
                  <w:pPr>
                    <w:pStyle w:val="BodyText"/>
                    <w:spacing w:before="5"/>
                    <w:ind w:right="-15"/>
                    <w:rPr>
                      <w:color w:val="000000"/>
                    </w:rPr>
                  </w:pPr>
                  <w:r>
                    <w:rPr>
                      <w:color w:val="000000"/>
                      <w:spacing w:val="-6"/>
                      <w:position w:val="1"/>
                    </w:rPr>
                    <w:t>（3）TNM 分期为 T</w:t>
                  </w:r>
                  <w:r>
                    <w:rPr>
                      <w:color w:val="000000"/>
                      <w:spacing w:val="-6"/>
                      <w:sz w:val="11"/>
                    </w:rPr>
                    <w:t>1</w:t>
                  </w:r>
                  <w:r>
                    <w:rPr>
                      <w:color w:val="000000"/>
                      <w:spacing w:val="-6"/>
                      <w:position w:val="1"/>
                    </w:rPr>
                    <w:t>N</w:t>
                  </w:r>
                  <w:r>
                    <w:rPr>
                      <w:color w:val="000000"/>
                      <w:spacing w:val="-6"/>
                      <w:sz w:val="11"/>
                    </w:rPr>
                    <w:t>0</w:t>
                  </w:r>
                  <w:r>
                    <w:rPr>
                      <w:color w:val="000000"/>
                      <w:spacing w:val="-6"/>
                      <w:position w:val="1"/>
                    </w:rPr>
                    <w:t>M</w:t>
                  </w:r>
                  <w:r>
                    <w:rPr>
                      <w:color w:val="000000"/>
                      <w:spacing w:val="-6"/>
                      <w:sz w:val="11"/>
                    </w:rPr>
                    <w:t>0</w:t>
                  </w:r>
                  <w:r>
                    <w:rPr>
                      <w:color w:val="000000"/>
                      <w:spacing w:val="-11"/>
                      <w:sz w:val="11"/>
                    </w:rPr>
                    <w:t> </w:t>
                  </w:r>
                  <w:r>
                    <w:rPr>
                      <w:color w:val="000000"/>
                      <w:spacing w:val="-7"/>
                      <w:position w:val="1"/>
                    </w:rPr>
                    <w:t>期或更轻分期的前列腺癌；</w:t>
                  </w:r>
                </w:p>
              </w:txbxContent>
            </v:textbox>
            <v:fill type="solid"/>
          </v:shape>
        </w:pict>
      </w:r>
      <w:r>
        <w:rPr>
          <w:sz w:val="20"/>
        </w:rPr>
      </w:r>
    </w:p>
    <w:p>
      <w:pPr>
        <w:pStyle w:val="BodyText"/>
        <w:rPr>
          <w:sz w:val="2"/>
        </w:rPr>
      </w:pPr>
    </w:p>
    <w:p>
      <w:pPr>
        <w:pStyle w:val="BodyText"/>
        <w:ind w:left="2569"/>
        <w:rPr>
          <w:sz w:val="20"/>
        </w:rPr>
      </w:pPr>
      <w:r>
        <w:rPr>
          <w:sz w:val="20"/>
        </w:rPr>
        <w:pict>
          <v:shape style="width:299.05pt;height:13.95pt;mso-position-horizontal-relative:char;mso-position-vertical-relative:line" type="#_x0000_t202" id="docshape96" filled="true" fillcolor="#d9d9d9" stroked="false">
            <w10:anchorlock/>
            <v:textbox inset="0,0,0,0">
              <w:txbxContent>
                <w:p>
                  <w:pPr>
                    <w:pStyle w:val="BodyText"/>
                    <w:spacing w:before="6"/>
                    <w:ind w:right="-15"/>
                    <w:rPr>
                      <w:color w:val="000000"/>
                    </w:rPr>
                  </w:pPr>
                  <w:r>
                    <w:rPr>
                      <w:color w:val="000000"/>
                      <w:spacing w:val="-4"/>
                    </w:rPr>
                    <w:t>（4）</w:t>
                  </w:r>
                  <w:r>
                    <w:rPr>
                      <w:color w:val="000000"/>
                      <w:spacing w:val="-5"/>
                    </w:rPr>
                    <w:t>黑色素瘤以外的未发生淋巴结和远处转移的皮肤恶性肿瘤；</w:t>
                  </w:r>
                </w:p>
              </w:txbxContent>
            </v:textbox>
            <v:fill type="solid"/>
          </v:shape>
        </w:pict>
      </w:r>
      <w:r>
        <w:rPr>
          <w:sz w:val="20"/>
        </w:rPr>
      </w:r>
    </w:p>
    <w:p>
      <w:pPr>
        <w:pStyle w:val="BodyText"/>
        <w:ind w:left="2569"/>
        <w:rPr>
          <w:sz w:val="20"/>
        </w:rPr>
      </w:pPr>
      <w:r>
        <w:rPr>
          <w:sz w:val="20"/>
        </w:rPr>
        <w:pict>
          <v:shape style="width:288.75pt;height:13.95pt;mso-position-horizontal-relative:char;mso-position-vertical-relative:line" type="#_x0000_t202" id="docshape97" filled="true" fillcolor="#d9d9d9" stroked="false">
            <w10:anchorlock/>
            <v:textbox inset="0,0,0,0">
              <w:txbxContent>
                <w:p>
                  <w:pPr>
                    <w:pStyle w:val="BodyText"/>
                    <w:spacing w:before="6"/>
                    <w:ind w:right="-15"/>
                    <w:rPr>
                      <w:color w:val="000000"/>
                    </w:rPr>
                  </w:pPr>
                  <w:r>
                    <w:rPr>
                      <w:color w:val="000000"/>
                      <w:spacing w:val="-6"/>
                    </w:rPr>
                    <w:t>（5）相当于Binet</w:t>
                  </w:r>
                  <w:r>
                    <w:rPr>
                      <w:color w:val="000000"/>
                      <w:spacing w:val="-11"/>
                    </w:rPr>
                    <w:t> 分期方案 </w:t>
                  </w:r>
                  <w:r>
                    <w:rPr>
                      <w:color w:val="000000"/>
                      <w:spacing w:val="-6"/>
                    </w:rPr>
                    <w:t>A</w:t>
                  </w:r>
                  <w:r>
                    <w:rPr>
                      <w:color w:val="000000"/>
                      <w:spacing w:val="-7"/>
                    </w:rPr>
                    <w:t> 期程度的慢性淋巴细胞白血病；</w:t>
                  </w:r>
                </w:p>
              </w:txbxContent>
            </v:textbox>
            <v:fill type="solid"/>
          </v:shape>
        </w:pict>
      </w:r>
      <w:r>
        <w:rPr>
          <w:sz w:val="20"/>
        </w:rPr>
      </w:r>
    </w:p>
    <w:p>
      <w:pPr>
        <w:pStyle w:val="BodyText"/>
        <w:ind w:left="2569"/>
        <w:rPr>
          <w:sz w:val="20"/>
        </w:rPr>
      </w:pPr>
      <w:r>
        <w:rPr>
          <w:sz w:val="20"/>
        </w:rPr>
        <w:pict>
          <v:shape style="width:267.6pt;height:13.95pt;mso-position-horizontal-relative:char;mso-position-vertical-relative:line" type="#_x0000_t202" id="docshape98" filled="true" fillcolor="#d9d9d9" stroked="false">
            <w10:anchorlock/>
            <v:textbox inset="0,0,0,0">
              <w:txbxContent>
                <w:p>
                  <w:pPr>
                    <w:pStyle w:val="BodyText"/>
                    <w:spacing w:before="6"/>
                    <w:ind w:right="-15"/>
                    <w:rPr>
                      <w:color w:val="000000"/>
                    </w:rPr>
                  </w:pPr>
                  <w:r>
                    <w:rPr>
                      <w:color w:val="000000"/>
                      <w:spacing w:val="-3"/>
                    </w:rPr>
                    <w:t>（6）相当于Ann</w:t>
                  </w:r>
                  <w:r>
                    <w:rPr>
                      <w:color w:val="000000"/>
                      <w:spacing w:val="-24"/>
                    </w:rPr>
                    <w:t> </w:t>
                  </w:r>
                  <w:r>
                    <w:rPr>
                      <w:color w:val="000000"/>
                      <w:spacing w:val="-3"/>
                    </w:rPr>
                    <w:t>Arbor</w:t>
                  </w:r>
                  <w:r>
                    <w:rPr>
                      <w:color w:val="000000"/>
                      <w:spacing w:val="-6"/>
                    </w:rPr>
                    <w:t> 分期方案Ⅰ期程度的何杰金氏病；</w:t>
                  </w:r>
                </w:p>
              </w:txbxContent>
            </v:textbox>
            <v:fill type="solid"/>
          </v:shape>
        </w:pict>
      </w:r>
      <w:r>
        <w:rPr>
          <w:sz w:val="20"/>
        </w:rPr>
      </w:r>
    </w:p>
    <w:p>
      <w:pPr>
        <w:pStyle w:val="BodyText"/>
        <w:spacing w:before="9"/>
        <w:rPr>
          <w:sz w:val="2"/>
        </w:rPr>
      </w:pPr>
    </w:p>
    <w:p>
      <w:pPr>
        <w:pStyle w:val="BodyText"/>
        <w:ind w:left="2569"/>
        <w:rPr>
          <w:sz w:val="20"/>
        </w:rPr>
      </w:pPr>
      <w:r>
        <w:rPr>
          <w:sz w:val="20"/>
        </w:rPr>
        <w:pict>
          <v:shape style="width:364.35pt;height:13.95pt;mso-position-horizontal-relative:char;mso-position-vertical-relative:line" type="#_x0000_t202" id="docshape99" filled="true" fillcolor="#d9d9d9" stroked="false">
            <w10:anchorlock/>
            <v:textbox inset="0,0,0,0">
              <w:txbxContent>
                <w:p>
                  <w:pPr>
                    <w:pStyle w:val="BodyText"/>
                    <w:spacing w:before="6"/>
                    <w:ind w:right="-15"/>
                    <w:rPr>
                      <w:color w:val="000000"/>
                    </w:rPr>
                  </w:pPr>
                  <w:r>
                    <w:rPr>
                      <w:color w:val="000000"/>
                      <w:spacing w:val="-2"/>
                    </w:rPr>
                    <w:t>（7）</w:t>
                  </w:r>
                  <w:r>
                    <w:rPr>
                      <w:color w:val="000000"/>
                      <w:spacing w:val="-4"/>
                    </w:rPr>
                    <w:t>未发生淋巴结和远处转移且 </w:t>
                  </w:r>
                  <w:r>
                    <w:rPr>
                      <w:color w:val="000000"/>
                      <w:spacing w:val="-2"/>
                    </w:rPr>
                    <w:t>WHO</w:t>
                  </w:r>
                  <w:r>
                    <w:rPr>
                      <w:color w:val="000000"/>
                      <w:spacing w:val="-12"/>
                    </w:rPr>
                    <w:t> 分级为 </w:t>
                  </w:r>
                  <w:r>
                    <w:rPr>
                      <w:color w:val="000000"/>
                      <w:spacing w:val="-2"/>
                    </w:rPr>
                    <w:t>G1</w:t>
                  </w:r>
                  <w:r>
                    <w:rPr>
                      <w:color w:val="000000"/>
                      <w:spacing w:val="-10"/>
                    </w:rPr>
                    <w:t> 级别</w:t>
                  </w:r>
                  <w:r>
                    <w:rPr>
                      <w:color w:val="000000"/>
                      <w:spacing w:val="-2"/>
                    </w:rPr>
                    <w:t>（核分裂像&lt;10/50</w:t>
                  </w:r>
                  <w:r>
                    <w:rPr>
                      <w:color w:val="000000"/>
                      <w:spacing w:val="-7"/>
                    </w:rPr>
                    <w:t> </w:t>
                  </w:r>
                  <w:r>
                    <w:rPr>
                      <w:color w:val="000000"/>
                      <w:spacing w:val="-2"/>
                    </w:rPr>
                    <w:t>HPF</w:t>
                  </w:r>
                  <w:r>
                    <w:rPr>
                      <w:color w:val="000000"/>
                      <w:spacing w:val="-19"/>
                    </w:rPr>
                    <w:t> 和</w:t>
                  </w:r>
                </w:p>
              </w:txbxContent>
            </v:textbox>
            <v:fill type="solid"/>
          </v:shape>
        </w:pict>
      </w:r>
      <w:r>
        <w:rPr>
          <w:sz w:val="20"/>
        </w:rPr>
      </w:r>
    </w:p>
    <w:p>
      <w:pPr>
        <w:pStyle w:val="BodyText"/>
        <w:ind w:left="2569"/>
        <w:rPr>
          <w:sz w:val="20"/>
        </w:rPr>
      </w:pPr>
      <w:r>
        <w:rPr>
          <w:sz w:val="20"/>
        </w:rPr>
        <w:pict>
          <v:shape style="width:204.75pt;height:13.95pt;mso-position-horizontal-relative:char;mso-position-vertical-relative:line" type="#_x0000_t202" id="docshape100" filled="true" fillcolor="#d9d9d9" stroked="false">
            <w10:anchorlock/>
            <v:textbox inset="0,0,0,0">
              <w:txbxContent>
                <w:p>
                  <w:pPr>
                    <w:pStyle w:val="BodyText"/>
                    <w:spacing w:before="6"/>
                    <w:ind w:right="-15"/>
                    <w:rPr>
                      <w:color w:val="000000"/>
                    </w:rPr>
                  </w:pPr>
                  <w:r>
                    <w:rPr>
                      <w:color w:val="000000"/>
                      <w:spacing w:val="-4"/>
                    </w:rPr>
                    <w:t>ki-67≤2%）</w:t>
                  </w:r>
                  <w:r>
                    <w:rPr>
                      <w:color w:val="000000"/>
                      <w:spacing w:val="-5"/>
                    </w:rPr>
                    <w:t>或更轻分级的神经内分泌肿瘤。</w:t>
                  </w:r>
                </w:p>
              </w:txbxContent>
            </v:textbox>
            <v:fill type="solid"/>
          </v:shape>
        </w:pict>
      </w:r>
      <w:r>
        <w:rPr>
          <w:sz w:val="20"/>
        </w:rPr>
      </w:r>
    </w:p>
    <w:p>
      <w:pPr>
        <w:pStyle w:val="BodyText"/>
        <w:spacing w:before="1"/>
      </w:pPr>
    </w:p>
    <w:p>
      <w:pPr>
        <w:pStyle w:val="Heading3"/>
        <w:spacing w:before="4"/>
      </w:pPr>
      <w:r>
        <w:rPr/>
        <w:t>（二）</w:t>
      </w:r>
      <w:r>
        <w:rPr>
          <w:spacing w:val="-2"/>
        </w:rPr>
        <w:t>较重急性心肌梗死</w:t>
      </w:r>
    </w:p>
    <w:p>
      <w:pPr>
        <w:pStyle w:val="BodyText"/>
        <w:spacing w:line="278" w:lineRule="auto"/>
        <w:ind w:left="2569" w:right="301"/>
        <w:jc w:val="both"/>
      </w:pPr>
      <w:r>
        <w:rPr>
          <w:w w:val="100"/>
        </w:rPr>
        <w:t>急性心肌梗死指由于冠状动脉闭塞或梗阻引起部分心肌严重的持久性缺血造成急性心肌坏死。急性心肌梗死的诊断必须依据国际国内诊断标准，符合（1）</w:t>
      </w:r>
      <w:r>
        <w:rPr>
          <w:spacing w:val="-13"/>
          <w:w w:val="100"/>
        </w:rPr>
        <w:t>检</w:t>
      </w:r>
      <w:r>
        <w:rPr>
          <w:spacing w:val="-6"/>
          <w:w w:val="100"/>
        </w:rPr>
        <w:t>测到肌酸激酶同工酶</w:t>
      </w:r>
      <w:r>
        <w:rPr>
          <w:w w:val="100"/>
        </w:rPr>
        <w:t>（CK-MB</w:t>
      </w:r>
      <w:r>
        <w:rPr>
          <w:spacing w:val="-39"/>
          <w:w w:val="100"/>
        </w:rPr>
        <w:t>）</w:t>
      </w:r>
      <w:r>
        <w:rPr>
          <w:spacing w:val="-9"/>
          <w:w w:val="100"/>
        </w:rPr>
        <w:t>或肌钙蛋白</w:t>
      </w:r>
      <w:r>
        <w:rPr>
          <w:w w:val="100"/>
        </w:rPr>
        <w:t>（cT</w:t>
      </w:r>
      <w:r>
        <w:rPr>
          <w:spacing w:val="-5"/>
          <w:w w:val="100"/>
        </w:rPr>
        <w:t>n</w:t>
      </w:r>
      <w:r>
        <w:rPr>
          <w:spacing w:val="-34"/>
          <w:w w:val="100"/>
        </w:rPr>
        <w:t>）</w:t>
      </w:r>
      <w:r>
        <w:rPr>
          <w:spacing w:val="-8"/>
          <w:w w:val="100"/>
        </w:rPr>
        <w:t>升高和/或降低的动态变化，至</w:t>
      </w:r>
      <w:r>
        <w:rPr>
          <w:spacing w:val="-4"/>
          <w:w w:val="100"/>
        </w:rPr>
        <w:t>少一次达到或超过心肌梗死的临床诊断标准</w:t>
      </w:r>
      <w:r>
        <w:rPr>
          <w:spacing w:val="-130"/>
          <w:w w:val="100"/>
        </w:rPr>
        <w:t>；</w:t>
      </w:r>
      <w:r>
        <w:rPr>
          <w:w w:val="100"/>
        </w:rPr>
        <w:t>（2</w:t>
      </w:r>
      <w:r>
        <w:rPr>
          <w:spacing w:val="-24"/>
          <w:w w:val="100"/>
        </w:rPr>
        <w:t>）</w:t>
      </w:r>
      <w:r>
        <w:rPr>
          <w:spacing w:val="-7"/>
          <w:w w:val="100"/>
        </w:rPr>
        <w:t>同时存在下列之一的证据，包括：缺血性胸痛症状、新发生的缺血性心电图改变、新生成的病理性</w:t>
      </w:r>
      <w:r>
        <w:rPr>
          <w:spacing w:val="-53"/>
        </w:rPr>
        <w:t> </w:t>
      </w:r>
      <w:r>
        <w:rPr>
          <w:w w:val="100"/>
        </w:rPr>
        <w:t>Q</w:t>
      </w:r>
      <w:r>
        <w:rPr>
          <w:spacing w:val="-53"/>
        </w:rPr>
        <w:t> </w:t>
      </w:r>
      <w:r>
        <w:rPr>
          <w:spacing w:val="-9"/>
          <w:w w:val="100"/>
        </w:rPr>
        <w:t>波、影像</w:t>
      </w:r>
      <w:r>
        <w:rPr>
          <w:spacing w:val="-8"/>
          <w:w w:val="100"/>
        </w:rPr>
        <w:t>学证据显示有新出现的心肌活性丧失或新出现局部室壁运动异常、冠脉造影证实</w:t>
      </w:r>
      <w:r>
        <w:rPr>
          <w:spacing w:val="-1"/>
          <w:w w:val="100"/>
        </w:rPr>
        <w:t>存在冠状动脉血栓。</w:t>
      </w:r>
    </w:p>
    <w:p>
      <w:pPr>
        <w:pStyle w:val="BodyText"/>
        <w:spacing w:line="268" w:lineRule="exact"/>
        <w:ind w:left="2569"/>
      </w:pPr>
      <w:r>
        <w:rPr>
          <w:spacing w:val="-6"/>
        </w:rPr>
        <w:t>较重急性心肌梗死指依照上述标准被明确诊断为急性心肌梗死，并且必须同时满</w:t>
      </w:r>
    </w:p>
    <w:p>
      <w:pPr>
        <w:pStyle w:val="BodyText"/>
        <w:spacing w:line="249" w:lineRule="exact" w:before="39"/>
        <w:ind w:left="2569"/>
      </w:pPr>
      <w:r>
        <w:rPr>
          <w:spacing w:val="-3"/>
        </w:rPr>
        <w:t>足下列至少一项条件：</w:t>
      </w:r>
    </w:p>
    <w:p>
      <w:pPr>
        <w:spacing w:line="31" w:lineRule="exact" w:before="0"/>
        <w:ind w:left="2607" w:right="0" w:firstLine="0"/>
        <w:jc w:val="left"/>
        <w:rPr>
          <w:sz w:val="4"/>
        </w:rPr>
      </w:pPr>
      <w:r>
        <w:rPr>
          <w:w w:val="72"/>
          <w:sz w:val="4"/>
        </w:rPr>
        <w:t>●</w:t>
      </w:r>
    </w:p>
    <w:p>
      <w:pPr>
        <w:pStyle w:val="ListParagraph"/>
        <w:numPr>
          <w:ilvl w:val="0"/>
          <w:numId w:val="12"/>
        </w:numPr>
        <w:tabs>
          <w:tab w:pos="3099" w:val="left" w:leader="none"/>
        </w:tabs>
        <w:spacing w:line="278" w:lineRule="auto" w:before="33" w:after="0"/>
        <w:ind w:left="2569" w:right="301" w:firstLine="0"/>
        <w:jc w:val="left"/>
        <w:rPr>
          <w:sz w:val="21"/>
        </w:rPr>
      </w:pPr>
      <w:r>
        <w:rPr>
          <w:spacing w:val="-2"/>
          <w:sz w:val="21"/>
        </w:rPr>
        <w:t>心肌损伤标志物肌钙蛋白（cTn）升高，至少一次检测结果达到该检验正常</w:t>
      </w:r>
      <w:r>
        <w:rPr>
          <w:spacing w:val="-4"/>
          <w:sz w:val="21"/>
        </w:rPr>
        <w:t>参考值上限的 </w:t>
      </w:r>
      <w:r>
        <w:rPr>
          <w:sz w:val="21"/>
        </w:rPr>
        <w:t>15</w:t>
      </w:r>
      <w:r>
        <w:rPr>
          <w:spacing w:val="-11"/>
          <w:sz w:val="21"/>
        </w:rPr>
        <w:t> 倍</w:t>
      </w:r>
      <w:r>
        <w:rPr>
          <w:sz w:val="21"/>
        </w:rPr>
        <w:t>（含）以上；</w:t>
      </w:r>
    </w:p>
    <w:p>
      <w:pPr>
        <w:pStyle w:val="ListParagraph"/>
        <w:numPr>
          <w:ilvl w:val="0"/>
          <w:numId w:val="12"/>
        </w:numPr>
        <w:tabs>
          <w:tab w:pos="3099" w:val="left" w:leader="none"/>
        </w:tabs>
        <w:spacing w:line="269" w:lineRule="exact" w:before="0" w:after="0"/>
        <w:ind w:left="3098" w:right="0" w:hanging="530"/>
        <w:jc w:val="left"/>
        <w:rPr>
          <w:sz w:val="21"/>
        </w:rPr>
      </w:pPr>
      <w:r>
        <w:rPr>
          <w:spacing w:val="-4"/>
          <w:sz w:val="21"/>
        </w:rPr>
        <w:t>肌酸激酶同工酶（CK-MB）</w:t>
      </w:r>
      <w:r>
        <w:rPr>
          <w:spacing w:val="-5"/>
          <w:sz w:val="21"/>
        </w:rPr>
        <w:t>升高，至少一次检测结果达到该检验正常参考值</w:t>
      </w:r>
    </w:p>
    <w:p>
      <w:pPr>
        <w:pStyle w:val="BodyText"/>
        <w:spacing w:line="248" w:lineRule="exact" w:before="44"/>
        <w:ind w:left="2569"/>
      </w:pPr>
      <w:r>
        <w:rPr>
          <w:spacing w:val="-14"/>
        </w:rPr>
        <w:t>上限的 </w:t>
      </w:r>
      <w:r>
        <w:rPr>
          <w:spacing w:val="-2"/>
        </w:rPr>
        <w:t>2</w:t>
      </w:r>
      <w:r>
        <w:rPr>
          <w:spacing w:val="-25"/>
        </w:rPr>
        <w:t> 倍</w:t>
      </w:r>
      <w:r>
        <w:rPr>
          <w:spacing w:val="-2"/>
        </w:rPr>
        <w:t>（含）</w:t>
      </w:r>
      <w:r>
        <w:rPr>
          <w:spacing w:val="-5"/>
        </w:rPr>
        <w:t>以上；</w:t>
      </w:r>
    </w:p>
    <w:p>
      <w:pPr>
        <w:spacing w:line="31" w:lineRule="exact" w:before="0"/>
        <w:ind w:left="2607" w:right="0" w:firstLine="0"/>
        <w:jc w:val="left"/>
        <w:rPr>
          <w:sz w:val="4"/>
        </w:rPr>
      </w:pPr>
      <w:r>
        <w:rPr>
          <w:w w:val="72"/>
          <w:sz w:val="4"/>
        </w:rPr>
        <w:t>●</w:t>
      </w:r>
    </w:p>
    <w:p>
      <w:pPr>
        <w:pStyle w:val="ListParagraph"/>
        <w:numPr>
          <w:ilvl w:val="0"/>
          <w:numId w:val="12"/>
        </w:numPr>
        <w:tabs>
          <w:tab w:pos="3099" w:val="left" w:leader="none"/>
        </w:tabs>
        <w:spacing w:line="278" w:lineRule="auto" w:before="33" w:after="0"/>
        <w:ind w:left="2569" w:right="301" w:firstLine="0"/>
        <w:jc w:val="left"/>
        <w:rPr>
          <w:sz w:val="21"/>
        </w:rPr>
      </w:pPr>
      <w:r>
        <w:rPr>
          <w:spacing w:val="-3"/>
          <w:sz w:val="21"/>
        </w:rPr>
        <w:t>出现左心室收缩功能下降，在确诊 </w:t>
      </w:r>
      <w:r>
        <w:rPr>
          <w:sz w:val="21"/>
        </w:rPr>
        <w:t>6</w:t>
      </w:r>
      <w:r>
        <w:rPr>
          <w:spacing w:val="-6"/>
          <w:sz w:val="21"/>
        </w:rPr>
        <w:t> 周以后，检测左室射血分数</w:t>
      </w:r>
      <w:r>
        <w:rPr>
          <w:sz w:val="21"/>
        </w:rPr>
        <w:t>（LVEF）</w:t>
      </w:r>
      <w:r>
        <w:rPr>
          <w:spacing w:val="-15"/>
          <w:sz w:val="21"/>
        </w:rPr>
        <w:t>低于 </w:t>
      </w:r>
      <w:r>
        <w:rPr>
          <w:sz w:val="21"/>
        </w:rPr>
        <w:t>50%（不含</w:t>
      </w:r>
      <w:r>
        <w:rPr>
          <w:spacing w:val="-106"/>
          <w:sz w:val="21"/>
        </w:rPr>
        <w:t>）</w:t>
      </w:r>
      <w:r>
        <w:rPr>
          <w:sz w:val="21"/>
        </w:rPr>
        <w:t>；</w:t>
      </w:r>
    </w:p>
    <w:p>
      <w:pPr>
        <w:pStyle w:val="BodyText"/>
        <w:spacing w:line="278" w:lineRule="auto"/>
        <w:ind w:left="2569" w:right="305"/>
      </w:pPr>
      <w:r>
        <w:rPr>
          <w:spacing w:val="-2"/>
        </w:rPr>
        <w:t>（4）影像学检查证实存在新发的乳头肌功能失调或断裂引起的中度（含）以上</w:t>
      </w:r>
      <w:r>
        <w:rPr>
          <w:spacing w:val="-2"/>
        </w:rPr>
        <w:t>的二尖瓣反流；</w:t>
      </w:r>
    </w:p>
    <w:p>
      <w:pPr>
        <w:pStyle w:val="ListParagraph"/>
        <w:numPr>
          <w:ilvl w:val="0"/>
          <w:numId w:val="13"/>
        </w:numPr>
        <w:tabs>
          <w:tab w:pos="3099" w:val="left" w:leader="none"/>
        </w:tabs>
        <w:spacing w:line="269" w:lineRule="exact" w:before="0" w:after="0"/>
        <w:ind w:left="3098" w:right="0" w:hanging="530"/>
        <w:jc w:val="left"/>
        <w:rPr>
          <w:sz w:val="21"/>
        </w:rPr>
      </w:pPr>
      <w:r>
        <w:rPr>
          <w:spacing w:val="-3"/>
          <w:sz w:val="21"/>
        </w:rPr>
        <w:t>影像学检查证实存在新出现的室壁瘤；</w:t>
      </w:r>
    </w:p>
    <w:p>
      <w:pPr>
        <w:pStyle w:val="ListParagraph"/>
        <w:numPr>
          <w:ilvl w:val="0"/>
          <w:numId w:val="13"/>
        </w:numPr>
        <w:tabs>
          <w:tab w:pos="3099" w:val="left" w:leader="none"/>
        </w:tabs>
        <w:spacing w:line="240" w:lineRule="auto" w:before="42" w:after="0"/>
        <w:ind w:left="3098" w:right="0" w:hanging="530"/>
        <w:jc w:val="left"/>
        <w:rPr>
          <w:sz w:val="21"/>
        </w:rPr>
      </w:pPr>
      <w:r>
        <w:rPr>
          <w:spacing w:val="-3"/>
          <w:sz w:val="21"/>
        </w:rPr>
        <w:t>出现室性心动过速、心室颤动或心源性休克。</w:t>
      </w:r>
    </w:p>
    <w:p>
      <w:pPr>
        <w:pStyle w:val="BodyText"/>
        <w:spacing w:before="43"/>
        <w:ind w:left="2569"/>
      </w:pPr>
      <w:r>
        <w:rPr>
          <w:color w:val="000000"/>
          <w:spacing w:val="-2"/>
          <w:shd w:fill="D9D9D9" w:color="auto" w:val="clear"/>
        </w:rPr>
        <w:t>其他非冠状动脉阻塞性疾病所引起的肌钙蛋白（cTn）</w:t>
      </w:r>
      <w:r>
        <w:rPr>
          <w:color w:val="000000"/>
          <w:spacing w:val="-3"/>
          <w:shd w:fill="D9D9D9" w:color="auto" w:val="clear"/>
        </w:rPr>
        <w:t>升高不在保障范围内。</w:t>
      </w:r>
    </w:p>
    <w:p>
      <w:pPr>
        <w:pStyle w:val="BodyText"/>
        <w:spacing w:before="6"/>
        <w:rPr>
          <w:sz w:val="22"/>
        </w:rPr>
      </w:pPr>
    </w:p>
    <w:p>
      <w:pPr>
        <w:pStyle w:val="Heading3"/>
      </w:pPr>
      <w:r>
        <w:rPr/>
        <w:t>（三）</w:t>
      </w:r>
      <w:r>
        <w:rPr>
          <w:spacing w:val="-2"/>
        </w:rPr>
        <w:t>严重脑中风后遗症</w:t>
      </w:r>
    </w:p>
    <w:p>
      <w:pPr>
        <w:pStyle w:val="BodyText"/>
        <w:spacing w:line="278" w:lineRule="auto"/>
        <w:ind w:left="2569" w:right="195"/>
      </w:pPr>
      <w:r>
        <w:rPr>
          <w:spacing w:val="-7"/>
          <w:w w:val="100"/>
        </w:rPr>
        <w:t>指因脑血管的突发病变引起脑血管出血、栓塞或梗塞，须由头颅断层扫描</w:t>
      </w:r>
      <w:r>
        <w:rPr>
          <w:w w:val="100"/>
        </w:rPr>
        <w:t>（</w:t>
      </w:r>
      <w:r>
        <w:rPr>
          <w:spacing w:val="-5"/>
          <w:w w:val="100"/>
        </w:rPr>
        <w:t>C</w:t>
      </w:r>
      <w:r>
        <w:rPr>
          <w:w w:val="100"/>
        </w:rPr>
        <w:t>T</w:t>
      </w:r>
      <w:r>
        <w:rPr>
          <w:spacing w:val="-106"/>
          <w:w w:val="100"/>
        </w:rPr>
        <w:t>）</w:t>
      </w:r>
      <w:r>
        <w:rPr>
          <w:spacing w:val="-13"/>
          <w:w w:val="100"/>
        </w:rPr>
        <w:t>、</w:t>
      </w:r>
      <w:r>
        <w:rPr>
          <w:w w:val="100"/>
        </w:rPr>
        <w:t>核磁共振检查（MRI）等影像学检查证实，并导致神经系统永久性的功能障碍。</w:t>
      </w:r>
      <w:r>
        <w:rPr>
          <w:spacing w:val="-4"/>
          <w:w w:val="100"/>
        </w:rPr>
        <w:t>神经系统永久性的功能障碍，指疾病确诊</w:t>
      </w:r>
      <w:r>
        <w:rPr>
          <w:spacing w:val="-53"/>
        </w:rPr>
        <w:t> </w:t>
      </w:r>
      <w:r>
        <w:rPr>
          <w:w w:val="100"/>
        </w:rPr>
        <w:t>180</w:t>
      </w:r>
      <w:r>
        <w:rPr>
          <w:spacing w:val="-53"/>
        </w:rPr>
        <w:t> </w:t>
      </w:r>
      <w:r>
        <w:rPr>
          <w:spacing w:val="-5"/>
          <w:w w:val="100"/>
        </w:rPr>
        <w:t>天后，仍遗留下列至少一种障碍：</w:t>
      </w:r>
    </w:p>
    <w:p>
      <w:pPr>
        <w:pStyle w:val="ListParagraph"/>
        <w:numPr>
          <w:ilvl w:val="0"/>
          <w:numId w:val="14"/>
        </w:numPr>
        <w:tabs>
          <w:tab w:pos="3099" w:val="left" w:leader="none"/>
        </w:tabs>
        <w:spacing w:line="316" w:lineRule="exact" w:before="0" w:after="0"/>
        <w:ind w:left="3098" w:right="0" w:hanging="530"/>
        <w:jc w:val="left"/>
        <w:rPr>
          <w:sz w:val="21"/>
        </w:rPr>
      </w:pPr>
      <w:r>
        <w:rPr>
          <w:spacing w:val="-16"/>
          <w:sz w:val="21"/>
        </w:rPr>
        <w:t>一肢（含）以上</w:t>
      </w:r>
      <w:r>
        <w:rPr>
          <w:rFonts w:ascii="微软雅黑" w:eastAsia="微软雅黑"/>
          <w:b/>
          <w:spacing w:val="-16"/>
          <w:sz w:val="21"/>
        </w:rPr>
        <w:t>肢体</w:t>
      </w:r>
      <w:r>
        <w:rPr>
          <w:spacing w:val="-16"/>
          <w:sz w:val="21"/>
        </w:rPr>
        <w:t>（见术语释义（五</w:t>
      </w:r>
      <w:r>
        <w:rPr>
          <w:spacing w:val="-77"/>
          <w:sz w:val="21"/>
        </w:rPr>
        <w:t>））</w:t>
      </w:r>
      <w:r>
        <w:rPr>
          <w:rFonts w:ascii="微软雅黑" w:eastAsia="微软雅黑"/>
          <w:b/>
          <w:spacing w:val="-16"/>
          <w:sz w:val="21"/>
        </w:rPr>
        <w:t>肌力</w:t>
      </w:r>
      <w:r>
        <w:rPr>
          <w:spacing w:val="-16"/>
          <w:sz w:val="21"/>
        </w:rPr>
        <w:t>（见术语释义（六</w:t>
      </w:r>
      <w:r>
        <w:rPr>
          <w:spacing w:val="-72"/>
          <w:sz w:val="21"/>
        </w:rPr>
        <w:t>）</w:t>
      </w:r>
      <w:r>
        <w:rPr>
          <w:spacing w:val="-10"/>
          <w:sz w:val="21"/>
        </w:rPr>
        <w:t>）</w:t>
      </w:r>
      <w:r>
        <w:rPr>
          <w:spacing w:val="34"/>
          <w:sz w:val="21"/>
        </w:rPr>
        <w:t>2</w:t>
      </w:r>
      <w:r>
        <w:rPr>
          <w:spacing w:val="-16"/>
          <w:sz w:val="21"/>
        </w:rPr>
        <w:t> 级（含）</w:t>
      </w:r>
    </w:p>
    <w:p>
      <w:pPr>
        <w:pStyle w:val="BodyText"/>
        <w:spacing w:line="253" w:lineRule="exact"/>
        <w:ind w:left="2569"/>
      </w:pPr>
      <w:r>
        <w:rPr>
          <w:spacing w:val="-4"/>
        </w:rPr>
        <w:t>以下；</w:t>
      </w:r>
    </w:p>
    <w:p>
      <w:pPr>
        <w:pStyle w:val="ListParagraph"/>
        <w:numPr>
          <w:ilvl w:val="0"/>
          <w:numId w:val="14"/>
        </w:numPr>
        <w:tabs>
          <w:tab w:pos="3099" w:val="left" w:leader="none"/>
        </w:tabs>
        <w:spacing w:line="337" w:lineRule="exact" w:before="0" w:after="0"/>
        <w:ind w:left="3098" w:right="0" w:hanging="530"/>
        <w:jc w:val="left"/>
        <w:rPr>
          <w:sz w:val="21"/>
        </w:rPr>
      </w:pPr>
      <w:r>
        <w:rPr>
          <w:rFonts w:ascii="微软雅黑" w:eastAsia="微软雅黑"/>
          <w:b/>
          <w:spacing w:val="-2"/>
          <w:sz w:val="21"/>
        </w:rPr>
        <w:t>语言能力完全丧失或严重咀嚼吞咽功能障碍</w:t>
      </w:r>
      <w:r>
        <w:rPr>
          <w:spacing w:val="-2"/>
          <w:sz w:val="21"/>
        </w:rPr>
        <w:t>（见术语释义（七</w:t>
      </w:r>
      <w:r>
        <w:rPr>
          <w:spacing w:val="-111"/>
          <w:sz w:val="21"/>
        </w:rPr>
        <w:t>））</w:t>
      </w:r>
      <w:r>
        <w:rPr>
          <w:spacing w:val="-5"/>
          <w:sz w:val="21"/>
        </w:rPr>
        <w:t>；</w:t>
      </w:r>
    </w:p>
    <w:p>
      <w:pPr>
        <w:pStyle w:val="ListParagraph"/>
        <w:numPr>
          <w:ilvl w:val="0"/>
          <w:numId w:val="14"/>
        </w:numPr>
        <w:tabs>
          <w:tab w:pos="3099" w:val="left" w:leader="none"/>
        </w:tabs>
        <w:spacing w:line="346" w:lineRule="exact" w:before="0" w:after="0"/>
        <w:ind w:left="3098" w:right="0" w:hanging="530"/>
        <w:jc w:val="left"/>
        <w:rPr>
          <w:sz w:val="21"/>
        </w:rPr>
      </w:pPr>
      <w:r>
        <w:rPr>
          <w:spacing w:val="-2"/>
          <w:sz w:val="21"/>
        </w:rPr>
        <w:t>自主生活能力完全丧失，无法独立完成</w:t>
      </w:r>
      <w:r>
        <w:rPr>
          <w:rFonts w:ascii="微软雅黑" w:eastAsia="微软雅黑"/>
          <w:b/>
          <w:spacing w:val="-2"/>
          <w:sz w:val="21"/>
        </w:rPr>
        <w:t>六项基本日常生活活动</w:t>
      </w:r>
      <w:r>
        <w:rPr>
          <w:spacing w:val="-2"/>
          <w:sz w:val="21"/>
        </w:rPr>
        <w:t>（</w:t>
      </w:r>
      <w:r>
        <w:rPr>
          <w:spacing w:val="-4"/>
          <w:sz w:val="21"/>
        </w:rPr>
        <w:t>见术语释</w:t>
      </w:r>
    </w:p>
    <w:p>
      <w:pPr>
        <w:pStyle w:val="BodyText"/>
        <w:spacing w:line="265" w:lineRule="exact"/>
        <w:ind w:left="2569"/>
      </w:pPr>
      <w:r>
        <w:rPr>
          <w:spacing w:val="-2"/>
        </w:rPr>
        <w:t>义（八</w:t>
      </w:r>
      <w:r>
        <w:rPr>
          <w:spacing w:val="-106"/>
        </w:rPr>
        <w:t>）</w:t>
      </w:r>
      <w:r>
        <w:rPr/>
        <w:t>）</w:t>
      </w:r>
      <w:r>
        <w:rPr>
          <w:spacing w:val="-3"/>
        </w:rPr>
        <w:t>中的三项或三项以上。</w:t>
      </w:r>
    </w:p>
    <w:p>
      <w:pPr>
        <w:pStyle w:val="BodyText"/>
        <w:spacing w:before="2"/>
        <w:rPr>
          <w:sz w:val="22"/>
        </w:rPr>
      </w:pPr>
    </w:p>
    <w:p>
      <w:pPr>
        <w:pStyle w:val="Heading3"/>
      </w:pPr>
      <w:r>
        <w:rPr>
          <w:spacing w:val="-2"/>
        </w:rPr>
        <w:t>（四）</w:t>
      </w:r>
      <w:r>
        <w:rPr>
          <w:spacing w:val="-3"/>
        </w:rPr>
        <w:t>重大器官移植术或造血干细胞移植术</w:t>
      </w:r>
    </w:p>
    <w:p>
      <w:pPr>
        <w:pStyle w:val="BodyText"/>
        <w:spacing w:line="278" w:lineRule="auto"/>
        <w:ind w:left="2569" w:right="301"/>
      </w:pPr>
      <w:r>
        <w:rPr>
          <w:spacing w:val="-2"/>
        </w:rPr>
        <w:t>重大器官移植术，指因相应器官功能衰竭，已经实施了肾脏、肝脏、心脏、肺脏</w:t>
      </w:r>
      <w:r>
        <w:rPr>
          <w:spacing w:val="-2"/>
        </w:rPr>
        <w:t>或小肠的异体移植手术。</w:t>
      </w:r>
    </w:p>
    <w:p>
      <w:pPr>
        <w:spacing w:after="0" w:line="278" w:lineRule="auto"/>
        <w:sectPr>
          <w:pgSz w:w="11910" w:h="16840"/>
          <w:pgMar w:top="1140" w:bottom="280" w:left="920" w:right="820"/>
        </w:sectPr>
      </w:pPr>
    </w:p>
    <w:p>
      <w:pPr>
        <w:pStyle w:val="BodyText"/>
        <w:spacing w:line="278" w:lineRule="auto" w:before="59"/>
        <w:ind w:left="2569" w:right="195"/>
      </w:pPr>
      <w:r>
        <w:rPr>
          <w:spacing w:val="-2"/>
        </w:rPr>
        <w:t>造血干细胞移植术，指因造血功能损害或造血系统恶性肿瘤，已经实施了造血干</w:t>
      </w:r>
      <w:r>
        <w:rPr>
          <w:spacing w:val="-30"/>
        </w:rPr>
        <w:t>细胞</w:t>
      </w:r>
      <w:r>
        <w:rPr>
          <w:spacing w:val="-2"/>
        </w:rPr>
        <w:t>（</w:t>
      </w:r>
      <w:r>
        <w:rPr>
          <w:spacing w:val="-8"/>
        </w:rPr>
        <w:t>包括骨髓造血干细胞、外周血造血干细胞和脐血造血干细胞</w:t>
      </w:r>
      <w:r>
        <w:rPr>
          <w:spacing w:val="-58"/>
        </w:rPr>
        <w:t>）</w:t>
      </w:r>
      <w:r>
        <w:rPr>
          <w:spacing w:val="-4"/>
        </w:rPr>
        <w:t>的移植手术。</w:t>
      </w:r>
    </w:p>
    <w:p>
      <w:pPr>
        <w:pStyle w:val="BodyText"/>
        <w:spacing w:before="1"/>
        <w:rPr>
          <w:sz w:val="19"/>
        </w:rPr>
      </w:pPr>
    </w:p>
    <w:p>
      <w:pPr>
        <w:pStyle w:val="Heading3"/>
        <w:spacing w:before="1"/>
      </w:pPr>
      <w:r>
        <w:rPr>
          <w:spacing w:val="-2"/>
        </w:rPr>
        <w:t>（五）冠状动脉搭桥术（或称冠状动脉旁路移植术</w:t>
      </w:r>
      <w:r>
        <w:rPr>
          <w:spacing w:val="-10"/>
        </w:rPr>
        <w:t>）</w:t>
      </w:r>
    </w:p>
    <w:p>
      <w:pPr>
        <w:pStyle w:val="BodyText"/>
        <w:spacing w:line="265" w:lineRule="exact"/>
        <w:ind w:left="2569"/>
      </w:pPr>
      <w:r>
        <w:rPr>
          <w:spacing w:val="-9"/>
        </w:rPr>
        <w:t>指为治疗严重的冠心病，已经实施了切开心包进行的冠状动脉血管旁路移植的手</w:t>
      </w:r>
    </w:p>
    <w:p>
      <w:pPr>
        <w:pStyle w:val="BodyText"/>
        <w:spacing w:line="248" w:lineRule="exact" w:before="42"/>
        <w:ind w:left="2569"/>
      </w:pPr>
      <w:r>
        <w:rPr>
          <w:spacing w:val="-5"/>
        </w:rPr>
        <w:t>术。</w:t>
      </w:r>
    </w:p>
    <w:p>
      <w:pPr>
        <w:spacing w:line="31" w:lineRule="exact" w:before="0"/>
        <w:ind w:left="2607" w:right="0" w:firstLine="0"/>
        <w:jc w:val="left"/>
        <w:rPr>
          <w:sz w:val="4"/>
        </w:rPr>
      </w:pPr>
      <w:r>
        <w:rPr>
          <w:w w:val="72"/>
          <w:sz w:val="4"/>
        </w:rPr>
        <w:t>●</w:t>
      </w:r>
    </w:p>
    <w:p>
      <w:pPr>
        <w:pStyle w:val="BodyText"/>
        <w:spacing w:before="34"/>
        <w:ind w:left="2569"/>
      </w:pPr>
      <w:r>
        <w:rPr>
          <w:color w:val="000000"/>
          <w:spacing w:val="-3"/>
          <w:shd w:fill="D9D9D9" w:color="auto" w:val="clear"/>
        </w:rPr>
        <w:t>所有未切开心包的冠状动脉介入治疗不在保障范围内。</w:t>
      </w:r>
    </w:p>
    <w:p>
      <w:pPr>
        <w:pStyle w:val="BodyText"/>
        <w:spacing w:before="5"/>
        <w:rPr>
          <w:sz w:val="22"/>
        </w:rPr>
      </w:pPr>
    </w:p>
    <w:p>
      <w:pPr>
        <w:pStyle w:val="Heading3"/>
      </w:pPr>
      <w:r>
        <w:rPr/>
        <w:t>（六）</w:t>
      </w:r>
      <w:r>
        <w:rPr>
          <w:spacing w:val="-2"/>
        </w:rPr>
        <w:t>严重慢性肾衰竭</w:t>
      </w:r>
    </w:p>
    <w:p>
      <w:pPr>
        <w:pStyle w:val="BodyText"/>
        <w:spacing w:line="278" w:lineRule="auto"/>
        <w:ind w:left="2569" w:right="195"/>
        <w:jc w:val="both"/>
      </w:pPr>
      <w:r>
        <w:rPr>
          <w:spacing w:val="-10"/>
        </w:rPr>
        <w:t>指双肾功能慢性不可逆性衰竭，依据肾脏病预后质量倡议</w:t>
      </w:r>
      <w:r>
        <w:rPr>
          <w:spacing w:val="-2"/>
        </w:rPr>
        <w:t>（K/DOQI）制定的指南，</w:t>
      </w:r>
      <w:r>
        <w:rPr>
          <w:w w:val="95"/>
        </w:rPr>
        <w:t>分</w:t>
      </w:r>
      <w:r>
        <w:rPr>
          <w:w w:val="95"/>
        </w:rPr>
        <w:t>期</w:t>
      </w:r>
      <w:r>
        <w:rPr>
          <w:w w:val="95"/>
        </w:rPr>
        <w:t>达</w:t>
      </w:r>
      <w:r>
        <w:rPr>
          <w:w w:val="95"/>
        </w:rPr>
        <w:t>到</w:t>
      </w:r>
      <w:r>
        <w:rPr>
          <w:w w:val="95"/>
        </w:rPr>
        <w:t>慢</w:t>
      </w:r>
      <w:r>
        <w:rPr>
          <w:w w:val="95"/>
        </w:rPr>
        <w:t>性</w:t>
      </w:r>
      <w:r>
        <w:rPr>
          <w:w w:val="95"/>
        </w:rPr>
        <w:t>肾</w:t>
      </w:r>
      <w:r>
        <w:rPr>
          <w:w w:val="95"/>
        </w:rPr>
        <w:t>脏</w:t>
      </w:r>
      <w:r>
        <w:rPr>
          <w:w w:val="95"/>
        </w:rPr>
        <w:t>病</w:t>
      </w:r>
      <w:r>
        <w:rPr>
          <w:w w:val="95"/>
        </w:rPr>
        <w:t> 5</w:t>
      </w:r>
      <w:r>
        <w:rPr>
          <w:spacing w:val="-16"/>
          <w:w w:val="95"/>
        </w:rPr>
        <w:t> 期，且</w:t>
      </w:r>
      <w:r>
        <w:rPr>
          <w:w w:val="95"/>
        </w:rPr>
        <w:t>经</w:t>
      </w:r>
      <w:r>
        <w:rPr>
          <w:w w:val="95"/>
        </w:rPr>
        <w:t>诊</w:t>
      </w:r>
      <w:r>
        <w:rPr>
          <w:w w:val="95"/>
        </w:rPr>
        <w:t>断</w:t>
      </w:r>
      <w:r>
        <w:rPr>
          <w:w w:val="95"/>
        </w:rPr>
        <w:t>后</w:t>
      </w:r>
      <w:r>
        <w:rPr>
          <w:w w:val="95"/>
        </w:rPr>
        <w:t>已</w:t>
      </w:r>
      <w:r>
        <w:rPr>
          <w:w w:val="95"/>
        </w:rPr>
        <w:t>经</w:t>
      </w:r>
      <w:r>
        <w:rPr>
          <w:w w:val="95"/>
        </w:rPr>
        <w:t>进</w:t>
      </w:r>
      <w:r>
        <w:rPr>
          <w:w w:val="95"/>
        </w:rPr>
        <w:t>行</w:t>
      </w:r>
      <w:r>
        <w:rPr>
          <w:w w:val="95"/>
        </w:rPr>
        <w:t>了</w:t>
      </w:r>
      <w:r>
        <w:rPr>
          <w:w w:val="95"/>
        </w:rPr>
        <w:t>至少 90 </w:t>
      </w:r>
      <w:r>
        <w:rPr>
          <w:w w:val="95"/>
        </w:rPr>
        <w:t>天</w:t>
      </w:r>
      <w:r>
        <w:rPr>
          <w:w w:val="95"/>
        </w:rPr>
        <w:t>的</w:t>
      </w:r>
      <w:r>
        <w:rPr>
          <w:w w:val="95"/>
        </w:rPr>
        <w:t>规</w:t>
      </w:r>
      <w:r>
        <w:rPr>
          <w:w w:val="95"/>
        </w:rPr>
        <w:t>律</w:t>
      </w:r>
      <w:r>
        <w:rPr>
          <w:w w:val="95"/>
        </w:rPr>
        <w:t>性</w:t>
      </w:r>
      <w:r>
        <w:rPr>
          <w:w w:val="95"/>
        </w:rPr>
        <w:t>透</w:t>
      </w:r>
      <w:r>
        <w:rPr>
          <w:w w:val="95"/>
        </w:rPr>
        <w:t>析</w:t>
      </w:r>
      <w:r>
        <w:rPr>
          <w:w w:val="95"/>
        </w:rPr>
        <w:t>治</w:t>
      </w:r>
      <w:r>
        <w:rPr>
          <w:w w:val="95"/>
        </w:rPr>
        <w:t>疗</w:t>
      </w:r>
      <w:r>
        <w:rPr>
          <w:w w:val="95"/>
        </w:rPr>
        <w:t>。</w:t>
      </w:r>
      <w:r>
        <w:rPr>
          <w:spacing w:val="-2"/>
        </w:rPr>
        <w:t>规律性透析是指每周进行血液透析或每天进行腹膜透析。</w:t>
      </w:r>
    </w:p>
    <w:p>
      <w:pPr>
        <w:pStyle w:val="BodyText"/>
        <w:spacing w:before="10"/>
        <w:rPr>
          <w:sz w:val="18"/>
        </w:rPr>
      </w:pPr>
    </w:p>
    <w:p>
      <w:pPr>
        <w:pStyle w:val="Heading3"/>
      </w:pPr>
      <w:r>
        <w:rPr/>
        <w:t>（七）</w:t>
      </w:r>
      <w:r>
        <w:rPr>
          <w:spacing w:val="-2"/>
        </w:rPr>
        <w:t>多个肢体缺失</w:t>
      </w:r>
    </w:p>
    <w:p>
      <w:pPr>
        <w:pStyle w:val="BodyText"/>
        <w:spacing w:line="265" w:lineRule="exact"/>
        <w:ind w:left="2569"/>
      </w:pPr>
      <w:r>
        <w:rPr>
          <w:spacing w:val="-5"/>
        </w:rPr>
        <w:t>指因疾病或意外伤害导致两个或两个以上肢体自腕关节或踝关节近端</w:t>
      </w:r>
      <w:r>
        <w:rPr>
          <w:spacing w:val="-2"/>
        </w:rPr>
        <w:t>（</w:t>
      </w:r>
      <w:r>
        <w:rPr>
          <w:spacing w:val="-4"/>
        </w:rPr>
        <w:t>靠近躯干</w:t>
      </w:r>
    </w:p>
    <w:p>
      <w:pPr>
        <w:pStyle w:val="BodyText"/>
        <w:spacing w:line="249" w:lineRule="exact" w:before="43"/>
        <w:ind w:left="2569"/>
      </w:pPr>
      <w:r>
        <w:rPr>
          <w:spacing w:val="-2"/>
        </w:rPr>
        <w:t>端）</w:t>
      </w:r>
      <w:r>
        <w:rPr>
          <w:spacing w:val="-4"/>
        </w:rPr>
        <w:t>以上完全性断离。</w:t>
      </w:r>
    </w:p>
    <w:p>
      <w:pPr>
        <w:spacing w:line="31" w:lineRule="exact" w:before="0"/>
        <w:ind w:left="0" w:right="1547" w:firstLine="0"/>
        <w:jc w:val="center"/>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before="47"/>
      </w:pPr>
      <w:r>
        <w:rPr/>
        <w:t>（八）</w:t>
      </w:r>
      <w:r>
        <w:rPr>
          <w:spacing w:val="-1"/>
        </w:rPr>
        <w:t>急性重症肝炎或亚急性重症肝炎</w:t>
      </w:r>
    </w:p>
    <w:p>
      <w:pPr>
        <w:pStyle w:val="BodyText"/>
        <w:spacing w:line="278" w:lineRule="auto"/>
        <w:ind w:left="2569" w:right="301"/>
      </w:pPr>
      <w:r>
        <w:rPr>
          <w:spacing w:val="-2"/>
        </w:rPr>
        <w:t>指因肝炎病毒感染引起肝脏组织弥漫性坏死，导致急性肝功能衰竭，且经血清学</w:t>
      </w:r>
      <w:r>
        <w:rPr>
          <w:spacing w:val="-2"/>
        </w:rPr>
        <w:t>或病毒学检查证实，并须满足下列全部条件：</w:t>
      </w:r>
    </w:p>
    <w:p>
      <w:pPr>
        <w:pStyle w:val="ListParagraph"/>
        <w:numPr>
          <w:ilvl w:val="0"/>
          <w:numId w:val="15"/>
        </w:numPr>
        <w:tabs>
          <w:tab w:pos="3099" w:val="left" w:leader="none"/>
        </w:tabs>
        <w:spacing w:line="269" w:lineRule="exact" w:before="0" w:after="0"/>
        <w:ind w:left="3098" w:right="0" w:hanging="530"/>
        <w:jc w:val="left"/>
        <w:rPr>
          <w:sz w:val="21"/>
        </w:rPr>
      </w:pPr>
      <w:r>
        <w:rPr>
          <w:spacing w:val="-3"/>
          <w:sz w:val="21"/>
        </w:rPr>
        <w:t>重度黄疸或黄疸迅速加重；</w:t>
      </w:r>
    </w:p>
    <w:p>
      <w:pPr>
        <w:pStyle w:val="ListParagraph"/>
        <w:numPr>
          <w:ilvl w:val="0"/>
          <w:numId w:val="15"/>
        </w:numPr>
        <w:tabs>
          <w:tab w:pos="3099" w:val="left" w:leader="none"/>
        </w:tabs>
        <w:spacing w:line="240" w:lineRule="auto" w:before="39" w:after="0"/>
        <w:ind w:left="3098" w:right="0" w:hanging="530"/>
        <w:jc w:val="left"/>
        <w:rPr>
          <w:sz w:val="21"/>
        </w:rPr>
      </w:pPr>
      <w:r>
        <w:rPr>
          <w:spacing w:val="-4"/>
          <w:sz w:val="21"/>
        </w:rPr>
        <w:t>肝性脑病；</w:t>
      </w:r>
    </w:p>
    <w:p>
      <w:pPr>
        <w:pStyle w:val="BodyText"/>
        <w:spacing w:before="43"/>
        <w:ind w:left="2569"/>
      </w:pPr>
      <w:r>
        <w:rPr>
          <w:spacing w:val="-2"/>
        </w:rPr>
        <w:t>（3）B</w:t>
      </w:r>
      <w:r>
        <w:rPr>
          <w:spacing w:val="-9"/>
        </w:rPr>
        <w:t> 超或其它影像学检查显示肝脏体积急速萎缩；</w:t>
      </w:r>
    </w:p>
    <w:p>
      <w:pPr>
        <w:pStyle w:val="BodyText"/>
        <w:spacing w:line="248" w:lineRule="exact" w:before="43"/>
        <w:ind w:left="2569"/>
      </w:pPr>
      <w:r>
        <w:rPr>
          <w:spacing w:val="-2"/>
        </w:rPr>
        <w:t>（4）</w:t>
      </w:r>
      <w:r>
        <w:rPr>
          <w:spacing w:val="-3"/>
        </w:rPr>
        <w:t>肝功能指标进行性恶化。</w:t>
      </w:r>
    </w:p>
    <w:p>
      <w:pPr>
        <w:spacing w:line="31" w:lineRule="exact" w:before="0"/>
        <w:ind w:left="2607" w:right="0" w:firstLine="0"/>
        <w:jc w:val="left"/>
        <w:rPr>
          <w:sz w:val="4"/>
        </w:rPr>
      </w:pPr>
      <w:r>
        <w:rPr>
          <w:w w:val="72"/>
          <w:sz w:val="4"/>
        </w:rPr>
        <w:t>●</w:t>
      </w:r>
    </w:p>
    <w:p>
      <w:pPr>
        <w:pStyle w:val="BodyText"/>
        <w:spacing w:before="4"/>
      </w:pPr>
    </w:p>
    <w:p>
      <w:pPr>
        <w:pStyle w:val="Heading3"/>
        <w:spacing w:before="5"/>
      </w:pPr>
      <w:r>
        <w:rPr/>
        <w:t>（九）</w:t>
      </w:r>
      <w:r>
        <w:rPr>
          <w:spacing w:val="-2"/>
        </w:rPr>
        <w:t>严重非恶性颅内肿瘤</w:t>
      </w:r>
    </w:p>
    <w:p>
      <w:pPr>
        <w:pStyle w:val="BodyText"/>
        <w:spacing w:line="278" w:lineRule="auto"/>
        <w:ind w:left="2569" w:right="301"/>
        <w:jc w:val="both"/>
      </w:pPr>
      <w:r>
        <w:rPr>
          <w:spacing w:val="-6"/>
        </w:rPr>
        <w:t>指起源于脑、脑神经、脑被膜的非恶性肿瘤，ICD-O-3</w:t>
      </w:r>
      <w:r>
        <w:rPr>
          <w:spacing w:val="-11"/>
        </w:rPr>
        <w:t> 肿瘤形态学编码属于 </w:t>
      </w:r>
      <w:r>
        <w:rPr>
          <w:spacing w:val="-6"/>
        </w:rPr>
        <w:t>0（</w:t>
      </w:r>
      <w:r>
        <w:rPr>
          <w:spacing w:val="-6"/>
        </w:rPr>
        <w:t>良</w:t>
      </w:r>
      <w:r>
        <w:rPr>
          <w:spacing w:val="-2"/>
        </w:rPr>
        <w:t>性肿瘤</w:t>
      </w:r>
      <w:r>
        <w:rPr>
          <w:spacing w:val="-106"/>
        </w:rPr>
        <w:t>）</w:t>
      </w:r>
      <w:r>
        <w:rPr>
          <w:spacing w:val="-2"/>
        </w:rPr>
        <w:t>、1（动态未定性肿瘤）范畴，并已经引起颅内压升高或神经系统功能损害，出现视乳头水肿或视觉受损、听觉受损、面部或肢体瘫痪、癫痫等，须由头</w:t>
      </w:r>
      <w:r>
        <w:rPr>
          <w:spacing w:val="-8"/>
        </w:rPr>
        <w:t>颅断层扫描</w:t>
      </w:r>
      <w:r>
        <w:rPr>
          <w:spacing w:val="14"/>
        </w:rPr>
        <w:t>（</w:t>
      </w:r>
      <w:r>
        <w:rPr>
          <w:spacing w:val="19"/>
        </w:rPr>
        <w:t>CT</w:t>
      </w:r>
      <w:r>
        <w:rPr>
          <w:spacing w:val="-87"/>
        </w:rPr>
        <w:t>）</w:t>
      </w:r>
      <w:r>
        <w:rPr>
          <w:spacing w:val="-8"/>
        </w:rPr>
        <w:t>、核磁共振检查（MRI）或正电子发射断层扫描（PET）等影像学</w:t>
      </w:r>
      <w:r>
        <w:rPr>
          <w:spacing w:val="-2"/>
        </w:rPr>
        <w:t>检查证实，且须满足下列至少一项条件：</w:t>
      </w:r>
    </w:p>
    <w:p>
      <w:pPr>
        <w:pStyle w:val="ListParagraph"/>
        <w:numPr>
          <w:ilvl w:val="0"/>
          <w:numId w:val="16"/>
        </w:numPr>
        <w:tabs>
          <w:tab w:pos="3099" w:val="left" w:leader="none"/>
        </w:tabs>
        <w:spacing w:line="268" w:lineRule="exact" w:before="0" w:after="0"/>
        <w:ind w:left="3098" w:right="0" w:hanging="530"/>
        <w:jc w:val="left"/>
        <w:rPr>
          <w:sz w:val="21"/>
        </w:rPr>
      </w:pPr>
      <w:r>
        <w:rPr>
          <w:spacing w:val="-3"/>
          <w:sz w:val="21"/>
        </w:rPr>
        <w:t>已经实施了开颅进行的颅内肿瘤完全或部分切除手术；</w:t>
      </w:r>
    </w:p>
    <w:p>
      <w:pPr>
        <w:pStyle w:val="ListParagraph"/>
        <w:numPr>
          <w:ilvl w:val="0"/>
          <w:numId w:val="16"/>
        </w:numPr>
        <w:tabs>
          <w:tab w:pos="3099" w:val="left" w:leader="none"/>
        </w:tabs>
        <w:spacing w:line="278" w:lineRule="auto" w:before="39" w:after="0"/>
        <w:ind w:left="2569" w:right="661" w:firstLine="0"/>
        <w:jc w:val="left"/>
        <w:rPr>
          <w:sz w:val="21"/>
        </w:rPr>
      </w:pPr>
      <w:r>
        <w:rPr>
          <w:spacing w:val="2"/>
          <w:sz w:val="21"/>
        </w:rPr>
        <w:t>已经实施了针对颅内肿瘤的放射治疗，如</w:t>
      </w:r>
      <w:r>
        <w:rPr>
          <w:sz w:val="21"/>
        </w:rPr>
        <w:t>γ</w:t>
      </w:r>
      <w:r>
        <w:rPr>
          <w:spacing w:val="-8"/>
          <w:sz w:val="21"/>
        </w:rPr>
        <w:t> 刀、质子重离子治疗等。</w:t>
      </w:r>
      <w:r>
        <w:rPr>
          <w:color w:val="000000"/>
          <w:spacing w:val="-2"/>
          <w:sz w:val="21"/>
          <w:shd w:fill="D9D9D9" w:color="auto" w:val="clear"/>
        </w:rPr>
        <w:t>下列疾病不在保障范围内：</w:t>
      </w:r>
    </w:p>
    <w:p>
      <w:pPr>
        <w:pStyle w:val="ListParagraph"/>
        <w:numPr>
          <w:ilvl w:val="0"/>
          <w:numId w:val="17"/>
        </w:numPr>
        <w:tabs>
          <w:tab w:pos="3099" w:val="left" w:leader="none"/>
        </w:tabs>
        <w:spacing w:line="240" w:lineRule="auto" w:before="0" w:after="0"/>
        <w:ind w:left="3098" w:right="0" w:hanging="530"/>
        <w:jc w:val="left"/>
        <w:rPr>
          <w:sz w:val="21"/>
        </w:rPr>
      </w:pPr>
      <w:r>
        <w:rPr>
          <w:color w:val="000000"/>
          <w:spacing w:val="-4"/>
          <w:sz w:val="21"/>
          <w:shd w:fill="D9D9D9" w:color="auto" w:val="clear"/>
        </w:rPr>
        <w:t>脑垂体瘤；</w:t>
      </w:r>
    </w:p>
    <w:p>
      <w:pPr>
        <w:pStyle w:val="ListParagraph"/>
        <w:numPr>
          <w:ilvl w:val="0"/>
          <w:numId w:val="17"/>
        </w:numPr>
        <w:tabs>
          <w:tab w:pos="3099" w:val="left" w:leader="none"/>
        </w:tabs>
        <w:spacing w:line="240" w:lineRule="auto" w:before="43" w:after="0"/>
        <w:ind w:left="3098" w:right="0" w:hanging="530"/>
        <w:jc w:val="left"/>
        <w:rPr>
          <w:sz w:val="21"/>
        </w:rPr>
      </w:pPr>
      <w:r>
        <w:rPr>
          <w:color w:val="000000"/>
          <w:spacing w:val="-4"/>
          <w:sz w:val="21"/>
          <w:shd w:fill="D9D9D9" w:color="auto" w:val="clear"/>
        </w:rPr>
        <w:t>脑囊肿；</w:t>
      </w:r>
    </w:p>
    <w:p>
      <w:pPr>
        <w:pStyle w:val="ListParagraph"/>
        <w:numPr>
          <w:ilvl w:val="0"/>
          <w:numId w:val="17"/>
        </w:numPr>
        <w:tabs>
          <w:tab w:pos="3099" w:val="left" w:leader="none"/>
        </w:tabs>
        <w:spacing w:line="278" w:lineRule="auto" w:before="43" w:after="0"/>
        <w:ind w:left="2569" w:right="301" w:firstLine="0"/>
        <w:jc w:val="left"/>
        <w:rPr>
          <w:sz w:val="21"/>
        </w:rPr>
      </w:pPr>
      <w:r>
        <w:rPr>
          <w:color w:val="000000"/>
          <w:spacing w:val="-2"/>
          <w:sz w:val="21"/>
          <w:shd w:fill="D9D9D9" w:color="auto" w:val="clear"/>
        </w:rPr>
        <w:t>颅内血管性疾病（如脑动脉瘤、脑动静脉畸形、海绵状血管瘤、毛细血管</w:t>
      </w:r>
      <w:r>
        <w:rPr>
          <w:color w:val="000000"/>
          <w:spacing w:val="-10"/>
          <w:sz w:val="21"/>
          <w:shd w:fill="D9D9D9" w:color="auto" w:val="clear"/>
        </w:rPr>
        <w:t>扩</w:t>
      </w:r>
      <w:r>
        <w:rPr>
          <w:color w:val="000000"/>
          <w:spacing w:val="14070"/>
          <w:sz w:val="21"/>
          <w:shd w:fill="D9D9D9" w:color="auto" w:val="clear"/>
        </w:rPr>
        <w:t> </w:t>
      </w:r>
      <w:r>
        <w:rPr>
          <w:color w:val="000000"/>
          <w:spacing w:val="-4"/>
          <w:sz w:val="21"/>
          <w:shd w:fill="D9D9D9" w:color="auto" w:val="clear"/>
        </w:rPr>
        <w:t>张症等</w:t>
      </w:r>
      <w:r>
        <w:rPr>
          <w:color w:val="000000"/>
          <w:spacing w:val="-106"/>
          <w:sz w:val="21"/>
          <w:shd w:fill="D9D9D9" w:color="auto" w:val="clear"/>
        </w:rPr>
        <w:t>）</w:t>
      </w:r>
      <w:r>
        <w:rPr>
          <w:color w:val="000000"/>
          <w:spacing w:val="-4"/>
          <w:sz w:val="21"/>
          <w:shd w:fill="D9D9D9" w:color="auto" w:val="clear"/>
        </w:rPr>
        <w:t>。</w:t>
      </w:r>
    </w:p>
    <w:p>
      <w:pPr>
        <w:pStyle w:val="BodyText"/>
        <w:spacing w:before="1"/>
        <w:rPr>
          <w:sz w:val="19"/>
        </w:rPr>
      </w:pPr>
    </w:p>
    <w:p>
      <w:pPr>
        <w:pStyle w:val="Heading3"/>
      </w:pPr>
      <w:r>
        <w:rPr/>
        <w:t>（十）</w:t>
      </w:r>
      <w:r>
        <w:rPr>
          <w:spacing w:val="-2"/>
        </w:rPr>
        <w:t>严重慢性肝衰竭</w:t>
      </w:r>
    </w:p>
    <w:p>
      <w:pPr>
        <w:pStyle w:val="BodyText"/>
        <w:spacing w:line="265" w:lineRule="exact"/>
        <w:ind w:left="2569"/>
      </w:pPr>
      <w:r>
        <w:rPr>
          <w:spacing w:val="-3"/>
        </w:rPr>
        <w:t>指因慢性肝脏疾病导致肝衰竭，且须满足下列全部条件：</w:t>
      </w:r>
    </w:p>
    <w:p>
      <w:pPr>
        <w:pStyle w:val="BodyText"/>
        <w:spacing w:before="43"/>
        <w:ind w:left="2569"/>
      </w:pPr>
      <w:r>
        <w:rPr>
          <w:spacing w:val="-2"/>
        </w:rPr>
        <w:t>（1）</w:t>
      </w:r>
      <w:r>
        <w:rPr>
          <w:spacing w:val="-4"/>
        </w:rPr>
        <w:t>持续性黄疸；</w:t>
      </w:r>
    </w:p>
    <w:p>
      <w:pPr>
        <w:pStyle w:val="BodyText"/>
        <w:spacing w:before="43"/>
        <w:ind w:left="2569"/>
      </w:pPr>
      <w:r>
        <w:rPr/>
        <w:t>（2）</w:t>
      </w:r>
      <w:r>
        <w:rPr>
          <w:spacing w:val="-4"/>
        </w:rPr>
        <w:t>腹水；</w:t>
      </w:r>
    </w:p>
    <w:p>
      <w:pPr>
        <w:pStyle w:val="ListParagraph"/>
        <w:numPr>
          <w:ilvl w:val="0"/>
          <w:numId w:val="18"/>
        </w:numPr>
        <w:tabs>
          <w:tab w:pos="3099" w:val="left" w:leader="none"/>
        </w:tabs>
        <w:spacing w:line="240" w:lineRule="auto" w:before="42" w:after="0"/>
        <w:ind w:left="3098" w:right="0" w:hanging="530"/>
        <w:jc w:val="left"/>
        <w:rPr>
          <w:sz w:val="21"/>
        </w:rPr>
      </w:pPr>
      <w:r>
        <w:rPr>
          <w:spacing w:val="-4"/>
          <w:sz w:val="21"/>
        </w:rPr>
        <w:t>肝性脑病；</w:t>
      </w:r>
    </w:p>
    <w:p>
      <w:pPr>
        <w:pStyle w:val="ListParagraph"/>
        <w:numPr>
          <w:ilvl w:val="0"/>
          <w:numId w:val="18"/>
        </w:numPr>
        <w:tabs>
          <w:tab w:pos="3099" w:val="left" w:leader="none"/>
        </w:tabs>
        <w:spacing w:line="278" w:lineRule="auto" w:before="43" w:after="0"/>
        <w:ind w:left="2569" w:right="2446" w:firstLine="0"/>
        <w:jc w:val="left"/>
        <w:rPr>
          <w:sz w:val="21"/>
        </w:rPr>
      </w:pPr>
      <w:r>
        <w:rPr>
          <w:spacing w:val="-2"/>
          <w:sz w:val="21"/>
        </w:rPr>
        <w:t>充血性脾肿大伴脾功能亢进或食管胃底静脉曲张。</w:t>
      </w:r>
      <w:r>
        <w:rPr>
          <w:color w:val="000000"/>
          <w:spacing w:val="-2"/>
          <w:sz w:val="21"/>
          <w:shd w:fill="D9D9D9" w:color="auto" w:val="clear"/>
        </w:rPr>
        <w:t>因酗酒或药物滥用导致的肝衰竭不在保障范围内。</w:t>
      </w:r>
    </w:p>
    <w:p>
      <w:pPr>
        <w:spacing w:after="0" w:line="278" w:lineRule="auto"/>
        <w:jc w:val="left"/>
        <w:rPr>
          <w:sz w:val="21"/>
        </w:rPr>
        <w:sectPr>
          <w:pgSz w:w="11910" w:h="16840"/>
          <w:pgMar w:top="1080" w:bottom="280" w:left="920" w:right="820"/>
        </w:sectPr>
      </w:pPr>
    </w:p>
    <w:p>
      <w:pPr>
        <w:pStyle w:val="Heading3"/>
        <w:spacing w:line="367" w:lineRule="exact"/>
      </w:pPr>
      <w:r>
        <w:rPr>
          <w:spacing w:val="-2"/>
        </w:rPr>
        <w:t>（十一）</w:t>
      </w:r>
      <w:r>
        <w:rPr>
          <w:spacing w:val="-3"/>
        </w:rPr>
        <w:t>严重脑炎后遗症或严重脑膜炎后遗症</w:t>
      </w:r>
    </w:p>
    <w:p>
      <w:pPr>
        <w:pStyle w:val="BodyText"/>
        <w:spacing w:line="278" w:lineRule="auto"/>
        <w:ind w:left="2569" w:right="301"/>
      </w:pPr>
      <w:r>
        <w:rPr>
          <w:spacing w:val="-5"/>
        </w:rPr>
        <w:t>指因患脑炎或脑膜炎导致的神经系统永久性的功能障碍。神经系统永久性的功能</w:t>
      </w:r>
      <w:r>
        <w:rPr>
          <w:spacing w:val="-2"/>
        </w:rPr>
        <w:t>障碍，指经相关专科医生确诊疾病 </w:t>
      </w:r>
      <w:r>
        <w:rPr/>
        <w:t>180</w:t>
      </w:r>
      <w:r>
        <w:rPr>
          <w:spacing w:val="-6"/>
        </w:rPr>
        <w:t> 天后，仍遗留下列至少一种障碍：</w:t>
      </w:r>
    </w:p>
    <w:p>
      <w:pPr>
        <w:pStyle w:val="ListParagraph"/>
        <w:numPr>
          <w:ilvl w:val="0"/>
          <w:numId w:val="19"/>
        </w:numPr>
        <w:tabs>
          <w:tab w:pos="3099" w:val="left" w:leader="none"/>
        </w:tabs>
        <w:spacing w:line="269" w:lineRule="exact" w:before="0" w:after="0"/>
        <w:ind w:left="3098" w:right="0" w:hanging="530"/>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19"/>
        </w:numPr>
        <w:tabs>
          <w:tab w:pos="3099" w:val="left" w:leader="none"/>
        </w:tabs>
        <w:spacing w:line="240" w:lineRule="auto" w:before="39" w:after="0"/>
        <w:ind w:left="3098" w:right="0" w:hanging="530"/>
        <w:jc w:val="left"/>
        <w:rPr>
          <w:sz w:val="21"/>
        </w:rPr>
      </w:pPr>
      <w:r>
        <w:rPr>
          <w:spacing w:val="-3"/>
          <w:sz w:val="21"/>
        </w:rPr>
        <w:t>语言能力完全丧失，或严重咀嚼吞咽功能障碍；</w:t>
      </w:r>
    </w:p>
    <w:p>
      <w:pPr>
        <w:pStyle w:val="ListParagraph"/>
        <w:numPr>
          <w:ilvl w:val="0"/>
          <w:numId w:val="19"/>
        </w:numPr>
        <w:tabs>
          <w:tab w:pos="3156" w:val="left" w:leader="none"/>
        </w:tabs>
        <w:spacing w:line="278" w:lineRule="auto" w:before="42" w:after="0"/>
        <w:ind w:left="2569" w:right="301" w:firstLine="0"/>
        <w:jc w:val="left"/>
        <w:rPr>
          <w:sz w:val="21"/>
        </w:rPr>
      </w:pPr>
      <w:r>
        <w:rPr>
          <w:sz w:val="21"/>
        </w:rPr>
        <w:t>）</w:t>
      </w:r>
      <w:r>
        <w:rPr>
          <w:spacing w:val="8"/>
          <w:sz w:val="21"/>
        </w:rPr>
        <w:t> 由具有评估资格的专科医生根据临床痴呆评定量表</w:t>
      </w:r>
      <w:r>
        <w:rPr>
          <w:sz w:val="21"/>
        </w:rPr>
        <w:t>（</w:t>
      </w:r>
      <w:r>
        <w:rPr>
          <w:spacing w:val="-86"/>
          <w:sz w:val="21"/>
        </w:rPr>
        <w:t> </w:t>
      </w:r>
      <w:r>
        <w:rPr>
          <w:sz w:val="21"/>
        </w:rPr>
        <w:t>CDR， </w:t>
      </w:r>
      <w:r>
        <w:rPr>
          <w:sz w:val="21"/>
        </w:rPr>
        <w:t>Clinical Dementia Rating）</w:t>
      </w:r>
      <w:r>
        <w:rPr>
          <w:spacing w:val="-5"/>
          <w:sz w:val="21"/>
        </w:rPr>
        <w:t>评估结果为 </w:t>
      </w:r>
      <w:r>
        <w:rPr>
          <w:sz w:val="21"/>
        </w:rPr>
        <w:t>3</w:t>
      </w:r>
      <w:r>
        <w:rPr>
          <w:spacing w:val="-10"/>
          <w:sz w:val="21"/>
        </w:rPr>
        <w:t> 分；</w:t>
      </w:r>
    </w:p>
    <w:p>
      <w:pPr>
        <w:pStyle w:val="BodyText"/>
        <w:spacing w:line="278" w:lineRule="auto"/>
        <w:ind w:left="2569" w:right="305"/>
      </w:pPr>
      <w:r>
        <w:rPr>
          <w:spacing w:val="-2"/>
        </w:rPr>
        <w:t>（4）自主生活能力完全丧失，无法独立完成六项基本日常生活活动中的三项或</w:t>
      </w:r>
      <w:r>
        <w:rPr>
          <w:spacing w:val="-2"/>
        </w:rPr>
        <w:t>三项以上。</w:t>
      </w:r>
    </w:p>
    <w:p>
      <w:pPr>
        <w:pStyle w:val="BodyText"/>
        <w:spacing w:before="1"/>
        <w:rPr>
          <w:sz w:val="19"/>
        </w:rPr>
      </w:pPr>
    </w:p>
    <w:p>
      <w:pPr>
        <w:pStyle w:val="Heading3"/>
      </w:pPr>
      <w:r>
        <w:rPr/>
        <w:t>（十二）</w:t>
      </w:r>
      <w:r>
        <w:rPr>
          <w:spacing w:val="-3"/>
        </w:rPr>
        <w:t>深度昏迷</w:t>
      </w:r>
    </w:p>
    <w:p>
      <w:pPr>
        <w:pStyle w:val="BodyText"/>
        <w:spacing w:line="245" w:lineRule="exact"/>
        <w:ind w:left="2569"/>
      </w:pPr>
      <w:r>
        <w:rPr>
          <w:spacing w:val="-5"/>
        </w:rPr>
        <w:t>指因疾病或意外伤害导致意识丧失，对外界刺激和体内需求均无反应，昏迷程度</w:t>
      </w:r>
    </w:p>
    <w:p>
      <w:pPr>
        <w:spacing w:line="31" w:lineRule="exact" w:before="0"/>
        <w:ind w:left="2607" w:right="0" w:firstLine="0"/>
        <w:jc w:val="left"/>
        <w:rPr>
          <w:sz w:val="4"/>
        </w:rPr>
      </w:pPr>
      <w:r>
        <w:rPr>
          <w:w w:val="72"/>
          <w:sz w:val="4"/>
        </w:rPr>
        <w:t>●</w:t>
      </w:r>
    </w:p>
    <w:p>
      <w:pPr>
        <w:pStyle w:val="BodyText"/>
        <w:spacing w:line="278" w:lineRule="auto" w:before="33"/>
        <w:ind w:left="2569" w:right="301"/>
      </w:pPr>
      <w:r>
        <w:rPr/>
        <w:t>按照格拉斯哥昏迷分级（GCS，Glasgow Coma Scale）</w:t>
      </w:r>
      <w:r>
        <w:rPr>
          <w:spacing w:val="-14"/>
        </w:rPr>
        <w:t>结果为 </w:t>
      </w:r>
      <w:r>
        <w:rPr/>
        <w:t>5</w:t>
      </w:r>
      <w:r>
        <w:rPr>
          <w:spacing w:val="-29"/>
        </w:rPr>
        <w:t> 分或 </w:t>
      </w:r>
      <w:r>
        <w:rPr/>
        <w:t>5</w:t>
      </w:r>
      <w:r>
        <w:rPr>
          <w:spacing w:val="-12"/>
        </w:rPr>
        <w:t> 分以下，</w:t>
      </w:r>
      <w:r>
        <w:rPr>
          <w:spacing w:val="-2"/>
        </w:rPr>
        <w:t>且已经持续使用呼吸机及其他生命维持系统 </w:t>
      </w:r>
      <w:r>
        <w:rPr/>
        <w:t>96</w:t>
      </w:r>
      <w:r>
        <w:rPr>
          <w:spacing w:val="-6"/>
        </w:rPr>
        <w:t> 小时以上。</w:t>
      </w:r>
    </w:p>
    <w:p>
      <w:pPr>
        <w:pStyle w:val="BodyText"/>
        <w:spacing w:line="269" w:lineRule="exact"/>
        <w:ind w:left="2569"/>
      </w:pPr>
      <w:r>
        <w:rPr>
          <w:color w:val="000000"/>
          <w:spacing w:val="-3"/>
          <w:shd w:fill="D9D9D9" w:color="auto" w:val="clear"/>
        </w:rPr>
        <w:t>因酗酒或药物滥用导致的深度昏迷不在保障范围内。</w:t>
      </w:r>
    </w:p>
    <w:p>
      <w:pPr>
        <w:pStyle w:val="BodyText"/>
        <w:spacing w:before="6"/>
        <w:rPr>
          <w:sz w:val="22"/>
        </w:rPr>
      </w:pPr>
    </w:p>
    <w:p>
      <w:pPr>
        <w:pStyle w:val="Heading3"/>
        <w:spacing w:line="350" w:lineRule="exact"/>
      </w:pPr>
      <w:r>
        <w:rPr/>
        <w:t>（十三）</w:t>
      </w:r>
      <w:r>
        <w:rPr>
          <w:spacing w:val="-3"/>
        </w:rPr>
        <w:t>双耳失聪</w:t>
      </w:r>
    </w:p>
    <w:p>
      <w:pPr>
        <w:pStyle w:val="BodyText"/>
        <w:spacing w:line="346" w:lineRule="exact"/>
        <w:ind w:left="2569"/>
      </w:pPr>
      <w:r>
        <w:rPr>
          <w:spacing w:val="-2"/>
        </w:rPr>
        <w:t>指因疾病或意外伤害导致双耳听力</w:t>
      </w:r>
      <w:r>
        <w:rPr>
          <w:rFonts w:ascii="微软雅黑" w:eastAsia="微软雅黑"/>
          <w:b/>
          <w:spacing w:val="-2"/>
        </w:rPr>
        <w:t>永久不可逆</w:t>
      </w:r>
      <w:r>
        <w:rPr>
          <w:spacing w:val="-2"/>
        </w:rPr>
        <w:t>（见术语释义（九</w:t>
      </w:r>
      <w:r>
        <w:rPr>
          <w:spacing w:val="-106"/>
        </w:rPr>
        <w:t>）</w:t>
      </w:r>
      <w:r>
        <w:rPr/>
        <w:t>）</w:t>
      </w:r>
      <w:r>
        <w:rPr>
          <w:spacing w:val="-4"/>
        </w:rPr>
        <w:t>性丧失，在</w:t>
      </w:r>
    </w:p>
    <w:p>
      <w:pPr>
        <w:pStyle w:val="BodyText"/>
        <w:spacing w:line="245" w:lineRule="exact"/>
        <w:ind w:left="2569"/>
      </w:pPr>
      <w:r>
        <w:rPr>
          <w:spacing w:val="-4"/>
        </w:rPr>
        <w:t>500</w:t>
      </w:r>
      <w:r>
        <w:rPr>
          <w:spacing w:val="-16"/>
        </w:rPr>
        <w:t> 赫兹、</w:t>
      </w:r>
      <w:r>
        <w:rPr>
          <w:spacing w:val="-4"/>
        </w:rPr>
        <w:t>1000</w:t>
      </w:r>
      <w:r>
        <w:rPr>
          <w:spacing w:val="-21"/>
        </w:rPr>
        <w:t> 赫兹和 </w:t>
      </w:r>
      <w:r>
        <w:rPr>
          <w:spacing w:val="-4"/>
        </w:rPr>
        <w:t>2000</w:t>
      </w:r>
      <w:r>
        <w:rPr>
          <w:spacing w:val="-13"/>
        </w:rPr>
        <w:t> 赫兹语音频率下，平均听阈大于等于 </w:t>
      </w:r>
      <w:r>
        <w:rPr>
          <w:spacing w:val="-4"/>
        </w:rPr>
        <w:t>91</w:t>
      </w:r>
      <w:r>
        <w:rPr>
          <w:spacing w:val="-13"/>
        </w:rPr>
        <w:t> 分贝，且经</w:t>
      </w:r>
    </w:p>
    <w:p>
      <w:pPr>
        <w:spacing w:line="31" w:lineRule="exact" w:before="0"/>
        <w:ind w:left="2713" w:right="0" w:firstLine="0"/>
        <w:jc w:val="left"/>
        <w:rPr>
          <w:sz w:val="4"/>
        </w:rPr>
      </w:pPr>
      <w:r>
        <w:rPr>
          <w:w w:val="72"/>
          <w:sz w:val="4"/>
        </w:rPr>
        <w:t>●</w:t>
      </w:r>
    </w:p>
    <w:p>
      <w:pPr>
        <w:pStyle w:val="BodyText"/>
        <w:spacing w:before="33"/>
        <w:ind w:left="2569"/>
      </w:pPr>
      <w:r>
        <w:rPr>
          <w:spacing w:val="-3"/>
        </w:rPr>
        <w:t>纯音听力测试、声导抗检测或听觉诱发电位检测等证实。</w:t>
      </w:r>
    </w:p>
    <w:p>
      <w:pPr>
        <w:pStyle w:val="BodyText"/>
        <w:spacing w:line="278" w:lineRule="auto" w:before="43"/>
        <w:ind w:left="2569" w:right="301"/>
      </w:pPr>
      <w:r>
        <w:rPr>
          <w:color w:val="000000"/>
          <w:spacing w:val="-3"/>
          <w:shd w:fill="D9D9D9" w:color="auto" w:val="clear"/>
        </w:rPr>
        <w:t>被保险人申请理赔时年龄必须在 </w:t>
      </w:r>
      <w:r>
        <w:rPr>
          <w:color w:val="000000"/>
          <w:shd w:fill="D9D9D9" w:color="auto" w:val="clear"/>
        </w:rPr>
        <w:t>3</w:t>
      </w:r>
      <w:r>
        <w:rPr>
          <w:color w:val="000000"/>
          <w:spacing w:val="-11"/>
          <w:shd w:fill="D9D9D9" w:color="auto" w:val="clear"/>
        </w:rPr>
        <w:t> 周岁以上,并且提供 </w:t>
      </w:r>
      <w:r>
        <w:rPr>
          <w:color w:val="000000"/>
          <w:shd w:fill="D9D9D9" w:color="auto" w:val="clear"/>
        </w:rPr>
        <w:t>3</w:t>
      </w:r>
      <w:r>
        <w:rPr>
          <w:color w:val="000000"/>
          <w:spacing w:val="-7"/>
          <w:shd w:fill="D9D9D9" w:color="auto" w:val="clear"/>
        </w:rPr>
        <w:t> 周岁以后的听力丧失诊</w:t>
      </w:r>
      <w:r>
        <w:rPr>
          <w:color w:val="000000"/>
          <w:spacing w:val="80"/>
          <w:w w:val="150"/>
          <w:shd w:fill="D9D9D9" w:color="auto" w:val="clear"/>
        </w:rPr>
        <w:t>                                       </w:t>
      </w:r>
      <w:r>
        <w:rPr>
          <w:color w:val="000000"/>
          <w:spacing w:val="-2"/>
          <w:shd w:fill="D9D9D9" w:color="auto" w:val="clear"/>
        </w:rPr>
        <w:t>断及检查证明。</w:t>
      </w:r>
    </w:p>
    <w:p>
      <w:pPr>
        <w:pStyle w:val="BodyText"/>
        <w:spacing w:before="1"/>
        <w:rPr>
          <w:sz w:val="19"/>
        </w:rPr>
      </w:pPr>
    </w:p>
    <w:p>
      <w:pPr>
        <w:pStyle w:val="Heading3"/>
      </w:pPr>
      <w:r>
        <w:rPr/>
        <w:t>（十四）</w:t>
      </w:r>
      <w:r>
        <w:rPr>
          <w:spacing w:val="-3"/>
        </w:rPr>
        <w:t>双目失明</w:t>
      </w:r>
    </w:p>
    <w:p>
      <w:pPr>
        <w:pStyle w:val="BodyText"/>
        <w:spacing w:line="278" w:lineRule="auto"/>
        <w:ind w:left="2569" w:right="301"/>
      </w:pPr>
      <w:r>
        <w:rPr>
          <w:spacing w:val="-5"/>
        </w:rPr>
        <w:t>指因疾病或意外伤害导致双眼视力永久不可逆性丧失，双眼中较好眼须满足下列</w:t>
      </w:r>
      <w:r>
        <w:rPr>
          <w:spacing w:val="-2"/>
        </w:rPr>
        <w:t>至少一项条件：</w:t>
      </w:r>
    </w:p>
    <w:p>
      <w:pPr>
        <w:pStyle w:val="ListParagraph"/>
        <w:numPr>
          <w:ilvl w:val="0"/>
          <w:numId w:val="20"/>
        </w:numPr>
        <w:tabs>
          <w:tab w:pos="3099" w:val="left" w:leader="none"/>
        </w:tabs>
        <w:spacing w:line="269" w:lineRule="exact" w:before="0" w:after="0"/>
        <w:ind w:left="3098" w:right="0" w:hanging="530"/>
        <w:jc w:val="left"/>
        <w:rPr>
          <w:sz w:val="21"/>
        </w:rPr>
      </w:pPr>
      <w:r>
        <w:rPr>
          <w:spacing w:val="-4"/>
          <w:sz w:val="21"/>
        </w:rPr>
        <w:t>眼球缺失或摘除；</w:t>
      </w:r>
    </w:p>
    <w:p>
      <w:pPr>
        <w:pStyle w:val="ListParagraph"/>
        <w:numPr>
          <w:ilvl w:val="0"/>
          <w:numId w:val="20"/>
        </w:numPr>
        <w:tabs>
          <w:tab w:pos="3099" w:val="left" w:leader="none"/>
        </w:tabs>
        <w:spacing w:line="278" w:lineRule="auto" w:before="39" w:after="0"/>
        <w:ind w:left="2569" w:right="301" w:firstLine="0"/>
        <w:jc w:val="left"/>
        <w:rPr>
          <w:sz w:val="21"/>
        </w:rPr>
      </w:pPr>
      <w:r>
        <w:rPr>
          <w:spacing w:val="-8"/>
          <w:sz w:val="21"/>
        </w:rPr>
        <w:t>矫正视力低于 </w:t>
      </w:r>
      <w:r>
        <w:rPr>
          <w:spacing w:val="-2"/>
          <w:sz w:val="21"/>
        </w:rPr>
        <w:t>0.02（采用国际标准视力表，如果使用其他视力表应进行换</w:t>
      </w:r>
      <w:r>
        <w:rPr>
          <w:spacing w:val="-10"/>
          <w:sz w:val="21"/>
        </w:rPr>
        <w:t>算</w:t>
      </w:r>
      <w:r>
        <w:rPr>
          <w:spacing w:val="-106"/>
          <w:sz w:val="21"/>
        </w:rPr>
        <w:t>）</w:t>
      </w:r>
      <w:r>
        <w:rPr>
          <w:sz w:val="21"/>
        </w:rPr>
        <w:t>；</w:t>
      </w:r>
    </w:p>
    <w:p>
      <w:pPr>
        <w:pStyle w:val="ListParagraph"/>
        <w:numPr>
          <w:ilvl w:val="0"/>
          <w:numId w:val="20"/>
        </w:numPr>
        <w:tabs>
          <w:tab w:pos="3099" w:val="left" w:leader="none"/>
        </w:tabs>
        <w:spacing w:line="269" w:lineRule="exact" w:before="0" w:after="0"/>
        <w:ind w:left="3098" w:right="0" w:hanging="530"/>
        <w:jc w:val="left"/>
        <w:rPr>
          <w:sz w:val="21"/>
        </w:rPr>
      </w:pPr>
      <w:r>
        <w:rPr>
          <w:spacing w:val="-9"/>
          <w:sz w:val="21"/>
        </w:rPr>
        <w:t>视野半径小于 </w:t>
      </w:r>
      <w:r>
        <w:rPr>
          <w:spacing w:val="-2"/>
          <w:sz w:val="21"/>
        </w:rPr>
        <w:t>5</w:t>
      </w:r>
      <w:r>
        <w:rPr>
          <w:spacing w:val="-22"/>
          <w:sz w:val="21"/>
        </w:rPr>
        <w:t> 度。</w:t>
      </w:r>
    </w:p>
    <w:p>
      <w:pPr>
        <w:pStyle w:val="BodyText"/>
        <w:spacing w:before="43"/>
        <w:ind w:left="2569"/>
      </w:pPr>
      <w:r>
        <w:rPr/>
        <w:drawing>
          <wp:anchor distT="0" distB="0" distL="0" distR="0" allowOverlap="1" layoutInCell="1" locked="0" behindDoc="1" simplePos="0" relativeHeight="485627392">
            <wp:simplePos x="0" y="0"/>
            <wp:positionH relativeFrom="page">
              <wp:posOffset>2215895</wp:posOffset>
            </wp:positionH>
            <wp:positionV relativeFrom="paragraph">
              <wp:posOffset>221676</wp:posOffset>
            </wp:positionV>
            <wp:extent cx="932688" cy="176784"/>
            <wp:effectExtent l="0" t="0" r="0" b="0"/>
            <wp:wrapNone/>
            <wp:docPr id="43" name="image12.png"/>
            <wp:cNvGraphicFramePr>
              <a:graphicFrameLocks noChangeAspect="1"/>
            </wp:cNvGraphicFramePr>
            <a:graphic>
              <a:graphicData uri="http://schemas.openxmlformats.org/drawingml/2006/picture">
                <pic:pic>
                  <pic:nvPicPr>
                    <pic:cNvPr id="44" name="image12.png"/>
                    <pic:cNvPicPr/>
                  </pic:nvPicPr>
                  <pic:blipFill>
                    <a:blip r:embed="rId16" cstate="print"/>
                    <a:stretch>
                      <a:fillRect/>
                    </a:stretch>
                  </pic:blipFill>
                  <pic:spPr>
                    <a:xfrm>
                      <a:off x="0" y="0"/>
                      <a:ext cx="932688" cy="176784"/>
                    </a:xfrm>
                    <a:prstGeom prst="rect">
                      <a:avLst/>
                    </a:prstGeom>
                  </pic:spPr>
                </pic:pic>
              </a:graphicData>
            </a:graphic>
          </wp:anchor>
        </w:drawing>
      </w:r>
      <w:r>
        <w:rPr/>
        <w:pict>
          <v:shape style="position:absolute;margin-left:174.479996pt;margin-top:17.454805pt;width:73.45pt;height:13.95pt;mso-position-horizontal-relative:page;mso-position-vertical-relative:paragraph;z-index:-15666176;mso-wrap-distance-left:0;mso-wrap-distance-right:0" type="#_x0000_t202" id="docshape101" filled="false" stroked="false">
            <v:textbox inset="0,0,0,0">
              <w:txbxContent>
                <w:p>
                  <w:pPr>
                    <w:pStyle w:val="BodyText"/>
                    <w:spacing w:line="248" w:lineRule="exact" w:before="6"/>
                    <w:ind w:right="-15"/>
                  </w:pPr>
                  <w:r>
                    <w:rPr>
                      <w:spacing w:val="-4"/>
                    </w:rPr>
                    <w:t>断及检查证明。</w:t>
                  </w:r>
                </w:p>
                <w:p>
                  <w:pPr>
                    <w:spacing w:line="24" w:lineRule="exact" w:before="0"/>
                    <w:ind w:left="38" w:right="0" w:firstLine="0"/>
                    <w:jc w:val="left"/>
                    <w:rPr>
                      <w:sz w:val="4"/>
                    </w:rPr>
                  </w:pPr>
                  <w:r>
                    <w:rPr>
                      <w:w w:val="72"/>
                      <w:sz w:val="4"/>
                    </w:rPr>
                    <w:t>●</w:t>
                  </w:r>
                </w:p>
              </w:txbxContent>
            </v:textbox>
            <w10:wrap type="topAndBottom"/>
          </v:shape>
        </w:pict>
      </w:r>
      <w:r>
        <w:rPr>
          <w:color w:val="000000"/>
          <w:spacing w:val="-5"/>
          <w:shd w:fill="D9D9D9" w:color="auto" w:val="clear"/>
        </w:rPr>
        <w:t>被保险人申请理赔时年龄必须在 </w:t>
      </w:r>
      <w:r>
        <w:rPr>
          <w:color w:val="000000"/>
          <w:spacing w:val="-2"/>
          <w:shd w:fill="D9D9D9" w:color="auto" w:val="clear"/>
        </w:rPr>
        <w:t>3</w:t>
      </w:r>
      <w:r>
        <w:rPr>
          <w:color w:val="000000"/>
          <w:spacing w:val="-11"/>
          <w:shd w:fill="D9D9D9" w:color="auto" w:val="clear"/>
        </w:rPr>
        <w:t> 周岁以上,并且提供 </w:t>
      </w:r>
      <w:r>
        <w:rPr>
          <w:color w:val="000000"/>
          <w:spacing w:val="-2"/>
          <w:shd w:fill="D9D9D9" w:color="auto" w:val="clear"/>
        </w:rPr>
        <w:t>3</w:t>
      </w:r>
      <w:r>
        <w:rPr>
          <w:color w:val="000000"/>
          <w:spacing w:val="-9"/>
          <w:shd w:fill="D9D9D9" w:color="auto" w:val="clear"/>
        </w:rPr>
        <w:t> 周岁以后的视力丧失诊</w:t>
      </w:r>
    </w:p>
    <w:p>
      <w:pPr>
        <w:pStyle w:val="BodyText"/>
        <w:spacing w:before="10"/>
      </w:pPr>
    </w:p>
    <w:p>
      <w:pPr>
        <w:pStyle w:val="Heading3"/>
        <w:spacing w:before="5"/>
      </w:pPr>
      <w:r>
        <w:rPr/>
        <w:t>（十五）</w:t>
      </w:r>
      <w:r>
        <w:rPr>
          <w:spacing w:val="-5"/>
        </w:rPr>
        <w:t>瘫痪</w:t>
      </w:r>
    </w:p>
    <w:p>
      <w:pPr>
        <w:pStyle w:val="BodyText"/>
        <w:spacing w:line="278" w:lineRule="auto"/>
        <w:ind w:left="2569" w:right="301"/>
      </w:pPr>
      <w:r>
        <w:rPr>
          <w:spacing w:val="-4"/>
        </w:rPr>
        <w:t>指因疾病或意外伤害导致两肢或两肢以上肢体随意运动功能永久完全丧失。肢体</w:t>
      </w:r>
      <w:r>
        <w:rPr>
          <w:spacing w:val="-7"/>
        </w:rPr>
        <w:t>随意运动功能永久完全丧失，指疾病确诊 </w:t>
      </w:r>
      <w:r>
        <w:rPr>
          <w:spacing w:val="-4"/>
        </w:rPr>
        <w:t>180</w:t>
      </w:r>
      <w:r>
        <w:rPr>
          <w:spacing w:val="-14"/>
        </w:rPr>
        <w:t> 天后或意外伤害发生 </w:t>
      </w:r>
      <w:r>
        <w:rPr>
          <w:spacing w:val="-4"/>
        </w:rPr>
        <w:t>180</w:t>
      </w:r>
      <w:r>
        <w:rPr>
          <w:spacing w:val="-14"/>
        </w:rPr>
        <w:t> 天后，每</w:t>
      </w:r>
    </w:p>
    <w:p>
      <w:pPr>
        <w:pStyle w:val="BodyText"/>
        <w:spacing w:line="269" w:lineRule="exact"/>
        <w:ind w:left="2569"/>
      </w:pPr>
      <w:r>
        <w:rPr>
          <w:spacing w:val="-4"/>
        </w:rPr>
        <w:t>肢三大关节中的两大关节仍然完全僵硬，或肢体肌力在 </w:t>
      </w:r>
      <w:r>
        <w:rPr>
          <w:spacing w:val="-2"/>
        </w:rPr>
        <w:t>2</w:t>
      </w:r>
      <w:r>
        <w:rPr>
          <w:spacing w:val="-21"/>
        </w:rPr>
        <w:t> 级</w:t>
      </w:r>
      <w:r>
        <w:rPr>
          <w:spacing w:val="-2"/>
        </w:rPr>
        <w:t>（含）</w:t>
      </w:r>
      <w:r>
        <w:rPr>
          <w:spacing w:val="-5"/>
        </w:rPr>
        <w:t>以下。</w:t>
      </w:r>
    </w:p>
    <w:p>
      <w:pPr>
        <w:pStyle w:val="BodyText"/>
        <w:spacing w:before="2"/>
        <w:rPr>
          <w:sz w:val="22"/>
        </w:rPr>
      </w:pPr>
    </w:p>
    <w:p>
      <w:pPr>
        <w:pStyle w:val="Heading3"/>
      </w:pPr>
      <w:r>
        <w:rPr/>
        <w:t>（十六）</w:t>
      </w:r>
      <w:r>
        <w:rPr>
          <w:spacing w:val="-2"/>
        </w:rPr>
        <w:t>心脏瓣膜手术</w:t>
      </w:r>
    </w:p>
    <w:p>
      <w:pPr>
        <w:pStyle w:val="BodyText"/>
        <w:spacing w:line="278" w:lineRule="auto"/>
        <w:ind w:left="2569" w:right="301"/>
      </w:pPr>
      <w:r>
        <w:rPr>
          <w:w w:val="100"/>
        </w:rPr>
        <w:t>指为治疗心脏瓣膜疾病，已经实施了切开心脏进行的心脏瓣膜置换或修复的手术。</w:t>
      </w:r>
    </w:p>
    <w:p>
      <w:pPr>
        <w:pStyle w:val="BodyText"/>
        <w:ind w:left="2569"/>
      </w:pPr>
      <w:r>
        <w:rPr>
          <w:color w:val="000000"/>
          <w:spacing w:val="-3"/>
          <w:shd w:fill="D9D9D9" w:color="auto" w:val="clear"/>
        </w:rPr>
        <w:t>所有未切开心脏的心脏瓣膜介入手术不在保障范围内。</w:t>
      </w:r>
    </w:p>
    <w:p>
      <w:pPr>
        <w:pStyle w:val="BodyText"/>
        <w:spacing w:before="1"/>
        <w:rPr>
          <w:sz w:val="22"/>
        </w:rPr>
      </w:pPr>
    </w:p>
    <w:p>
      <w:pPr>
        <w:pStyle w:val="Heading3"/>
        <w:spacing w:before="1"/>
      </w:pPr>
      <w:r>
        <w:rPr/>
        <w:t>（十七）</w:t>
      </w:r>
      <w:r>
        <w:rPr>
          <w:spacing w:val="-2"/>
        </w:rPr>
        <w:t>严重阿尔茨海默病</w:t>
      </w:r>
    </w:p>
    <w:p>
      <w:pPr>
        <w:pStyle w:val="BodyText"/>
        <w:spacing w:line="265" w:lineRule="exact"/>
        <w:ind w:left="2569"/>
      </w:pPr>
      <w:r>
        <w:rPr>
          <w:spacing w:val="-5"/>
        </w:rPr>
        <w:t>指因大脑进行性、不可逆性改变导致智能严重衰退或丧失，临床表现为严重的认</w:t>
      </w:r>
    </w:p>
    <w:p>
      <w:pPr>
        <w:spacing w:after="0" w:line="265" w:lineRule="exact"/>
        <w:sectPr>
          <w:pgSz w:w="11910" w:h="16840"/>
          <w:pgMar w:top="1400" w:bottom="280" w:left="920" w:right="820"/>
        </w:sectPr>
      </w:pPr>
    </w:p>
    <w:p>
      <w:pPr>
        <w:pStyle w:val="BodyText"/>
        <w:spacing w:line="278" w:lineRule="auto" w:before="59"/>
        <w:ind w:left="2569" w:right="200"/>
      </w:pPr>
      <w:r>
        <w:rPr>
          <w:spacing w:val="-2"/>
        </w:rPr>
        <w:t>知功能障碍、精神行为异常和社交能力减退等，其日常生活必须持续受到他人监</w:t>
      </w:r>
      <w:r>
        <w:rPr>
          <w:spacing w:val="-10"/>
        </w:rPr>
        <w:t>护。须由头颅断层扫描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等影像学检查证实，并经相关专科医生确诊，且须满足下列至少一项条件：</w:t>
      </w:r>
    </w:p>
    <w:p>
      <w:pPr>
        <w:pStyle w:val="BodyText"/>
        <w:spacing w:line="278" w:lineRule="auto"/>
        <w:ind w:left="2569"/>
      </w:pPr>
      <w:r>
        <w:rPr/>
        <w:t>（</w:t>
      </w:r>
      <w:r>
        <w:rPr>
          <w:spacing w:val="-80"/>
        </w:rPr>
        <w:t> </w:t>
      </w:r>
      <w:r>
        <w:rPr/>
        <w:t>1</w:t>
      </w:r>
      <w:r>
        <w:rPr>
          <w:spacing w:val="-80"/>
        </w:rPr>
        <w:t> </w:t>
      </w:r>
      <w:r>
        <w:rPr/>
        <w:t>）</w:t>
      </w:r>
      <w:r>
        <w:rPr>
          <w:spacing w:val="8"/>
        </w:rPr>
        <w:t> 由具有评估资格的专科医生根据临床痴呆评定量表</w:t>
      </w:r>
      <w:r>
        <w:rPr/>
        <w:t>（</w:t>
      </w:r>
      <w:r>
        <w:rPr>
          <w:spacing w:val="-80"/>
        </w:rPr>
        <w:t> </w:t>
      </w:r>
      <w:r>
        <w:rPr/>
        <w:t>CDR</w:t>
      </w:r>
      <w:r>
        <w:rPr>
          <w:spacing w:val="-40"/>
        </w:rPr>
        <w:t>， </w:t>
      </w:r>
      <w:r>
        <w:rPr/>
        <w:t>Clinical Dementia Rating）</w:t>
      </w:r>
      <w:r>
        <w:rPr>
          <w:spacing w:val="-3"/>
        </w:rPr>
        <w:t>评估结果为 </w:t>
      </w:r>
      <w:r>
        <w:rPr/>
        <w:t>3</w:t>
      </w:r>
      <w:r>
        <w:rPr>
          <w:spacing w:val="-5"/>
        </w:rPr>
        <w:t> 分；</w:t>
      </w:r>
    </w:p>
    <w:p>
      <w:pPr>
        <w:pStyle w:val="BodyText"/>
        <w:spacing w:line="278" w:lineRule="auto"/>
        <w:ind w:left="2569" w:right="305"/>
      </w:pPr>
      <w:r>
        <w:rPr>
          <w:spacing w:val="-2"/>
        </w:rPr>
        <w:t>（2）自主生活能力完全丧失，无法独立完成六项基本日常生活活动中的三项或</w:t>
      </w:r>
      <w:r>
        <w:rPr>
          <w:spacing w:val="-2"/>
        </w:rPr>
        <w:t>三项以上。</w:t>
      </w:r>
    </w:p>
    <w:p>
      <w:pPr>
        <w:pStyle w:val="BodyText"/>
        <w:ind w:left="2569"/>
      </w:pPr>
      <w:r>
        <w:rPr>
          <w:color w:val="000000"/>
          <w:spacing w:val="-3"/>
          <w:shd w:fill="D9D9D9" w:color="auto" w:val="clear"/>
        </w:rPr>
        <w:t>阿尔茨海默病之外的其他类型痴呆不在保障范围内。</w:t>
      </w:r>
    </w:p>
    <w:p>
      <w:pPr>
        <w:pStyle w:val="BodyText"/>
        <w:spacing w:before="5"/>
        <w:rPr>
          <w:sz w:val="22"/>
        </w:rPr>
      </w:pPr>
    </w:p>
    <w:p>
      <w:pPr>
        <w:pStyle w:val="Heading3"/>
      </w:pPr>
      <w:r>
        <w:rPr/>
        <w:t>（十八）</w:t>
      </w:r>
      <w:r>
        <w:rPr>
          <w:spacing w:val="-2"/>
        </w:rPr>
        <w:t>严重脑损伤</w:t>
      </w:r>
    </w:p>
    <w:p>
      <w:pPr>
        <w:pStyle w:val="BodyText"/>
        <w:spacing w:line="278" w:lineRule="auto"/>
        <w:ind w:left="2569" w:right="200"/>
      </w:pPr>
      <w:r>
        <w:rPr>
          <w:spacing w:val="-2"/>
        </w:rPr>
        <w:t>指因头部遭受机械性外力，引起脑重要部位损伤，导致神经系统永久性的功能障</w:t>
      </w:r>
      <w:r>
        <w:rPr>
          <w:spacing w:val="-10"/>
        </w:rPr>
        <w:t>碍。须由头颅断层扫描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等影像学检查证实。神经系统永久性的功能障碍，指脑损伤 </w:t>
      </w:r>
      <w:r>
        <w:rPr/>
        <w:t>180</w:t>
      </w:r>
      <w:r>
        <w:rPr>
          <w:spacing w:val="-8"/>
        </w:rPr>
        <w:t> 天后，仍遗留下</w:t>
      </w:r>
      <w:r>
        <w:rPr>
          <w:spacing w:val="-2"/>
        </w:rPr>
        <w:t>列至少一种障碍：</w:t>
      </w:r>
    </w:p>
    <w:p>
      <w:pPr>
        <w:pStyle w:val="ListParagraph"/>
        <w:numPr>
          <w:ilvl w:val="0"/>
          <w:numId w:val="21"/>
        </w:numPr>
        <w:tabs>
          <w:tab w:pos="3099" w:val="left" w:leader="none"/>
        </w:tabs>
        <w:spacing w:line="268" w:lineRule="exact" w:before="0" w:after="0"/>
        <w:ind w:left="3098" w:right="0" w:hanging="530"/>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21"/>
        </w:numPr>
        <w:tabs>
          <w:tab w:pos="3099" w:val="left" w:leader="none"/>
        </w:tabs>
        <w:spacing w:line="240" w:lineRule="auto" w:before="39" w:after="0"/>
        <w:ind w:left="3098" w:right="0" w:hanging="530"/>
        <w:jc w:val="left"/>
        <w:rPr>
          <w:sz w:val="21"/>
        </w:rPr>
      </w:pPr>
      <w:r>
        <w:rPr>
          <w:spacing w:val="-3"/>
          <w:sz w:val="21"/>
        </w:rPr>
        <w:t>语言能力完全丧失，或严重咀嚼吞咽功能障碍；</w:t>
      </w:r>
    </w:p>
    <w:p>
      <w:pPr>
        <w:pStyle w:val="BodyText"/>
        <w:spacing w:line="278" w:lineRule="auto" w:before="43"/>
        <w:ind w:left="2569" w:right="305"/>
      </w:pPr>
      <w:r>
        <w:rPr>
          <w:spacing w:val="-2"/>
        </w:rPr>
        <w:t>（3）自主生活能力完全丧失，无法独立完成六项基本日常生活活动中的三项或</w:t>
      </w:r>
      <w:r>
        <w:rPr>
          <w:spacing w:val="-2"/>
        </w:rPr>
        <w:t>三项以上。</w:t>
      </w:r>
    </w:p>
    <w:p>
      <w:pPr>
        <w:pStyle w:val="BodyText"/>
        <w:spacing w:before="1"/>
        <w:rPr>
          <w:sz w:val="19"/>
        </w:rPr>
      </w:pPr>
    </w:p>
    <w:p>
      <w:pPr>
        <w:pStyle w:val="Heading3"/>
      </w:pPr>
      <w:r>
        <w:rPr/>
        <w:t>（十九）</w:t>
      </w:r>
      <w:r>
        <w:rPr>
          <w:spacing w:val="-2"/>
        </w:rPr>
        <w:t>严重原发性帕金森病</w:t>
      </w:r>
    </w:p>
    <w:p>
      <w:pPr>
        <w:pStyle w:val="BodyText"/>
        <w:spacing w:line="278" w:lineRule="auto"/>
        <w:ind w:left="2569" w:right="301"/>
        <w:jc w:val="both"/>
      </w:pPr>
      <w:r>
        <w:rPr>
          <w:spacing w:val="-2"/>
        </w:rPr>
        <w:t>是一种中枢神经系统的退行性疾病，临床表现为运动迟缓、静止性震颤或肌强直等。经相关专科医生确诊，且须满足自主生活能力完全丧失，无法独立完成六项</w:t>
      </w:r>
      <w:r>
        <w:rPr>
          <w:spacing w:val="-2"/>
        </w:rPr>
        <w:t>基本日常生活活动中的三项或三项以上。</w:t>
      </w:r>
    </w:p>
    <w:p>
      <w:pPr>
        <w:pStyle w:val="BodyText"/>
        <w:ind w:left="2569"/>
      </w:pPr>
      <w:r>
        <w:rPr>
          <w:color w:val="000000"/>
          <w:spacing w:val="-3"/>
          <w:shd w:fill="D9D9D9" w:color="auto" w:val="clear"/>
        </w:rPr>
        <w:t>继发性帕金森综合征、帕金森叠加综合征不在保障范围内。</w:t>
      </w:r>
    </w:p>
    <w:p>
      <w:pPr>
        <w:pStyle w:val="BodyText"/>
        <w:spacing w:before="2"/>
        <w:rPr>
          <w:sz w:val="22"/>
        </w:rPr>
      </w:pPr>
    </w:p>
    <w:p>
      <w:pPr>
        <w:pStyle w:val="Heading3"/>
      </w:pPr>
      <w:r>
        <w:rPr/>
        <w:t>（二十）</w:t>
      </w:r>
      <w:r>
        <w:rPr>
          <w:spacing w:val="-2"/>
        </w:rPr>
        <w:t>严重Ⅲ度烧伤</w:t>
      </w:r>
    </w:p>
    <w:p>
      <w:pPr>
        <w:pStyle w:val="BodyText"/>
        <w:spacing w:line="278" w:lineRule="auto"/>
        <w:ind w:left="2569" w:right="301"/>
        <w:jc w:val="both"/>
      </w:pPr>
      <w:r>
        <w:rPr>
          <w:spacing w:val="-3"/>
        </w:rPr>
        <w:t>指烧伤程度为Ⅲ度，且Ⅲ度烧伤的面积达到全身体表面积的 </w:t>
      </w:r>
      <w:r>
        <w:rPr>
          <w:spacing w:val="-2"/>
        </w:rPr>
        <w:t>20％</w:t>
      </w:r>
      <w:r>
        <w:rPr>
          <w:spacing w:val="-6"/>
        </w:rPr>
        <w:t>或 </w:t>
      </w:r>
      <w:r>
        <w:rPr>
          <w:spacing w:val="-2"/>
        </w:rPr>
        <w:t>20％以上。</w:t>
      </w:r>
      <w:r>
        <w:rPr>
          <w:spacing w:val="-2"/>
        </w:rPr>
        <w:t>体表面积根据《中国新九分法》计算。</w:t>
      </w:r>
    </w:p>
    <w:p>
      <w:pPr>
        <w:pStyle w:val="BodyText"/>
        <w:spacing w:before="10"/>
        <w:rPr>
          <w:sz w:val="18"/>
        </w:rPr>
      </w:pPr>
    </w:p>
    <w:p>
      <w:pPr>
        <w:pStyle w:val="Heading3"/>
      </w:pPr>
      <w:r>
        <w:rPr/>
        <w:t>（二十一）</w:t>
      </w:r>
      <w:r>
        <w:rPr>
          <w:spacing w:val="-1"/>
        </w:rPr>
        <w:t>严重特发性肺动脉高压</w:t>
      </w:r>
    </w:p>
    <w:p>
      <w:pPr>
        <w:spacing w:line="206" w:lineRule="auto" w:before="25"/>
        <w:ind w:left="2569" w:right="301" w:firstLine="0"/>
        <w:jc w:val="both"/>
        <w:rPr>
          <w:sz w:val="21"/>
        </w:rPr>
      </w:pPr>
      <w:r>
        <w:rPr>
          <w:spacing w:val="-2"/>
          <w:sz w:val="21"/>
        </w:rPr>
        <w:t>指不明原因的肺动脉压力持续性增高，进行性发展而导致的慢性疾病，已经造成</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w:t>
      </w:r>
      <w:r>
        <w:rPr>
          <w:w w:val="95"/>
          <w:sz w:val="21"/>
        </w:rPr>
        <w:t>达</w:t>
      </w:r>
      <w:r>
        <w:rPr>
          <w:w w:val="95"/>
          <w:sz w:val="21"/>
        </w:rPr>
        <w:t>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会（New York Heart </w:t>
      </w:r>
      <w:r>
        <w:rPr>
          <w:rFonts w:ascii="微软雅黑" w:eastAsia="微软雅黑"/>
          <w:b/>
          <w:spacing w:val="-4"/>
          <w:w w:val="95"/>
          <w:sz w:val="21"/>
        </w:rPr>
        <w:t>Association，NYHA）</w:t>
      </w:r>
      <w:r>
        <w:rPr>
          <w:rFonts w:ascii="微软雅黑" w:eastAsia="微软雅黑"/>
          <w:b/>
          <w:spacing w:val="-4"/>
          <w:w w:val="95"/>
          <w:sz w:val="21"/>
        </w:rPr>
        <w:t>心</w:t>
      </w:r>
      <w:r>
        <w:rPr>
          <w:rFonts w:ascii="微软雅黑" w:eastAsia="微软雅黑"/>
          <w:b/>
          <w:spacing w:val="-4"/>
          <w:w w:val="95"/>
          <w:sz w:val="21"/>
        </w:rPr>
        <w:t>功</w:t>
      </w:r>
      <w:r>
        <w:rPr>
          <w:rFonts w:ascii="微软雅黑" w:eastAsia="微软雅黑"/>
          <w:b/>
          <w:spacing w:val="-4"/>
          <w:w w:val="95"/>
          <w:sz w:val="21"/>
        </w:rPr>
        <w:t>能</w:t>
      </w:r>
      <w:r>
        <w:rPr>
          <w:rFonts w:ascii="微软雅黑" w:eastAsia="微软雅黑"/>
          <w:b/>
          <w:spacing w:val="-4"/>
          <w:w w:val="95"/>
          <w:sz w:val="21"/>
        </w:rPr>
        <w:t>状</w:t>
      </w:r>
      <w:r>
        <w:rPr>
          <w:rFonts w:ascii="微软雅黑" w:eastAsia="微软雅黑"/>
          <w:b/>
          <w:spacing w:val="-4"/>
          <w:w w:val="95"/>
          <w:sz w:val="21"/>
        </w:rPr>
        <w:t>态</w:t>
      </w:r>
      <w:r>
        <w:rPr>
          <w:rFonts w:ascii="微软雅黑" w:eastAsia="微软雅黑"/>
          <w:b/>
          <w:spacing w:val="-4"/>
          <w:w w:val="95"/>
          <w:sz w:val="21"/>
        </w:rPr>
        <w:t>分</w:t>
      </w:r>
      <w:r>
        <w:rPr>
          <w:rFonts w:ascii="微软雅黑" w:eastAsia="微软雅黑"/>
          <w:b/>
          <w:spacing w:val="-4"/>
          <w:w w:val="95"/>
          <w:sz w:val="21"/>
        </w:rPr>
        <w:t>级</w:t>
      </w:r>
      <w:r>
        <w:rPr>
          <w:spacing w:val="-4"/>
          <w:w w:val="95"/>
          <w:sz w:val="21"/>
        </w:rPr>
        <w:t>（</w:t>
      </w:r>
      <w:r>
        <w:rPr>
          <w:spacing w:val="-4"/>
          <w:w w:val="95"/>
          <w:sz w:val="21"/>
        </w:rPr>
        <w:t>见</w:t>
      </w:r>
      <w:r>
        <w:rPr>
          <w:spacing w:val="-4"/>
          <w:w w:val="95"/>
          <w:sz w:val="21"/>
        </w:rPr>
        <w:t>术</w:t>
      </w:r>
      <w:r>
        <w:rPr>
          <w:spacing w:val="-4"/>
          <w:w w:val="95"/>
          <w:sz w:val="21"/>
        </w:rPr>
        <w:t>语释义（十</w:t>
      </w:r>
      <w:r>
        <w:rPr>
          <w:spacing w:val="-78"/>
          <w:w w:val="95"/>
          <w:sz w:val="21"/>
        </w:rPr>
        <w:t>）</w:t>
      </w:r>
      <w:r>
        <w:rPr>
          <w:spacing w:val="4"/>
          <w:w w:val="95"/>
          <w:sz w:val="21"/>
        </w:rPr>
        <w:t>）</w:t>
      </w:r>
      <w:r>
        <w:rPr>
          <w:spacing w:val="28"/>
          <w:w w:val="95"/>
          <w:sz w:val="21"/>
        </w:rPr>
        <w:t>IV</w:t>
      </w:r>
      <w:r>
        <w:rPr>
          <w:spacing w:val="-13"/>
          <w:w w:val="95"/>
          <w:sz w:val="21"/>
        </w:rPr>
        <w:t> 级，且静</w:t>
      </w:r>
      <w:r>
        <w:rPr>
          <w:spacing w:val="-4"/>
          <w:w w:val="95"/>
          <w:sz w:val="21"/>
        </w:rPr>
        <w:t>息</w:t>
      </w:r>
      <w:r>
        <w:rPr>
          <w:spacing w:val="-4"/>
          <w:w w:val="95"/>
          <w:sz w:val="21"/>
        </w:rPr>
        <w:t>状</w:t>
      </w:r>
      <w:r>
        <w:rPr>
          <w:spacing w:val="-4"/>
          <w:w w:val="95"/>
          <w:sz w:val="21"/>
        </w:rPr>
        <w:t>态</w:t>
      </w:r>
      <w:r>
        <w:rPr>
          <w:spacing w:val="-10"/>
          <w:w w:val="95"/>
          <w:sz w:val="21"/>
        </w:rPr>
        <w:t>下</w:t>
      </w:r>
    </w:p>
    <w:p>
      <w:pPr>
        <w:pStyle w:val="BodyText"/>
        <w:spacing w:before="10"/>
        <w:ind w:left="2569"/>
        <w:jc w:val="both"/>
      </w:pPr>
      <w:r>
        <w:rPr>
          <w:spacing w:val="-6"/>
        </w:rPr>
        <w:t>肺动脉平均压在 </w:t>
      </w:r>
      <w:r>
        <w:rPr>
          <w:spacing w:val="-2"/>
        </w:rPr>
        <w:t>36mmHg（含）</w:t>
      </w:r>
      <w:r>
        <w:rPr>
          <w:spacing w:val="-5"/>
        </w:rPr>
        <w:t>以上。</w:t>
      </w:r>
    </w:p>
    <w:p>
      <w:pPr>
        <w:pStyle w:val="BodyText"/>
        <w:spacing w:before="5"/>
        <w:rPr>
          <w:sz w:val="22"/>
        </w:rPr>
      </w:pPr>
    </w:p>
    <w:p>
      <w:pPr>
        <w:pStyle w:val="Heading3"/>
      </w:pPr>
      <w:r>
        <w:rPr/>
        <w:t>（二十二）</w:t>
      </w:r>
      <w:r>
        <w:rPr>
          <w:spacing w:val="-2"/>
        </w:rPr>
        <w:t>严重运动神经元病</w:t>
      </w:r>
    </w:p>
    <w:p>
      <w:pPr>
        <w:pStyle w:val="BodyText"/>
        <w:spacing w:line="265" w:lineRule="exact"/>
        <w:ind w:left="2569"/>
      </w:pPr>
      <w:r>
        <w:rPr>
          <w:spacing w:val="-5"/>
        </w:rPr>
        <w:t>是一组中枢神经系统运动神经元的进行性变性疾病，包括进行性脊肌萎缩症、进</w:t>
      </w:r>
    </w:p>
    <w:p>
      <w:pPr>
        <w:pStyle w:val="BodyText"/>
        <w:spacing w:line="249" w:lineRule="exact" w:before="43"/>
        <w:ind w:left="2569"/>
      </w:pPr>
      <w:r>
        <w:rPr>
          <w:spacing w:val="-5"/>
        </w:rPr>
        <w:t>行性延髓麻痹症、原发性侧索硬化症、肌萎缩性侧索硬化症。经相关专科医生确</w:t>
      </w:r>
    </w:p>
    <w:p>
      <w:pPr>
        <w:spacing w:line="31" w:lineRule="exact" w:before="0"/>
        <w:ind w:left="0" w:right="1918" w:firstLine="0"/>
        <w:jc w:val="right"/>
        <w:rPr>
          <w:sz w:val="4"/>
        </w:rPr>
      </w:pPr>
      <w:r>
        <w:rPr>
          <w:w w:val="72"/>
          <w:sz w:val="4"/>
        </w:rPr>
        <w:t>●</w:t>
      </w:r>
    </w:p>
    <w:p>
      <w:pPr>
        <w:pStyle w:val="BodyText"/>
        <w:spacing w:before="33"/>
        <w:ind w:left="2569"/>
      </w:pPr>
      <w:r>
        <w:rPr>
          <w:spacing w:val="-3"/>
        </w:rPr>
        <w:t>诊，且须满足下列至少一项条件：</w:t>
      </w:r>
    </w:p>
    <w:p>
      <w:pPr>
        <w:pStyle w:val="ListParagraph"/>
        <w:numPr>
          <w:ilvl w:val="0"/>
          <w:numId w:val="22"/>
        </w:numPr>
        <w:tabs>
          <w:tab w:pos="3099" w:val="left" w:leader="none"/>
        </w:tabs>
        <w:spacing w:line="248" w:lineRule="exact" w:before="43" w:after="0"/>
        <w:ind w:left="3098" w:right="0" w:hanging="530"/>
        <w:jc w:val="left"/>
        <w:rPr>
          <w:sz w:val="21"/>
        </w:rPr>
      </w:pPr>
      <w:r>
        <w:rPr>
          <w:spacing w:val="-3"/>
          <w:sz w:val="21"/>
        </w:rPr>
        <w:t>严重咀嚼吞咽功能障碍；</w:t>
      </w:r>
    </w:p>
    <w:p>
      <w:pPr>
        <w:spacing w:line="30" w:lineRule="exact" w:before="0"/>
        <w:ind w:left="2607" w:right="0" w:firstLine="0"/>
        <w:jc w:val="left"/>
        <w:rPr>
          <w:sz w:val="4"/>
        </w:rPr>
      </w:pPr>
      <w:r>
        <w:rPr>
          <w:w w:val="72"/>
          <w:sz w:val="4"/>
        </w:rPr>
        <w:t>●</w:t>
      </w:r>
    </w:p>
    <w:p>
      <w:pPr>
        <w:pStyle w:val="ListParagraph"/>
        <w:numPr>
          <w:ilvl w:val="0"/>
          <w:numId w:val="22"/>
        </w:numPr>
        <w:tabs>
          <w:tab w:pos="3099" w:val="left" w:leader="none"/>
        </w:tabs>
        <w:spacing w:line="248" w:lineRule="exact" w:before="34" w:after="0"/>
        <w:ind w:left="3098" w:right="0" w:hanging="530"/>
        <w:jc w:val="left"/>
        <w:rPr>
          <w:sz w:val="21"/>
        </w:rPr>
      </w:pP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5"/>
          <w:sz w:val="21"/>
        </w:rPr>
        <w:t>以上；</w:t>
      </w:r>
    </w:p>
    <w:p>
      <w:pPr>
        <w:spacing w:line="31" w:lineRule="exact" w:before="0"/>
        <w:ind w:left="2607" w:right="0" w:firstLine="0"/>
        <w:jc w:val="left"/>
        <w:rPr>
          <w:sz w:val="4"/>
        </w:rPr>
      </w:pPr>
      <w:r>
        <w:rPr>
          <w:w w:val="72"/>
          <w:sz w:val="4"/>
        </w:rPr>
        <w:t>●</w:t>
      </w:r>
    </w:p>
    <w:p>
      <w:pPr>
        <w:pStyle w:val="BodyText"/>
        <w:spacing w:line="278" w:lineRule="auto" w:before="33"/>
        <w:ind w:left="2569" w:right="305"/>
      </w:pPr>
      <w:r>
        <w:rPr>
          <w:spacing w:val="-2"/>
        </w:rPr>
        <w:t>（3）自主生活能力完全丧失，无法独立完成六项基本日常生活活动中的三项或</w:t>
      </w:r>
      <w:r>
        <w:rPr>
          <w:spacing w:val="-2"/>
        </w:rPr>
        <w:t>三项以上。</w:t>
      </w:r>
    </w:p>
    <w:p>
      <w:pPr>
        <w:pStyle w:val="BodyText"/>
        <w:spacing w:before="1"/>
        <w:rPr>
          <w:sz w:val="19"/>
        </w:rPr>
      </w:pPr>
    </w:p>
    <w:p>
      <w:pPr>
        <w:pStyle w:val="Heading3"/>
      </w:pPr>
      <w:r>
        <w:rPr/>
        <w:t>（二十三）</w:t>
      </w:r>
      <w:r>
        <w:rPr>
          <w:spacing w:val="-2"/>
        </w:rPr>
        <w:t>语言能力丧失</w:t>
      </w:r>
    </w:p>
    <w:p>
      <w:pPr>
        <w:pStyle w:val="BodyText"/>
        <w:spacing w:line="265" w:lineRule="exact"/>
        <w:ind w:left="2569"/>
      </w:pPr>
      <w:r>
        <w:rPr>
          <w:spacing w:val="-3"/>
        </w:rPr>
        <w:t>指因疾病或意外伤害导致语言能力完全丧失，经过积极治疗至少 </w:t>
      </w:r>
      <w:r>
        <w:rPr>
          <w:spacing w:val="-2"/>
        </w:rPr>
        <w:t>12</w:t>
      </w:r>
      <w:r>
        <w:rPr>
          <w:spacing w:val="-7"/>
        </w:rPr>
        <w:t> 个月</w:t>
      </w:r>
      <w:r>
        <w:rPr>
          <w:spacing w:val="-2"/>
        </w:rPr>
        <w:t>（</w:t>
      </w:r>
      <w:r>
        <w:rPr>
          <w:spacing w:val="-6"/>
        </w:rPr>
        <w:t>声带</w:t>
      </w:r>
    </w:p>
    <w:p>
      <w:pPr>
        <w:spacing w:after="0" w:line="265" w:lineRule="exact"/>
        <w:sectPr>
          <w:pgSz w:w="11910" w:h="16840"/>
          <w:pgMar w:top="1080" w:bottom="280" w:left="920" w:right="820"/>
        </w:sectPr>
      </w:pPr>
    </w:p>
    <w:p>
      <w:pPr>
        <w:pStyle w:val="BodyText"/>
        <w:spacing w:before="59"/>
        <w:ind w:left="2569"/>
      </w:pPr>
      <w:r>
        <w:rPr/>
        <w:pict>
          <v:shape style="position:absolute;margin-left:174.479996pt;margin-top:18.250019pt;width:241.45pt;height:13.95pt;mso-position-horizontal-relative:page;mso-position-vertical-relative:paragraph;z-index:-15665664;mso-wrap-distance-left:0;mso-wrap-distance-right:0" type="#_x0000_t202" id="docshape102" filled="true" fillcolor="#d9d9d9" stroked="false">
            <v:textbox inset="0,0,0,0">
              <w:txbxContent>
                <w:p>
                  <w:pPr>
                    <w:pStyle w:val="BodyText"/>
                    <w:spacing w:before="6"/>
                    <w:ind w:right="-15"/>
                    <w:rPr>
                      <w:color w:val="000000"/>
                    </w:rPr>
                  </w:pPr>
                  <w:r>
                    <w:rPr>
                      <w:color w:val="000000"/>
                      <w:spacing w:val="-3"/>
                    </w:rPr>
                    <w:t>精神心理因素所致的语言能力丧失不在保障范围内。</w:t>
                  </w:r>
                </w:p>
              </w:txbxContent>
            </v:textbox>
            <v:fill type="solid"/>
            <w10:wrap type="topAndBottom"/>
          </v:shape>
        </w:pict>
      </w:r>
      <w:r>
        <w:rPr>
          <w:spacing w:val="-2"/>
        </w:rPr>
        <w:t>完全切除不受此时间限制</w:t>
      </w:r>
      <w:r>
        <w:rPr>
          <w:spacing w:val="-106"/>
        </w:rPr>
        <w:t>）</w:t>
      </w:r>
      <w:r>
        <w:rPr>
          <w:spacing w:val="-3"/>
        </w:rPr>
        <w:t>，仍无法通过现有医疗手段恢复。</w:t>
      </w:r>
    </w:p>
    <w:p>
      <w:pPr>
        <w:pStyle w:val="BodyText"/>
        <w:spacing w:before="7"/>
        <w:rPr>
          <w:sz w:val="2"/>
        </w:rPr>
      </w:pPr>
    </w:p>
    <w:p>
      <w:pPr>
        <w:pStyle w:val="BodyText"/>
        <w:ind w:left="2569"/>
        <w:rPr>
          <w:sz w:val="20"/>
        </w:rPr>
      </w:pPr>
      <w:r>
        <w:rPr>
          <w:sz w:val="20"/>
        </w:rPr>
        <w:pict>
          <v:shape style="width:364.35pt;height:13.95pt;mso-position-horizontal-relative:char;mso-position-vertical-relative:line" type="#_x0000_t202" id="docshape103" filled="true" fillcolor="#d9d9d9" stroked="false">
            <w10:anchorlock/>
            <v:textbox inset="0,0,0,0">
              <w:txbxContent>
                <w:p>
                  <w:pPr>
                    <w:pStyle w:val="BodyText"/>
                    <w:spacing w:before="6"/>
                    <w:ind w:right="-15"/>
                    <w:rPr>
                      <w:color w:val="000000"/>
                    </w:rPr>
                  </w:pPr>
                  <w:r>
                    <w:rPr>
                      <w:color w:val="000000"/>
                      <w:spacing w:val="-8"/>
                    </w:rPr>
                    <w:t>被保险人申请理赔时年龄必须在 3 周岁以上,并且提供 3</w:t>
                  </w:r>
                  <w:r>
                    <w:rPr>
                      <w:color w:val="000000"/>
                      <w:spacing w:val="-9"/>
                    </w:rPr>
                    <w:t> 周岁以后的语言能力丧</w:t>
                  </w:r>
                </w:p>
              </w:txbxContent>
            </v:textbox>
            <v:fill type="solid"/>
          </v:shape>
        </w:pict>
      </w:r>
      <w:r>
        <w:rPr>
          <w:sz w:val="20"/>
        </w:rPr>
      </w:r>
    </w:p>
    <w:p>
      <w:pPr>
        <w:pStyle w:val="BodyText"/>
        <w:ind w:left="2569"/>
        <w:rPr>
          <w:sz w:val="20"/>
        </w:rPr>
      </w:pPr>
      <w:r>
        <w:rPr>
          <w:sz w:val="20"/>
        </w:rPr>
        <w:pict>
          <v:shape style="width:94.6pt;height:13.95pt;mso-position-horizontal-relative:char;mso-position-vertical-relative:line" type="#_x0000_t202" id="docshape104" filled="true" fillcolor="#d9d9d9" stroked="false">
            <w10:anchorlock/>
            <v:textbox inset="0,0,0,0">
              <w:txbxContent>
                <w:p>
                  <w:pPr>
                    <w:pStyle w:val="BodyText"/>
                    <w:spacing w:before="6"/>
                    <w:ind w:right="-15"/>
                    <w:rPr>
                      <w:color w:val="000000"/>
                    </w:rPr>
                  </w:pPr>
                  <w:r>
                    <w:rPr>
                      <w:color w:val="000000"/>
                      <w:spacing w:val="-5"/>
                    </w:rPr>
                    <w:t>失诊断及检查证明。</w:t>
                  </w:r>
                </w:p>
              </w:txbxContent>
            </v:textbox>
            <v:fill type="solid"/>
          </v:shape>
        </w:pict>
      </w:r>
      <w:r>
        <w:rPr>
          <w:sz w:val="20"/>
        </w:rPr>
      </w:r>
    </w:p>
    <w:p>
      <w:pPr>
        <w:pStyle w:val="BodyText"/>
        <w:spacing w:before="2"/>
      </w:pPr>
    </w:p>
    <w:p>
      <w:pPr>
        <w:pStyle w:val="Heading3"/>
        <w:spacing w:before="4"/>
      </w:pPr>
      <w:r>
        <w:rPr/>
        <w:t>（二十四）</w:t>
      </w:r>
      <w:r>
        <w:rPr>
          <w:spacing w:val="-2"/>
        </w:rPr>
        <w:t>重型再生障碍性贫血</w:t>
      </w:r>
    </w:p>
    <w:p>
      <w:pPr>
        <w:pStyle w:val="BodyText"/>
        <w:spacing w:line="278" w:lineRule="auto"/>
        <w:ind w:left="2569" w:right="238"/>
      </w:pPr>
      <w:r>
        <w:rPr>
          <w:spacing w:val="-2"/>
        </w:rPr>
        <w:t>指因骨髓造血功能慢性持续性衰竭导致的贫血、中性粒细胞减少及血小板减少，</w:t>
      </w:r>
      <w:r>
        <w:rPr>
          <w:spacing w:val="-2"/>
        </w:rPr>
        <w:t>且须满足下列全部条件：</w:t>
      </w:r>
    </w:p>
    <w:p>
      <w:pPr>
        <w:pStyle w:val="ListParagraph"/>
        <w:numPr>
          <w:ilvl w:val="0"/>
          <w:numId w:val="23"/>
        </w:numPr>
        <w:tabs>
          <w:tab w:pos="3099" w:val="left" w:leader="none"/>
        </w:tabs>
        <w:spacing w:line="278" w:lineRule="auto" w:before="0" w:after="0"/>
        <w:ind w:left="2569" w:right="291" w:firstLine="0"/>
        <w:jc w:val="left"/>
        <w:rPr>
          <w:sz w:val="21"/>
        </w:rPr>
      </w:pPr>
      <w:r>
        <w:rPr>
          <w:spacing w:val="-4"/>
          <w:sz w:val="21"/>
        </w:rPr>
        <w:t>骨髓穿刺检查或骨髓活检结果支持诊断：骨髓细胞增生程度&lt;正常的 </w:t>
      </w:r>
      <w:r>
        <w:rPr>
          <w:spacing w:val="-2"/>
          <w:sz w:val="21"/>
        </w:rPr>
        <w:t>25%；</w:t>
      </w:r>
      <w:r>
        <w:rPr>
          <w:spacing w:val="-8"/>
          <w:sz w:val="21"/>
        </w:rPr>
        <w:t>如≥正常的 </w:t>
      </w:r>
      <w:r>
        <w:rPr>
          <w:sz w:val="21"/>
        </w:rPr>
        <w:t>25%但&lt;50%，则残存的造血细胞应&lt;30%；</w:t>
      </w:r>
    </w:p>
    <w:p>
      <w:pPr>
        <w:pStyle w:val="ListParagraph"/>
        <w:numPr>
          <w:ilvl w:val="0"/>
          <w:numId w:val="23"/>
        </w:numPr>
        <w:tabs>
          <w:tab w:pos="3099" w:val="left" w:leader="none"/>
        </w:tabs>
        <w:spacing w:line="269" w:lineRule="exact" w:before="0" w:after="0"/>
        <w:ind w:left="3098" w:right="0" w:hanging="530"/>
        <w:jc w:val="left"/>
        <w:rPr>
          <w:sz w:val="21"/>
        </w:rPr>
      </w:pPr>
      <w:r>
        <w:rPr>
          <w:spacing w:val="-3"/>
          <w:sz w:val="21"/>
        </w:rPr>
        <w:t>外周血象须具备以下三项条件中的两项：</w:t>
      </w:r>
    </w:p>
    <w:p>
      <w:pPr>
        <w:pStyle w:val="BodyText"/>
        <w:spacing w:before="29"/>
        <w:ind w:left="2675"/>
      </w:pPr>
      <w:r>
        <w:rPr>
          <w:spacing w:val="-2"/>
        </w:rPr>
        <w:t>①中性粒细胞绝对值&lt;0.5×10</w:t>
      </w:r>
      <w:r>
        <w:rPr>
          <w:spacing w:val="-2"/>
          <w:position w:val="11"/>
          <w:sz w:val="11"/>
        </w:rPr>
        <w:t>9</w:t>
      </w:r>
      <w:r>
        <w:rPr>
          <w:spacing w:val="-2"/>
        </w:rPr>
        <w:t>/L；</w:t>
      </w:r>
    </w:p>
    <w:p>
      <w:pPr>
        <w:pStyle w:val="BodyText"/>
        <w:spacing w:before="33"/>
        <w:ind w:left="2675"/>
      </w:pPr>
      <w:r>
        <w:rPr>
          <w:spacing w:val="-2"/>
        </w:rPr>
        <w:t>②网织红细胞计数&lt;20×10</w:t>
      </w:r>
      <w:r>
        <w:rPr>
          <w:spacing w:val="-2"/>
          <w:position w:val="11"/>
          <w:sz w:val="11"/>
        </w:rPr>
        <w:t>9</w:t>
      </w:r>
      <w:r>
        <w:rPr>
          <w:spacing w:val="-2"/>
        </w:rPr>
        <w:t>/L；</w:t>
      </w:r>
    </w:p>
    <w:p>
      <w:pPr>
        <w:pStyle w:val="BodyText"/>
        <w:spacing w:before="33"/>
        <w:ind w:left="2675"/>
      </w:pPr>
      <w:r>
        <w:rPr>
          <w:spacing w:val="-2"/>
        </w:rPr>
        <w:t>③血小板绝对值&lt;20×10</w:t>
      </w:r>
      <w:r>
        <w:rPr>
          <w:spacing w:val="-2"/>
          <w:position w:val="11"/>
          <w:sz w:val="11"/>
        </w:rPr>
        <w:t>9</w:t>
      </w:r>
      <w:r>
        <w:rPr>
          <w:spacing w:val="-2"/>
        </w:rPr>
        <w:t>/L</w:t>
      </w:r>
      <w:r>
        <w:rPr>
          <w:spacing w:val="-12"/>
        </w:rPr>
        <w:t>。</w:t>
      </w:r>
    </w:p>
    <w:p>
      <w:pPr>
        <w:pStyle w:val="BodyText"/>
        <w:spacing w:before="6"/>
        <w:rPr>
          <w:sz w:val="22"/>
        </w:rPr>
      </w:pPr>
    </w:p>
    <w:p>
      <w:pPr>
        <w:pStyle w:val="Heading3"/>
      </w:pPr>
      <w:r>
        <w:rPr/>
        <w:t>（二十五）</w:t>
      </w:r>
      <w:r>
        <w:rPr>
          <w:spacing w:val="-2"/>
        </w:rPr>
        <w:t>主动脉手术</w:t>
      </w:r>
    </w:p>
    <w:p>
      <w:pPr>
        <w:pStyle w:val="BodyText"/>
        <w:spacing w:line="278" w:lineRule="auto"/>
        <w:ind w:left="2569" w:right="195"/>
      </w:pPr>
      <w:r>
        <w:rPr>
          <w:spacing w:val="-6"/>
          <w:w w:val="100"/>
        </w:rPr>
        <w:t>指为治疗主动脉疾病或主动脉创伤，已经实施了开胸</w:t>
      </w:r>
      <w:r>
        <w:rPr>
          <w:w w:val="100"/>
        </w:rPr>
        <w:t>（</w:t>
      </w:r>
      <w:r>
        <w:rPr>
          <w:spacing w:val="-2"/>
          <w:w w:val="100"/>
        </w:rPr>
        <w:t>含胸腔镜下</w:t>
      </w:r>
      <w:r>
        <w:rPr>
          <w:spacing w:val="-20"/>
          <w:w w:val="100"/>
        </w:rPr>
        <w:t>）</w:t>
      </w:r>
      <w:r>
        <w:rPr>
          <w:spacing w:val="-7"/>
          <w:w w:val="100"/>
        </w:rPr>
        <w:t>或开腹</w:t>
      </w:r>
      <w:r>
        <w:rPr>
          <w:w w:val="100"/>
        </w:rPr>
        <w:t>（含腹腔镜下</w:t>
      </w:r>
      <w:r>
        <w:rPr>
          <w:spacing w:val="-44"/>
          <w:w w:val="100"/>
        </w:rPr>
        <w:t>）</w:t>
      </w:r>
      <w:r>
        <w:rPr>
          <w:spacing w:val="-14"/>
          <w:w w:val="100"/>
        </w:rPr>
        <w:t>进行的切除、置换、修补病损主动脉血管、主动脉创伤后修复的手术。</w:t>
      </w:r>
      <w:r>
        <w:rPr>
          <w:w w:val="100"/>
        </w:rPr>
        <w:t>主动脉指升主动脉、主动脉弓和降主动脉（含胸主动脉和腹主动脉</w:t>
      </w:r>
      <w:r>
        <w:rPr>
          <w:spacing w:val="-106"/>
          <w:w w:val="100"/>
        </w:rPr>
        <w:t>）</w:t>
      </w:r>
      <w:r>
        <w:rPr>
          <w:w w:val="100"/>
        </w:rPr>
        <w:t>，不包括升</w:t>
      </w:r>
      <w:r>
        <w:rPr>
          <w:spacing w:val="-4"/>
          <w:w w:val="100"/>
        </w:rPr>
        <w:t>主动脉、主动脉弓和降主动脉的分支血管。</w:t>
      </w:r>
    </w:p>
    <w:p>
      <w:pPr>
        <w:pStyle w:val="BodyText"/>
        <w:spacing w:line="269" w:lineRule="exact"/>
        <w:ind w:left="2569"/>
      </w:pPr>
      <w:r>
        <w:rPr>
          <w:color w:val="000000"/>
          <w:spacing w:val="-3"/>
          <w:shd w:fill="D9D9D9" w:color="auto" w:val="clear"/>
        </w:rPr>
        <w:t>所有未实施开胸或开腹的动脉内介入治疗不在保障范围内。</w:t>
      </w:r>
    </w:p>
    <w:p>
      <w:pPr>
        <w:pStyle w:val="BodyText"/>
        <w:spacing w:before="2"/>
        <w:rPr>
          <w:sz w:val="22"/>
        </w:rPr>
      </w:pPr>
    </w:p>
    <w:p>
      <w:pPr>
        <w:pStyle w:val="Heading3"/>
      </w:pPr>
      <w:r>
        <w:rPr/>
        <w:t>（二十六）</w:t>
      </w:r>
      <w:r>
        <w:rPr>
          <w:spacing w:val="-2"/>
        </w:rPr>
        <w:t>严重慢性呼吸衰竭</w:t>
      </w:r>
    </w:p>
    <w:p>
      <w:pPr>
        <w:pStyle w:val="BodyText"/>
        <w:spacing w:line="278" w:lineRule="auto"/>
        <w:ind w:left="2569" w:right="301"/>
      </w:pPr>
      <w:r>
        <w:rPr>
          <w:spacing w:val="-5"/>
        </w:rPr>
        <w:t>指因慢性呼吸系统疾病导致永久不可逆性的呼吸衰竭，经过积极治疗 </w:t>
      </w:r>
      <w:r>
        <w:rPr/>
        <w:t>180</w:t>
      </w:r>
      <w:r>
        <w:rPr>
          <w:spacing w:val="-15"/>
        </w:rPr>
        <w:t> 天后满</w:t>
      </w:r>
      <w:r>
        <w:rPr>
          <w:spacing w:val="-2"/>
        </w:rPr>
        <w:t>足以下所有条件：</w:t>
      </w:r>
    </w:p>
    <w:p>
      <w:pPr>
        <w:pStyle w:val="ListParagraph"/>
        <w:numPr>
          <w:ilvl w:val="0"/>
          <w:numId w:val="24"/>
        </w:numPr>
        <w:tabs>
          <w:tab w:pos="3099" w:val="left" w:leader="none"/>
        </w:tabs>
        <w:spacing w:line="269" w:lineRule="exact" w:before="0" w:after="0"/>
        <w:ind w:left="3098" w:right="0" w:hanging="530"/>
        <w:jc w:val="left"/>
        <w:rPr>
          <w:sz w:val="21"/>
        </w:rPr>
      </w:pPr>
      <w:r>
        <w:rPr>
          <w:spacing w:val="-3"/>
          <w:sz w:val="21"/>
        </w:rPr>
        <w:t>静息时出现呼吸困难；</w:t>
      </w:r>
    </w:p>
    <w:p>
      <w:pPr>
        <w:pStyle w:val="ListParagraph"/>
        <w:numPr>
          <w:ilvl w:val="0"/>
          <w:numId w:val="24"/>
        </w:numPr>
        <w:tabs>
          <w:tab w:pos="3099" w:val="left" w:leader="none"/>
        </w:tabs>
        <w:spacing w:line="240" w:lineRule="auto" w:before="39" w:after="0"/>
        <w:ind w:left="3098"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24"/>
        </w:numPr>
        <w:tabs>
          <w:tab w:pos="3099" w:val="left" w:leader="none"/>
        </w:tabs>
        <w:spacing w:line="240" w:lineRule="auto" w:before="43" w:after="0"/>
        <w:ind w:left="3098"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pStyle w:val="BodyText"/>
        <w:spacing w:before="6"/>
        <w:rPr>
          <w:sz w:val="22"/>
        </w:rPr>
      </w:pPr>
    </w:p>
    <w:p>
      <w:pPr>
        <w:pStyle w:val="Heading3"/>
        <w:spacing w:line="320" w:lineRule="exact"/>
      </w:pPr>
      <w:r>
        <w:rPr/>
        <w:t>（二十七）</w:t>
      </w:r>
      <w:r>
        <w:rPr>
          <w:spacing w:val="-2"/>
        </w:rPr>
        <w:t>严重克罗恩病</w:t>
      </w:r>
    </w:p>
    <w:p>
      <w:pPr>
        <w:spacing w:line="26" w:lineRule="exact" w:before="0"/>
        <w:ind w:left="2607" w:right="0" w:firstLine="0"/>
        <w:jc w:val="left"/>
        <w:rPr>
          <w:sz w:val="4"/>
        </w:rPr>
      </w:pPr>
      <w:r>
        <w:rPr>
          <w:w w:val="72"/>
          <w:sz w:val="4"/>
        </w:rPr>
        <w:t>●</w:t>
      </w:r>
    </w:p>
    <w:p>
      <w:pPr>
        <w:pStyle w:val="BodyText"/>
        <w:spacing w:line="248" w:lineRule="exact" w:before="33"/>
        <w:ind w:left="2569"/>
      </w:pPr>
      <w:r>
        <w:rPr>
          <w:spacing w:val="-6"/>
        </w:rPr>
        <w:t>指一种慢性肉芽肿性肠炎，具有特征性的克罗恩病（Crohn</w:t>
      </w:r>
      <w:r>
        <w:rPr>
          <w:spacing w:val="2"/>
        </w:rPr>
        <w:t> 病</w:t>
      </w:r>
      <w:r>
        <w:rPr>
          <w:spacing w:val="-6"/>
        </w:rPr>
        <w:t>）</w:t>
      </w:r>
      <w:r>
        <w:rPr>
          <w:spacing w:val="-7"/>
        </w:rPr>
        <w:t>病理组织学变化，</w:t>
      </w:r>
    </w:p>
    <w:p>
      <w:pPr>
        <w:spacing w:line="31" w:lineRule="exact" w:before="0"/>
        <w:ind w:left="0" w:right="3227" w:firstLine="0"/>
        <w:jc w:val="center"/>
        <w:rPr>
          <w:sz w:val="4"/>
        </w:rPr>
      </w:pPr>
      <w:r>
        <w:rPr>
          <w:w w:val="72"/>
          <w:sz w:val="4"/>
        </w:rPr>
        <w:t>●</w:t>
      </w:r>
    </w:p>
    <w:p>
      <w:pPr>
        <w:pStyle w:val="BodyText"/>
        <w:spacing w:before="33"/>
        <w:ind w:left="2569"/>
      </w:pPr>
      <w:r>
        <w:rPr>
          <w:spacing w:val="-3"/>
        </w:rPr>
        <w:t>须根据组织病理学特点诊断，且已经造成瘘管形成并伴有肠梗阻或肠穿孔。</w:t>
      </w:r>
    </w:p>
    <w:p>
      <w:pPr>
        <w:pStyle w:val="BodyText"/>
        <w:spacing w:before="6"/>
        <w:rPr>
          <w:sz w:val="22"/>
        </w:rPr>
      </w:pPr>
    </w:p>
    <w:p>
      <w:pPr>
        <w:pStyle w:val="Heading3"/>
      </w:pPr>
      <w:r>
        <w:rPr/>
        <w:t>（二十八）</w:t>
      </w:r>
      <w:r>
        <w:rPr>
          <w:spacing w:val="-2"/>
        </w:rPr>
        <w:t>严重溃疡性结肠炎</w:t>
      </w:r>
    </w:p>
    <w:p>
      <w:pPr>
        <w:pStyle w:val="BodyText"/>
        <w:spacing w:line="278" w:lineRule="auto"/>
        <w:ind w:left="2569" w:right="301"/>
        <w:jc w:val="both"/>
      </w:pPr>
      <w:r>
        <w:rPr>
          <w:spacing w:val="-2"/>
        </w:rPr>
        <w:t>指伴有致命性电解质紊乱的急性暴发性溃疡性结肠炎，病变已经累及全结肠，表</w:t>
      </w:r>
      <w:r>
        <w:rPr>
          <w:spacing w:val="-2"/>
        </w:rPr>
        <w:t>现为严重的血便和系统性症状体征，须根据组织病理学特点诊断，且已经实施了</w:t>
      </w:r>
      <w:r>
        <w:rPr>
          <w:spacing w:val="-2"/>
        </w:rPr>
        <w:t>结肠切除或回肠造瘘术。</w:t>
      </w:r>
    </w:p>
    <w:p>
      <w:pPr>
        <w:pStyle w:val="BodyText"/>
        <w:spacing w:before="11"/>
        <w:rPr>
          <w:sz w:val="22"/>
        </w:rPr>
      </w:pPr>
    </w:p>
    <w:p>
      <w:pPr>
        <w:pStyle w:val="Heading3"/>
        <w:spacing w:line="194" w:lineRule="auto"/>
        <w:ind w:right="301"/>
      </w:pPr>
      <w:r>
        <w:rPr>
          <w:spacing w:val="-2"/>
          <w:w w:val="100"/>
        </w:rPr>
        <w:t>以下重大疾病定义是本公司在中国保险行业协会与中国医师协会联合发布《重</w:t>
      </w:r>
      <w:r>
        <w:rPr>
          <w:spacing w:val="-4"/>
          <w:w w:val="100"/>
        </w:rPr>
        <w:t>大疾病保险的疾病定义使用规范</w:t>
      </w:r>
      <w:r>
        <w:rPr>
          <w:w w:val="87"/>
        </w:rPr>
        <w:t>（2020</w:t>
      </w:r>
      <w:r>
        <w:rPr>
          <w:spacing w:val="-10"/>
        </w:rPr>
        <w:t> </w:t>
      </w:r>
      <w:r>
        <w:rPr>
          <w:w w:val="100"/>
        </w:rPr>
        <w:t>年修订版</w:t>
      </w:r>
      <w:r>
        <w:rPr>
          <w:spacing w:val="-106"/>
          <w:w w:val="100"/>
        </w:rPr>
        <w:t>）</w:t>
      </w:r>
      <w:r>
        <w:rPr>
          <w:spacing w:val="-6"/>
          <w:w w:val="100"/>
        </w:rPr>
        <w:t>》的重大疾病定义种类范围以</w:t>
      </w:r>
      <w:r>
        <w:rPr>
          <w:w w:val="100"/>
        </w:rPr>
        <w:t>外增加的疾病定义。</w:t>
      </w:r>
    </w:p>
    <w:p>
      <w:pPr>
        <w:spacing w:line="23" w:lineRule="exact" w:before="0"/>
        <w:ind w:left="2607" w:right="0" w:firstLine="0"/>
        <w:jc w:val="left"/>
        <w:rPr>
          <w:sz w:val="4"/>
        </w:rPr>
      </w:pPr>
      <w:r>
        <w:rPr>
          <w:w w:val="72"/>
          <w:sz w:val="4"/>
        </w:rPr>
        <w:t>●</w:t>
      </w:r>
    </w:p>
    <w:p>
      <w:pPr>
        <w:pStyle w:val="BodyText"/>
        <w:rPr>
          <w:sz w:val="6"/>
        </w:rPr>
      </w:pPr>
    </w:p>
    <w:p>
      <w:pPr>
        <w:pStyle w:val="BodyText"/>
        <w:rPr>
          <w:sz w:val="6"/>
        </w:rPr>
      </w:pPr>
    </w:p>
    <w:p>
      <w:pPr>
        <w:pStyle w:val="BodyText"/>
        <w:spacing w:before="1"/>
        <w:rPr>
          <w:sz w:val="6"/>
        </w:rPr>
      </w:pPr>
    </w:p>
    <w:p>
      <w:pPr>
        <w:pStyle w:val="Heading3"/>
        <w:spacing w:before="1"/>
      </w:pPr>
      <w:r>
        <w:rPr/>
        <w:t>（二十九）</w:t>
      </w:r>
      <w:r>
        <w:rPr>
          <w:spacing w:val="-3"/>
        </w:rPr>
        <w:t>胰腺移植</w:t>
      </w:r>
    </w:p>
    <w:p>
      <w:pPr>
        <w:pStyle w:val="BodyText"/>
        <w:spacing w:line="278" w:lineRule="auto"/>
        <w:ind w:left="2569" w:right="449"/>
      </w:pPr>
      <w:r>
        <w:rPr>
          <w:spacing w:val="-2"/>
        </w:rPr>
        <w:t>指胰腺功能衰竭，已经实施了在全身麻醉下进行的胰腺的异体器官移植手术。</w:t>
      </w:r>
      <w:r>
        <w:rPr>
          <w:color w:val="000000"/>
          <w:spacing w:val="-2"/>
          <w:shd w:fill="D9D9D9" w:color="auto" w:val="clear"/>
        </w:rPr>
        <w:t>单纯胰岛移植、部分胰腺组织或细胞的移植不在本保障范围内。</w:t>
      </w:r>
    </w:p>
    <w:p>
      <w:pPr>
        <w:spacing w:after="0" w:line="278" w:lineRule="auto"/>
        <w:sectPr>
          <w:pgSz w:w="11910" w:h="16840"/>
          <w:pgMar w:top="1080" w:bottom="280" w:left="920" w:right="820"/>
        </w:sectPr>
      </w:pPr>
    </w:p>
    <w:p>
      <w:pPr>
        <w:pStyle w:val="Heading3"/>
        <w:spacing w:line="376" w:lineRule="exact"/>
      </w:pPr>
      <w:r>
        <w:rPr/>
        <w:t>（三十）</w:t>
      </w:r>
      <w:r>
        <w:rPr>
          <w:spacing w:val="-2"/>
        </w:rPr>
        <w:t>埃博拉病毒感染</w:t>
      </w:r>
    </w:p>
    <w:p>
      <w:pPr>
        <w:pStyle w:val="BodyText"/>
        <w:spacing w:line="265" w:lineRule="exact"/>
        <w:ind w:left="2569"/>
      </w:pPr>
      <w:r>
        <w:rPr>
          <w:spacing w:val="-3"/>
        </w:rPr>
        <w:t>指埃博拉病毒感染导致的烈性传染病，并须满足下列全部条件：</w:t>
      </w:r>
    </w:p>
    <w:p>
      <w:pPr>
        <w:pStyle w:val="ListParagraph"/>
        <w:numPr>
          <w:ilvl w:val="0"/>
          <w:numId w:val="25"/>
        </w:numPr>
        <w:tabs>
          <w:tab w:pos="3099" w:val="left" w:leader="none"/>
        </w:tabs>
        <w:spacing w:line="240" w:lineRule="auto" w:before="43" w:after="0"/>
        <w:ind w:left="3098" w:right="0" w:hanging="530"/>
        <w:jc w:val="left"/>
        <w:rPr>
          <w:sz w:val="21"/>
        </w:rPr>
      </w:pPr>
      <w:r>
        <w:rPr>
          <w:spacing w:val="-3"/>
          <w:sz w:val="21"/>
        </w:rPr>
        <w:t>实验室检查证实埃博拉病毒的存在；</w:t>
      </w:r>
    </w:p>
    <w:p>
      <w:pPr>
        <w:pStyle w:val="ListParagraph"/>
        <w:numPr>
          <w:ilvl w:val="0"/>
          <w:numId w:val="25"/>
        </w:numPr>
        <w:tabs>
          <w:tab w:pos="3099" w:val="left" w:leader="none"/>
        </w:tabs>
        <w:spacing w:line="248" w:lineRule="exact" w:before="43" w:after="0"/>
        <w:ind w:left="3098" w:right="0" w:hanging="530"/>
        <w:jc w:val="left"/>
        <w:rPr>
          <w:sz w:val="21"/>
        </w:rPr>
      </w:pPr>
      <w:r>
        <w:rPr>
          <w:spacing w:val="-8"/>
          <w:sz w:val="21"/>
        </w:rPr>
        <w:t>从发病开始有超过 </w:t>
      </w:r>
      <w:r>
        <w:rPr>
          <w:spacing w:val="-2"/>
          <w:sz w:val="21"/>
        </w:rPr>
        <w:t>30</w:t>
      </w:r>
      <w:r>
        <w:rPr>
          <w:spacing w:val="-10"/>
          <w:sz w:val="21"/>
        </w:rPr>
        <w:t> 天的进行性感染症状。</w:t>
      </w:r>
    </w:p>
    <w:p>
      <w:pPr>
        <w:spacing w:line="31" w:lineRule="exact" w:before="0"/>
        <w:ind w:left="2607" w:right="0" w:firstLine="0"/>
        <w:jc w:val="left"/>
        <w:rPr>
          <w:sz w:val="4"/>
        </w:rPr>
      </w:pPr>
      <w:r>
        <w:rPr>
          <w:w w:val="72"/>
          <w:sz w:val="4"/>
        </w:rPr>
        <w:t>●</w:t>
      </w:r>
    </w:p>
    <w:p>
      <w:pPr>
        <w:pStyle w:val="BodyText"/>
        <w:spacing w:before="4"/>
      </w:pPr>
    </w:p>
    <w:p>
      <w:pPr>
        <w:pStyle w:val="Heading3"/>
        <w:spacing w:before="4"/>
      </w:pPr>
      <w:r>
        <w:rPr/>
        <w:t>（三十一）</w:t>
      </w:r>
      <w:r>
        <w:rPr>
          <w:spacing w:val="-2"/>
        </w:rPr>
        <w:t>丝虫病所致象皮肿</w:t>
      </w:r>
    </w:p>
    <w:p>
      <w:pPr>
        <w:pStyle w:val="BodyText"/>
        <w:spacing w:line="278" w:lineRule="auto"/>
        <w:ind w:left="2569" w:right="301"/>
        <w:jc w:val="both"/>
      </w:pPr>
      <w:r>
        <w:rPr>
          <w:spacing w:val="-2"/>
        </w:rPr>
        <w:t>指末期丝虫病，按国际淋巴学会分级为三度淋巴液肿，其临床表现为肢体非凹陷</w:t>
      </w:r>
      <w:r>
        <w:rPr>
          <w:spacing w:val="-2"/>
        </w:rPr>
        <w:t>性水肿伴畸形增大、硬皮症和疣状增生。此病症须经本公司认可的专科医生根据</w:t>
      </w:r>
      <w:r>
        <w:rPr>
          <w:spacing w:val="-2"/>
        </w:rPr>
        <w:t>临床表现和微丝蚴的化验结果确诊。</w:t>
      </w:r>
    </w:p>
    <w:p>
      <w:pPr>
        <w:pStyle w:val="BodyText"/>
        <w:spacing w:before="10"/>
        <w:rPr>
          <w:sz w:val="18"/>
        </w:rPr>
      </w:pPr>
    </w:p>
    <w:p>
      <w:pPr>
        <w:pStyle w:val="Heading3"/>
      </w:pPr>
      <w:r>
        <w:rPr>
          <w:w w:val="95"/>
        </w:rPr>
        <w:t>（</w:t>
      </w:r>
      <w:r>
        <w:rPr>
          <w:w w:val="95"/>
        </w:rPr>
        <w:t>三</w:t>
      </w:r>
      <w:r>
        <w:rPr>
          <w:w w:val="95"/>
        </w:rPr>
        <w:t>十</w:t>
      </w:r>
      <w:r>
        <w:rPr>
          <w:w w:val="95"/>
        </w:rPr>
        <w:t>二</w:t>
      </w:r>
      <w:r>
        <w:rPr>
          <w:w w:val="95"/>
        </w:rPr>
        <w:t>）</w:t>
      </w:r>
      <w:r>
        <w:rPr>
          <w:w w:val="95"/>
        </w:rPr>
        <w:t>经</w:t>
      </w:r>
      <w:r>
        <w:rPr>
          <w:w w:val="95"/>
        </w:rPr>
        <w:t>输</w:t>
      </w:r>
      <w:r>
        <w:rPr>
          <w:w w:val="95"/>
        </w:rPr>
        <w:t>血</w:t>
      </w:r>
      <w:r>
        <w:rPr>
          <w:w w:val="95"/>
        </w:rPr>
        <w:t>导</w:t>
      </w:r>
      <w:r>
        <w:rPr>
          <w:w w:val="95"/>
        </w:rPr>
        <w:t>致</w:t>
      </w:r>
      <w:r>
        <w:rPr>
          <w:w w:val="95"/>
        </w:rPr>
        <w:t>的</w:t>
      </w:r>
      <w:r>
        <w:rPr>
          <w:spacing w:val="23"/>
        </w:rPr>
        <w:t> </w:t>
      </w:r>
      <w:r>
        <w:rPr>
          <w:w w:val="95"/>
        </w:rPr>
        <w:t>HIV</w:t>
      </w:r>
      <w:r>
        <w:rPr>
          <w:spacing w:val="24"/>
        </w:rPr>
        <w:t> </w:t>
      </w:r>
      <w:r>
        <w:rPr>
          <w:w w:val="95"/>
        </w:rPr>
        <w:t>感</w:t>
      </w:r>
      <w:r>
        <w:rPr>
          <w:spacing w:val="-10"/>
          <w:w w:val="95"/>
        </w:rPr>
        <w:t>染</w:t>
      </w:r>
    </w:p>
    <w:p>
      <w:pPr>
        <w:pStyle w:val="BodyText"/>
        <w:spacing w:line="265" w:lineRule="exact"/>
        <w:ind w:left="2569"/>
      </w:pPr>
      <w:r>
        <w:rPr>
          <w:spacing w:val="-2"/>
        </w:rPr>
        <w:t>是指被保险人感染上人类免疫缺陷病毒（HIV）</w:t>
      </w:r>
      <w:r>
        <w:rPr>
          <w:spacing w:val="-3"/>
        </w:rPr>
        <w:t>并且符合下列所有条件：</w:t>
      </w:r>
    </w:p>
    <w:p>
      <w:pPr>
        <w:pStyle w:val="ListParagraph"/>
        <w:numPr>
          <w:ilvl w:val="0"/>
          <w:numId w:val="26"/>
        </w:numPr>
        <w:tabs>
          <w:tab w:pos="3007" w:val="left" w:leader="none"/>
        </w:tabs>
        <w:spacing w:line="248" w:lineRule="exact" w:before="43" w:after="0"/>
        <w:ind w:left="3006" w:right="0" w:hanging="558"/>
        <w:jc w:val="left"/>
        <w:rPr>
          <w:sz w:val="21"/>
        </w:rPr>
      </w:pPr>
      <w:r>
        <w:rPr>
          <w:spacing w:val="-1"/>
          <w:sz w:val="21"/>
        </w:rPr>
        <w:t>被保险人因治疗必需而接受输血，并且因输血而感染人类免疫缺陷病毒</w:t>
      </w:r>
    </w:p>
    <w:p>
      <w:pPr>
        <w:spacing w:line="31" w:lineRule="exact" w:before="0"/>
        <w:ind w:left="2487" w:right="0" w:firstLine="0"/>
        <w:jc w:val="left"/>
        <w:rPr>
          <w:sz w:val="4"/>
        </w:rPr>
      </w:pPr>
      <w:r>
        <w:rPr>
          <w:w w:val="72"/>
          <w:sz w:val="4"/>
        </w:rPr>
        <w:t>●</w:t>
      </w:r>
    </w:p>
    <w:p>
      <w:pPr>
        <w:pStyle w:val="BodyText"/>
        <w:spacing w:before="33"/>
        <w:ind w:left="2569"/>
      </w:pPr>
      <w:r>
        <w:rPr>
          <w:spacing w:val="15"/>
        </w:rPr>
        <w:t>（HIV</w:t>
      </w:r>
      <w:r>
        <w:rPr>
          <w:spacing w:val="-91"/>
        </w:rPr>
        <w:t>）</w:t>
      </w:r>
      <w:r>
        <w:rPr>
          <w:spacing w:val="15"/>
        </w:rPr>
        <w:t>；</w:t>
      </w:r>
    </w:p>
    <w:p>
      <w:pPr>
        <w:pStyle w:val="ListParagraph"/>
        <w:numPr>
          <w:ilvl w:val="0"/>
          <w:numId w:val="26"/>
        </w:numPr>
        <w:tabs>
          <w:tab w:pos="2979" w:val="left" w:leader="none"/>
        </w:tabs>
        <w:spacing w:line="278" w:lineRule="auto" w:before="43" w:after="0"/>
        <w:ind w:left="2569" w:right="257" w:hanging="120"/>
        <w:jc w:val="left"/>
        <w:rPr>
          <w:sz w:val="21"/>
        </w:rPr>
      </w:pPr>
      <w:r>
        <w:rPr>
          <w:spacing w:val="-2"/>
          <w:sz w:val="21"/>
        </w:rPr>
        <w:t>提供输血治疗的输血中心或医院出具该项输血感染属医疗责任事故的报告，</w:t>
      </w:r>
      <w:r>
        <w:rPr>
          <w:spacing w:val="-2"/>
          <w:sz w:val="21"/>
        </w:rPr>
        <w:t>或者法院终审裁定为医疗责任并且不准上诉；</w:t>
      </w:r>
    </w:p>
    <w:p>
      <w:pPr>
        <w:pStyle w:val="ListParagraph"/>
        <w:numPr>
          <w:ilvl w:val="0"/>
          <w:numId w:val="26"/>
        </w:numPr>
        <w:tabs>
          <w:tab w:pos="2979" w:val="left" w:leader="none"/>
        </w:tabs>
        <w:spacing w:line="269" w:lineRule="exact" w:before="0" w:after="0"/>
        <w:ind w:left="2978" w:right="0" w:hanging="530"/>
        <w:jc w:val="left"/>
        <w:rPr>
          <w:sz w:val="21"/>
        </w:rPr>
      </w:pPr>
      <w:r>
        <w:rPr>
          <w:spacing w:val="-3"/>
          <w:sz w:val="21"/>
        </w:rPr>
        <w:t>提供输血治疗的输血中心或医院必须拥有合法经营执照；</w:t>
      </w:r>
    </w:p>
    <w:p>
      <w:pPr>
        <w:pStyle w:val="ListParagraph"/>
        <w:numPr>
          <w:ilvl w:val="0"/>
          <w:numId w:val="26"/>
        </w:numPr>
        <w:tabs>
          <w:tab w:pos="2979" w:val="left" w:leader="none"/>
        </w:tabs>
        <w:spacing w:line="240" w:lineRule="auto" w:before="43" w:after="38"/>
        <w:ind w:left="2978" w:right="0" w:hanging="530"/>
        <w:jc w:val="left"/>
        <w:rPr>
          <w:sz w:val="21"/>
        </w:rPr>
      </w:pPr>
      <w:r>
        <w:rPr>
          <w:spacing w:val="-3"/>
          <w:sz w:val="21"/>
        </w:rPr>
        <w:t>受感染的被保险人不是血友病患者。</w:t>
      </w:r>
    </w:p>
    <w:tbl>
      <w:tblPr>
        <w:tblW w:w="0" w:type="auto"/>
        <w:jc w:val="left"/>
        <w:tblInd w:w="2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0"/>
        <w:gridCol w:w="211"/>
        <w:gridCol w:w="5035"/>
        <w:gridCol w:w="360"/>
      </w:tblGrid>
      <w:tr>
        <w:trPr>
          <w:trHeight w:val="272" w:hRule="atLeast"/>
        </w:trPr>
        <w:tc>
          <w:tcPr>
            <w:tcW w:w="7286" w:type="dxa"/>
            <w:gridSpan w:val="4"/>
            <w:tcBorders>
              <w:bottom w:val="single" w:sz="18" w:space="0" w:color="FFFFFF"/>
            </w:tcBorders>
            <w:shd w:val="clear" w:color="auto" w:fill="D9D9D9"/>
          </w:tcPr>
          <w:p>
            <w:pPr>
              <w:pStyle w:val="TableParagraph"/>
              <w:spacing w:line="247" w:lineRule="exact" w:before="6"/>
              <w:ind w:left="0" w:right="-116"/>
              <w:rPr>
                <w:sz w:val="21"/>
              </w:rPr>
            </w:pPr>
            <w:r>
              <w:rPr>
                <w:spacing w:val="-4"/>
                <w:sz w:val="21"/>
              </w:rPr>
              <w:t>在任何治愈艾滋病或阻止人类免疫缺陷病毒（HIV）</w:t>
            </w:r>
            <w:r>
              <w:rPr>
                <w:spacing w:val="-5"/>
                <w:sz w:val="21"/>
              </w:rPr>
              <w:t>病毒作用的疗法被发现以后，</w:t>
            </w:r>
          </w:p>
        </w:tc>
      </w:tr>
      <w:tr>
        <w:trPr>
          <w:trHeight w:val="267" w:hRule="atLeast"/>
        </w:trPr>
        <w:tc>
          <w:tcPr>
            <w:tcW w:w="6926"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或能防止艾滋病发生的医疗方法被研究出来以后，本保障将不再予以赔付。</w:t>
            </w:r>
          </w:p>
        </w:tc>
        <w:tc>
          <w:tcPr>
            <w:tcW w:w="360" w:type="dxa"/>
            <w:tcBorders>
              <w:top w:val="single" w:sz="18" w:space="0" w:color="FFFFFF"/>
              <w:bottom w:val="single" w:sz="18" w:space="0" w:color="FFFFFF"/>
            </w:tcBorders>
          </w:tcPr>
          <w:p>
            <w:pPr>
              <w:pStyle w:val="TableParagraph"/>
              <w:ind w:left="0"/>
              <w:rPr>
                <w:rFonts w:ascii="Times New Roman"/>
                <w:sz w:val="18"/>
              </w:rPr>
            </w:pPr>
          </w:p>
        </w:tc>
      </w:tr>
      <w:tr>
        <w:trPr>
          <w:trHeight w:val="266"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1"/>
                <w:sz w:val="21"/>
              </w:rPr>
              <w:t>本公司必须拥有获得使用被保险人的所有血液样本的权利和能够对这些样本进</w:t>
            </w:r>
          </w:p>
        </w:tc>
      </w:tr>
      <w:tr>
        <w:trPr>
          <w:trHeight w:val="266" w:hRule="atLeast"/>
        </w:trPr>
        <w:tc>
          <w:tcPr>
            <w:tcW w:w="1891"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行独立检验的权利。</w:t>
            </w:r>
          </w:p>
        </w:tc>
        <w:tc>
          <w:tcPr>
            <w:tcW w:w="5395" w:type="dxa"/>
            <w:gridSpan w:val="2"/>
            <w:tcBorders>
              <w:top w:val="single" w:sz="18" w:space="0" w:color="FFFFFF"/>
              <w:bottom w:val="single" w:sz="18" w:space="0" w:color="FFFFFF"/>
            </w:tcBorders>
          </w:tcPr>
          <w:p>
            <w:pPr>
              <w:pStyle w:val="TableParagraph"/>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7"/>
                <w:sz w:val="21"/>
              </w:rPr>
              <w:t>本公司承担本项疾病责任不受本合同责任免除中“被保险人感染艾滋病病毒或患</w:t>
            </w:r>
          </w:p>
        </w:tc>
      </w:tr>
      <w:tr>
        <w:trPr>
          <w:trHeight w:val="272" w:hRule="atLeast"/>
        </w:trPr>
        <w:tc>
          <w:tcPr>
            <w:tcW w:w="1680" w:type="dxa"/>
            <w:tcBorders>
              <w:top w:val="single" w:sz="18" w:space="0" w:color="FFFFFF"/>
            </w:tcBorders>
            <w:shd w:val="clear" w:color="auto" w:fill="D9D9D9"/>
          </w:tcPr>
          <w:p>
            <w:pPr>
              <w:pStyle w:val="TableParagraph"/>
              <w:spacing w:line="252" w:lineRule="exact"/>
              <w:ind w:left="0" w:right="-15"/>
              <w:rPr>
                <w:sz w:val="21"/>
              </w:rPr>
            </w:pPr>
            <w:r>
              <w:rPr>
                <w:spacing w:val="-4"/>
                <w:sz w:val="21"/>
              </w:rPr>
              <w:t>艾滋病”的限制。</w:t>
            </w:r>
          </w:p>
        </w:tc>
        <w:tc>
          <w:tcPr>
            <w:tcW w:w="5606" w:type="dxa"/>
            <w:gridSpan w:val="3"/>
            <w:tcBorders>
              <w:top w:val="single" w:sz="18" w:space="0" w:color="FFFFFF"/>
            </w:tcBorders>
          </w:tcPr>
          <w:p>
            <w:pPr>
              <w:pStyle w:val="TableParagraph"/>
              <w:ind w:left="0"/>
              <w:rPr>
                <w:rFonts w:ascii="Times New Roman"/>
                <w:sz w:val="20"/>
              </w:rPr>
            </w:pPr>
          </w:p>
        </w:tc>
      </w:tr>
    </w:tbl>
    <w:p>
      <w:pPr>
        <w:pStyle w:val="BodyText"/>
        <w:spacing w:before="5"/>
        <w:rPr>
          <w:sz w:val="22"/>
        </w:rPr>
      </w:pPr>
    </w:p>
    <w:p>
      <w:pPr>
        <w:pStyle w:val="Heading3"/>
      </w:pPr>
      <w:r>
        <w:rPr/>
        <w:t>（三十三）</w:t>
      </w:r>
      <w:r>
        <w:rPr>
          <w:spacing w:val="-2"/>
        </w:rPr>
        <w:t>原发性硬化性胆管炎</w:t>
      </w:r>
    </w:p>
    <w:p>
      <w:pPr>
        <w:pStyle w:val="BodyText"/>
        <w:spacing w:line="278" w:lineRule="auto"/>
        <w:ind w:left="2569" w:right="301"/>
        <w:jc w:val="both"/>
      </w:pPr>
      <w:r>
        <w:rPr>
          <w:spacing w:val="-2"/>
        </w:rPr>
        <w:t>指一种胆汁淤积综合征，其特征是肝内、肝外胆道因纤维化性炎症逐渐狭窄，并</w:t>
      </w:r>
      <w:r>
        <w:rPr>
          <w:spacing w:val="-6"/>
        </w:rPr>
        <w:t>最终导致完全阻塞而发展为肝硬化。本病须经内镜逆行胰胆管造影等影像学检查</w:t>
      </w:r>
      <w:r>
        <w:rPr>
          <w:spacing w:val="-2"/>
        </w:rPr>
        <w:t>证实，并须满足下列全部条件：</w:t>
      </w:r>
    </w:p>
    <w:p>
      <w:pPr>
        <w:pStyle w:val="ListParagraph"/>
        <w:numPr>
          <w:ilvl w:val="1"/>
          <w:numId w:val="26"/>
        </w:numPr>
        <w:tabs>
          <w:tab w:pos="3099" w:val="left" w:leader="none"/>
        </w:tabs>
        <w:spacing w:line="269" w:lineRule="exact" w:before="0" w:after="0"/>
        <w:ind w:left="3098" w:right="0" w:hanging="530"/>
        <w:jc w:val="both"/>
        <w:rPr>
          <w:sz w:val="21"/>
        </w:rPr>
      </w:pPr>
      <w:r>
        <w:rPr>
          <w:spacing w:val="-5"/>
          <w:sz w:val="21"/>
        </w:rPr>
        <w:t>总胆红素和直接胆红素同时升高，血清 </w:t>
      </w:r>
      <w:r>
        <w:rPr>
          <w:spacing w:val="-2"/>
          <w:sz w:val="21"/>
        </w:rPr>
        <w:t>ALP&gt;200U/L；</w:t>
      </w:r>
    </w:p>
    <w:p>
      <w:pPr>
        <w:pStyle w:val="ListParagraph"/>
        <w:numPr>
          <w:ilvl w:val="1"/>
          <w:numId w:val="26"/>
        </w:numPr>
        <w:tabs>
          <w:tab w:pos="3099" w:val="left" w:leader="none"/>
        </w:tabs>
        <w:spacing w:line="240" w:lineRule="auto" w:before="39" w:after="0"/>
        <w:ind w:left="3098" w:right="0" w:hanging="530"/>
        <w:jc w:val="left"/>
        <w:rPr>
          <w:sz w:val="21"/>
        </w:rPr>
      </w:pPr>
      <w:r>
        <w:rPr>
          <w:spacing w:val="-4"/>
          <w:sz w:val="21"/>
        </w:rPr>
        <w:t>持续性黄疸病史；</w:t>
      </w:r>
    </w:p>
    <w:p>
      <w:pPr>
        <w:pStyle w:val="ListParagraph"/>
        <w:numPr>
          <w:ilvl w:val="1"/>
          <w:numId w:val="26"/>
        </w:numPr>
        <w:tabs>
          <w:tab w:pos="3099" w:val="left" w:leader="none"/>
        </w:tabs>
        <w:spacing w:line="240" w:lineRule="auto" w:before="43" w:after="0"/>
        <w:ind w:left="3098" w:right="0" w:hanging="530"/>
        <w:jc w:val="left"/>
        <w:rPr>
          <w:sz w:val="21"/>
        </w:rPr>
      </w:pPr>
      <w:r>
        <w:rPr/>
        <w:pict>
          <v:shape style="position:absolute;margin-left:174.479996pt;margin-top:17.475924pt;width:283.45pt;height:13.95pt;mso-position-horizontal-relative:page;mso-position-vertical-relative:paragraph;z-index:-15664128;mso-wrap-distance-left:0;mso-wrap-distance-right:0" type="#_x0000_t202" id="docshape105" filled="true" fillcolor="#d9d9d9" stroked="false">
            <v:textbox inset="0,0,0,0">
              <w:txbxContent>
                <w:p>
                  <w:pPr>
                    <w:pStyle w:val="BodyText"/>
                    <w:spacing w:line="248" w:lineRule="exact" w:before="6"/>
                    <w:ind w:right="-15"/>
                    <w:rPr>
                      <w:color w:val="000000"/>
                    </w:rPr>
                  </w:pPr>
                  <w:r>
                    <w:rPr>
                      <w:color w:val="000000"/>
                      <w:spacing w:val="-3"/>
                    </w:rPr>
                    <w:t>因肿瘤或胆管损伤等继发性的硬化性胆管炎不在保障范围内。</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r>
        <w:rPr>
          <w:spacing w:val="-3"/>
          <w:sz w:val="21"/>
        </w:rPr>
        <w:t>出现胆汁性肝硬化或门脉高压。</w:t>
      </w:r>
    </w:p>
    <w:p>
      <w:pPr>
        <w:pStyle w:val="BodyText"/>
        <w:spacing w:before="10"/>
      </w:pPr>
    </w:p>
    <w:p>
      <w:pPr>
        <w:pStyle w:val="Heading3"/>
        <w:spacing w:before="5"/>
      </w:pPr>
      <w:r>
        <w:rPr>
          <w:spacing w:val="-2"/>
        </w:rPr>
        <w:t>（三十四）</w:t>
      </w:r>
      <w:r>
        <w:rPr>
          <w:spacing w:val="-3"/>
        </w:rPr>
        <w:t>特发性慢性肾上腺皮质功能减退</w:t>
      </w:r>
    </w:p>
    <w:p>
      <w:pPr>
        <w:pStyle w:val="BodyText"/>
        <w:spacing w:line="278" w:lineRule="auto"/>
        <w:ind w:left="2569" w:right="301"/>
        <w:jc w:val="both"/>
      </w:pPr>
      <w:r>
        <w:rPr>
          <w:spacing w:val="-2"/>
        </w:rPr>
        <w:t>因为自身免疫功能紊乱，使肾上腺组织逐渐受损，而需要长期接受糖皮质激素及</w:t>
      </w:r>
      <w:r>
        <w:rPr>
          <w:spacing w:val="-2"/>
        </w:rPr>
        <w:t>肾上腺皮质激素替代疗法。该病必须经内分泌专科医生确诊，并有以下报告作为</w:t>
      </w:r>
      <w:r>
        <w:rPr>
          <w:spacing w:val="-4"/>
        </w:rPr>
        <w:t>证据：</w:t>
      </w:r>
    </w:p>
    <w:p>
      <w:pPr>
        <w:pStyle w:val="ListParagraph"/>
        <w:numPr>
          <w:ilvl w:val="0"/>
          <w:numId w:val="27"/>
        </w:numPr>
        <w:tabs>
          <w:tab w:pos="3099" w:val="left" w:leader="none"/>
        </w:tabs>
        <w:spacing w:line="269" w:lineRule="exact" w:before="0" w:after="0"/>
        <w:ind w:left="3098" w:right="0" w:hanging="530"/>
        <w:jc w:val="left"/>
        <w:rPr>
          <w:sz w:val="21"/>
        </w:rPr>
      </w:pPr>
      <w:r>
        <w:rPr>
          <w:spacing w:val="-2"/>
          <w:sz w:val="21"/>
        </w:rPr>
        <w:t>促肾上腺皮质激素(ACTH</w:t>
      </w:r>
      <w:r>
        <w:rPr>
          <w:spacing w:val="-4"/>
          <w:sz w:val="21"/>
        </w:rPr>
        <w:t>)刺激试验；</w:t>
      </w:r>
    </w:p>
    <w:p>
      <w:pPr>
        <w:pStyle w:val="ListParagraph"/>
        <w:numPr>
          <w:ilvl w:val="0"/>
          <w:numId w:val="27"/>
        </w:numPr>
        <w:tabs>
          <w:tab w:pos="3099" w:val="left" w:leader="none"/>
        </w:tabs>
        <w:spacing w:line="240" w:lineRule="auto" w:before="39" w:after="0"/>
        <w:ind w:left="3098" w:right="0" w:hanging="530"/>
        <w:jc w:val="left"/>
        <w:rPr>
          <w:sz w:val="21"/>
        </w:rPr>
      </w:pPr>
      <w:r>
        <w:rPr>
          <w:spacing w:val="-3"/>
          <w:sz w:val="21"/>
        </w:rPr>
        <w:t>胰岛素血糖减少测试；</w:t>
      </w:r>
    </w:p>
    <w:p>
      <w:pPr>
        <w:pStyle w:val="ListParagraph"/>
        <w:numPr>
          <w:ilvl w:val="0"/>
          <w:numId w:val="27"/>
        </w:numPr>
        <w:tabs>
          <w:tab w:pos="3099" w:val="left" w:leader="none"/>
        </w:tabs>
        <w:spacing w:line="240" w:lineRule="auto" w:before="43" w:after="0"/>
        <w:ind w:left="3098" w:right="0" w:hanging="530"/>
        <w:jc w:val="left"/>
        <w:rPr>
          <w:sz w:val="21"/>
        </w:rPr>
      </w:pPr>
      <w:r>
        <w:rPr>
          <w:spacing w:val="-2"/>
          <w:sz w:val="21"/>
        </w:rPr>
        <w:t>血浆促肾上腺皮质激素(ACTH)</w:t>
      </w:r>
      <w:r>
        <w:rPr>
          <w:spacing w:val="-4"/>
          <w:sz w:val="21"/>
        </w:rPr>
        <w:t>水平测定；</w:t>
      </w:r>
    </w:p>
    <w:p>
      <w:pPr>
        <w:pStyle w:val="ListParagraph"/>
        <w:numPr>
          <w:ilvl w:val="0"/>
          <w:numId w:val="27"/>
        </w:numPr>
        <w:tabs>
          <w:tab w:pos="3099" w:val="left" w:leader="none"/>
        </w:tabs>
        <w:spacing w:line="240" w:lineRule="auto" w:before="43" w:after="0"/>
        <w:ind w:left="3098" w:right="0" w:hanging="530"/>
        <w:jc w:val="left"/>
        <w:rPr>
          <w:sz w:val="21"/>
        </w:rPr>
      </w:pPr>
      <w:r>
        <w:rPr/>
        <w:pict>
          <v:shape style="position:absolute;margin-left:174.479996pt;margin-top:17.47304pt;width:364.35pt;height:13.95pt;mso-position-horizontal-relative:page;mso-position-vertical-relative:paragraph;z-index:-15663616;mso-wrap-distance-left:0;mso-wrap-distance-right:0" type="#_x0000_t202" id="docshape106" filled="true" fillcolor="#d9d9d9" stroked="false">
            <v:textbox inset="0,0,0,0">
              <w:txbxContent>
                <w:p>
                  <w:pPr>
                    <w:pStyle w:val="BodyText"/>
                    <w:spacing w:before="6"/>
                    <w:ind w:right="-15"/>
                    <w:rPr>
                      <w:color w:val="000000"/>
                    </w:rPr>
                  </w:pPr>
                  <w:r>
                    <w:rPr>
                      <w:color w:val="000000"/>
                      <w:spacing w:val="-6"/>
                    </w:rPr>
                    <w:t>慢性肾上腺皮质功能衰竭只对由自身免疫功能紊乱引起的承担保险责任，其他原</w:t>
                  </w:r>
                </w:p>
              </w:txbxContent>
            </v:textbox>
            <v:fill type="solid"/>
            <w10:wrap type="topAndBottom"/>
          </v:shape>
        </w:pict>
      </w:r>
      <w:r>
        <w:rPr>
          <w:spacing w:val="-2"/>
          <w:sz w:val="21"/>
        </w:rPr>
        <w:t>血浆肾素活性(PRA)</w:t>
      </w:r>
      <w:r>
        <w:rPr>
          <w:spacing w:val="-5"/>
          <w:sz w:val="21"/>
        </w:rPr>
        <w:t>测定。</w:t>
      </w:r>
    </w:p>
    <w:p>
      <w:pPr>
        <w:pStyle w:val="BodyText"/>
        <w:spacing w:before="7"/>
        <w:rPr>
          <w:sz w:val="2"/>
        </w:rPr>
      </w:pPr>
    </w:p>
    <w:p>
      <w:pPr>
        <w:pStyle w:val="BodyText"/>
        <w:ind w:left="2569"/>
        <w:rPr>
          <w:sz w:val="20"/>
        </w:rPr>
      </w:pPr>
      <w:r>
        <w:rPr>
          <w:sz w:val="20"/>
        </w:rPr>
        <w:pict>
          <v:shape style="width:73.45pt;height:13.95pt;mso-position-horizontal-relative:char;mso-position-vertical-relative:line" type="#_x0000_t202" id="docshape107" filled="true" fillcolor="#d9d9d9" stroked="false">
            <w10:anchorlock/>
            <v:textbox inset="0,0,0,0">
              <w:txbxContent>
                <w:p>
                  <w:pPr>
                    <w:pStyle w:val="BodyText"/>
                    <w:spacing w:before="6"/>
                    <w:ind w:right="-15"/>
                    <w:rPr>
                      <w:color w:val="000000"/>
                    </w:rPr>
                  </w:pPr>
                  <w:r>
                    <w:rPr>
                      <w:color w:val="000000"/>
                      <w:spacing w:val="-6"/>
                    </w:rPr>
                    <w:t>因引起的除外。</w:t>
                  </w:r>
                </w:p>
              </w:txbxContent>
            </v:textbox>
            <v:fill type="solid"/>
          </v:shape>
        </w:pict>
      </w:r>
      <w:r>
        <w:rPr>
          <w:sz w:val="20"/>
        </w:rPr>
      </w:r>
    </w:p>
    <w:p>
      <w:pPr>
        <w:pStyle w:val="BodyText"/>
        <w:spacing w:before="3"/>
        <w:rPr>
          <w:sz w:val="20"/>
        </w:rPr>
      </w:pPr>
    </w:p>
    <w:p>
      <w:pPr>
        <w:pStyle w:val="Heading3"/>
        <w:spacing w:line="240" w:lineRule="auto" w:before="4"/>
      </w:pPr>
      <w:r>
        <w:rPr/>
        <w:t>（三十五）</w:t>
      </w:r>
      <w:r>
        <w:rPr>
          <w:spacing w:val="4"/>
        </w:rPr>
        <w:t>系统性红斑狼疮 </w:t>
      </w:r>
      <w:r>
        <w:rPr/>
        <w:t>－（并发）Ⅲ</w:t>
      </w:r>
      <w:r>
        <w:rPr>
          <w:spacing w:val="-2"/>
        </w:rPr>
        <w:t>型或以上狼疮性肾炎</w:t>
      </w:r>
    </w:p>
    <w:p>
      <w:pPr>
        <w:spacing w:after="0" w:line="240" w:lineRule="auto"/>
        <w:sectPr>
          <w:pgSz w:w="11910" w:h="16840"/>
          <w:pgMar w:top="1080" w:bottom="280" w:left="920" w:right="820"/>
        </w:sectPr>
      </w:pPr>
    </w:p>
    <w:p>
      <w:pPr>
        <w:pStyle w:val="BodyText"/>
        <w:spacing w:line="278" w:lineRule="auto" w:before="59"/>
        <w:ind w:left="2569" w:right="301"/>
      </w:pPr>
      <w:r>
        <w:rPr/>
        <w:drawing>
          <wp:anchor distT="0" distB="0" distL="0" distR="0" allowOverlap="1" layoutInCell="1" locked="0" behindDoc="1" simplePos="0" relativeHeight="485633536">
            <wp:simplePos x="0" y="0"/>
            <wp:positionH relativeFrom="page">
              <wp:posOffset>2215895</wp:posOffset>
            </wp:positionH>
            <wp:positionV relativeFrom="paragraph">
              <wp:posOffset>429895</wp:posOffset>
            </wp:positionV>
            <wp:extent cx="4626864" cy="573024"/>
            <wp:effectExtent l="0" t="0" r="0" b="0"/>
            <wp:wrapNone/>
            <wp:docPr id="45" name="image13.png"/>
            <wp:cNvGraphicFramePr>
              <a:graphicFrameLocks noChangeAspect="1"/>
            </wp:cNvGraphicFramePr>
            <a:graphic>
              <a:graphicData uri="http://schemas.openxmlformats.org/drawingml/2006/picture">
                <pic:pic>
                  <pic:nvPicPr>
                    <pic:cNvPr id="46" name="image13.png"/>
                    <pic:cNvPicPr/>
                  </pic:nvPicPr>
                  <pic:blipFill>
                    <a:blip r:embed="rId17" cstate="print"/>
                    <a:stretch>
                      <a:fillRect/>
                    </a:stretch>
                  </pic:blipFill>
                  <pic:spPr>
                    <a:xfrm>
                      <a:off x="0" y="0"/>
                      <a:ext cx="4626864" cy="573024"/>
                    </a:xfrm>
                    <a:prstGeom prst="rect">
                      <a:avLst/>
                    </a:prstGeom>
                  </pic:spPr>
                </pic:pic>
              </a:graphicData>
            </a:graphic>
          </wp:anchor>
        </w:drawing>
      </w:r>
      <w:r>
        <w:rPr/>
        <w:pict>
          <v:shape style="position:absolute;margin-left:174.479996pt;margin-top:33.850021pt;width:364.35pt;height:45.15pt;mso-position-horizontal-relative:page;mso-position-vertical-relative:paragraph;z-index:-17682432" type="#_x0000_t202" id="docshape108" filled="false" stroked="false">
            <v:textbox inset="0,0,0,0">
              <w:txbxContent>
                <w:p>
                  <w:pPr>
                    <w:pStyle w:val="BodyText"/>
                    <w:spacing w:before="6"/>
                    <w:ind w:right="-15"/>
                  </w:pPr>
                  <w:r>
                    <w:rPr>
                      <w:spacing w:val="-4"/>
                    </w:rPr>
                    <w:t>本合同所指的系统性红斑狼疮仅限于累及肾脏（</w:t>
                  </w:r>
                  <w:r>
                    <w:rPr>
                      <w:spacing w:val="-7"/>
                    </w:rPr>
                    <w:t>经肾脏活检确认的，符合 </w:t>
                  </w:r>
                  <w:r>
                    <w:rPr>
                      <w:spacing w:val="-4"/>
                    </w:rPr>
                    <w:t>WHO</w:t>
                  </w:r>
                  <w:r>
                    <w:rPr>
                      <w:spacing w:val="-23"/>
                    </w:rPr>
                    <w:t> 诊</w:t>
                  </w:r>
                </w:p>
                <w:p>
                  <w:pPr>
                    <w:pStyle w:val="BodyText"/>
                    <w:spacing w:line="248" w:lineRule="exact" w:before="43"/>
                    <w:ind w:right="-15"/>
                  </w:pPr>
                  <w:r>
                    <w:rPr>
                      <w:spacing w:val="-7"/>
                    </w:rPr>
                    <w:t>断标准定义Ⅲ型至 </w:t>
                  </w:r>
                  <w:r>
                    <w:rPr>
                      <w:spacing w:val="-2"/>
                    </w:rPr>
                    <w:t>V</w:t>
                  </w:r>
                  <w:r>
                    <w:rPr>
                      <w:spacing w:val="-9"/>
                    </w:rPr>
                    <w:t> 型狼疮性肾炎</w:t>
                  </w:r>
                  <w:r>
                    <w:rPr>
                      <w:spacing w:val="-82"/>
                    </w:rPr>
                    <w:t>）</w:t>
                  </w:r>
                  <w:r>
                    <w:rPr>
                      <w:spacing w:val="-11"/>
                    </w:rPr>
                    <w:t>的系统性红斑狼疮。其他类型的红斑性狼疮,</w:t>
                  </w:r>
                </w:p>
                <w:p>
                  <w:pPr>
                    <w:spacing w:line="31" w:lineRule="exact" w:before="0"/>
                    <w:ind w:left="1300" w:right="0" w:firstLine="0"/>
                    <w:jc w:val="left"/>
                    <w:rPr>
                      <w:sz w:val="4"/>
                    </w:rPr>
                  </w:pPr>
                  <w:r>
                    <w:rPr>
                      <w:w w:val="72"/>
                      <w:sz w:val="4"/>
                    </w:rPr>
                    <w:t>●</w:t>
                  </w:r>
                </w:p>
                <w:p>
                  <w:pPr>
                    <w:pStyle w:val="BodyText"/>
                    <w:spacing w:before="33"/>
                  </w:pPr>
                  <w:r>
                    <w:rPr>
                      <w:spacing w:val="-3"/>
                    </w:rPr>
                    <w:t>如盘状狼疮、仅累及血液及关节的狼疮不在保障范围內。</w:t>
                  </w:r>
                </w:p>
              </w:txbxContent>
            </v:textbox>
            <w10:wrap type="none"/>
          </v:shape>
        </w:pict>
      </w:r>
      <w:r>
        <w:rPr>
          <w:spacing w:val="-2"/>
        </w:rPr>
        <w:t>系统性红斑狼疮是由多种因素引起，累及多系统的自身免疫性疾病。其特点是生</w:t>
      </w:r>
      <w:r>
        <w:rPr>
          <w:spacing w:val="-2"/>
        </w:rPr>
        <w:t>成自身抗体对抗多种自身抗原。多见于育龄妇女。</w:t>
      </w:r>
    </w:p>
    <w:p>
      <w:pPr>
        <w:pStyle w:val="BodyText"/>
        <w:spacing w:line="278" w:lineRule="auto" w:before="33"/>
        <w:ind w:left="2569" w:right="3809"/>
      </w:pPr>
      <w:r>
        <w:rPr>
          <w:spacing w:val="-2"/>
        </w:rPr>
        <w:t>本病必须由免疫和风湿科专家医师确诊。</w:t>
      </w:r>
      <w:r>
        <w:rPr>
          <w:spacing w:val="-2"/>
        </w:rPr>
        <w:t>世界卫生组织（WHO）狼疮性肾炎分型：</w:t>
      </w:r>
    </w:p>
    <w:tbl>
      <w:tblPr>
        <w:tblW w:w="0" w:type="auto"/>
        <w:jc w:val="left"/>
        <w:tblInd w:w="2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00"/>
        <w:gridCol w:w="4277"/>
      </w:tblGrid>
      <w:tr>
        <w:trPr>
          <w:trHeight w:val="311" w:hRule="atLeast"/>
        </w:trPr>
        <w:tc>
          <w:tcPr>
            <w:tcW w:w="3000" w:type="dxa"/>
          </w:tcPr>
          <w:p>
            <w:pPr>
              <w:pStyle w:val="TableParagraph"/>
              <w:rPr>
                <w:sz w:val="21"/>
              </w:rPr>
            </w:pPr>
            <w:r>
              <w:rPr>
                <w:spacing w:val="-2"/>
                <w:sz w:val="21"/>
              </w:rPr>
              <w:t>Ⅰ型（微小病变型</w:t>
            </w:r>
            <w:r>
              <w:rPr>
                <w:spacing w:val="-10"/>
                <w:sz w:val="21"/>
              </w:rPr>
              <w:t>）</w:t>
            </w:r>
          </w:p>
        </w:tc>
        <w:tc>
          <w:tcPr>
            <w:tcW w:w="4277" w:type="dxa"/>
          </w:tcPr>
          <w:p>
            <w:pPr>
              <w:pStyle w:val="TableParagraph"/>
              <w:rPr>
                <w:sz w:val="21"/>
              </w:rPr>
            </w:pPr>
            <w:r>
              <w:rPr>
                <w:spacing w:val="-3"/>
                <w:sz w:val="21"/>
              </w:rPr>
              <w:t>镜下阴性,尿液正常</w:t>
            </w:r>
          </w:p>
        </w:tc>
      </w:tr>
      <w:tr>
        <w:trPr>
          <w:trHeight w:val="325" w:hRule="atLeast"/>
        </w:trPr>
        <w:tc>
          <w:tcPr>
            <w:tcW w:w="3000" w:type="dxa"/>
          </w:tcPr>
          <w:p>
            <w:pPr>
              <w:pStyle w:val="TableParagraph"/>
              <w:rPr>
                <w:sz w:val="21"/>
              </w:rPr>
            </w:pPr>
            <w:r>
              <w:rPr>
                <w:spacing w:val="-2"/>
                <w:sz w:val="21"/>
              </w:rPr>
              <w:t>Ⅱ型（系膜病变型</w:t>
            </w:r>
            <w:r>
              <w:rPr>
                <w:spacing w:val="-10"/>
                <w:sz w:val="21"/>
              </w:rPr>
              <w:t>）</w:t>
            </w:r>
          </w:p>
        </w:tc>
        <w:tc>
          <w:tcPr>
            <w:tcW w:w="4277" w:type="dxa"/>
          </w:tcPr>
          <w:p>
            <w:pPr>
              <w:pStyle w:val="TableParagraph"/>
              <w:rPr>
                <w:sz w:val="21"/>
              </w:rPr>
            </w:pPr>
            <w:r>
              <w:rPr>
                <w:spacing w:val="-3"/>
                <w:sz w:val="21"/>
              </w:rPr>
              <w:t>中度蛋白尿,偶有尿沉渣改变</w:t>
            </w:r>
          </w:p>
        </w:tc>
      </w:tr>
      <w:tr>
        <w:trPr>
          <w:trHeight w:val="311" w:hRule="atLeast"/>
        </w:trPr>
        <w:tc>
          <w:tcPr>
            <w:tcW w:w="3000" w:type="dxa"/>
          </w:tcPr>
          <w:p>
            <w:pPr>
              <w:pStyle w:val="TableParagraph"/>
              <w:rPr>
                <w:sz w:val="21"/>
              </w:rPr>
            </w:pPr>
            <w:r>
              <w:rPr>
                <w:spacing w:val="-2"/>
                <w:sz w:val="21"/>
              </w:rPr>
              <w:t>Ⅲ型（局灶及节段增生型</w:t>
            </w:r>
            <w:r>
              <w:rPr>
                <w:spacing w:val="-10"/>
                <w:sz w:val="21"/>
              </w:rPr>
              <w:t>）</w:t>
            </w:r>
          </w:p>
        </w:tc>
        <w:tc>
          <w:tcPr>
            <w:tcW w:w="4277" w:type="dxa"/>
          </w:tcPr>
          <w:p>
            <w:pPr>
              <w:pStyle w:val="TableParagraph"/>
              <w:rPr>
                <w:sz w:val="21"/>
              </w:rPr>
            </w:pPr>
            <w:r>
              <w:rPr>
                <w:spacing w:val="-3"/>
                <w:sz w:val="21"/>
              </w:rPr>
              <w:t>蛋白尿,尿沉渣改变</w:t>
            </w:r>
          </w:p>
        </w:tc>
      </w:tr>
      <w:tr>
        <w:trPr>
          <w:trHeight w:val="325" w:hRule="atLeast"/>
        </w:trPr>
        <w:tc>
          <w:tcPr>
            <w:tcW w:w="3000" w:type="dxa"/>
          </w:tcPr>
          <w:p>
            <w:pPr>
              <w:pStyle w:val="TableParagraph"/>
              <w:rPr>
                <w:sz w:val="21"/>
              </w:rPr>
            </w:pPr>
            <w:r>
              <w:rPr>
                <w:spacing w:val="-2"/>
                <w:sz w:val="21"/>
              </w:rPr>
              <w:t>Ⅳ型（弥漫增生型</w:t>
            </w:r>
            <w:r>
              <w:rPr>
                <w:spacing w:val="-10"/>
                <w:sz w:val="21"/>
              </w:rPr>
              <w:t>）</w:t>
            </w:r>
          </w:p>
        </w:tc>
        <w:tc>
          <w:tcPr>
            <w:tcW w:w="4277" w:type="dxa"/>
          </w:tcPr>
          <w:p>
            <w:pPr>
              <w:pStyle w:val="TableParagraph"/>
              <w:rPr>
                <w:sz w:val="21"/>
              </w:rPr>
            </w:pPr>
            <w:r>
              <w:rPr>
                <w:spacing w:val="-3"/>
                <w:sz w:val="21"/>
              </w:rPr>
              <w:t>急性肾炎伴有尿沉渣改变及/或肾病综合征</w:t>
            </w:r>
          </w:p>
        </w:tc>
      </w:tr>
      <w:tr>
        <w:trPr>
          <w:trHeight w:val="321" w:hRule="atLeast"/>
        </w:trPr>
        <w:tc>
          <w:tcPr>
            <w:tcW w:w="3000" w:type="dxa"/>
          </w:tcPr>
          <w:p>
            <w:pPr>
              <w:pStyle w:val="TableParagraph"/>
              <w:rPr>
                <w:sz w:val="21"/>
              </w:rPr>
            </w:pPr>
            <w:r>
              <w:rPr>
                <w:spacing w:val="-2"/>
                <w:sz w:val="21"/>
              </w:rPr>
              <w:t>Ⅴ型（膜型</w:t>
            </w:r>
            <w:r>
              <w:rPr>
                <w:spacing w:val="-10"/>
                <w:sz w:val="21"/>
              </w:rPr>
              <w:t>）</w:t>
            </w:r>
          </w:p>
        </w:tc>
        <w:tc>
          <w:tcPr>
            <w:tcW w:w="4277" w:type="dxa"/>
          </w:tcPr>
          <w:p>
            <w:pPr>
              <w:pStyle w:val="TableParagraph"/>
              <w:rPr>
                <w:sz w:val="21"/>
              </w:rPr>
            </w:pPr>
            <w:r>
              <w:rPr>
                <w:spacing w:val="-3"/>
                <w:sz w:val="21"/>
              </w:rPr>
              <w:t>肾病综合征或重度蛋白尿</w:t>
            </w:r>
          </w:p>
        </w:tc>
      </w:tr>
    </w:tbl>
    <w:p>
      <w:pPr>
        <w:pStyle w:val="BodyText"/>
        <w:spacing w:before="4"/>
        <w:rPr>
          <w:sz w:val="19"/>
        </w:rPr>
      </w:pPr>
    </w:p>
    <w:p>
      <w:pPr>
        <w:pStyle w:val="Heading3"/>
      </w:pPr>
      <w:r>
        <w:rPr/>
        <w:t>（三十六）</w:t>
      </w:r>
      <w:r>
        <w:rPr>
          <w:spacing w:val="-2"/>
        </w:rPr>
        <w:t>严重类风湿性关节炎</w:t>
      </w:r>
    </w:p>
    <w:p>
      <w:pPr>
        <w:pStyle w:val="BodyText"/>
        <w:spacing w:line="278" w:lineRule="auto"/>
        <w:ind w:left="2569" w:right="195"/>
      </w:pPr>
      <w:r>
        <w:rPr>
          <w:spacing w:val="-8"/>
          <w:w w:val="100"/>
        </w:rPr>
        <w:t>类风湿性关节炎为广泛分布的慢性进行性多关节病变，表现为关节严重变形，侵犯至少三个主要关节或关节组</w:t>
      </w:r>
      <w:r>
        <w:rPr>
          <w:w w:val="100"/>
        </w:rPr>
        <w:t>（</w:t>
      </w:r>
      <w:r>
        <w:rPr>
          <w:spacing w:val="-14"/>
          <w:w w:val="100"/>
        </w:rPr>
        <w:t>如：双手</w:t>
      </w:r>
      <w:r>
        <w:rPr>
          <w:w w:val="100"/>
        </w:rPr>
        <w:t>（</w:t>
      </w:r>
      <w:r>
        <w:rPr>
          <w:spacing w:val="-2"/>
          <w:w w:val="100"/>
        </w:rPr>
        <w:t>多手指</w:t>
      </w:r>
      <w:r>
        <w:rPr>
          <w:spacing w:val="-29"/>
          <w:w w:val="100"/>
        </w:rPr>
        <w:t>）</w:t>
      </w:r>
      <w:r>
        <w:rPr>
          <w:spacing w:val="-11"/>
          <w:w w:val="100"/>
        </w:rPr>
        <w:t>关节、双足</w:t>
      </w:r>
      <w:r>
        <w:rPr>
          <w:w w:val="100"/>
        </w:rPr>
        <w:t>（</w:t>
      </w:r>
      <w:r>
        <w:rPr>
          <w:spacing w:val="-2"/>
          <w:w w:val="100"/>
        </w:rPr>
        <w:t>多足趾</w:t>
      </w:r>
      <w:r>
        <w:rPr>
          <w:spacing w:val="-24"/>
          <w:w w:val="100"/>
        </w:rPr>
        <w:t>）</w:t>
      </w:r>
      <w:r>
        <w:rPr>
          <w:spacing w:val="-6"/>
          <w:w w:val="100"/>
        </w:rPr>
        <w:t>关节、</w:t>
      </w:r>
      <w:r>
        <w:rPr>
          <w:w w:val="100"/>
        </w:rPr>
        <w:t>双腕关节、双膝关节和双髋关节</w:t>
      </w:r>
      <w:r>
        <w:rPr>
          <w:spacing w:val="-106"/>
          <w:w w:val="100"/>
        </w:rPr>
        <w:t>）</w:t>
      </w:r>
      <w:r>
        <w:rPr>
          <w:w w:val="100"/>
        </w:rPr>
        <w:t>。类风湿性关节炎必须明确诊断并且已经达到</w:t>
      </w:r>
      <w:r>
        <w:rPr>
          <w:spacing w:val="-6"/>
          <w:w w:val="100"/>
        </w:rPr>
        <w:t>类风湿性关节炎功能分级Ⅲ级以上的功能障碍</w:t>
      </w:r>
      <w:r>
        <w:rPr>
          <w:w w:val="100"/>
        </w:rPr>
        <w:t>（</w:t>
      </w:r>
      <w:r>
        <w:rPr>
          <w:spacing w:val="-7"/>
          <w:w w:val="100"/>
        </w:rPr>
        <w:t>关节活动严重限制，不能完成大</w:t>
      </w:r>
      <w:r>
        <w:rPr>
          <w:spacing w:val="-6"/>
          <w:w w:val="100"/>
        </w:rPr>
        <w:t>部分的日常工作和活动</w:t>
      </w:r>
      <w:r>
        <w:rPr>
          <w:w w:val="100"/>
        </w:rPr>
        <w:t>）</w:t>
      </w:r>
      <w:r>
        <w:rPr>
          <w:spacing w:val="-4"/>
          <w:w w:val="100"/>
        </w:rPr>
        <w:t>并且满足下列全部条件：</w:t>
      </w:r>
    </w:p>
    <w:p>
      <w:pPr>
        <w:pStyle w:val="BodyText"/>
        <w:spacing w:line="268" w:lineRule="exact"/>
        <w:ind w:left="2569"/>
      </w:pPr>
      <w:r>
        <w:rPr/>
        <w:t>（1）</w:t>
      </w:r>
      <w:r>
        <w:rPr>
          <w:spacing w:val="-4"/>
        </w:rPr>
        <w:t>晨僵；</w:t>
      </w:r>
    </w:p>
    <w:p>
      <w:pPr>
        <w:pStyle w:val="ListParagraph"/>
        <w:numPr>
          <w:ilvl w:val="0"/>
          <w:numId w:val="28"/>
        </w:numPr>
        <w:tabs>
          <w:tab w:pos="3099" w:val="left" w:leader="none"/>
        </w:tabs>
        <w:spacing w:line="240" w:lineRule="auto" w:before="39" w:after="0"/>
        <w:ind w:left="3098" w:right="0" w:hanging="530"/>
        <w:jc w:val="left"/>
        <w:rPr>
          <w:sz w:val="21"/>
        </w:rPr>
      </w:pPr>
      <w:r>
        <w:rPr>
          <w:spacing w:val="-4"/>
          <w:sz w:val="21"/>
        </w:rPr>
        <w:t>对称性关节炎；</w:t>
      </w:r>
    </w:p>
    <w:p>
      <w:pPr>
        <w:pStyle w:val="ListParagraph"/>
        <w:numPr>
          <w:ilvl w:val="0"/>
          <w:numId w:val="28"/>
        </w:numPr>
        <w:tabs>
          <w:tab w:pos="3099" w:val="left" w:leader="none"/>
        </w:tabs>
        <w:spacing w:line="240" w:lineRule="auto" w:before="43" w:after="0"/>
        <w:ind w:left="3098" w:right="0" w:hanging="530"/>
        <w:jc w:val="left"/>
        <w:rPr>
          <w:sz w:val="21"/>
        </w:rPr>
      </w:pPr>
      <w:r>
        <w:rPr>
          <w:spacing w:val="-3"/>
          <w:sz w:val="21"/>
        </w:rPr>
        <w:t>类风湿性皮下结节；</w:t>
      </w:r>
    </w:p>
    <w:p>
      <w:pPr>
        <w:pStyle w:val="ListParagraph"/>
        <w:numPr>
          <w:ilvl w:val="0"/>
          <w:numId w:val="28"/>
        </w:numPr>
        <w:tabs>
          <w:tab w:pos="3099" w:val="left" w:leader="none"/>
        </w:tabs>
        <w:spacing w:line="240" w:lineRule="auto" w:before="43" w:after="0"/>
        <w:ind w:left="3098" w:right="0" w:hanging="530"/>
        <w:jc w:val="left"/>
        <w:rPr>
          <w:sz w:val="21"/>
        </w:rPr>
      </w:pPr>
      <w:r>
        <w:rPr>
          <w:spacing w:val="-3"/>
          <w:sz w:val="21"/>
        </w:rPr>
        <w:t>类风湿因子滴度升高。</w:t>
      </w:r>
    </w:p>
    <w:p>
      <w:pPr>
        <w:pStyle w:val="BodyText"/>
        <w:spacing w:before="5"/>
        <w:rPr>
          <w:sz w:val="22"/>
        </w:rPr>
      </w:pPr>
    </w:p>
    <w:p>
      <w:pPr>
        <w:pStyle w:val="Heading3"/>
        <w:spacing w:before="1"/>
      </w:pPr>
      <w:r>
        <w:rPr/>
        <w:t>（三十七）</w:t>
      </w:r>
      <w:r>
        <w:rPr>
          <w:spacing w:val="-1"/>
        </w:rPr>
        <w:t>重症急性坏死性筋膜炎</w:t>
      </w:r>
    </w:p>
    <w:p>
      <w:pPr>
        <w:pStyle w:val="BodyText"/>
        <w:spacing w:line="265" w:lineRule="exact"/>
        <w:ind w:left="2569"/>
      </w:pPr>
      <w:r>
        <w:rPr>
          <w:spacing w:val="-3"/>
        </w:rPr>
        <w:t>坏死性筋膜炎的诊断须同时符合下列要求：</w:t>
      </w:r>
    </w:p>
    <w:p>
      <w:pPr>
        <w:pStyle w:val="ListParagraph"/>
        <w:numPr>
          <w:ilvl w:val="0"/>
          <w:numId w:val="29"/>
        </w:numPr>
        <w:tabs>
          <w:tab w:pos="3099" w:val="left" w:leader="none"/>
        </w:tabs>
        <w:spacing w:line="240" w:lineRule="auto" w:before="43" w:after="0"/>
        <w:ind w:left="3098" w:right="0" w:hanging="530"/>
        <w:jc w:val="left"/>
        <w:rPr>
          <w:sz w:val="21"/>
        </w:rPr>
      </w:pPr>
      <w:r>
        <w:rPr>
          <w:spacing w:val="-3"/>
          <w:sz w:val="21"/>
        </w:rPr>
        <w:t>符合坏死性筋膜炎的一般临床表现；</w:t>
      </w:r>
    </w:p>
    <w:p>
      <w:pPr>
        <w:pStyle w:val="ListParagraph"/>
        <w:numPr>
          <w:ilvl w:val="0"/>
          <w:numId w:val="29"/>
        </w:numPr>
        <w:tabs>
          <w:tab w:pos="3099" w:val="left" w:leader="none"/>
        </w:tabs>
        <w:spacing w:line="240" w:lineRule="auto" w:before="42" w:after="0"/>
        <w:ind w:left="3098" w:right="0" w:hanging="530"/>
        <w:jc w:val="left"/>
        <w:rPr>
          <w:sz w:val="21"/>
        </w:rPr>
      </w:pPr>
      <w:r>
        <w:rPr>
          <w:spacing w:val="-3"/>
          <w:sz w:val="21"/>
        </w:rPr>
        <w:t>细菌培养检出致病菌；</w:t>
      </w:r>
    </w:p>
    <w:p>
      <w:pPr>
        <w:pStyle w:val="ListParagraph"/>
        <w:numPr>
          <w:ilvl w:val="0"/>
          <w:numId w:val="29"/>
        </w:numPr>
        <w:tabs>
          <w:tab w:pos="3099" w:val="left" w:leader="none"/>
        </w:tabs>
        <w:spacing w:line="278" w:lineRule="auto" w:before="43" w:after="0"/>
        <w:ind w:left="2569" w:right="195" w:firstLine="0"/>
        <w:jc w:val="left"/>
        <w:rPr>
          <w:sz w:val="21"/>
        </w:rPr>
      </w:pPr>
      <w:r>
        <w:rPr>
          <w:spacing w:val="-6"/>
          <w:w w:val="100"/>
          <w:sz w:val="21"/>
        </w:rPr>
        <w:t>出现广泛性肌肉及软组织坏死，并导致身体受影响部位永久完全失去功能</w:t>
      </w:r>
      <w:r>
        <w:rPr>
          <w:spacing w:val="-5"/>
          <w:w w:val="100"/>
          <w:sz w:val="21"/>
        </w:rPr>
        <w:t>。所谓永久完全失去功能是指受影响部位的全部功能完全丧失超过</w:t>
      </w:r>
      <w:r>
        <w:rPr>
          <w:spacing w:val="-53"/>
          <w:sz w:val="21"/>
        </w:rPr>
        <w:t> </w:t>
      </w:r>
      <w:r>
        <w:rPr>
          <w:spacing w:val="-5"/>
          <w:w w:val="100"/>
          <w:sz w:val="21"/>
        </w:rPr>
        <w:t>1</w:t>
      </w:r>
      <w:r>
        <w:rPr>
          <w:w w:val="100"/>
          <w:sz w:val="21"/>
        </w:rPr>
        <w:t>80</w:t>
      </w:r>
      <w:r>
        <w:rPr>
          <w:spacing w:val="-53"/>
          <w:sz w:val="21"/>
        </w:rPr>
        <w:t> </w:t>
      </w:r>
      <w:r>
        <w:rPr>
          <w:spacing w:val="-2"/>
          <w:w w:val="100"/>
          <w:sz w:val="21"/>
        </w:rPr>
        <w:t>天者。</w:t>
      </w:r>
    </w:p>
    <w:p>
      <w:pPr>
        <w:pStyle w:val="BodyText"/>
        <w:spacing w:before="2"/>
        <w:rPr>
          <w:sz w:val="19"/>
        </w:rPr>
      </w:pPr>
    </w:p>
    <w:p>
      <w:pPr>
        <w:pStyle w:val="Heading3"/>
        <w:spacing w:line="320" w:lineRule="exact"/>
      </w:pPr>
      <w:r>
        <w:rPr/>
        <w:t>（三十八）</w:t>
      </w:r>
      <w:r>
        <w:rPr>
          <w:spacing w:val="-2"/>
        </w:rPr>
        <w:t>系统性硬皮病</w:t>
      </w:r>
    </w:p>
    <w:p>
      <w:pPr>
        <w:spacing w:line="26" w:lineRule="exact" w:before="0"/>
        <w:ind w:left="2607" w:right="0" w:firstLine="0"/>
        <w:jc w:val="left"/>
        <w:rPr>
          <w:sz w:val="4"/>
        </w:rPr>
      </w:pPr>
      <w:r>
        <w:rPr>
          <w:w w:val="72"/>
          <w:sz w:val="4"/>
        </w:rPr>
        <w:t>●</w:t>
      </w:r>
    </w:p>
    <w:p>
      <w:pPr>
        <w:pStyle w:val="BodyText"/>
        <w:spacing w:line="278" w:lineRule="auto" w:before="33"/>
        <w:ind w:left="2569" w:right="301"/>
        <w:jc w:val="both"/>
      </w:pPr>
      <w:r>
        <w:rPr>
          <w:spacing w:val="-2"/>
        </w:rPr>
        <w:t>指一种全身性的胶原血管性疾病，可以导致皮肤、血管及内脏器官进行性弥漫性</w:t>
      </w:r>
      <w:r>
        <w:rPr>
          <w:spacing w:val="-2"/>
        </w:rPr>
        <w:t>纤维化。诊断必须经活检及血清学检查证实，疾病必须是全身性，且须满足下列</w:t>
      </w:r>
      <w:r>
        <w:rPr>
          <w:spacing w:val="-2"/>
        </w:rPr>
        <w:t>至少一项条件：</w:t>
      </w:r>
    </w:p>
    <w:p>
      <w:pPr>
        <w:pStyle w:val="ListParagraph"/>
        <w:numPr>
          <w:ilvl w:val="0"/>
          <w:numId w:val="30"/>
        </w:numPr>
        <w:tabs>
          <w:tab w:pos="3099" w:val="left" w:leader="none"/>
        </w:tabs>
        <w:spacing w:line="269" w:lineRule="exact" w:before="0" w:after="0"/>
        <w:ind w:left="3098" w:right="0" w:hanging="530"/>
        <w:jc w:val="left"/>
        <w:rPr>
          <w:sz w:val="21"/>
        </w:rPr>
      </w:pPr>
      <w:r>
        <w:rPr>
          <w:spacing w:val="-3"/>
          <w:sz w:val="21"/>
        </w:rPr>
        <w:t>肺脏：肺部病变进而发展为肺间质纤维化和肺动脉高压；</w:t>
      </w:r>
    </w:p>
    <w:p>
      <w:pPr>
        <w:pStyle w:val="ListParagraph"/>
        <w:numPr>
          <w:ilvl w:val="0"/>
          <w:numId w:val="30"/>
        </w:numPr>
        <w:tabs>
          <w:tab w:pos="3099" w:val="left" w:leader="none"/>
        </w:tabs>
        <w:spacing w:line="240" w:lineRule="auto" w:before="43" w:after="0"/>
        <w:ind w:left="3098" w:right="0" w:hanging="530"/>
        <w:jc w:val="left"/>
        <w:rPr>
          <w:sz w:val="21"/>
        </w:rPr>
      </w:pPr>
      <w:r>
        <w:rPr>
          <w:spacing w:val="-4"/>
          <w:sz w:val="21"/>
        </w:rPr>
        <w:t>心脏：心功能受损达到美国纽约心脏病学会心功能状态分级 </w:t>
      </w:r>
      <w:r>
        <w:rPr>
          <w:spacing w:val="-2"/>
          <w:sz w:val="21"/>
        </w:rPr>
        <w:t>IV</w:t>
      </w:r>
      <w:r>
        <w:rPr>
          <w:spacing w:val="-18"/>
          <w:sz w:val="21"/>
        </w:rPr>
        <w:t> 级；</w:t>
      </w:r>
    </w:p>
    <w:p>
      <w:pPr>
        <w:pStyle w:val="ListParagraph"/>
        <w:numPr>
          <w:ilvl w:val="0"/>
          <w:numId w:val="30"/>
        </w:numPr>
        <w:tabs>
          <w:tab w:pos="3099" w:val="left" w:leader="none"/>
        </w:tabs>
        <w:spacing w:line="248" w:lineRule="exact" w:before="43" w:after="0"/>
        <w:ind w:left="3098" w:right="0" w:hanging="530"/>
        <w:jc w:val="left"/>
        <w:rPr>
          <w:sz w:val="21"/>
        </w:rPr>
      </w:pPr>
      <w:r>
        <w:rPr>
          <w:spacing w:val="-3"/>
          <w:sz w:val="21"/>
        </w:rPr>
        <w:t>肾脏：肾脏受损导致双肾功能慢性不可逆衰竭，达到尿毒症期。</w:t>
      </w:r>
    </w:p>
    <w:p>
      <w:pPr>
        <w:spacing w:line="30" w:lineRule="exact" w:before="0"/>
        <w:ind w:left="2607" w:right="0" w:firstLine="0"/>
        <w:jc w:val="left"/>
        <w:rPr>
          <w:sz w:val="4"/>
        </w:rPr>
      </w:pPr>
      <w:r>
        <w:rPr/>
        <w:pict>
          <v:shape style="position:absolute;margin-left:174.479996pt;margin-top:2.881288pt;width:126pt;height:13.95pt;mso-position-horizontal-relative:page;mso-position-vertical-relative:paragraph;z-index:-15662592;mso-wrap-distance-left:0;mso-wrap-distance-right:0" type="#_x0000_t202" id="docshape109" filled="true" fillcolor="#d9d9d9" stroked="false">
            <v:textbox inset="0,0,0,0">
              <w:txbxContent>
                <w:p>
                  <w:pPr>
                    <w:pStyle w:val="BodyText"/>
                    <w:spacing w:before="6"/>
                    <w:ind w:right="-15"/>
                    <w:rPr>
                      <w:color w:val="000000"/>
                    </w:rPr>
                  </w:pPr>
                  <w:r>
                    <w:rPr>
                      <w:color w:val="000000"/>
                      <w:spacing w:val="-3"/>
                    </w:rPr>
                    <w:t>以下情况不在保障范围内：</w:t>
                  </w:r>
                </w:p>
              </w:txbxContent>
            </v:textbox>
            <v:fill type="solid"/>
            <w10:wrap type="topAndBottom"/>
          </v:shape>
        </w:pict>
      </w:r>
      <w:r>
        <w:rPr>
          <w:w w:val="72"/>
          <w:sz w:val="4"/>
        </w:rPr>
        <w:t>●</w:t>
      </w:r>
    </w:p>
    <w:p>
      <w:pPr>
        <w:pStyle w:val="BodyText"/>
        <w:spacing w:before="7"/>
        <w:rPr>
          <w:sz w:val="2"/>
        </w:rPr>
      </w:pPr>
    </w:p>
    <w:p>
      <w:pPr>
        <w:pStyle w:val="BodyText"/>
        <w:ind w:left="2569"/>
        <w:rPr>
          <w:sz w:val="20"/>
        </w:rPr>
      </w:pPr>
      <w:r>
        <w:rPr>
          <w:sz w:val="20"/>
        </w:rPr>
        <w:pict>
          <v:shape style="width:220.6pt;height:13.95pt;mso-position-horizontal-relative:char;mso-position-vertical-relative:line" type="#_x0000_t202" id="docshape110" filled="true" fillcolor="#d9d9d9" stroked="false">
            <w10:anchorlock/>
            <v:textbox inset="0,0,0,0">
              <w:txbxContent>
                <w:p>
                  <w:pPr>
                    <w:pStyle w:val="BodyText"/>
                    <w:spacing w:before="6"/>
                    <w:ind w:right="-15"/>
                    <w:rPr>
                      <w:color w:val="000000"/>
                    </w:rPr>
                  </w:pPr>
                  <w:r>
                    <w:rPr>
                      <w:color w:val="000000"/>
                      <w:spacing w:val="-2"/>
                    </w:rPr>
                    <w:t>（1）局限性硬皮病（带状硬皮病或斑状损害</w:t>
                  </w:r>
                  <w:r>
                    <w:rPr>
                      <w:color w:val="000000"/>
                      <w:spacing w:val="-116"/>
                    </w:rPr>
                    <w:t>）</w:t>
                  </w:r>
                  <w:r>
                    <w:rPr>
                      <w:color w:val="000000"/>
                      <w:spacing w:val="-10"/>
                    </w:rPr>
                    <w:t>；</w:t>
                  </w:r>
                </w:p>
              </w:txbxContent>
            </v:textbox>
            <v:fill type="solid"/>
          </v:shape>
        </w:pict>
      </w:r>
      <w:r>
        <w:rPr>
          <w:sz w:val="20"/>
        </w:rPr>
      </w:r>
    </w:p>
    <w:p>
      <w:pPr>
        <w:pStyle w:val="BodyText"/>
        <w:ind w:left="2569"/>
        <w:rPr>
          <w:sz w:val="20"/>
        </w:rPr>
      </w:pPr>
      <w:r>
        <w:rPr>
          <w:sz w:val="20"/>
        </w:rPr>
        <w:pict>
          <v:shape style="width:99.85pt;height:13.95pt;mso-position-horizontal-relative:char;mso-position-vertical-relative:line" type="#_x0000_t202" id="docshape111" filled="true" fillcolor="#d9d9d9" stroked="false">
            <w10:anchorlock/>
            <v:textbox inset="0,0,0,0">
              <w:txbxContent>
                <w:p>
                  <w:pPr>
                    <w:pStyle w:val="BodyText"/>
                    <w:spacing w:before="6"/>
                    <w:ind w:right="-15"/>
                    <w:rPr>
                      <w:color w:val="000000"/>
                    </w:rPr>
                  </w:pPr>
                  <w:r>
                    <w:rPr>
                      <w:color w:val="000000"/>
                      <w:spacing w:val="-4"/>
                    </w:rPr>
                    <w:t>（2）</w:t>
                  </w:r>
                  <w:r>
                    <w:rPr>
                      <w:color w:val="000000"/>
                      <w:spacing w:val="-5"/>
                    </w:rPr>
                    <w:t>嗜酸性筋膜炎；</w:t>
                  </w:r>
                </w:p>
              </w:txbxContent>
            </v:textbox>
            <v:fill type="solid"/>
          </v:shape>
        </w:pict>
      </w:r>
      <w:r>
        <w:rPr>
          <w:sz w:val="20"/>
        </w:rPr>
      </w:r>
    </w:p>
    <w:p>
      <w:pPr>
        <w:pStyle w:val="BodyText"/>
        <w:rPr>
          <w:sz w:val="2"/>
        </w:rPr>
      </w:pPr>
    </w:p>
    <w:p>
      <w:pPr>
        <w:pStyle w:val="BodyText"/>
        <w:ind w:left="2569"/>
        <w:rPr>
          <w:sz w:val="20"/>
        </w:rPr>
      </w:pPr>
      <w:r>
        <w:rPr>
          <w:sz w:val="20"/>
        </w:rPr>
        <w:pict>
          <v:shape style="width:97.2pt;height:13.95pt;mso-position-horizontal-relative:char;mso-position-vertical-relative:line" type="#_x0000_t202" id="docshape112" filled="true" fillcolor="#d9d9d9" stroked="false">
            <w10:anchorlock/>
            <v:textbox inset="0,0,0,0">
              <w:txbxContent>
                <w:p>
                  <w:pPr>
                    <w:pStyle w:val="BodyText"/>
                    <w:spacing w:before="6"/>
                    <w:ind w:right="-15"/>
                    <w:rPr>
                      <w:color w:val="000000"/>
                    </w:rPr>
                  </w:pPr>
                  <w:r>
                    <w:rPr>
                      <w:color w:val="000000"/>
                      <w:spacing w:val="-4"/>
                    </w:rPr>
                    <w:t>（3）CREST</w:t>
                  </w:r>
                  <w:r>
                    <w:rPr>
                      <w:color w:val="000000"/>
                      <w:spacing w:val="-8"/>
                    </w:rPr>
                    <w:t> 综合征。</w:t>
                  </w:r>
                </w:p>
              </w:txbxContent>
            </v:textbox>
            <v:fill type="solid"/>
          </v:shape>
        </w:pict>
      </w:r>
      <w:r>
        <w:rPr>
          <w:sz w:val="20"/>
        </w:rPr>
      </w:r>
    </w:p>
    <w:p>
      <w:pPr>
        <w:pStyle w:val="BodyText"/>
        <w:spacing w:before="1"/>
        <w:rPr>
          <w:sz w:val="20"/>
        </w:rPr>
      </w:pPr>
    </w:p>
    <w:p>
      <w:pPr>
        <w:pStyle w:val="Heading3"/>
        <w:spacing w:before="5"/>
      </w:pPr>
      <w:r>
        <w:rPr/>
        <w:t>（三十九）</w:t>
      </w:r>
      <w:r>
        <w:rPr>
          <w:spacing w:val="-2"/>
        </w:rPr>
        <w:t>慢性复发性胰腺炎</w:t>
      </w:r>
    </w:p>
    <w:p>
      <w:pPr>
        <w:pStyle w:val="BodyText"/>
        <w:spacing w:line="278" w:lineRule="auto"/>
        <w:ind w:left="2569" w:right="238"/>
      </w:pPr>
      <w:r>
        <w:rPr>
          <w:spacing w:val="-5"/>
        </w:rPr>
        <w:t>指胰腺炎反复发作超过三次以上并导致胰腺功能紊乱和营养不良，需要接受酶替</w:t>
      </w:r>
      <w:r>
        <w:rPr>
          <w:spacing w:val="-3"/>
        </w:rPr>
        <w:t>代治疗。诊断必须有消化科专科医生确认并且有内窥镜逆行胰胆管造影所证实。</w:t>
      </w:r>
    </w:p>
    <w:p>
      <w:pPr>
        <w:spacing w:after="0" w:line="278" w:lineRule="auto"/>
        <w:sectPr>
          <w:pgSz w:w="11910" w:h="16840"/>
          <w:pgMar w:top="1080" w:bottom="280" w:left="920" w:right="820"/>
        </w:sectPr>
      </w:pPr>
    </w:p>
    <w:p>
      <w:pPr>
        <w:pStyle w:val="BodyText"/>
        <w:spacing w:before="59"/>
        <w:ind w:left="2569"/>
      </w:pPr>
      <w:r>
        <w:rPr>
          <w:color w:val="000000"/>
          <w:spacing w:val="-3"/>
          <w:shd w:fill="D9D9D9" w:color="auto" w:val="clear"/>
        </w:rPr>
        <w:t>因酒精所致的慢性复发性胰腺炎除外。</w:t>
      </w:r>
    </w:p>
    <w:p>
      <w:pPr>
        <w:pStyle w:val="BodyText"/>
        <w:spacing w:before="6"/>
        <w:rPr>
          <w:sz w:val="22"/>
        </w:rPr>
      </w:pPr>
    </w:p>
    <w:p>
      <w:pPr>
        <w:pStyle w:val="Heading3"/>
      </w:pPr>
      <w:r>
        <w:rPr/>
        <w:t>（四十）</w:t>
      </w:r>
      <w:r>
        <w:rPr>
          <w:spacing w:val="-2"/>
        </w:rPr>
        <w:t>严重肌营养不良症</w:t>
      </w:r>
    </w:p>
    <w:p>
      <w:pPr>
        <w:pStyle w:val="BodyText"/>
        <w:spacing w:line="278" w:lineRule="auto"/>
        <w:ind w:left="2569" w:right="301"/>
      </w:pPr>
      <w:r>
        <w:rPr>
          <w:spacing w:val="-7"/>
        </w:rPr>
        <w:t>指一组原发于肌肉的遗传性疾病，临床表现为与神经系统无关的肌肉无力和肌肉</w:t>
      </w:r>
      <w:r>
        <w:rPr>
          <w:spacing w:val="-2"/>
        </w:rPr>
        <w:t>萎缩。须满足下列全部条件：</w:t>
      </w:r>
    </w:p>
    <w:p>
      <w:pPr>
        <w:pStyle w:val="ListParagraph"/>
        <w:numPr>
          <w:ilvl w:val="0"/>
          <w:numId w:val="31"/>
        </w:numPr>
        <w:tabs>
          <w:tab w:pos="3099" w:val="left" w:leader="none"/>
        </w:tabs>
        <w:spacing w:line="269" w:lineRule="exact" w:before="0" w:after="0"/>
        <w:ind w:left="3098" w:right="0" w:hanging="530"/>
        <w:jc w:val="left"/>
        <w:rPr>
          <w:sz w:val="21"/>
        </w:rPr>
      </w:pPr>
      <w:r>
        <w:rPr>
          <w:spacing w:val="-3"/>
          <w:sz w:val="21"/>
        </w:rPr>
        <w:t>肌肉组织活检结果满足肌营养不良症的肌肉细胞变性、坏死等阳性改变；</w:t>
      </w:r>
    </w:p>
    <w:p>
      <w:pPr>
        <w:pStyle w:val="BodyText"/>
        <w:spacing w:line="278" w:lineRule="auto" w:before="39"/>
        <w:ind w:left="2569" w:right="305"/>
      </w:pPr>
      <w:r>
        <w:rPr>
          <w:spacing w:val="-2"/>
        </w:rPr>
        <w:t>（2）自主生活能力严重丧失，无法独立完成六项基本日常生活活动中的三项或</w:t>
      </w:r>
      <w:r>
        <w:rPr>
          <w:spacing w:val="-2"/>
        </w:rPr>
        <w:t>三项以上。</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spacing w:line="320" w:lineRule="exact"/>
      </w:pPr>
      <w:r>
        <w:rPr>
          <w:w w:val="95"/>
        </w:rPr>
        <w:t>（</w:t>
      </w:r>
      <w:r>
        <w:rPr>
          <w:w w:val="95"/>
        </w:rPr>
        <w:t>四</w:t>
      </w:r>
      <w:r>
        <w:rPr>
          <w:w w:val="95"/>
        </w:rPr>
        <w:t>十</w:t>
      </w:r>
      <w:r>
        <w:rPr>
          <w:w w:val="95"/>
        </w:rPr>
        <w:t>一</w:t>
      </w:r>
      <w:r>
        <w:rPr>
          <w:w w:val="95"/>
        </w:rPr>
        <w:t>）</w:t>
      </w:r>
      <w:r>
        <w:rPr>
          <w:w w:val="95"/>
        </w:rPr>
        <w:t>因</w:t>
      </w:r>
      <w:r>
        <w:rPr>
          <w:w w:val="95"/>
        </w:rPr>
        <w:t>职</w:t>
      </w:r>
      <w:r>
        <w:rPr>
          <w:w w:val="95"/>
        </w:rPr>
        <w:t>业</w:t>
      </w:r>
      <w:r>
        <w:rPr>
          <w:w w:val="95"/>
        </w:rPr>
        <w:t>关</w:t>
      </w:r>
      <w:r>
        <w:rPr>
          <w:w w:val="95"/>
        </w:rPr>
        <w:t>系</w:t>
      </w:r>
      <w:r>
        <w:rPr>
          <w:w w:val="95"/>
        </w:rPr>
        <w:t>导</w:t>
      </w:r>
      <w:r>
        <w:rPr>
          <w:w w:val="95"/>
        </w:rPr>
        <w:t>致</w:t>
      </w:r>
      <w:r>
        <w:rPr>
          <w:w w:val="95"/>
        </w:rPr>
        <w:t>的</w:t>
      </w:r>
      <w:r>
        <w:rPr>
          <w:spacing w:val="34"/>
        </w:rPr>
        <w:t> </w:t>
      </w:r>
      <w:r>
        <w:rPr>
          <w:w w:val="95"/>
        </w:rPr>
        <w:t>HIV</w:t>
      </w:r>
      <w:r>
        <w:rPr>
          <w:spacing w:val="34"/>
        </w:rPr>
        <w:t> </w:t>
      </w:r>
      <w:r>
        <w:rPr>
          <w:w w:val="95"/>
        </w:rPr>
        <w:t>感</w:t>
      </w:r>
      <w:r>
        <w:rPr>
          <w:spacing w:val="-10"/>
          <w:w w:val="95"/>
        </w:rPr>
        <w:t>染</w:t>
      </w:r>
    </w:p>
    <w:p>
      <w:pPr>
        <w:spacing w:line="26" w:lineRule="exact" w:before="0"/>
        <w:ind w:left="2607" w:right="0" w:firstLine="0"/>
        <w:jc w:val="left"/>
        <w:rPr>
          <w:sz w:val="4"/>
        </w:rPr>
      </w:pPr>
      <w:r>
        <w:rPr>
          <w:w w:val="72"/>
          <w:sz w:val="4"/>
        </w:rPr>
        <w:t>●</w:t>
      </w:r>
    </w:p>
    <w:p>
      <w:pPr>
        <w:pStyle w:val="BodyText"/>
        <w:spacing w:line="278" w:lineRule="auto" w:before="33"/>
        <w:ind w:left="2569" w:right="301"/>
      </w:pPr>
      <w:r>
        <w:rPr>
          <w:spacing w:val="-6"/>
        </w:rPr>
        <w:t>被保险人在其常规职业工作过程中遭遇外伤，或职业需要处理血液或其他体液时</w:t>
      </w:r>
      <w:r>
        <w:rPr>
          <w:spacing w:val="-2"/>
        </w:rPr>
        <w:t>感染上人类免疫缺陷病毒</w:t>
      </w:r>
      <w:r>
        <w:rPr>
          <w:spacing w:val="20"/>
        </w:rPr>
        <w:t>（HI</w:t>
      </w:r>
      <w:r>
        <w:rPr>
          <w:spacing w:val="15"/>
        </w:rPr>
        <w:t>V</w:t>
      </w:r>
      <w:r>
        <w:rPr>
          <w:spacing w:val="-86"/>
        </w:rPr>
        <w:t>）</w:t>
      </w:r>
      <w:r>
        <w:rPr>
          <w:spacing w:val="-2"/>
        </w:rPr>
        <w:t>。必须满足下列全部条件：</w:t>
      </w:r>
    </w:p>
    <w:p>
      <w:pPr>
        <w:pStyle w:val="BodyText"/>
        <w:spacing w:line="278" w:lineRule="auto"/>
        <w:ind w:left="2569" w:right="305"/>
      </w:pPr>
      <w:r>
        <w:rPr>
          <w:spacing w:val="-2"/>
        </w:rPr>
        <w:t>（1）感染必须是在被保险人正在从事其职业工作中发生，该职业必须属于下列</w:t>
      </w:r>
      <w:r>
        <w:rPr>
          <w:spacing w:val="-2"/>
        </w:rPr>
        <w:t>限定职业范围内的职业；</w:t>
      </w:r>
    </w:p>
    <w:p>
      <w:pPr>
        <w:pStyle w:val="ListParagraph"/>
        <w:numPr>
          <w:ilvl w:val="0"/>
          <w:numId w:val="31"/>
        </w:numPr>
        <w:tabs>
          <w:tab w:pos="3099" w:val="left" w:leader="none"/>
        </w:tabs>
        <w:spacing w:line="269" w:lineRule="exact" w:before="0" w:after="0"/>
        <w:ind w:left="3098"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31"/>
        </w:numPr>
        <w:tabs>
          <w:tab w:pos="3099" w:val="left" w:leader="none"/>
        </w:tabs>
        <w:spacing w:line="278" w:lineRule="auto" w:before="43" w:after="0"/>
        <w:ind w:left="2569" w:right="301" w:firstLine="0"/>
        <w:jc w:val="left"/>
        <w:rPr>
          <w:sz w:val="21"/>
        </w:rPr>
      </w:pPr>
      <w:r>
        <w:rPr>
          <w:spacing w:val="-2"/>
          <w:sz w:val="21"/>
        </w:rPr>
        <w:t>必须提供被保险人在所报事故后发生的 </w:t>
      </w:r>
      <w:r>
        <w:rPr>
          <w:sz w:val="21"/>
        </w:rPr>
        <w:t>5</w:t>
      </w:r>
      <w:r>
        <w:rPr>
          <w:spacing w:val="-6"/>
          <w:sz w:val="21"/>
        </w:rPr>
        <w:t> 天以内进行的检查报告，该报告</w:t>
      </w:r>
      <w:r>
        <w:rPr>
          <w:spacing w:val="-2"/>
          <w:sz w:val="21"/>
        </w:rPr>
        <w:t>必须显示被保险人血液人类免疫缺陷病毒（HIV）阴性和/或人类免疫缺陷病毒</w:t>
      </w:r>
    </w:p>
    <w:p>
      <w:pPr>
        <w:pStyle w:val="BodyText"/>
        <w:spacing w:line="269" w:lineRule="exact"/>
        <w:ind w:left="2569"/>
      </w:pPr>
      <w:r>
        <w:rPr>
          <w:spacing w:val="-2"/>
        </w:rPr>
        <w:t>（HIV）</w:t>
      </w:r>
      <w:r>
        <w:rPr>
          <w:spacing w:val="-4"/>
        </w:rPr>
        <w:t>抗体阴性；</w:t>
      </w:r>
    </w:p>
    <w:p>
      <w:pPr>
        <w:pStyle w:val="ListParagraph"/>
        <w:numPr>
          <w:ilvl w:val="0"/>
          <w:numId w:val="31"/>
        </w:numPr>
        <w:tabs>
          <w:tab w:pos="3099" w:val="left" w:leader="none"/>
        </w:tabs>
        <w:spacing w:line="240" w:lineRule="auto" w:before="43" w:after="0"/>
        <w:ind w:left="3098" w:right="0" w:hanging="530"/>
        <w:jc w:val="left"/>
        <w:rPr>
          <w:sz w:val="21"/>
        </w:rPr>
      </w:pPr>
      <w:r>
        <w:rPr>
          <w:sz w:val="21"/>
        </w:rPr>
        <w:t>必须在事故发生后的 12</w:t>
      </w:r>
      <w:r>
        <w:rPr>
          <w:spacing w:val="-1"/>
          <w:sz w:val="21"/>
        </w:rPr>
        <w:t> 个月内证实被保险人体内存在人类免疫缺陷病毒</w:t>
      </w:r>
    </w:p>
    <w:p>
      <w:pPr>
        <w:pStyle w:val="BodyText"/>
        <w:spacing w:line="278" w:lineRule="auto" w:before="43"/>
        <w:ind w:left="2569" w:right="3598"/>
      </w:pPr>
      <w:r>
        <w:rPr>
          <w:spacing w:val="-2"/>
        </w:rPr>
        <w:t>（HIV）或人类免疫缺陷病毒（HIV）抗体。</w:t>
      </w:r>
      <w:r>
        <w:rPr>
          <w:spacing w:val="-2"/>
        </w:rPr>
        <w:t>限定职业：</w:t>
      </w:r>
    </w:p>
    <w:p>
      <w:pPr>
        <w:pStyle w:val="BodyText"/>
        <w:spacing w:line="269" w:lineRule="exact"/>
        <w:ind w:left="2569"/>
      </w:pPr>
      <w:r>
        <w:rPr>
          <w:spacing w:val="-7"/>
        </w:rPr>
        <w:t>医生和牙科医生、护士、医院化验室工作人员、医院护工、医生助理和牙医助理、</w:t>
      </w:r>
    </w:p>
    <w:p>
      <w:pPr>
        <w:pStyle w:val="BodyText"/>
        <w:spacing w:line="248" w:lineRule="exact" w:before="43"/>
        <w:ind w:left="2569"/>
      </w:pPr>
      <w:r>
        <w:rPr>
          <w:spacing w:val="-3"/>
        </w:rPr>
        <w:t>救护车工作人员、助产士、消防队员、警察、狱警。</w:t>
      </w:r>
    </w:p>
    <w:p>
      <w:pPr>
        <w:spacing w:line="31" w:lineRule="exact" w:before="0"/>
        <w:ind w:left="2607" w:right="0" w:firstLine="0"/>
        <w:jc w:val="left"/>
        <w:rPr>
          <w:sz w:val="4"/>
        </w:rPr>
      </w:pPr>
      <w:r>
        <w:rPr>
          <w:w w:val="72"/>
          <w:sz w:val="4"/>
        </w:rPr>
        <w:t>●</w:t>
      </w:r>
    </w:p>
    <w:p>
      <w:pPr>
        <w:pStyle w:val="BodyText"/>
        <w:spacing w:line="278" w:lineRule="auto" w:before="33"/>
        <w:ind w:left="2569" w:right="195"/>
      </w:pPr>
      <w:r>
        <w:rPr>
          <w:color w:val="000000"/>
          <w:spacing w:val="-2"/>
          <w:shd w:fill="D9D9D9" w:color="auto" w:val="clear"/>
        </w:rPr>
        <w:t>在任何治愈艾滋病或阻止人类免疫缺陷病毒（HIV）病毒作用的疗法被发现以后，</w:t>
      </w:r>
      <w:r>
        <w:rPr>
          <w:color w:val="000000"/>
          <w:spacing w:val="80"/>
          <w:w w:val="150"/>
          <w:shd w:fill="D9D9D9" w:color="auto" w:val="clear"/>
        </w:rPr>
        <w:t>                                        </w:t>
      </w:r>
      <w:r>
        <w:rPr>
          <w:color w:val="000000"/>
          <w:spacing w:val="-2"/>
          <w:shd w:fill="D9D9D9" w:color="auto" w:val="clear"/>
        </w:rPr>
        <w:t>或能防止艾滋病发生的医疗方法被研究出来以后，本保障将不再予以赔付。</w:t>
      </w:r>
    </w:p>
    <w:p>
      <w:pPr>
        <w:pStyle w:val="BodyText"/>
        <w:spacing w:line="278" w:lineRule="auto"/>
        <w:ind w:left="2569" w:right="301"/>
      </w:pPr>
      <w:r>
        <w:rPr>
          <w:color w:val="000000"/>
          <w:spacing w:val="-2"/>
          <w:shd w:fill="D9D9D9" w:color="auto" w:val="clear"/>
        </w:rPr>
        <w:t>本公司必须拥有获得使用被保险人的所有血液样本的权利和能够对这些样本进</w:t>
      </w:r>
      <w:r>
        <w:rPr>
          <w:color w:val="000000"/>
          <w:spacing w:val="80"/>
          <w:w w:val="150"/>
          <w:shd w:fill="D9D9D9" w:color="auto" w:val="clear"/>
        </w:rPr>
        <w:t>                                       </w:t>
      </w:r>
      <w:r>
        <w:rPr>
          <w:color w:val="000000"/>
          <w:spacing w:val="-2"/>
          <w:shd w:fill="D9D9D9" w:color="auto" w:val="clear"/>
        </w:rPr>
        <w:t>行独立检验的权利。</w:t>
      </w:r>
    </w:p>
    <w:p>
      <w:pPr>
        <w:pStyle w:val="BodyText"/>
        <w:spacing w:line="278" w:lineRule="auto"/>
        <w:ind w:left="2569" w:right="301"/>
      </w:pPr>
      <w:r>
        <w:rPr>
          <w:color w:val="000000"/>
          <w:spacing w:val="-6"/>
          <w:shd w:fill="D9D9D9" w:color="auto" w:val="clear"/>
        </w:rPr>
        <w:t>本公司承担本项疾病责任不受本合同责任免除中“被保险人感染艾滋病病毒或患</w:t>
      </w:r>
      <w:r>
        <w:rPr>
          <w:color w:val="000000"/>
          <w:spacing w:val="-2"/>
          <w:shd w:fill="D9D9D9" w:color="auto" w:val="clear"/>
        </w:rPr>
        <w:t>艾滋病”的限制。</w:t>
      </w:r>
    </w:p>
    <w:p>
      <w:pPr>
        <w:pStyle w:val="BodyText"/>
        <w:spacing w:before="1"/>
        <w:rPr>
          <w:sz w:val="19"/>
        </w:rPr>
      </w:pPr>
    </w:p>
    <w:p>
      <w:pPr>
        <w:pStyle w:val="Heading3"/>
      </w:pPr>
      <w:r>
        <w:rPr/>
        <w:t>（四十二）</w:t>
      </w:r>
      <w:r>
        <w:rPr>
          <w:spacing w:val="-2"/>
        </w:rPr>
        <w:t>植物人状态</w:t>
      </w:r>
    </w:p>
    <w:p>
      <w:pPr>
        <w:pStyle w:val="BodyText"/>
        <w:spacing w:line="278" w:lineRule="auto"/>
        <w:ind w:left="2569" w:right="301"/>
      </w:pPr>
      <w:r>
        <w:rPr>
          <w:spacing w:val="-5"/>
        </w:rPr>
        <w:t>指脑皮质广泛性坏死而导致对自身及周边的认知能力完全丧失，但脑干功能依然</w:t>
      </w:r>
      <w:r>
        <w:rPr>
          <w:spacing w:val="-2"/>
        </w:rPr>
        <w:t>存在。必须由神经专科医生明确诊断,并有头颅断层扫描</w:t>
      </w:r>
      <w:r>
        <w:rPr>
          <w:spacing w:val="20"/>
        </w:rPr>
        <w:t>（</w:t>
      </w:r>
      <w:r>
        <w:rPr>
          <w:spacing w:val="16"/>
        </w:rPr>
        <w:t>CT</w:t>
      </w:r>
      <w:r>
        <w:rPr>
          <w:spacing w:val="-85"/>
        </w:rPr>
        <w:t>）</w:t>
      </w:r>
      <w:r>
        <w:rPr>
          <w:spacing w:val="-1"/>
        </w:rPr>
        <w:t>，核磁共振检查</w:t>
      </w:r>
    </w:p>
    <w:p>
      <w:pPr>
        <w:pStyle w:val="BodyText"/>
        <w:spacing w:line="269" w:lineRule="exact"/>
        <w:ind w:left="2569"/>
      </w:pPr>
      <w:r>
        <w:rPr>
          <w:spacing w:val="-2"/>
        </w:rPr>
        <w:t>（MRI）或正电子发射断层扫描（PET）</w:t>
      </w:r>
      <w:r>
        <w:rPr>
          <w:spacing w:val="-3"/>
        </w:rPr>
        <w:t>等影像学检查证实。</w:t>
      </w:r>
    </w:p>
    <w:p>
      <w:pPr>
        <w:pStyle w:val="BodyText"/>
        <w:spacing w:line="278" w:lineRule="auto" w:before="39"/>
        <w:ind w:left="2569" w:right="301"/>
      </w:pPr>
      <w:r>
        <w:rPr>
          <w:color w:val="000000"/>
          <w:spacing w:val="-5"/>
          <w:shd w:fill="D9D9D9" w:color="auto" w:val="clear"/>
        </w:rPr>
        <w:t>上述情况必须有至少一个月的病历记录加以证实。由于酗酒或滥用药物所致的植</w:t>
      </w:r>
      <w:r>
        <w:rPr>
          <w:color w:val="000000"/>
          <w:spacing w:val="-2"/>
          <w:shd w:fill="D9D9D9" w:color="auto" w:val="clear"/>
        </w:rPr>
        <w:t>物人状态不在保障范围内。</w:t>
      </w:r>
    </w:p>
    <w:p>
      <w:pPr>
        <w:pStyle w:val="BodyText"/>
        <w:spacing w:before="1"/>
        <w:rPr>
          <w:sz w:val="19"/>
        </w:rPr>
      </w:pPr>
    </w:p>
    <w:p>
      <w:pPr>
        <w:pStyle w:val="Heading3"/>
      </w:pPr>
      <w:r>
        <w:rPr>
          <w:w w:val="95"/>
        </w:rPr>
        <w:t>（</w:t>
      </w:r>
      <w:r>
        <w:rPr>
          <w:w w:val="95"/>
        </w:rPr>
        <w:t>四</w:t>
      </w:r>
      <w:r>
        <w:rPr>
          <w:w w:val="95"/>
        </w:rPr>
        <w:t>十</w:t>
      </w:r>
      <w:r>
        <w:rPr>
          <w:w w:val="95"/>
        </w:rPr>
        <w:t>三</w:t>
      </w:r>
      <w:r>
        <w:rPr>
          <w:w w:val="95"/>
        </w:rPr>
        <w:t>）</w:t>
      </w:r>
      <w:r>
        <w:rPr>
          <w:w w:val="95"/>
        </w:rPr>
        <w:t>严</w:t>
      </w:r>
      <w:r>
        <w:rPr>
          <w:w w:val="95"/>
        </w:rPr>
        <w:t>重</w:t>
      </w:r>
      <w:r>
        <w:rPr>
          <w:spacing w:val="33"/>
        </w:rPr>
        <w:t> </w:t>
      </w:r>
      <w:r>
        <w:rPr>
          <w:w w:val="95"/>
        </w:rPr>
        <w:t>1</w:t>
      </w:r>
      <w:r>
        <w:rPr>
          <w:spacing w:val="33"/>
        </w:rPr>
        <w:t> </w:t>
      </w:r>
      <w:r>
        <w:rPr>
          <w:w w:val="95"/>
        </w:rPr>
        <w:t>型</w:t>
      </w:r>
      <w:r>
        <w:rPr>
          <w:w w:val="95"/>
        </w:rPr>
        <w:t>糖</w:t>
      </w:r>
      <w:r>
        <w:rPr>
          <w:w w:val="95"/>
        </w:rPr>
        <w:t>尿</w:t>
      </w:r>
      <w:r>
        <w:rPr>
          <w:spacing w:val="-10"/>
          <w:w w:val="95"/>
        </w:rPr>
        <w:t>病</w:t>
      </w:r>
    </w:p>
    <w:p>
      <w:pPr>
        <w:pStyle w:val="BodyText"/>
        <w:spacing w:line="278" w:lineRule="auto"/>
        <w:ind w:left="2569" w:right="301"/>
      </w:pPr>
      <w:r>
        <w:rPr>
          <w:spacing w:val="-18"/>
        </w:rPr>
        <w:t>严重 </w:t>
      </w:r>
      <w:r>
        <w:rPr/>
        <w:t>1</w:t>
      </w:r>
      <w:r>
        <w:rPr>
          <w:spacing w:val="-11"/>
        </w:rPr>
        <w:t> 型糖尿病为由于胰岛素分泌绝对不足引起的慢性血糖升高，且已经持续性</w:t>
      </w:r>
      <w:r>
        <w:rPr>
          <w:spacing w:val="-8"/>
        </w:rPr>
        <w:t>地依赖外源性胰岛素维持 </w:t>
      </w:r>
      <w:r>
        <w:rPr>
          <w:spacing w:val="-4"/>
        </w:rPr>
        <w:t>180</w:t>
      </w:r>
      <w:r>
        <w:rPr>
          <w:spacing w:val="-14"/>
        </w:rPr>
        <w:t> 日以上。须经血胰岛素测定、血 </w:t>
      </w:r>
      <w:r>
        <w:rPr>
          <w:spacing w:val="-4"/>
        </w:rPr>
        <w:t>C</w:t>
      </w:r>
      <w:r>
        <w:rPr>
          <w:spacing w:val="-17"/>
        </w:rPr>
        <w:t> 肽测定或尿 </w:t>
      </w:r>
      <w:r>
        <w:rPr>
          <w:spacing w:val="-4"/>
        </w:rPr>
        <w:t>C</w:t>
      </w:r>
      <w:r>
        <w:rPr>
          <w:spacing w:val="-30"/>
        </w:rPr>
        <w:t> 肽</w:t>
      </w:r>
    </w:p>
    <w:p>
      <w:pPr>
        <w:pStyle w:val="BodyText"/>
        <w:spacing w:line="248" w:lineRule="exact"/>
        <w:ind w:left="2569"/>
      </w:pPr>
      <w:r>
        <w:rPr>
          <w:spacing w:val="-5"/>
        </w:rPr>
        <w:t>测定，结果异常，并由内分泌科专科医生明确诊断。并须在本合同有效期内，满</w:t>
      </w:r>
    </w:p>
    <w:p>
      <w:pPr>
        <w:spacing w:line="31" w:lineRule="exact" w:before="0"/>
        <w:ind w:left="3227" w:right="0" w:firstLine="0"/>
        <w:jc w:val="left"/>
        <w:rPr>
          <w:sz w:val="4"/>
        </w:rPr>
      </w:pPr>
      <w:r>
        <w:rPr>
          <w:w w:val="72"/>
          <w:sz w:val="4"/>
        </w:rPr>
        <w:t>●</w:t>
      </w:r>
    </w:p>
    <w:p>
      <w:pPr>
        <w:pStyle w:val="BodyText"/>
        <w:spacing w:before="29"/>
        <w:ind w:left="2569"/>
      </w:pPr>
      <w:r>
        <w:rPr>
          <w:spacing w:val="-11"/>
        </w:rPr>
        <w:t>足下述至少 </w:t>
      </w:r>
      <w:r>
        <w:rPr>
          <w:spacing w:val="-2"/>
        </w:rPr>
        <w:t>1</w:t>
      </w:r>
      <w:r>
        <w:rPr>
          <w:spacing w:val="-14"/>
        </w:rPr>
        <w:t> 个条件：</w:t>
      </w:r>
    </w:p>
    <w:p>
      <w:pPr>
        <w:pStyle w:val="ListParagraph"/>
        <w:numPr>
          <w:ilvl w:val="0"/>
          <w:numId w:val="32"/>
        </w:numPr>
        <w:tabs>
          <w:tab w:pos="3099" w:val="left" w:leader="none"/>
        </w:tabs>
        <w:spacing w:line="240" w:lineRule="auto" w:before="43" w:after="0"/>
        <w:ind w:left="3098" w:right="0" w:hanging="530"/>
        <w:jc w:val="left"/>
        <w:rPr>
          <w:sz w:val="21"/>
        </w:rPr>
      </w:pPr>
      <w:r>
        <w:rPr>
          <w:spacing w:val="-3"/>
          <w:sz w:val="21"/>
        </w:rPr>
        <w:t>已出现增殖性视网膜病变；</w:t>
      </w:r>
    </w:p>
    <w:p>
      <w:pPr>
        <w:pStyle w:val="ListParagraph"/>
        <w:numPr>
          <w:ilvl w:val="0"/>
          <w:numId w:val="32"/>
        </w:numPr>
        <w:tabs>
          <w:tab w:pos="3099" w:val="left" w:leader="none"/>
        </w:tabs>
        <w:spacing w:line="240" w:lineRule="auto" w:before="43" w:after="0"/>
        <w:ind w:left="3098" w:right="0" w:hanging="530"/>
        <w:jc w:val="left"/>
        <w:rPr>
          <w:sz w:val="21"/>
        </w:rPr>
      </w:pPr>
      <w:r>
        <w:rPr>
          <w:spacing w:val="-3"/>
          <w:sz w:val="21"/>
        </w:rPr>
        <w:t>须植入心脏起搏器治疗心脏病；</w:t>
      </w:r>
    </w:p>
    <w:p>
      <w:pPr>
        <w:spacing w:after="0" w:line="240" w:lineRule="auto"/>
        <w:jc w:val="left"/>
        <w:rPr>
          <w:sz w:val="21"/>
        </w:rPr>
        <w:sectPr>
          <w:pgSz w:w="11910" w:h="16840"/>
          <w:pgMar w:top="1080" w:bottom="280" w:left="920" w:right="820"/>
        </w:sectPr>
      </w:pPr>
    </w:p>
    <w:p>
      <w:pPr>
        <w:pStyle w:val="BodyText"/>
        <w:spacing w:line="278" w:lineRule="auto" w:before="59"/>
        <w:ind w:left="2569" w:right="305"/>
      </w:pPr>
      <w:r>
        <w:rPr>
          <w:spacing w:val="-2"/>
        </w:rPr>
        <w:t>（3）在本公司认可医院内已经进行了医疗必须的由足踝或以上位置的单足截除</w:t>
      </w:r>
      <w:r>
        <w:rPr>
          <w:spacing w:val="-4"/>
        </w:rPr>
        <w:t>手术。</w:t>
      </w:r>
    </w:p>
    <w:p>
      <w:pPr>
        <w:pStyle w:val="BodyText"/>
        <w:spacing w:before="1"/>
        <w:rPr>
          <w:sz w:val="19"/>
        </w:rPr>
      </w:pPr>
    </w:p>
    <w:p>
      <w:pPr>
        <w:pStyle w:val="Heading3"/>
      </w:pPr>
      <w:r>
        <w:rPr>
          <w:spacing w:val="-2"/>
        </w:rPr>
        <w:t>（四十四）</w:t>
      </w:r>
      <w:r>
        <w:rPr>
          <w:spacing w:val="-3"/>
        </w:rPr>
        <w:t>非阿尔茨海默病所致严重痴呆</w:t>
      </w:r>
    </w:p>
    <w:p>
      <w:pPr>
        <w:pStyle w:val="BodyText"/>
        <w:spacing w:line="278" w:lineRule="auto"/>
        <w:ind w:left="2569" w:right="301"/>
        <w:jc w:val="both"/>
      </w:pPr>
      <w:r>
        <w:rPr>
          <w:w w:val="100"/>
        </w:rPr>
        <w:t>指因阿尔茨海默病以外的脑的器质性疾病造成脑功能衰竭导致永久不可逆性的</w:t>
      </w:r>
      <w:r>
        <w:rPr>
          <w:spacing w:val="-8"/>
          <w:w w:val="100"/>
        </w:rPr>
        <w:t>严重痴呆，临床表现为明显的认知能力障碍、行为异常和社交能力减退。被保险</w:t>
      </w:r>
      <w:r>
        <w:rPr>
          <w:spacing w:val="-9"/>
          <w:w w:val="100"/>
        </w:rPr>
        <w:t>人自主生活能力完全丧失，无法独立完成六项基本日常生活活动中的三项或三项以上，日常生活必须持续受到他人监护。导致痴呆的疾病必须明确诊断，并且由</w:t>
      </w:r>
      <w:r>
        <w:rPr>
          <w:spacing w:val="-4"/>
          <w:w w:val="100"/>
        </w:rPr>
        <w:t>完整的临床、实验室和影像学检查结果证实。</w:t>
      </w:r>
    </w:p>
    <w:p>
      <w:pPr>
        <w:pStyle w:val="BodyText"/>
        <w:spacing w:line="269" w:lineRule="exact"/>
        <w:ind w:left="2569"/>
      </w:pPr>
      <w:r>
        <w:rPr>
          <w:color w:val="000000"/>
          <w:spacing w:val="-3"/>
          <w:shd w:fill="D9D9D9" w:color="auto" w:val="clear"/>
        </w:rPr>
        <w:t>神经官能症和精神疾病不在保障范围内。</w:t>
      </w:r>
    </w:p>
    <w:p>
      <w:pPr>
        <w:pStyle w:val="BodyText"/>
        <w:spacing w:before="2"/>
        <w:rPr>
          <w:sz w:val="22"/>
        </w:rPr>
      </w:pPr>
    </w:p>
    <w:p>
      <w:pPr>
        <w:pStyle w:val="Heading3"/>
      </w:pPr>
      <w:r>
        <w:rPr>
          <w:spacing w:val="-2"/>
        </w:rPr>
        <w:t>（四十五）</w:t>
      </w:r>
      <w:r>
        <w:rPr>
          <w:spacing w:val="-3"/>
        </w:rPr>
        <w:t>严重冠状动脉粥样硬化性心脏病</w:t>
      </w:r>
    </w:p>
    <w:p>
      <w:pPr>
        <w:pStyle w:val="BodyText"/>
        <w:spacing w:line="278" w:lineRule="auto"/>
        <w:ind w:left="2569" w:right="301"/>
      </w:pPr>
      <w:r>
        <w:rPr>
          <w:spacing w:val="-5"/>
        </w:rPr>
        <w:t>指经冠状动脉造影检查明确诊断为主要血管严重狭窄性病变，须满足下列至少一</w:t>
      </w:r>
      <w:r>
        <w:rPr>
          <w:spacing w:val="-4"/>
        </w:rPr>
        <w:t>项条件：</w:t>
      </w:r>
    </w:p>
    <w:p>
      <w:pPr>
        <w:pStyle w:val="ListParagraph"/>
        <w:numPr>
          <w:ilvl w:val="0"/>
          <w:numId w:val="33"/>
        </w:numPr>
        <w:tabs>
          <w:tab w:pos="3099" w:val="left" w:leader="none"/>
        </w:tabs>
        <w:spacing w:line="278" w:lineRule="auto" w:before="0" w:after="0"/>
        <w:ind w:left="2569" w:right="301" w:firstLine="0"/>
        <w:jc w:val="left"/>
        <w:rPr>
          <w:sz w:val="21"/>
        </w:rPr>
      </w:pPr>
      <w:r>
        <w:rPr>
          <w:spacing w:val="-2"/>
          <w:sz w:val="21"/>
        </w:rPr>
        <w:t>左冠状动脉主干和右冠状动脉中，一支血管管腔堵塞 </w:t>
      </w:r>
      <w:r>
        <w:rPr>
          <w:sz w:val="21"/>
        </w:rPr>
        <w:t>75%以上，另一支血</w:t>
      </w:r>
      <w:r>
        <w:rPr>
          <w:spacing w:val="-8"/>
          <w:sz w:val="21"/>
        </w:rPr>
        <w:t>管管腔堵塞 </w:t>
      </w:r>
      <w:r>
        <w:rPr>
          <w:sz w:val="21"/>
        </w:rPr>
        <w:t>60%以上；</w:t>
      </w:r>
    </w:p>
    <w:p>
      <w:pPr>
        <w:pStyle w:val="ListParagraph"/>
        <w:numPr>
          <w:ilvl w:val="0"/>
          <w:numId w:val="33"/>
        </w:numPr>
        <w:tabs>
          <w:tab w:pos="3099" w:val="left" w:leader="none"/>
        </w:tabs>
        <w:spacing w:line="269" w:lineRule="exact" w:before="0" w:after="0"/>
        <w:ind w:left="3098" w:right="0" w:hanging="530"/>
        <w:jc w:val="left"/>
        <w:rPr>
          <w:sz w:val="21"/>
        </w:rPr>
      </w:pPr>
      <w:r>
        <w:rPr>
          <w:spacing w:val="-6"/>
          <w:sz w:val="21"/>
        </w:rPr>
        <w:t>左前降支、左旋支和右冠状动脉中，至少一支血管管腔堵塞 </w:t>
      </w:r>
      <w:r>
        <w:rPr>
          <w:spacing w:val="-4"/>
          <w:sz w:val="21"/>
        </w:rPr>
        <w:t>75%</w:t>
      </w:r>
      <w:r>
        <w:rPr>
          <w:spacing w:val="-6"/>
          <w:sz w:val="21"/>
        </w:rPr>
        <w:t>以上，其他</w:t>
      </w:r>
    </w:p>
    <w:p>
      <w:pPr>
        <w:pStyle w:val="BodyText"/>
        <w:spacing w:line="248" w:lineRule="exact" w:before="39"/>
        <w:ind w:left="2569"/>
      </w:pPr>
      <w:r>
        <w:rPr>
          <w:spacing w:val="-7"/>
        </w:rPr>
        <w:t>两支血管管腔堵塞 </w:t>
      </w:r>
      <w:r>
        <w:rPr>
          <w:spacing w:val="-2"/>
        </w:rPr>
        <w:t>60</w:t>
      </w:r>
      <w:r>
        <w:rPr>
          <w:spacing w:val="-5"/>
        </w:rPr>
        <w:t>%以上。</w:t>
      </w:r>
    </w:p>
    <w:p>
      <w:pPr>
        <w:spacing w:line="31" w:lineRule="exact" w:before="0"/>
        <w:ind w:left="0" w:right="2392" w:firstLine="0"/>
        <w:jc w:val="center"/>
        <w:rPr>
          <w:sz w:val="4"/>
        </w:rPr>
      </w:pPr>
      <w:r>
        <w:rPr>
          <w:w w:val="72"/>
          <w:sz w:val="4"/>
        </w:rPr>
        <w:t>●</w:t>
      </w:r>
    </w:p>
    <w:p>
      <w:pPr>
        <w:pStyle w:val="BodyText"/>
        <w:spacing w:before="33"/>
        <w:ind w:left="2569"/>
      </w:pPr>
      <w:r>
        <w:rPr/>
        <w:drawing>
          <wp:anchor distT="0" distB="0" distL="0" distR="0" allowOverlap="1" layoutInCell="1" locked="0" behindDoc="1" simplePos="0" relativeHeight="485634560">
            <wp:simplePos x="0" y="0"/>
            <wp:positionH relativeFrom="page">
              <wp:posOffset>2215895</wp:posOffset>
            </wp:positionH>
            <wp:positionV relativeFrom="paragraph">
              <wp:posOffset>215252</wp:posOffset>
            </wp:positionV>
            <wp:extent cx="1200911" cy="176784"/>
            <wp:effectExtent l="0" t="0" r="0" b="0"/>
            <wp:wrapNone/>
            <wp:docPr id="47" name="image14.png"/>
            <wp:cNvGraphicFramePr>
              <a:graphicFrameLocks noChangeAspect="1"/>
            </wp:cNvGraphicFramePr>
            <a:graphic>
              <a:graphicData uri="http://schemas.openxmlformats.org/drawingml/2006/picture">
                <pic:pic>
                  <pic:nvPicPr>
                    <pic:cNvPr id="48" name="image14.png"/>
                    <pic:cNvPicPr/>
                  </pic:nvPicPr>
                  <pic:blipFill>
                    <a:blip r:embed="rId18" cstate="print"/>
                    <a:stretch>
                      <a:fillRect/>
                    </a:stretch>
                  </pic:blipFill>
                  <pic:spPr>
                    <a:xfrm>
                      <a:off x="0" y="0"/>
                      <a:ext cx="1200911" cy="176784"/>
                    </a:xfrm>
                    <a:prstGeom prst="rect">
                      <a:avLst/>
                    </a:prstGeom>
                  </pic:spPr>
                </pic:pic>
              </a:graphicData>
            </a:graphic>
          </wp:anchor>
        </w:drawing>
      </w:r>
      <w:r>
        <w:rPr/>
        <w:pict>
          <v:shape style="position:absolute;margin-left:174.479996pt;margin-top:16.949055pt;width:94.6pt;height:13.95pt;mso-position-horizontal-relative:page;mso-position-vertical-relative:paragraph;z-index:-15659008;mso-wrap-distance-left:0;mso-wrap-distance-right:0" type="#_x0000_t202" id="docshape113" filled="false" stroked="false">
            <v:textbox inset="0,0,0,0">
              <w:txbxContent>
                <w:p>
                  <w:pPr>
                    <w:pStyle w:val="BodyText"/>
                    <w:spacing w:line="248" w:lineRule="exact" w:before="6"/>
                    <w:ind w:right="-15"/>
                  </w:pPr>
                  <w:r>
                    <w:rPr>
                      <w:spacing w:val="-3"/>
                    </w:rPr>
                    <w:t>本保障的衡量指标。</w:t>
                  </w:r>
                </w:p>
                <w:p>
                  <w:pPr>
                    <w:spacing w:line="24" w:lineRule="exact" w:before="0"/>
                    <w:ind w:left="0" w:right="348" w:firstLine="0"/>
                    <w:jc w:val="right"/>
                    <w:rPr>
                      <w:sz w:val="4"/>
                    </w:rPr>
                  </w:pPr>
                  <w:r>
                    <w:rPr>
                      <w:w w:val="72"/>
                      <w:sz w:val="4"/>
                    </w:rPr>
                    <w:t>●</w:t>
                  </w:r>
                </w:p>
              </w:txbxContent>
            </v:textbox>
            <w10:wrap type="topAndBottom"/>
          </v:shape>
        </w:pict>
      </w:r>
      <w:r>
        <w:rPr>
          <w:color w:val="000000"/>
          <w:spacing w:val="-10"/>
          <w:shd w:fill="D9D9D9" w:color="auto" w:val="clear"/>
        </w:rPr>
        <w:t>左前降支的分支血管、左旋支的分支血管及右冠状动脉的分支血管的狭窄不作为</w:t>
      </w:r>
    </w:p>
    <w:p>
      <w:pPr>
        <w:pStyle w:val="BodyText"/>
        <w:spacing w:before="10"/>
      </w:pPr>
    </w:p>
    <w:p>
      <w:pPr>
        <w:pStyle w:val="Heading3"/>
        <w:spacing w:before="5"/>
      </w:pPr>
      <w:r>
        <w:rPr/>
        <w:t>（四十六）</w:t>
      </w:r>
      <w:r>
        <w:rPr>
          <w:spacing w:val="-2"/>
        </w:rPr>
        <w:t>严重多发性硬化</w:t>
      </w:r>
    </w:p>
    <w:p>
      <w:pPr>
        <w:pStyle w:val="BodyText"/>
        <w:spacing w:line="278" w:lineRule="auto"/>
        <w:ind w:left="2569" w:right="301"/>
      </w:pPr>
      <w:r>
        <w:rPr>
          <w:spacing w:val="-6"/>
        </w:rPr>
        <w:t>被保险人因脑及脊髓内的脱髓鞘病变而出现神经系统多灶性</w:t>
      </w:r>
      <w:r>
        <w:rPr>
          <w:spacing w:val="-2"/>
        </w:rPr>
        <w:t>（多发性</w:t>
      </w:r>
      <w:r>
        <w:rPr>
          <w:spacing w:val="-92"/>
        </w:rPr>
        <w:t>）</w:t>
      </w:r>
      <w:r>
        <w:rPr>
          <w:spacing w:val="-32"/>
        </w:rPr>
        <w:t>多时相</w:t>
      </w:r>
      <w:r>
        <w:rPr>
          <w:spacing w:val="-2"/>
        </w:rPr>
        <w:t>（</w:t>
      </w:r>
      <w:r>
        <w:rPr>
          <w:spacing w:val="-2"/>
        </w:rPr>
        <w:t>至</w:t>
      </w:r>
      <w:r>
        <w:rPr>
          <w:spacing w:val="-22"/>
        </w:rPr>
        <w:t>少 </w:t>
      </w:r>
      <w:r>
        <w:rPr>
          <w:spacing w:val="-4"/>
        </w:rPr>
        <w:t>6</w:t>
      </w:r>
      <w:r>
        <w:rPr>
          <w:spacing w:val="-10"/>
        </w:rPr>
        <w:t> 个月以内有一次以上</w:t>
      </w:r>
      <w:r>
        <w:rPr>
          <w:spacing w:val="-4"/>
        </w:rPr>
        <w:t>（不包含一次）的发作）</w:t>
      </w:r>
      <w:r>
        <w:rPr>
          <w:spacing w:val="-5"/>
        </w:rPr>
        <w:t>的病变，须由计算机断层扫描</w:t>
      </w:r>
    </w:p>
    <w:p>
      <w:pPr>
        <w:pStyle w:val="BodyText"/>
        <w:spacing w:line="248" w:lineRule="exact"/>
        <w:ind w:left="2569"/>
      </w:pPr>
      <w:r>
        <w:rPr>
          <w:spacing w:val="20"/>
        </w:rPr>
        <w:t>（CT</w:t>
      </w:r>
      <w:r>
        <w:rPr>
          <w:spacing w:val="-86"/>
        </w:rPr>
        <w:t>）</w:t>
      </w:r>
      <w:r>
        <w:rPr>
          <w:spacing w:val="-6"/>
        </w:rPr>
        <w:t>、核磁共振检查（MRI）或正电子发射断层扫描（PET）</w:t>
      </w:r>
      <w:r>
        <w:rPr>
          <w:spacing w:val="-7"/>
        </w:rPr>
        <w:t>等影像学检查证实,</w:t>
      </w:r>
    </w:p>
    <w:p>
      <w:pPr>
        <w:spacing w:line="31" w:lineRule="exact" w:before="0"/>
        <w:ind w:left="2607" w:right="0" w:firstLine="0"/>
        <w:jc w:val="left"/>
        <w:rPr>
          <w:sz w:val="4"/>
        </w:rPr>
      </w:pPr>
      <w:r>
        <w:rPr>
          <w:w w:val="72"/>
          <w:sz w:val="4"/>
        </w:rPr>
        <w:t>●</w:t>
      </w:r>
    </w:p>
    <w:p>
      <w:pPr>
        <w:pStyle w:val="BodyText"/>
        <w:spacing w:line="278" w:lineRule="auto" w:before="29"/>
        <w:ind w:left="2569" w:right="301"/>
      </w:pPr>
      <w:r>
        <w:rPr>
          <w:spacing w:val="-6"/>
        </w:rPr>
        <w:t>且已经造成自主生活能力完全丧失，无法独立完成六项基本日常生活活动中的三</w:t>
      </w:r>
      <w:r>
        <w:rPr>
          <w:spacing w:val="-2"/>
        </w:rPr>
        <w:t>项或三项以上，持续至少 </w:t>
      </w:r>
      <w:r>
        <w:rPr/>
        <w:t>180</w:t>
      </w:r>
      <w:r>
        <w:rPr>
          <w:spacing w:val="-10"/>
        </w:rPr>
        <w:t> 天。</w:t>
      </w:r>
    </w:p>
    <w:p>
      <w:pPr>
        <w:pStyle w:val="BodyText"/>
        <w:spacing w:before="1"/>
        <w:rPr>
          <w:sz w:val="19"/>
        </w:rPr>
      </w:pPr>
    </w:p>
    <w:p>
      <w:pPr>
        <w:pStyle w:val="Heading3"/>
      </w:pPr>
      <w:r>
        <w:rPr/>
        <w:t>（四十七）全身性（型）</w:t>
      </w:r>
      <w:r>
        <w:rPr>
          <w:spacing w:val="-2"/>
        </w:rPr>
        <w:t>重症肌无力</w:t>
      </w:r>
    </w:p>
    <w:p>
      <w:pPr>
        <w:pStyle w:val="BodyText"/>
        <w:spacing w:line="278" w:lineRule="auto"/>
        <w:ind w:left="2569" w:right="301"/>
        <w:jc w:val="both"/>
      </w:pPr>
      <w:r>
        <w:rPr>
          <w:spacing w:val="-5"/>
        </w:rPr>
        <w:t>是指一种神经与肌肉接头部位传递障碍的自身免疫性疾病，临床特征是局部或全</w:t>
      </w:r>
      <w:r>
        <w:rPr>
          <w:spacing w:val="-2"/>
        </w:rPr>
        <w:t>身横纹肌于活动时易于疲劳无力，颅神经眼外肌最易累及，也可涉及呼吸肌、下</w:t>
      </w:r>
      <w:r>
        <w:rPr>
          <w:spacing w:val="-2"/>
        </w:rPr>
        <w:t>肢近端肌群以至全身肌肉，须经本公司认可的神经科专科医生确诊。其诊断必须</w:t>
      </w:r>
      <w:r>
        <w:rPr>
          <w:spacing w:val="-2"/>
        </w:rPr>
        <w:t>同时具有下列情况：</w:t>
      </w:r>
    </w:p>
    <w:p>
      <w:pPr>
        <w:pStyle w:val="BodyText"/>
        <w:spacing w:line="268" w:lineRule="exact"/>
        <w:ind w:left="2569"/>
      </w:pPr>
      <w:r>
        <w:rPr>
          <w:spacing w:val="-2"/>
        </w:rPr>
        <w:t>（1）</w:t>
      </w:r>
      <w:r>
        <w:rPr>
          <w:spacing w:val="-3"/>
        </w:rPr>
        <w:t>经药物、胸腺手术治疗一年以上无法控制病情，丧失正常工作能力；</w:t>
      </w:r>
    </w:p>
    <w:p>
      <w:pPr>
        <w:pStyle w:val="BodyText"/>
        <w:spacing w:line="278" w:lineRule="auto" w:before="39"/>
        <w:ind w:left="2569" w:right="305"/>
      </w:pPr>
      <w:r>
        <w:rPr>
          <w:spacing w:val="-2"/>
        </w:rPr>
        <w:t>（2）出现眼睑下垂，或延髓肌受累引起的构音困难、进食呛咳，或由于肌无力</w:t>
      </w:r>
      <w:r>
        <w:rPr>
          <w:spacing w:val="-2"/>
        </w:rPr>
        <w:t>累及延髓肌、呼吸肌而致机体呼吸功能不正常的危急状态即肌无力危象；</w:t>
      </w:r>
    </w:p>
    <w:p>
      <w:pPr>
        <w:pStyle w:val="BodyText"/>
        <w:spacing w:line="278" w:lineRule="auto"/>
        <w:ind w:left="2569" w:right="305"/>
      </w:pPr>
      <w:r>
        <w:rPr>
          <w:spacing w:val="-2"/>
        </w:rPr>
        <w:t>（3）症状缓解、复发及恶化交替出现，临床接受新斯的明等抗胆碱酯酶药物治</w:t>
      </w:r>
      <w:r>
        <w:rPr>
          <w:spacing w:val="-2"/>
        </w:rPr>
        <w:t>疗的病史。</w:t>
      </w:r>
    </w:p>
    <w:p>
      <w:pPr>
        <w:pStyle w:val="BodyText"/>
        <w:rPr>
          <w:sz w:val="19"/>
        </w:rPr>
      </w:pPr>
    </w:p>
    <w:p>
      <w:pPr>
        <w:pStyle w:val="Heading3"/>
        <w:spacing w:before="1"/>
      </w:pPr>
      <w:r>
        <w:rPr/>
        <w:t>（四十八）</w:t>
      </w:r>
      <w:r>
        <w:rPr>
          <w:spacing w:val="-2"/>
        </w:rPr>
        <w:t>严重心肌病</w:t>
      </w:r>
    </w:p>
    <w:p>
      <w:pPr>
        <w:pStyle w:val="BodyText"/>
        <w:spacing w:line="278" w:lineRule="auto"/>
        <w:ind w:left="2569" w:right="301"/>
        <w:jc w:val="both"/>
      </w:pPr>
      <w:r>
        <w:rPr>
          <w:spacing w:val="-2"/>
        </w:rPr>
        <w:t>指不明原因引起的一类心肌病变，包括原发性扩张型心肌病、原发性肥厚型心肌</w:t>
      </w:r>
      <w:r>
        <w:rPr>
          <w:spacing w:val="-7"/>
        </w:rPr>
        <w:t>病及原发性限制型心肌病三种，病变必须已造成事实上心室功能障碍而出现明显</w:t>
      </w:r>
      <w:r>
        <w:rPr>
          <w:spacing w:val="-4"/>
        </w:rPr>
        <w:t>的心功能衰竭（</w:t>
      </w:r>
      <w:r>
        <w:rPr>
          <w:spacing w:val="-5"/>
        </w:rPr>
        <w:t>美国纽约心脏病学会心功能状态分级达 </w:t>
      </w:r>
      <w:r>
        <w:rPr>
          <w:spacing w:val="-4"/>
        </w:rPr>
        <w:t>IV</w:t>
      </w:r>
      <w:r>
        <w:rPr>
          <w:spacing w:val="-9"/>
        </w:rPr>
        <w:t> 级</w:t>
      </w:r>
      <w:r>
        <w:rPr>
          <w:spacing w:val="-70"/>
        </w:rPr>
        <w:t>）</w:t>
      </w:r>
      <w:r>
        <w:rPr>
          <w:spacing w:val="-14"/>
        </w:rPr>
        <w:t>，且有相关住院医</w:t>
      </w:r>
      <w:r>
        <w:rPr>
          <w:spacing w:val="-2"/>
        </w:rPr>
        <w:t>疗记录显示 </w:t>
      </w:r>
      <w:r>
        <w:rPr/>
        <w:t>IV</w:t>
      </w:r>
      <w:r>
        <w:rPr>
          <w:spacing w:val="-4"/>
        </w:rPr>
        <w:t> 级心功能衰竭状态持续至少 </w:t>
      </w:r>
      <w:r>
        <w:rPr/>
        <w:t>180</w:t>
      </w:r>
      <w:r>
        <w:rPr>
          <w:spacing w:val="-7"/>
        </w:rPr>
        <w:t> 天。</w:t>
      </w:r>
    </w:p>
    <w:p>
      <w:pPr>
        <w:pStyle w:val="BodyText"/>
        <w:spacing w:line="278" w:lineRule="auto"/>
        <w:ind w:left="2569" w:right="301"/>
      </w:pPr>
      <w:r>
        <w:rPr>
          <w:color w:val="000000"/>
          <w:spacing w:val="-8"/>
          <w:shd w:fill="D9D9D9" w:color="auto" w:val="clear"/>
        </w:rPr>
        <w:t>本病须经专科医生明确诊断。继发于全身性疾病或其他器官系统疾病造成的心肌</w:t>
      </w:r>
      <w:r>
        <w:rPr>
          <w:color w:val="000000"/>
          <w:spacing w:val="-2"/>
          <w:shd w:fill="D9D9D9" w:color="auto" w:val="clear"/>
        </w:rPr>
        <w:t>病变除外。</w:t>
      </w:r>
    </w:p>
    <w:p>
      <w:pPr>
        <w:spacing w:after="0" w:line="278" w:lineRule="auto"/>
        <w:sectPr>
          <w:pgSz w:w="11910" w:h="16840"/>
          <w:pgMar w:top="1080" w:bottom="280" w:left="920" w:right="820"/>
        </w:sectPr>
      </w:pPr>
    </w:p>
    <w:p>
      <w:pPr>
        <w:pStyle w:val="Heading3"/>
        <w:spacing w:line="367" w:lineRule="exact"/>
      </w:pPr>
      <w:r>
        <w:rPr/>
        <w:t>（四十九）</w:t>
      </w:r>
      <w:r>
        <w:rPr>
          <w:spacing w:val="-2"/>
        </w:rPr>
        <w:t>严重心肌炎</w:t>
      </w:r>
    </w:p>
    <w:p>
      <w:pPr>
        <w:pStyle w:val="BodyText"/>
        <w:spacing w:line="278" w:lineRule="auto"/>
        <w:ind w:left="2569" w:right="301"/>
      </w:pPr>
      <w:r>
        <w:rPr>
          <w:spacing w:val="-2"/>
        </w:rPr>
        <w:t>指心肌局限性或弥漫性的急性或慢性炎症病变，导致心脏功能障碍，达到纽约心</w:t>
      </w:r>
      <w:r>
        <w:rPr>
          <w:spacing w:val="-1"/>
        </w:rPr>
        <w:t>脏学会心功能分级状态分级 </w:t>
      </w:r>
      <w:r>
        <w:rPr/>
        <w:t>IV</w:t>
      </w:r>
      <w:r>
        <w:rPr>
          <w:spacing w:val="-6"/>
        </w:rPr>
        <w:t> 级，且需持续至少 </w:t>
      </w:r>
      <w:r>
        <w:rPr/>
        <w:t>90</w:t>
      </w:r>
      <w:r>
        <w:rPr>
          <w:spacing w:val="-7"/>
        </w:rPr>
        <w:t> 天。</w:t>
      </w:r>
    </w:p>
    <w:p>
      <w:pPr>
        <w:pStyle w:val="BodyText"/>
        <w:spacing w:before="9"/>
        <w:rPr>
          <w:sz w:val="18"/>
        </w:rPr>
      </w:pPr>
    </w:p>
    <w:p>
      <w:pPr>
        <w:pStyle w:val="Heading3"/>
        <w:spacing w:before="1"/>
      </w:pPr>
      <w:r>
        <w:rPr/>
        <w:t>（五十）</w:t>
      </w:r>
      <w:r>
        <w:rPr>
          <w:spacing w:val="-2"/>
        </w:rPr>
        <w:t>肺淋巴管肌瘤病</w:t>
      </w:r>
    </w:p>
    <w:p>
      <w:pPr>
        <w:pStyle w:val="BodyText"/>
        <w:spacing w:line="278" w:lineRule="auto"/>
        <w:ind w:left="2569" w:right="301"/>
      </w:pPr>
      <w:r>
        <w:rPr>
          <w:spacing w:val="-2"/>
        </w:rPr>
        <w:t>肺淋巴管肌瘤病是一种弥漫性肺部疾病，主要病理改变为肺间质、支气管、血管</w:t>
      </w:r>
      <w:r>
        <w:rPr>
          <w:spacing w:val="-2"/>
        </w:rPr>
        <w:t>和淋巴管内出现未成熟的平滑肌异常增生，同时需满足下列全部条件：</w:t>
      </w:r>
    </w:p>
    <w:p>
      <w:pPr>
        <w:pStyle w:val="ListParagraph"/>
        <w:numPr>
          <w:ilvl w:val="0"/>
          <w:numId w:val="34"/>
        </w:numPr>
        <w:tabs>
          <w:tab w:pos="3118" w:val="left" w:leader="none"/>
        </w:tabs>
        <w:spacing w:line="248" w:lineRule="exact" w:before="0" w:after="0"/>
        <w:ind w:left="3117" w:right="0" w:hanging="530"/>
        <w:jc w:val="left"/>
        <w:rPr>
          <w:sz w:val="21"/>
        </w:rPr>
      </w:pPr>
      <w:r>
        <w:rPr>
          <w:spacing w:val="-3"/>
          <w:sz w:val="21"/>
        </w:rPr>
        <w:t>经组织病理学诊断；</w:t>
      </w:r>
    </w:p>
    <w:p>
      <w:pPr>
        <w:spacing w:line="31" w:lineRule="exact" w:before="0"/>
        <w:ind w:left="2627" w:right="0" w:firstLine="0"/>
        <w:jc w:val="left"/>
        <w:rPr>
          <w:sz w:val="4"/>
        </w:rPr>
      </w:pPr>
      <w:r>
        <w:rPr>
          <w:w w:val="72"/>
          <w:sz w:val="4"/>
        </w:rPr>
        <w:t>●</w:t>
      </w:r>
    </w:p>
    <w:p>
      <w:pPr>
        <w:pStyle w:val="ListParagraph"/>
        <w:numPr>
          <w:ilvl w:val="0"/>
          <w:numId w:val="34"/>
        </w:numPr>
        <w:tabs>
          <w:tab w:pos="3118" w:val="left" w:leader="none"/>
        </w:tabs>
        <w:spacing w:line="240" w:lineRule="auto" w:before="29" w:after="0"/>
        <w:ind w:left="3117" w:right="0" w:hanging="530"/>
        <w:jc w:val="left"/>
        <w:rPr>
          <w:sz w:val="21"/>
        </w:rPr>
      </w:pPr>
      <w:r>
        <w:rPr>
          <w:spacing w:val="-2"/>
          <w:sz w:val="21"/>
        </w:rPr>
        <w:t>CT</w:t>
      </w:r>
      <w:r>
        <w:rPr>
          <w:spacing w:val="-10"/>
          <w:sz w:val="21"/>
        </w:rPr>
        <w:t> 显示双肺弥漫性囊性改变；</w:t>
      </w:r>
    </w:p>
    <w:p>
      <w:pPr>
        <w:pStyle w:val="ListParagraph"/>
        <w:numPr>
          <w:ilvl w:val="0"/>
          <w:numId w:val="34"/>
        </w:numPr>
        <w:tabs>
          <w:tab w:pos="3118" w:val="left" w:leader="none"/>
        </w:tabs>
        <w:spacing w:line="248" w:lineRule="exact" w:before="43" w:after="0"/>
        <w:ind w:left="3117" w:right="0" w:hanging="530"/>
        <w:jc w:val="left"/>
        <w:rPr>
          <w:sz w:val="21"/>
        </w:rPr>
      </w:pPr>
      <w:r>
        <w:rPr>
          <w:spacing w:val="-3"/>
          <w:sz w:val="21"/>
        </w:rPr>
        <w:t>休息时出现呼吸困难或并经本公司认可医院的专科医生认可有必要进行肺</w:t>
      </w:r>
    </w:p>
    <w:p>
      <w:pPr>
        <w:spacing w:line="31" w:lineRule="exact" w:before="0"/>
        <w:ind w:left="2627" w:right="0" w:firstLine="0"/>
        <w:jc w:val="left"/>
        <w:rPr>
          <w:sz w:val="4"/>
        </w:rPr>
      </w:pPr>
      <w:r>
        <w:rPr>
          <w:w w:val="72"/>
          <w:sz w:val="4"/>
        </w:rPr>
        <w:t>●</w:t>
      </w:r>
    </w:p>
    <w:p>
      <w:pPr>
        <w:pStyle w:val="BodyText"/>
        <w:spacing w:before="33"/>
        <w:ind w:left="2569"/>
      </w:pPr>
      <w:r>
        <w:rPr>
          <w:spacing w:val="-2"/>
        </w:rPr>
        <w:t>移植手术。</w:t>
      </w:r>
    </w:p>
    <w:p>
      <w:pPr>
        <w:pStyle w:val="BodyText"/>
        <w:spacing w:before="5"/>
        <w:rPr>
          <w:sz w:val="22"/>
        </w:rPr>
      </w:pPr>
    </w:p>
    <w:p>
      <w:pPr>
        <w:pStyle w:val="Heading3"/>
        <w:spacing w:before="1"/>
      </w:pPr>
      <w:r>
        <w:rPr/>
        <w:t>（五十一）Ⅲ</w:t>
      </w:r>
      <w:r>
        <w:rPr>
          <w:spacing w:val="-2"/>
        </w:rPr>
        <w:t>度房室传导阻滞</w:t>
      </w:r>
    </w:p>
    <w:p>
      <w:pPr>
        <w:pStyle w:val="BodyText"/>
        <w:spacing w:line="278" w:lineRule="auto"/>
        <w:ind w:left="2569" w:right="301"/>
      </w:pPr>
      <w:r>
        <w:rPr>
          <w:spacing w:val="-2"/>
        </w:rPr>
        <w:t>指心房激动在房室交界区、房室束及其分支内发生阻滞，不能正常地传到心室的</w:t>
      </w:r>
      <w:r>
        <w:rPr>
          <w:spacing w:val="-2"/>
        </w:rPr>
        <w:t>心脏传导性疾病，须满足下列所有条件：</w:t>
      </w:r>
    </w:p>
    <w:p>
      <w:pPr>
        <w:pStyle w:val="ListParagraph"/>
        <w:numPr>
          <w:ilvl w:val="0"/>
          <w:numId w:val="35"/>
        </w:numPr>
        <w:tabs>
          <w:tab w:pos="3099" w:val="left" w:leader="none"/>
        </w:tabs>
        <w:spacing w:line="269" w:lineRule="exact" w:before="0" w:after="0"/>
        <w:ind w:left="3098" w:right="0" w:hanging="530"/>
        <w:jc w:val="left"/>
        <w:rPr>
          <w:sz w:val="21"/>
        </w:rPr>
      </w:pPr>
      <w:r>
        <w:rPr>
          <w:spacing w:val="-2"/>
          <w:sz w:val="21"/>
        </w:rPr>
        <w:t>心电图显示房室搏动彼此独立，心室率&lt;50</w:t>
      </w:r>
      <w:r>
        <w:rPr>
          <w:spacing w:val="-10"/>
          <w:sz w:val="21"/>
        </w:rPr>
        <w:t> 次/分钟；</w:t>
      </w:r>
    </w:p>
    <w:p>
      <w:pPr>
        <w:pStyle w:val="ListParagraph"/>
        <w:numPr>
          <w:ilvl w:val="0"/>
          <w:numId w:val="35"/>
        </w:numPr>
        <w:tabs>
          <w:tab w:pos="3099" w:val="left" w:leader="none"/>
        </w:tabs>
        <w:spacing w:line="240" w:lineRule="auto" w:before="38" w:after="0"/>
        <w:ind w:left="3098" w:right="0" w:hanging="530"/>
        <w:jc w:val="left"/>
        <w:rPr>
          <w:sz w:val="21"/>
        </w:rPr>
      </w:pPr>
      <w:r>
        <w:rPr>
          <w:spacing w:val="-3"/>
          <w:sz w:val="21"/>
        </w:rPr>
        <w:t>出现阿-斯综合征或心力衰竭的表现；</w:t>
      </w:r>
    </w:p>
    <w:p>
      <w:pPr>
        <w:pStyle w:val="ListParagraph"/>
        <w:numPr>
          <w:ilvl w:val="0"/>
          <w:numId w:val="35"/>
        </w:numPr>
        <w:tabs>
          <w:tab w:pos="3099" w:val="left" w:leader="none"/>
        </w:tabs>
        <w:spacing w:line="240" w:lineRule="auto" w:before="43" w:after="0"/>
        <w:ind w:left="3098" w:right="0" w:hanging="530"/>
        <w:jc w:val="left"/>
        <w:rPr>
          <w:sz w:val="21"/>
        </w:rPr>
      </w:pPr>
      <w:r>
        <w:rPr>
          <w:spacing w:val="-3"/>
          <w:sz w:val="21"/>
        </w:rPr>
        <w:t>必须持续性依赖心脏起搏器维持心脏正常功能，且已经放置心脏起搏器。</w:t>
      </w:r>
    </w:p>
    <w:p>
      <w:pPr>
        <w:pStyle w:val="BodyText"/>
        <w:spacing w:before="6"/>
        <w:rPr>
          <w:sz w:val="22"/>
        </w:rPr>
      </w:pPr>
    </w:p>
    <w:p>
      <w:pPr>
        <w:pStyle w:val="Heading3"/>
      </w:pPr>
      <w:r>
        <w:rPr/>
        <w:t>（五十二）</w:t>
      </w:r>
      <w:r>
        <w:rPr>
          <w:spacing w:val="-2"/>
        </w:rPr>
        <w:t>感染性心内膜炎</w:t>
      </w:r>
    </w:p>
    <w:p>
      <w:pPr>
        <w:pStyle w:val="BodyText"/>
        <w:spacing w:line="278" w:lineRule="auto"/>
        <w:ind w:left="2569" w:right="301"/>
      </w:pPr>
      <w:r>
        <w:rPr>
          <w:spacing w:val="-2"/>
        </w:rPr>
        <w:t>指因细菌、真菌和其他微生物（如病毒、立克次体、衣原体、螺旋体等）直接感</w:t>
      </w:r>
      <w:r>
        <w:rPr>
          <w:spacing w:val="-5"/>
        </w:rPr>
        <w:t>染而产生心瓣膜或心室壁内膜的炎症，须经心脏专科医生确诊，并符合以下所有</w:t>
      </w:r>
    </w:p>
    <w:p>
      <w:pPr>
        <w:pStyle w:val="BodyText"/>
        <w:spacing w:line="248" w:lineRule="exact"/>
        <w:ind w:left="2569"/>
      </w:pPr>
      <w:r>
        <w:rPr>
          <w:spacing w:val="-4"/>
        </w:rPr>
        <w:t>条件：</w:t>
      </w:r>
    </w:p>
    <w:p>
      <w:pPr>
        <w:spacing w:line="31" w:lineRule="exact" w:before="0"/>
        <w:ind w:left="2607" w:right="0" w:firstLine="0"/>
        <w:jc w:val="left"/>
        <w:rPr>
          <w:sz w:val="4"/>
        </w:rPr>
      </w:pPr>
      <w:r>
        <w:rPr>
          <w:w w:val="72"/>
          <w:sz w:val="4"/>
        </w:rPr>
        <w:t>●</w:t>
      </w:r>
    </w:p>
    <w:p>
      <w:pPr>
        <w:pStyle w:val="ListParagraph"/>
        <w:numPr>
          <w:ilvl w:val="0"/>
          <w:numId w:val="36"/>
        </w:numPr>
        <w:tabs>
          <w:tab w:pos="3099" w:val="left" w:leader="none"/>
        </w:tabs>
        <w:spacing w:line="240" w:lineRule="auto" w:before="29" w:after="0"/>
        <w:ind w:left="3098" w:right="0" w:hanging="530"/>
        <w:jc w:val="left"/>
        <w:rPr>
          <w:sz w:val="21"/>
        </w:rPr>
      </w:pPr>
      <w:r>
        <w:rPr>
          <w:spacing w:val="-3"/>
          <w:sz w:val="21"/>
        </w:rPr>
        <w:t>血液培养测试结果为阳性，并至少符合以下条件之一：</w:t>
      </w:r>
    </w:p>
    <w:p>
      <w:pPr>
        <w:pStyle w:val="BodyText"/>
        <w:spacing w:line="278" w:lineRule="auto" w:before="43"/>
        <w:ind w:left="2569" w:right="305" w:firstLine="446"/>
      </w:pPr>
      <w:r>
        <w:rPr>
          <w:spacing w:val="-4"/>
        </w:rPr>
        <w:t>① 微生物：在赘生物，栓塞的赘生物或心脏内脓肿培养或组织检查证实有</w:t>
      </w:r>
      <w:r>
        <w:rPr>
          <w:spacing w:val="-4"/>
        </w:rPr>
        <w:t>微生物；</w:t>
      </w:r>
    </w:p>
    <w:p>
      <w:pPr>
        <w:pStyle w:val="BodyText"/>
        <w:spacing w:line="269" w:lineRule="exact"/>
        <w:ind w:left="3016"/>
      </w:pPr>
      <w:r>
        <w:rPr>
          <w:spacing w:val="-3"/>
        </w:rPr>
        <w:t>② 病理性病灶：组织检查证实赘生物或心脏内脓肿有活动性心内膜炎；</w:t>
      </w:r>
    </w:p>
    <w:p>
      <w:pPr>
        <w:pStyle w:val="BodyText"/>
        <w:spacing w:before="43"/>
        <w:ind w:left="3016"/>
      </w:pPr>
      <w:r>
        <w:rPr>
          <w:spacing w:val="-3"/>
        </w:rPr>
        <w:t>③ 分别两次血液培养证实有典型的微生物且与心内膜炎符合；</w:t>
      </w:r>
    </w:p>
    <w:p>
      <w:pPr>
        <w:pStyle w:val="BodyText"/>
        <w:spacing w:before="43"/>
        <w:ind w:left="3016"/>
      </w:pPr>
      <w:r>
        <w:rPr>
          <w:spacing w:val="-3"/>
        </w:rPr>
        <w:t>④ 持续血液培养证实有微生物阳性反应,且与心内膜炎符合。</w:t>
      </w:r>
    </w:p>
    <w:p>
      <w:pPr>
        <w:pStyle w:val="ListParagraph"/>
        <w:numPr>
          <w:ilvl w:val="0"/>
          <w:numId w:val="36"/>
        </w:numPr>
        <w:tabs>
          <w:tab w:pos="3099" w:val="left" w:leader="none"/>
        </w:tabs>
        <w:spacing w:line="278" w:lineRule="auto" w:before="43" w:after="0"/>
        <w:ind w:left="2569" w:right="301" w:firstLine="0"/>
        <w:jc w:val="left"/>
        <w:rPr>
          <w:sz w:val="21"/>
        </w:rPr>
      </w:pPr>
      <w:r>
        <w:rPr>
          <w:sz w:val="21"/>
        </w:rPr>
        <w:t>心内膜炎引起中度心瓣膜关闭不全（</w:t>
      </w:r>
      <w:r>
        <w:rPr>
          <w:spacing w:val="-9"/>
          <w:sz w:val="21"/>
        </w:rPr>
        <w:t>指返流指数 </w:t>
      </w:r>
      <w:r>
        <w:rPr>
          <w:sz w:val="21"/>
        </w:rPr>
        <w:t>20%或以上）或中度心瓣</w:t>
      </w:r>
      <w:r>
        <w:rPr>
          <w:sz w:val="21"/>
        </w:rPr>
        <w:t>膜狭窄（</w:t>
      </w:r>
      <w:r>
        <w:rPr>
          <w:spacing w:val="-3"/>
          <w:sz w:val="21"/>
        </w:rPr>
        <w:t>指心瓣膜开口范围小于或等于正常的 </w:t>
      </w:r>
      <w:r>
        <w:rPr>
          <w:spacing w:val="22"/>
          <w:sz w:val="21"/>
        </w:rPr>
        <w:t>30%</w:t>
      </w:r>
      <w:r>
        <w:rPr>
          <w:spacing w:val="-89"/>
          <w:sz w:val="21"/>
        </w:rPr>
        <w:t>）</w:t>
      </w:r>
      <w:r>
        <w:rPr>
          <w:spacing w:val="22"/>
          <w:sz w:val="21"/>
        </w:rPr>
        <w:t>；</w:t>
      </w:r>
    </w:p>
    <w:p>
      <w:pPr>
        <w:pStyle w:val="ListParagraph"/>
        <w:numPr>
          <w:ilvl w:val="0"/>
          <w:numId w:val="36"/>
        </w:numPr>
        <w:tabs>
          <w:tab w:pos="3099" w:val="left" w:leader="none"/>
        </w:tabs>
        <w:spacing w:line="269" w:lineRule="exact" w:before="0" w:after="0"/>
        <w:ind w:left="3098" w:right="0" w:hanging="530"/>
        <w:jc w:val="left"/>
        <w:rPr>
          <w:sz w:val="21"/>
        </w:rPr>
      </w:pPr>
      <w:r>
        <w:rPr>
          <w:spacing w:val="-3"/>
          <w:sz w:val="21"/>
        </w:rPr>
        <w:t>心内膜炎及心瓣膜损毁程度需经由心脏专科医生确诊。</w:t>
      </w:r>
    </w:p>
    <w:p>
      <w:pPr>
        <w:pStyle w:val="BodyText"/>
        <w:spacing w:before="6"/>
        <w:rPr>
          <w:sz w:val="22"/>
        </w:rPr>
      </w:pPr>
    </w:p>
    <w:p>
      <w:pPr>
        <w:pStyle w:val="Heading3"/>
      </w:pPr>
      <w:r>
        <w:rPr>
          <w:w w:val="95"/>
        </w:rPr>
        <w:t>（</w:t>
      </w:r>
      <w:r>
        <w:rPr>
          <w:w w:val="95"/>
        </w:rPr>
        <w:t>五</w:t>
      </w:r>
      <w:r>
        <w:rPr>
          <w:w w:val="95"/>
        </w:rPr>
        <w:t>十</w:t>
      </w:r>
      <w:r>
        <w:rPr>
          <w:w w:val="95"/>
        </w:rPr>
        <w:t>三</w:t>
      </w:r>
      <w:r>
        <w:rPr>
          <w:w w:val="95"/>
        </w:rPr>
        <w:t>）</w:t>
      </w:r>
      <w:r>
        <w:rPr>
          <w:w w:val="95"/>
        </w:rPr>
        <w:t>肝</w:t>
      </w:r>
      <w:r>
        <w:rPr>
          <w:w w:val="95"/>
        </w:rPr>
        <w:t>豆</w:t>
      </w:r>
      <w:r>
        <w:rPr>
          <w:w w:val="95"/>
        </w:rPr>
        <w:t>状</w:t>
      </w:r>
      <w:r>
        <w:rPr>
          <w:w w:val="95"/>
        </w:rPr>
        <w:t>核</w:t>
      </w:r>
      <w:r>
        <w:rPr>
          <w:w w:val="95"/>
        </w:rPr>
        <w:t>变</w:t>
      </w:r>
      <w:r>
        <w:rPr>
          <w:w w:val="95"/>
        </w:rPr>
        <w:t>性</w:t>
      </w:r>
      <w:r>
        <w:rPr>
          <w:w w:val="95"/>
        </w:rPr>
        <w:t>（Wilson</w:t>
      </w:r>
      <w:r>
        <w:rPr>
          <w:spacing w:val="65"/>
        </w:rPr>
        <w:t> </w:t>
      </w:r>
      <w:r>
        <w:rPr>
          <w:w w:val="95"/>
        </w:rPr>
        <w:t>病</w:t>
      </w:r>
      <w:r>
        <w:rPr>
          <w:spacing w:val="-10"/>
          <w:w w:val="95"/>
        </w:rPr>
        <w:t>）</w:t>
      </w:r>
    </w:p>
    <w:p>
      <w:pPr>
        <w:pStyle w:val="BodyText"/>
        <w:spacing w:line="278" w:lineRule="auto"/>
        <w:ind w:left="2569" w:right="301"/>
        <w:jc w:val="both"/>
      </w:pPr>
      <w:r>
        <w:rPr>
          <w:spacing w:val="-5"/>
        </w:rPr>
        <w:t>肝豆状核变性是一种可能危及生命的铜代谢疾病，以铜沉积造成的渐进性肝功能</w:t>
      </w:r>
      <w:r>
        <w:rPr>
          <w:spacing w:val="-2"/>
        </w:rPr>
        <w:t>损害及/或神经功能恶化为特征。必须由本公司认可医院的专科医生通过肝脏活</w:t>
      </w:r>
      <w:r>
        <w:rPr>
          <w:spacing w:val="-1"/>
        </w:rPr>
        <w:t>组织检查结果确定诊断并配合螯合剂治疗持续至少 </w:t>
      </w:r>
      <w:r>
        <w:rPr/>
        <w:t>6</w:t>
      </w:r>
      <w:r>
        <w:rPr>
          <w:spacing w:val="-8"/>
        </w:rPr>
        <w:t> 个月。</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2"/>
          <w:shd w:fill="D9D9D9" w:color="auto" w:val="clear"/>
        </w:rPr>
        <w:t>形或染色体异常”的限制。</w:t>
      </w:r>
    </w:p>
    <w:p>
      <w:pPr>
        <w:pStyle w:val="BodyText"/>
        <w:spacing w:before="10"/>
        <w:rPr>
          <w:sz w:val="18"/>
        </w:rPr>
      </w:pPr>
    </w:p>
    <w:p>
      <w:pPr>
        <w:pStyle w:val="Heading3"/>
      </w:pPr>
      <w:r>
        <w:rPr/>
        <w:t>（五十四）</w:t>
      </w:r>
      <w:r>
        <w:rPr>
          <w:spacing w:val="-2"/>
        </w:rPr>
        <w:t>肺源性心脏病</w:t>
      </w:r>
    </w:p>
    <w:p>
      <w:pPr>
        <w:pStyle w:val="BodyText"/>
        <w:spacing w:line="278" w:lineRule="auto"/>
        <w:ind w:left="2569" w:right="301"/>
      </w:pPr>
      <w:r>
        <w:rPr>
          <w:spacing w:val="-5"/>
        </w:rPr>
        <w:t>指由于各种胸肺及支气管病变而继发的肺动脉高压，最后导致以右室肥大为特征</w:t>
      </w:r>
      <w:r>
        <w:rPr>
          <w:spacing w:val="-2"/>
        </w:rPr>
        <w:t>的心脏病。须经呼吸专科医生确诊，且必须同时满足如下诊断标准：</w:t>
      </w:r>
    </w:p>
    <w:p>
      <w:pPr>
        <w:pStyle w:val="ListParagraph"/>
        <w:numPr>
          <w:ilvl w:val="0"/>
          <w:numId w:val="37"/>
        </w:numPr>
        <w:tabs>
          <w:tab w:pos="3099" w:val="left" w:leader="none"/>
        </w:tabs>
        <w:spacing w:line="269" w:lineRule="exact" w:before="0" w:after="0"/>
        <w:ind w:left="3098" w:right="0" w:hanging="530"/>
        <w:jc w:val="left"/>
        <w:rPr>
          <w:sz w:val="21"/>
        </w:rPr>
      </w:pPr>
      <w:r>
        <w:rPr>
          <w:spacing w:val="-2"/>
          <w:sz w:val="21"/>
        </w:rPr>
        <w:t>左心房压力增高（</w:t>
      </w:r>
      <w:r>
        <w:rPr>
          <w:spacing w:val="-14"/>
          <w:sz w:val="21"/>
        </w:rPr>
        <w:t>不低于 </w:t>
      </w:r>
      <w:r>
        <w:rPr>
          <w:spacing w:val="-2"/>
          <w:sz w:val="21"/>
        </w:rPr>
        <w:t>20</w:t>
      </w:r>
      <w:r>
        <w:rPr>
          <w:spacing w:val="-14"/>
          <w:sz w:val="21"/>
        </w:rPr>
        <w:t> 个单位</w:t>
      </w:r>
      <w:r>
        <w:rPr>
          <w:spacing w:val="-111"/>
          <w:sz w:val="21"/>
        </w:rPr>
        <w:t>）</w:t>
      </w:r>
      <w:r>
        <w:rPr>
          <w:spacing w:val="-5"/>
          <w:sz w:val="21"/>
        </w:rPr>
        <w:t>；</w:t>
      </w:r>
    </w:p>
    <w:p>
      <w:pPr>
        <w:pStyle w:val="ListParagraph"/>
        <w:numPr>
          <w:ilvl w:val="0"/>
          <w:numId w:val="37"/>
        </w:numPr>
        <w:tabs>
          <w:tab w:pos="3099" w:val="left" w:leader="none"/>
        </w:tabs>
        <w:spacing w:line="240" w:lineRule="auto" w:before="39" w:after="0"/>
        <w:ind w:left="3098" w:right="0" w:hanging="530"/>
        <w:jc w:val="left"/>
        <w:rPr>
          <w:sz w:val="21"/>
        </w:rPr>
      </w:pPr>
      <w:r>
        <w:rPr>
          <w:spacing w:val="-5"/>
          <w:sz w:val="21"/>
        </w:rPr>
        <w:t>肺血管阻力高于正常值 </w:t>
      </w:r>
      <w:r>
        <w:rPr>
          <w:sz w:val="21"/>
        </w:rPr>
        <w:t>3</w:t>
      </w:r>
      <w:r>
        <w:rPr>
          <w:spacing w:val="-15"/>
          <w:sz w:val="21"/>
        </w:rPr>
        <w:t> 个单位</w:t>
      </w:r>
      <w:r>
        <w:rPr>
          <w:sz w:val="21"/>
        </w:rPr>
        <w:t>（Pulmonary</w:t>
      </w:r>
      <w:r>
        <w:rPr>
          <w:spacing w:val="-20"/>
          <w:sz w:val="21"/>
        </w:rPr>
        <w:t> </w:t>
      </w:r>
      <w:r>
        <w:rPr>
          <w:spacing w:val="2"/>
          <w:sz w:val="21"/>
        </w:rPr>
        <w:t>R</w:t>
      </w:r>
      <w:r>
        <w:rPr>
          <w:spacing w:val="7"/>
          <w:sz w:val="21"/>
        </w:rPr>
        <w:t>esistance</w:t>
      </w:r>
      <w:r>
        <w:rPr>
          <w:spacing w:val="-104"/>
          <w:sz w:val="21"/>
        </w:rPr>
        <w:t>）</w:t>
      </w:r>
      <w:r>
        <w:rPr>
          <w:spacing w:val="7"/>
          <w:sz w:val="21"/>
        </w:rPr>
        <w:t>；</w:t>
      </w:r>
    </w:p>
    <w:p>
      <w:pPr>
        <w:spacing w:after="0" w:line="240" w:lineRule="auto"/>
        <w:jc w:val="left"/>
        <w:rPr>
          <w:sz w:val="21"/>
        </w:rPr>
        <w:sectPr>
          <w:pgSz w:w="11910" w:h="16840"/>
          <w:pgMar w:top="1400" w:bottom="280" w:left="920" w:right="820"/>
        </w:sectPr>
      </w:pPr>
    </w:p>
    <w:p>
      <w:pPr>
        <w:pStyle w:val="ListParagraph"/>
        <w:numPr>
          <w:ilvl w:val="0"/>
          <w:numId w:val="37"/>
        </w:numPr>
        <w:tabs>
          <w:tab w:pos="3099" w:val="left" w:leader="none"/>
        </w:tabs>
        <w:spacing w:line="240" w:lineRule="auto" w:before="59" w:after="0"/>
        <w:ind w:left="3098" w:right="0" w:hanging="530"/>
        <w:jc w:val="left"/>
        <w:rPr>
          <w:sz w:val="21"/>
        </w:rPr>
      </w:pPr>
      <w:r>
        <w:rPr>
          <w:spacing w:val="-8"/>
          <w:sz w:val="21"/>
        </w:rPr>
        <w:t>肺动脉血压不低于 </w:t>
      </w:r>
      <w:r>
        <w:rPr>
          <w:spacing w:val="-2"/>
          <w:sz w:val="21"/>
        </w:rPr>
        <w:t>40</w:t>
      </w:r>
      <w:r>
        <w:rPr>
          <w:spacing w:val="-12"/>
          <w:sz w:val="21"/>
        </w:rPr>
        <w:t> 毫米汞柱；</w:t>
      </w:r>
    </w:p>
    <w:p>
      <w:pPr>
        <w:pStyle w:val="ListParagraph"/>
        <w:numPr>
          <w:ilvl w:val="0"/>
          <w:numId w:val="37"/>
        </w:numPr>
        <w:tabs>
          <w:tab w:pos="3099" w:val="left" w:leader="none"/>
        </w:tabs>
        <w:spacing w:line="240" w:lineRule="auto" w:before="43" w:after="0"/>
        <w:ind w:left="3098" w:right="0" w:hanging="530"/>
        <w:jc w:val="left"/>
        <w:rPr>
          <w:sz w:val="21"/>
        </w:rPr>
      </w:pPr>
      <w:r>
        <w:rPr>
          <w:spacing w:val="-8"/>
          <w:sz w:val="21"/>
        </w:rPr>
        <w:t>肺动脉楔压不低于 </w:t>
      </w:r>
      <w:r>
        <w:rPr>
          <w:spacing w:val="-2"/>
          <w:sz w:val="21"/>
        </w:rPr>
        <w:t>6</w:t>
      </w:r>
      <w:r>
        <w:rPr>
          <w:spacing w:val="-12"/>
          <w:sz w:val="21"/>
        </w:rPr>
        <w:t> 毫米汞柱；</w:t>
      </w:r>
    </w:p>
    <w:p>
      <w:pPr>
        <w:pStyle w:val="ListParagraph"/>
        <w:numPr>
          <w:ilvl w:val="0"/>
          <w:numId w:val="37"/>
        </w:numPr>
        <w:tabs>
          <w:tab w:pos="3099" w:val="left" w:leader="none"/>
        </w:tabs>
        <w:spacing w:line="240" w:lineRule="auto" w:before="43" w:after="0"/>
        <w:ind w:left="3098" w:right="0" w:hanging="530"/>
        <w:jc w:val="left"/>
        <w:rPr>
          <w:sz w:val="21"/>
        </w:rPr>
      </w:pPr>
      <w:r>
        <w:rPr>
          <w:spacing w:val="-5"/>
          <w:sz w:val="21"/>
        </w:rPr>
        <w:t>右心室心脏舒张期末压力不低于 </w:t>
      </w:r>
      <w:r>
        <w:rPr>
          <w:spacing w:val="-2"/>
          <w:sz w:val="21"/>
        </w:rPr>
        <w:t>8</w:t>
      </w:r>
      <w:r>
        <w:rPr>
          <w:spacing w:val="-12"/>
          <w:sz w:val="21"/>
        </w:rPr>
        <w:t> 毫米汞柱；</w:t>
      </w:r>
    </w:p>
    <w:p>
      <w:pPr>
        <w:pStyle w:val="ListParagraph"/>
        <w:numPr>
          <w:ilvl w:val="0"/>
          <w:numId w:val="37"/>
        </w:numPr>
        <w:tabs>
          <w:tab w:pos="3099" w:val="left" w:leader="none"/>
        </w:tabs>
        <w:spacing w:line="240" w:lineRule="auto" w:before="43" w:after="0"/>
        <w:ind w:left="3098" w:right="0" w:hanging="530"/>
        <w:jc w:val="left"/>
        <w:rPr>
          <w:sz w:val="21"/>
        </w:rPr>
      </w:pPr>
      <w:r>
        <w:rPr>
          <w:spacing w:val="-3"/>
          <w:sz w:val="21"/>
        </w:rPr>
        <w:t>右心室过度肥大、扩张，出现右心衰竭和呼吸困难。</w:t>
      </w:r>
    </w:p>
    <w:p>
      <w:pPr>
        <w:pStyle w:val="BodyText"/>
        <w:spacing w:before="6"/>
        <w:rPr>
          <w:sz w:val="22"/>
        </w:rPr>
      </w:pPr>
    </w:p>
    <w:p>
      <w:pPr>
        <w:pStyle w:val="Heading3"/>
      </w:pPr>
      <w:r>
        <w:rPr/>
        <w:t>（五十五）</w:t>
      </w:r>
      <w:r>
        <w:rPr>
          <w:spacing w:val="-2"/>
        </w:rPr>
        <w:t>肾髓质囊性病</w:t>
      </w:r>
    </w:p>
    <w:p>
      <w:pPr>
        <w:pStyle w:val="BodyText"/>
        <w:spacing w:line="265" w:lineRule="exact"/>
        <w:ind w:left="2569"/>
      </w:pPr>
      <w:r>
        <w:rPr>
          <w:spacing w:val="-3"/>
        </w:rPr>
        <w:t>肾髓质囊性病的诊断须同时符合下列要求：</w:t>
      </w:r>
    </w:p>
    <w:p>
      <w:pPr>
        <w:pStyle w:val="ListParagraph"/>
        <w:numPr>
          <w:ilvl w:val="0"/>
          <w:numId w:val="38"/>
        </w:numPr>
        <w:tabs>
          <w:tab w:pos="3099" w:val="left" w:leader="none"/>
        </w:tabs>
        <w:spacing w:line="240" w:lineRule="auto" w:before="43" w:after="0"/>
        <w:ind w:left="3098" w:right="0" w:hanging="530"/>
        <w:jc w:val="left"/>
        <w:rPr>
          <w:sz w:val="21"/>
        </w:rPr>
      </w:pPr>
      <w:r>
        <w:rPr>
          <w:spacing w:val="-3"/>
          <w:sz w:val="21"/>
        </w:rPr>
        <w:t>肾髓质有囊肿、肾小管萎缩及间质纤维化等病理改变；</w:t>
      </w:r>
    </w:p>
    <w:p>
      <w:pPr>
        <w:pStyle w:val="ListParagraph"/>
        <w:numPr>
          <w:ilvl w:val="0"/>
          <w:numId w:val="38"/>
        </w:numPr>
        <w:tabs>
          <w:tab w:pos="3099" w:val="left" w:leader="none"/>
        </w:tabs>
        <w:spacing w:line="240" w:lineRule="auto" w:before="42" w:after="0"/>
        <w:ind w:left="3098" w:right="0" w:hanging="530"/>
        <w:jc w:val="left"/>
        <w:rPr>
          <w:sz w:val="21"/>
        </w:rPr>
      </w:pPr>
      <w:r>
        <w:rPr>
          <w:spacing w:val="-4"/>
          <w:sz w:val="21"/>
        </w:rPr>
        <w:t>肾功能衰竭；</w:t>
      </w:r>
    </w:p>
    <w:p>
      <w:pPr>
        <w:pStyle w:val="ListParagraph"/>
        <w:numPr>
          <w:ilvl w:val="0"/>
          <w:numId w:val="38"/>
        </w:numPr>
        <w:tabs>
          <w:tab w:pos="3099" w:val="left" w:leader="none"/>
        </w:tabs>
        <w:spacing w:line="240" w:lineRule="auto" w:before="43" w:after="0"/>
        <w:ind w:left="3098" w:right="0" w:hanging="530"/>
        <w:jc w:val="left"/>
        <w:rPr>
          <w:sz w:val="21"/>
        </w:rPr>
      </w:pPr>
      <w:r>
        <w:rPr/>
        <w:pict>
          <v:shape style="position:absolute;margin-left:174.479996pt;margin-top:17.475935pt;width:364.35pt;height:13.95pt;mso-position-horizontal-relative:page;mso-position-vertical-relative:paragraph;z-index:-15658496;mso-wrap-distance-left:0;mso-wrap-distance-right:0" type="#_x0000_t202" id="docshape114" filled="true" fillcolor="#d9d9d9" stroked="false">
            <v:textbox inset="0,0,0,0">
              <w:txbxContent>
                <w:p>
                  <w:pPr>
                    <w:pStyle w:val="BodyText"/>
                    <w:spacing w:before="6"/>
                    <w:ind w:right="-15"/>
                    <w:rPr>
                      <w:color w:val="000000"/>
                    </w:rPr>
                  </w:pPr>
                  <w:r>
                    <w:rPr>
                      <w:color w:val="000000"/>
                      <w:spacing w:val="-5"/>
                    </w:rPr>
                    <w:t>本公司承担本项疾病责任不受本合同责任免除中“遗传性疾病，先天性畸形、变</w:t>
                  </w:r>
                </w:p>
              </w:txbxContent>
            </v:textbox>
            <v:fill type="solid"/>
            <w10:wrap type="topAndBottom"/>
          </v:shape>
        </w:pict>
      </w:r>
      <w:r>
        <w:rPr>
          <w:spacing w:val="-3"/>
          <w:sz w:val="21"/>
        </w:rPr>
        <w:t>诊断须由肾组织活检确定。</w:t>
      </w:r>
    </w:p>
    <w:p>
      <w:pPr>
        <w:pStyle w:val="BodyText"/>
        <w:spacing w:before="7"/>
        <w:rPr>
          <w:sz w:val="2"/>
        </w:rPr>
      </w:pPr>
    </w:p>
    <w:p>
      <w:pPr>
        <w:pStyle w:val="BodyText"/>
        <w:ind w:left="2569"/>
        <w:rPr>
          <w:sz w:val="20"/>
        </w:rPr>
      </w:pPr>
      <w:r>
        <w:rPr>
          <w:sz w:val="20"/>
        </w:rPr>
        <w:pict>
          <v:shape style="width:126pt;height:13.95pt;mso-position-horizontal-relative:char;mso-position-vertical-relative:line" type="#_x0000_t202" id="docshape115"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3"/>
        <w:rPr>
          <w:sz w:val="20"/>
        </w:rPr>
      </w:pPr>
    </w:p>
    <w:p>
      <w:pPr>
        <w:pStyle w:val="Heading3"/>
        <w:spacing w:before="4"/>
      </w:pPr>
      <w:r>
        <w:rPr/>
        <w:t>（五十六）</w:t>
      </w:r>
      <w:r>
        <w:rPr>
          <w:spacing w:val="-2"/>
        </w:rPr>
        <w:t>进行性核上性麻痹</w:t>
      </w:r>
    </w:p>
    <w:p>
      <w:pPr>
        <w:pStyle w:val="BodyText"/>
        <w:spacing w:line="278" w:lineRule="auto"/>
        <w:ind w:left="2569" w:right="301"/>
      </w:pPr>
      <w:r>
        <w:rPr>
          <w:spacing w:val="-2"/>
        </w:rPr>
        <w:t>一种隐袭起病、逐渐加重的神经系统变性疾病。本疾病必须由本公司认可的医院</w:t>
      </w:r>
      <w:r>
        <w:rPr>
          <w:spacing w:val="-2"/>
        </w:rPr>
        <w:t>的神经科专科医生确诊，并须满足下列所有条件：</w:t>
      </w:r>
    </w:p>
    <w:p>
      <w:pPr>
        <w:pStyle w:val="ListParagraph"/>
        <w:numPr>
          <w:ilvl w:val="0"/>
          <w:numId w:val="39"/>
        </w:numPr>
        <w:tabs>
          <w:tab w:pos="3099" w:val="left" w:leader="none"/>
        </w:tabs>
        <w:spacing w:line="248" w:lineRule="exact" w:before="0" w:after="0"/>
        <w:ind w:left="3098" w:right="0" w:hanging="530"/>
        <w:jc w:val="left"/>
        <w:rPr>
          <w:sz w:val="21"/>
        </w:rPr>
      </w:pPr>
      <w:r>
        <w:rPr>
          <w:spacing w:val="-4"/>
          <w:sz w:val="21"/>
        </w:rPr>
        <w:t>步态共济失调；</w:t>
      </w:r>
    </w:p>
    <w:p>
      <w:pPr>
        <w:spacing w:line="31" w:lineRule="exact" w:before="0"/>
        <w:ind w:left="2607" w:right="0" w:firstLine="0"/>
        <w:jc w:val="left"/>
        <w:rPr>
          <w:sz w:val="4"/>
        </w:rPr>
      </w:pPr>
      <w:r>
        <w:rPr>
          <w:w w:val="72"/>
          <w:sz w:val="4"/>
        </w:rPr>
        <w:t>●</w:t>
      </w:r>
    </w:p>
    <w:p>
      <w:pPr>
        <w:pStyle w:val="ListParagraph"/>
        <w:numPr>
          <w:ilvl w:val="0"/>
          <w:numId w:val="39"/>
        </w:numPr>
        <w:tabs>
          <w:tab w:pos="3099" w:val="left" w:leader="none"/>
        </w:tabs>
        <w:spacing w:line="240" w:lineRule="auto" w:before="29" w:after="0"/>
        <w:ind w:left="3098" w:right="0" w:hanging="530"/>
        <w:jc w:val="left"/>
        <w:rPr>
          <w:sz w:val="21"/>
        </w:rPr>
      </w:pPr>
      <w:r>
        <w:rPr>
          <w:spacing w:val="-3"/>
          <w:sz w:val="21"/>
        </w:rPr>
        <w:t>对称性眼球垂直运动障碍；</w:t>
      </w:r>
    </w:p>
    <w:p>
      <w:pPr>
        <w:pStyle w:val="ListParagraph"/>
        <w:numPr>
          <w:ilvl w:val="0"/>
          <w:numId w:val="39"/>
        </w:numPr>
        <w:tabs>
          <w:tab w:pos="3099" w:val="left" w:leader="none"/>
        </w:tabs>
        <w:spacing w:line="240" w:lineRule="auto" w:before="43" w:after="0"/>
        <w:ind w:left="3098" w:right="0" w:hanging="530"/>
        <w:jc w:val="left"/>
        <w:rPr>
          <w:sz w:val="21"/>
        </w:rPr>
      </w:pPr>
      <w:r>
        <w:rPr>
          <w:spacing w:val="-3"/>
          <w:sz w:val="21"/>
        </w:rPr>
        <w:t>假性球麻痹，表现为构音障碍和吞咽困难。</w:t>
      </w:r>
    </w:p>
    <w:p>
      <w:pPr>
        <w:pStyle w:val="BodyText"/>
        <w:spacing w:before="6"/>
        <w:rPr>
          <w:sz w:val="22"/>
        </w:rPr>
      </w:pPr>
    </w:p>
    <w:p>
      <w:pPr>
        <w:pStyle w:val="Heading3"/>
      </w:pPr>
      <w:r>
        <w:rPr/>
        <w:t>（五十七）</w:t>
      </w:r>
      <w:r>
        <w:rPr>
          <w:spacing w:val="-2"/>
        </w:rPr>
        <w:t>失去一肢及一眼</w:t>
      </w:r>
    </w:p>
    <w:p>
      <w:pPr>
        <w:pStyle w:val="BodyText"/>
        <w:spacing w:line="265" w:lineRule="exact"/>
        <w:ind w:left="2569"/>
      </w:pPr>
      <w:r>
        <w:rPr>
          <w:spacing w:val="-3"/>
        </w:rPr>
        <w:t>因疾病或受伤导致以下两项情形同时不可复原及永久性完全丧失：</w:t>
      </w:r>
    </w:p>
    <w:p>
      <w:pPr>
        <w:pStyle w:val="ListParagraph"/>
        <w:numPr>
          <w:ilvl w:val="0"/>
          <w:numId w:val="40"/>
        </w:numPr>
        <w:tabs>
          <w:tab w:pos="3099" w:val="left" w:leader="none"/>
        </w:tabs>
        <w:spacing w:line="240" w:lineRule="auto" w:before="43" w:after="0"/>
        <w:ind w:left="3098" w:right="0" w:hanging="530"/>
        <w:jc w:val="left"/>
        <w:rPr>
          <w:sz w:val="21"/>
        </w:rPr>
      </w:pPr>
      <w:r>
        <w:rPr>
          <w:spacing w:val="-4"/>
          <w:sz w:val="21"/>
        </w:rPr>
        <w:t>一眼视力；</w:t>
      </w:r>
    </w:p>
    <w:p>
      <w:pPr>
        <w:pStyle w:val="ListParagraph"/>
        <w:numPr>
          <w:ilvl w:val="0"/>
          <w:numId w:val="40"/>
        </w:numPr>
        <w:tabs>
          <w:tab w:pos="3099" w:val="left" w:leader="none"/>
        </w:tabs>
        <w:spacing w:line="240" w:lineRule="auto" w:before="43" w:after="0"/>
        <w:ind w:left="3098" w:right="0" w:hanging="530"/>
        <w:jc w:val="left"/>
        <w:rPr>
          <w:sz w:val="21"/>
        </w:rPr>
      </w:pPr>
      <w:r>
        <w:rPr>
          <w:spacing w:val="-3"/>
          <w:sz w:val="21"/>
        </w:rPr>
        <w:t>任何一肢于腕骨或踝骨部位或以上切断。</w:t>
      </w:r>
    </w:p>
    <w:p>
      <w:pPr>
        <w:pStyle w:val="BodyText"/>
        <w:spacing w:before="5"/>
        <w:rPr>
          <w:sz w:val="22"/>
        </w:rPr>
      </w:pPr>
    </w:p>
    <w:p>
      <w:pPr>
        <w:pStyle w:val="Heading3"/>
        <w:spacing w:line="320" w:lineRule="exact"/>
      </w:pPr>
      <w:r>
        <w:rPr/>
        <w:t>（五十八）</w:t>
      </w:r>
      <w:r>
        <w:rPr>
          <w:spacing w:val="-2"/>
        </w:rPr>
        <w:t>嗜铬细胞瘤</w:t>
      </w:r>
    </w:p>
    <w:p>
      <w:pPr>
        <w:spacing w:line="26" w:lineRule="exact" w:before="0"/>
        <w:ind w:left="0" w:right="1538" w:firstLine="0"/>
        <w:jc w:val="center"/>
        <w:rPr>
          <w:sz w:val="4"/>
        </w:rPr>
      </w:pPr>
      <w:r>
        <w:rPr>
          <w:w w:val="72"/>
          <w:sz w:val="4"/>
        </w:rPr>
        <w:t>●</w:t>
      </w:r>
    </w:p>
    <w:p>
      <w:pPr>
        <w:pStyle w:val="BodyText"/>
        <w:spacing w:line="278" w:lineRule="auto" w:before="33"/>
        <w:ind w:left="2569" w:right="301"/>
      </w:pPr>
      <w:r>
        <w:rPr>
          <w:spacing w:val="-2"/>
        </w:rPr>
        <w:t>指肾上腺或嗜铬外组织出现神经内分泌肿瘤，并分泌过多的儿茶酚胺类，需要确</w:t>
      </w:r>
      <w:r>
        <w:rPr>
          <w:spacing w:val="-2"/>
        </w:rPr>
        <w:t>实进行手术以切除肿瘤。嗜铬细胞瘤的诊断必须由内分泌专科医生确定。</w:t>
      </w:r>
    </w:p>
    <w:p>
      <w:pPr>
        <w:pStyle w:val="BodyText"/>
        <w:spacing w:before="1"/>
        <w:rPr>
          <w:sz w:val="19"/>
        </w:rPr>
      </w:pPr>
    </w:p>
    <w:p>
      <w:pPr>
        <w:pStyle w:val="Heading3"/>
      </w:pPr>
      <w:r>
        <w:rPr/>
        <w:t>（五十九）</w:t>
      </w:r>
      <w:r>
        <w:rPr>
          <w:spacing w:val="-3"/>
        </w:rPr>
        <w:t>颅脑手术</w:t>
      </w:r>
    </w:p>
    <w:p>
      <w:pPr>
        <w:pStyle w:val="BodyText"/>
        <w:spacing w:line="278" w:lineRule="auto"/>
        <w:ind w:left="2569" w:right="301"/>
      </w:pPr>
      <w:r>
        <w:rPr>
          <w:spacing w:val="-2"/>
        </w:rPr>
        <w:t>被保险人确已实施全麻下的开颅手术</w:t>
      </w:r>
      <w:r>
        <w:rPr>
          <w:color w:val="000000"/>
          <w:spacing w:val="-2"/>
          <w:shd w:fill="D9D9D9" w:color="auto" w:val="clear"/>
        </w:rPr>
        <w:t>（不包括颅骨钻孔手术和经鼻蝶窦入颅手</w:t>
      </w:r>
      <w:r>
        <w:rPr>
          <w:color w:val="000000"/>
          <w:spacing w:val="80"/>
          <w:w w:val="150"/>
          <w:shd w:fill="D9D9D9" w:color="auto" w:val="clear"/>
        </w:rPr>
        <w:t>                                       </w:t>
      </w:r>
      <w:r>
        <w:rPr>
          <w:color w:val="000000"/>
          <w:spacing w:val="-6"/>
          <w:shd w:fill="D9D9D9" w:color="auto" w:val="clear"/>
        </w:rPr>
        <w:t>术</w:t>
      </w:r>
      <w:r>
        <w:rPr>
          <w:color w:val="000000"/>
          <w:spacing w:val="-106"/>
          <w:shd w:fill="D9D9D9" w:color="auto" w:val="clear"/>
        </w:rPr>
        <w:t>）</w:t>
      </w:r>
      <w:r>
        <w:rPr>
          <w:color w:val="000000"/>
          <w:spacing w:val="-6"/>
        </w:rPr>
        <w:t>。</w:t>
      </w:r>
    </w:p>
    <w:p>
      <w:pPr>
        <w:pStyle w:val="BodyText"/>
        <w:ind w:left="2569"/>
      </w:pPr>
      <w:r>
        <w:rPr>
          <w:color w:val="000000"/>
          <w:spacing w:val="-3"/>
          <w:shd w:fill="D9D9D9" w:color="auto" w:val="clear"/>
        </w:rPr>
        <w:t>因外伤而实施的脑外科手术不在保障范围之内。</w:t>
      </w:r>
    </w:p>
    <w:p>
      <w:pPr>
        <w:pStyle w:val="BodyText"/>
        <w:spacing w:before="39"/>
        <w:ind w:left="2569"/>
      </w:pPr>
      <w:r>
        <w:rPr>
          <w:color w:val="000000"/>
          <w:spacing w:val="-3"/>
          <w:shd w:fill="D9D9D9" w:color="auto" w:val="clear"/>
        </w:rPr>
        <w:t>理赔时必须提供由神经外科医生出具的诊断书及手术报告。</w:t>
      </w:r>
    </w:p>
    <w:p>
      <w:pPr>
        <w:pStyle w:val="BodyText"/>
        <w:spacing w:before="6"/>
        <w:rPr>
          <w:sz w:val="22"/>
        </w:rPr>
      </w:pPr>
    </w:p>
    <w:p>
      <w:pPr>
        <w:pStyle w:val="Heading3"/>
        <w:spacing w:line="320" w:lineRule="exact"/>
      </w:pPr>
      <w:r>
        <w:rPr/>
        <w:t>（六十）</w:t>
      </w:r>
      <w:r>
        <w:rPr>
          <w:spacing w:val="-2"/>
        </w:rPr>
        <w:t>严重自身免疫性肝炎</w:t>
      </w:r>
    </w:p>
    <w:p>
      <w:pPr>
        <w:spacing w:line="26" w:lineRule="exact" w:before="0"/>
        <w:ind w:left="3030" w:right="0" w:firstLine="0"/>
        <w:jc w:val="left"/>
        <w:rPr>
          <w:sz w:val="4"/>
        </w:rPr>
      </w:pPr>
      <w:r>
        <w:rPr>
          <w:w w:val="72"/>
          <w:sz w:val="4"/>
        </w:rPr>
        <w:t>●</w:t>
      </w:r>
    </w:p>
    <w:p>
      <w:pPr>
        <w:pStyle w:val="BodyText"/>
        <w:spacing w:line="278" w:lineRule="auto" w:before="33"/>
        <w:ind w:left="2569" w:right="301"/>
        <w:jc w:val="both"/>
      </w:pPr>
      <w:r>
        <w:rPr>
          <w:spacing w:val="-5"/>
        </w:rPr>
        <w:t>自身免疫性肝炎是一种原因不明的慢性肝脏的坏死性炎性疾病，机体免疫机制被</w:t>
      </w:r>
      <w:r>
        <w:rPr>
          <w:spacing w:val="-2"/>
        </w:rPr>
        <w:t>破坏，产生针对肝脏自身抗原的抗体导致自身免疫反应，从而破坏肝细胞造成肝</w:t>
      </w:r>
      <w:r>
        <w:rPr>
          <w:spacing w:val="-2"/>
        </w:rPr>
        <w:t>脏炎症坏死，进而发展为肝硬化。必须满足所有以下条件：</w:t>
      </w:r>
    </w:p>
    <w:p>
      <w:pPr>
        <w:pStyle w:val="ListParagraph"/>
        <w:numPr>
          <w:ilvl w:val="0"/>
          <w:numId w:val="41"/>
        </w:numPr>
        <w:tabs>
          <w:tab w:pos="3099" w:val="left" w:leader="none"/>
        </w:tabs>
        <w:spacing w:line="269" w:lineRule="exact" w:before="0" w:after="0"/>
        <w:ind w:left="3098" w:right="0" w:hanging="530"/>
        <w:jc w:val="left"/>
        <w:rPr>
          <w:sz w:val="21"/>
        </w:rPr>
      </w:pPr>
      <w:r>
        <w:rPr>
          <w:spacing w:val="-2"/>
          <w:sz w:val="21"/>
        </w:rPr>
        <w:t>高γ</w:t>
      </w:r>
      <w:r>
        <w:rPr>
          <w:spacing w:val="-4"/>
          <w:sz w:val="21"/>
        </w:rPr>
        <w:t>球蛋白血症；</w:t>
      </w:r>
    </w:p>
    <w:p>
      <w:pPr>
        <w:pStyle w:val="ListParagraph"/>
        <w:numPr>
          <w:ilvl w:val="0"/>
          <w:numId w:val="41"/>
        </w:numPr>
        <w:tabs>
          <w:tab w:pos="3099" w:val="left" w:leader="none"/>
        </w:tabs>
        <w:spacing w:line="278" w:lineRule="auto" w:before="43" w:after="0"/>
        <w:ind w:left="2569" w:right="301" w:firstLine="0"/>
        <w:jc w:val="left"/>
        <w:rPr>
          <w:sz w:val="21"/>
        </w:rPr>
      </w:pPr>
      <w:r>
        <w:rPr>
          <w:spacing w:val="-3"/>
          <w:sz w:val="21"/>
        </w:rPr>
        <w:t>血液中存在高水平的自身免疫抗体，如 </w:t>
      </w:r>
      <w:r>
        <w:rPr>
          <w:sz w:val="21"/>
        </w:rPr>
        <w:t>ANA（抗核抗体</w:t>
      </w:r>
      <w:r>
        <w:rPr>
          <w:spacing w:val="-106"/>
          <w:sz w:val="21"/>
        </w:rPr>
        <w:t>）</w:t>
      </w:r>
      <w:r>
        <w:rPr>
          <w:sz w:val="21"/>
        </w:rPr>
        <w:t>、SMA（抗平滑肌</w:t>
      </w:r>
      <w:r>
        <w:rPr>
          <w:sz w:val="21"/>
        </w:rPr>
        <w:t>抗体</w:t>
      </w:r>
      <w:r>
        <w:rPr>
          <w:spacing w:val="-106"/>
          <w:sz w:val="21"/>
        </w:rPr>
        <w:t>）</w:t>
      </w:r>
      <w:r>
        <w:rPr>
          <w:spacing w:val="-5"/>
          <w:sz w:val="21"/>
        </w:rPr>
        <w:t>、抗 </w:t>
      </w:r>
      <w:r>
        <w:rPr>
          <w:sz w:val="21"/>
        </w:rPr>
        <w:t>LKM1</w:t>
      </w:r>
      <w:r>
        <w:rPr>
          <w:spacing w:val="-4"/>
          <w:sz w:val="21"/>
        </w:rPr>
        <w:t> 抗体或抗-</w:t>
      </w:r>
      <w:r>
        <w:rPr>
          <w:sz w:val="21"/>
        </w:rPr>
        <w:t>SLA/LP</w:t>
      </w:r>
      <w:r>
        <w:rPr>
          <w:spacing w:val="-5"/>
          <w:sz w:val="21"/>
        </w:rPr>
        <w:t> 抗体；</w:t>
      </w:r>
    </w:p>
    <w:p>
      <w:pPr>
        <w:pStyle w:val="ListParagraph"/>
        <w:numPr>
          <w:ilvl w:val="0"/>
          <w:numId w:val="41"/>
        </w:numPr>
        <w:tabs>
          <w:tab w:pos="3099" w:val="left" w:leader="none"/>
        </w:tabs>
        <w:spacing w:line="269" w:lineRule="exact" w:before="0" w:after="0"/>
        <w:ind w:left="3098" w:right="0" w:hanging="530"/>
        <w:jc w:val="left"/>
        <w:rPr>
          <w:sz w:val="21"/>
        </w:rPr>
      </w:pPr>
      <w:r>
        <w:rPr>
          <w:spacing w:val="-3"/>
          <w:sz w:val="21"/>
        </w:rPr>
        <w:t>肝脏活检证实免疫性肝炎；</w:t>
      </w:r>
    </w:p>
    <w:p>
      <w:pPr>
        <w:pStyle w:val="ListParagraph"/>
        <w:numPr>
          <w:ilvl w:val="0"/>
          <w:numId w:val="41"/>
        </w:numPr>
        <w:tabs>
          <w:tab w:pos="3099" w:val="left" w:leader="none"/>
        </w:tabs>
        <w:spacing w:line="240" w:lineRule="auto" w:before="43" w:after="0"/>
        <w:ind w:left="3098" w:right="0" w:hanging="530"/>
        <w:jc w:val="left"/>
        <w:rPr>
          <w:sz w:val="21"/>
        </w:rPr>
      </w:pPr>
      <w:r>
        <w:rPr>
          <w:spacing w:val="-3"/>
          <w:sz w:val="21"/>
        </w:rPr>
        <w:t>临床已经出现腹水、食道静脉曲张和脾肿大等肝硬化表现。</w:t>
      </w:r>
    </w:p>
    <w:p>
      <w:pPr>
        <w:pStyle w:val="BodyText"/>
        <w:spacing w:before="6"/>
        <w:rPr>
          <w:sz w:val="22"/>
        </w:rPr>
      </w:pPr>
    </w:p>
    <w:p>
      <w:pPr>
        <w:pStyle w:val="Heading3"/>
        <w:spacing w:line="240" w:lineRule="auto"/>
      </w:pPr>
      <w:r>
        <w:rPr/>
        <w:t>（六十一）</w:t>
      </w:r>
      <w:r>
        <w:rPr>
          <w:spacing w:val="-2"/>
        </w:rPr>
        <w:t>原发性骨髓纤维化</w:t>
      </w:r>
    </w:p>
    <w:p>
      <w:pPr>
        <w:spacing w:after="0" w:line="240" w:lineRule="auto"/>
        <w:sectPr>
          <w:pgSz w:w="11910" w:h="16840"/>
          <w:pgMar w:top="1080" w:bottom="280" w:left="920" w:right="820"/>
        </w:sectPr>
      </w:pPr>
    </w:p>
    <w:p>
      <w:pPr>
        <w:pStyle w:val="BodyText"/>
        <w:spacing w:line="278" w:lineRule="auto" w:before="59"/>
        <w:ind w:left="2569" w:right="301"/>
        <w:jc w:val="both"/>
      </w:pPr>
      <w:r>
        <w:rPr>
          <w:spacing w:val="-2"/>
        </w:rPr>
        <w:t>原发性骨髓纤维化为原因不明的骨髓中成纤维细胞增殖，伴有髓外造血，表现为</w:t>
      </w:r>
      <w:r>
        <w:rPr>
          <w:spacing w:val="-2"/>
        </w:rPr>
        <w:t>进行性贫血、脾肿大等症状。本疾病须根据骨髓的活组织检查和周围血象检查由</w:t>
      </w:r>
      <w:r>
        <w:rPr>
          <w:spacing w:val="-2"/>
        </w:rPr>
        <w:t>我们认可的医院血液科专科医生明确诊断，并至少符合下列条件中的三项，且符</w:t>
      </w:r>
      <w:r>
        <w:rPr>
          <w:spacing w:val="-3"/>
        </w:rPr>
        <w:t>合条件的状态持续 </w:t>
      </w:r>
      <w:r>
        <w:rPr/>
        <w:t>180</w:t>
      </w:r>
      <w:r>
        <w:rPr>
          <w:spacing w:val="-5"/>
        </w:rPr>
        <w:t> 天及以上，并已经实际实施了针对此症的治疗：</w:t>
      </w:r>
    </w:p>
    <w:p>
      <w:pPr>
        <w:pStyle w:val="BodyText"/>
        <w:spacing w:line="268" w:lineRule="exact"/>
        <w:ind w:left="2569"/>
      </w:pPr>
      <w:r>
        <w:rPr>
          <w:spacing w:val="-2"/>
        </w:rPr>
        <w:t>（1）血红蛋白&lt;100g/L；</w:t>
      </w:r>
    </w:p>
    <w:p>
      <w:pPr>
        <w:pStyle w:val="BodyText"/>
        <w:spacing w:before="33"/>
        <w:ind w:left="2569"/>
      </w:pPr>
      <w:r>
        <w:rPr>
          <w:spacing w:val="-2"/>
        </w:rPr>
        <w:t>（2）白细胞计数&gt;25×10</w:t>
      </w:r>
      <w:r>
        <w:rPr>
          <w:spacing w:val="-2"/>
          <w:position w:val="11"/>
          <w:sz w:val="11"/>
        </w:rPr>
        <w:t>9</w:t>
      </w:r>
      <w:r>
        <w:rPr>
          <w:spacing w:val="-2"/>
        </w:rPr>
        <w:t>/L；</w:t>
      </w:r>
    </w:p>
    <w:p>
      <w:pPr>
        <w:pStyle w:val="BodyText"/>
        <w:spacing w:before="43"/>
        <w:ind w:left="2569"/>
      </w:pPr>
      <w:r>
        <w:rPr/>
        <w:t>（3）</w:t>
      </w:r>
      <w:r>
        <w:rPr>
          <w:spacing w:val="-2"/>
        </w:rPr>
        <w:t>外周血原始细胞≥ </w:t>
      </w:r>
      <w:r>
        <w:rPr>
          <w:spacing w:val="-5"/>
        </w:rPr>
        <w:t>1%；</w:t>
      </w:r>
    </w:p>
    <w:p>
      <w:pPr>
        <w:pStyle w:val="BodyText"/>
        <w:spacing w:before="33"/>
        <w:ind w:left="2569"/>
      </w:pPr>
      <w:r>
        <w:rPr>
          <w:spacing w:val="-2"/>
        </w:rPr>
        <w:t>（4）血小板计数&lt;100×10</w:t>
      </w:r>
      <w:r>
        <w:rPr>
          <w:spacing w:val="-2"/>
          <w:position w:val="11"/>
          <w:sz w:val="11"/>
        </w:rPr>
        <w:t>9</w:t>
      </w:r>
      <w:r>
        <w:rPr>
          <w:spacing w:val="-2"/>
        </w:rPr>
        <w:t>/L</w:t>
      </w:r>
      <w:r>
        <w:rPr>
          <w:spacing w:val="-10"/>
        </w:rPr>
        <w:t>。</w:t>
      </w:r>
    </w:p>
    <w:p>
      <w:pPr>
        <w:pStyle w:val="BodyText"/>
        <w:spacing w:before="43"/>
        <w:ind w:left="2569"/>
      </w:pPr>
      <w:r>
        <w:rPr>
          <w:color w:val="000000"/>
          <w:spacing w:val="-3"/>
          <w:shd w:fill="D9D9D9" w:color="auto" w:val="clear"/>
        </w:rPr>
        <w:t>任何其他病因导致的继发性骨髓纤维化不在保障范围内。</w:t>
      </w:r>
    </w:p>
    <w:p>
      <w:pPr>
        <w:pStyle w:val="BodyText"/>
        <w:spacing w:before="6"/>
        <w:rPr>
          <w:sz w:val="22"/>
        </w:rPr>
      </w:pPr>
    </w:p>
    <w:p>
      <w:pPr>
        <w:pStyle w:val="Heading3"/>
      </w:pPr>
      <w:r>
        <w:rPr>
          <w:spacing w:val="-2"/>
        </w:rPr>
        <w:t>（六十二）</w:t>
      </w:r>
      <w:r>
        <w:rPr>
          <w:spacing w:val="-3"/>
        </w:rPr>
        <w:t>严重获得性或继发性肺泡蛋白质沉积症</w:t>
      </w:r>
    </w:p>
    <w:p>
      <w:pPr>
        <w:pStyle w:val="BodyText"/>
        <w:spacing w:line="278" w:lineRule="auto"/>
        <w:ind w:left="2569" w:right="301"/>
      </w:pPr>
      <w:r>
        <w:rPr>
          <w:w w:val="100"/>
        </w:rPr>
        <w:t>因获得性或继发性原因或导致双肺肺泡和细支气管腔内充满不可溶性富磷脂蛋</w:t>
      </w:r>
      <w:r>
        <w:rPr>
          <w:spacing w:val="-4"/>
          <w:w w:val="100"/>
        </w:rPr>
        <w:t>白的疾病。理赔时须满足下列所有条件：</w:t>
      </w:r>
    </w:p>
    <w:p>
      <w:pPr>
        <w:pStyle w:val="ListParagraph"/>
        <w:numPr>
          <w:ilvl w:val="0"/>
          <w:numId w:val="42"/>
        </w:numPr>
        <w:tabs>
          <w:tab w:pos="3118" w:val="left" w:leader="none"/>
        </w:tabs>
        <w:spacing w:line="278" w:lineRule="auto" w:before="0" w:after="0"/>
        <w:ind w:left="2569" w:right="224" w:firstLine="19"/>
        <w:jc w:val="left"/>
        <w:rPr>
          <w:sz w:val="21"/>
        </w:rPr>
      </w:pPr>
      <w:r>
        <w:rPr>
          <w:spacing w:val="-2"/>
          <w:sz w:val="21"/>
        </w:rPr>
        <w:t>支气管镜活检或开胸肺活检病理检查证实肺泡内充满有过碘酸雪夫</w:t>
      </w:r>
      <w:r>
        <w:rPr>
          <w:spacing w:val="-2"/>
          <w:sz w:val="21"/>
        </w:rPr>
        <w:t>（PAS）</w:t>
      </w:r>
      <w:r>
        <w:rPr>
          <w:spacing w:val="-2"/>
          <w:sz w:val="21"/>
        </w:rPr>
        <w:t>染色阳性的蛋白样物质；</w:t>
      </w:r>
    </w:p>
    <w:p>
      <w:pPr>
        <w:pStyle w:val="ListParagraph"/>
        <w:numPr>
          <w:ilvl w:val="0"/>
          <w:numId w:val="42"/>
        </w:numPr>
        <w:tabs>
          <w:tab w:pos="3118" w:val="left" w:leader="none"/>
        </w:tabs>
        <w:spacing w:line="248" w:lineRule="exact" w:before="0" w:after="0"/>
        <w:ind w:left="3117" w:right="0" w:hanging="530"/>
        <w:jc w:val="left"/>
        <w:rPr>
          <w:sz w:val="21"/>
        </w:rPr>
      </w:pPr>
      <w:r>
        <w:rPr>
          <w:spacing w:val="-3"/>
          <w:sz w:val="21"/>
        </w:rPr>
        <w:t>被保险人因中重度呼吸困难或低氧血症而实际已行全身麻醉下的全肺灌洗</w:t>
      </w:r>
    </w:p>
    <w:p>
      <w:pPr>
        <w:spacing w:line="31" w:lineRule="exact" w:before="0"/>
        <w:ind w:left="2627" w:right="0" w:firstLine="0"/>
        <w:jc w:val="left"/>
        <w:rPr>
          <w:sz w:val="4"/>
        </w:rPr>
      </w:pPr>
      <w:r>
        <w:rPr>
          <w:w w:val="72"/>
          <w:sz w:val="4"/>
        </w:rPr>
        <w:t>●</w:t>
      </w:r>
    </w:p>
    <w:p>
      <w:pPr>
        <w:pStyle w:val="BodyText"/>
        <w:spacing w:line="248" w:lineRule="exact" w:before="29"/>
        <w:ind w:left="2569"/>
      </w:pPr>
      <w:r>
        <w:rPr>
          <w:spacing w:val="-4"/>
        </w:rPr>
        <w:t>治疗。</w:t>
      </w:r>
    </w:p>
    <w:p>
      <w:pPr>
        <w:spacing w:line="31" w:lineRule="exact" w:before="0"/>
        <w:ind w:left="2607" w:right="0" w:firstLine="0"/>
        <w:jc w:val="left"/>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before="47"/>
      </w:pPr>
      <w:r>
        <w:rPr/>
        <w:t>（六十三）</w:t>
      </w:r>
      <w:r>
        <w:rPr>
          <w:spacing w:val="-1"/>
        </w:rPr>
        <w:t>严重慢性缩窄性心包炎</w:t>
      </w:r>
    </w:p>
    <w:p>
      <w:pPr>
        <w:pStyle w:val="BodyText"/>
        <w:spacing w:line="278" w:lineRule="auto"/>
        <w:ind w:left="2569" w:right="195"/>
      </w:pPr>
      <w:r>
        <w:rPr>
          <w:spacing w:val="-9"/>
        </w:rPr>
        <w:t>由于慢性心包炎症导致心包脏层和壁层广泛瘢痕粘连、增厚和钙化，心包腔闭塞，</w:t>
      </w:r>
      <w:r>
        <w:rPr>
          <w:spacing w:val="-2"/>
        </w:rPr>
        <w:t>形成一个纤维瘢痕外壳，使心脏和大血管根部受压，阻碍心脏的舒张。</w:t>
      </w:r>
    </w:p>
    <w:p>
      <w:pPr>
        <w:pStyle w:val="BodyText"/>
        <w:spacing w:line="269" w:lineRule="exact"/>
        <w:ind w:left="2569"/>
      </w:pPr>
      <w:r>
        <w:rPr>
          <w:spacing w:val="-3"/>
        </w:rPr>
        <w:t>被保险人被明确诊断为慢性缩窄性心包炎且必须满足以下所有条件：</w:t>
      </w:r>
    </w:p>
    <w:p>
      <w:pPr>
        <w:pStyle w:val="ListParagraph"/>
        <w:numPr>
          <w:ilvl w:val="0"/>
          <w:numId w:val="43"/>
        </w:numPr>
        <w:tabs>
          <w:tab w:pos="3099" w:val="left" w:leader="none"/>
        </w:tabs>
        <w:spacing w:line="278" w:lineRule="auto" w:before="39" w:after="0"/>
        <w:ind w:left="2569" w:right="305" w:firstLine="0"/>
        <w:jc w:val="left"/>
        <w:rPr>
          <w:sz w:val="21"/>
        </w:rPr>
      </w:pPr>
      <w:r>
        <w:rPr>
          <w:spacing w:val="-1"/>
          <w:sz w:val="21"/>
        </w:rPr>
        <w:t>新功能衰竭达到美国纽约心脏病学会心功能状态分级 </w:t>
      </w:r>
      <w:r>
        <w:rPr>
          <w:sz w:val="21"/>
        </w:rPr>
        <w:t>IV</w:t>
      </w:r>
      <w:r>
        <w:rPr>
          <w:spacing w:val="-6"/>
          <w:sz w:val="21"/>
        </w:rPr>
        <w:t> 级，并持续 </w:t>
      </w:r>
      <w:r>
        <w:rPr>
          <w:sz w:val="21"/>
        </w:rPr>
        <w:t>180 </w:t>
      </w:r>
      <w:r>
        <w:rPr>
          <w:spacing w:val="-4"/>
          <w:sz w:val="21"/>
        </w:rPr>
        <w:t>天以上；</w:t>
      </w:r>
    </w:p>
    <w:p>
      <w:pPr>
        <w:pStyle w:val="ListParagraph"/>
        <w:numPr>
          <w:ilvl w:val="0"/>
          <w:numId w:val="43"/>
        </w:numPr>
        <w:tabs>
          <w:tab w:pos="3099" w:val="left" w:leader="none"/>
        </w:tabs>
        <w:spacing w:line="278" w:lineRule="auto" w:before="0" w:after="0"/>
        <w:ind w:left="2569" w:right="200" w:firstLine="0"/>
        <w:jc w:val="left"/>
        <w:rPr>
          <w:sz w:val="21"/>
        </w:rPr>
      </w:pPr>
      <w:r>
        <w:rPr>
          <w:spacing w:val="-7"/>
          <w:w w:val="100"/>
          <w:sz w:val="21"/>
        </w:rPr>
        <w:t>实际接受了以下任何一种手术路径的心包剥脱或心包切除手术；手术路径</w:t>
      </w:r>
      <w:r>
        <w:rPr>
          <w:spacing w:val="-5"/>
          <w:w w:val="100"/>
          <w:sz w:val="21"/>
        </w:rPr>
        <w:t>：胸骨正中切口；双侧前胸切口；左前胸肋间切口。</w:t>
      </w:r>
    </w:p>
    <w:p>
      <w:pPr>
        <w:pStyle w:val="BodyText"/>
        <w:ind w:left="2569"/>
        <w:rPr>
          <w:sz w:val="20"/>
        </w:rPr>
      </w:pPr>
      <w:r>
        <w:rPr>
          <w:sz w:val="20"/>
        </w:rPr>
        <w:pict>
          <v:shape style="width:325.45pt;height:13.95pt;mso-position-horizontal-relative:char;mso-position-vertical-relative:line" type="#_x0000_t202" id="docshape116" filled="true" fillcolor="#d9d9d9" stroked="false">
            <w10:anchorlock/>
            <v:textbox inset="0,0,0,0">
              <w:txbxContent>
                <w:p>
                  <w:pPr>
                    <w:pStyle w:val="BodyText"/>
                    <w:spacing w:line="248" w:lineRule="exact" w:before="6"/>
                    <w:ind w:right="-15"/>
                    <w:rPr>
                      <w:color w:val="000000"/>
                    </w:rPr>
                  </w:pPr>
                  <w:r>
                    <w:rPr>
                      <w:color w:val="000000"/>
                      <w:spacing w:val="-5"/>
                    </w:rPr>
                    <w:t>经胸腔镜、胸壁打孔进行的手术、心包粘连松解手术不在保障范围内。</w:t>
                  </w:r>
                </w:p>
                <w:p>
                  <w:pPr>
                    <w:spacing w:line="24" w:lineRule="exact" w:before="0"/>
                    <w:ind w:left="460" w:right="0" w:firstLine="0"/>
                    <w:jc w:val="left"/>
                    <w:rPr>
                      <w:color w:val="000000"/>
                      <w:sz w:val="4"/>
                    </w:rPr>
                  </w:pPr>
                  <w:r>
                    <w:rPr>
                      <w:color w:val="000000"/>
                      <w:w w:val="72"/>
                      <w:sz w:val="4"/>
                    </w:rPr>
                    <w:t>●</w:t>
                  </w:r>
                </w:p>
              </w:txbxContent>
            </v:textbox>
            <v:fill type="solid"/>
          </v:shape>
        </w:pict>
      </w:r>
      <w:r>
        <w:rPr>
          <w:sz w:val="20"/>
        </w:rPr>
      </w:r>
    </w:p>
    <w:p>
      <w:pPr>
        <w:pStyle w:val="BodyText"/>
        <w:spacing w:before="8"/>
        <w:rPr>
          <w:sz w:val="19"/>
        </w:rPr>
      </w:pPr>
    </w:p>
    <w:p>
      <w:pPr>
        <w:pStyle w:val="Heading3"/>
        <w:spacing w:before="5"/>
      </w:pPr>
      <w:r>
        <w:rPr/>
        <w:t>（六十四）</w:t>
      </w:r>
      <w:r>
        <w:rPr>
          <w:spacing w:val="-1"/>
        </w:rPr>
        <w:t>严重骨髓异常增生综合征</w:t>
      </w:r>
    </w:p>
    <w:p>
      <w:pPr>
        <w:pStyle w:val="BodyText"/>
        <w:spacing w:line="278" w:lineRule="auto"/>
        <w:ind w:left="2569" w:right="301"/>
        <w:jc w:val="both"/>
      </w:pPr>
      <w:r>
        <w:rPr>
          <w:spacing w:val="-2"/>
        </w:rPr>
        <w:t>是指符合世界卫生组织（WHO）2008</w:t>
      </w:r>
      <w:r>
        <w:rPr>
          <w:spacing w:val="-6"/>
        </w:rPr>
        <w:t> 年分型方案中的难治性贫血细胞减少伴原始</w:t>
      </w:r>
      <w:r>
        <w:rPr>
          <w:spacing w:val="-2"/>
        </w:rPr>
        <w:t>细胞增多-1（RAEB-</w:t>
      </w:r>
      <w:r>
        <w:rPr/>
        <w:t>1</w:t>
      </w:r>
      <w:r>
        <w:rPr>
          <w:spacing w:val="-106"/>
        </w:rPr>
        <w:t>）</w:t>
      </w:r>
      <w:r>
        <w:rPr>
          <w:spacing w:val="-2"/>
        </w:rPr>
        <w:t>、难治性贫血细胞减少伴原始细胞增多-2（RAEB-</w:t>
      </w:r>
      <w:r>
        <w:rPr/>
        <w:t>2</w:t>
      </w:r>
      <w:r>
        <w:rPr>
          <w:spacing w:val="-111"/>
        </w:rPr>
        <w:t>）</w:t>
      </w:r>
      <w:r>
        <w:rPr>
          <w:spacing w:val="-2"/>
        </w:rPr>
        <w:t>、MDS-</w:t>
      </w:r>
      <w:r>
        <w:rPr/>
        <w:t>未分类（MDS-U</w:t>
      </w:r>
      <w:r>
        <w:rPr>
          <w:spacing w:val="-106"/>
        </w:rPr>
        <w:t>）</w:t>
      </w:r>
      <w:r>
        <w:rPr/>
        <w:t>、MDS</w:t>
      </w:r>
      <w:r>
        <w:rPr>
          <w:spacing w:val="-10"/>
        </w:rPr>
        <w:t> 伴单纯 </w:t>
      </w:r>
      <w:r>
        <w:rPr/>
        <w:t>5q-，且需满足下列所有条件：</w:t>
      </w:r>
    </w:p>
    <w:p>
      <w:pPr>
        <w:pStyle w:val="BodyText"/>
        <w:spacing w:line="278" w:lineRule="auto"/>
        <w:ind w:left="2569" w:right="305"/>
      </w:pPr>
      <w:r>
        <w:rPr>
          <w:spacing w:val="-2"/>
        </w:rPr>
        <w:t>（1）由我们认可的医院中设有专门血液病专科的公立三级甲等医院，血液病专</w:t>
      </w:r>
      <w:r>
        <w:rPr>
          <w:spacing w:val="-2"/>
        </w:rPr>
        <w:t>科的主治级别以上的专科医生确诊；</w:t>
      </w:r>
    </w:p>
    <w:p>
      <w:pPr>
        <w:pStyle w:val="ListParagraph"/>
        <w:numPr>
          <w:ilvl w:val="0"/>
          <w:numId w:val="44"/>
        </w:numPr>
        <w:tabs>
          <w:tab w:pos="3099" w:val="left" w:leader="none"/>
        </w:tabs>
        <w:spacing w:line="269" w:lineRule="exact" w:before="0" w:after="0"/>
        <w:ind w:left="3098" w:right="0" w:hanging="530"/>
        <w:jc w:val="left"/>
        <w:rPr>
          <w:sz w:val="21"/>
        </w:rPr>
      </w:pPr>
      <w:r>
        <w:rPr>
          <w:spacing w:val="-3"/>
          <w:sz w:val="21"/>
        </w:rPr>
        <w:t>骨髓穿刺或骨髓活检结果支持诊断；</w:t>
      </w:r>
    </w:p>
    <w:p>
      <w:pPr>
        <w:pStyle w:val="ListParagraph"/>
        <w:numPr>
          <w:ilvl w:val="0"/>
          <w:numId w:val="44"/>
        </w:numPr>
        <w:tabs>
          <w:tab w:pos="3099" w:val="left" w:leader="none"/>
        </w:tabs>
        <w:spacing w:line="240" w:lineRule="auto" w:before="38" w:after="0"/>
        <w:ind w:left="3098" w:right="0" w:hanging="530"/>
        <w:jc w:val="left"/>
        <w:rPr>
          <w:sz w:val="21"/>
        </w:rPr>
      </w:pPr>
      <w:r>
        <w:rPr>
          <w:spacing w:val="-3"/>
          <w:sz w:val="21"/>
        </w:rPr>
        <w:t>被保险人已持续接受一个月以上的化疗或已接受骨髓移植治疗。</w:t>
      </w:r>
    </w:p>
    <w:p>
      <w:pPr>
        <w:pStyle w:val="BodyText"/>
        <w:spacing w:before="6"/>
        <w:rPr>
          <w:sz w:val="22"/>
        </w:rPr>
      </w:pPr>
    </w:p>
    <w:p>
      <w:pPr>
        <w:pStyle w:val="Heading3"/>
      </w:pPr>
      <w:r>
        <w:rPr/>
        <w:t>（六十五）</w:t>
      </w:r>
      <w:r>
        <w:rPr>
          <w:spacing w:val="-2"/>
        </w:rPr>
        <w:t>艾森门格综合征</w:t>
      </w:r>
    </w:p>
    <w:p>
      <w:pPr>
        <w:pStyle w:val="BodyText"/>
        <w:spacing w:line="278" w:lineRule="auto"/>
        <w:ind w:left="2569" w:right="301"/>
      </w:pPr>
      <w:r>
        <w:rPr>
          <w:spacing w:val="-5"/>
        </w:rPr>
        <w:t>因心脏病导致的严重肺动脉高压及右向左分流。诊断必须由心脏专科医生经超声</w:t>
      </w:r>
      <w:r>
        <w:rPr>
          <w:spacing w:val="-2"/>
        </w:rPr>
        <w:t>心动图和心导管检查证实及需符合以下所有标准：</w:t>
      </w:r>
    </w:p>
    <w:p>
      <w:pPr>
        <w:pStyle w:val="ListParagraph"/>
        <w:numPr>
          <w:ilvl w:val="0"/>
          <w:numId w:val="45"/>
        </w:numPr>
        <w:tabs>
          <w:tab w:pos="3099" w:val="left" w:leader="none"/>
        </w:tabs>
        <w:spacing w:line="269" w:lineRule="exact" w:before="0" w:after="0"/>
        <w:ind w:left="3098" w:right="0" w:hanging="530"/>
        <w:jc w:val="left"/>
        <w:rPr>
          <w:sz w:val="21"/>
        </w:rPr>
      </w:pPr>
      <w:r>
        <w:rPr>
          <w:spacing w:val="-8"/>
          <w:sz w:val="21"/>
        </w:rPr>
        <w:t>平均肺动脉压高于 </w:t>
      </w:r>
      <w:r>
        <w:rPr>
          <w:spacing w:val="-2"/>
          <w:sz w:val="21"/>
        </w:rPr>
        <w:t>40mmHg；</w:t>
      </w:r>
    </w:p>
    <w:p>
      <w:pPr>
        <w:pStyle w:val="ListParagraph"/>
        <w:numPr>
          <w:ilvl w:val="0"/>
          <w:numId w:val="45"/>
        </w:numPr>
        <w:tabs>
          <w:tab w:pos="3099" w:val="left" w:leader="none"/>
        </w:tabs>
        <w:spacing w:line="240" w:lineRule="auto" w:before="39" w:after="0"/>
        <w:ind w:left="3098" w:right="0" w:hanging="530"/>
        <w:jc w:val="left"/>
        <w:rPr>
          <w:sz w:val="21"/>
        </w:rPr>
      </w:pPr>
      <w:r>
        <w:rPr>
          <w:spacing w:val="-7"/>
          <w:sz w:val="21"/>
        </w:rPr>
        <w:t>肺血管阻力高于 </w:t>
      </w:r>
      <w:r>
        <w:rPr>
          <w:spacing w:val="-2"/>
          <w:sz w:val="21"/>
        </w:rPr>
        <w:t>3mm/L/min（Wood</w:t>
      </w:r>
      <w:r>
        <w:rPr>
          <w:spacing w:val="-16"/>
          <w:sz w:val="21"/>
        </w:rPr>
        <w:t> 单位</w:t>
      </w:r>
      <w:r>
        <w:rPr>
          <w:spacing w:val="-111"/>
          <w:sz w:val="21"/>
        </w:rPr>
        <w:t>）</w:t>
      </w:r>
      <w:r>
        <w:rPr>
          <w:spacing w:val="-5"/>
          <w:sz w:val="21"/>
        </w:rPr>
        <w:t>；</w:t>
      </w:r>
    </w:p>
    <w:p>
      <w:pPr>
        <w:pStyle w:val="ListParagraph"/>
        <w:numPr>
          <w:ilvl w:val="0"/>
          <w:numId w:val="45"/>
        </w:numPr>
        <w:tabs>
          <w:tab w:pos="3099" w:val="left" w:leader="none"/>
        </w:tabs>
        <w:spacing w:line="240" w:lineRule="auto" w:before="43" w:after="0"/>
        <w:ind w:left="3098" w:right="0" w:hanging="530"/>
        <w:jc w:val="left"/>
        <w:rPr>
          <w:sz w:val="21"/>
        </w:rPr>
      </w:pPr>
      <w:r>
        <w:rPr>
          <w:spacing w:val="-6"/>
          <w:sz w:val="21"/>
        </w:rPr>
        <w:t>正常肺微血管楔压低于 </w:t>
      </w:r>
      <w:r>
        <w:rPr>
          <w:spacing w:val="-2"/>
          <w:sz w:val="21"/>
        </w:rPr>
        <w:t>15mmHg</w:t>
      </w:r>
      <w:r>
        <w:rPr>
          <w:spacing w:val="-10"/>
          <w:sz w:val="21"/>
        </w:rPr>
        <w:t>。</w:t>
      </w:r>
    </w:p>
    <w:p>
      <w:pPr>
        <w:pStyle w:val="BodyText"/>
        <w:spacing w:line="278" w:lineRule="auto" w:before="44"/>
        <w:ind w:left="2569" w:right="301"/>
      </w:pPr>
      <w:r>
        <w:rPr>
          <w:color w:val="000000"/>
          <w:spacing w:val="-2"/>
          <w:shd w:fill="D9D9D9" w:color="auto" w:val="clear"/>
        </w:rPr>
        <w:t>本公司承担本项疾病责任不受本合同责任免除中“遗传性疾病，先天性畸形、变</w:t>
      </w:r>
      <w:r>
        <w:rPr>
          <w:color w:val="000000"/>
          <w:spacing w:val="-2"/>
          <w:shd w:fill="D9D9D9" w:color="auto" w:val="clear"/>
        </w:rPr>
        <w:t>形或染色体异常”的限制。</w:t>
      </w:r>
    </w:p>
    <w:p>
      <w:pPr>
        <w:spacing w:after="0" w:line="278" w:lineRule="auto"/>
        <w:sectPr>
          <w:pgSz w:w="11910" w:h="16840"/>
          <w:pgMar w:top="1080" w:bottom="280" w:left="920" w:right="820"/>
        </w:sectPr>
      </w:pPr>
    </w:p>
    <w:p>
      <w:pPr>
        <w:pStyle w:val="Heading3"/>
        <w:spacing w:line="376" w:lineRule="exact"/>
      </w:pPr>
      <w:r>
        <w:rPr/>
        <w:t>（六十六）</w:t>
      </w:r>
      <w:r>
        <w:rPr>
          <w:spacing w:val="-3"/>
        </w:rPr>
        <w:t>严重癫痫</w:t>
      </w:r>
    </w:p>
    <w:p>
      <w:pPr>
        <w:pStyle w:val="BodyText"/>
        <w:spacing w:line="278" w:lineRule="auto"/>
        <w:ind w:left="2569" w:right="195"/>
      </w:pPr>
      <w:r>
        <w:rPr>
          <w:spacing w:val="-4"/>
        </w:rPr>
        <w:t>本病的诊断须由神经科或儿科专科医生根据典型临床症状和脑电图及 </w:t>
      </w:r>
      <w:r>
        <w:rPr>
          <w:spacing w:val="-2"/>
        </w:rPr>
        <w:t>MRI、PET</w:t>
      </w:r>
      <w:r>
        <w:rPr>
          <w:spacing w:val="-2"/>
        </w:rPr>
        <w:t>、 </w:t>
      </w:r>
      <w:r>
        <w:rPr/>
        <w:t>CT 等影相学检查做出。理赔时必须提供 6 个月以上的相关病历记录证明被保险</w:t>
      </w:r>
      <w:r>
        <w:rPr>
          <w:spacing w:val="-4"/>
        </w:rPr>
        <w:t>人存在经抗癫痫药物治疗无效而反复发作的强直阵挛性发作或癫痫大发作，且已</w:t>
      </w:r>
    </w:p>
    <w:p>
      <w:pPr>
        <w:pStyle w:val="BodyText"/>
        <w:spacing w:line="248" w:lineRule="exact"/>
        <w:ind w:left="2569"/>
      </w:pPr>
      <w:r>
        <w:rPr>
          <w:spacing w:val="-3"/>
        </w:rPr>
        <w:t>进行神经外科手术以治疗反复发作的癫痫。</w:t>
      </w:r>
    </w:p>
    <w:p>
      <w:pPr>
        <w:spacing w:line="31" w:lineRule="exact" w:before="0"/>
        <w:ind w:left="2607" w:right="0" w:firstLine="0"/>
        <w:jc w:val="left"/>
        <w:rPr>
          <w:sz w:val="4"/>
        </w:rPr>
      </w:pPr>
      <w:r>
        <w:rPr>
          <w:w w:val="72"/>
          <w:sz w:val="4"/>
        </w:rPr>
        <w:t>●</w:t>
      </w:r>
    </w:p>
    <w:p>
      <w:pPr>
        <w:pStyle w:val="BodyText"/>
        <w:spacing w:before="29"/>
        <w:ind w:left="2569"/>
      </w:pPr>
      <w:r>
        <w:rPr>
          <w:color w:val="000000"/>
          <w:spacing w:val="-2"/>
          <w:shd w:fill="D9D9D9" w:color="auto" w:val="clear"/>
        </w:rPr>
        <w:t>发热性惊厥以及没有全身性发作的失神发作（癫痫小发作）</w:t>
      </w:r>
      <w:r>
        <w:rPr>
          <w:color w:val="000000"/>
          <w:spacing w:val="-3"/>
          <w:shd w:fill="D9D9D9" w:color="auto" w:val="clear"/>
        </w:rPr>
        <w:t>不在本保障范围内。</w:t>
      </w:r>
    </w:p>
    <w:p>
      <w:pPr>
        <w:pStyle w:val="BodyText"/>
        <w:spacing w:before="5"/>
        <w:rPr>
          <w:sz w:val="22"/>
        </w:rPr>
      </w:pPr>
    </w:p>
    <w:p>
      <w:pPr>
        <w:pStyle w:val="Heading3"/>
        <w:spacing w:before="1"/>
      </w:pPr>
      <w:r>
        <w:rPr/>
        <w:t>（六十七）</w:t>
      </w:r>
      <w:r>
        <w:rPr>
          <w:spacing w:val="-2"/>
        </w:rPr>
        <w:t>严重肠道疾病并发症</w:t>
      </w:r>
    </w:p>
    <w:p>
      <w:pPr>
        <w:pStyle w:val="BodyText"/>
        <w:spacing w:line="244" w:lineRule="exact"/>
        <w:ind w:left="2569"/>
      </w:pPr>
      <w:r>
        <w:rPr>
          <w:spacing w:val="-3"/>
        </w:rPr>
        <w:t>指严重肠道疾病或外伤导致小肠损害并发症，本疾病须满足以下所有条件：</w:t>
      </w:r>
    </w:p>
    <w:p>
      <w:pPr>
        <w:spacing w:line="31" w:lineRule="exact" w:before="0"/>
        <w:ind w:left="2607" w:right="0" w:firstLine="0"/>
        <w:jc w:val="left"/>
        <w:rPr>
          <w:sz w:val="4"/>
        </w:rPr>
      </w:pPr>
      <w:r>
        <w:rPr>
          <w:w w:val="72"/>
          <w:sz w:val="4"/>
        </w:rPr>
        <w:t>●</w:t>
      </w:r>
    </w:p>
    <w:p>
      <w:pPr>
        <w:pStyle w:val="ListParagraph"/>
        <w:numPr>
          <w:ilvl w:val="0"/>
          <w:numId w:val="46"/>
        </w:numPr>
        <w:tabs>
          <w:tab w:pos="3099" w:val="left" w:leader="none"/>
        </w:tabs>
        <w:spacing w:line="240" w:lineRule="auto" w:before="33" w:after="0"/>
        <w:ind w:left="3098" w:right="0" w:hanging="530"/>
        <w:jc w:val="left"/>
        <w:rPr>
          <w:sz w:val="21"/>
        </w:rPr>
      </w:pPr>
      <w:r>
        <w:rPr>
          <w:spacing w:val="-3"/>
          <w:sz w:val="21"/>
        </w:rPr>
        <w:t>至少切除了三分之二小肠；</w:t>
      </w:r>
    </w:p>
    <w:p>
      <w:pPr>
        <w:pStyle w:val="ListParagraph"/>
        <w:numPr>
          <w:ilvl w:val="0"/>
          <w:numId w:val="46"/>
        </w:numPr>
        <w:tabs>
          <w:tab w:pos="3099" w:val="left" w:leader="none"/>
        </w:tabs>
        <w:spacing w:line="240" w:lineRule="auto" w:before="42" w:after="0"/>
        <w:ind w:left="3098" w:right="0" w:hanging="530"/>
        <w:jc w:val="left"/>
        <w:rPr>
          <w:sz w:val="21"/>
        </w:rPr>
      </w:pPr>
      <w:r>
        <w:rPr>
          <w:spacing w:val="-3"/>
          <w:sz w:val="21"/>
        </w:rPr>
        <w:t>完全肠外营养支持三个月以上。</w:t>
      </w:r>
    </w:p>
    <w:p>
      <w:pPr>
        <w:pStyle w:val="BodyText"/>
        <w:spacing w:before="6"/>
        <w:rPr>
          <w:sz w:val="22"/>
        </w:rPr>
      </w:pPr>
    </w:p>
    <w:p>
      <w:pPr>
        <w:pStyle w:val="Heading3"/>
      </w:pPr>
      <w:r>
        <w:rPr/>
        <w:t>（六十八）</w:t>
      </w:r>
      <w:r>
        <w:rPr>
          <w:spacing w:val="-2"/>
        </w:rPr>
        <w:t>重症手足口病</w:t>
      </w:r>
    </w:p>
    <w:p>
      <w:pPr>
        <w:pStyle w:val="BodyText"/>
        <w:spacing w:line="278" w:lineRule="auto"/>
        <w:ind w:left="2569" w:right="200"/>
      </w:pPr>
      <w:r>
        <w:rPr>
          <w:spacing w:val="-11"/>
        </w:rPr>
        <w:t>指由肠道病毒引起的急性传染病，主要症状表现为手、足、口腔等部位的斑丘疹、</w:t>
      </w:r>
      <w:r>
        <w:rPr>
          <w:spacing w:val="-2"/>
        </w:rPr>
        <w:t>疱疹。经我们认可医院的专科医生确诊为患有手足口病，并伴有下列三项中的任</w:t>
      </w:r>
      <w:r>
        <w:rPr>
          <w:spacing w:val="-2"/>
        </w:rPr>
        <w:t>意一项并发症：</w:t>
      </w:r>
    </w:p>
    <w:p>
      <w:pPr>
        <w:pStyle w:val="ListParagraph"/>
        <w:numPr>
          <w:ilvl w:val="0"/>
          <w:numId w:val="47"/>
        </w:numPr>
        <w:tabs>
          <w:tab w:pos="3099" w:val="left" w:leader="none"/>
        </w:tabs>
        <w:spacing w:line="278" w:lineRule="auto" w:before="0" w:after="0"/>
        <w:ind w:left="2569" w:right="344" w:firstLine="0"/>
        <w:jc w:val="left"/>
        <w:rPr>
          <w:sz w:val="21"/>
        </w:rPr>
      </w:pPr>
      <w:r>
        <w:rPr>
          <w:spacing w:val="-2"/>
          <w:sz w:val="21"/>
        </w:rPr>
        <w:t>有脑膜炎或脑炎并发症，且导致意识障碍或瘫痪的临床表现及实验室检查</w:t>
      </w:r>
      <w:r>
        <w:rPr>
          <w:spacing w:val="-4"/>
          <w:sz w:val="21"/>
        </w:rPr>
        <w:t>证据；</w:t>
      </w:r>
    </w:p>
    <w:p>
      <w:pPr>
        <w:pStyle w:val="ListParagraph"/>
        <w:numPr>
          <w:ilvl w:val="0"/>
          <w:numId w:val="47"/>
        </w:numPr>
        <w:tabs>
          <w:tab w:pos="3099" w:val="left" w:leader="none"/>
        </w:tabs>
        <w:spacing w:line="269" w:lineRule="exact" w:before="0" w:after="0"/>
        <w:ind w:left="3098" w:right="0" w:hanging="530"/>
        <w:jc w:val="left"/>
        <w:rPr>
          <w:sz w:val="21"/>
        </w:rPr>
      </w:pPr>
      <w:r>
        <w:rPr>
          <w:spacing w:val="-3"/>
          <w:sz w:val="21"/>
        </w:rPr>
        <w:t>有肺炎或肺水肿并发症，且导致呼吸衰竭的临床表现及实验室检查证据；</w:t>
      </w:r>
    </w:p>
    <w:p>
      <w:pPr>
        <w:pStyle w:val="BodyText"/>
        <w:spacing w:line="278" w:lineRule="auto" w:before="39"/>
        <w:ind w:left="2569" w:right="305"/>
      </w:pPr>
      <w:r>
        <w:rPr>
          <w:spacing w:val="-2"/>
        </w:rPr>
        <w:t>（3）有心肌炎并发症，且导致心脏扩大或心力衰竭的临床表现及实验室检查证</w:t>
      </w:r>
      <w:r>
        <w:rPr>
          <w:spacing w:val="-6"/>
        </w:rPr>
        <w:t>据。</w:t>
      </w:r>
    </w:p>
    <w:p>
      <w:pPr>
        <w:pStyle w:val="BodyText"/>
        <w:spacing w:before="1"/>
        <w:rPr>
          <w:sz w:val="19"/>
        </w:rPr>
      </w:pPr>
    </w:p>
    <w:p>
      <w:pPr>
        <w:pStyle w:val="Heading3"/>
        <w:spacing w:before="1"/>
      </w:pPr>
      <w:r>
        <w:rPr/>
        <w:t>（六十九）</w:t>
      </w:r>
      <w:r>
        <w:rPr>
          <w:spacing w:val="-2"/>
        </w:rPr>
        <w:t>弥漫性血管内凝血</w:t>
      </w:r>
    </w:p>
    <w:p>
      <w:pPr>
        <w:pStyle w:val="BodyText"/>
        <w:spacing w:line="278" w:lineRule="auto"/>
        <w:ind w:left="2569" w:right="301"/>
      </w:pPr>
      <w:r>
        <w:rPr>
          <w:spacing w:val="-5"/>
        </w:rPr>
        <w:t>指血液凝固系统和纤溶系统的过度活动导致微血管血栓形成、血小板及凝血因子</w:t>
      </w:r>
      <w:r>
        <w:rPr>
          <w:spacing w:val="-2"/>
        </w:rPr>
        <w:t>耗竭和严重出血，需要输注血浆和浓缩血小板进行治疗。</w:t>
      </w:r>
    </w:p>
    <w:p>
      <w:pPr>
        <w:pStyle w:val="BodyText"/>
        <w:spacing w:before="9"/>
        <w:rPr>
          <w:sz w:val="18"/>
        </w:rPr>
      </w:pPr>
    </w:p>
    <w:p>
      <w:pPr>
        <w:pStyle w:val="Heading3"/>
      </w:pPr>
      <w:r>
        <w:rPr/>
        <w:t>（七十）</w:t>
      </w:r>
      <w:r>
        <w:rPr>
          <w:spacing w:val="-1"/>
        </w:rPr>
        <w:t>进行性多灶性白质脑病</w:t>
      </w:r>
    </w:p>
    <w:p>
      <w:pPr>
        <w:pStyle w:val="BodyText"/>
        <w:spacing w:line="278" w:lineRule="auto"/>
        <w:ind w:left="2569" w:right="301"/>
      </w:pPr>
      <w:r>
        <w:rPr>
          <w:spacing w:val="-2"/>
        </w:rPr>
        <w:t>是一种亚急性脱髓鞘性脑病，常常发现于免疫缺陷的病人。必须由神经科专科医</w:t>
      </w:r>
      <w:r>
        <w:rPr>
          <w:spacing w:val="-2"/>
        </w:rPr>
        <w:t>生根据脑组织活检确诊。</w:t>
      </w:r>
    </w:p>
    <w:p>
      <w:pPr>
        <w:pStyle w:val="BodyText"/>
        <w:spacing w:before="10"/>
        <w:rPr>
          <w:sz w:val="18"/>
        </w:rPr>
      </w:pPr>
    </w:p>
    <w:p>
      <w:pPr>
        <w:pStyle w:val="Heading3"/>
      </w:pPr>
      <w:r>
        <w:rPr/>
        <w:t>（七十一）</w:t>
      </w:r>
      <w:r>
        <w:rPr>
          <w:spacing w:val="-2"/>
        </w:rPr>
        <w:t>亚历山大病</w:t>
      </w:r>
    </w:p>
    <w:p>
      <w:pPr>
        <w:pStyle w:val="BodyText"/>
        <w:spacing w:line="278" w:lineRule="auto"/>
        <w:ind w:left="2569" w:right="195"/>
      </w:pPr>
      <w:r>
        <w:rPr>
          <w:spacing w:val="-2"/>
        </w:rPr>
        <w:t>一种遗传性中枢神经系统退行性病变，特点为脑白质营养不良性。临床表现为惊</w:t>
      </w:r>
      <w:r>
        <w:rPr>
          <w:spacing w:val="-6"/>
        </w:rPr>
        <w:t>厥发作、智力下降、球麻痹、共济失调、痉性瘫痪。亚历山大病必须被明确诊断，</w:t>
      </w:r>
      <w:r>
        <w:rPr>
          <w:spacing w:val="-2"/>
        </w:rPr>
        <w:t>并且造成永久性神经系统功能障碍。被保险人自主生活能力完全丧失，无法独立</w:t>
      </w:r>
      <w:r>
        <w:rPr>
          <w:spacing w:val="-5"/>
        </w:rPr>
        <w:t>完成六项基本日常生活活动中的三项或三项以上，日常生活必须持续受到他人护</w:t>
      </w:r>
      <w:r>
        <w:rPr>
          <w:spacing w:val="-2"/>
        </w:rPr>
        <w:t>理。</w:t>
      </w:r>
      <w:r>
        <w:rPr>
          <w:color w:val="000000"/>
          <w:spacing w:val="-2"/>
          <w:shd w:fill="D9D9D9" w:color="auto" w:val="clear"/>
        </w:rPr>
        <w:t>未明确诊断的疑似病例除外。</w:t>
      </w:r>
    </w:p>
    <w:p>
      <w:pPr>
        <w:pStyle w:val="BodyText"/>
        <w:spacing w:before="10"/>
        <w:rPr>
          <w:sz w:val="18"/>
        </w:rPr>
      </w:pPr>
    </w:p>
    <w:p>
      <w:pPr>
        <w:pStyle w:val="Heading3"/>
      </w:pPr>
      <w:r>
        <w:rPr/>
        <w:t>（七十二）</w:t>
      </w:r>
      <w:r>
        <w:rPr>
          <w:spacing w:val="-2"/>
        </w:rPr>
        <w:t>结核性脊髓炎</w:t>
      </w:r>
    </w:p>
    <w:p>
      <w:pPr>
        <w:pStyle w:val="BodyText"/>
        <w:spacing w:line="278" w:lineRule="auto"/>
        <w:ind w:left="2569" w:right="301"/>
        <w:jc w:val="both"/>
      </w:pPr>
      <w:r>
        <w:rPr>
          <w:spacing w:val="-2"/>
        </w:rPr>
        <w:t>指因结核杆菌引起的脊髓炎，导致永久性神经系统功能中度障碍，即：疾病首次</w:t>
      </w:r>
      <w:r>
        <w:rPr>
          <w:spacing w:val="-11"/>
        </w:rPr>
        <w:t>确诊 </w:t>
      </w:r>
      <w:r>
        <w:rPr>
          <w:spacing w:val="-4"/>
        </w:rPr>
        <w:t>180</w:t>
      </w:r>
      <w:r>
        <w:rPr>
          <w:spacing w:val="-8"/>
        </w:rPr>
        <w:t> 天后，仍遗留下列障碍：自主生活能力部分丧失，无法独立完成六项基</w:t>
      </w:r>
      <w:r>
        <w:rPr>
          <w:spacing w:val="-2"/>
        </w:rPr>
        <w:t>本日常生活活动中的三项或三项以上。</w:t>
      </w:r>
    </w:p>
    <w:p>
      <w:pPr>
        <w:pStyle w:val="BodyText"/>
        <w:spacing w:line="278" w:lineRule="auto"/>
        <w:ind w:left="2569" w:right="301"/>
      </w:pPr>
      <w:r>
        <w:rPr>
          <w:spacing w:val="-5"/>
        </w:rPr>
        <w:t>该诊断必须由认可的医疗机构内的神经专科医生证实，并必须由适当的检查证明</w:t>
      </w:r>
      <w:r>
        <w:rPr>
          <w:spacing w:val="-2"/>
        </w:rPr>
        <w:t>为结核性脊髓炎。</w:t>
      </w:r>
    </w:p>
    <w:p>
      <w:pPr>
        <w:pStyle w:val="BodyText"/>
        <w:spacing w:before="9"/>
        <w:rPr>
          <w:sz w:val="18"/>
        </w:rPr>
      </w:pPr>
    </w:p>
    <w:p>
      <w:pPr>
        <w:pStyle w:val="Heading3"/>
        <w:spacing w:line="320" w:lineRule="exact" w:before="1"/>
      </w:pPr>
      <w:r>
        <w:rPr/>
        <w:t>（七十三）</w:t>
      </w:r>
      <w:r>
        <w:rPr>
          <w:spacing w:val="-3"/>
        </w:rPr>
        <w:t>严重哮喘</w:t>
      </w:r>
    </w:p>
    <w:p>
      <w:pPr>
        <w:spacing w:line="26" w:lineRule="exact" w:before="0"/>
        <w:ind w:left="2607" w:right="0" w:firstLine="0"/>
        <w:jc w:val="left"/>
        <w:rPr>
          <w:sz w:val="4"/>
        </w:rPr>
      </w:pPr>
      <w:r>
        <w:rPr>
          <w:w w:val="72"/>
          <w:sz w:val="4"/>
        </w:rPr>
        <w:t>●</w:t>
      </w:r>
    </w:p>
    <w:p>
      <w:pPr>
        <w:pStyle w:val="BodyText"/>
        <w:spacing w:before="33"/>
        <w:ind w:left="2569"/>
      </w:pPr>
      <w:r>
        <w:rPr>
          <w:spacing w:val="-5"/>
        </w:rPr>
        <w:t>指一种反复发作的严重支气管阻塞性疾病，经我们认可的专科医生确诊，且必须</w:t>
      </w:r>
    </w:p>
    <w:p>
      <w:pPr>
        <w:spacing w:after="0"/>
        <w:sectPr>
          <w:pgSz w:w="11910" w:h="16840"/>
          <w:pgMar w:top="1080" w:bottom="280" w:left="920" w:right="820"/>
        </w:sectPr>
      </w:pPr>
    </w:p>
    <w:p>
      <w:pPr>
        <w:pStyle w:val="BodyText"/>
        <w:spacing w:before="59"/>
        <w:ind w:left="2569"/>
      </w:pPr>
      <w:r>
        <w:rPr>
          <w:spacing w:val="-3"/>
        </w:rPr>
        <w:t>同时符合下列标准：</w:t>
      </w:r>
    </w:p>
    <w:p>
      <w:pPr>
        <w:pStyle w:val="ListParagraph"/>
        <w:numPr>
          <w:ilvl w:val="0"/>
          <w:numId w:val="48"/>
        </w:numPr>
        <w:tabs>
          <w:tab w:pos="3099" w:val="left" w:leader="none"/>
        </w:tabs>
        <w:spacing w:line="240" w:lineRule="auto" w:before="43" w:after="0"/>
        <w:ind w:left="3098" w:right="0" w:hanging="530"/>
        <w:jc w:val="left"/>
        <w:rPr>
          <w:sz w:val="21"/>
        </w:rPr>
      </w:pPr>
      <w:r>
        <w:rPr>
          <w:spacing w:val="-3"/>
          <w:sz w:val="21"/>
        </w:rPr>
        <w:t>过去两年中曾因哮喘持续状态住院治疗，并提供完整住院记录；</w:t>
      </w:r>
    </w:p>
    <w:p>
      <w:pPr>
        <w:pStyle w:val="ListParagraph"/>
        <w:numPr>
          <w:ilvl w:val="0"/>
          <w:numId w:val="48"/>
        </w:numPr>
        <w:tabs>
          <w:tab w:pos="3099" w:val="left" w:leader="none"/>
        </w:tabs>
        <w:spacing w:line="240" w:lineRule="auto" w:before="43" w:after="0"/>
        <w:ind w:left="3098" w:right="0" w:hanging="530"/>
        <w:jc w:val="left"/>
        <w:rPr>
          <w:sz w:val="21"/>
        </w:rPr>
      </w:pPr>
      <w:r>
        <w:rPr>
          <w:spacing w:val="-3"/>
          <w:sz w:val="21"/>
        </w:rPr>
        <w:t>因慢性过度换气导致胸廓畸形；</w:t>
      </w:r>
    </w:p>
    <w:p>
      <w:pPr>
        <w:pStyle w:val="ListParagraph"/>
        <w:numPr>
          <w:ilvl w:val="0"/>
          <w:numId w:val="48"/>
        </w:numPr>
        <w:tabs>
          <w:tab w:pos="3099" w:val="left" w:leader="none"/>
        </w:tabs>
        <w:spacing w:line="240" w:lineRule="auto" w:before="43" w:after="0"/>
        <w:ind w:left="3098" w:right="0" w:hanging="530"/>
        <w:jc w:val="left"/>
        <w:rPr>
          <w:sz w:val="21"/>
        </w:rPr>
      </w:pPr>
      <w:r>
        <w:rPr>
          <w:spacing w:val="-3"/>
          <w:sz w:val="21"/>
        </w:rPr>
        <w:t>在家中需要医生处方的氧气治疗法；</w:t>
      </w:r>
    </w:p>
    <w:p>
      <w:pPr>
        <w:pStyle w:val="ListParagraph"/>
        <w:numPr>
          <w:ilvl w:val="0"/>
          <w:numId w:val="48"/>
        </w:numPr>
        <w:tabs>
          <w:tab w:pos="3099" w:val="left" w:leader="none"/>
        </w:tabs>
        <w:spacing w:line="278" w:lineRule="auto" w:before="43" w:after="0"/>
        <w:ind w:left="2569" w:right="2235" w:firstLine="0"/>
        <w:jc w:val="left"/>
        <w:rPr>
          <w:sz w:val="21"/>
        </w:rPr>
      </w:pPr>
      <w:r>
        <w:rPr>
          <w:spacing w:val="-2"/>
          <w:sz w:val="21"/>
        </w:rPr>
        <w:t>持续日常服用口服类固醇激素治疗持续至少六个月。</w:t>
      </w:r>
      <w:r>
        <w:rPr>
          <w:color w:val="000000"/>
          <w:spacing w:val="-2"/>
          <w:sz w:val="21"/>
          <w:shd w:fill="D9D9D9" w:color="auto" w:val="clear"/>
        </w:rPr>
        <w:t>被保险人申请理赔时年龄必须在年满二十五周岁之前。</w:t>
      </w:r>
    </w:p>
    <w:p>
      <w:pPr>
        <w:pStyle w:val="BodyText"/>
        <w:spacing w:before="1"/>
        <w:rPr>
          <w:sz w:val="19"/>
        </w:rPr>
      </w:pPr>
    </w:p>
    <w:p>
      <w:pPr>
        <w:pStyle w:val="Heading3"/>
      </w:pPr>
      <w:r>
        <w:rPr/>
        <w:t>（七十四）</w:t>
      </w:r>
      <w:r>
        <w:rPr>
          <w:spacing w:val="-2"/>
        </w:rPr>
        <w:t>独立能力丧失</w:t>
      </w:r>
    </w:p>
    <w:p>
      <w:pPr>
        <w:pStyle w:val="BodyText"/>
        <w:spacing w:line="278" w:lineRule="auto"/>
        <w:ind w:left="2569" w:right="301"/>
        <w:jc w:val="both"/>
      </w:pPr>
      <w:r>
        <w:rPr/>
        <w:t>指疾病或外伤造成被保险人至少持续 6 个月以上完全无法独立完成六项基本日</w:t>
      </w:r>
      <w:r>
        <w:rPr>
          <w:spacing w:val="-7"/>
        </w:rPr>
        <w:t>常生活活动中的三项或三项以上。被保险人的日常生活活动能力丧失必须是永久</w:t>
      </w:r>
      <w:r>
        <w:rPr>
          <w:spacing w:val="-4"/>
        </w:rPr>
        <w:t>性的。</w:t>
      </w:r>
    </w:p>
    <w:p>
      <w:pPr>
        <w:pStyle w:val="BodyText"/>
        <w:spacing w:before="9"/>
        <w:rPr>
          <w:sz w:val="18"/>
        </w:rPr>
      </w:pPr>
    </w:p>
    <w:p>
      <w:pPr>
        <w:pStyle w:val="Heading3"/>
        <w:spacing w:before="1"/>
      </w:pPr>
      <w:r>
        <w:rPr/>
        <w:t>（七十五）</w:t>
      </w:r>
      <w:r>
        <w:rPr>
          <w:spacing w:val="-3"/>
        </w:rPr>
        <w:t>克雅氏病</w:t>
      </w:r>
    </w:p>
    <w:p>
      <w:pPr>
        <w:pStyle w:val="BodyText"/>
        <w:spacing w:line="245" w:lineRule="exact"/>
        <w:ind w:left="2569"/>
      </w:pPr>
      <w:r>
        <w:rPr>
          <w:spacing w:val="-5"/>
        </w:rPr>
        <w:t>指一种严重的脑部疾病，导致急剧而渐进性的智力功能与活动衰退。须由专科医</w:t>
      </w:r>
    </w:p>
    <w:p>
      <w:pPr>
        <w:spacing w:line="31" w:lineRule="exact" w:before="0"/>
        <w:ind w:left="0" w:right="1547" w:firstLine="0"/>
        <w:jc w:val="center"/>
        <w:rPr>
          <w:sz w:val="4"/>
        </w:rPr>
      </w:pPr>
      <w:r>
        <w:rPr>
          <w:w w:val="72"/>
          <w:sz w:val="4"/>
        </w:rPr>
        <w:t>●</w:t>
      </w:r>
    </w:p>
    <w:p>
      <w:pPr>
        <w:pStyle w:val="BodyText"/>
        <w:spacing w:line="278" w:lineRule="auto" w:before="33"/>
        <w:ind w:left="2569" w:right="301"/>
        <w:jc w:val="both"/>
      </w:pPr>
      <w:r>
        <w:rPr>
          <w:spacing w:val="-2"/>
        </w:rPr>
        <w:t>生根据临床测试、脑电图和影像结果作出诊断，并发现被保险人出现神经系统异</w:t>
      </w:r>
      <w:r>
        <w:rPr>
          <w:spacing w:val="-2"/>
        </w:rPr>
        <w:t>常及严重的渐进性痴呆，并且由于此病导致自主生活能力完全丧失，无法独立完</w:t>
      </w:r>
      <w:r>
        <w:rPr>
          <w:spacing w:val="-2"/>
        </w:rPr>
        <w:t>成六项基本日常生活活动中的三项或三项以上。</w:t>
      </w:r>
    </w:p>
    <w:p>
      <w:pPr>
        <w:pStyle w:val="BodyText"/>
        <w:rPr>
          <w:sz w:val="19"/>
        </w:rPr>
      </w:pPr>
    </w:p>
    <w:p>
      <w:pPr>
        <w:pStyle w:val="Heading3"/>
        <w:spacing w:before="1"/>
      </w:pPr>
      <w:r>
        <w:rPr/>
        <w:t>（七十六）</w:t>
      </w:r>
      <w:r>
        <w:rPr>
          <w:spacing w:val="-1"/>
        </w:rPr>
        <w:t>急性坏死性胰腺炎开腹手术</w:t>
      </w:r>
    </w:p>
    <w:p>
      <w:pPr>
        <w:pStyle w:val="BodyText"/>
        <w:spacing w:line="278" w:lineRule="auto"/>
        <w:ind w:left="2569" w:right="301"/>
      </w:pPr>
      <w:r>
        <w:rPr>
          <w:spacing w:val="-4"/>
        </w:rPr>
        <w:t>指被保险人因为急性出血坏死性胰腺炎已经接受了外科开腹手术治疗，以进行坏</w:t>
      </w:r>
      <w:r>
        <w:rPr>
          <w:spacing w:val="-2"/>
        </w:rPr>
        <w:t>死组织清除、坏死病灶切除或胰腺切除。</w:t>
      </w:r>
    </w:p>
    <w:p>
      <w:pPr>
        <w:pStyle w:val="BodyText"/>
        <w:spacing w:line="278" w:lineRule="auto"/>
        <w:ind w:left="2569" w:right="301"/>
      </w:pPr>
      <w:r>
        <w:rPr>
          <w:color w:val="000000"/>
          <w:w w:val="100"/>
          <w:shd w:fill="D9D9D9" w:color="auto" w:val="clear"/>
        </w:rPr>
        <w:t>因饮酒所致的急性出血坏死性胰腺炎或经腹腔镜手术进行的治疗不在保障范围内。</w:t>
      </w:r>
    </w:p>
    <w:p>
      <w:pPr>
        <w:pStyle w:val="BodyText"/>
        <w:spacing w:before="9"/>
        <w:rPr>
          <w:sz w:val="18"/>
        </w:rPr>
      </w:pPr>
    </w:p>
    <w:p>
      <w:pPr>
        <w:pStyle w:val="Heading3"/>
        <w:spacing w:before="1"/>
      </w:pPr>
      <w:r>
        <w:rPr/>
        <w:t>（七十七）</w:t>
      </w:r>
      <w:r>
        <w:rPr>
          <w:spacing w:val="-1"/>
        </w:rPr>
        <w:t>溶血性链球菌引起的坏疽</w:t>
      </w:r>
    </w:p>
    <w:p>
      <w:pPr>
        <w:pStyle w:val="BodyText"/>
        <w:spacing w:line="278" w:lineRule="auto"/>
        <w:ind w:left="2569" w:right="301"/>
        <w:jc w:val="both"/>
      </w:pPr>
      <w:r>
        <w:rPr>
          <w:spacing w:val="-2"/>
        </w:rPr>
        <w:t>包围肢体或躯干的浅筋膜和/或深筋膜受到溶血性链球菌的感染，病情在短时间</w:t>
      </w:r>
      <w:r>
        <w:rPr>
          <w:spacing w:val="-2"/>
        </w:rPr>
        <w:t>内急剧恶化，已经立刻进行了手术及清创术。最后的诊断必须由微生物或病理学</w:t>
      </w:r>
      <w:r>
        <w:rPr>
          <w:spacing w:val="-2"/>
        </w:rPr>
        <w:t>专家进行相关检查后证实。</w:t>
      </w:r>
    </w:p>
    <w:p>
      <w:pPr>
        <w:pStyle w:val="BodyText"/>
        <w:spacing w:before="9"/>
        <w:rPr>
          <w:sz w:val="18"/>
        </w:rPr>
      </w:pPr>
    </w:p>
    <w:p>
      <w:pPr>
        <w:pStyle w:val="Heading3"/>
      </w:pPr>
      <w:r>
        <w:rPr/>
        <w:t>（七十八）</w:t>
      </w:r>
      <w:r>
        <w:rPr>
          <w:spacing w:val="-2"/>
        </w:rPr>
        <w:t>严重川崎病</w:t>
      </w:r>
    </w:p>
    <w:p>
      <w:pPr>
        <w:pStyle w:val="BodyText"/>
        <w:spacing w:line="278" w:lineRule="auto"/>
        <w:ind w:left="2569" w:right="301"/>
        <w:jc w:val="both"/>
      </w:pPr>
      <w:r>
        <w:rPr>
          <w:spacing w:val="-2"/>
        </w:rPr>
        <w:t>是一种血管炎综合征，临床表现为急性发热，皮肤粘膜病损和淋巴结肿大。本病</w:t>
      </w:r>
      <w:r>
        <w:rPr>
          <w:spacing w:val="-2"/>
        </w:rPr>
        <w:t>须经专科医生明确诊断，同时须由血管造影或超声心动图检查证实，满足下列至</w:t>
      </w:r>
      <w:r>
        <w:rPr>
          <w:spacing w:val="-2"/>
        </w:rPr>
        <w:t>少一项条件：</w:t>
      </w:r>
    </w:p>
    <w:p>
      <w:pPr>
        <w:pStyle w:val="ListParagraph"/>
        <w:numPr>
          <w:ilvl w:val="0"/>
          <w:numId w:val="49"/>
        </w:numPr>
        <w:tabs>
          <w:tab w:pos="3099" w:val="left" w:leader="none"/>
        </w:tabs>
        <w:spacing w:line="269" w:lineRule="exact" w:before="0" w:after="0"/>
        <w:ind w:left="3098" w:right="0" w:hanging="530"/>
        <w:jc w:val="both"/>
        <w:rPr>
          <w:sz w:val="21"/>
        </w:rPr>
      </w:pPr>
      <w:r>
        <w:rPr>
          <w:spacing w:val="-4"/>
          <w:sz w:val="21"/>
        </w:rPr>
        <w:t>伴有冠状动脉瘤，且冠状动脉瘤于最初急性发病后持续至少 </w:t>
      </w:r>
      <w:r>
        <w:rPr>
          <w:spacing w:val="-2"/>
          <w:sz w:val="21"/>
        </w:rPr>
        <w:t>180</w:t>
      </w:r>
      <w:r>
        <w:rPr>
          <w:spacing w:val="-19"/>
          <w:sz w:val="21"/>
        </w:rPr>
        <w:t> 天；</w:t>
      </w:r>
    </w:p>
    <w:p>
      <w:pPr>
        <w:pStyle w:val="ListParagraph"/>
        <w:numPr>
          <w:ilvl w:val="0"/>
          <w:numId w:val="49"/>
        </w:numPr>
        <w:tabs>
          <w:tab w:pos="3099" w:val="left" w:leader="none"/>
        </w:tabs>
        <w:spacing w:line="240" w:lineRule="auto" w:before="39" w:after="0"/>
        <w:ind w:left="3098" w:right="0" w:hanging="530"/>
        <w:jc w:val="left"/>
        <w:rPr>
          <w:sz w:val="21"/>
        </w:rPr>
      </w:pPr>
      <w:r>
        <w:rPr>
          <w:spacing w:val="-3"/>
          <w:sz w:val="21"/>
        </w:rPr>
        <w:t>伴有冠状动脉瘤，且实际接受了对冠状动脉瘤进行的手术治疗。</w:t>
      </w:r>
    </w:p>
    <w:p>
      <w:pPr>
        <w:pStyle w:val="BodyText"/>
        <w:spacing w:before="6"/>
        <w:rPr>
          <w:sz w:val="22"/>
        </w:rPr>
      </w:pPr>
    </w:p>
    <w:p>
      <w:pPr>
        <w:pStyle w:val="Heading3"/>
      </w:pPr>
      <w:r>
        <w:rPr/>
        <w:t>（七十九）</w:t>
      </w:r>
      <w:r>
        <w:rPr>
          <w:spacing w:val="-2"/>
        </w:rPr>
        <w:t>骨生长不全症</w:t>
      </w:r>
    </w:p>
    <w:p>
      <w:pPr>
        <w:pStyle w:val="BodyText"/>
        <w:spacing w:line="265" w:lineRule="exact"/>
        <w:ind w:left="2569"/>
      </w:pPr>
      <w:r>
        <w:rPr>
          <w:spacing w:val="-6"/>
        </w:rPr>
        <w:t>指一种胶原病，特征为骨易碎，骨质疏松和易骨折。该病有 </w:t>
      </w:r>
      <w:r>
        <w:rPr>
          <w:spacing w:val="-4"/>
        </w:rPr>
        <w:t>4</w:t>
      </w:r>
      <w:r>
        <w:rPr>
          <w:spacing w:val="-10"/>
        </w:rPr>
        <w:t> 种类型：Ⅰ型、Ⅱ</w:t>
      </w:r>
    </w:p>
    <w:p>
      <w:pPr>
        <w:pStyle w:val="BodyText"/>
        <w:spacing w:line="248" w:lineRule="exact" w:before="44"/>
        <w:ind w:left="2569"/>
      </w:pPr>
      <w:r>
        <w:rPr>
          <w:spacing w:val="-2"/>
        </w:rPr>
        <w:t>型、Ⅲ型、Ⅳ型。</w:t>
      </w:r>
      <w:r>
        <w:rPr>
          <w:color w:val="000000"/>
          <w:spacing w:val="-2"/>
          <w:shd w:fill="D9D9D9" w:color="auto" w:val="clear"/>
        </w:rPr>
        <w:t>只保障Ⅲ型成骨不全的情形。</w:t>
      </w:r>
      <w:r>
        <w:rPr>
          <w:color w:val="000000"/>
          <w:spacing w:val="-3"/>
        </w:rPr>
        <w:t>其主要临床特点有：发展迟缓、</w:t>
      </w:r>
    </w:p>
    <w:p>
      <w:pPr>
        <w:spacing w:line="31" w:lineRule="exact" w:before="0"/>
        <w:ind w:left="2819" w:right="0" w:firstLine="0"/>
        <w:jc w:val="left"/>
        <w:rPr>
          <w:sz w:val="4"/>
        </w:rPr>
      </w:pPr>
      <w:r>
        <w:rPr>
          <w:w w:val="72"/>
          <w:sz w:val="4"/>
        </w:rPr>
        <w:t>●</w:t>
      </w:r>
    </w:p>
    <w:p>
      <w:pPr>
        <w:pStyle w:val="BodyText"/>
        <w:spacing w:line="278" w:lineRule="auto" w:before="33"/>
        <w:ind w:left="2569" w:right="301"/>
      </w:pPr>
      <w:r>
        <w:rPr>
          <w:spacing w:val="-2"/>
        </w:rPr>
        <w:t>多发性骨折、进行性脊柱后侧凸及听力损害。Ⅲ型成骨不全的诊断必须根据身体</w:t>
      </w:r>
      <w:r>
        <w:rPr/>
        <w:t>检查，家族史，X</w:t>
      </w:r>
      <w:r>
        <w:rPr>
          <w:spacing w:val="-7"/>
        </w:rPr>
        <w:t> 线检查和皮肤活检报告资料确诊。</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rPr>
          <w:sz w:val="19"/>
        </w:rPr>
      </w:pPr>
    </w:p>
    <w:p>
      <w:pPr>
        <w:pStyle w:val="Heading3"/>
        <w:spacing w:line="320" w:lineRule="exact" w:before="1"/>
      </w:pPr>
      <w:r>
        <w:rPr>
          <w:w w:val="95"/>
        </w:rPr>
        <w:t>（</w:t>
      </w:r>
      <w:r>
        <w:rPr>
          <w:w w:val="95"/>
        </w:rPr>
        <w:t>八</w:t>
      </w:r>
      <w:r>
        <w:rPr>
          <w:w w:val="95"/>
        </w:rPr>
        <w:t>十</w:t>
      </w:r>
      <w:r>
        <w:rPr>
          <w:w w:val="95"/>
        </w:rPr>
        <w:t>）</w:t>
      </w:r>
      <w:r>
        <w:rPr>
          <w:w w:val="95"/>
        </w:rPr>
        <w:t>器</w:t>
      </w:r>
      <w:r>
        <w:rPr>
          <w:w w:val="95"/>
        </w:rPr>
        <w:t>官</w:t>
      </w:r>
      <w:r>
        <w:rPr>
          <w:w w:val="95"/>
        </w:rPr>
        <w:t>移</w:t>
      </w:r>
      <w:r>
        <w:rPr>
          <w:w w:val="95"/>
        </w:rPr>
        <w:t>植</w:t>
      </w:r>
      <w:r>
        <w:rPr>
          <w:w w:val="95"/>
        </w:rPr>
        <w:t>导</w:t>
      </w:r>
      <w:r>
        <w:rPr>
          <w:w w:val="95"/>
        </w:rPr>
        <w:t>致</w:t>
      </w:r>
      <w:r>
        <w:rPr>
          <w:w w:val="95"/>
        </w:rPr>
        <w:t>的</w:t>
      </w:r>
      <w:r>
        <w:rPr>
          <w:spacing w:val="23"/>
        </w:rPr>
        <w:t> </w:t>
      </w:r>
      <w:r>
        <w:rPr>
          <w:w w:val="95"/>
        </w:rPr>
        <w:t>HIV</w:t>
      </w:r>
      <w:r>
        <w:rPr>
          <w:spacing w:val="24"/>
        </w:rPr>
        <w:t> </w:t>
      </w:r>
      <w:r>
        <w:rPr>
          <w:w w:val="95"/>
        </w:rPr>
        <w:t>感</w:t>
      </w:r>
      <w:r>
        <w:rPr>
          <w:spacing w:val="-10"/>
          <w:w w:val="95"/>
        </w:rPr>
        <w:t>染</w:t>
      </w:r>
    </w:p>
    <w:p>
      <w:pPr>
        <w:spacing w:line="26" w:lineRule="exact" w:before="0"/>
        <w:ind w:left="2607" w:right="0" w:firstLine="0"/>
        <w:jc w:val="left"/>
        <w:rPr>
          <w:sz w:val="4"/>
        </w:rPr>
      </w:pPr>
      <w:r>
        <w:rPr>
          <w:w w:val="72"/>
          <w:sz w:val="4"/>
        </w:rPr>
        <w:t>●</w:t>
      </w:r>
    </w:p>
    <w:p>
      <w:pPr>
        <w:pStyle w:val="BodyText"/>
        <w:spacing w:before="33"/>
        <w:ind w:left="2569"/>
      </w:pPr>
      <w:r>
        <w:rPr>
          <w:spacing w:val="-4"/>
        </w:rPr>
        <w:t>指因进行器官移植而感染上人类免疫缺陷病毒</w:t>
      </w:r>
      <w:r>
        <w:rPr>
          <w:spacing w:val="10"/>
        </w:rPr>
        <w:t>（</w:t>
      </w:r>
      <w:r>
        <w:rPr>
          <w:spacing w:val="15"/>
        </w:rPr>
        <w:t>HIV</w:t>
      </w:r>
      <w:r>
        <w:rPr>
          <w:spacing w:val="-96"/>
        </w:rPr>
        <w:t>）</w:t>
      </w:r>
      <w:r>
        <w:rPr>
          <w:spacing w:val="-5"/>
        </w:rPr>
        <w:t>，且须满足下列全部条件：</w:t>
      </w:r>
    </w:p>
    <w:p>
      <w:pPr>
        <w:spacing w:after="0"/>
        <w:sectPr>
          <w:pgSz w:w="11910" w:h="16840"/>
          <w:pgMar w:top="1080" w:bottom="280" w:left="920" w:right="820"/>
        </w:sectPr>
      </w:pPr>
    </w:p>
    <w:p>
      <w:pPr>
        <w:pStyle w:val="BodyText"/>
        <w:spacing w:line="278" w:lineRule="auto" w:before="59"/>
        <w:ind w:left="2569" w:right="305"/>
      </w:pPr>
      <w:r>
        <w:rPr>
          <w:spacing w:val="-2"/>
        </w:rPr>
        <w:t>（1）被保险人因治疗必需而实施器官移植，并且因器官移植而感染人类免疫缺</w:t>
      </w:r>
      <w:r>
        <w:rPr>
          <w:spacing w:val="-2"/>
        </w:rPr>
        <w:t>陷病毒</w:t>
      </w:r>
      <w:r>
        <w:rPr>
          <w:spacing w:val="16"/>
        </w:rPr>
        <w:t>（HI</w:t>
      </w:r>
      <w:r>
        <w:rPr>
          <w:spacing w:val="11"/>
        </w:rPr>
        <w:t>V</w:t>
      </w:r>
      <w:r>
        <w:rPr>
          <w:spacing w:val="-90"/>
        </w:rPr>
        <w:t>）</w:t>
      </w:r>
      <w:r>
        <w:rPr>
          <w:spacing w:val="16"/>
        </w:rPr>
        <w:t>；</w:t>
      </w:r>
    </w:p>
    <w:p>
      <w:pPr>
        <w:pStyle w:val="BodyText"/>
        <w:spacing w:line="278" w:lineRule="auto"/>
        <w:ind w:left="2569" w:right="305"/>
      </w:pPr>
      <w:r>
        <w:rPr>
          <w:spacing w:val="-2"/>
        </w:rPr>
        <w:t>（2）提供器官移植治疗的器官移植中心或医院出具该项器官移植感染，属于医</w:t>
      </w:r>
      <w:r>
        <w:rPr>
          <w:spacing w:val="-2"/>
        </w:rPr>
        <w:t>疗责任事故的报告，或者法院终审裁定为医疗责任并且不准上诉；</w:t>
      </w:r>
    </w:p>
    <w:p>
      <w:pPr>
        <w:pStyle w:val="ListParagraph"/>
        <w:numPr>
          <w:ilvl w:val="0"/>
          <w:numId w:val="49"/>
        </w:numPr>
        <w:tabs>
          <w:tab w:pos="3099" w:val="left" w:leader="none"/>
        </w:tabs>
        <w:spacing w:line="248" w:lineRule="exact" w:before="0" w:after="0"/>
        <w:ind w:left="3098" w:right="0" w:hanging="530"/>
        <w:jc w:val="left"/>
        <w:rPr>
          <w:sz w:val="21"/>
        </w:rPr>
      </w:pPr>
      <w:r>
        <w:rPr>
          <w:spacing w:val="-3"/>
          <w:sz w:val="21"/>
        </w:rPr>
        <w:t>提供器官移植治疗的器官移植中心或医院必须拥有合法经营执照。</w:t>
      </w:r>
    </w:p>
    <w:p>
      <w:pPr>
        <w:spacing w:line="31" w:lineRule="exact" w:before="0" w:after="27"/>
        <w:ind w:left="2607" w:right="0" w:firstLine="0"/>
        <w:jc w:val="left"/>
        <w:rPr>
          <w:sz w:val="4"/>
        </w:rPr>
      </w:pPr>
      <w:r>
        <w:rPr>
          <w:w w:val="72"/>
          <w:sz w:val="4"/>
        </w:rPr>
        <w:t>●</w:t>
      </w:r>
    </w:p>
    <w:tbl>
      <w:tblPr>
        <w:tblW w:w="0" w:type="auto"/>
        <w:jc w:val="left"/>
        <w:tblInd w:w="2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0"/>
        <w:gridCol w:w="211"/>
        <w:gridCol w:w="5035"/>
        <w:gridCol w:w="360"/>
      </w:tblGrid>
      <w:tr>
        <w:trPr>
          <w:trHeight w:val="272" w:hRule="atLeast"/>
        </w:trPr>
        <w:tc>
          <w:tcPr>
            <w:tcW w:w="7286" w:type="dxa"/>
            <w:gridSpan w:val="4"/>
            <w:tcBorders>
              <w:bottom w:val="single" w:sz="18" w:space="0" w:color="FFFFFF"/>
            </w:tcBorders>
            <w:shd w:val="clear" w:color="auto" w:fill="D9D9D9"/>
          </w:tcPr>
          <w:p>
            <w:pPr>
              <w:pStyle w:val="TableParagraph"/>
              <w:spacing w:line="247" w:lineRule="exact" w:before="6"/>
              <w:ind w:left="0" w:right="-15"/>
              <w:rPr>
                <w:sz w:val="21"/>
              </w:rPr>
            </w:pPr>
            <w:r>
              <w:rPr>
                <w:spacing w:val="-4"/>
                <w:sz w:val="21"/>
              </w:rPr>
              <w:t>在任何治愈艾滋病或阻止人类免疫缺陷病毒（HIV）</w:t>
            </w:r>
            <w:r>
              <w:rPr>
                <w:spacing w:val="-5"/>
                <w:sz w:val="21"/>
              </w:rPr>
              <w:t>病毒作用的疗法被发现以后,</w:t>
            </w:r>
          </w:p>
        </w:tc>
      </w:tr>
      <w:tr>
        <w:trPr>
          <w:trHeight w:val="266" w:hRule="atLeast"/>
        </w:trPr>
        <w:tc>
          <w:tcPr>
            <w:tcW w:w="6926" w:type="dxa"/>
            <w:gridSpan w:val="3"/>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或能防止艾滋病发生的医疗方法被研究出来以后，本保障将不再予以赔付。</w:t>
            </w:r>
          </w:p>
        </w:tc>
        <w:tc>
          <w:tcPr>
            <w:tcW w:w="360" w:type="dxa"/>
            <w:tcBorders>
              <w:top w:val="single" w:sz="18" w:space="0" w:color="FFFFFF"/>
              <w:bottom w:val="single" w:sz="18" w:space="0" w:color="FFFFFF"/>
            </w:tcBorders>
          </w:tcPr>
          <w:p>
            <w:pPr>
              <w:pStyle w:val="TableParagraph"/>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1"/>
                <w:sz w:val="21"/>
              </w:rPr>
              <w:t>本公司必须拥有获得使用被保险人的所有血液样本的权利和能够对这些样本进</w:t>
            </w:r>
          </w:p>
        </w:tc>
      </w:tr>
      <w:tr>
        <w:trPr>
          <w:trHeight w:val="267" w:hRule="atLeast"/>
        </w:trPr>
        <w:tc>
          <w:tcPr>
            <w:tcW w:w="1891" w:type="dxa"/>
            <w:gridSpan w:val="2"/>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行独立检验的权利。</w:t>
            </w:r>
          </w:p>
        </w:tc>
        <w:tc>
          <w:tcPr>
            <w:tcW w:w="5395" w:type="dxa"/>
            <w:gridSpan w:val="2"/>
            <w:tcBorders>
              <w:top w:val="single" w:sz="18" w:space="0" w:color="FFFFFF"/>
              <w:bottom w:val="single" w:sz="18" w:space="0" w:color="FFFFFF"/>
            </w:tcBorders>
          </w:tcPr>
          <w:p>
            <w:pPr>
              <w:pStyle w:val="TableParagraph"/>
              <w:ind w:left="0"/>
              <w:rPr>
                <w:rFonts w:ascii="Times New Roman"/>
                <w:sz w:val="18"/>
              </w:rPr>
            </w:pPr>
          </w:p>
        </w:tc>
      </w:tr>
      <w:tr>
        <w:trPr>
          <w:trHeight w:val="267" w:hRule="atLeast"/>
        </w:trPr>
        <w:tc>
          <w:tcPr>
            <w:tcW w:w="7286" w:type="dxa"/>
            <w:gridSpan w:val="4"/>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7"/>
                <w:sz w:val="21"/>
              </w:rPr>
              <w:t>本公司承担本项疾病责任不受本合同责任免除中“被保险人感染艾滋病病毒或患</w:t>
            </w:r>
          </w:p>
        </w:tc>
      </w:tr>
      <w:tr>
        <w:trPr>
          <w:trHeight w:val="272" w:hRule="atLeast"/>
        </w:trPr>
        <w:tc>
          <w:tcPr>
            <w:tcW w:w="1680" w:type="dxa"/>
            <w:tcBorders>
              <w:top w:val="single" w:sz="18" w:space="0" w:color="FFFFFF"/>
            </w:tcBorders>
            <w:shd w:val="clear" w:color="auto" w:fill="D9D9D9"/>
          </w:tcPr>
          <w:p>
            <w:pPr>
              <w:pStyle w:val="TableParagraph"/>
              <w:spacing w:line="252" w:lineRule="exact"/>
              <w:ind w:left="0" w:right="-15"/>
              <w:rPr>
                <w:sz w:val="21"/>
              </w:rPr>
            </w:pPr>
            <w:r>
              <w:rPr>
                <w:spacing w:val="-4"/>
                <w:sz w:val="21"/>
              </w:rPr>
              <w:t>艾滋病”的限制。</w:t>
            </w:r>
          </w:p>
        </w:tc>
        <w:tc>
          <w:tcPr>
            <w:tcW w:w="5606" w:type="dxa"/>
            <w:gridSpan w:val="3"/>
            <w:tcBorders>
              <w:top w:val="single" w:sz="18" w:space="0" w:color="FFFFFF"/>
            </w:tcBorders>
          </w:tcPr>
          <w:p>
            <w:pPr>
              <w:pStyle w:val="TableParagraph"/>
              <w:ind w:left="0"/>
              <w:rPr>
                <w:rFonts w:ascii="Times New Roman"/>
                <w:sz w:val="20"/>
              </w:rPr>
            </w:pPr>
          </w:p>
        </w:tc>
      </w:tr>
    </w:tbl>
    <w:p>
      <w:pPr>
        <w:pStyle w:val="BodyText"/>
        <w:rPr>
          <w:sz w:val="6"/>
        </w:rPr>
      </w:pPr>
    </w:p>
    <w:p>
      <w:pPr>
        <w:pStyle w:val="BodyText"/>
        <w:rPr>
          <w:sz w:val="6"/>
        </w:rPr>
      </w:pPr>
    </w:p>
    <w:p>
      <w:pPr>
        <w:pStyle w:val="BodyText"/>
        <w:rPr>
          <w:sz w:val="6"/>
        </w:rPr>
      </w:pPr>
    </w:p>
    <w:p>
      <w:pPr>
        <w:pStyle w:val="BodyText"/>
        <w:spacing w:before="4"/>
        <w:rPr>
          <w:sz w:val="4"/>
        </w:rPr>
      </w:pPr>
    </w:p>
    <w:p>
      <w:pPr>
        <w:pStyle w:val="Heading3"/>
        <w:spacing w:before="1"/>
      </w:pPr>
      <w:r>
        <w:rPr/>
        <w:t>（八十一）</w:t>
      </w:r>
      <w:r>
        <w:rPr>
          <w:spacing w:val="-2"/>
        </w:rPr>
        <w:t>脊髓小脑变性症</w:t>
      </w:r>
    </w:p>
    <w:p>
      <w:pPr>
        <w:pStyle w:val="BodyText"/>
        <w:spacing w:line="278" w:lineRule="auto"/>
        <w:ind w:left="2569" w:right="301"/>
      </w:pPr>
      <w:r>
        <w:rPr>
          <w:spacing w:val="-4"/>
        </w:rPr>
        <w:t>脊髓小脑变性症为一组以小脑萎缩和共济失调为主要临床特点的疾病。必须符合</w:t>
      </w:r>
      <w:r>
        <w:rPr>
          <w:spacing w:val="-2"/>
        </w:rPr>
        <w:t>所有以下条件：</w:t>
      </w:r>
    </w:p>
    <w:p>
      <w:pPr>
        <w:pStyle w:val="BodyText"/>
        <w:spacing w:line="248" w:lineRule="exact"/>
        <w:ind w:left="2569"/>
      </w:pPr>
      <w:r>
        <w:rPr>
          <w:spacing w:val="-2"/>
        </w:rPr>
        <w:t>（1）</w:t>
      </w:r>
      <w:r>
        <w:rPr>
          <w:spacing w:val="-3"/>
        </w:rPr>
        <w:t>脊髓小脑变性症必须由医院诊断，并有以下证据支持：</w:t>
      </w:r>
    </w:p>
    <w:p>
      <w:pPr>
        <w:spacing w:line="31" w:lineRule="exact" w:before="0"/>
        <w:ind w:left="2607" w:right="0" w:firstLine="0"/>
        <w:jc w:val="left"/>
        <w:rPr>
          <w:sz w:val="4"/>
        </w:rPr>
      </w:pPr>
      <w:r>
        <w:rPr>
          <w:w w:val="72"/>
          <w:sz w:val="4"/>
        </w:rPr>
        <w:t>●</w:t>
      </w:r>
    </w:p>
    <w:p>
      <w:pPr>
        <w:pStyle w:val="BodyText"/>
        <w:spacing w:before="29"/>
        <w:ind w:left="3068"/>
      </w:pPr>
      <w:r>
        <w:rPr>
          <w:spacing w:val="-5"/>
        </w:rPr>
        <w:t>① 影像学检查证实存在小脑萎缩；</w:t>
      </w:r>
    </w:p>
    <w:p>
      <w:pPr>
        <w:pStyle w:val="BodyText"/>
        <w:spacing w:before="42"/>
        <w:ind w:left="3068"/>
      </w:pPr>
      <w:r>
        <w:rPr>
          <w:spacing w:val="-3"/>
        </w:rPr>
        <w:t>② 临床表现存在共济失调、语言障碍和肌张力异常。</w:t>
      </w:r>
    </w:p>
    <w:p>
      <w:pPr>
        <w:pStyle w:val="BodyText"/>
        <w:spacing w:line="278" w:lineRule="auto" w:before="43"/>
        <w:ind w:left="2569" w:right="305"/>
      </w:pPr>
      <w:r>
        <w:rPr>
          <w:spacing w:val="-2"/>
        </w:rPr>
        <w:t>（2）被保险人运动功能严重障碍，自主生活能力完全丧失，无法独立完成六项</w:t>
      </w:r>
      <w:r>
        <w:rPr>
          <w:spacing w:val="-2"/>
        </w:rPr>
        <w:t>基本日常生活活动中的三项或三项以上。</w:t>
      </w:r>
    </w:p>
    <w:p>
      <w:pPr>
        <w:pStyle w:val="BodyText"/>
        <w:spacing w:before="1"/>
        <w:rPr>
          <w:sz w:val="19"/>
        </w:rPr>
      </w:pPr>
    </w:p>
    <w:p>
      <w:pPr>
        <w:pStyle w:val="Heading3"/>
      </w:pPr>
      <w:r>
        <w:rPr/>
        <w:t>（八十二）</w:t>
      </w:r>
      <w:r>
        <w:rPr>
          <w:spacing w:val="-1"/>
        </w:rPr>
        <w:t>多处臂丛神经根性撕脱</w:t>
      </w:r>
    </w:p>
    <w:p>
      <w:pPr>
        <w:pStyle w:val="BodyText"/>
        <w:spacing w:line="278" w:lineRule="auto"/>
        <w:ind w:left="2569" w:right="301"/>
        <w:jc w:val="both"/>
      </w:pPr>
      <w:r>
        <w:rPr>
          <w:spacing w:val="-5"/>
        </w:rPr>
        <w:t>由于疾病或意外导致至少两根臂丛神经根性撕脱，所造成的手臂感觉功能与运动</w:t>
      </w:r>
      <w:r>
        <w:rPr>
          <w:spacing w:val="-2"/>
        </w:rPr>
        <w:t>功能完全永久性丧失。该病须由医院专科医生明确诊断,并且有电生理检查结果</w:t>
      </w:r>
      <w:r>
        <w:rPr>
          <w:spacing w:val="-4"/>
        </w:rPr>
        <w:t>证实。</w:t>
      </w:r>
    </w:p>
    <w:p>
      <w:pPr>
        <w:pStyle w:val="BodyText"/>
        <w:spacing w:before="10"/>
        <w:rPr>
          <w:sz w:val="18"/>
        </w:rPr>
      </w:pPr>
    </w:p>
    <w:p>
      <w:pPr>
        <w:pStyle w:val="Heading3"/>
      </w:pPr>
      <w:r>
        <w:rPr/>
        <w:t>（八十三）</w:t>
      </w:r>
      <w:r>
        <w:rPr>
          <w:spacing w:val="-1"/>
        </w:rPr>
        <w:t>湿性年龄相关性黄斑变性</w:t>
      </w:r>
    </w:p>
    <w:p>
      <w:pPr>
        <w:pStyle w:val="BodyText"/>
        <w:spacing w:line="278" w:lineRule="auto"/>
        <w:ind w:left="2569" w:right="301"/>
        <w:jc w:val="both"/>
      </w:pPr>
      <w:r>
        <w:rPr/>
        <w:drawing>
          <wp:anchor distT="0" distB="0" distL="0" distR="0" allowOverlap="1" layoutInCell="1" locked="0" behindDoc="1" simplePos="0" relativeHeight="485639168">
            <wp:simplePos x="0" y="0"/>
            <wp:positionH relativeFrom="page">
              <wp:posOffset>2215895</wp:posOffset>
            </wp:positionH>
            <wp:positionV relativeFrom="paragraph">
              <wp:posOffset>789121</wp:posOffset>
            </wp:positionV>
            <wp:extent cx="4626863" cy="176784"/>
            <wp:effectExtent l="0" t="0" r="0" b="0"/>
            <wp:wrapNone/>
            <wp:docPr id="49" name="image15.png"/>
            <wp:cNvGraphicFramePr>
              <a:graphicFrameLocks noChangeAspect="1"/>
            </wp:cNvGraphicFramePr>
            <a:graphic>
              <a:graphicData uri="http://schemas.openxmlformats.org/drawingml/2006/picture">
                <pic:pic>
                  <pic:nvPicPr>
                    <pic:cNvPr id="50" name="image15.png"/>
                    <pic:cNvPicPr/>
                  </pic:nvPicPr>
                  <pic:blipFill>
                    <a:blip r:embed="rId19" cstate="print"/>
                    <a:stretch>
                      <a:fillRect/>
                    </a:stretch>
                  </pic:blipFill>
                  <pic:spPr>
                    <a:xfrm>
                      <a:off x="0" y="0"/>
                      <a:ext cx="4626863" cy="176784"/>
                    </a:xfrm>
                    <a:prstGeom prst="rect">
                      <a:avLst/>
                    </a:prstGeom>
                  </pic:spPr>
                </pic:pic>
              </a:graphicData>
            </a:graphic>
          </wp:anchor>
        </w:drawing>
      </w:r>
      <w:r>
        <w:rPr/>
        <w:pict>
          <v:shape style="position:absolute;margin-left:174.479996pt;margin-top:62.135529pt;width:367.7pt;height:13.95pt;mso-position-horizontal-relative:page;mso-position-vertical-relative:paragraph;z-index:-17676800" type="#_x0000_t202" id="docshape117" filled="false" stroked="false">
            <v:textbox inset="0,0,0,0">
              <w:txbxContent>
                <w:p>
                  <w:pPr>
                    <w:pStyle w:val="BodyText"/>
                    <w:spacing w:before="6"/>
                  </w:pPr>
                  <w:r>
                    <w:rPr>
                      <w:spacing w:val="-5"/>
                    </w:rPr>
                    <w:t>被保险人申请理赔时须提供近 </w:t>
                  </w:r>
                  <w:r>
                    <w:rPr>
                      <w:spacing w:val="-2"/>
                    </w:rPr>
                    <w:t>3</w:t>
                  </w:r>
                  <w:r>
                    <w:rPr>
                      <w:spacing w:val="-9"/>
                    </w:rPr>
                    <w:t> 个月内视力改变显示病情恶化的相关检查报告、</w:t>
                  </w:r>
                </w:p>
              </w:txbxContent>
            </v:textbox>
            <w10:wrap type="none"/>
          </v:shape>
        </w:pict>
      </w:r>
      <w:r>
        <w:rPr/>
        <w:pict>
          <v:shape style="position:absolute;margin-left:174.479996pt;margin-top:77.735527pt;width:104.9pt;height:13.95pt;mso-position-horizontal-relative:page;mso-position-vertical-relative:paragraph;z-index:-17676288" type="#_x0000_t202" id="docshape118" filled="true" fillcolor="#d9d9d9" stroked="false">
            <v:textbox inset="0,0,0,0">
              <w:txbxContent>
                <w:p>
                  <w:pPr>
                    <w:pStyle w:val="BodyText"/>
                    <w:spacing w:before="6"/>
                    <w:ind w:right="-15"/>
                    <w:rPr>
                      <w:color w:val="000000"/>
                    </w:rPr>
                  </w:pPr>
                  <w:r>
                    <w:rPr>
                      <w:color w:val="000000"/>
                      <w:spacing w:val="-3"/>
                    </w:rPr>
                    <w:t>诊断证明及病历报告。</w:t>
                  </w:r>
                </w:p>
              </w:txbxContent>
            </v:textbox>
            <v:fill type="solid"/>
            <w10:wrap type="none"/>
          </v:shape>
        </w:pict>
      </w:r>
      <w:r>
        <w:rPr>
          <w:spacing w:val="-2"/>
        </w:rPr>
        <w:t>又称为新生血管性年龄相关性黄斑变性或“渗出性”年龄相关性黄斑变性，发生</w:t>
      </w:r>
      <w:r>
        <w:rPr>
          <w:spacing w:val="-2"/>
        </w:rPr>
        <w:t>脉络膜新生血管（CNV）异常生长穿透玻璃膜进入视网膜，新生血管渗漏，渗出</w:t>
      </w:r>
      <w:r>
        <w:rPr>
          <w:spacing w:val="-2"/>
        </w:rPr>
        <w:t>及出血。该病必须由荧光素眼底血管造影检查提示黄斑区新生血管形成，并且必</w:t>
      </w:r>
      <w:r>
        <w:rPr>
          <w:spacing w:val="-2"/>
        </w:rPr>
        <w:t>须由医院的眼科专科医生确诊为湿性年龄相关性黄斑变性。</w:t>
      </w:r>
    </w:p>
    <w:p>
      <w:pPr>
        <w:pStyle w:val="BodyText"/>
      </w:pPr>
    </w:p>
    <w:p>
      <w:pPr>
        <w:pStyle w:val="Heading3"/>
        <w:spacing w:before="5"/>
      </w:pPr>
      <w:r>
        <w:rPr/>
        <w:t>（八十四）</w:t>
      </w:r>
      <w:r>
        <w:rPr>
          <w:spacing w:val="-4"/>
        </w:rPr>
        <w:t>脊柱裂</w:t>
      </w:r>
    </w:p>
    <w:p>
      <w:pPr>
        <w:pStyle w:val="BodyText"/>
        <w:spacing w:line="278" w:lineRule="auto"/>
        <w:ind w:left="2569" w:right="301"/>
      </w:pPr>
      <w:r>
        <w:rPr/>
        <w:drawing>
          <wp:anchor distT="0" distB="0" distL="0" distR="0" allowOverlap="1" layoutInCell="1" locked="0" behindDoc="1" simplePos="0" relativeHeight="485640704">
            <wp:simplePos x="0" y="0"/>
            <wp:positionH relativeFrom="page">
              <wp:posOffset>5913120</wp:posOffset>
            </wp:positionH>
            <wp:positionV relativeFrom="paragraph">
              <wp:posOffset>194383</wp:posOffset>
            </wp:positionV>
            <wp:extent cx="929640" cy="176783"/>
            <wp:effectExtent l="0" t="0" r="0" b="0"/>
            <wp:wrapNone/>
            <wp:docPr id="51" name="image16.png"/>
            <wp:cNvGraphicFramePr>
              <a:graphicFrameLocks noChangeAspect="1"/>
            </wp:cNvGraphicFramePr>
            <a:graphic>
              <a:graphicData uri="http://schemas.openxmlformats.org/drawingml/2006/picture">
                <pic:pic>
                  <pic:nvPicPr>
                    <pic:cNvPr id="52" name="image16.png"/>
                    <pic:cNvPicPr/>
                  </pic:nvPicPr>
                  <pic:blipFill>
                    <a:blip r:embed="rId20" cstate="print"/>
                    <a:stretch>
                      <a:fillRect/>
                    </a:stretch>
                  </pic:blipFill>
                  <pic:spPr>
                    <a:xfrm>
                      <a:off x="0" y="0"/>
                      <a:ext cx="929640" cy="176783"/>
                    </a:xfrm>
                    <a:prstGeom prst="rect">
                      <a:avLst/>
                    </a:prstGeom>
                  </pic:spPr>
                </pic:pic>
              </a:graphicData>
            </a:graphic>
          </wp:anchor>
        </w:drawing>
      </w:r>
      <w:r>
        <w:rPr>
          <w:spacing w:val="-2"/>
        </w:rPr>
        <w:t>指脊椎或颅骨不完全闭合，导致脊髓脊膜突出,脑（脊）膜突出或脑膨出，合并</w:t>
      </w:r>
      <w:r>
        <w:rPr>
          <w:spacing w:val="-5"/>
        </w:rPr>
        <w:t>大小便失禁，部分或完全性下肢瘫痪或畸形等神经学上的异常，但不包括由 </w:t>
      </w:r>
      <w:r>
        <w:rPr>
          <w:spacing w:val="-4"/>
        </w:rPr>
        <w:t>X</w:t>
      </w:r>
      <w:r>
        <w:rPr>
          <w:spacing w:val="-24"/>
        </w:rPr>
        <w:t> 线</w:t>
      </w:r>
    </w:p>
    <w:p>
      <w:pPr>
        <w:pStyle w:val="BodyText"/>
        <w:ind w:left="2569"/>
        <w:rPr>
          <w:sz w:val="20"/>
        </w:rPr>
      </w:pPr>
      <w:r>
        <w:rPr>
          <w:sz w:val="20"/>
        </w:rPr>
        <w:pict>
          <v:shape style="width:314.9pt;height:13.95pt;mso-position-horizontal-relative:char;mso-position-vertical-relative:line" type="#_x0000_t202" id="docshape119" filled="true" fillcolor="#d9d9d9" stroked="false">
            <w10:anchorlock/>
            <v:textbox inset="0,0,0,0">
              <w:txbxContent>
                <w:p>
                  <w:pPr>
                    <w:pStyle w:val="BodyText"/>
                    <w:spacing w:before="6"/>
                    <w:ind w:right="-15"/>
                    <w:rPr>
                      <w:color w:val="000000"/>
                    </w:rPr>
                  </w:pPr>
                  <w:r>
                    <w:rPr>
                      <w:color w:val="000000"/>
                      <w:spacing w:val="-4"/>
                    </w:rPr>
                    <w:t>摄片发现的没有合并脊椎脊膜突出或脑（脊）</w:t>
                  </w:r>
                  <w:r>
                    <w:rPr>
                      <w:color w:val="000000"/>
                      <w:spacing w:val="-5"/>
                    </w:rPr>
                    <w:t>膜突出的隐形脊椎裂。</w:t>
                  </w:r>
                </w:p>
              </w:txbxContent>
            </v:textbox>
            <v:fill type="solid"/>
          </v:shape>
        </w:pict>
      </w:r>
      <w:r>
        <w:rPr>
          <w:sz w:val="20"/>
        </w:rPr>
      </w:r>
    </w:p>
    <w:p>
      <w:pPr>
        <w:pStyle w:val="BodyText"/>
        <w:ind w:left="2569"/>
        <w:rPr>
          <w:sz w:val="20"/>
        </w:rPr>
      </w:pPr>
      <w:r>
        <w:rPr>
          <w:sz w:val="20"/>
        </w:rPr>
        <w:pict>
          <v:shape style="width:364.35pt;height:13.95pt;mso-position-horizontal-relative:char;mso-position-vertical-relative:line" type="#_x0000_t202" id="docshape120"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21"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3"/>
      </w:pPr>
    </w:p>
    <w:p>
      <w:pPr>
        <w:pStyle w:val="Heading3"/>
        <w:spacing w:before="5"/>
      </w:pPr>
      <w:r>
        <w:rPr/>
        <w:t>（八十五）</w:t>
      </w:r>
      <w:r>
        <w:rPr>
          <w:spacing w:val="-2"/>
        </w:rPr>
        <w:t>严重脊髓灰质炎</w:t>
      </w:r>
    </w:p>
    <w:p>
      <w:pPr>
        <w:pStyle w:val="BodyText"/>
        <w:spacing w:line="244" w:lineRule="exact"/>
        <w:ind w:left="2569"/>
      </w:pPr>
      <w:r>
        <w:rPr>
          <w:spacing w:val="-6"/>
        </w:rPr>
        <w:t>脊髓灰质炎是由于脊髓灰质炎病毒感染所致的瘫痪性疾病，临床表现为运动功能</w:t>
      </w:r>
    </w:p>
    <w:p>
      <w:pPr>
        <w:spacing w:line="31" w:lineRule="exact" w:before="0"/>
        <w:ind w:left="2819" w:right="0" w:firstLine="0"/>
        <w:jc w:val="left"/>
        <w:rPr>
          <w:sz w:val="4"/>
        </w:rPr>
      </w:pPr>
      <w:r>
        <w:rPr>
          <w:w w:val="72"/>
          <w:sz w:val="4"/>
        </w:rPr>
        <w:t>●</w:t>
      </w:r>
    </w:p>
    <w:p>
      <w:pPr>
        <w:pStyle w:val="BodyText"/>
        <w:spacing w:before="33"/>
        <w:ind w:left="2569"/>
      </w:pPr>
      <w:r>
        <w:rPr/>
        <w:pict>
          <v:shape style="position:absolute;margin-left:174.479996pt;margin-top:16.947117pt;width:364.35pt;height:13.95pt;mso-position-horizontal-relative:page;mso-position-vertical-relative:paragraph;z-index:-15655424;mso-wrap-distance-left:0;mso-wrap-distance-right:0" type="#_x0000_t202" id="docshape122" filled="true" fillcolor="#d9d9d9" stroked="false">
            <v:textbox inset="0,0,0,0">
              <w:txbxContent>
                <w:p>
                  <w:pPr>
                    <w:pStyle w:val="BodyText"/>
                    <w:spacing w:before="6"/>
                    <w:ind w:right="-15"/>
                    <w:rPr>
                      <w:color w:val="000000"/>
                    </w:rPr>
                  </w:pPr>
                  <w:r>
                    <w:rPr>
                      <w:color w:val="000000"/>
                      <w:spacing w:val="-1"/>
                    </w:rPr>
                    <w:t>系统功能损害导致被保险人一肢或一肢以上肢体随意运动功能永久完全丧失的</w:t>
                  </w:r>
                </w:p>
              </w:txbxContent>
            </v:textbox>
            <v:fill type="solid"/>
            <w10:wrap type="topAndBottom"/>
          </v:shape>
        </w:pict>
      </w:r>
      <w:r>
        <w:rPr/>
        <w:drawing>
          <wp:anchor distT="0" distB="0" distL="0" distR="0" allowOverlap="1" layoutInCell="1" locked="0" behindDoc="1" simplePos="0" relativeHeight="485641216">
            <wp:simplePos x="0" y="0"/>
            <wp:positionH relativeFrom="page">
              <wp:posOffset>3264408</wp:posOffset>
            </wp:positionH>
            <wp:positionV relativeFrom="paragraph">
              <wp:posOffset>17108</wp:posOffset>
            </wp:positionV>
            <wp:extent cx="3578351" cy="176784"/>
            <wp:effectExtent l="0" t="0" r="0" b="0"/>
            <wp:wrapNone/>
            <wp:docPr id="53" name="image17.png"/>
            <wp:cNvGraphicFramePr>
              <a:graphicFrameLocks noChangeAspect="1"/>
            </wp:cNvGraphicFramePr>
            <a:graphic>
              <a:graphicData uri="http://schemas.openxmlformats.org/drawingml/2006/picture">
                <pic:pic>
                  <pic:nvPicPr>
                    <pic:cNvPr id="54" name="image17.png"/>
                    <pic:cNvPicPr/>
                  </pic:nvPicPr>
                  <pic:blipFill>
                    <a:blip r:embed="rId21" cstate="print"/>
                    <a:stretch>
                      <a:fillRect/>
                    </a:stretch>
                  </pic:blipFill>
                  <pic:spPr>
                    <a:xfrm>
                      <a:off x="0" y="0"/>
                      <a:ext cx="3578351" cy="176784"/>
                    </a:xfrm>
                    <a:prstGeom prst="rect">
                      <a:avLst/>
                    </a:prstGeom>
                  </pic:spPr>
                </pic:pic>
              </a:graphicData>
            </a:graphic>
          </wp:anchor>
        </w:drawing>
      </w:r>
      <w:r>
        <w:rPr/>
        <w:drawing>
          <wp:anchor distT="0" distB="0" distL="0" distR="0" allowOverlap="1" layoutInCell="1" locked="0" behindDoc="1" simplePos="0" relativeHeight="485641728">
            <wp:simplePos x="0" y="0"/>
            <wp:positionH relativeFrom="page">
              <wp:posOffset>2215895</wp:posOffset>
            </wp:positionH>
            <wp:positionV relativeFrom="paragraph">
              <wp:posOffset>413348</wp:posOffset>
            </wp:positionV>
            <wp:extent cx="914400" cy="176784"/>
            <wp:effectExtent l="0" t="0" r="0" b="0"/>
            <wp:wrapNone/>
            <wp:docPr id="55" name="image18.png"/>
            <wp:cNvGraphicFramePr>
              <a:graphicFrameLocks noChangeAspect="1"/>
            </wp:cNvGraphicFramePr>
            <a:graphic>
              <a:graphicData uri="http://schemas.openxmlformats.org/drawingml/2006/picture">
                <pic:pic>
                  <pic:nvPicPr>
                    <pic:cNvPr id="56" name="image18.png"/>
                    <pic:cNvPicPr/>
                  </pic:nvPicPr>
                  <pic:blipFill>
                    <a:blip r:embed="rId22" cstate="print"/>
                    <a:stretch>
                      <a:fillRect/>
                    </a:stretch>
                  </pic:blipFill>
                  <pic:spPr>
                    <a:xfrm>
                      <a:off x="0" y="0"/>
                      <a:ext cx="914400" cy="176784"/>
                    </a:xfrm>
                    <a:prstGeom prst="rect">
                      <a:avLst/>
                    </a:prstGeom>
                  </pic:spPr>
                </pic:pic>
              </a:graphicData>
            </a:graphic>
          </wp:anchor>
        </w:drawing>
      </w:r>
      <w:r>
        <w:rPr>
          <w:spacing w:val="-5"/>
        </w:rPr>
        <w:t>损害或呼吸无力。脊髓灰质炎必须明确诊断。本保单仅对脊髓灰质炎造成的神经</w:t>
      </w:r>
    </w:p>
    <w:p>
      <w:pPr>
        <w:pStyle w:val="BodyText"/>
        <w:spacing w:before="39"/>
        <w:ind w:left="2569"/>
      </w:pPr>
      <w:r>
        <w:rPr>
          <w:spacing w:val="-6"/>
        </w:rPr>
        <w:t>情况予以理赔。肢体随意运动功能永久完全丧失，指疾病确诊 </w:t>
      </w:r>
      <w:r>
        <w:rPr>
          <w:spacing w:val="-4"/>
        </w:rPr>
        <w:t>180</w:t>
      </w:r>
      <w:r>
        <w:rPr>
          <w:spacing w:val="-10"/>
        </w:rPr>
        <w:t> 天后或意外伤</w:t>
      </w:r>
    </w:p>
    <w:p>
      <w:pPr>
        <w:spacing w:after="0"/>
        <w:sectPr>
          <w:pgSz w:w="11910" w:h="16840"/>
          <w:pgMar w:top="1080" w:bottom="280" w:left="920" w:right="820"/>
        </w:sectPr>
      </w:pPr>
    </w:p>
    <w:p>
      <w:pPr>
        <w:pStyle w:val="BodyText"/>
        <w:spacing w:before="59"/>
        <w:ind w:left="2569"/>
      </w:pPr>
      <w:r>
        <w:rPr>
          <w:spacing w:val="-14"/>
        </w:rPr>
        <w:t>害发生 </w:t>
      </w:r>
      <w:r>
        <w:rPr>
          <w:spacing w:val="-4"/>
        </w:rPr>
        <w:t>180</w:t>
      </w:r>
      <w:r>
        <w:rPr>
          <w:spacing w:val="-12"/>
        </w:rPr>
        <w:t> 天后，每肢三大关节中的两大关节仍然完全僵硬，或肢体肌力在 </w:t>
      </w:r>
      <w:r>
        <w:rPr>
          <w:spacing w:val="-4"/>
        </w:rPr>
        <w:t>2</w:t>
      </w:r>
      <w:r>
        <w:rPr>
          <w:spacing w:val="-28"/>
        </w:rPr>
        <w:t> 级</w:t>
      </w:r>
    </w:p>
    <w:p>
      <w:pPr>
        <w:pStyle w:val="BodyText"/>
        <w:spacing w:before="43"/>
        <w:ind w:left="2569"/>
      </w:pPr>
      <w:r>
        <w:rPr>
          <w:spacing w:val="-2"/>
        </w:rPr>
        <w:t>（含）</w:t>
      </w:r>
      <w:r>
        <w:rPr>
          <w:spacing w:val="-5"/>
        </w:rPr>
        <w:t>以下。</w:t>
      </w:r>
    </w:p>
    <w:p>
      <w:pPr>
        <w:pStyle w:val="BodyText"/>
        <w:spacing w:before="6"/>
        <w:rPr>
          <w:sz w:val="22"/>
        </w:rPr>
      </w:pPr>
    </w:p>
    <w:p>
      <w:pPr>
        <w:pStyle w:val="Heading3"/>
      </w:pPr>
      <w:r>
        <w:rPr/>
        <w:t>（八十六）</w:t>
      </w:r>
      <w:r>
        <w:rPr>
          <w:spacing w:val="-2"/>
        </w:rPr>
        <w:t>神经白塞病</w:t>
      </w:r>
    </w:p>
    <w:p>
      <w:pPr>
        <w:pStyle w:val="BodyText"/>
        <w:spacing w:line="278" w:lineRule="auto"/>
        <w:ind w:left="2569" w:right="301"/>
        <w:jc w:val="both"/>
      </w:pPr>
      <w:r>
        <w:rPr>
          <w:spacing w:val="-2"/>
        </w:rPr>
        <w:t>白塞病是一种慢性全身性血管炎症性疾病，主要表现为复发性口腔溃疡、生殖器</w:t>
      </w:r>
      <w:r>
        <w:rPr>
          <w:spacing w:val="-2"/>
        </w:rPr>
        <w:t>溃疡、眼炎及皮肤损害，并可累及大血管、神经系统、消化道、肺、肾等等。累</w:t>
      </w:r>
      <w:r>
        <w:rPr>
          <w:spacing w:val="-2"/>
        </w:rPr>
        <w:t>及神经系统损害的白塞病称为神经白塞病。神经白塞病必须明确诊断，并且已经</w:t>
      </w:r>
      <w:r>
        <w:rPr>
          <w:spacing w:val="-6"/>
        </w:rPr>
        <w:t>造成永久不可逆的神经系统功能损害。永久不可逆的神经系统损害指被保险人持</w:t>
      </w:r>
      <w:r>
        <w:rPr>
          <w:spacing w:val="-11"/>
        </w:rPr>
        <w:t>续 </w:t>
      </w:r>
      <w:r>
        <w:rPr/>
        <w:t>180</w:t>
      </w:r>
      <w:r>
        <w:rPr>
          <w:spacing w:val="-5"/>
        </w:rPr>
        <w:t> 天无法独立完成下列基本日常生活活动之一：</w:t>
      </w:r>
    </w:p>
    <w:p>
      <w:pPr>
        <w:pStyle w:val="ListParagraph"/>
        <w:numPr>
          <w:ilvl w:val="0"/>
          <w:numId w:val="50"/>
        </w:numPr>
        <w:tabs>
          <w:tab w:pos="3099" w:val="left" w:leader="none"/>
        </w:tabs>
        <w:spacing w:line="268" w:lineRule="exact" w:before="0" w:after="0"/>
        <w:ind w:left="3098" w:right="0" w:hanging="530"/>
        <w:jc w:val="left"/>
        <w:rPr>
          <w:sz w:val="21"/>
        </w:rPr>
      </w:pPr>
      <w:r>
        <w:rPr>
          <w:spacing w:val="-3"/>
          <w:sz w:val="21"/>
        </w:rPr>
        <w:t>移动：自己从一个房间到另一个房间；</w:t>
      </w:r>
    </w:p>
    <w:p>
      <w:pPr>
        <w:pStyle w:val="ListParagraph"/>
        <w:numPr>
          <w:ilvl w:val="0"/>
          <w:numId w:val="50"/>
        </w:numPr>
        <w:tabs>
          <w:tab w:pos="3099" w:val="left" w:leader="none"/>
        </w:tabs>
        <w:spacing w:line="240" w:lineRule="auto" w:before="39" w:after="0"/>
        <w:ind w:left="3098" w:right="0" w:hanging="530"/>
        <w:jc w:val="left"/>
        <w:rPr>
          <w:sz w:val="21"/>
        </w:rPr>
      </w:pPr>
      <w:r>
        <w:rPr>
          <w:spacing w:val="-3"/>
          <w:sz w:val="21"/>
        </w:rPr>
        <w:t>进食：自己从已准备好的碗或碟中取食物放入口中。</w:t>
      </w:r>
    </w:p>
    <w:p>
      <w:pPr>
        <w:pStyle w:val="BodyText"/>
        <w:spacing w:before="6"/>
        <w:rPr>
          <w:sz w:val="22"/>
        </w:rPr>
      </w:pPr>
    </w:p>
    <w:p>
      <w:pPr>
        <w:pStyle w:val="Heading3"/>
        <w:spacing w:line="320" w:lineRule="exact"/>
      </w:pPr>
      <w:r>
        <w:rPr/>
        <w:t>（八十七）</w:t>
      </w:r>
      <w:r>
        <w:rPr>
          <w:spacing w:val="-1"/>
        </w:rPr>
        <w:t>严重甲型及乙型血友病</w:t>
      </w:r>
    </w:p>
    <w:p>
      <w:pPr>
        <w:spacing w:line="26" w:lineRule="exact" w:before="0"/>
        <w:ind w:left="3241" w:right="0" w:firstLine="0"/>
        <w:jc w:val="left"/>
        <w:rPr>
          <w:sz w:val="4"/>
        </w:rPr>
      </w:pPr>
      <w:r>
        <w:rPr>
          <w:w w:val="72"/>
          <w:sz w:val="4"/>
        </w:rPr>
        <w:t>●</w:t>
      </w:r>
    </w:p>
    <w:p>
      <w:pPr>
        <w:pStyle w:val="BodyText"/>
        <w:spacing w:line="278" w:lineRule="auto" w:before="33"/>
        <w:ind w:left="2569" w:right="301"/>
        <w:jc w:val="both"/>
      </w:pPr>
      <w:r>
        <w:rPr>
          <w:spacing w:val="-2"/>
        </w:rPr>
        <w:t>被保险人必须是患上严重甲型血友病（缺乏Ⅷ凝血因子）或严重乙型血友病（</w:t>
      </w:r>
      <w:r>
        <w:rPr>
          <w:spacing w:val="-2"/>
        </w:rPr>
        <w:t>缺</w:t>
      </w:r>
      <w:r>
        <w:rPr>
          <w:spacing w:val="-2"/>
        </w:rPr>
        <w:t>乏Ⅸ凝血因子</w:t>
      </w:r>
      <w:r>
        <w:rPr>
          <w:spacing w:val="-106"/>
        </w:rPr>
        <w:t>）</w:t>
      </w:r>
      <w:r>
        <w:rPr>
          <w:spacing w:val="-2"/>
        </w:rPr>
        <w:t>，而凝血因子Ⅷ或凝血因子Ⅸ的活性水平少于百分之一。诊断必</w:t>
      </w:r>
      <w:r>
        <w:rPr>
          <w:spacing w:val="-2"/>
        </w:rPr>
        <w:t>须由本公司认可医院的血液病专科医生确认。</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
        <w:rPr>
          <w:sz w:val="19"/>
        </w:rPr>
      </w:pPr>
    </w:p>
    <w:p>
      <w:pPr>
        <w:pStyle w:val="Heading3"/>
      </w:pPr>
      <w:r>
        <w:rPr/>
        <w:t>（八十八）</w:t>
      </w:r>
      <w:r>
        <w:rPr>
          <w:spacing w:val="-1"/>
        </w:rPr>
        <w:t>肾上腺脑白质营养不良</w:t>
      </w:r>
    </w:p>
    <w:p>
      <w:pPr>
        <w:pStyle w:val="BodyText"/>
        <w:spacing w:line="265" w:lineRule="exact"/>
        <w:ind w:left="2569"/>
      </w:pPr>
      <w:r>
        <w:rPr>
          <w:spacing w:val="-1"/>
        </w:rPr>
        <w:t>指一种最常见过氧化物酶体病,主要累及肾上腺和脑白质，主要表现为进行性的</w:t>
      </w:r>
    </w:p>
    <w:p>
      <w:pPr>
        <w:pStyle w:val="BodyText"/>
        <w:spacing w:line="248" w:lineRule="exact" w:before="43"/>
        <w:ind w:left="2569"/>
      </w:pPr>
      <w:r>
        <w:rPr>
          <w:spacing w:val="-4"/>
        </w:rPr>
        <w:t>精神运动障碍，视力及听力下降和（或）</w:t>
      </w:r>
      <w:r>
        <w:rPr>
          <w:spacing w:val="-5"/>
        </w:rPr>
        <w:t>肾上腺皮质功能低下等。须经我们认可</w:t>
      </w:r>
    </w:p>
    <w:p>
      <w:pPr>
        <w:spacing w:line="31" w:lineRule="exact" w:before="0"/>
        <w:ind w:left="2607" w:right="0" w:firstLine="0"/>
        <w:jc w:val="left"/>
        <w:rPr>
          <w:sz w:val="4"/>
        </w:rPr>
      </w:pPr>
      <w:r>
        <w:rPr>
          <w:w w:val="72"/>
          <w:sz w:val="4"/>
        </w:rPr>
        <w:t>●</w:t>
      </w:r>
    </w:p>
    <w:p>
      <w:pPr>
        <w:pStyle w:val="BodyText"/>
        <w:spacing w:line="278" w:lineRule="auto" w:before="33"/>
        <w:ind w:left="2569" w:right="301"/>
      </w:pPr>
      <w:r>
        <w:rPr>
          <w:spacing w:val="-2"/>
        </w:rPr>
        <w:t>医院的神经内科专科医生诊断，且已经造成自主生活能力完全丧失，无法独立完</w:t>
      </w:r>
      <w:r>
        <w:rPr>
          <w:spacing w:val="-1"/>
        </w:rPr>
        <w:t>成六项基本日常生活活动中的三项或三项以上，持续至少 </w:t>
      </w:r>
      <w:r>
        <w:rPr/>
        <w:t>180</w:t>
      </w:r>
      <w:r>
        <w:rPr>
          <w:spacing w:val="-8"/>
        </w:rPr>
        <w:t> 天。</w:t>
      </w:r>
    </w:p>
    <w:p>
      <w:pPr>
        <w:pStyle w:val="BodyText"/>
        <w:spacing w:before="1"/>
        <w:rPr>
          <w:sz w:val="19"/>
        </w:rPr>
      </w:pPr>
    </w:p>
    <w:p>
      <w:pPr>
        <w:pStyle w:val="Heading3"/>
      </w:pPr>
      <w:r>
        <w:rPr>
          <w:w w:val="95"/>
        </w:rPr>
        <w:t>（</w:t>
      </w:r>
      <w:r>
        <w:rPr>
          <w:w w:val="95"/>
        </w:rPr>
        <w:t>八</w:t>
      </w:r>
      <w:r>
        <w:rPr>
          <w:w w:val="95"/>
        </w:rPr>
        <w:t>十</w:t>
      </w:r>
      <w:r>
        <w:rPr>
          <w:w w:val="95"/>
        </w:rPr>
        <w:t>九</w:t>
      </w:r>
      <w:r>
        <w:rPr>
          <w:w w:val="95"/>
        </w:rPr>
        <w:t>）</w:t>
      </w:r>
      <w:r>
        <w:rPr>
          <w:w w:val="95"/>
        </w:rPr>
        <w:t>范</w:t>
      </w:r>
      <w:r>
        <w:rPr>
          <w:w w:val="95"/>
        </w:rPr>
        <w:t>可</w:t>
      </w:r>
      <w:r>
        <w:rPr>
          <w:w w:val="95"/>
        </w:rPr>
        <w:t>尼</w:t>
      </w:r>
      <w:r>
        <w:rPr>
          <w:w w:val="95"/>
        </w:rPr>
        <w:t>综</w:t>
      </w:r>
      <w:r>
        <w:rPr>
          <w:w w:val="95"/>
        </w:rPr>
        <w:t>合</w:t>
      </w:r>
      <w:r>
        <w:rPr>
          <w:w w:val="95"/>
        </w:rPr>
        <w:t>征</w:t>
      </w:r>
      <w:r>
        <w:rPr>
          <w:spacing w:val="38"/>
        </w:rPr>
        <w:t>  </w:t>
      </w:r>
      <w:r>
        <w:rPr>
          <w:w w:val="95"/>
        </w:rPr>
        <w:t>(Fanconi</w:t>
      </w:r>
      <w:r>
        <w:rPr>
          <w:spacing w:val="41"/>
        </w:rPr>
        <w:t> </w:t>
      </w:r>
      <w:r>
        <w:rPr>
          <w:w w:val="95"/>
        </w:rPr>
        <w:t>综</w:t>
      </w:r>
      <w:r>
        <w:rPr>
          <w:w w:val="95"/>
        </w:rPr>
        <w:t>合</w:t>
      </w:r>
      <w:r>
        <w:rPr>
          <w:w w:val="95"/>
        </w:rPr>
        <w:t>征</w:t>
      </w:r>
      <w:r>
        <w:rPr>
          <w:spacing w:val="-10"/>
          <w:w w:val="95"/>
        </w:rPr>
        <w:t>)</w:t>
      </w:r>
    </w:p>
    <w:p>
      <w:pPr>
        <w:pStyle w:val="BodyText"/>
        <w:spacing w:line="278" w:lineRule="auto"/>
        <w:ind w:left="2569" w:right="301"/>
      </w:pPr>
      <w:r>
        <w:rPr>
          <w:spacing w:val="-6"/>
        </w:rPr>
        <w:t>指近端肾小管的功能异常引起的一组症候群。须经本公司认可医院的专科医生诊</w:t>
      </w:r>
      <w:r>
        <w:rPr>
          <w:spacing w:val="-2"/>
        </w:rPr>
        <w:t>断，且须满足下列至少两个条件：</w:t>
      </w:r>
    </w:p>
    <w:p>
      <w:pPr>
        <w:pStyle w:val="ListParagraph"/>
        <w:numPr>
          <w:ilvl w:val="0"/>
          <w:numId w:val="51"/>
        </w:numPr>
        <w:tabs>
          <w:tab w:pos="3099" w:val="left" w:leader="none"/>
        </w:tabs>
        <w:spacing w:line="269" w:lineRule="exact" w:before="0" w:after="0"/>
        <w:ind w:left="3098" w:right="0" w:hanging="530"/>
        <w:jc w:val="left"/>
        <w:rPr>
          <w:sz w:val="21"/>
        </w:rPr>
      </w:pPr>
      <w:r>
        <w:rPr>
          <w:spacing w:val="-3"/>
          <w:sz w:val="21"/>
        </w:rPr>
        <w:t>尿液检查出现肾性糖尿、全氨基酸糖尿或磷酸盐尿；</w:t>
      </w:r>
    </w:p>
    <w:p>
      <w:pPr>
        <w:pStyle w:val="ListParagraph"/>
        <w:numPr>
          <w:ilvl w:val="0"/>
          <w:numId w:val="51"/>
        </w:numPr>
        <w:tabs>
          <w:tab w:pos="3099" w:val="left" w:leader="none"/>
        </w:tabs>
        <w:spacing w:line="240" w:lineRule="auto" w:before="39" w:after="0"/>
        <w:ind w:left="3098" w:right="0" w:hanging="530"/>
        <w:jc w:val="left"/>
        <w:rPr>
          <w:sz w:val="21"/>
        </w:rPr>
      </w:pPr>
      <w:r>
        <w:rPr>
          <w:spacing w:val="-3"/>
          <w:sz w:val="21"/>
        </w:rPr>
        <w:t>血液检查出现低磷血症、低尿酸血症或近端肾小管酸中毒；</w:t>
      </w:r>
    </w:p>
    <w:p>
      <w:pPr>
        <w:pStyle w:val="ListParagraph"/>
        <w:numPr>
          <w:ilvl w:val="0"/>
          <w:numId w:val="51"/>
        </w:numPr>
        <w:tabs>
          <w:tab w:pos="3099" w:val="left" w:leader="none"/>
        </w:tabs>
        <w:spacing w:line="240" w:lineRule="auto" w:before="43" w:after="0"/>
        <w:ind w:left="3098" w:right="0" w:hanging="530"/>
        <w:jc w:val="left"/>
        <w:rPr>
          <w:sz w:val="21"/>
        </w:rPr>
      </w:pPr>
      <w:r>
        <w:rPr>
          <w:spacing w:val="-3"/>
          <w:sz w:val="21"/>
        </w:rPr>
        <w:t>出现骨质疏松、骨骼畸形或尿路结石；</w:t>
      </w:r>
    </w:p>
    <w:p>
      <w:pPr>
        <w:pStyle w:val="BodyText"/>
        <w:spacing w:line="278" w:lineRule="auto" w:before="43"/>
        <w:ind w:left="2569" w:right="305"/>
      </w:pPr>
      <w:r>
        <w:rPr>
          <w:spacing w:val="-2"/>
        </w:rPr>
        <w:t>（4）通过骨髓片、白细胞、直肠黏膜中的结晶分析或裂隙灯检查角膜有胱氨酸</w:t>
      </w:r>
      <w:r>
        <w:rPr>
          <w:spacing w:val="-4"/>
        </w:rPr>
        <w:t>结晶。</w:t>
      </w:r>
    </w:p>
    <w:p>
      <w:pPr>
        <w:pStyle w:val="BodyText"/>
        <w:ind w:left="2569"/>
      </w:pPr>
      <w:r>
        <w:rPr>
          <w:color w:val="000000"/>
          <w:spacing w:val="-3"/>
          <w:shd w:fill="D9D9D9" w:color="auto" w:val="clear"/>
        </w:rPr>
        <w:t>被保险人在三周岁之前确诊该疾病，本公司不承担保险责任。</w:t>
      </w:r>
    </w:p>
    <w:p>
      <w:pPr>
        <w:pStyle w:val="BodyText"/>
        <w:spacing w:before="6"/>
        <w:rPr>
          <w:sz w:val="22"/>
        </w:rPr>
      </w:pPr>
    </w:p>
    <w:p>
      <w:pPr>
        <w:pStyle w:val="Heading3"/>
        <w:spacing w:line="320" w:lineRule="exact"/>
      </w:pPr>
      <w:r>
        <w:rPr/>
        <w:t>（九十）</w:t>
      </w:r>
      <w:r>
        <w:rPr>
          <w:spacing w:val="-4"/>
        </w:rPr>
        <w:t>狂犬病</w:t>
      </w:r>
    </w:p>
    <w:p>
      <w:pPr>
        <w:spacing w:line="26" w:lineRule="exact" w:before="0"/>
        <w:ind w:left="2819" w:right="0" w:firstLine="0"/>
        <w:jc w:val="left"/>
        <w:rPr>
          <w:sz w:val="4"/>
        </w:rPr>
      </w:pPr>
      <w:r>
        <w:rPr>
          <w:w w:val="72"/>
          <w:sz w:val="4"/>
        </w:rPr>
        <w:t>●</w:t>
      </w:r>
    </w:p>
    <w:p>
      <w:pPr>
        <w:pStyle w:val="BodyText"/>
        <w:spacing w:line="278" w:lineRule="auto" w:before="33"/>
        <w:ind w:left="2569" w:right="301"/>
      </w:pPr>
      <w:r>
        <w:rPr>
          <w:spacing w:val="-2"/>
        </w:rPr>
        <w:t>指狂犬病毒所致的急性传染病。临床表现为特有的恐水、怕风、咽肌痉挛、进行</w:t>
      </w:r>
      <w:r>
        <w:rPr>
          <w:spacing w:val="-2"/>
        </w:rPr>
        <w:t>性瘫痪等。须经本公司认可的专科医生明确诊断。</w:t>
      </w:r>
    </w:p>
    <w:p>
      <w:pPr>
        <w:pStyle w:val="BodyText"/>
        <w:spacing w:before="1"/>
        <w:rPr>
          <w:sz w:val="19"/>
        </w:rPr>
      </w:pPr>
    </w:p>
    <w:p>
      <w:pPr>
        <w:pStyle w:val="Heading3"/>
      </w:pPr>
      <w:r>
        <w:rPr/>
        <w:t>（九十一）</w:t>
      </w:r>
      <w:r>
        <w:rPr>
          <w:spacing w:val="-1"/>
        </w:rPr>
        <w:t>严重Ⅲ度冻伤导致截肢</w:t>
      </w:r>
    </w:p>
    <w:p>
      <w:pPr>
        <w:pStyle w:val="BodyText"/>
        <w:spacing w:line="278" w:lineRule="auto"/>
        <w:ind w:left="2569" w:right="238"/>
        <w:jc w:val="both"/>
      </w:pPr>
      <w:r>
        <w:rPr>
          <w:spacing w:val="-2"/>
        </w:rPr>
        <w:t>冻伤是由于寒冷潮湿作用引起的人体局部或全身损伤，并且冻伤程度达到Ⅲ度，</w:t>
      </w:r>
      <w:r>
        <w:rPr>
          <w:spacing w:val="-2"/>
        </w:rPr>
        <w:t>且导致一个或一个以上肢体自腕关节或踝关节近端（靠近躯干端）以上完全性断</w:t>
      </w:r>
      <w:r>
        <w:rPr>
          <w:spacing w:val="-6"/>
        </w:rPr>
        <w:t>离。</w:t>
      </w:r>
    </w:p>
    <w:p>
      <w:pPr>
        <w:pStyle w:val="BodyText"/>
        <w:spacing w:before="10"/>
        <w:rPr>
          <w:sz w:val="18"/>
        </w:rPr>
      </w:pPr>
    </w:p>
    <w:p>
      <w:pPr>
        <w:pStyle w:val="Heading3"/>
      </w:pPr>
      <w:r>
        <w:rPr/>
        <w:t>（九十二）</w:t>
      </w:r>
      <w:r>
        <w:rPr>
          <w:spacing w:val="-1"/>
        </w:rPr>
        <w:t>原发性脊柱侧弯的矫正手术</w:t>
      </w:r>
    </w:p>
    <w:p>
      <w:pPr>
        <w:pStyle w:val="BodyText"/>
        <w:spacing w:line="265" w:lineRule="exact"/>
        <w:ind w:left="2569"/>
      </w:pPr>
      <w:r>
        <w:rPr>
          <w:spacing w:val="-5"/>
        </w:rPr>
        <w:t>指被保险人因原发性脊柱侧弯，实际实施了对该病的矫正外科手术。原发性脊柱</w:t>
      </w:r>
    </w:p>
    <w:p>
      <w:pPr>
        <w:spacing w:after="0" w:line="265" w:lineRule="exact"/>
        <w:sectPr>
          <w:pgSz w:w="11910" w:h="16840"/>
          <w:pgMar w:top="1080" w:bottom="280" w:left="920" w:right="820"/>
        </w:sectPr>
      </w:pPr>
    </w:p>
    <w:p>
      <w:pPr>
        <w:pStyle w:val="BodyText"/>
        <w:spacing w:before="59"/>
        <w:ind w:left="2569"/>
      </w:pPr>
      <w:r>
        <w:rPr/>
        <w:pict>
          <v:shape style="position:absolute;margin-left:174.479996pt;margin-top:18.250019pt;width:364.35pt;height:13.95pt;mso-position-horizontal-relative:page;mso-position-vertical-relative:paragraph;z-index:-15651840;mso-wrap-distance-left:0;mso-wrap-distance-right:0" type="#_x0000_t202" id="docshape123" filled="true" fillcolor="#d9d9d9" stroked="false">
            <v:textbox inset="0,0,0,0">
              <w:txbxContent>
                <w:p>
                  <w:pPr>
                    <w:pStyle w:val="BodyText"/>
                    <w:spacing w:before="6"/>
                    <w:ind w:right="-15"/>
                    <w:rPr>
                      <w:color w:val="000000"/>
                    </w:rPr>
                  </w:pPr>
                  <w:r>
                    <w:rPr>
                      <w:color w:val="000000"/>
                      <w:spacing w:val="-1"/>
                    </w:rPr>
                    <w:t>由于先天性脊柱侧弯以及其他疾病或意外导致的继发性脊柱侧弯而进行的手术</w:t>
                  </w:r>
                </w:p>
              </w:txbxContent>
            </v:textbox>
            <v:fill type="solid"/>
            <w10:wrap type="topAndBottom"/>
          </v:shape>
        </w:pict>
      </w:r>
      <w:r>
        <w:rPr>
          <w:spacing w:val="-3"/>
        </w:rPr>
        <w:t>侧弯须由本公司认可的专科医生确诊。</w:t>
      </w:r>
    </w:p>
    <w:p>
      <w:pPr>
        <w:pStyle w:val="BodyText"/>
        <w:spacing w:before="7"/>
        <w:rPr>
          <w:sz w:val="2"/>
        </w:rPr>
      </w:pPr>
    </w:p>
    <w:p>
      <w:pPr>
        <w:pStyle w:val="BodyText"/>
        <w:ind w:left="2569"/>
        <w:rPr>
          <w:sz w:val="20"/>
        </w:rPr>
      </w:pPr>
      <w:r>
        <w:rPr>
          <w:sz w:val="20"/>
        </w:rPr>
        <w:pict>
          <v:shape style="width:115.45pt;height:13.95pt;mso-position-horizontal-relative:char;mso-position-vertical-relative:line" type="#_x0000_t202" id="docshape124" filled="true" fillcolor="#d9d9d9" stroked="false">
            <w10:anchorlock/>
            <v:textbox inset="0,0,0,0">
              <w:txbxContent>
                <w:p>
                  <w:pPr>
                    <w:pStyle w:val="BodyText"/>
                    <w:spacing w:before="6"/>
                    <w:ind w:right="-15"/>
                    <w:rPr>
                      <w:color w:val="000000"/>
                    </w:rPr>
                  </w:pPr>
                  <w:r>
                    <w:rPr>
                      <w:color w:val="000000"/>
                      <w:spacing w:val="-5"/>
                    </w:rPr>
                    <w:t>治疗不属于本保障责任。</w:t>
                  </w:r>
                </w:p>
              </w:txbxContent>
            </v:textbox>
            <v:fill type="solid"/>
          </v:shape>
        </w:pict>
      </w:r>
      <w:r>
        <w:rPr>
          <w:sz w:val="20"/>
        </w:rPr>
      </w:r>
    </w:p>
    <w:p>
      <w:pPr>
        <w:pStyle w:val="BodyText"/>
        <w:spacing w:before="3"/>
        <w:rPr>
          <w:sz w:val="20"/>
        </w:rPr>
      </w:pPr>
    </w:p>
    <w:p>
      <w:pPr>
        <w:pStyle w:val="Heading3"/>
        <w:spacing w:before="4"/>
      </w:pPr>
      <w:r>
        <w:rPr/>
        <w:t>（九十三）</w:t>
      </w:r>
      <w:r>
        <w:rPr>
          <w:spacing w:val="-1"/>
        </w:rPr>
        <w:t>婴儿进行性脊肌萎缩症</w:t>
      </w:r>
    </w:p>
    <w:p>
      <w:pPr>
        <w:pStyle w:val="BodyText"/>
        <w:spacing w:line="278" w:lineRule="auto"/>
        <w:ind w:left="2569" w:right="301"/>
        <w:jc w:val="both"/>
      </w:pPr>
      <w:r>
        <w:rPr>
          <w:spacing w:val="-5"/>
        </w:rPr>
        <w:t>该病是累及脊髓前角细胞及延髓运动核的神经元退行性变性病。在出生后两年内</w:t>
      </w:r>
      <w:r>
        <w:rPr>
          <w:spacing w:val="-5"/>
        </w:rPr>
        <w:t>出现的脊髓和脑干颅神经前角细胞进行性机能障碍，伴随肌肉无力和延髓机能障</w:t>
      </w:r>
      <w:r>
        <w:rPr>
          <w:spacing w:val="-6"/>
        </w:rPr>
        <w:t>碍。</w:t>
      </w:r>
    </w:p>
    <w:p>
      <w:pPr>
        <w:pStyle w:val="BodyText"/>
        <w:ind w:left="2569"/>
        <w:rPr>
          <w:sz w:val="20"/>
        </w:rPr>
      </w:pPr>
      <w:r>
        <w:rPr>
          <w:sz w:val="20"/>
        </w:rPr>
        <w:pict>
          <v:shape style="width:364.35pt;height:13.95pt;mso-position-horizontal-relative:char;mso-position-vertical-relative:line" type="#_x0000_t202" id="docshape125"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26"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4"/>
        <w:rPr>
          <w:sz w:val="20"/>
        </w:rPr>
      </w:pPr>
    </w:p>
    <w:p>
      <w:pPr>
        <w:pStyle w:val="Heading3"/>
        <w:spacing w:before="4"/>
      </w:pPr>
      <w:r>
        <w:rPr/>
        <w:t>（九十四）</w:t>
      </w:r>
      <w:r>
        <w:rPr>
          <w:spacing w:val="-2"/>
        </w:rPr>
        <w:t>严重巨细胞动脉炎</w:t>
      </w:r>
    </w:p>
    <w:p>
      <w:pPr>
        <w:pStyle w:val="BodyText"/>
        <w:spacing w:line="265" w:lineRule="exact"/>
        <w:ind w:left="2569"/>
      </w:pPr>
      <w:r>
        <w:rPr>
          <w:spacing w:val="-5"/>
        </w:rPr>
        <w:t>巨细胞动脉炎又称颅动脉炎、颞动脉炎、肉芽肿性动脉炎。须经本公司认可医院</w:t>
      </w:r>
    </w:p>
    <w:p>
      <w:pPr>
        <w:pStyle w:val="BodyText"/>
        <w:spacing w:line="248" w:lineRule="exact" w:before="44"/>
        <w:ind w:left="2569"/>
      </w:pPr>
      <w:r>
        <w:rPr>
          <w:spacing w:val="-1"/>
        </w:rPr>
        <w:t>的专科医生明确诊断，并造成永久不可逆性的单个肢体机能完全丧失或单眼失</w:t>
      </w:r>
    </w:p>
    <w:p>
      <w:pPr>
        <w:spacing w:line="31" w:lineRule="exact" w:before="0"/>
        <w:ind w:left="2607" w:right="0" w:firstLine="0"/>
        <w:jc w:val="left"/>
        <w:rPr>
          <w:sz w:val="4"/>
        </w:rPr>
      </w:pPr>
      <w:r>
        <w:rPr>
          <w:w w:val="72"/>
          <w:sz w:val="4"/>
        </w:rPr>
        <w:t>●</w:t>
      </w:r>
    </w:p>
    <w:p>
      <w:pPr>
        <w:pStyle w:val="BodyText"/>
        <w:spacing w:before="33"/>
        <w:ind w:left="2569"/>
      </w:pPr>
      <w:r>
        <w:rPr>
          <w:spacing w:val="-5"/>
        </w:rPr>
        <w:t>明。</w:t>
      </w:r>
    </w:p>
    <w:p>
      <w:pPr>
        <w:pStyle w:val="BodyText"/>
        <w:spacing w:line="278" w:lineRule="auto" w:before="43"/>
        <w:ind w:left="2569" w:right="238"/>
      </w:pPr>
      <w:r>
        <w:rPr>
          <w:spacing w:val="-2"/>
        </w:rPr>
        <w:t>肢体机能完全丧失：指肢体的三大关节中的两大关节僵硬，或不能随意识活动。</w:t>
      </w:r>
      <w:r>
        <w:rPr>
          <w:spacing w:val="-2"/>
        </w:rPr>
        <w:t>肢体是指包括肩关节的整个上肢或包括髋关节的整个下肢。</w:t>
      </w:r>
    </w:p>
    <w:p>
      <w:pPr>
        <w:pStyle w:val="BodyText"/>
        <w:spacing w:line="269" w:lineRule="exact"/>
        <w:ind w:left="2569"/>
      </w:pPr>
      <w:r>
        <w:rPr>
          <w:spacing w:val="-3"/>
        </w:rPr>
        <w:t>单眼失明指单眼视力永久不可逆性丧失，患眼须满足下列至少一项条件：</w:t>
      </w:r>
    </w:p>
    <w:p>
      <w:pPr>
        <w:pStyle w:val="ListParagraph"/>
        <w:numPr>
          <w:ilvl w:val="0"/>
          <w:numId w:val="52"/>
        </w:numPr>
        <w:tabs>
          <w:tab w:pos="3099" w:val="left" w:leader="none"/>
        </w:tabs>
        <w:spacing w:line="278" w:lineRule="auto" w:before="43" w:after="0"/>
        <w:ind w:left="2569" w:right="306" w:firstLine="0"/>
        <w:jc w:val="left"/>
        <w:rPr>
          <w:sz w:val="21"/>
        </w:rPr>
      </w:pPr>
      <w:r>
        <w:rPr>
          <w:sz w:val="21"/>
        </w:rPr>
        <w:t>矫正视力低于 0.02（采用国际标准视力表,如果使用其他视力表应进行换</w:t>
      </w:r>
      <w:r>
        <w:rPr>
          <w:spacing w:val="-10"/>
          <w:sz w:val="21"/>
        </w:rPr>
        <w:t>算</w:t>
      </w:r>
      <w:r>
        <w:rPr>
          <w:spacing w:val="-106"/>
          <w:sz w:val="21"/>
        </w:rPr>
        <w:t>）</w:t>
      </w:r>
      <w:r>
        <w:rPr>
          <w:sz w:val="21"/>
        </w:rPr>
        <w:t>；</w:t>
      </w:r>
    </w:p>
    <w:p>
      <w:pPr>
        <w:pStyle w:val="ListParagraph"/>
        <w:numPr>
          <w:ilvl w:val="0"/>
          <w:numId w:val="52"/>
        </w:numPr>
        <w:tabs>
          <w:tab w:pos="3099" w:val="left" w:leader="none"/>
        </w:tabs>
        <w:spacing w:line="269" w:lineRule="exact" w:before="0" w:after="0"/>
        <w:ind w:left="3098" w:right="0" w:hanging="530"/>
        <w:jc w:val="left"/>
        <w:rPr>
          <w:sz w:val="21"/>
        </w:rPr>
      </w:pPr>
      <w:r>
        <w:rPr>
          <w:spacing w:val="-9"/>
          <w:sz w:val="21"/>
        </w:rPr>
        <w:t>视野半径小于 </w:t>
      </w:r>
      <w:r>
        <w:rPr>
          <w:spacing w:val="-2"/>
          <w:sz w:val="21"/>
        </w:rPr>
        <w:t>5</w:t>
      </w:r>
      <w:r>
        <w:rPr>
          <w:spacing w:val="-22"/>
          <w:sz w:val="21"/>
        </w:rPr>
        <w:t> 度。</w:t>
      </w:r>
    </w:p>
    <w:p>
      <w:pPr>
        <w:pStyle w:val="BodyText"/>
        <w:spacing w:before="5"/>
        <w:rPr>
          <w:sz w:val="22"/>
        </w:rPr>
      </w:pPr>
    </w:p>
    <w:p>
      <w:pPr>
        <w:pStyle w:val="Heading3"/>
      </w:pPr>
      <w:r>
        <w:rPr>
          <w:w w:val="95"/>
        </w:rPr>
        <w:t>（</w:t>
      </w:r>
      <w:r>
        <w:rPr>
          <w:w w:val="95"/>
        </w:rPr>
        <w:t>九</w:t>
      </w:r>
      <w:r>
        <w:rPr>
          <w:w w:val="95"/>
        </w:rPr>
        <w:t>十</w:t>
      </w:r>
      <w:r>
        <w:rPr>
          <w:w w:val="95"/>
        </w:rPr>
        <w:t>五</w:t>
      </w:r>
      <w:r>
        <w:rPr>
          <w:w w:val="95"/>
        </w:rPr>
        <w:t>）</w:t>
      </w:r>
      <w:r>
        <w:rPr>
          <w:w w:val="95"/>
        </w:rPr>
        <w:t>急</w:t>
      </w:r>
      <w:r>
        <w:rPr>
          <w:w w:val="95"/>
        </w:rPr>
        <w:t>性</w:t>
      </w:r>
      <w:r>
        <w:rPr>
          <w:w w:val="95"/>
        </w:rPr>
        <w:t>肺</w:t>
      </w:r>
      <w:r>
        <w:rPr>
          <w:w w:val="95"/>
        </w:rPr>
        <w:t>损</w:t>
      </w:r>
      <w:r>
        <w:rPr>
          <w:w w:val="95"/>
        </w:rPr>
        <w:t>伤</w:t>
      </w:r>
      <w:r>
        <w:rPr>
          <w:w w:val="95"/>
        </w:rPr>
        <w:t>（ALI）</w:t>
      </w:r>
      <w:r>
        <w:rPr>
          <w:w w:val="95"/>
        </w:rPr>
        <w:t>或</w:t>
      </w:r>
      <w:r>
        <w:rPr>
          <w:w w:val="95"/>
        </w:rPr>
        <w:t>急</w:t>
      </w:r>
      <w:r>
        <w:rPr>
          <w:w w:val="95"/>
        </w:rPr>
        <w:t>性</w:t>
      </w:r>
      <w:r>
        <w:rPr>
          <w:w w:val="95"/>
        </w:rPr>
        <w:t>呼</w:t>
      </w:r>
      <w:r>
        <w:rPr>
          <w:w w:val="95"/>
        </w:rPr>
        <w:t>吸</w:t>
      </w:r>
      <w:r>
        <w:rPr>
          <w:w w:val="95"/>
        </w:rPr>
        <w:t>窘</w:t>
      </w:r>
      <w:r>
        <w:rPr>
          <w:w w:val="95"/>
        </w:rPr>
        <w:t>迫</w:t>
      </w:r>
      <w:r>
        <w:rPr>
          <w:w w:val="95"/>
        </w:rPr>
        <w:t>综</w:t>
      </w:r>
      <w:r>
        <w:rPr>
          <w:w w:val="95"/>
        </w:rPr>
        <w:t>合</w:t>
      </w:r>
      <w:r>
        <w:rPr>
          <w:w w:val="95"/>
        </w:rPr>
        <w:t>征</w:t>
      </w:r>
      <w:r>
        <w:rPr>
          <w:spacing w:val="-2"/>
          <w:w w:val="95"/>
        </w:rPr>
        <w:t>（ARDS）</w:t>
      </w:r>
    </w:p>
    <w:p>
      <w:pPr>
        <w:pStyle w:val="BodyText"/>
        <w:spacing w:line="278" w:lineRule="auto"/>
        <w:ind w:left="2569" w:right="238"/>
      </w:pPr>
      <w:r>
        <w:rPr>
          <w:spacing w:val="-2"/>
        </w:rPr>
        <w:t>一种表现为无心脏衰竭的肺水肿，为创伤、脓毒血症等临床多种疾病的并发症，</w:t>
      </w:r>
      <w:r>
        <w:rPr>
          <w:spacing w:val="-2"/>
        </w:rPr>
        <w:t>造成多器官衰竭，死亡率高。</w:t>
      </w:r>
    </w:p>
    <w:p>
      <w:pPr>
        <w:pStyle w:val="BodyText"/>
        <w:spacing w:line="278" w:lineRule="auto"/>
        <w:ind w:left="2569" w:right="301"/>
      </w:pPr>
      <w:r>
        <w:rPr>
          <w:spacing w:val="-5"/>
        </w:rPr>
        <w:t>急性肺损伤或急性呼吸窘迫综合征必须由呼吸系统专科医生诊断，</w:t>
      </w:r>
      <w:r>
        <w:rPr>
          <w:color w:val="000000"/>
          <w:spacing w:val="-2"/>
          <w:shd w:fill="D9D9D9" w:color="auto" w:val="clear"/>
        </w:rPr>
        <w:t>被保险人理赔</w:t>
      </w:r>
      <w:r>
        <w:rPr>
          <w:color w:val="000000"/>
          <w:spacing w:val="80"/>
          <w:w w:val="150"/>
          <w:shd w:fill="D9D9D9" w:color="auto" w:val="clear"/>
        </w:rPr>
        <w:t>                                       </w:t>
      </w:r>
      <w:r>
        <w:rPr>
          <w:color w:val="000000"/>
          <w:spacing w:val="-2"/>
          <w:shd w:fill="D9D9D9" w:color="auto" w:val="clear"/>
        </w:rPr>
        <w:t>时年龄在二十五周岁（不含）以下</w:t>
      </w:r>
      <w:r>
        <w:rPr>
          <w:color w:val="000000"/>
          <w:spacing w:val="-2"/>
        </w:rPr>
        <w:t>，并有所有以下临床证据支持：</w:t>
      </w:r>
    </w:p>
    <w:p>
      <w:pPr>
        <w:pStyle w:val="ListParagraph"/>
        <w:numPr>
          <w:ilvl w:val="0"/>
          <w:numId w:val="53"/>
        </w:numPr>
        <w:tabs>
          <w:tab w:pos="3099" w:val="left" w:leader="none"/>
        </w:tabs>
        <w:spacing w:line="269" w:lineRule="exact" w:before="0" w:after="0"/>
        <w:ind w:left="3098" w:right="0" w:hanging="530"/>
        <w:jc w:val="left"/>
        <w:rPr>
          <w:sz w:val="21"/>
        </w:rPr>
      </w:pPr>
      <w:r>
        <w:rPr>
          <w:spacing w:val="-2"/>
          <w:sz w:val="21"/>
        </w:rPr>
        <w:t>急性发作（</w:t>
      </w:r>
      <w:r>
        <w:rPr>
          <w:spacing w:val="-9"/>
          <w:sz w:val="21"/>
        </w:rPr>
        <w:t>原发疾病起病后 </w:t>
      </w:r>
      <w:r>
        <w:rPr>
          <w:spacing w:val="-2"/>
          <w:sz w:val="21"/>
        </w:rPr>
        <w:t>6</w:t>
      </w:r>
      <w:r>
        <w:rPr>
          <w:spacing w:val="-34"/>
          <w:sz w:val="21"/>
        </w:rPr>
        <w:t> 至 </w:t>
      </w:r>
      <w:r>
        <w:rPr>
          <w:spacing w:val="-2"/>
          <w:sz w:val="21"/>
        </w:rPr>
        <w:t>72</w:t>
      </w:r>
      <w:r>
        <w:rPr>
          <w:spacing w:val="-18"/>
          <w:sz w:val="21"/>
        </w:rPr>
        <w:t> 小时</w:t>
      </w:r>
      <w:r>
        <w:rPr>
          <w:spacing w:val="-116"/>
          <w:sz w:val="21"/>
        </w:rPr>
        <w:t>）</w:t>
      </w:r>
      <w:r>
        <w:rPr>
          <w:spacing w:val="-5"/>
          <w:sz w:val="21"/>
        </w:rPr>
        <w:t>；</w:t>
      </w:r>
    </w:p>
    <w:p>
      <w:pPr>
        <w:pStyle w:val="ListParagraph"/>
        <w:numPr>
          <w:ilvl w:val="0"/>
          <w:numId w:val="53"/>
        </w:numPr>
        <w:tabs>
          <w:tab w:pos="3099" w:val="left" w:leader="none"/>
        </w:tabs>
        <w:spacing w:line="278" w:lineRule="auto" w:before="39" w:after="0"/>
        <w:ind w:left="2569" w:right="305" w:firstLine="0"/>
        <w:jc w:val="left"/>
        <w:rPr>
          <w:sz w:val="21"/>
        </w:rPr>
      </w:pPr>
      <w:r>
        <w:rPr>
          <w:spacing w:val="-2"/>
          <w:sz w:val="21"/>
        </w:rPr>
        <w:t>急性发作的临床症状体征，包括呼吸急促、呼吸困难、心动过速、大汗、</w:t>
      </w:r>
      <w:r>
        <w:rPr>
          <w:spacing w:val="-2"/>
          <w:sz w:val="21"/>
        </w:rPr>
        <w:t>面色苍白及辅助呼吸肌活动加强（点头呼吸、提肩呼吸</w:t>
      </w:r>
      <w:r>
        <w:rPr>
          <w:spacing w:val="-106"/>
          <w:sz w:val="21"/>
        </w:rPr>
        <w:t>）</w:t>
      </w:r>
      <w:r>
        <w:rPr>
          <w:sz w:val="21"/>
        </w:rPr>
        <w:t>；</w:t>
      </w:r>
    </w:p>
    <w:p>
      <w:pPr>
        <w:pStyle w:val="ListParagraph"/>
        <w:numPr>
          <w:ilvl w:val="0"/>
          <w:numId w:val="53"/>
        </w:numPr>
        <w:tabs>
          <w:tab w:pos="3099" w:val="left" w:leader="none"/>
        </w:tabs>
        <w:spacing w:line="269" w:lineRule="exact" w:before="0" w:after="0"/>
        <w:ind w:left="3098" w:right="0" w:hanging="530"/>
        <w:jc w:val="left"/>
        <w:rPr>
          <w:sz w:val="21"/>
        </w:rPr>
      </w:pPr>
      <w:r>
        <w:rPr>
          <w:spacing w:val="-4"/>
          <w:sz w:val="21"/>
        </w:rPr>
        <w:t>双肺浸润影；</w:t>
      </w:r>
    </w:p>
    <w:p>
      <w:pPr>
        <w:pStyle w:val="ListParagraph"/>
        <w:numPr>
          <w:ilvl w:val="0"/>
          <w:numId w:val="53"/>
        </w:numPr>
        <w:tabs>
          <w:tab w:pos="3099" w:val="left" w:leader="none"/>
        </w:tabs>
        <w:spacing w:line="248" w:lineRule="exact" w:before="44" w:after="0"/>
        <w:ind w:left="3098" w:right="0" w:hanging="530"/>
        <w:jc w:val="left"/>
        <w:rPr>
          <w:sz w:val="21"/>
        </w:rPr>
      </w:pPr>
      <w:r>
        <w:rPr>
          <w:spacing w:val="-2"/>
          <w:sz w:val="21"/>
        </w:rPr>
        <w:t>PaO2/FiO2（动脉血压分压/吸入气氧分压）</w:t>
      </w:r>
      <w:r>
        <w:rPr>
          <w:spacing w:val="-13"/>
          <w:sz w:val="21"/>
        </w:rPr>
        <w:t>低于 </w:t>
      </w:r>
      <w:r>
        <w:rPr>
          <w:spacing w:val="-2"/>
          <w:sz w:val="21"/>
        </w:rPr>
        <w:t>200mmHg；</w:t>
      </w:r>
    </w:p>
    <w:p>
      <w:pPr>
        <w:spacing w:line="31" w:lineRule="exact" w:before="0"/>
        <w:ind w:left="2607" w:right="0" w:firstLine="0"/>
        <w:jc w:val="left"/>
        <w:rPr>
          <w:sz w:val="4"/>
        </w:rPr>
      </w:pPr>
      <w:r>
        <w:rPr>
          <w:w w:val="72"/>
          <w:sz w:val="4"/>
        </w:rPr>
        <w:t>●</w:t>
      </w:r>
    </w:p>
    <w:p>
      <w:pPr>
        <w:pStyle w:val="ListParagraph"/>
        <w:numPr>
          <w:ilvl w:val="0"/>
          <w:numId w:val="53"/>
        </w:numPr>
        <w:tabs>
          <w:tab w:pos="3099" w:val="left" w:leader="none"/>
        </w:tabs>
        <w:spacing w:line="240" w:lineRule="auto" w:before="33" w:after="0"/>
        <w:ind w:left="3098" w:right="0" w:hanging="530"/>
        <w:jc w:val="left"/>
        <w:rPr>
          <w:sz w:val="21"/>
        </w:rPr>
      </w:pPr>
      <w:r>
        <w:rPr>
          <w:spacing w:val="-8"/>
          <w:sz w:val="21"/>
        </w:rPr>
        <w:t>肺动脉嵌入压低于 </w:t>
      </w:r>
      <w:r>
        <w:rPr>
          <w:spacing w:val="-2"/>
          <w:sz w:val="21"/>
        </w:rPr>
        <w:t>18mmHg；</w:t>
      </w:r>
    </w:p>
    <w:p>
      <w:pPr>
        <w:pStyle w:val="ListParagraph"/>
        <w:numPr>
          <w:ilvl w:val="0"/>
          <w:numId w:val="53"/>
        </w:numPr>
        <w:tabs>
          <w:tab w:pos="3099" w:val="left" w:leader="none"/>
        </w:tabs>
        <w:spacing w:line="240" w:lineRule="auto" w:before="42" w:after="0"/>
        <w:ind w:left="3098" w:right="0" w:hanging="530"/>
        <w:jc w:val="left"/>
        <w:rPr>
          <w:sz w:val="21"/>
        </w:rPr>
      </w:pPr>
      <w:r>
        <w:rPr>
          <w:spacing w:val="-3"/>
          <w:sz w:val="21"/>
        </w:rPr>
        <w:t>临床无左房高压表现。</w:t>
      </w:r>
    </w:p>
    <w:p>
      <w:pPr>
        <w:pStyle w:val="BodyText"/>
        <w:spacing w:before="6"/>
        <w:rPr>
          <w:sz w:val="22"/>
        </w:rPr>
      </w:pPr>
    </w:p>
    <w:p>
      <w:pPr>
        <w:pStyle w:val="Heading3"/>
        <w:spacing w:line="320" w:lineRule="exact" w:before="1"/>
      </w:pPr>
      <w:r>
        <w:rPr/>
        <w:t>（九十六）</w:t>
      </w:r>
      <w:r>
        <w:rPr>
          <w:spacing w:val="-2"/>
        </w:rPr>
        <w:t>严重大动脉炎</w:t>
      </w:r>
    </w:p>
    <w:p>
      <w:pPr>
        <w:spacing w:line="26" w:lineRule="exact" w:before="0"/>
        <w:ind w:left="2819" w:right="0" w:firstLine="0"/>
        <w:jc w:val="left"/>
        <w:rPr>
          <w:sz w:val="4"/>
        </w:rPr>
      </w:pPr>
      <w:r>
        <w:rPr>
          <w:w w:val="72"/>
          <w:sz w:val="4"/>
        </w:rPr>
        <w:t>●</w:t>
      </w:r>
    </w:p>
    <w:p>
      <w:pPr>
        <w:pStyle w:val="BodyText"/>
        <w:spacing w:line="278" w:lineRule="auto" w:before="33"/>
        <w:ind w:left="2569" w:right="301"/>
      </w:pPr>
      <w:r>
        <w:rPr>
          <w:spacing w:val="-5"/>
        </w:rPr>
        <w:t>指经本公司认可医院的心脏或血管外科专科医生确诊的大动脉炎，须满足下列全</w:t>
      </w:r>
      <w:r>
        <w:rPr>
          <w:spacing w:val="-4"/>
        </w:rPr>
        <w:t>部条件：</w:t>
      </w:r>
    </w:p>
    <w:p>
      <w:pPr>
        <w:pStyle w:val="ListParagraph"/>
        <w:numPr>
          <w:ilvl w:val="0"/>
          <w:numId w:val="54"/>
        </w:numPr>
        <w:tabs>
          <w:tab w:pos="3099" w:val="left" w:leader="none"/>
        </w:tabs>
        <w:spacing w:line="269" w:lineRule="exact" w:before="0" w:after="0"/>
        <w:ind w:left="3098" w:right="0" w:hanging="530"/>
        <w:jc w:val="left"/>
        <w:rPr>
          <w:sz w:val="21"/>
        </w:rPr>
      </w:pPr>
      <w:r>
        <w:rPr>
          <w:spacing w:val="-8"/>
          <w:sz w:val="21"/>
        </w:rPr>
        <w:t>红细胞沉降率及 </w:t>
      </w:r>
      <w:r>
        <w:rPr>
          <w:spacing w:val="-2"/>
          <w:sz w:val="21"/>
        </w:rPr>
        <w:t>C</w:t>
      </w:r>
      <w:r>
        <w:rPr>
          <w:spacing w:val="-10"/>
          <w:sz w:val="21"/>
        </w:rPr>
        <w:t> 反应蛋白高于正常值；</w:t>
      </w:r>
    </w:p>
    <w:p>
      <w:pPr>
        <w:pStyle w:val="ListParagraph"/>
        <w:numPr>
          <w:ilvl w:val="0"/>
          <w:numId w:val="54"/>
        </w:numPr>
        <w:tabs>
          <w:tab w:pos="3099" w:val="left" w:leader="none"/>
        </w:tabs>
        <w:spacing w:line="240" w:lineRule="auto" w:before="43" w:after="0"/>
        <w:ind w:left="3098" w:right="0" w:hanging="530"/>
        <w:jc w:val="left"/>
        <w:rPr>
          <w:sz w:val="21"/>
        </w:rPr>
      </w:pPr>
      <w:r>
        <w:rPr>
          <w:spacing w:val="-2"/>
          <w:sz w:val="21"/>
        </w:rPr>
        <w:t>超声检查、CTA</w:t>
      </w:r>
      <w:r>
        <w:rPr>
          <w:spacing w:val="-8"/>
          <w:sz w:val="21"/>
        </w:rPr>
        <w:t> 检查或血管造影检查证实主动脉及其主要分支存在狭窄。</w:t>
      </w:r>
    </w:p>
    <w:p>
      <w:pPr>
        <w:pStyle w:val="BodyText"/>
        <w:spacing w:before="5"/>
        <w:rPr>
          <w:sz w:val="22"/>
        </w:rPr>
      </w:pPr>
    </w:p>
    <w:p>
      <w:pPr>
        <w:pStyle w:val="Heading3"/>
      </w:pPr>
      <w:r>
        <w:rPr/>
        <w:t>（九十七）</w:t>
      </w:r>
      <w:r>
        <w:rPr>
          <w:spacing w:val="-2"/>
        </w:rPr>
        <w:t>室壁瘤切除术</w:t>
      </w:r>
    </w:p>
    <w:p>
      <w:pPr>
        <w:pStyle w:val="BodyText"/>
        <w:spacing w:line="278" w:lineRule="auto"/>
        <w:ind w:left="2569" w:right="301"/>
      </w:pPr>
      <w:r>
        <w:rPr>
          <w:spacing w:val="-6"/>
        </w:rPr>
        <w:t>被保险人被明确诊断为左室室壁瘤，并且实际接受了开胸开心进行的室壁瘤切除</w:t>
      </w:r>
      <w:r>
        <w:rPr>
          <w:spacing w:val="-2"/>
        </w:rPr>
        <w:t>手术治疗。</w:t>
      </w:r>
    </w:p>
    <w:p>
      <w:pPr>
        <w:pStyle w:val="BodyText"/>
        <w:ind w:left="2569"/>
      </w:pPr>
      <w:r>
        <w:rPr>
          <w:color w:val="000000"/>
          <w:spacing w:val="-3"/>
          <w:shd w:fill="D9D9D9" w:color="auto" w:val="clear"/>
        </w:rPr>
        <w:t>经导管心室内成型手术治疗不在本保障范围内。</w:t>
      </w:r>
    </w:p>
    <w:p>
      <w:pPr>
        <w:spacing w:after="0"/>
        <w:sectPr>
          <w:pgSz w:w="11910" w:h="16840"/>
          <w:pgMar w:top="1080" w:bottom="280" w:left="920" w:right="820"/>
        </w:sectPr>
      </w:pPr>
    </w:p>
    <w:p>
      <w:pPr>
        <w:pStyle w:val="Heading3"/>
        <w:spacing w:line="376" w:lineRule="exact"/>
      </w:pPr>
      <w:r>
        <w:rPr/>
        <w:t>（九十八）</w:t>
      </w:r>
      <w:r>
        <w:rPr>
          <w:spacing w:val="-2"/>
        </w:rPr>
        <w:t>溶血性尿毒综合征</w:t>
      </w:r>
    </w:p>
    <w:p>
      <w:pPr>
        <w:pStyle w:val="BodyText"/>
        <w:spacing w:line="278" w:lineRule="auto"/>
        <w:ind w:left="2569" w:right="301"/>
      </w:pPr>
      <w:r>
        <w:rPr>
          <w:spacing w:val="-2"/>
        </w:rPr>
        <w:t>一种由于感染导致的急性综合征，引起红细胞溶血，肾功能衰竭及尿毒症。溶血</w:t>
      </w:r>
      <w:r>
        <w:rPr>
          <w:spacing w:val="-6"/>
        </w:rPr>
        <w:t>尿毒综合征必须由血液和肾脏专科医生诊断，</w:t>
      </w:r>
      <w:r>
        <w:rPr>
          <w:color w:val="000000"/>
          <w:spacing w:val="-3"/>
          <w:shd w:fill="D9D9D9" w:color="auto" w:val="clear"/>
        </w:rPr>
        <w:t>被保险人理赔时年龄在二十五周岁</w:t>
      </w:r>
    </w:p>
    <w:p>
      <w:pPr>
        <w:pStyle w:val="BodyText"/>
        <w:ind w:left="2569"/>
      </w:pPr>
      <w:r>
        <w:rPr>
          <w:color w:val="000000"/>
          <w:spacing w:val="-2"/>
          <w:shd w:fill="D9D9D9" w:color="auto" w:val="clear"/>
        </w:rPr>
        <w:t>（不含）以下</w:t>
      </w:r>
      <w:r>
        <w:rPr>
          <w:color w:val="000000"/>
          <w:spacing w:val="-3"/>
        </w:rPr>
        <w:t>，并且满足下列所有条件：</w:t>
      </w:r>
    </w:p>
    <w:p>
      <w:pPr>
        <w:pStyle w:val="ListParagraph"/>
        <w:numPr>
          <w:ilvl w:val="0"/>
          <w:numId w:val="55"/>
        </w:numPr>
        <w:tabs>
          <w:tab w:pos="3099" w:val="left" w:leader="none"/>
        </w:tabs>
        <w:spacing w:line="248" w:lineRule="exact" w:before="38" w:after="0"/>
        <w:ind w:left="3098" w:right="0" w:hanging="530"/>
        <w:jc w:val="left"/>
        <w:rPr>
          <w:sz w:val="21"/>
        </w:rPr>
      </w:pPr>
      <w:r>
        <w:rPr>
          <w:spacing w:val="-3"/>
          <w:sz w:val="21"/>
        </w:rPr>
        <w:t>实验室检查确认有溶血性贫血、血尿、尿毒症、血小板减少性紫癜；</w:t>
      </w:r>
    </w:p>
    <w:p>
      <w:pPr>
        <w:spacing w:line="31" w:lineRule="exact" w:before="0"/>
        <w:ind w:left="2607" w:right="0" w:firstLine="0"/>
        <w:jc w:val="left"/>
        <w:rPr>
          <w:sz w:val="4"/>
        </w:rPr>
      </w:pPr>
      <w:r>
        <w:rPr>
          <w:w w:val="72"/>
          <w:sz w:val="4"/>
        </w:rPr>
        <w:t>●</w:t>
      </w:r>
    </w:p>
    <w:p>
      <w:pPr>
        <w:pStyle w:val="ListParagraph"/>
        <w:numPr>
          <w:ilvl w:val="0"/>
          <w:numId w:val="55"/>
        </w:numPr>
        <w:tabs>
          <w:tab w:pos="3099" w:val="left" w:leader="none"/>
        </w:tabs>
        <w:spacing w:line="240" w:lineRule="auto" w:before="33" w:after="0"/>
        <w:ind w:left="3098" w:right="0" w:hanging="530"/>
        <w:jc w:val="left"/>
        <w:rPr>
          <w:sz w:val="21"/>
        </w:rPr>
      </w:pPr>
      <w:r>
        <w:rPr>
          <w:spacing w:val="-3"/>
          <w:sz w:val="21"/>
        </w:rPr>
        <w:t>因肾脏功能衰竭实施了肾脏透析治疗。</w:t>
      </w:r>
    </w:p>
    <w:p>
      <w:pPr>
        <w:pStyle w:val="BodyText"/>
        <w:spacing w:line="278" w:lineRule="auto" w:before="44"/>
        <w:ind w:left="2569" w:right="301"/>
      </w:pPr>
      <w:r>
        <w:rPr>
          <w:color w:val="000000"/>
          <w:spacing w:val="-2"/>
          <w:shd w:fill="D9D9D9" w:color="auto" w:val="clear"/>
        </w:rPr>
        <w:t>任何非因感染导致的溶血性贫血，如：自身免疫性溶血性贫血、与红细胞膜缺陷</w:t>
      </w:r>
      <w:r>
        <w:rPr>
          <w:color w:val="000000"/>
          <w:spacing w:val="80"/>
          <w:w w:val="150"/>
          <w:shd w:fill="D9D9D9" w:color="auto" w:val="clear"/>
        </w:rPr>
        <w:t>                                       </w:t>
      </w:r>
      <w:r>
        <w:rPr>
          <w:color w:val="000000"/>
          <w:spacing w:val="-2"/>
          <w:shd w:fill="D9D9D9" w:color="auto" w:val="clear"/>
        </w:rPr>
        <w:t>有关的溶血性贫血、红细胞酶病、血红蛋白病等，不在本保障范围内。</w:t>
      </w:r>
    </w:p>
    <w:p>
      <w:pPr>
        <w:pStyle w:val="BodyText"/>
        <w:rPr>
          <w:sz w:val="19"/>
        </w:rPr>
      </w:pPr>
    </w:p>
    <w:p>
      <w:pPr>
        <w:pStyle w:val="Heading3"/>
        <w:spacing w:before="1"/>
      </w:pPr>
      <w:r>
        <w:rPr/>
        <w:t>（九十九）</w:t>
      </w:r>
      <w:r>
        <w:rPr>
          <w:spacing w:val="-2"/>
        </w:rPr>
        <w:t>多发性骨髓瘤</w:t>
      </w:r>
    </w:p>
    <w:p>
      <w:pPr>
        <w:pStyle w:val="BodyText"/>
        <w:spacing w:line="265" w:lineRule="exact"/>
        <w:ind w:left="2569"/>
      </w:pPr>
      <w:r>
        <w:rPr>
          <w:spacing w:val="-3"/>
        </w:rPr>
        <w:t>多发性骨髓瘤是浆细胞异常增生的恶性肿瘤。必须满足下列所有条件：</w:t>
      </w:r>
    </w:p>
    <w:p>
      <w:pPr>
        <w:pStyle w:val="ListParagraph"/>
        <w:numPr>
          <w:ilvl w:val="0"/>
          <w:numId w:val="56"/>
        </w:numPr>
        <w:tabs>
          <w:tab w:pos="3099" w:val="left" w:leader="none"/>
        </w:tabs>
        <w:spacing w:line="240" w:lineRule="auto" w:before="42" w:after="0"/>
        <w:ind w:left="3098" w:right="0" w:hanging="530"/>
        <w:jc w:val="left"/>
        <w:rPr>
          <w:sz w:val="21"/>
        </w:rPr>
      </w:pPr>
      <w:r>
        <w:rPr>
          <w:spacing w:val="-3"/>
          <w:sz w:val="21"/>
        </w:rPr>
        <w:t>骨髓活组织检查符合多发性骨髓瘤的典型骨髓改变；</w:t>
      </w:r>
    </w:p>
    <w:p>
      <w:pPr>
        <w:pStyle w:val="ListParagraph"/>
        <w:numPr>
          <w:ilvl w:val="0"/>
          <w:numId w:val="56"/>
        </w:numPr>
        <w:tabs>
          <w:tab w:pos="3099" w:val="left" w:leader="none"/>
        </w:tabs>
        <w:spacing w:line="240" w:lineRule="auto" w:before="43" w:after="0"/>
        <w:ind w:left="3098" w:right="0" w:hanging="530"/>
        <w:jc w:val="left"/>
        <w:rPr>
          <w:sz w:val="21"/>
        </w:rPr>
      </w:pPr>
      <w:r>
        <w:rPr>
          <w:spacing w:val="-3"/>
          <w:sz w:val="21"/>
        </w:rPr>
        <w:t>至少存在下列一项：</w:t>
      </w:r>
    </w:p>
    <w:p>
      <w:pPr>
        <w:pStyle w:val="BodyText"/>
        <w:spacing w:before="43"/>
        <w:ind w:left="3068"/>
      </w:pPr>
      <w:r>
        <w:rPr>
          <w:spacing w:val="-3"/>
        </w:rPr>
        <w:t>①异常球蛋白血症；</w:t>
      </w:r>
    </w:p>
    <w:p>
      <w:pPr>
        <w:pStyle w:val="BodyText"/>
        <w:spacing w:before="43"/>
        <w:ind w:left="3068"/>
      </w:pPr>
      <w:r>
        <w:rPr>
          <w:spacing w:val="-4"/>
        </w:rPr>
        <w:t>②溶骨性损害。</w:t>
      </w:r>
    </w:p>
    <w:p>
      <w:pPr>
        <w:pStyle w:val="BodyText"/>
        <w:spacing w:before="6"/>
        <w:rPr>
          <w:sz w:val="22"/>
        </w:rPr>
      </w:pPr>
    </w:p>
    <w:p>
      <w:pPr>
        <w:pStyle w:val="Heading3"/>
      </w:pPr>
      <w:r>
        <w:rPr>
          <w:w w:val="90"/>
        </w:rPr>
        <w:t>（</w:t>
      </w:r>
      <w:r>
        <w:rPr>
          <w:w w:val="90"/>
        </w:rPr>
        <w:t>一</w:t>
      </w:r>
      <w:r>
        <w:rPr>
          <w:w w:val="90"/>
        </w:rPr>
        <w:t>百</w:t>
      </w:r>
      <w:r>
        <w:rPr>
          <w:w w:val="90"/>
        </w:rPr>
        <w:t>）Brugada</w:t>
      </w:r>
      <w:r>
        <w:rPr>
          <w:spacing w:val="49"/>
        </w:rPr>
        <w:t> </w:t>
      </w:r>
      <w:r>
        <w:rPr>
          <w:w w:val="90"/>
        </w:rPr>
        <w:t>综</w:t>
      </w:r>
      <w:r>
        <w:rPr>
          <w:w w:val="90"/>
        </w:rPr>
        <w:t>合</w:t>
      </w:r>
      <w:r>
        <w:rPr>
          <w:spacing w:val="-10"/>
          <w:w w:val="90"/>
        </w:rPr>
        <w:t>征</w:t>
      </w:r>
    </w:p>
    <w:p>
      <w:pPr>
        <w:pStyle w:val="BodyText"/>
        <w:spacing w:line="278" w:lineRule="auto"/>
        <w:ind w:left="2569" w:right="344"/>
      </w:pPr>
      <w:r>
        <w:rPr>
          <w:spacing w:val="-2"/>
        </w:rPr>
        <w:t>指由心脏专科医生诊断为夜间呼吸骤停（Brugada）综合征，且满足下列全部条</w:t>
      </w:r>
      <w:r>
        <w:rPr>
          <w:spacing w:val="-6"/>
        </w:rPr>
        <w:t>件：</w:t>
      </w:r>
    </w:p>
    <w:p>
      <w:pPr>
        <w:pStyle w:val="ListParagraph"/>
        <w:numPr>
          <w:ilvl w:val="0"/>
          <w:numId w:val="57"/>
        </w:numPr>
        <w:tabs>
          <w:tab w:pos="3099" w:val="left" w:leader="none"/>
        </w:tabs>
        <w:spacing w:line="248" w:lineRule="exact" w:before="0" w:after="0"/>
        <w:ind w:left="3098" w:right="0" w:hanging="530"/>
        <w:jc w:val="left"/>
        <w:rPr>
          <w:sz w:val="21"/>
        </w:rPr>
      </w:pPr>
      <w:r>
        <w:rPr>
          <w:spacing w:val="-3"/>
          <w:sz w:val="21"/>
        </w:rPr>
        <w:t>有晕厥或心脏骤停病史，并提供完整的诊疗记录；</w:t>
      </w:r>
    </w:p>
    <w:p>
      <w:pPr>
        <w:spacing w:line="31" w:lineRule="exact" w:before="0"/>
        <w:ind w:left="2819" w:right="0" w:firstLine="0"/>
        <w:jc w:val="left"/>
        <w:rPr>
          <w:sz w:val="4"/>
        </w:rPr>
      </w:pPr>
      <w:r>
        <w:rPr>
          <w:w w:val="72"/>
          <w:sz w:val="4"/>
        </w:rPr>
        <w:t>●</w:t>
      </w:r>
    </w:p>
    <w:p>
      <w:pPr>
        <w:pStyle w:val="ListParagraph"/>
        <w:numPr>
          <w:ilvl w:val="0"/>
          <w:numId w:val="57"/>
        </w:numPr>
        <w:tabs>
          <w:tab w:pos="3099" w:val="left" w:leader="none"/>
        </w:tabs>
        <w:spacing w:line="240" w:lineRule="auto" w:before="29" w:after="0"/>
        <w:ind w:left="3098" w:right="0" w:hanging="530"/>
        <w:jc w:val="left"/>
        <w:rPr>
          <w:sz w:val="21"/>
        </w:rPr>
      </w:pPr>
      <w:r>
        <w:rPr>
          <w:spacing w:val="-2"/>
          <w:sz w:val="21"/>
        </w:rPr>
        <w:t>心电图有典型的Ⅰ型 </w:t>
      </w:r>
      <w:r>
        <w:rPr>
          <w:sz w:val="21"/>
        </w:rPr>
        <w:t>Brugada</w:t>
      </w:r>
      <w:r>
        <w:rPr>
          <w:spacing w:val="-22"/>
          <w:sz w:val="21"/>
        </w:rPr>
        <w:t> 波；</w:t>
      </w:r>
    </w:p>
    <w:p>
      <w:pPr>
        <w:pStyle w:val="ListParagraph"/>
        <w:numPr>
          <w:ilvl w:val="0"/>
          <w:numId w:val="57"/>
        </w:numPr>
        <w:tabs>
          <w:tab w:pos="3099" w:val="left" w:leader="none"/>
        </w:tabs>
        <w:spacing w:line="240" w:lineRule="auto" w:before="43" w:after="0"/>
        <w:ind w:left="3098" w:right="0" w:hanging="530"/>
        <w:jc w:val="left"/>
        <w:rPr>
          <w:sz w:val="21"/>
        </w:rPr>
      </w:pPr>
      <w:r>
        <w:rPr>
          <w:spacing w:val="-3"/>
          <w:sz w:val="21"/>
        </w:rPr>
        <w:t>已经安装了永久性心脏除颤器。</w:t>
      </w:r>
    </w:p>
    <w:p>
      <w:pPr>
        <w:pStyle w:val="BodyText"/>
        <w:spacing w:before="6"/>
        <w:rPr>
          <w:sz w:val="22"/>
        </w:rPr>
      </w:pPr>
    </w:p>
    <w:p>
      <w:pPr>
        <w:pStyle w:val="Heading3"/>
        <w:spacing w:line="320" w:lineRule="exact"/>
      </w:pPr>
      <w:r>
        <w:rPr/>
        <w:t>（一百零一）</w:t>
      </w:r>
      <w:r>
        <w:rPr>
          <w:spacing w:val="-2"/>
        </w:rPr>
        <w:t>脊髓内肿瘤</w:t>
      </w:r>
    </w:p>
    <w:p>
      <w:pPr>
        <w:spacing w:line="26" w:lineRule="exact" w:before="0"/>
        <w:ind w:left="2607" w:right="0" w:firstLine="0"/>
        <w:jc w:val="left"/>
        <w:rPr>
          <w:sz w:val="4"/>
        </w:rPr>
      </w:pPr>
      <w:r>
        <w:rPr>
          <w:w w:val="72"/>
          <w:sz w:val="4"/>
        </w:rPr>
        <w:t>●</w:t>
      </w:r>
    </w:p>
    <w:p>
      <w:pPr>
        <w:pStyle w:val="BodyText"/>
        <w:spacing w:before="33"/>
        <w:ind w:left="2569"/>
      </w:pPr>
      <w:r>
        <w:rPr>
          <w:spacing w:val="-3"/>
        </w:rPr>
        <w:t>指脊髓内良性肿瘤，肿瘤造成脊髓损害导致瘫痪。须满足下列所有条件：</w:t>
      </w:r>
    </w:p>
    <w:p>
      <w:pPr>
        <w:pStyle w:val="ListParagraph"/>
        <w:numPr>
          <w:ilvl w:val="0"/>
          <w:numId w:val="58"/>
        </w:numPr>
        <w:tabs>
          <w:tab w:pos="3099" w:val="left" w:leader="none"/>
        </w:tabs>
        <w:spacing w:line="240" w:lineRule="auto" w:before="43" w:after="0"/>
        <w:ind w:left="3098" w:right="0" w:hanging="530"/>
        <w:jc w:val="left"/>
        <w:rPr>
          <w:sz w:val="21"/>
        </w:rPr>
      </w:pPr>
      <w:r>
        <w:rPr>
          <w:spacing w:val="-3"/>
          <w:sz w:val="21"/>
        </w:rPr>
        <w:t>被保险人实际接受了肿瘤切除的手术治疗；</w:t>
      </w:r>
    </w:p>
    <w:p>
      <w:pPr>
        <w:pStyle w:val="ListParagraph"/>
        <w:numPr>
          <w:ilvl w:val="0"/>
          <w:numId w:val="58"/>
        </w:numPr>
        <w:tabs>
          <w:tab w:pos="3099" w:val="left" w:leader="none"/>
        </w:tabs>
        <w:spacing w:line="278" w:lineRule="auto" w:before="42" w:after="0"/>
        <w:ind w:left="2569" w:right="344" w:firstLine="0"/>
        <w:jc w:val="left"/>
        <w:rPr>
          <w:sz w:val="21"/>
        </w:rPr>
      </w:pPr>
      <w:r>
        <w:rPr>
          <w:spacing w:val="-14"/>
          <w:sz w:val="21"/>
        </w:rPr>
        <w:t>手术 </w:t>
      </w:r>
      <w:r>
        <w:rPr>
          <w:spacing w:val="-2"/>
          <w:sz w:val="21"/>
        </w:rPr>
        <w:t>180</w:t>
      </w:r>
      <w:r>
        <w:rPr>
          <w:spacing w:val="-8"/>
          <w:sz w:val="21"/>
        </w:rPr>
        <w:t> 天后遗留下列神经系统损害，无法独立完成下列基本日常生活活</w:t>
      </w:r>
      <w:r>
        <w:rPr>
          <w:spacing w:val="-4"/>
          <w:sz w:val="21"/>
        </w:rPr>
        <w:t>动之一：</w:t>
      </w:r>
    </w:p>
    <w:p>
      <w:pPr>
        <w:pStyle w:val="BodyText"/>
        <w:spacing w:line="269" w:lineRule="exact"/>
        <w:ind w:left="3068"/>
      </w:pPr>
      <w:r>
        <w:rPr>
          <w:spacing w:val="-3"/>
        </w:rPr>
        <w:t>①移动：自己从一个房间到另一个房间；</w:t>
      </w:r>
    </w:p>
    <w:p>
      <w:pPr>
        <w:pStyle w:val="BodyText"/>
        <w:spacing w:before="43"/>
        <w:ind w:left="3068"/>
      </w:pPr>
      <w:r>
        <w:rPr>
          <w:spacing w:val="-3"/>
        </w:rPr>
        <w:t>②进食：自己从已准备好的碗或碟中取食物放入口中。</w:t>
      </w:r>
    </w:p>
    <w:p>
      <w:pPr>
        <w:pStyle w:val="BodyText"/>
        <w:spacing w:before="43"/>
        <w:ind w:left="2569"/>
      </w:pPr>
      <w:r>
        <w:rPr>
          <w:spacing w:val="-3"/>
        </w:rPr>
        <w:t>非脊髓内的其他椎管内肿瘤、脊柱肿瘤、神经纤维瘤不在保障范围内。</w:t>
      </w:r>
    </w:p>
    <w:p>
      <w:pPr>
        <w:pStyle w:val="BodyText"/>
        <w:spacing w:before="6"/>
        <w:rPr>
          <w:sz w:val="22"/>
        </w:rPr>
      </w:pPr>
    </w:p>
    <w:p>
      <w:pPr>
        <w:pStyle w:val="Heading3"/>
      </w:pPr>
      <w:r>
        <w:rPr/>
        <w:t>（一百零二）</w:t>
      </w:r>
      <w:r>
        <w:rPr>
          <w:spacing w:val="-2"/>
        </w:rPr>
        <w:t>严重席汉氏综合征</w:t>
      </w:r>
    </w:p>
    <w:p>
      <w:pPr>
        <w:pStyle w:val="BodyText"/>
        <w:spacing w:line="278" w:lineRule="auto"/>
        <w:ind w:left="2569" w:right="301"/>
        <w:jc w:val="both"/>
      </w:pPr>
      <w:r>
        <w:rPr>
          <w:spacing w:val="-2"/>
        </w:rPr>
        <w:t>指因产后大出血并发休克、全身循环衰竭、弥漫性血管内凝血导致脑垂体缺血坏</w:t>
      </w:r>
      <w:r>
        <w:rPr>
          <w:spacing w:val="-2"/>
        </w:rPr>
        <w:t>死和垂体分泌激素不足，造成性腺、甲状腺、肾上腺皮质功能减退。必须满足下</w:t>
      </w:r>
      <w:r>
        <w:rPr>
          <w:spacing w:val="-2"/>
        </w:rPr>
        <w:t>列所有条件：</w:t>
      </w:r>
    </w:p>
    <w:p>
      <w:pPr>
        <w:pStyle w:val="ListParagraph"/>
        <w:numPr>
          <w:ilvl w:val="0"/>
          <w:numId w:val="59"/>
        </w:numPr>
        <w:tabs>
          <w:tab w:pos="3099" w:val="left" w:leader="none"/>
        </w:tabs>
        <w:spacing w:line="269" w:lineRule="exact" w:before="0" w:after="0"/>
        <w:ind w:left="3098" w:right="0" w:hanging="530"/>
        <w:jc w:val="left"/>
        <w:rPr>
          <w:sz w:val="21"/>
        </w:rPr>
      </w:pPr>
      <w:r>
        <w:rPr>
          <w:spacing w:val="-3"/>
          <w:sz w:val="21"/>
        </w:rPr>
        <w:t>产后大出血休克病史；</w:t>
      </w:r>
    </w:p>
    <w:p>
      <w:pPr>
        <w:pStyle w:val="ListParagraph"/>
        <w:numPr>
          <w:ilvl w:val="0"/>
          <w:numId w:val="59"/>
        </w:numPr>
        <w:tabs>
          <w:tab w:pos="3099" w:val="left" w:leader="none"/>
        </w:tabs>
        <w:spacing w:line="240" w:lineRule="auto" w:before="39" w:after="0"/>
        <w:ind w:left="3098" w:right="0" w:hanging="530"/>
        <w:jc w:val="left"/>
        <w:rPr>
          <w:sz w:val="21"/>
        </w:rPr>
      </w:pPr>
      <w:r>
        <w:rPr>
          <w:spacing w:val="-2"/>
          <w:sz w:val="21"/>
        </w:rPr>
        <w:t>严重腺垂体功能破坏，破坏程度&gt;95%；</w:t>
      </w:r>
    </w:p>
    <w:p>
      <w:pPr>
        <w:pStyle w:val="ListParagraph"/>
        <w:numPr>
          <w:ilvl w:val="0"/>
          <w:numId w:val="59"/>
        </w:numPr>
        <w:tabs>
          <w:tab w:pos="3099" w:val="left" w:leader="none"/>
        </w:tabs>
        <w:spacing w:line="240" w:lineRule="auto" w:before="43" w:after="0"/>
        <w:ind w:left="3098" w:right="0" w:hanging="530"/>
        <w:jc w:val="left"/>
        <w:rPr>
          <w:sz w:val="21"/>
        </w:rPr>
      </w:pPr>
      <w:r>
        <w:rPr>
          <w:spacing w:val="-3"/>
          <w:sz w:val="21"/>
        </w:rPr>
        <w:t>影像学检查显示脑垂体严重萎缩或消失；</w:t>
      </w:r>
    </w:p>
    <w:p>
      <w:pPr>
        <w:pStyle w:val="ListParagraph"/>
        <w:numPr>
          <w:ilvl w:val="0"/>
          <w:numId w:val="59"/>
        </w:numPr>
        <w:tabs>
          <w:tab w:pos="3099" w:val="left" w:leader="none"/>
        </w:tabs>
        <w:spacing w:line="240" w:lineRule="auto" w:before="43" w:after="0"/>
        <w:ind w:left="3098" w:right="0" w:hanging="530"/>
        <w:jc w:val="left"/>
        <w:rPr>
          <w:sz w:val="21"/>
        </w:rPr>
      </w:pPr>
      <w:r>
        <w:rPr>
          <w:spacing w:val="-4"/>
          <w:sz w:val="21"/>
        </w:rPr>
        <w:t>实验室检查显示：</w:t>
      </w:r>
    </w:p>
    <w:p>
      <w:pPr>
        <w:pStyle w:val="BodyText"/>
        <w:spacing w:before="43"/>
        <w:ind w:left="3068"/>
      </w:pPr>
      <w:r>
        <w:rPr>
          <w:spacing w:val="-4"/>
        </w:rPr>
        <w:t>① 垂体前叶激素全面低下；和</w:t>
      </w:r>
    </w:p>
    <w:p>
      <w:pPr>
        <w:pStyle w:val="BodyText"/>
        <w:spacing w:line="278" w:lineRule="auto" w:before="42"/>
        <w:ind w:left="2569" w:right="301" w:firstLine="499"/>
      </w:pPr>
      <w:r>
        <w:rPr>
          <w:spacing w:val="-2"/>
        </w:rPr>
        <w:t>② 性激素、甲状腺素、肾上腺皮质激素全面低下（包括生长激素、促甲状</w:t>
      </w:r>
      <w:r>
        <w:rPr>
          <w:spacing w:val="-2"/>
        </w:rPr>
        <w:t>腺素、促肾上腺皮质激素、卵泡刺激素和黄体生成素</w:t>
      </w:r>
      <w:r>
        <w:rPr>
          <w:spacing w:val="-106"/>
        </w:rPr>
        <w:t>）</w:t>
      </w:r>
      <w:r>
        <w:rPr/>
        <w:t>；</w:t>
      </w:r>
    </w:p>
    <w:p>
      <w:pPr>
        <w:pStyle w:val="ListParagraph"/>
        <w:numPr>
          <w:ilvl w:val="0"/>
          <w:numId w:val="59"/>
        </w:numPr>
        <w:tabs>
          <w:tab w:pos="3099" w:val="left" w:leader="none"/>
        </w:tabs>
        <w:spacing w:line="278" w:lineRule="auto" w:before="0" w:after="0"/>
        <w:ind w:left="2569" w:right="195" w:firstLine="0"/>
        <w:jc w:val="left"/>
        <w:rPr>
          <w:sz w:val="21"/>
        </w:rPr>
      </w:pPr>
      <w:r>
        <w:rPr>
          <w:spacing w:val="-6"/>
          <w:w w:val="100"/>
          <w:sz w:val="21"/>
        </w:rPr>
        <w:t>需要终身激素替代治疗以维持身体功能，持续服用各种替代激素超过一年</w:t>
      </w:r>
      <w:r>
        <w:rPr>
          <w:spacing w:val="-15"/>
          <w:w w:val="100"/>
          <w:sz w:val="21"/>
        </w:rPr>
        <w:t>。</w:t>
      </w:r>
      <w:r>
        <w:rPr>
          <w:color w:val="000000"/>
          <w:spacing w:val="-5"/>
          <w:w w:val="100"/>
          <w:sz w:val="21"/>
          <w:shd w:fill="D9D9D9" w:color="auto" w:val="clear"/>
        </w:rPr>
        <w:t>垂体功能部分低下及其他原因所致垂体功能低下不在保障范围之内。</w:t>
      </w:r>
    </w:p>
    <w:p>
      <w:pPr>
        <w:spacing w:after="0" w:line="278" w:lineRule="auto"/>
        <w:jc w:val="left"/>
        <w:rPr>
          <w:sz w:val="21"/>
        </w:rPr>
        <w:sectPr>
          <w:pgSz w:w="11910" w:h="16840"/>
          <w:pgMar w:top="1080" w:bottom="280" w:left="920" w:right="820"/>
        </w:sectPr>
      </w:pPr>
    </w:p>
    <w:p>
      <w:pPr>
        <w:pStyle w:val="Heading3"/>
        <w:spacing w:line="376" w:lineRule="exact"/>
      </w:pPr>
      <w:r>
        <w:rPr>
          <w:spacing w:val="-2"/>
        </w:rPr>
        <w:t>（一百零三）</w:t>
      </w:r>
      <w:r>
        <w:rPr>
          <w:spacing w:val="-3"/>
        </w:rPr>
        <w:t>败血症导致的多器官功能障碍综合症</w:t>
      </w:r>
    </w:p>
    <w:p>
      <w:pPr>
        <w:pStyle w:val="BodyText"/>
        <w:spacing w:line="278" w:lineRule="auto"/>
        <w:ind w:left="2569" w:right="301"/>
      </w:pPr>
      <w:r>
        <w:rPr>
          <w:spacing w:val="-2"/>
        </w:rPr>
        <w:t>多器官功能障碍指败血症导致的并发症，一个或多个器官系统生理功能障碍，因</w:t>
      </w:r>
      <w:r>
        <w:rPr>
          <w:spacing w:val="-3"/>
        </w:rPr>
        <w:t>该疾病住院至少 </w:t>
      </w:r>
      <w:r>
        <w:rPr/>
        <w:t>96</w:t>
      </w:r>
      <w:r>
        <w:rPr>
          <w:spacing w:val="-5"/>
        </w:rPr>
        <w:t> 小时，并至少满足以下一条标准：</w:t>
      </w:r>
    </w:p>
    <w:p>
      <w:pPr>
        <w:pStyle w:val="ListParagraph"/>
        <w:numPr>
          <w:ilvl w:val="0"/>
          <w:numId w:val="60"/>
        </w:numPr>
        <w:tabs>
          <w:tab w:pos="3099" w:val="left" w:leader="none"/>
        </w:tabs>
        <w:spacing w:line="269" w:lineRule="exact" w:before="0" w:after="0"/>
        <w:ind w:left="3098" w:right="0" w:hanging="530"/>
        <w:jc w:val="left"/>
        <w:rPr>
          <w:sz w:val="21"/>
        </w:rPr>
      </w:pPr>
      <w:r>
        <w:rPr>
          <w:spacing w:val="-3"/>
          <w:sz w:val="21"/>
        </w:rPr>
        <w:t>呼吸衰竭，需要进行气管插管机械通气；</w:t>
      </w:r>
    </w:p>
    <w:p>
      <w:pPr>
        <w:pStyle w:val="ListParagraph"/>
        <w:numPr>
          <w:ilvl w:val="0"/>
          <w:numId w:val="60"/>
        </w:numPr>
        <w:tabs>
          <w:tab w:pos="3099" w:val="left" w:leader="none"/>
        </w:tabs>
        <w:spacing w:line="240" w:lineRule="auto" w:before="39" w:after="0"/>
        <w:ind w:left="3098" w:right="0" w:hanging="530"/>
        <w:jc w:val="left"/>
        <w:rPr>
          <w:sz w:val="21"/>
        </w:rPr>
      </w:pPr>
      <w:r>
        <w:rPr>
          <w:spacing w:val="-2"/>
          <w:sz w:val="21"/>
        </w:rPr>
        <w:t>凝血血小板计数&lt;50×10³</w:t>
      </w:r>
      <w:r>
        <w:rPr>
          <w:spacing w:val="-4"/>
          <w:sz w:val="21"/>
        </w:rPr>
        <w:t>/微升；</w:t>
      </w:r>
    </w:p>
    <w:p>
      <w:pPr>
        <w:pStyle w:val="ListParagraph"/>
        <w:numPr>
          <w:ilvl w:val="0"/>
          <w:numId w:val="60"/>
        </w:numPr>
        <w:tabs>
          <w:tab w:pos="3099" w:val="left" w:leader="none"/>
        </w:tabs>
        <w:spacing w:line="240" w:lineRule="auto" w:before="42" w:after="0"/>
        <w:ind w:left="3098" w:right="0" w:hanging="530"/>
        <w:jc w:val="left"/>
        <w:rPr>
          <w:sz w:val="21"/>
        </w:rPr>
      </w:pPr>
      <w:r>
        <w:rPr>
          <w:spacing w:val="-1"/>
          <w:sz w:val="21"/>
        </w:rPr>
        <w:t>肝功能不全，胆红素&gt; </w:t>
      </w:r>
      <w:r>
        <w:rPr>
          <w:sz w:val="21"/>
        </w:rPr>
        <w:t>6mg/</w:t>
      </w:r>
      <w:r>
        <w:rPr>
          <w:spacing w:val="-6"/>
          <w:sz w:val="21"/>
        </w:rPr>
        <w:t> </w:t>
      </w:r>
      <w:r>
        <w:rPr>
          <w:sz w:val="21"/>
        </w:rPr>
        <w:t>dl</w:t>
      </w:r>
      <w:r>
        <w:rPr>
          <w:spacing w:val="-15"/>
          <w:sz w:val="21"/>
        </w:rPr>
        <w:t> 或&gt; </w:t>
      </w:r>
      <w:r>
        <w:rPr>
          <w:spacing w:val="-2"/>
          <w:sz w:val="21"/>
        </w:rPr>
        <w:t>102µmol/L；</w:t>
      </w:r>
    </w:p>
    <w:p>
      <w:pPr>
        <w:pStyle w:val="ListParagraph"/>
        <w:numPr>
          <w:ilvl w:val="0"/>
          <w:numId w:val="60"/>
        </w:numPr>
        <w:tabs>
          <w:tab w:pos="3099" w:val="left" w:leader="none"/>
        </w:tabs>
        <w:spacing w:line="240" w:lineRule="auto" w:before="43" w:after="0"/>
        <w:ind w:left="3098" w:right="0" w:hanging="530"/>
        <w:jc w:val="left"/>
        <w:rPr>
          <w:sz w:val="21"/>
        </w:rPr>
      </w:pPr>
      <w:r>
        <w:rPr>
          <w:spacing w:val="-4"/>
          <w:sz w:val="21"/>
        </w:rPr>
        <w:t>需要用强心剂；</w:t>
      </w:r>
    </w:p>
    <w:p>
      <w:pPr>
        <w:pStyle w:val="ListParagraph"/>
        <w:numPr>
          <w:ilvl w:val="0"/>
          <w:numId w:val="60"/>
        </w:numPr>
        <w:tabs>
          <w:tab w:pos="3099" w:val="left" w:leader="none"/>
        </w:tabs>
        <w:spacing w:line="240" w:lineRule="auto" w:before="43" w:after="0"/>
        <w:ind w:left="3098" w:right="0" w:hanging="530"/>
        <w:jc w:val="left"/>
        <w:rPr>
          <w:sz w:val="21"/>
        </w:rPr>
      </w:pPr>
      <w:r>
        <w:rPr>
          <w:sz w:val="21"/>
        </w:rPr>
        <w:t>昏迷格拉斯哥昏迷评分（GCS）≤</w:t>
      </w:r>
      <w:r>
        <w:rPr>
          <w:spacing w:val="-20"/>
          <w:sz w:val="21"/>
        </w:rPr>
        <w:t> </w:t>
      </w:r>
      <w:r>
        <w:rPr>
          <w:spacing w:val="-5"/>
          <w:sz w:val="21"/>
        </w:rPr>
        <w:t>9；</w:t>
      </w:r>
    </w:p>
    <w:p>
      <w:pPr>
        <w:pStyle w:val="ListParagraph"/>
        <w:numPr>
          <w:ilvl w:val="0"/>
          <w:numId w:val="60"/>
        </w:numPr>
        <w:tabs>
          <w:tab w:pos="3099" w:val="left" w:leader="none"/>
        </w:tabs>
        <w:spacing w:line="240" w:lineRule="auto" w:before="43" w:after="0"/>
        <w:ind w:left="3098" w:right="0" w:hanging="530"/>
        <w:jc w:val="left"/>
        <w:rPr>
          <w:sz w:val="21"/>
        </w:rPr>
      </w:pPr>
      <w:r>
        <w:rPr>
          <w:sz w:val="21"/>
        </w:rPr>
        <w:t>肾功能衰竭，血清肌酐&gt;300µmol/</w:t>
      </w:r>
      <w:r>
        <w:rPr>
          <w:spacing w:val="-21"/>
          <w:sz w:val="21"/>
        </w:rPr>
        <w:t> </w:t>
      </w:r>
      <w:r>
        <w:rPr>
          <w:sz w:val="21"/>
        </w:rPr>
        <w:t>L</w:t>
      </w:r>
      <w:r>
        <w:rPr>
          <w:spacing w:val="-23"/>
          <w:sz w:val="21"/>
        </w:rPr>
        <w:t> 或&gt;为 </w:t>
      </w:r>
      <w:r>
        <w:rPr>
          <w:sz w:val="21"/>
        </w:rPr>
        <w:t>3.5mg</w:t>
      </w:r>
      <w:r>
        <w:rPr>
          <w:spacing w:val="-4"/>
          <w:sz w:val="21"/>
        </w:rPr>
        <w:t> / </w:t>
      </w:r>
      <w:r>
        <w:rPr>
          <w:sz w:val="21"/>
        </w:rPr>
        <w:t>dl</w:t>
      </w:r>
      <w:r>
        <w:rPr>
          <w:spacing w:val="-14"/>
          <w:sz w:val="21"/>
        </w:rPr>
        <w:t> 或尿量</w:t>
      </w:r>
      <w:r>
        <w:rPr>
          <w:spacing w:val="-2"/>
          <w:sz w:val="21"/>
        </w:rPr>
        <w:t>&lt;500ml/d；</w:t>
      </w:r>
    </w:p>
    <w:p>
      <w:pPr>
        <w:pStyle w:val="ListParagraph"/>
        <w:numPr>
          <w:ilvl w:val="0"/>
          <w:numId w:val="60"/>
        </w:numPr>
        <w:tabs>
          <w:tab w:pos="3099" w:val="left" w:leader="none"/>
        </w:tabs>
        <w:spacing w:line="248" w:lineRule="exact" w:before="43" w:after="0"/>
        <w:ind w:left="3098" w:right="0" w:hanging="530"/>
        <w:jc w:val="left"/>
        <w:rPr>
          <w:sz w:val="21"/>
        </w:rPr>
      </w:pPr>
      <w:r>
        <w:rPr>
          <w:spacing w:val="-3"/>
          <w:sz w:val="21"/>
        </w:rPr>
        <w:t>败血症有血液和影像学检查证实；</w:t>
      </w:r>
    </w:p>
    <w:p>
      <w:pPr>
        <w:spacing w:line="31" w:lineRule="exact" w:before="0"/>
        <w:ind w:left="2607" w:right="0" w:firstLine="0"/>
        <w:jc w:val="left"/>
        <w:rPr>
          <w:sz w:val="4"/>
        </w:rPr>
      </w:pPr>
      <w:r>
        <w:rPr>
          <w:w w:val="72"/>
          <w:sz w:val="4"/>
        </w:rPr>
        <w:t>●</w:t>
      </w:r>
    </w:p>
    <w:p>
      <w:pPr>
        <w:pStyle w:val="ListParagraph"/>
        <w:numPr>
          <w:ilvl w:val="0"/>
          <w:numId w:val="60"/>
        </w:numPr>
        <w:tabs>
          <w:tab w:pos="3099" w:val="left" w:leader="none"/>
        </w:tabs>
        <w:spacing w:line="240" w:lineRule="auto" w:before="33" w:after="0"/>
        <w:ind w:left="3098" w:right="0" w:hanging="530"/>
        <w:jc w:val="left"/>
        <w:rPr>
          <w:sz w:val="21"/>
        </w:rPr>
      </w:pPr>
      <w:r>
        <w:rPr>
          <w:spacing w:val="-7"/>
          <w:sz w:val="21"/>
        </w:rPr>
        <w:t>住院重症监护病房最低 </w:t>
      </w:r>
      <w:r>
        <w:rPr>
          <w:spacing w:val="-2"/>
          <w:sz w:val="21"/>
        </w:rPr>
        <w:t>96</w:t>
      </w:r>
      <w:r>
        <w:rPr>
          <w:spacing w:val="-16"/>
          <w:sz w:val="21"/>
        </w:rPr>
        <w:t> 小时；</w:t>
      </w:r>
    </w:p>
    <w:p>
      <w:pPr>
        <w:pStyle w:val="ListParagraph"/>
        <w:numPr>
          <w:ilvl w:val="0"/>
          <w:numId w:val="60"/>
        </w:numPr>
        <w:tabs>
          <w:tab w:pos="3099" w:val="left" w:leader="none"/>
        </w:tabs>
        <w:spacing w:line="240" w:lineRule="auto" w:before="43" w:after="0"/>
        <w:ind w:left="3098" w:right="0" w:hanging="530"/>
        <w:jc w:val="left"/>
        <w:rPr>
          <w:sz w:val="21"/>
        </w:rPr>
      </w:pPr>
      <w:r>
        <w:rPr>
          <w:spacing w:val="-7"/>
          <w:sz w:val="21"/>
        </w:rPr>
        <w:t>器官功能障碍维持至少 </w:t>
      </w:r>
      <w:r>
        <w:rPr>
          <w:spacing w:val="-2"/>
          <w:sz w:val="21"/>
        </w:rPr>
        <w:t>15</w:t>
      </w:r>
      <w:r>
        <w:rPr>
          <w:spacing w:val="-20"/>
          <w:sz w:val="21"/>
        </w:rPr>
        <w:t> 天。</w:t>
      </w:r>
    </w:p>
    <w:p>
      <w:pPr>
        <w:pStyle w:val="BodyText"/>
        <w:spacing w:line="278" w:lineRule="auto" w:before="43"/>
        <w:ind w:left="2569" w:right="1707"/>
      </w:pPr>
      <w:r>
        <w:rPr>
          <w:spacing w:val="-2"/>
        </w:rPr>
        <w:t>败血症引起的多器官功能障碍综合症的诊断应由专科医生证实。</w:t>
      </w:r>
      <w:r>
        <w:rPr>
          <w:color w:val="000000"/>
          <w:spacing w:val="-2"/>
          <w:shd w:fill="D9D9D9" w:color="auto" w:val="clear"/>
        </w:rPr>
        <w:t>非败血症引起的多器官功能障碍综合症不在保障范围内。</w:t>
      </w:r>
    </w:p>
    <w:p>
      <w:pPr>
        <w:pStyle w:val="BodyText"/>
        <w:spacing w:before="1"/>
        <w:rPr>
          <w:sz w:val="19"/>
        </w:rPr>
      </w:pPr>
    </w:p>
    <w:p>
      <w:pPr>
        <w:pStyle w:val="Heading3"/>
        <w:spacing w:before="1"/>
      </w:pPr>
      <w:r>
        <w:rPr/>
        <w:t>（一百零四）</w:t>
      </w:r>
      <w:r>
        <w:rPr>
          <w:spacing w:val="-2"/>
        </w:rPr>
        <w:t>严重瑞氏综合征</w:t>
      </w:r>
    </w:p>
    <w:p>
      <w:pPr>
        <w:pStyle w:val="BodyText"/>
        <w:spacing w:line="278" w:lineRule="auto"/>
        <w:ind w:left="2569" w:right="301"/>
        <w:jc w:val="both"/>
      </w:pPr>
      <w:r>
        <w:rPr>
          <w:spacing w:val="-2"/>
        </w:rPr>
        <w:t>瑞氏综合征是线粒体功能障碍性疾病。导致脂肪代谢障碍，引起短链脂肪酸、血</w:t>
      </w:r>
      <w:r>
        <w:rPr>
          <w:spacing w:val="-2"/>
        </w:rPr>
        <w:t>氨升高，造成脑水肿。主要临床表现为急性发热、反复呕吐、惊厥及意识障碍等</w:t>
      </w:r>
      <w:r>
        <w:rPr>
          <w:spacing w:val="-6"/>
        </w:rPr>
        <w:t>等。</w:t>
      </w:r>
    </w:p>
    <w:p>
      <w:pPr>
        <w:pStyle w:val="BodyText"/>
        <w:spacing w:line="248" w:lineRule="exact"/>
        <w:ind w:left="2569"/>
      </w:pPr>
      <w:r>
        <w:rPr>
          <w:spacing w:val="-5"/>
        </w:rPr>
        <w:t>肝脏活检是确诊的重要手段。瑞氏综合征需由三级医院的儿科专科医生确诊，并</w:t>
      </w:r>
    </w:p>
    <w:p>
      <w:pPr>
        <w:spacing w:line="31" w:lineRule="exact" w:before="0"/>
        <w:ind w:left="2819" w:right="0" w:firstLine="0"/>
        <w:jc w:val="left"/>
        <w:rPr>
          <w:sz w:val="4"/>
        </w:rPr>
      </w:pPr>
      <w:r>
        <w:rPr>
          <w:w w:val="72"/>
          <w:sz w:val="4"/>
        </w:rPr>
        <w:t>●</w:t>
      </w:r>
    </w:p>
    <w:p>
      <w:pPr>
        <w:pStyle w:val="BodyText"/>
        <w:spacing w:before="29"/>
        <w:ind w:left="2569"/>
      </w:pPr>
      <w:r>
        <w:rPr>
          <w:spacing w:val="-3"/>
        </w:rPr>
        <w:t>符合下列所有条件：</w:t>
      </w:r>
    </w:p>
    <w:p>
      <w:pPr>
        <w:pStyle w:val="ListParagraph"/>
        <w:numPr>
          <w:ilvl w:val="0"/>
          <w:numId w:val="61"/>
        </w:numPr>
        <w:tabs>
          <w:tab w:pos="3099" w:val="left" w:leader="none"/>
        </w:tabs>
        <w:spacing w:line="240" w:lineRule="auto" w:before="42" w:after="0"/>
        <w:ind w:left="3098" w:right="0" w:hanging="530"/>
        <w:jc w:val="left"/>
        <w:rPr>
          <w:sz w:val="21"/>
        </w:rPr>
      </w:pPr>
      <w:r>
        <w:rPr>
          <w:spacing w:val="-3"/>
          <w:sz w:val="21"/>
        </w:rPr>
        <w:t>有脑水肿和颅内压升高的脑脊液检查和影像学检查证据；</w:t>
      </w:r>
    </w:p>
    <w:p>
      <w:pPr>
        <w:pStyle w:val="ListParagraph"/>
        <w:numPr>
          <w:ilvl w:val="0"/>
          <w:numId w:val="61"/>
        </w:numPr>
        <w:tabs>
          <w:tab w:pos="3099" w:val="left" w:leader="none"/>
        </w:tabs>
        <w:spacing w:line="240" w:lineRule="auto" w:before="43" w:after="0"/>
        <w:ind w:left="3098" w:right="0" w:hanging="530"/>
        <w:jc w:val="left"/>
        <w:rPr>
          <w:sz w:val="21"/>
        </w:rPr>
      </w:pPr>
      <w:r>
        <w:rPr>
          <w:spacing w:val="-8"/>
          <w:sz w:val="21"/>
        </w:rPr>
        <w:t>血氨超过正常值的 </w:t>
      </w:r>
      <w:r>
        <w:rPr>
          <w:spacing w:val="-2"/>
          <w:sz w:val="21"/>
        </w:rPr>
        <w:t>3</w:t>
      </w:r>
      <w:r>
        <w:rPr>
          <w:spacing w:val="-20"/>
          <w:sz w:val="21"/>
        </w:rPr>
        <w:t> 倍；</w:t>
      </w:r>
    </w:p>
    <w:p>
      <w:pPr>
        <w:pStyle w:val="ListParagraph"/>
        <w:numPr>
          <w:ilvl w:val="0"/>
          <w:numId w:val="61"/>
        </w:numPr>
        <w:tabs>
          <w:tab w:pos="3099" w:val="left" w:leader="none"/>
        </w:tabs>
        <w:spacing w:line="240" w:lineRule="auto" w:before="43" w:after="0"/>
        <w:ind w:left="3098" w:right="0" w:hanging="530"/>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6"/>
        <w:rPr>
          <w:sz w:val="22"/>
        </w:rPr>
      </w:pPr>
    </w:p>
    <w:p>
      <w:pPr>
        <w:pStyle w:val="Heading3"/>
      </w:pPr>
      <w:r>
        <w:rPr>
          <w:spacing w:val="-2"/>
        </w:rPr>
        <w:t>（一百零五）侵蚀性葡萄胎（或称恶性葡萄胎</w:t>
      </w:r>
      <w:r>
        <w:rPr>
          <w:spacing w:val="-10"/>
        </w:rPr>
        <w:t>）</w:t>
      </w:r>
    </w:p>
    <w:p>
      <w:pPr>
        <w:pStyle w:val="BodyText"/>
        <w:spacing w:line="278" w:lineRule="auto"/>
        <w:ind w:left="2569" w:right="301"/>
      </w:pPr>
      <w:r>
        <w:rPr>
          <w:w w:val="100"/>
        </w:rPr>
        <w:t>该类疾病是指异常增生的绒毛组织浸润性生长侵入子宫肌层或转移至其他器官</w:t>
      </w:r>
      <w:r>
        <w:rPr>
          <w:spacing w:val="-5"/>
          <w:w w:val="100"/>
        </w:rPr>
        <w:t>或组织的葡萄胎，并已经进行化疗或手术治疗的。</w:t>
      </w:r>
    </w:p>
    <w:p>
      <w:pPr>
        <w:pStyle w:val="BodyText"/>
        <w:spacing w:before="10"/>
        <w:rPr>
          <w:sz w:val="18"/>
        </w:rPr>
      </w:pPr>
    </w:p>
    <w:p>
      <w:pPr>
        <w:pStyle w:val="Heading3"/>
      </w:pPr>
      <w:r>
        <w:rPr>
          <w:w w:val="95"/>
        </w:rPr>
        <w:t>（</w:t>
      </w:r>
      <w:r>
        <w:rPr>
          <w:w w:val="95"/>
        </w:rPr>
        <w:t>一</w:t>
      </w:r>
      <w:r>
        <w:rPr>
          <w:w w:val="95"/>
        </w:rPr>
        <w:t>百</w:t>
      </w:r>
      <w:r>
        <w:rPr>
          <w:w w:val="95"/>
        </w:rPr>
        <w:t>零</w:t>
      </w:r>
      <w:r>
        <w:rPr>
          <w:w w:val="95"/>
        </w:rPr>
        <w:t>六</w:t>
      </w:r>
      <w:r>
        <w:rPr>
          <w:w w:val="95"/>
        </w:rPr>
        <w:t>）Menkes</w:t>
      </w:r>
      <w:r>
        <w:rPr>
          <w:spacing w:val="47"/>
        </w:rPr>
        <w:t> </w:t>
      </w:r>
      <w:r>
        <w:rPr>
          <w:w w:val="95"/>
        </w:rPr>
        <w:t>病</w:t>
      </w:r>
      <w:r>
        <w:rPr>
          <w:w w:val="95"/>
        </w:rPr>
        <w:t>(</w:t>
      </w:r>
      <w:r>
        <w:rPr>
          <w:w w:val="95"/>
        </w:rPr>
        <w:t>门</w:t>
      </w:r>
      <w:r>
        <w:rPr>
          <w:w w:val="95"/>
        </w:rPr>
        <w:t>克</w:t>
      </w:r>
      <w:r>
        <w:rPr>
          <w:w w:val="95"/>
        </w:rPr>
        <w:t>斯</w:t>
      </w:r>
      <w:r>
        <w:rPr>
          <w:w w:val="95"/>
        </w:rPr>
        <w:t>氏</w:t>
      </w:r>
      <w:r>
        <w:rPr>
          <w:w w:val="95"/>
        </w:rPr>
        <w:t>综</w:t>
      </w:r>
      <w:r>
        <w:rPr>
          <w:w w:val="95"/>
        </w:rPr>
        <w:t>合</w:t>
      </w:r>
      <w:r>
        <w:rPr>
          <w:w w:val="95"/>
        </w:rPr>
        <w:t>征</w:t>
      </w:r>
      <w:r>
        <w:rPr>
          <w:spacing w:val="-10"/>
          <w:w w:val="95"/>
        </w:rPr>
        <w:t>)</w:t>
      </w:r>
    </w:p>
    <w:p>
      <w:pPr>
        <w:pStyle w:val="BodyText"/>
        <w:spacing w:line="278" w:lineRule="auto"/>
        <w:ind w:left="2569" w:right="301"/>
        <w:jc w:val="both"/>
      </w:pPr>
      <w:r>
        <w:rPr/>
        <w:t>指由于 ATP7A 基因突变，导致铜在肠膜吸收后，从粘膜细胞向血液转动过程障</w:t>
      </w:r>
      <w:r>
        <w:rPr>
          <w:spacing w:val="-2"/>
        </w:rPr>
        <w:t>碍，使体内铜酶（如赖氨酸氧化酶、酷氨酸酶等）活性降低，引起机体发育和功</w:t>
      </w:r>
      <w:r>
        <w:rPr>
          <w:spacing w:val="-2"/>
        </w:rPr>
        <w:t>能障碍。临床表现为表现为生长发育如抬头、坐、站等的消失或发育停滞、多灶</w:t>
      </w:r>
      <w:r>
        <w:rPr>
          <w:spacing w:val="-2"/>
        </w:rPr>
        <w:t>性癫痫、强直性痉挛、肌阵挛和智力功能障碍。影像学检查显示骨质疏松，骨刺</w:t>
      </w:r>
      <w:r>
        <w:rPr/>
        <w:t>形成；CT</w:t>
      </w:r>
      <w:r>
        <w:rPr>
          <w:spacing w:val="12"/>
        </w:rPr>
        <w:t> 或</w:t>
      </w:r>
      <w:r>
        <w:rPr/>
        <w:t>MRI</w:t>
      </w:r>
      <w:r>
        <w:rPr>
          <w:spacing w:val="-5"/>
        </w:rPr>
        <w:t> 显示大脑、小脑萎缩，可有硬膜下出血。</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80"/>
          <w:w w:val="150"/>
          <w:shd w:fill="D9D9D9" w:color="auto" w:val="clear"/>
        </w:rPr>
        <w:t>                                       </w:t>
      </w:r>
      <w:r>
        <w:rPr>
          <w:color w:val="000000"/>
          <w:spacing w:val="-2"/>
          <w:shd w:fill="D9D9D9" w:color="auto" w:val="clear"/>
        </w:rPr>
        <w:t>形或染色体异常”的限制。</w:t>
      </w:r>
    </w:p>
    <w:p>
      <w:pPr>
        <w:pStyle w:val="BodyText"/>
        <w:spacing w:before="10"/>
        <w:rPr>
          <w:sz w:val="18"/>
        </w:rPr>
      </w:pPr>
    </w:p>
    <w:p>
      <w:pPr>
        <w:pStyle w:val="Heading3"/>
      </w:pPr>
      <w:r>
        <w:rPr>
          <w:w w:val="95"/>
        </w:rPr>
        <w:t>（</w:t>
      </w:r>
      <w:r>
        <w:rPr>
          <w:w w:val="95"/>
        </w:rPr>
        <w:t>一</w:t>
      </w:r>
      <w:r>
        <w:rPr>
          <w:w w:val="95"/>
        </w:rPr>
        <w:t>百</w:t>
      </w:r>
      <w:r>
        <w:rPr>
          <w:w w:val="95"/>
        </w:rPr>
        <w:t>零</w:t>
      </w:r>
      <w:r>
        <w:rPr>
          <w:w w:val="95"/>
        </w:rPr>
        <w:t>七</w:t>
      </w:r>
      <w:r>
        <w:rPr>
          <w:w w:val="95"/>
        </w:rPr>
        <w:t>）</w:t>
      </w:r>
      <w:r>
        <w:rPr>
          <w:w w:val="95"/>
        </w:rPr>
        <w:t>严</w:t>
      </w:r>
      <w:r>
        <w:rPr>
          <w:w w:val="95"/>
        </w:rPr>
        <w:t>重</w:t>
      </w:r>
      <w:r>
        <w:rPr>
          <w:w w:val="95"/>
        </w:rPr>
        <w:t>的</w:t>
      </w:r>
      <w:r>
        <w:rPr>
          <w:w w:val="95"/>
        </w:rPr>
        <w:t>先</w:t>
      </w:r>
      <w:r>
        <w:rPr>
          <w:w w:val="95"/>
        </w:rPr>
        <w:t>天</w:t>
      </w:r>
      <w:r>
        <w:rPr>
          <w:w w:val="95"/>
        </w:rPr>
        <w:t>性</w:t>
      </w:r>
      <w:r>
        <w:rPr>
          <w:spacing w:val="51"/>
        </w:rPr>
        <w:t> </w:t>
      </w:r>
      <w:r>
        <w:rPr>
          <w:w w:val="95"/>
        </w:rPr>
        <w:t>X</w:t>
      </w:r>
      <w:r>
        <w:rPr>
          <w:spacing w:val="51"/>
        </w:rPr>
        <w:t> </w:t>
      </w:r>
      <w:r>
        <w:rPr>
          <w:w w:val="95"/>
        </w:rPr>
        <w:t>因</w:t>
      </w:r>
      <w:r>
        <w:rPr>
          <w:w w:val="95"/>
        </w:rPr>
        <w:t>子</w:t>
      </w:r>
      <w:r>
        <w:rPr>
          <w:w w:val="95"/>
        </w:rPr>
        <w:t>缺</w:t>
      </w:r>
      <w:r>
        <w:rPr>
          <w:spacing w:val="-10"/>
          <w:w w:val="95"/>
        </w:rPr>
        <w:t>乏</w:t>
      </w:r>
    </w:p>
    <w:p>
      <w:pPr>
        <w:pStyle w:val="BodyText"/>
        <w:spacing w:line="278" w:lineRule="auto"/>
        <w:ind w:left="2569" w:right="301"/>
      </w:pPr>
      <w:r>
        <w:rPr>
          <w:spacing w:val="-4"/>
        </w:rPr>
        <w:t>被保险人必须是患上严重凝血因子 </w:t>
      </w:r>
      <w:r>
        <w:rPr/>
        <w:t>X</w:t>
      </w:r>
      <w:r>
        <w:rPr>
          <w:spacing w:val="-18"/>
        </w:rPr>
        <w:t> 缺乏症，而凝血因子 </w:t>
      </w:r>
      <w:r>
        <w:rPr/>
        <w:t>X</w:t>
      </w:r>
      <w:r>
        <w:rPr>
          <w:spacing w:val="-8"/>
        </w:rPr>
        <w:t> 的活性水平少于百分</w:t>
      </w:r>
      <w:r>
        <w:rPr>
          <w:spacing w:val="-2"/>
        </w:rPr>
        <w:t>之一。诊断必须由本公司认可医院的血液病专科医生确认。</w:t>
      </w:r>
    </w:p>
    <w:p>
      <w:pPr>
        <w:pStyle w:val="BodyText"/>
        <w:spacing w:line="278" w:lineRule="auto"/>
        <w:ind w:left="2569" w:right="301"/>
      </w:pPr>
      <w:r>
        <w:rPr>
          <w:color w:val="000000"/>
          <w:spacing w:val="-2"/>
          <w:shd w:fill="D9D9D9" w:color="auto" w:val="clear"/>
        </w:rPr>
        <w:t>本公司承担本项疾病责任不受本合同责任免除中“遗传性疾病，先天性畸形、变</w:t>
      </w:r>
      <w:r>
        <w:rPr>
          <w:color w:val="000000"/>
          <w:spacing w:val="-2"/>
          <w:shd w:fill="D9D9D9" w:color="auto" w:val="clear"/>
        </w:rPr>
        <w:t>形或染色体异常”的限制。</w:t>
      </w:r>
    </w:p>
    <w:p>
      <w:pPr>
        <w:pStyle w:val="BodyText"/>
        <w:spacing w:before="9"/>
        <w:rPr>
          <w:sz w:val="18"/>
        </w:rPr>
      </w:pPr>
    </w:p>
    <w:p>
      <w:pPr>
        <w:pStyle w:val="Heading3"/>
        <w:spacing w:line="320" w:lineRule="exact" w:before="1"/>
      </w:pPr>
      <w:r>
        <w:rPr>
          <w:w w:val="95"/>
        </w:rPr>
        <w:t>（</w:t>
      </w:r>
      <w:r>
        <w:rPr>
          <w:w w:val="95"/>
        </w:rPr>
        <w:t>一</w:t>
      </w:r>
      <w:r>
        <w:rPr>
          <w:w w:val="95"/>
        </w:rPr>
        <w:t>百</w:t>
      </w:r>
      <w:r>
        <w:rPr>
          <w:w w:val="95"/>
        </w:rPr>
        <w:t>零</w:t>
      </w:r>
      <w:r>
        <w:rPr>
          <w:w w:val="95"/>
        </w:rPr>
        <w:t>八</w:t>
      </w:r>
      <w:r>
        <w:rPr>
          <w:w w:val="95"/>
        </w:rPr>
        <w:t>）D</w:t>
      </w:r>
      <w:r>
        <w:rPr>
          <w:spacing w:val="68"/>
        </w:rPr>
        <w:t> </w:t>
      </w:r>
      <w:r>
        <w:rPr>
          <w:w w:val="95"/>
        </w:rPr>
        <w:t>型</w:t>
      </w:r>
      <w:r>
        <w:rPr>
          <w:w w:val="95"/>
        </w:rPr>
        <w:t>尼</w:t>
      </w:r>
      <w:r>
        <w:rPr>
          <w:w w:val="95"/>
        </w:rPr>
        <w:t>曼</w:t>
      </w:r>
      <w:r>
        <w:rPr>
          <w:w w:val="95"/>
        </w:rPr>
        <w:t>-</w:t>
      </w:r>
      <w:r>
        <w:rPr>
          <w:w w:val="95"/>
        </w:rPr>
        <w:t>匹</w:t>
      </w:r>
      <w:r>
        <w:rPr>
          <w:w w:val="95"/>
        </w:rPr>
        <w:t>克</w:t>
      </w:r>
      <w:r>
        <w:rPr>
          <w:spacing w:val="-10"/>
          <w:w w:val="95"/>
        </w:rPr>
        <w:t>病</w:t>
      </w:r>
    </w:p>
    <w:p>
      <w:pPr>
        <w:spacing w:line="26" w:lineRule="exact" w:before="0"/>
        <w:ind w:left="0" w:right="3227" w:firstLine="0"/>
        <w:jc w:val="center"/>
        <w:rPr>
          <w:sz w:val="4"/>
        </w:rPr>
      </w:pPr>
      <w:r>
        <w:rPr>
          <w:w w:val="72"/>
          <w:sz w:val="4"/>
        </w:rPr>
        <w:t>●</w:t>
      </w:r>
    </w:p>
    <w:p>
      <w:pPr>
        <w:pStyle w:val="BodyText"/>
        <w:spacing w:before="33"/>
        <w:ind w:left="2569"/>
      </w:pPr>
      <w:r>
        <w:rPr>
          <w:spacing w:val="-13"/>
        </w:rPr>
        <w:t>特指 </w:t>
      </w:r>
      <w:r>
        <w:rPr>
          <w:spacing w:val="-2"/>
        </w:rPr>
        <w:t>Nova-scotia</w:t>
      </w:r>
      <w:r>
        <w:rPr>
          <w:spacing w:val="-13"/>
        </w:rPr>
        <w:t> 型尼曼匹克氏病，由于神经鞘磷脂酶缺乏致神经鞘磷脂代谢障</w:t>
      </w:r>
    </w:p>
    <w:p>
      <w:pPr>
        <w:spacing w:after="0"/>
        <w:sectPr>
          <w:pgSz w:w="11910" w:h="16840"/>
          <w:pgMar w:top="1080" w:bottom="280" w:left="920" w:right="820"/>
        </w:sectPr>
      </w:pPr>
    </w:p>
    <w:p>
      <w:pPr>
        <w:pStyle w:val="BodyText"/>
        <w:spacing w:line="278" w:lineRule="auto" w:before="59"/>
        <w:ind w:left="2569" w:right="305"/>
      </w:pPr>
      <w:r>
        <w:rPr>
          <w:spacing w:val="-2"/>
        </w:rPr>
        <w:t>碍。导致后者蓄积在单核-巨噬细胞系统内，出现肝、脾肿大，中枢神经系统退</w:t>
      </w:r>
      <w:r>
        <w:rPr>
          <w:spacing w:val="-2"/>
        </w:rPr>
        <w:t>行性变。被保险人有明显黄疸、肝脾肿大和神经症状，智力减退、语言障碍。</w:t>
      </w:r>
    </w:p>
    <w:p>
      <w:pPr>
        <w:pStyle w:val="BodyText"/>
        <w:ind w:left="2569"/>
        <w:rPr>
          <w:sz w:val="20"/>
        </w:rPr>
      </w:pPr>
      <w:r>
        <w:rPr>
          <w:sz w:val="20"/>
        </w:rPr>
        <w:pict>
          <v:shape style="width:364.35pt;height:13.95pt;mso-position-horizontal-relative:char;mso-position-vertical-relative:line" type="#_x0000_t202" id="docshape127"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28"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8"/>
        <w:rPr>
          <w:sz w:val="20"/>
        </w:rPr>
      </w:pPr>
    </w:p>
    <w:p>
      <w:pPr>
        <w:pStyle w:val="Heading3"/>
        <w:spacing w:before="5"/>
      </w:pPr>
      <w:r>
        <w:rPr>
          <w:spacing w:val="-2"/>
        </w:rPr>
        <w:t>（一百零九）</w:t>
      </w:r>
      <w:r>
        <w:rPr>
          <w:spacing w:val="-3"/>
        </w:rPr>
        <w:t>小儿球形细胞脑白质营养不良</w:t>
      </w:r>
    </w:p>
    <w:p>
      <w:pPr>
        <w:pStyle w:val="BodyText"/>
        <w:spacing w:line="278" w:lineRule="auto"/>
        <w:ind w:left="2569" w:right="301"/>
        <w:jc w:val="both"/>
      </w:pPr>
      <w:r>
        <w:rPr>
          <w:spacing w:val="-6"/>
        </w:rPr>
        <w:t>小儿球形细胞脑白质营养不良即球形细胞型白质营养不良</w:t>
      </w:r>
      <w:r>
        <w:rPr>
          <w:spacing w:val="17"/>
        </w:rPr>
        <w:t>（GLD</w:t>
      </w:r>
      <w:r>
        <w:rPr>
          <w:spacing w:val="-89"/>
        </w:rPr>
        <w:t>）</w:t>
      </w:r>
      <w:r>
        <w:rPr>
          <w:spacing w:val="-9"/>
        </w:rPr>
        <w:t>，为常染色体隐</w:t>
      </w:r>
      <w:r>
        <w:rPr>
          <w:spacing w:val="-2"/>
        </w:rPr>
        <w:t>性遗传，是β-半乳糖苷酶的缺乏或其活性减低所致脑脂质沉积病。被保险人有</w:t>
      </w:r>
      <w:r>
        <w:rPr>
          <w:spacing w:val="-2"/>
        </w:rPr>
        <w:t>明显的肌张力增高、四肢伸直、腱反射亢进、有病理反射。智力很快减退，常有</w:t>
      </w:r>
      <w:r>
        <w:rPr>
          <w:spacing w:val="-2"/>
        </w:rPr>
        <w:t>癫痫发作，呈阵挛性或全身性癫痫发作。</w:t>
      </w:r>
    </w:p>
    <w:p>
      <w:pPr>
        <w:pStyle w:val="BodyText"/>
        <w:ind w:left="2569"/>
        <w:rPr>
          <w:sz w:val="20"/>
        </w:rPr>
      </w:pPr>
      <w:r>
        <w:rPr>
          <w:sz w:val="20"/>
        </w:rPr>
        <w:pict>
          <v:shape style="width:364.35pt;height:13.95pt;mso-position-horizontal-relative:char;mso-position-vertical-relative:line" type="#_x0000_t202" id="docshape129"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30"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2"/>
        <w:rPr>
          <w:sz w:val="20"/>
        </w:rPr>
      </w:pPr>
    </w:p>
    <w:p>
      <w:pPr>
        <w:pStyle w:val="Heading3"/>
        <w:spacing w:before="4"/>
      </w:pPr>
      <w:r>
        <w:rPr/>
        <w:t>（一百一十）</w:t>
      </w:r>
      <w:r>
        <w:rPr>
          <w:spacing w:val="-2"/>
        </w:rPr>
        <w:t>热纳综合征</w:t>
      </w:r>
    </w:p>
    <w:p>
      <w:pPr>
        <w:pStyle w:val="BodyText"/>
        <w:spacing w:line="278" w:lineRule="auto"/>
        <w:ind w:left="2569" w:right="301"/>
        <w:jc w:val="both"/>
      </w:pPr>
      <w:r>
        <w:rPr>
          <w:w w:val="100"/>
        </w:rPr>
        <w:t>热纳综合征是一种常染色体隐性遗传病，导致骨骼发育异常同时伴有多器官受</w:t>
      </w:r>
      <w:r>
        <w:rPr>
          <w:spacing w:val="-9"/>
          <w:w w:val="100"/>
        </w:rPr>
        <w:t>累。影像学检查显示存在严重的胸腔狭窄，肋骨短，导致肺部严重发育不良。同</w:t>
      </w:r>
      <w:r>
        <w:rPr>
          <w:spacing w:val="-4"/>
          <w:w w:val="100"/>
        </w:rPr>
        <w:t>时伴有呼吸衰竭：动脉血氧分压</w:t>
      </w:r>
      <w:r>
        <w:rPr>
          <w:w w:val="100"/>
        </w:rPr>
        <w:t>（PaO</w:t>
      </w:r>
      <w:r>
        <w:rPr>
          <w:spacing w:val="-5"/>
          <w:w w:val="100"/>
        </w:rPr>
        <w:t>2</w:t>
      </w:r>
      <w:r>
        <w:rPr>
          <w:w w:val="100"/>
        </w:rPr>
        <w:t>）</w:t>
      </w:r>
      <w:r>
        <w:rPr>
          <w:spacing w:val="-3"/>
          <w:w w:val="100"/>
        </w:rPr>
        <w:t>低于</w:t>
      </w:r>
      <w:r>
        <w:rPr>
          <w:spacing w:val="-53"/>
        </w:rPr>
        <w:t> </w:t>
      </w:r>
      <w:r>
        <w:rPr>
          <w:w w:val="100"/>
        </w:rPr>
        <w:t>8kP</w:t>
      </w:r>
      <w:r>
        <w:rPr>
          <w:spacing w:val="-5"/>
          <w:w w:val="100"/>
        </w:rPr>
        <w:t>a（</w:t>
      </w:r>
      <w:r>
        <w:rPr>
          <w:w w:val="100"/>
        </w:rPr>
        <w:t>60mmHg</w:t>
      </w:r>
      <w:r>
        <w:rPr>
          <w:spacing w:val="-111"/>
          <w:w w:val="100"/>
        </w:rPr>
        <w:t>）</w:t>
      </w:r>
      <w:r>
        <w:rPr>
          <w:spacing w:val="-4"/>
          <w:w w:val="100"/>
        </w:rPr>
        <w:t>，或伴有二氧化碳</w:t>
      </w:r>
      <w:r>
        <w:rPr>
          <w:w w:val="100"/>
        </w:rPr>
        <w:t>分压（PaCO</w:t>
      </w:r>
      <w:r>
        <w:rPr>
          <w:spacing w:val="-5"/>
          <w:w w:val="100"/>
        </w:rPr>
        <w:t>2</w:t>
      </w:r>
      <w:r>
        <w:rPr>
          <w:w w:val="100"/>
        </w:rPr>
        <w:t>）高于</w:t>
      </w:r>
      <w:r>
        <w:rPr>
          <w:spacing w:val="-53"/>
        </w:rPr>
        <w:t> </w:t>
      </w:r>
      <w:r>
        <w:rPr>
          <w:spacing w:val="-5"/>
          <w:w w:val="100"/>
        </w:rPr>
        <w:t>6</w:t>
      </w:r>
      <w:r>
        <w:rPr>
          <w:w w:val="100"/>
        </w:rPr>
        <w:t>.65kPa</w:t>
      </w:r>
      <w:r>
        <w:rPr>
          <w:spacing w:val="-5"/>
          <w:w w:val="100"/>
        </w:rPr>
        <w:t>（</w:t>
      </w:r>
      <w:r>
        <w:rPr>
          <w:w w:val="100"/>
        </w:rPr>
        <w:t>50mmHg</w:t>
      </w:r>
      <w:r>
        <w:rPr>
          <w:spacing w:val="-111"/>
          <w:w w:val="100"/>
        </w:rPr>
        <w:t>）</w:t>
      </w:r>
      <w:r>
        <w:rPr>
          <w:w w:val="100"/>
        </w:rPr>
        <w:t>。</w:t>
      </w:r>
    </w:p>
    <w:p>
      <w:pPr>
        <w:pStyle w:val="BodyText"/>
        <w:ind w:left="2569"/>
        <w:rPr>
          <w:sz w:val="20"/>
        </w:rPr>
      </w:pPr>
      <w:r>
        <w:rPr>
          <w:sz w:val="20"/>
        </w:rPr>
        <w:pict>
          <v:shape style="width:364.35pt;height:13.95pt;mso-position-horizontal-relative:char;mso-position-vertical-relative:line" type="#_x0000_t202" id="docshape131" filled="true" fillcolor="#d9d9d9" stroked="false">
            <w10:anchorlock/>
            <v:textbox inset="0,0,0,0">
              <w:txbxContent>
                <w:p>
                  <w:pPr>
                    <w:pStyle w:val="BodyText"/>
                    <w:spacing w:line="248" w:lineRule="exact" w:before="6"/>
                    <w:ind w:right="-15"/>
                    <w:rPr>
                      <w:color w:val="000000"/>
                    </w:rPr>
                  </w:pPr>
                  <w:r>
                    <w:rPr>
                      <w:color w:val="000000"/>
                      <w:spacing w:val="-7"/>
                    </w:rPr>
                    <w:t>本公司承担本项疾病责任不受本合同责任免除中“遗传性疾病，先天性畸形、变</w:t>
                  </w:r>
                </w:p>
                <w:p>
                  <w:pPr>
                    <w:spacing w:line="24" w:lineRule="exact" w:before="0"/>
                    <w:ind w:left="249" w:right="0" w:firstLine="0"/>
                    <w:jc w:val="left"/>
                    <w:rPr>
                      <w:color w:val="000000"/>
                      <w:sz w:val="4"/>
                    </w:rPr>
                  </w:pPr>
                  <w:r>
                    <w:rPr>
                      <w:color w:val="000000"/>
                      <w:w w:val="72"/>
                      <w:sz w:val="4"/>
                    </w:rPr>
                    <w:t>●</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32"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4"/>
        <w:rPr>
          <w:sz w:val="20"/>
        </w:rPr>
      </w:pPr>
    </w:p>
    <w:p>
      <w:pPr>
        <w:pStyle w:val="Heading3"/>
        <w:spacing w:line="350" w:lineRule="exact" w:before="4"/>
      </w:pPr>
      <w:r>
        <w:rPr>
          <w:spacing w:val="-1"/>
        </w:rPr>
        <w:t>上述释义中部分术语释义如下：</w:t>
      </w:r>
    </w:p>
    <w:p>
      <w:pPr>
        <w:spacing w:line="346" w:lineRule="exact" w:before="0"/>
        <w:ind w:left="2569" w:right="0" w:firstLine="0"/>
        <w:jc w:val="left"/>
        <w:rPr>
          <w:rFonts w:ascii="微软雅黑" w:eastAsia="微软雅黑"/>
          <w:b/>
          <w:sz w:val="21"/>
        </w:rPr>
      </w:pPr>
      <w:r>
        <w:rPr>
          <w:rFonts w:ascii="微软雅黑" w:eastAsia="微软雅黑"/>
          <w:b/>
          <w:sz w:val="21"/>
        </w:rPr>
        <w:t>（一）</w:t>
      </w:r>
      <w:r>
        <w:rPr>
          <w:rFonts w:ascii="微软雅黑" w:eastAsia="微软雅黑"/>
          <w:b/>
          <w:spacing w:val="-2"/>
          <w:sz w:val="21"/>
        </w:rPr>
        <w:t>组织病理学检查</w:t>
      </w:r>
    </w:p>
    <w:p>
      <w:pPr>
        <w:pStyle w:val="BodyText"/>
        <w:spacing w:line="278" w:lineRule="auto"/>
        <w:ind w:left="2569" w:right="301"/>
      </w:pPr>
      <w:r>
        <w:rPr>
          <w:spacing w:val="-2"/>
        </w:rPr>
        <w:t>组织病理学检查是通过局部切除、钳取、穿刺等手术方法，从患者机体采取病变</w:t>
      </w:r>
      <w:r>
        <w:rPr>
          <w:spacing w:val="-2"/>
        </w:rPr>
        <w:t>组织块，经过包埋、切片后，进行病理检查的方法。</w:t>
      </w:r>
    </w:p>
    <w:p>
      <w:pPr>
        <w:pStyle w:val="BodyText"/>
        <w:ind w:left="2569"/>
        <w:rPr>
          <w:sz w:val="20"/>
        </w:rPr>
      </w:pPr>
      <w:r>
        <w:rPr>
          <w:sz w:val="20"/>
        </w:rPr>
        <w:pict>
          <v:shape style="width:364.35pt;height:13.95pt;mso-position-horizontal-relative:char;mso-position-vertical-relative:line" type="#_x0000_t202" id="docshape133" filled="true" fillcolor="#d9d9d9" stroked="false">
            <w10:anchorlock/>
            <v:textbox inset="0,0,0,0">
              <w:txbxContent>
                <w:p>
                  <w:pPr>
                    <w:pStyle w:val="BodyText"/>
                    <w:spacing w:before="6"/>
                    <w:ind w:right="-15"/>
                    <w:rPr>
                      <w:color w:val="000000"/>
                    </w:rPr>
                  </w:pPr>
                  <w:r>
                    <w:rPr>
                      <w:color w:val="000000"/>
                      <w:spacing w:val="-7"/>
                    </w:rPr>
                    <w:t>通过采集病变部位脱落细胞、细针吸取病变部位细胞、体腔积液分离病变细胞等</w:t>
                  </w:r>
                </w:p>
              </w:txbxContent>
            </v:textbox>
            <v:fill type="solid"/>
          </v:shape>
        </w:pict>
      </w:r>
      <w:r>
        <w:rPr>
          <w:sz w:val="20"/>
        </w:rPr>
      </w:r>
    </w:p>
    <w:p>
      <w:pPr>
        <w:pStyle w:val="BodyText"/>
        <w:ind w:left="2569"/>
        <w:rPr>
          <w:sz w:val="20"/>
        </w:rPr>
      </w:pPr>
      <w:r>
        <w:rPr>
          <w:sz w:val="20"/>
        </w:rPr>
        <w:pict>
          <v:shape style="width:364.35pt;height:13.95pt;mso-position-horizontal-relative:char;mso-position-vertical-relative:line" type="#_x0000_t202" id="docshape134" filled="true" fillcolor="#d9d9d9" stroked="false">
            <w10:anchorlock/>
            <v:textbox inset="0,0,0,0">
              <w:txbxContent>
                <w:p>
                  <w:pPr>
                    <w:pStyle w:val="BodyText"/>
                    <w:spacing w:before="6"/>
                    <w:ind w:right="-15"/>
                    <w:rPr>
                      <w:color w:val="000000"/>
                    </w:rPr>
                  </w:pPr>
                  <w:r>
                    <w:rPr>
                      <w:color w:val="000000"/>
                      <w:spacing w:val="-7"/>
                    </w:rPr>
                    <w:t>方式获取病变细胞，制成涂片，进行病理检查的方法，属于细胞病理学检查，不</w:t>
                  </w:r>
                </w:p>
              </w:txbxContent>
            </v:textbox>
            <v:fill type="solid"/>
          </v:shape>
        </w:pict>
      </w:r>
      <w:r>
        <w:rPr>
          <w:sz w:val="20"/>
        </w:rPr>
      </w:r>
    </w:p>
    <w:p>
      <w:pPr>
        <w:pStyle w:val="BodyText"/>
        <w:ind w:left="2569"/>
        <w:rPr>
          <w:sz w:val="20"/>
        </w:rPr>
      </w:pPr>
      <w:r>
        <w:rPr>
          <w:sz w:val="20"/>
        </w:rPr>
        <w:pict>
          <v:shape style="width:104.9pt;height:13.95pt;mso-position-horizontal-relative:char;mso-position-vertical-relative:line" type="#_x0000_t202" id="docshape135" filled="true" fillcolor="#d9d9d9" stroked="false">
            <w10:anchorlock/>
            <v:textbox inset="0,0,0,0">
              <w:txbxContent>
                <w:p>
                  <w:pPr>
                    <w:pStyle w:val="BodyText"/>
                    <w:spacing w:before="6"/>
                    <w:ind w:right="-15"/>
                    <w:rPr>
                      <w:color w:val="000000"/>
                    </w:rPr>
                  </w:pPr>
                  <w:r>
                    <w:rPr>
                      <w:color w:val="000000"/>
                      <w:spacing w:val="-5"/>
                    </w:rPr>
                    <w:t>属于组织病理学检查。</w:t>
                  </w:r>
                </w:p>
              </w:txbxContent>
            </v:textbox>
            <v:fill type="solid"/>
          </v:shape>
        </w:pict>
      </w:r>
      <w:r>
        <w:rPr>
          <w:sz w:val="20"/>
        </w:rPr>
      </w:r>
    </w:p>
    <w:p>
      <w:pPr>
        <w:pStyle w:val="BodyText"/>
        <w:spacing w:before="3"/>
      </w:pPr>
    </w:p>
    <w:p>
      <w:pPr>
        <w:pStyle w:val="Heading3"/>
        <w:spacing w:before="5"/>
      </w:pPr>
      <w:r>
        <w:rPr>
          <w:w w:val="90"/>
        </w:rPr>
        <w:t>（</w:t>
      </w:r>
      <w:r>
        <w:rPr>
          <w:w w:val="90"/>
        </w:rPr>
        <w:t>二</w:t>
      </w:r>
      <w:r>
        <w:rPr>
          <w:w w:val="90"/>
        </w:rPr>
        <w:t>）ICD-10</w:t>
      </w:r>
      <w:r>
        <w:rPr>
          <w:spacing w:val="2"/>
        </w:rPr>
        <w:t> </w:t>
      </w:r>
      <w:r>
        <w:rPr>
          <w:w w:val="90"/>
        </w:rPr>
        <w:t>与</w:t>
      </w:r>
      <w:r>
        <w:rPr>
          <w:spacing w:val="3"/>
        </w:rPr>
        <w:t> </w:t>
      </w:r>
      <w:r>
        <w:rPr>
          <w:w w:val="90"/>
        </w:rPr>
        <w:t>ICD-O-</w:t>
      </w:r>
      <w:r>
        <w:rPr>
          <w:spacing w:val="-10"/>
          <w:w w:val="90"/>
        </w:rPr>
        <w:t>3</w:t>
      </w:r>
    </w:p>
    <w:p>
      <w:pPr>
        <w:pStyle w:val="BodyText"/>
        <w:spacing w:line="278" w:lineRule="auto"/>
        <w:ind w:left="2569" w:right="200"/>
        <w:jc w:val="both"/>
      </w:pPr>
      <w:r>
        <w:rPr>
          <w:spacing w:val="-2"/>
        </w:rPr>
        <w:t>《疾病和有关健康问题的国际统计分类》第十次修订版（ICD-</w:t>
      </w:r>
      <w:r>
        <w:rPr>
          <w:spacing w:val="24"/>
        </w:rPr>
        <w:t>10</w:t>
      </w:r>
      <w:r>
        <w:rPr>
          <w:spacing w:val="-82"/>
        </w:rPr>
        <w:t>）</w:t>
      </w:r>
      <w:r>
        <w:rPr>
          <w:spacing w:val="1"/>
        </w:rPr>
        <w:t>，是世界卫生</w:t>
      </w:r>
      <w:r>
        <w:rPr>
          <w:spacing w:val="-2"/>
        </w:rPr>
        <w:t>组织（WHO）发布的国际通用的疾病分类方法</w:t>
      </w:r>
      <w:r>
        <w:rPr>
          <w:spacing w:val="-14"/>
        </w:rPr>
        <w:t>。《国际疾病分类肿瘤学专辑》第三</w:t>
      </w:r>
      <w:r>
        <w:rPr>
          <w:spacing w:val="-4"/>
        </w:rPr>
        <w:t>版（ICD-O-</w:t>
      </w:r>
      <w:r>
        <w:rPr>
          <w:spacing w:val="38"/>
        </w:rPr>
        <w:t>3</w:t>
      </w:r>
      <w:r>
        <w:rPr>
          <w:spacing w:val="-68"/>
        </w:rPr>
        <w:t>）</w:t>
      </w:r>
      <w:r>
        <w:rPr/>
        <w:t>，是 </w:t>
      </w:r>
      <w:r>
        <w:rPr>
          <w:spacing w:val="-4"/>
        </w:rPr>
        <w:t>WHO</w:t>
      </w:r>
      <w:r>
        <w:rPr>
          <w:spacing w:val="-7"/>
        </w:rPr>
        <w:t> 发布的针对</w:t>
      </w:r>
      <w:r>
        <w:rPr>
          <w:spacing w:val="-4"/>
        </w:rPr>
        <w:t>ICD</w:t>
      </w:r>
      <w:r>
        <w:rPr>
          <w:spacing w:val="-7"/>
        </w:rPr>
        <w:t> 中肿瘤形态学组织学细胞类型、动态、分</w:t>
      </w:r>
      <w:r>
        <w:rPr>
          <w:spacing w:val="-4"/>
        </w:rPr>
        <w:t>化程度的补充编码。其中形态学编码：0</w:t>
      </w:r>
      <w:r>
        <w:rPr>
          <w:spacing w:val="-11"/>
        </w:rPr>
        <w:t> 代表良性肿瘤；</w:t>
      </w:r>
      <w:r>
        <w:rPr>
          <w:spacing w:val="-4"/>
        </w:rPr>
        <w:t>1</w:t>
      </w:r>
      <w:r>
        <w:rPr>
          <w:spacing w:val="-10"/>
        </w:rPr>
        <w:t> 代表动态未定性肿瘤；</w:t>
      </w:r>
    </w:p>
    <w:p>
      <w:pPr>
        <w:pStyle w:val="BodyText"/>
        <w:spacing w:line="248" w:lineRule="exact"/>
        <w:ind w:left="2569"/>
        <w:jc w:val="both"/>
      </w:pPr>
      <w:r>
        <w:rPr>
          <w:spacing w:val="-6"/>
        </w:rPr>
        <w:t>2</w:t>
      </w:r>
      <w:r>
        <w:rPr>
          <w:spacing w:val="-12"/>
        </w:rPr>
        <w:t> 代表原位癌和非侵袭性癌；</w:t>
      </w:r>
      <w:r>
        <w:rPr>
          <w:spacing w:val="-6"/>
        </w:rPr>
        <w:t>3</w:t>
      </w:r>
      <w:r>
        <w:rPr>
          <w:spacing w:val="-12"/>
        </w:rPr>
        <w:t> 代表恶性肿瘤</w:t>
      </w:r>
      <w:r>
        <w:rPr>
          <w:spacing w:val="-6"/>
        </w:rPr>
        <w:t>（原发性</w:t>
      </w:r>
      <w:r>
        <w:rPr>
          <w:spacing w:val="-75"/>
        </w:rPr>
        <w:t>）</w:t>
      </w:r>
      <w:r>
        <w:rPr>
          <w:spacing w:val="26"/>
        </w:rPr>
        <w:t>；</w:t>
      </w:r>
      <w:r>
        <w:rPr>
          <w:spacing w:val="31"/>
        </w:rPr>
        <w:t>6</w:t>
      </w:r>
      <w:r>
        <w:rPr>
          <w:spacing w:val="-12"/>
        </w:rPr>
        <w:t> 代表恶性肿瘤</w:t>
      </w:r>
      <w:r>
        <w:rPr>
          <w:spacing w:val="-6"/>
        </w:rPr>
        <w:t>（</w:t>
      </w:r>
      <w:r>
        <w:rPr>
          <w:spacing w:val="-8"/>
        </w:rPr>
        <w:t>转移</w:t>
      </w:r>
    </w:p>
    <w:p>
      <w:pPr>
        <w:spacing w:line="31" w:lineRule="exact" w:before="0"/>
        <w:ind w:left="2607" w:right="0" w:firstLine="0"/>
        <w:jc w:val="left"/>
        <w:rPr>
          <w:sz w:val="4"/>
        </w:rPr>
      </w:pPr>
      <w:r>
        <w:rPr>
          <w:w w:val="72"/>
          <w:sz w:val="4"/>
        </w:rPr>
        <w:t>●</w:t>
      </w:r>
    </w:p>
    <w:p>
      <w:pPr>
        <w:pStyle w:val="BodyText"/>
        <w:spacing w:line="278" w:lineRule="auto" w:before="29"/>
        <w:ind w:left="2569" w:right="301"/>
        <w:jc w:val="both"/>
      </w:pPr>
      <w:r>
        <w:rPr>
          <w:w w:val="95"/>
        </w:rPr>
        <w:t>性</w:t>
      </w:r>
      <w:r>
        <w:rPr>
          <w:spacing w:val="-58"/>
          <w:w w:val="95"/>
        </w:rPr>
        <w:t>）</w:t>
      </w:r>
      <w:r>
        <w:rPr>
          <w:spacing w:val="9"/>
          <w:w w:val="95"/>
        </w:rPr>
        <w:t>；</w:t>
      </w:r>
      <w:r>
        <w:rPr>
          <w:spacing w:val="48"/>
          <w:w w:val="95"/>
        </w:rPr>
        <w:t>9</w:t>
      </w:r>
      <w:r>
        <w:rPr>
          <w:spacing w:val="-7"/>
          <w:w w:val="95"/>
        </w:rPr>
        <w:t> 代表</w:t>
      </w:r>
      <w:r>
        <w:rPr>
          <w:w w:val="95"/>
        </w:rPr>
        <w:t>恶</w:t>
      </w:r>
      <w:r>
        <w:rPr>
          <w:w w:val="95"/>
        </w:rPr>
        <w:t>性</w:t>
      </w:r>
      <w:r>
        <w:rPr>
          <w:w w:val="95"/>
        </w:rPr>
        <w:t>肿</w:t>
      </w:r>
      <w:r>
        <w:rPr>
          <w:w w:val="95"/>
        </w:rPr>
        <w:t>瘤（</w:t>
      </w:r>
      <w:r>
        <w:rPr>
          <w:w w:val="95"/>
        </w:rPr>
        <w:t>原</w:t>
      </w:r>
      <w:r>
        <w:rPr>
          <w:w w:val="95"/>
        </w:rPr>
        <w:t>发</w:t>
      </w:r>
      <w:r>
        <w:rPr>
          <w:w w:val="95"/>
        </w:rPr>
        <w:t>性</w:t>
      </w:r>
      <w:r>
        <w:rPr>
          <w:w w:val="95"/>
        </w:rPr>
        <w:t>或</w:t>
      </w:r>
      <w:r>
        <w:rPr>
          <w:w w:val="95"/>
        </w:rPr>
        <w:t>转</w:t>
      </w:r>
      <w:r>
        <w:rPr>
          <w:w w:val="95"/>
        </w:rPr>
        <w:t>移</w:t>
      </w:r>
      <w:r>
        <w:rPr>
          <w:w w:val="95"/>
        </w:rPr>
        <w:t>性</w:t>
      </w:r>
      <w:r>
        <w:rPr>
          <w:w w:val="95"/>
        </w:rPr>
        <w:t>未</w:t>
      </w:r>
      <w:r>
        <w:rPr>
          <w:w w:val="95"/>
        </w:rPr>
        <w:t>肯</w:t>
      </w:r>
      <w:r>
        <w:rPr>
          <w:w w:val="95"/>
        </w:rPr>
        <w:t>定</w:t>
      </w:r>
      <w:r>
        <w:rPr>
          <w:spacing w:val="-111"/>
          <w:w w:val="95"/>
        </w:rPr>
        <w:t>）</w:t>
      </w:r>
      <w:r>
        <w:rPr>
          <w:w w:val="95"/>
        </w:rPr>
        <w:t>。如果</w:t>
      </w:r>
      <w:r>
        <w:rPr>
          <w:w w:val="95"/>
        </w:rPr>
        <w:t>出</w:t>
      </w:r>
      <w:r>
        <w:rPr>
          <w:w w:val="95"/>
        </w:rPr>
        <w:t>现</w:t>
      </w:r>
      <w:r>
        <w:rPr>
          <w:spacing w:val="-22"/>
          <w:w w:val="95"/>
        </w:rPr>
        <w:t> </w:t>
      </w:r>
      <w:r>
        <w:rPr>
          <w:w w:val="95"/>
        </w:rPr>
        <w:t>ICD-10</w:t>
      </w:r>
      <w:r>
        <w:rPr>
          <w:spacing w:val="-15"/>
          <w:w w:val="95"/>
        </w:rPr>
        <w:t> 与 </w:t>
      </w:r>
      <w:r>
        <w:rPr>
          <w:w w:val="95"/>
        </w:rPr>
        <w:t>ICD-O-3</w:t>
      </w:r>
      <w:r>
        <w:rPr>
          <w:spacing w:val="-21"/>
          <w:w w:val="95"/>
        </w:rPr>
        <w:t> </w:t>
      </w:r>
      <w:r>
        <w:rPr>
          <w:w w:val="95"/>
        </w:rPr>
        <w:t>不</w:t>
      </w:r>
      <w:r>
        <w:rPr>
          <w:spacing w:val="-3"/>
        </w:rPr>
        <w:t>一致的情况，以 </w:t>
      </w:r>
      <w:r>
        <w:rPr/>
        <w:t>ICD-O-3</w:t>
      </w:r>
      <w:r>
        <w:rPr>
          <w:spacing w:val="-6"/>
        </w:rPr>
        <w:t> 为准。</w:t>
      </w:r>
    </w:p>
    <w:p>
      <w:pPr>
        <w:pStyle w:val="BodyText"/>
        <w:spacing w:before="1"/>
        <w:rPr>
          <w:sz w:val="19"/>
        </w:rPr>
      </w:pPr>
    </w:p>
    <w:p>
      <w:pPr>
        <w:pStyle w:val="Heading3"/>
      </w:pPr>
      <w:r>
        <w:rPr>
          <w:w w:val="85"/>
        </w:rPr>
        <w:t>（</w:t>
      </w:r>
      <w:r>
        <w:rPr>
          <w:w w:val="85"/>
        </w:rPr>
        <w:t>三</w:t>
      </w:r>
      <w:r>
        <w:rPr>
          <w:w w:val="85"/>
        </w:rPr>
        <w:t>）TNM</w:t>
      </w:r>
      <w:r>
        <w:rPr>
          <w:spacing w:val="-4"/>
          <w:w w:val="85"/>
        </w:rPr>
        <w:t> </w:t>
      </w:r>
      <w:r>
        <w:rPr>
          <w:w w:val="85"/>
        </w:rPr>
        <w:t>分</w:t>
      </w:r>
      <w:r>
        <w:rPr>
          <w:spacing w:val="-10"/>
          <w:w w:val="85"/>
        </w:rPr>
        <w:t>期</w:t>
      </w:r>
    </w:p>
    <w:p>
      <w:pPr>
        <w:pStyle w:val="BodyText"/>
        <w:spacing w:line="278" w:lineRule="auto"/>
        <w:ind w:left="2569" w:right="301"/>
        <w:jc w:val="both"/>
      </w:pPr>
      <w:r>
        <w:rPr/>
        <w:t>TNM</w:t>
      </w:r>
      <w:r>
        <w:rPr>
          <w:spacing w:val="-11"/>
        </w:rPr>
        <w:t> 分期采用 </w:t>
      </w:r>
      <w:r>
        <w:rPr/>
        <w:t>AJCC</w:t>
      </w:r>
      <w:r>
        <w:rPr>
          <w:spacing w:val="-5"/>
        </w:rPr>
        <w:t> 癌症分期手册标准。该标准由美国癌症联合委员会与国际抗</w:t>
      </w:r>
      <w:r>
        <w:rPr>
          <w:w w:val="95"/>
        </w:rPr>
        <w:t>癌</w:t>
      </w:r>
      <w:r>
        <w:rPr>
          <w:w w:val="95"/>
        </w:rPr>
        <w:t>联</w:t>
      </w:r>
      <w:r>
        <w:rPr>
          <w:w w:val="95"/>
        </w:rPr>
        <w:t>合</w:t>
      </w:r>
      <w:r>
        <w:rPr>
          <w:w w:val="95"/>
        </w:rPr>
        <w:t>会</w:t>
      </w:r>
      <w:r>
        <w:rPr>
          <w:spacing w:val="40"/>
        </w:rPr>
        <w:t> </w:t>
      </w:r>
      <w:r>
        <w:rPr>
          <w:w w:val="95"/>
        </w:rPr>
        <w:t>TNM</w:t>
      </w:r>
      <w:r>
        <w:rPr>
          <w:spacing w:val="40"/>
        </w:rPr>
        <w:t> </w:t>
      </w:r>
      <w:r>
        <w:rPr>
          <w:w w:val="95"/>
        </w:rPr>
        <w:t>委</w:t>
      </w:r>
      <w:r>
        <w:rPr>
          <w:w w:val="95"/>
        </w:rPr>
        <w:t>员</w:t>
      </w:r>
      <w:r>
        <w:rPr>
          <w:w w:val="95"/>
        </w:rPr>
        <w:t>会</w:t>
      </w:r>
      <w:r>
        <w:rPr>
          <w:w w:val="95"/>
        </w:rPr>
        <w:t>联</w:t>
      </w:r>
      <w:r>
        <w:rPr>
          <w:w w:val="95"/>
        </w:rPr>
        <w:t>合</w:t>
      </w:r>
      <w:r>
        <w:rPr>
          <w:w w:val="95"/>
        </w:rPr>
        <w:t>制</w:t>
      </w:r>
      <w:r>
        <w:rPr>
          <w:w w:val="95"/>
        </w:rPr>
        <w:t>定</w:t>
      </w:r>
      <w:r>
        <w:rPr>
          <w:w w:val="95"/>
        </w:rPr>
        <w:t>，</w:t>
      </w:r>
      <w:r>
        <w:rPr>
          <w:w w:val="95"/>
        </w:rPr>
        <w:t>是</w:t>
      </w:r>
      <w:r>
        <w:rPr>
          <w:w w:val="95"/>
        </w:rPr>
        <w:t>目</w:t>
      </w:r>
      <w:r>
        <w:rPr>
          <w:w w:val="95"/>
        </w:rPr>
        <w:t>前</w:t>
      </w:r>
      <w:r>
        <w:rPr>
          <w:w w:val="95"/>
        </w:rPr>
        <w:t>肿</w:t>
      </w:r>
      <w:r>
        <w:rPr>
          <w:w w:val="95"/>
        </w:rPr>
        <w:t>瘤</w:t>
      </w:r>
      <w:r>
        <w:rPr>
          <w:w w:val="95"/>
        </w:rPr>
        <w:t>医</w:t>
      </w:r>
      <w:r>
        <w:rPr>
          <w:w w:val="95"/>
        </w:rPr>
        <w:t>学分期</w:t>
      </w:r>
      <w:r>
        <w:rPr>
          <w:w w:val="95"/>
        </w:rPr>
        <w:t>的</w:t>
      </w:r>
      <w:r>
        <w:rPr>
          <w:w w:val="95"/>
        </w:rPr>
        <w:t>国</w:t>
      </w:r>
      <w:r>
        <w:rPr>
          <w:w w:val="95"/>
        </w:rPr>
        <w:t>际</w:t>
      </w:r>
      <w:r>
        <w:rPr>
          <w:w w:val="95"/>
        </w:rPr>
        <w:t>通</w:t>
      </w:r>
      <w:r>
        <w:rPr>
          <w:w w:val="95"/>
        </w:rPr>
        <w:t>用</w:t>
      </w:r>
      <w:r>
        <w:rPr>
          <w:w w:val="95"/>
        </w:rPr>
        <w:t>标</w:t>
      </w:r>
      <w:r>
        <w:rPr>
          <w:w w:val="95"/>
        </w:rPr>
        <w:t>准</w:t>
      </w:r>
      <w:r>
        <w:rPr>
          <w:w w:val="95"/>
        </w:rPr>
        <w:t>。T </w:t>
      </w:r>
      <w:r>
        <w:rPr>
          <w:w w:val="95"/>
        </w:rPr>
        <w:t>指</w:t>
      </w:r>
      <w:r>
        <w:rPr>
          <w:w w:val="95"/>
        </w:rPr>
        <w:t>原</w:t>
      </w:r>
      <w:r>
        <w:rPr>
          <w:w w:val="95"/>
        </w:rPr>
        <w:t>发</w:t>
      </w:r>
      <w:r>
        <w:rPr/>
        <w:t>肿瘤的大小、形态等；N</w:t>
      </w:r>
      <w:r>
        <w:rPr>
          <w:spacing w:val="-7"/>
        </w:rPr>
        <w:t> 指淋巴结的转移情况；</w:t>
      </w:r>
      <w:r>
        <w:rPr/>
        <w:t>M</w:t>
      </w:r>
      <w:r>
        <w:rPr>
          <w:spacing w:val="-7"/>
        </w:rPr>
        <w:t> 指有无其他脏器的转移情况。</w:t>
      </w:r>
    </w:p>
    <w:p>
      <w:pPr>
        <w:pStyle w:val="BodyText"/>
        <w:spacing w:before="10"/>
        <w:rPr>
          <w:sz w:val="18"/>
        </w:rPr>
      </w:pPr>
    </w:p>
    <w:p>
      <w:pPr>
        <w:pStyle w:val="Heading3"/>
      </w:pPr>
      <w:r>
        <w:rPr>
          <w:w w:val="90"/>
        </w:rPr>
        <w:t>（</w:t>
      </w:r>
      <w:r>
        <w:rPr>
          <w:w w:val="90"/>
        </w:rPr>
        <w:t>四</w:t>
      </w:r>
      <w:r>
        <w:rPr>
          <w:w w:val="90"/>
        </w:rPr>
        <w:t>）</w:t>
      </w:r>
      <w:r>
        <w:rPr>
          <w:w w:val="90"/>
        </w:rPr>
        <w:t>甲</w:t>
      </w:r>
      <w:r>
        <w:rPr>
          <w:w w:val="90"/>
        </w:rPr>
        <w:t>状</w:t>
      </w:r>
      <w:r>
        <w:rPr>
          <w:w w:val="90"/>
        </w:rPr>
        <w:t>腺</w:t>
      </w:r>
      <w:r>
        <w:rPr>
          <w:w w:val="90"/>
        </w:rPr>
        <w:t>癌</w:t>
      </w:r>
      <w:r>
        <w:rPr>
          <w:w w:val="90"/>
        </w:rPr>
        <w:t>的</w:t>
      </w:r>
      <w:r>
        <w:rPr>
          <w:spacing w:val="5"/>
        </w:rPr>
        <w:t> </w:t>
      </w:r>
      <w:r>
        <w:rPr>
          <w:w w:val="90"/>
        </w:rPr>
        <w:t>TNM</w:t>
      </w:r>
      <w:r>
        <w:rPr>
          <w:spacing w:val="6"/>
        </w:rPr>
        <w:t> </w:t>
      </w:r>
      <w:r>
        <w:rPr>
          <w:w w:val="90"/>
        </w:rPr>
        <w:t>分</w:t>
      </w:r>
      <w:r>
        <w:rPr>
          <w:spacing w:val="-10"/>
          <w:w w:val="90"/>
        </w:rPr>
        <w:t>期</w:t>
      </w:r>
    </w:p>
    <w:p>
      <w:pPr>
        <w:pStyle w:val="BodyText"/>
        <w:spacing w:line="244" w:lineRule="exact"/>
        <w:ind w:left="2569"/>
      </w:pPr>
      <w:r>
        <w:rPr/>
        <w:t>甲状腺癌的TNM分期采用目前现行的AJCC</w:t>
      </w:r>
      <w:r>
        <w:rPr>
          <w:spacing w:val="-1"/>
        </w:rPr>
        <w:t>第八版定义标准，我国国家卫生健康委</w:t>
      </w:r>
    </w:p>
    <w:p>
      <w:pPr>
        <w:spacing w:line="31" w:lineRule="exact" w:before="0"/>
        <w:ind w:left="3241" w:right="0" w:firstLine="0"/>
        <w:jc w:val="left"/>
        <w:rPr>
          <w:sz w:val="4"/>
        </w:rPr>
      </w:pPr>
      <w:r>
        <w:rPr>
          <w:w w:val="72"/>
          <w:sz w:val="4"/>
        </w:rPr>
        <w:t>●</w:t>
      </w:r>
    </w:p>
    <w:p>
      <w:pPr>
        <w:pStyle w:val="BodyText"/>
        <w:spacing w:before="33"/>
        <w:ind w:left="2569"/>
      </w:pPr>
      <w:r>
        <w:rPr>
          <w:spacing w:val="-6"/>
        </w:rPr>
        <w:t>员会2018年发布的《甲状腺癌诊疗规范（2018年版</w:t>
      </w:r>
      <w:r>
        <w:rPr>
          <w:spacing w:val="-106"/>
        </w:rPr>
        <w:t>）</w:t>
      </w:r>
      <w:r>
        <w:rPr>
          <w:spacing w:val="-7"/>
        </w:rPr>
        <w:t>》也采用此定义标准，具体见</w:t>
      </w:r>
    </w:p>
    <w:p>
      <w:pPr>
        <w:spacing w:after="0"/>
        <w:sectPr>
          <w:pgSz w:w="11910" w:h="16840"/>
          <w:pgMar w:top="1080" w:bottom="280" w:left="920" w:right="820"/>
        </w:sectPr>
      </w:pPr>
    </w:p>
    <w:p>
      <w:pPr>
        <w:pStyle w:val="BodyText"/>
        <w:spacing w:before="59"/>
        <w:ind w:left="2569"/>
      </w:pPr>
      <w:r>
        <w:rPr>
          <w:spacing w:val="-5"/>
        </w:rPr>
        <w:t>下：</w:t>
      </w:r>
    </w:p>
    <w:p>
      <w:pPr>
        <w:pStyle w:val="BodyText"/>
        <w:spacing w:line="278" w:lineRule="auto" w:before="43"/>
        <w:ind w:left="2569" w:right="1553"/>
      </w:pPr>
      <w:r>
        <w:rPr/>
        <w:t>甲状腺乳头状癌、滤泡癌、低分化癌、Hürthle</w:t>
      </w:r>
      <w:r>
        <w:rPr>
          <w:spacing w:val="-8"/>
        </w:rPr>
        <w:t> 细胞癌和未分化癌</w:t>
      </w:r>
      <w:r>
        <w:rPr/>
        <w:t> </w:t>
      </w:r>
      <w:r>
        <w:rPr>
          <w:spacing w:val="-2"/>
          <w:position w:val="1"/>
        </w:rPr>
        <w:t>pT</w:t>
      </w:r>
      <w:r>
        <w:rPr>
          <w:spacing w:val="-2"/>
          <w:sz w:val="11"/>
        </w:rPr>
        <w:t>X</w:t>
      </w:r>
      <w:r>
        <w:rPr>
          <w:spacing w:val="-2"/>
          <w:position w:val="1"/>
        </w:rPr>
        <w:t>：原发肿瘤不能评估</w:t>
      </w:r>
    </w:p>
    <w:p>
      <w:pPr>
        <w:pStyle w:val="BodyText"/>
        <w:spacing w:line="253" w:lineRule="exact"/>
        <w:ind w:left="2569"/>
      </w:pPr>
      <w:r>
        <w:rPr>
          <w:spacing w:val="-2"/>
          <w:position w:val="1"/>
        </w:rPr>
        <w:t>pT</w:t>
      </w:r>
      <w:r>
        <w:rPr>
          <w:spacing w:val="-2"/>
          <w:sz w:val="11"/>
        </w:rPr>
        <w:t>0</w:t>
      </w:r>
      <w:r>
        <w:rPr>
          <w:spacing w:val="-4"/>
          <w:position w:val="1"/>
        </w:rPr>
        <w:t>：无肿瘤证据</w:t>
      </w:r>
    </w:p>
    <w:p>
      <w:pPr>
        <w:spacing w:line="36" w:lineRule="exact" w:before="0"/>
        <w:ind w:left="2819" w:right="0" w:firstLine="0"/>
        <w:jc w:val="left"/>
        <w:rPr>
          <w:sz w:val="4"/>
        </w:rPr>
      </w:pPr>
      <w:r>
        <w:rPr>
          <w:w w:val="72"/>
          <w:sz w:val="4"/>
        </w:rPr>
        <w:t>●</w:t>
      </w:r>
    </w:p>
    <w:p>
      <w:pPr>
        <w:pStyle w:val="BodyText"/>
        <w:spacing w:line="278" w:lineRule="auto" w:before="23"/>
        <w:ind w:left="2991" w:right="3809" w:hanging="423"/>
      </w:pPr>
      <w:r>
        <w:rPr>
          <w:spacing w:val="-2"/>
          <w:position w:val="1"/>
        </w:rPr>
        <w:t>pT</w:t>
      </w:r>
      <w:r>
        <w:rPr>
          <w:spacing w:val="-2"/>
          <w:sz w:val="11"/>
        </w:rPr>
        <w:t>1</w:t>
      </w:r>
      <w:r>
        <w:rPr>
          <w:spacing w:val="-2"/>
          <w:position w:val="1"/>
        </w:rPr>
        <w:t>：肿瘤局限在甲状腺内，最大径</w:t>
      </w:r>
      <w:r>
        <w:rPr>
          <w:spacing w:val="-2"/>
          <w:position w:val="1"/>
        </w:rPr>
        <w:t>≤2cm </w:t>
      </w:r>
      <w:r>
        <w:rPr>
          <w:position w:val="1"/>
        </w:rPr>
        <w:t>T</w:t>
      </w:r>
      <w:r>
        <w:rPr>
          <w:sz w:val="11"/>
        </w:rPr>
        <w:t>1a</w:t>
      </w:r>
      <w:r>
        <w:rPr>
          <w:spacing w:val="-27"/>
          <w:sz w:val="11"/>
        </w:rPr>
        <w:t> </w:t>
      </w:r>
      <w:r>
        <w:rPr>
          <w:position w:val="1"/>
        </w:rPr>
        <w:t>肿瘤最大径≤1cm</w:t>
      </w:r>
    </w:p>
    <w:p>
      <w:pPr>
        <w:pStyle w:val="BodyText"/>
        <w:spacing w:line="278" w:lineRule="auto"/>
        <w:ind w:left="2569" w:right="4606" w:firstLine="422"/>
      </w:pPr>
      <w:r>
        <w:rPr>
          <w:position w:val="1"/>
        </w:rPr>
        <w:t>T</w:t>
      </w:r>
      <w:r>
        <w:rPr>
          <w:sz w:val="11"/>
        </w:rPr>
        <w:t>1b</w:t>
      </w:r>
      <w:r>
        <w:rPr>
          <w:spacing w:val="-27"/>
          <w:sz w:val="11"/>
        </w:rPr>
        <w:t> </w:t>
      </w:r>
      <w:r>
        <w:rPr>
          <w:position w:val="1"/>
        </w:rPr>
        <w:t>肿瘤最大径</w:t>
      </w:r>
      <w:r>
        <w:rPr>
          <w:position w:val="1"/>
        </w:rPr>
        <w:t>＞1cm，≤2cm pT</w:t>
      </w:r>
      <w:r>
        <w:rPr>
          <w:sz w:val="11"/>
        </w:rPr>
        <w:t>2</w:t>
      </w:r>
      <w:r>
        <w:rPr>
          <w:spacing w:val="-11"/>
          <w:position w:val="1"/>
        </w:rPr>
        <w:t>：肿瘤 </w:t>
      </w:r>
      <w:r>
        <w:rPr>
          <w:position w:val="1"/>
        </w:rPr>
        <w:t>2～4cm</w:t>
      </w:r>
    </w:p>
    <w:p>
      <w:pPr>
        <w:pStyle w:val="BodyText"/>
        <w:spacing w:line="278" w:lineRule="auto"/>
        <w:ind w:left="2569" w:right="207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ind w:left="2569"/>
      </w:pPr>
      <w:r>
        <w:rPr>
          <w:spacing w:val="-2"/>
          <w:position w:val="1"/>
        </w:rPr>
        <w:t>pT</w:t>
      </w:r>
      <w:r>
        <w:rPr>
          <w:spacing w:val="-2"/>
          <w:sz w:val="11"/>
        </w:rPr>
        <w:t>3b</w:t>
      </w:r>
      <w:r>
        <w:rPr>
          <w:spacing w:val="-3"/>
          <w:position w:val="1"/>
        </w:rPr>
        <w:t>：大体侵犯甲状腺外带状肌，无论肿瘤大小</w:t>
      </w:r>
    </w:p>
    <w:p>
      <w:pPr>
        <w:pStyle w:val="BodyText"/>
        <w:spacing w:line="248" w:lineRule="exact" w:before="43"/>
        <w:ind w:left="3135"/>
      </w:pPr>
      <w:r>
        <w:rPr>
          <w:spacing w:val="-3"/>
        </w:rPr>
        <w:t>带状肌包括：胸骨舌骨肌、胸骨甲状肌、甲状舌骨肌、肩胛舌骨肌</w:t>
      </w:r>
    </w:p>
    <w:p>
      <w:pPr>
        <w:spacing w:line="31" w:lineRule="exact" w:before="0"/>
        <w:ind w:left="1675" w:right="0" w:firstLine="0"/>
        <w:jc w:val="center"/>
        <w:rPr>
          <w:sz w:val="4"/>
        </w:rPr>
      </w:pPr>
      <w:r>
        <w:rPr>
          <w:w w:val="72"/>
          <w:sz w:val="4"/>
        </w:rPr>
        <w:t>●</w:t>
      </w:r>
    </w:p>
    <w:p>
      <w:pPr>
        <w:pStyle w:val="BodyText"/>
        <w:spacing w:before="33"/>
        <w:ind w:left="2569"/>
      </w:pPr>
      <w:r>
        <w:rPr>
          <w:spacing w:val="-2"/>
          <w:position w:val="1"/>
        </w:rPr>
        <w:t>pT</w:t>
      </w:r>
      <w:r>
        <w:rPr>
          <w:spacing w:val="-2"/>
          <w:sz w:val="11"/>
        </w:rPr>
        <w:t>4</w:t>
      </w:r>
      <w:r>
        <w:rPr>
          <w:spacing w:val="-3"/>
          <w:position w:val="1"/>
        </w:rPr>
        <w:t>：大体侵犯甲状腺外带状肌外</w:t>
      </w:r>
    </w:p>
    <w:p>
      <w:pPr>
        <w:pStyle w:val="BodyText"/>
        <w:spacing w:line="278" w:lineRule="auto" w:before="43"/>
        <w:ind w:left="2569" w:right="2859"/>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ind w:left="2569"/>
      </w:pPr>
      <w:r>
        <w:rPr>
          <w:spacing w:val="-4"/>
        </w:rPr>
        <w:t>甲状腺髓样癌</w:t>
      </w:r>
    </w:p>
    <w:p>
      <w:pPr>
        <w:pStyle w:val="BodyText"/>
        <w:spacing w:line="278" w:lineRule="auto" w:before="42"/>
        <w:ind w:left="2569" w:right="5432"/>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ind w:left="2991" w:right="3809" w:hanging="423"/>
      </w:pPr>
      <w:r>
        <w:rPr>
          <w:spacing w:val="-2"/>
          <w:position w:val="1"/>
        </w:rPr>
        <w:t>pT</w:t>
      </w:r>
      <w:r>
        <w:rPr>
          <w:spacing w:val="-2"/>
          <w:sz w:val="11"/>
        </w:rPr>
        <w:t>1</w:t>
      </w:r>
      <w:r>
        <w:rPr>
          <w:spacing w:val="-2"/>
          <w:position w:val="1"/>
        </w:rPr>
        <w:t>：肿瘤局限在甲状腺内，最大径</w:t>
      </w:r>
      <w:r>
        <w:rPr>
          <w:spacing w:val="-2"/>
          <w:position w:val="1"/>
        </w:rPr>
        <w:t>≤2cm </w:t>
      </w:r>
      <w:r>
        <w:rPr>
          <w:position w:val="1"/>
        </w:rPr>
        <w:t>T</w:t>
      </w:r>
      <w:r>
        <w:rPr>
          <w:sz w:val="11"/>
        </w:rPr>
        <w:t>1a</w:t>
      </w:r>
      <w:r>
        <w:rPr>
          <w:spacing w:val="-27"/>
          <w:sz w:val="11"/>
        </w:rPr>
        <w:t> </w:t>
      </w:r>
      <w:r>
        <w:rPr>
          <w:position w:val="1"/>
        </w:rPr>
        <w:t>肿瘤最大径≤1cm</w:t>
      </w:r>
    </w:p>
    <w:p>
      <w:pPr>
        <w:pStyle w:val="BodyText"/>
        <w:spacing w:line="278" w:lineRule="auto"/>
        <w:ind w:left="2569" w:right="4606" w:firstLine="422"/>
      </w:pPr>
      <w:r>
        <w:rPr>
          <w:position w:val="1"/>
        </w:rPr>
        <w:t>T</w:t>
      </w:r>
      <w:r>
        <w:rPr>
          <w:sz w:val="11"/>
        </w:rPr>
        <w:t>1b</w:t>
      </w:r>
      <w:r>
        <w:rPr>
          <w:spacing w:val="-27"/>
          <w:sz w:val="11"/>
        </w:rPr>
        <w:t> </w:t>
      </w:r>
      <w:r>
        <w:rPr>
          <w:position w:val="1"/>
        </w:rPr>
        <w:t>肿瘤最大径</w:t>
      </w:r>
      <w:r>
        <w:rPr>
          <w:position w:val="1"/>
        </w:rPr>
        <w:t>＞1cm，≤2cm pT</w:t>
      </w:r>
      <w:r>
        <w:rPr>
          <w:sz w:val="11"/>
        </w:rPr>
        <w:t>2</w:t>
      </w:r>
      <w:r>
        <w:rPr>
          <w:spacing w:val="-11"/>
          <w:position w:val="1"/>
        </w:rPr>
        <w:t>：肿瘤 </w:t>
      </w:r>
      <w:r>
        <w:rPr>
          <w:position w:val="1"/>
        </w:rPr>
        <w:t>2～4cm</w:t>
      </w:r>
    </w:p>
    <w:p>
      <w:pPr>
        <w:pStyle w:val="BodyText"/>
        <w:spacing w:line="278" w:lineRule="auto"/>
        <w:ind w:left="2569" w:right="2072"/>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ind w:left="2569"/>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left="2569" w:right="934" w:firstLine="566"/>
      </w:pPr>
      <w:r>
        <w:rPr>
          <w:spacing w:val="-2"/>
        </w:rPr>
        <w:t>带状肌包括：胸骨舌骨肌、胸骨甲状肌、甲状舌骨肌、肩胛舌骨肌 </w:t>
      </w:r>
      <w:r>
        <w:rPr>
          <w:spacing w:val="-2"/>
          <w:position w:val="1"/>
        </w:rPr>
        <w:t>pT</w:t>
      </w:r>
      <w:r>
        <w:rPr>
          <w:spacing w:val="-2"/>
          <w:sz w:val="11"/>
        </w:rPr>
        <w:t>4</w:t>
      </w:r>
      <w:r>
        <w:rPr>
          <w:spacing w:val="-2"/>
          <w:position w:val="1"/>
        </w:rPr>
        <w:t>：进展期病变</w:t>
      </w:r>
    </w:p>
    <w:p>
      <w:pPr>
        <w:pStyle w:val="BodyText"/>
        <w:spacing w:line="278" w:lineRule="auto"/>
        <w:ind w:left="2569" w:right="195" w:hanging="1"/>
      </w:pPr>
      <w:r>
        <w:rPr>
          <w:spacing w:val="-2"/>
          <w:position w:val="1"/>
        </w:rPr>
        <w:t>pT</w:t>
      </w:r>
      <w:r>
        <w:rPr>
          <w:spacing w:val="-2"/>
          <w:sz w:val="11"/>
        </w:rPr>
        <w:t>4a</w:t>
      </w:r>
      <w:r>
        <w:rPr>
          <w:spacing w:val="-2"/>
          <w:position w:val="1"/>
        </w:rPr>
        <w:t>：中度进展，任何大小的肿瘤，侵犯甲状腺外颈部周围器官和软组织，如喉、</w:t>
      </w:r>
      <w:r>
        <w:rPr>
          <w:spacing w:val="-2"/>
        </w:rPr>
        <w:t>气管、食管、喉反神经及皮下软组织</w:t>
      </w:r>
    </w:p>
    <w:p>
      <w:pPr>
        <w:pStyle w:val="BodyText"/>
        <w:spacing w:line="278" w:lineRule="auto"/>
        <w:ind w:left="2569" w:right="550"/>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BodyText"/>
        <w:spacing w:line="278" w:lineRule="auto"/>
        <w:ind w:left="2569" w:right="5221"/>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w:t>
      </w:r>
      <w:r>
        <w:rPr>
          <w:spacing w:val="-2"/>
          <w:position w:val="1"/>
        </w:rPr>
        <w:t> pN</w:t>
      </w:r>
      <w:r>
        <w:rPr>
          <w:spacing w:val="-2"/>
          <w:sz w:val="11"/>
        </w:rPr>
        <w:t>1</w:t>
      </w:r>
      <w:r>
        <w:rPr>
          <w:spacing w:val="-2"/>
          <w:position w:val="1"/>
        </w:rPr>
        <w:t>：区域淋巴结转移</w:t>
      </w:r>
    </w:p>
    <w:p>
      <w:pPr>
        <w:pStyle w:val="BodyText"/>
        <w:spacing w:line="269" w:lineRule="exact"/>
        <w:ind w:left="2569"/>
      </w:pPr>
      <w:r>
        <w:rPr>
          <w:spacing w:val="-8"/>
          <w:position w:val="1"/>
        </w:rPr>
        <w:t>pN</w:t>
      </w:r>
      <w:r>
        <w:rPr>
          <w:spacing w:val="-8"/>
          <w:sz w:val="11"/>
        </w:rPr>
        <w:t>1a</w:t>
      </w:r>
      <w:r>
        <w:rPr>
          <w:spacing w:val="-8"/>
          <w:position w:val="1"/>
        </w:rPr>
        <w:t>：转移至Ⅵ、Ⅶ区（包括气管旁、气管前、喉前/Delphian</w:t>
      </w:r>
      <w:r>
        <w:rPr>
          <w:spacing w:val="-5"/>
          <w:position w:val="1"/>
        </w:rPr>
        <w:t> 或上纵隔</w:t>
      </w:r>
      <w:r>
        <w:rPr>
          <w:spacing w:val="-8"/>
          <w:position w:val="1"/>
        </w:rPr>
        <w:t>）</w:t>
      </w:r>
      <w:r>
        <w:rPr>
          <w:spacing w:val="-9"/>
          <w:position w:val="1"/>
        </w:rPr>
        <w:t>淋巴结，</w:t>
      </w:r>
    </w:p>
    <w:p>
      <w:pPr>
        <w:pStyle w:val="BodyText"/>
        <w:spacing w:line="248" w:lineRule="exact" w:before="42"/>
        <w:ind w:left="2569"/>
      </w:pPr>
      <w:r>
        <w:rPr>
          <w:spacing w:val="-3"/>
        </w:rPr>
        <w:t>可以为单侧或双侧。</w:t>
      </w:r>
    </w:p>
    <w:p>
      <w:pPr>
        <w:spacing w:line="31" w:lineRule="exact" w:before="0"/>
        <w:ind w:left="2819" w:right="0" w:firstLine="0"/>
        <w:jc w:val="left"/>
        <w:rPr>
          <w:sz w:val="4"/>
        </w:rPr>
      </w:pPr>
      <w:r>
        <w:rPr>
          <w:w w:val="72"/>
          <w:sz w:val="4"/>
        </w:rPr>
        <w:t>●</w:t>
      </w:r>
    </w:p>
    <w:p>
      <w:pPr>
        <w:pStyle w:val="BodyText"/>
        <w:spacing w:line="278" w:lineRule="auto" w:before="33"/>
        <w:ind w:left="2569" w:right="301"/>
      </w:pPr>
      <w:r>
        <w:rPr>
          <w:spacing w:val="-6"/>
          <w:position w:val="1"/>
        </w:rPr>
        <w:t>pN</w:t>
      </w:r>
      <w:r>
        <w:rPr>
          <w:spacing w:val="-6"/>
          <w:sz w:val="11"/>
        </w:rPr>
        <w:t>1b</w:t>
      </w:r>
      <w:r>
        <w:rPr>
          <w:spacing w:val="-6"/>
          <w:position w:val="1"/>
        </w:rPr>
        <w:t>：单侧、双侧或对侧颈淋巴结转移（包括Ⅰ、Ⅱ、Ⅲ、Ⅳ或Ⅴ区）淋巴结或咽</w:t>
      </w:r>
      <w:r>
        <w:rPr>
          <w:spacing w:val="-2"/>
        </w:rPr>
        <w:t>后淋巴结转移。</w:t>
      </w:r>
    </w:p>
    <w:p>
      <w:pPr>
        <w:pStyle w:val="BodyText"/>
        <w:spacing w:line="278" w:lineRule="auto"/>
        <w:ind w:left="2569" w:right="4650"/>
      </w:pPr>
      <w:r>
        <w:rPr>
          <w:spacing w:val="-2"/>
        </w:rPr>
        <w:t>远处转移：适用于所有甲状腺癌 </w:t>
      </w:r>
      <w:r>
        <w:rPr>
          <w:spacing w:val="-2"/>
          <w:position w:val="1"/>
        </w:rPr>
        <w:t>M</w:t>
      </w:r>
      <w:r>
        <w:rPr>
          <w:spacing w:val="-2"/>
          <w:sz w:val="11"/>
        </w:rPr>
        <w:t>0</w:t>
      </w:r>
      <w:r>
        <w:rPr>
          <w:spacing w:val="-2"/>
          <w:position w:val="1"/>
        </w:rPr>
        <w:t>：无远处转移</w:t>
      </w:r>
    </w:p>
    <w:p>
      <w:pPr>
        <w:pStyle w:val="BodyText"/>
        <w:spacing w:line="269" w:lineRule="exact" w:after="23"/>
        <w:ind w:left="2569"/>
      </w:pPr>
      <w:r>
        <w:rPr>
          <w:spacing w:val="-2"/>
          <w:position w:val="1"/>
        </w:rPr>
        <w:t>M</w:t>
      </w:r>
      <w:r>
        <w:rPr>
          <w:spacing w:val="-2"/>
          <w:sz w:val="11"/>
        </w:rPr>
        <w:t>1</w:t>
      </w:r>
      <w:r>
        <w:rPr>
          <w:spacing w:val="-4"/>
          <w:position w:val="1"/>
        </w:rPr>
        <w:t>：有远处转移</w:t>
      </w:r>
    </w:p>
    <w:tbl>
      <w:tblPr>
        <w:tblW w:w="0" w:type="auto"/>
        <w:jc w:val="left"/>
        <w:tblInd w:w="2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0"/>
        <w:gridCol w:w="1843"/>
        <w:gridCol w:w="1627"/>
        <w:gridCol w:w="1776"/>
      </w:tblGrid>
      <w:tr>
        <w:trPr>
          <w:trHeight w:val="311" w:hRule="atLeast"/>
        </w:trPr>
        <w:tc>
          <w:tcPr>
            <w:tcW w:w="7156" w:type="dxa"/>
            <w:gridSpan w:val="4"/>
          </w:tcPr>
          <w:p>
            <w:pPr>
              <w:pStyle w:val="TableParagraph"/>
              <w:spacing w:before="20"/>
              <w:rPr>
                <w:sz w:val="21"/>
              </w:rPr>
            </w:pPr>
            <w:r>
              <w:rPr>
                <w:spacing w:val="-2"/>
                <w:sz w:val="21"/>
              </w:rPr>
              <w:t>乳头状或滤泡状癌（分化型</w:t>
            </w:r>
            <w:r>
              <w:rPr>
                <w:spacing w:val="-10"/>
                <w:sz w:val="21"/>
              </w:rPr>
              <w:t>）</w:t>
            </w:r>
          </w:p>
        </w:tc>
      </w:tr>
      <w:tr>
        <w:trPr>
          <w:trHeight w:val="311" w:hRule="atLeast"/>
        </w:trPr>
        <w:tc>
          <w:tcPr>
            <w:tcW w:w="7156" w:type="dxa"/>
            <w:gridSpan w:val="4"/>
          </w:tcPr>
          <w:p>
            <w:pPr>
              <w:pStyle w:val="TableParagraph"/>
              <w:spacing w:before="20"/>
              <w:rPr>
                <w:sz w:val="21"/>
              </w:rPr>
            </w:pPr>
            <w:r>
              <w:rPr>
                <w:sz w:val="21"/>
              </w:rPr>
              <w:t>年龄＜55</w:t>
            </w:r>
            <w:r>
              <w:rPr>
                <w:spacing w:val="-32"/>
                <w:sz w:val="21"/>
              </w:rPr>
              <w:t> 岁</w:t>
            </w:r>
          </w:p>
        </w:tc>
      </w:tr>
      <w:tr>
        <w:trPr>
          <w:trHeight w:val="311" w:hRule="atLeast"/>
        </w:trPr>
        <w:tc>
          <w:tcPr>
            <w:tcW w:w="1910" w:type="dxa"/>
          </w:tcPr>
          <w:p>
            <w:pPr>
              <w:pStyle w:val="TableParagraph"/>
              <w:ind w:left="0"/>
              <w:rPr>
                <w:rFonts w:ascii="Times New Roman"/>
                <w:sz w:val="20"/>
              </w:rPr>
            </w:pPr>
          </w:p>
        </w:tc>
        <w:tc>
          <w:tcPr>
            <w:tcW w:w="1843" w:type="dxa"/>
          </w:tcPr>
          <w:p>
            <w:pPr>
              <w:pStyle w:val="TableParagraph"/>
              <w:spacing w:before="20"/>
              <w:rPr>
                <w:sz w:val="21"/>
              </w:rPr>
            </w:pPr>
            <w:r>
              <w:rPr>
                <w:w w:val="100"/>
                <w:sz w:val="21"/>
              </w:rPr>
              <w:t>T</w:t>
            </w:r>
          </w:p>
        </w:tc>
        <w:tc>
          <w:tcPr>
            <w:tcW w:w="1627" w:type="dxa"/>
          </w:tcPr>
          <w:p>
            <w:pPr>
              <w:pStyle w:val="TableParagraph"/>
              <w:spacing w:before="20"/>
              <w:rPr>
                <w:sz w:val="21"/>
              </w:rPr>
            </w:pPr>
            <w:r>
              <w:rPr>
                <w:w w:val="100"/>
                <w:sz w:val="21"/>
              </w:rPr>
              <w:t>N</w:t>
            </w:r>
          </w:p>
        </w:tc>
        <w:tc>
          <w:tcPr>
            <w:tcW w:w="1776" w:type="dxa"/>
          </w:tcPr>
          <w:p>
            <w:pPr>
              <w:pStyle w:val="TableParagraph"/>
              <w:spacing w:before="20"/>
              <w:ind w:left="111"/>
              <w:rPr>
                <w:sz w:val="21"/>
              </w:rPr>
            </w:pPr>
            <w:r>
              <w:rPr>
                <w:w w:val="100"/>
                <w:sz w:val="21"/>
              </w:rPr>
              <w:t>M</w:t>
            </w:r>
          </w:p>
        </w:tc>
      </w:tr>
      <w:tr>
        <w:trPr>
          <w:trHeight w:val="316" w:hRule="atLeast"/>
        </w:trPr>
        <w:tc>
          <w:tcPr>
            <w:tcW w:w="1910" w:type="dxa"/>
          </w:tcPr>
          <w:p>
            <w:pPr>
              <w:pStyle w:val="TableParagraph"/>
              <w:spacing w:before="25"/>
              <w:rPr>
                <w:sz w:val="21"/>
              </w:rPr>
            </w:pPr>
            <w:r>
              <w:rPr>
                <w:spacing w:val="-5"/>
                <w:sz w:val="21"/>
              </w:rPr>
              <w:t>Ⅰ期</w:t>
            </w:r>
          </w:p>
        </w:tc>
        <w:tc>
          <w:tcPr>
            <w:tcW w:w="1843" w:type="dxa"/>
          </w:tcPr>
          <w:p>
            <w:pPr>
              <w:pStyle w:val="TableParagraph"/>
              <w:spacing w:before="25"/>
              <w:rPr>
                <w:sz w:val="21"/>
              </w:rPr>
            </w:pPr>
            <w:r>
              <w:rPr>
                <w:spacing w:val="-5"/>
                <w:sz w:val="21"/>
              </w:rPr>
              <w:t>任何</w:t>
            </w:r>
          </w:p>
        </w:tc>
        <w:tc>
          <w:tcPr>
            <w:tcW w:w="1627" w:type="dxa"/>
          </w:tcPr>
          <w:p>
            <w:pPr>
              <w:pStyle w:val="TableParagraph"/>
              <w:spacing w:before="25"/>
              <w:rPr>
                <w:sz w:val="21"/>
              </w:rPr>
            </w:pPr>
            <w:r>
              <w:rPr>
                <w:spacing w:val="-5"/>
                <w:sz w:val="21"/>
              </w:rPr>
              <w:t>任何</w:t>
            </w:r>
          </w:p>
        </w:tc>
        <w:tc>
          <w:tcPr>
            <w:tcW w:w="1776" w:type="dxa"/>
          </w:tcPr>
          <w:p>
            <w:pPr>
              <w:pStyle w:val="TableParagraph"/>
              <w:spacing w:before="25"/>
              <w:ind w:left="111"/>
              <w:rPr>
                <w:sz w:val="21"/>
              </w:rPr>
            </w:pPr>
            <w:r>
              <w:rPr>
                <w:w w:val="100"/>
                <w:sz w:val="21"/>
              </w:rPr>
              <w:t>0</w:t>
            </w:r>
          </w:p>
        </w:tc>
      </w:tr>
      <w:tr>
        <w:trPr>
          <w:trHeight w:val="311" w:hRule="atLeast"/>
        </w:trPr>
        <w:tc>
          <w:tcPr>
            <w:tcW w:w="1910" w:type="dxa"/>
          </w:tcPr>
          <w:p>
            <w:pPr>
              <w:pStyle w:val="TableParagraph"/>
              <w:spacing w:before="20"/>
              <w:rPr>
                <w:sz w:val="21"/>
              </w:rPr>
            </w:pPr>
            <w:r>
              <w:rPr>
                <w:spacing w:val="-5"/>
                <w:sz w:val="21"/>
              </w:rPr>
              <w:t>Ⅱ期</w:t>
            </w:r>
          </w:p>
        </w:tc>
        <w:tc>
          <w:tcPr>
            <w:tcW w:w="1843" w:type="dxa"/>
          </w:tcPr>
          <w:p>
            <w:pPr>
              <w:pStyle w:val="TableParagraph"/>
              <w:spacing w:before="20"/>
              <w:rPr>
                <w:sz w:val="21"/>
              </w:rPr>
            </w:pPr>
            <w:r>
              <w:rPr>
                <w:spacing w:val="-5"/>
                <w:sz w:val="21"/>
              </w:rPr>
              <w:t>任何</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1</w:t>
            </w:r>
          </w:p>
        </w:tc>
      </w:tr>
    </w:tbl>
    <w:p>
      <w:pPr>
        <w:spacing w:after="0"/>
        <w:rPr>
          <w:sz w:val="21"/>
        </w:rPr>
        <w:sectPr>
          <w:pgSz w:w="11910" w:h="16840"/>
          <w:pgMar w:top="1080" w:bottom="1153" w:left="920" w:right="820"/>
        </w:sectPr>
      </w:pPr>
    </w:p>
    <w:tbl>
      <w:tblPr>
        <w:tblW w:w="0" w:type="auto"/>
        <w:jc w:val="left"/>
        <w:tblInd w:w="2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0"/>
        <w:gridCol w:w="1843"/>
        <w:gridCol w:w="1627"/>
        <w:gridCol w:w="1776"/>
      </w:tblGrid>
      <w:tr>
        <w:trPr>
          <w:trHeight w:val="311" w:hRule="atLeast"/>
        </w:trPr>
        <w:tc>
          <w:tcPr>
            <w:tcW w:w="7156" w:type="dxa"/>
            <w:gridSpan w:val="4"/>
          </w:tcPr>
          <w:p>
            <w:pPr>
              <w:pStyle w:val="TableParagraph"/>
              <w:spacing w:before="20"/>
              <w:rPr>
                <w:sz w:val="21"/>
              </w:rPr>
            </w:pPr>
            <w:r>
              <w:rPr>
                <w:sz w:val="21"/>
              </w:rPr>
              <w:t>年龄≥55</w:t>
            </w:r>
            <w:r>
              <w:rPr>
                <w:spacing w:val="-32"/>
                <w:sz w:val="21"/>
              </w:rPr>
              <w:t> 岁</w:t>
            </w:r>
          </w:p>
        </w:tc>
      </w:tr>
      <w:tr>
        <w:trPr>
          <w:trHeight w:val="311" w:hRule="atLeast"/>
        </w:trPr>
        <w:tc>
          <w:tcPr>
            <w:tcW w:w="1910" w:type="dxa"/>
          </w:tcPr>
          <w:p>
            <w:pPr>
              <w:pStyle w:val="TableParagraph"/>
              <w:spacing w:before="20"/>
              <w:rPr>
                <w:sz w:val="21"/>
              </w:rPr>
            </w:pPr>
            <w:r>
              <w:rPr>
                <w:spacing w:val="-5"/>
                <w:sz w:val="21"/>
              </w:rPr>
              <w:t>Ⅰ期</w:t>
            </w:r>
          </w:p>
        </w:tc>
        <w:tc>
          <w:tcPr>
            <w:tcW w:w="1843" w:type="dxa"/>
          </w:tcPr>
          <w:p>
            <w:pPr>
              <w:pStyle w:val="TableParagraph"/>
              <w:spacing w:before="20"/>
              <w:rPr>
                <w:sz w:val="21"/>
              </w:rPr>
            </w:pPr>
            <w:r>
              <w:rPr>
                <w:w w:val="100"/>
                <w:sz w:val="21"/>
              </w:rPr>
              <w:t>1</w:t>
            </w:r>
          </w:p>
        </w:tc>
        <w:tc>
          <w:tcPr>
            <w:tcW w:w="1627" w:type="dxa"/>
          </w:tcPr>
          <w:p>
            <w:pPr>
              <w:pStyle w:val="TableParagraph"/>
              <w:spacing w:before="20"/>
              <w:rPr>
                <w:sz w:val="21"/>
              </w:rPr>
            </w:pPr>
            <w:r>
              <w:rPr>
                <w:spacing w:val="-5"/>
                <w:sz w:val="21"/>
              </w:rPr>
              <w:t>0/x</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ind w:left="0"/>
              <w:rPr>
                <w:rFonts w:ascii="Times New Roman"/>
                <w:sz w:val="20"/>
              </w:rPr>
            </w:pPr>
          </w:p>
        </w:tc>
        <w:tc>
          <w:tcPr>
            <w:tcW w:w="1843" w:type="dxa"/>
          </w:tcPr>
          <w:p>
            <w:pPr>
              <w:pStyle w:val="TableParagraph"/>
              <w:spacing w:line="248" w:lineRule="exact" w:before="20"/>
              <w:rPr>
                <w:sz w:val="21"/>
              </w:rPr>
            </w:pPr>
            <w:r>
              <w:rPr>
                <w:w w:val="100"/>
                <w:sz w:val="21"/>
              </w:rPr>
              <w:t>2</w:t>
            </w:r>
          </w:p>
          <w:p>
            <w:pPr>
              <w:pStyle w:val="TableParagraph"/>
              <w:spacing w:line="23" w:lineRule="exact"/>
              <w:ind w:left="148"/>
              <w:rPr>
                <w:sz w:val="4"/>
              </w:rPr>
            </w:pPr>
            <w:r>
              <w:rPr>
                <w:w w:val="72"/>
                <w:sz w:val="4"/>
              </w:rPr>
              <w:t>●</w:t>
            </w:r>
          </w:p>
        </w:tc>
        <w:tc>
          <w:tcPr>
            <w:tcW w:w="1627" w:type="dxa"/>
          </w:tcPr>
          <w:p>
            <w:pPr>
              <w:pStyle w:val="TableParagraph"/>
              <w:spacing w:before="20"/>
              <w:rPr>
                <w:sz w:val="21"/>
              </w:rPr>
            </w:pPr>
            <w:r>
              <w:rPr>
                <w:spacing w:val="-5"/>
                <w:sz w:val="21"/>
              </w:rPr>
              <w:t>0/x</w:t>
            </w:r>
          </w:p>
        </w:tc>
        <w:tc>
          <w:tcPr>
            <w:tcW w:w="1776" w:type="dxa"/>
          </w:tcPr>
          <w:p>
            <w:pPr>
              <w:pStyle w:val="TableParagraph"/>
              <w:spacing w:before="20"/>
              <w:rPr>
                <w:sz w:val="21"/>
              </w:rPr>
            </w:pPr>
            <w:r>
              <w:rPr>
                <w:w w:val="100"/>
                <w:sz w:val="21"/>
              </w:rPr>
              <w:t>0</w:t>
            </w:r>
          </w:p>
        </w:tc>
      </w:tr>
      <w:tr>
        <w:trPr>
          <w:trHeight w:val="316" w:hRule="atLeast"/>
        </w:trPr>
        <w:tc>
          <w:tcPr>
            <w:tcW w:w="1910" w:type="dxa"/>
          </w:tcPr>
          <w:p>
            <w:pPr>
              <w:pStyle w:val="TableParagraph"/>
              <w:spacing w:line="248" w:lineRule="exact" w:before="25"/>
              <w:rPr>
                <w:sz w:val="21"/>
              </w:rPr>
            </w:pPr>
            <w:r>
              <w:rPr>
                <w:spacing w:val="-5"/>
                <w:sz w:val="21"/>
              </w:rPr>
              <w:t>Ⅱ期</w:t>
            </w:r>
          </w:p>
          <w:p>
            <w:pPr>
              <w:pStyle w:val="TableParagraph"/>
              <w:spacing w:line="23" w:lineRule="exact"/>
              <w:ind w:left="148"/>
              <w:rPr>
                <w:sz w:val="4"/>
              </w:rPr>
            </w:pPr>
            <w:r>
              <w:rPr>
                <w:w w:val="72"/>
                <w:sz w:val="4"/>
              </w:rPr>
              <w:t>●</w:t>
            </w:r>
          </w:p>
        </w:tc>
        <w:tc>
          <w:tcPr>
            <w:tcW w:w="1843" w:type="dxa"/>
          </w:tcPr>
          <w:p>
            <w:pPr>
              <w:pStyle w:val="TableParagraph"/>
              <w:spacing w:before="25"/>
              <w:rPr>
                <w:sz w:val="21"/>
              </w:rPr>
            </w:pPr>
            <w:r>
              <w:rPr>
                <w:spacing w:val="-5"/>
                <w:sz w:val="21"/>
              </w:rPr>
              <w:t>1～2</w:t>
            </w:r>
          </w:p>
        </w:tc>
        <w:tc>
          <w:tcPr>
            <w:tcW w:w="1627" w:type="dxa"/>
          </w:tcPr>
          <w:p>
            <w:pPr>
              <w:pStyle w:val="TableParagraph"/>
              <w:spacing w:before="25"/>
              <w:rPr>
                <w:sz w:val="21"/>
              </w:rPr>
            </w:pPr>
            <w:r>
              <w:rPr>
                <w:w w:val="100"/>
                <w:sz w:val="21"/>
              </w:rPr>
              <w:t>1</w:t>
            </w:r>
          </w:p>
        </w:tc>
        <w:tc>
          <w:tcPr>
            <w:tcW w:w="1776" w:type="dxa"/>
          </w:tcPr>
          <w:p>
            <w:pPr>
              <w:pStyle w:val="TableParagraph"/>
              <w:spacing w:before="25"/>
              <w:rPr>
                <w:sz w:val="21"/>
              </w:rPr>
            </w:pPr>
            <w:r>
              <w:rPr>
                <w:w w:val="100"/>
                <w:sz w:val="21"/>
              </w:rPr>
              <w:t>0</w:t>
            </w:r>
          </w:p>
        </w:tc>
      </w:tr>
      <w:tr>
        <w:trPr>
          <w:trHeight w:val="311" w:hRule="atLeast"/>
        </w:trPr>
        <w:tc>
          <w:tcPr>
            <w:tcW w:w="1910" w:type="dxa"/>
          </w:tcPr>
          <w:p>
            <w:pPr>
              <w:pStyle w:val="TableParagraph"/>
              <w:ind w:left="0"/>
              <w:rPr>
                <w:rFonts w:ascii="Times New Roman"/>
                <w:sz w:val="20"/>
              </w:rPr>
            </w:pPr>
          </w:p>
        </w:tc>
        <w:tc>
          <w:tcPr>
            <w:tcW w:w="1843" w:type="dxa"/>
          </w:tcPr>
          <w:p>
            <w:pPr>
              <w:pStyle w:val="TableParagraph"/>
              <w:spacing w:before="20"/>
              <w:rPr>
                <w:sz w:val="21"/>
              </w:rPr>
            </w:pPr>
            <w:r>
              <w:rPr>
                <w:spacing w:val="-2"/>
                <w:sz w:val="21"/>
              </w:rPr>
              <w:t>3a～3b</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pacing w:val="-5"/>
                <w:sz w:val="21"/>
              </w:rPr>
              <w:t>Ⅲ期</w:t>
            </w:r>
          </w:p>
        </w:tc>
        <w:tc>
          <w:tcPr>
            <w:tcW w:w="1843" w:type="dxa"/>
          </w:tcPr>
          <w:p>
            <w:pPr>
              <w:pStyle w:val="TableParagraph"/>
              <w:spacing w:before="20"/>
              <w:rPr>
                <w:sz w:val="21"/>
              </w:rPr>
            </w:pPr>
            <w:r>
              <w:rPr>
                <w:spacing w:val="-5"/>
                <w:sz w:val="21"/>
              </w:rPr>
              <w:t>4a</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ⅣA</w:t>
            </w:r>
            <w:r>
              <w:rPr>
                <w:spacing w:val="-32"/>
                <w:sz w:val="21"/>
              </w:rPr>
              <w:t> 期</w:t>
            </w:r>
          </w:p>
        </w:tc>
        <w:tc>
          <w:tcPr>
            <w:tcW w:w="1843" w:type="dxa"/>
          </w:tcPr>
          <w:p>
            <w:pPr>
              <w:pStyle w:val="TableParagraph"/>
              <w:spacing w:before="20"/>
              <w:rPr>
                <w:sz w:val="21"/>
              </w:rPr>
            </w:pPr>
            <w:r>
              <w:rPr>
                <w:spacing w:val="-5"/>
                <w:sz w:val="21"/>
              </w:rPr>
              <w:t>4b</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ⅣB</w:t>
            </w:r>
            <w:r>
              <w:rPr>
                <w:spacing w:val="-32"/>
                <w:sz w:val="21"/>
              </w:rPr>
              <w:t> 期</w:t>
            </w:r>
          </w:p>
        </w:tc>
        <w:tc>
          <w:tcPr>
            <w:tcW w:w="1843" w:type="dxa"/>
          </w:tcPr>
          <w:p>
            <w:pPr>
              <w:pStyle w:val="TableParagraph"/>
              <w:spacing w:before="20"/>
              <w:rPr>
                <w:sz w:val="21"/>
              </w:rPr>
            </w:pPr>
            <w:r>
              <w:rPr>
                <w:spacing w:val="-5"/>
                <w:sz w:val="21"/>
              </w:rPr>
              <w:t>任何</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1</w:t>
            </w:r>
          </w:p>
        </w:tc>
      </w:tr>
      <w:tr>
        <w:trPr>
          <w:trHeight w:val="311" w:hRule="atLeast"/>
        </w:trPr>
        <w:tc>
          <w:tcPr>
            <w:tcW w:w="7156" w:type="dxa"/>
            <w:gridSpan w:val="4"/>
          </w:tcPr>
          <w:p>
            <w:pPr>
              <w:pStyle w:val="TableParagraph"/>
              <w:spacing w:before="20"/>
              <w:rPr>
                <w:sz w:val="21"/>
              </w:rPr>
            </w:pPr>
            <w:r>
              <w:rPr>
                <w:spacing w:val="-2"/>
                <w:sz w:val="21"/>
              </w:rPr>
              <w:t>髓样癌（所有年龄组</w:t>
            </w:r>
            <w:r>
              <w:rPr>
                <w:spacing w:val="-10"/>
                <w:sz w:val="21"/>
              </w:rPr>
              <w:t>）</w:t>
            </w:r>
          </w:p>
        </w:tc>
      </w:tr>
      <w:tr>
        <w:trPr>
          <w:trHeight w:val="311" w:hRule="atLeast"/>
        </w:trPr>
        <w:tc>
          <w:tcPr>
            <w:tcW w:w="1910" w:type="dxa"/>
          </w:tcPr>
          <w:p>
            <w:pPr>
              <w:pStyle w:val="TableParagraph"/>
              <w:spacing w:before="20"/>
              <w:rPr>
                <w:sz w:val="21"/>
              </w:rPr>
            </w:pPr>
            <w:r>
              <w:rPr>
                <w:spacing w:val="-5"/>
                <w:sz w:val="21"/>
              </w:rPr>
              <w:t>Ⅰ期</w:t>
            </w:r>
          </w:p>
        </w:tc>
        <w:tc>
          <w:tcPr>
            <w:tcW w:w="1843" w:type="dxa"/>
          </w:tcPr>
          <w:p>
            <w:pPr>
              <w:pStyle w:val="TableParagraph"/>
              <w:spacing w:before="20"/>
              <w:rPr>
                <w:sz w:val="21"/>
              </w:rPr>
            </w:pPr>
            <w:r>
              <w:rPr>
                <w:w w:val="100"/>
                <w:sz w:val="21"/>
              </w:rPr>
              <w:t>1</w:t>
            </w:r>
          </w:p>
        </w:tc>
        <w:tc>
          <w:tcPr>
            <w:tcW w:w="1627" w:type="dxa"/>
          </w:tcPr>
          <w:p>
            <w:pPr>
              <w:pStyle w:val="TableParagraph"/>
              <w:spacing w:before="20"/>
              <w:rPr>
                <w:sz w:val="21"/>
              </w:rPr>
            </w:pPr>
            <w:r>
              <w:rPr>
                <w:w w:val="100"/>
                <w:sz w:val="21"/>
              </w:rPr>
              <w:t>0</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pacing w:val="-5"/>
                <w:sz w:val="21"/>
              </w:rPr>
              <w:t>Ⅱ期</w:t>
            </w:r>
          </w:p>
        </w:tc>
        <w:tc>
          <w:tcPr>
            <w:tcW w:w="1843" w:type="dxa"/>
          </w:tcPr>
          <w:p>
            <w:pPr>
              <w:pStyle w:val="TableParagraph"/>
              <w:spacing w:before="20"/>
              <w:rPr>
                <w:sz w:val="21"/>
              </w:rPr>
            </w:pPr>
            <w:r>
              <w:rPr>
                <w:spacing w:val="-5"/>
                <w:sz w:val="21"/>
              </w:rPr>
              <w:t>2～3</w:t>
            </w:r>
          </w:p>
        </w:tc>
        <w:tc>
          <w:tcPr>
            <w:tcW w:w="1627" w:type="dxa"/>
          </w:tcPr>
          <w:p>
            <w:pPr>
              <w:pStyle w:val="TableParagraph"/>
              <w:spacing w:before="20"/>
              <w:rPr>
                <w:sz w:val="21"/>
              </w:rPr>
            </w:pPr>
            <w:r>
              <w:rPr>
                <w:w w:val="100"/>
                <w:sz w:val="21"/>
              </w:rPr>
              <w:t>0</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pacing w:val="-5"/>
                <w:sz w:val="21"/>
              </w:rPr>
              <w:t>Ⅲ期</w:t>
            </w:r>
          </w:p>
        </w:tc>
        <w:tc>
          <w:tcPr>
            <w:tcW w:w="1843" w:type="dxa"/>
          </w:tcPr>
          <w:p>
            <w:pPr>
              <w:pStyle w:val="TableParagraph"/>
              <w:spacing w:before="20"/>
              <w:rPr>
                <w:sz w:val="21"/>
              </w:rPr>
            </w:pPr>
            <w:r>
              <w:rPr>
                <w:spacing w:val="-5"/>
                <w:sz w:val="21"/>
              </w:rPr>
              <w:t>1～3</w:t>
            </w:r>
          </w:p>
        </w:tc>
        <w:tc>
          <w:tcPr>
            <w:tcW w:w="1627" w:type="dxa"/>
          </w:tcPr>
          <w:p>
            <w:pPr>
              <w:pStyle w:val="TableParagraph"/>
              <w:spacing w:before="20"/>
              <w:rPr>
                <w:sz w:val="21"/>
              </w:rPr>
            </w:pPr>
            <w:r>
              <w:rPr>
                <w:spacing w:val="-5"/>
                <w:sz w:val="21"/>
              </w:rPr>
              <w:t>1a</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ⅣA</w:t>
            </w:r>
            <w:r>
              <w:rPr>
                <w:spacing w:val="-32"/>
                <w:sz w:val="21"/>
              </w:rPr>
              <w:t> 期</w:t>
            </w:r>
          </w:p>
        </w:tc>
        <w:tc>
          <w:tcPr>
            <w:tcW w:w="1843" w:type="dxa"/>
          </w:tcPr>
          <w:p>
            <w:pPr>
              <w:pStyle w:val="TableParagraph"/>
              <w:spacing w:before="20"/>
              <w:rPr>
                <w:sz w:val="21"/>
              </w:rPr>
            </w:pPr>
            <w:r>
              <w:rPr>
                <w:spacing w:val="-5"/>
                <w:sz w:val="21"/>
              </w:rPr>
              <w:t>4a</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ind w:left="0"/>
              <w:rPr>
                <w:rFonts w:ascii="Times New Roman"/>
                <w:sz w:val="20"/>
              </w:rPr>
            </w:pPr>
          </w:p>
        </w:tc>
        <w:tc>
          <w:tcPr>
            <w:tcW w:w="1843" w:type="dxa"/>
          </w:tcPr>
          <w:p>
            <w:pPr>
              <w:pStyle w:val="TableParagraph"/>
              <w:spacing w:before="20"/>
              <w:rPr>
                <w:sz w:val="21"/>
              </w:rPr>
            </w:pPr>
            <w:r>
              <w:rPr>
                <w:spacing w:val="-5"/>
                <w:sz w:val="21"/>
              </w:rPr>
              <w:t>1～3</w:t>
            </w:r>
          </w:p>
        </w:tc>
        <w:tc>
          <w:tcPr>
            <w:tcW w:w="1627" w:type="dxa"/>
          </w:tcPr>
          <w:p>
            <w:pPr>
              <w:pStyle w:val="TableParagraph"/>
              <w:spacing w:before="20"/>
              <w:rPr>
                <w:sz w:val="21"/>
              </w:rPr>
            </w:pPr>
            <w:r>
              <w:rPr>
                <w:spacing w:val="-5"/>
                <w:sz w:val="21"/>
              </w:rPr>
              <w:t>1b</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ⅣB</w:t>
            </w:r>
            <w:r>
              <w:rPr>
                <w:spacing w:val="-32"/>
                <w:sz w:val="21"/>
              </w:rPr>
              <w:t> 期</w:t>
            </w:r>
          </w:p>
        </w:tc>
        <w:tc>
          <w:tcPr>
            <w:tcW w:w="1843" w:type="dxa"/>
          </w:tcPr>
          <w:p>
            <w:pPr>
              <w:pStyle w:val="TableParagraph"/>
              <w:spacing w:before="20"/>
              <w:rPr>
                <w:sz w:val="21"/>
              </w:rPr>
            </w:pPr>
            <w:r>
              <w:rPr>
                <w:spacing w:val="-5"/>
                <w:sz w:val="21"/>
              </w:rPr>
              <w:t>4b</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6" w:hRule="atLeast"/>
        </w:trPr>
        <w:tc>
          <w:tcPr>
            <w:tcW w:w="1910" w:type="dxa"/>
          </w:tcPr>
          <w:p>
            <w:pPr>
              <w:pStyle w:val="TableParagraph"/>
              <w:spacing w:before="25"/>
              <w:rPr>
                <w:sz w:val="21"/>
              </w:rPr>
            </w:pPr>
            <w:r>
              <w:rPr>
                <w:sz w:val="21"/>
              </w:rPr>
              <w:t>ⅣC</w:t>
            </w:r>
            <w:r>
              <w:rPr>
                <w:spacing w:val="-32"/>
                <w:sz w:val="21"/>
              </w:rPr>
              <w:t> 期</w:t>
            </w:r>
          </w:p>
        </w:tc>
        <w:tc>
          <w:tcPr>
            <w:tcW w:w="1843" w:type="dxa"/>
          </w:tcPr>
          <w:p>
            <w:pPr>
              <w:pStyle w:val="TableParagraph"/>
              <w:spacing w:before="25"/>
              <w:rPr>
                <w:sz w:val="21"/>
              </w:rPr>
            </w:pPr>
            <w:r>
              <w:rPr>
                <w:spacing w:val="-5"/>
                <w:sz w:val="21"/>
              </w:rPr>
              <w:t>任何</w:t>
            </w:r>
          </w:p>
        </w:tc>
        <w:tc>
          <w:tcPr>
            <w:tcW w:w="1627" w:type="dxa"/>
          </w:tcPr>
          <w:p>
            <w:pPr>
              <w:pStyle w:val="TableParagraph"/>
              <w:spacing w:before="25"/>
              <w:rPr>
                <w:sz w:val="21"/>
              </w:rPr>
            </w:pPr>
            <w:r>
              <w:rPr>
                <w:spacing w:val="-5"/>
                <w:sz w:val="21"/>
              </w:rPr>
              <w:t>任何</w:t>
            </w:r>
          </w:p>
        </w:tc>
        <w:tc>
          <w:tcPr>
            <w:tcW w:w="1776" w:type="dxa"/>
          </w:tcPr>
          <w:p>
            <w:pPr>
              <w:pStyle w:val="TableParagraph"/>
              <w:spacing w:before="25"/>
              <w:ind w:left="111"/>
              <w:rPr>
                <w:sz w:val="21"/>
              </w:rPr>
            </w:pPr>
            <w:r>
              <w:rPr>
                <w:w w:val="100"/>
                <w:sz w:val="21"/>
              </w:rPr>
              <w:t>1</w:t>
            </w:r>
          </w:p>
        </w:tc>
      </w:tr>
      <w:tr>
        <w:trPr>
          <w:trHeight w:val="311" w:hRule="atLeast"/>
        </w:trPr>
        <w:tc>
          <w:tcPr>
            <w:tcW w:w="7156" w:type="dxa"/>
            <w:gridSpan w:val="4"/>
          </w:tcPr>
          <w:p>
            <w:pPr>
              <w:pStyle w:val="TableParagraph"/>
              <w:spacing w:before="20"/>
              <w:rPr>
                <w:sz w:val="21"/>
              </w:rPr>
            </w:pPr>
            <w:r>
              <w:rPr>
                <w:spacing w:val="-2"/>
                <w:sz w:val="21"/>
              </w:rPr>
              <w:t>未分化癌（所有年龄组</w:t>
            </w:r>
            <w:r>
              <w:rPr>
                <w:spacing w:val="-10"/>
                <w:sz w:val="21"/>
              </w:rPr>
              <w:t>）</w:t>
            </w:r>
          </w:p>
        </w:tc>
      </w:tr>
      <w:tr>
        <w:trPr>
          <w:trHeight w:val="311" w:hRule="atLeast"/>
        </w:trPr>
        <w:tc>
          <w:tcPr>
            <w:tcW w:w="1910" w:type="dxa"/>
          </w:tcPr>
          <w:p>
            <w:pPr>
              <w:pStyle w:val="TableParagraph"/>
              <w:spacing w:before="20"/>
              <w:rPr>
                <w:sz w:val="21"/>
              </w:rPr>
            </w:pPr>
            <w:r>
              <w:rPr>
                <w:sz w:val="21"/>
              </w:rPr>
              <w:t>ⅣA</w:t>
            </w:r>
            <w:r>
              <w:rPr>
                <w:spacing w:val="-32"/>
                <w:sz w:val="21"/>
              </w:rPr>
              <w:t> 期</w:t>
            </w:r>
          </w:p>
        </w:tc>
        <w:tc>
          <w:tcPr>
            <w:tcW w:w="1843" w:type="dxa"/>
          </w:tcPr>
          <w:p>
            <w:pPr>
              <w:pStyle w:val="TableParagraph"/>
              <w:spacing w:before="20"/>
              <w:rPr>
                <w:sz w:val="21"/>
              </w:rPr>
            </w:pPr>
            <w:r>
              <w:rPr>
                <w:spacing w:val="-4"/>
                <w:sz w:val="21"/>
              </w:rPr>
              <w:t>1～3a</w:t>
            </w:r>
          </w:p>
        </w:tc>
        <w:tc>
          <w:tcPr>
            <w:tcW w:w="1627" w:type="dxa"/>
          </w:tcPr>
          <w:p>
            <w:pPr>
              <w:pStyle w:val="TableParagraph"/>
              <w:spacing w:before="20"/>
              <w:rPr>
                <w:sz w:val="21"/>
              </w:rPr>
            </w:pPr>
            <w:r>
              <w:rPr>
                <w:spacing w:val="-5"/>
                <w:sz w:val="21"/>
              </w:rPr>
              <w:t>0/x</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ⅣB</w:t>
            </w:r>
            <w:r>
              <w:rPr>
                <w:spacing w:val="-32"/>
                <w:sz w:val="21"/>
              </w:rPr>
              <w:t> 期</w:t>
            </w:r>
          </w:p>
        </w:tc>
        <w:tc>
          <w:tcPr>
            <w:tcW w:w="1843" w:type="dxa"/>
          </w:tcPr>
          <w:p>
            <w:pPr>
              <w:pStyle w:val="TableParagraph"/>
              <w:spacing w:before="20"/>
              <w:rPr>
                <w:sz w:val="21"/>
              </w:rPr>
            </w:pPr>
            <w:r>
              <w:rPr>
                <w:spacing w:val="-4"/>
                <w:sz w:val="21"/>
              </w:rPr>
              <w:t>1～3a</w:t>
            </w:r>
          </w:p>
        </w:tc>
        <w:tc>
          <w:tcPr>
            <w:tcW w:w="1627" w:type="dxa"/>
          </w:tcPr>
          <w:p>
            <w:pPr>
              <w:pStyle w:val="TableParagraph"/>
              <w:spacing w:before="20"/>
              <w:rPr>
                <w:sz w:val="21"/>
              </w:rPr>
            </w:pPr>
            <w:r>
              <w:rPr>
                <w:w w:val="100"/>
                <w:sz w:val="21"/>
              </w:rPr>
              <w:t>1</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ind w:left="0"/>
              <w:rPr>
                <w:rFonts w:ascii="Times New Roman"/>
                <w:sz w:val="20"/>
              </w:rPr>
            </w:pPr>
          </w:p>
        </w:tc>
        <w:tc>
          <w:tcPr>
            <w:tcW w:w="1843" w:type="dxa"/>
          </w:tcPr>
          <w:p>
            <w:pPr>
              <w:pStyle w:val="TableParagraph"/>
              <w:spacing w:before="20"/>
              <w:rPr>
                <w:sz w:val="21"/>
              </w:rPr>
            </w:pPr>
            <w:r>
              <w:rPr>
                <w:spacing w:val="-4"/>
                <w:sz w:val="21"/>
              </w:rPr>
              <w:t>3b～4</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0</w:t>
            </w:r>
          </w:p>
        </w:tc>
      </w:tr>
      <w:tr>
        <w:trPr>
          <w:trHeight w:val="311" w:hRule="atLeast"/>
        </w:trPr>
        <w:tc>
          <w:tcPr>
            <w:tcW w:w="1910" w:type="dxa"/>
          </w:tcPr>
          <w:p>
            <w:pPr>
              <w:pStyle w:val="TableParagraph"/>
              <w:spacing w:before="20"/>
              <w:rPr>
                <w:sz w:val="21"/>
              </w:rPr>
            </w:pPr>
            <w:r>
              <w:rPr>
                <w:sz w:val="21"/>
              </w:rPr>
              <w:t>ⅣC</w:t>
            </w:r>
            <w:r>
              <w:rPr>
                <w:spacing w:val="-32"/>
                <w:sz w:val="21"/>
              </w:rPr>
              <w:t> 期</w:t>
            </w:r>
          </w:p>
        </w:tc>
        <w:tc>
          <w:tcPr>
            <w:tcW w:w="1843" w:type="dxa"/>
          </w:tcPr>
          <w:p>
            <w:pPr>
              <w:pStyle w:val="TableParagraph"/>
              <w:spacing w:before="20"/>
              <w:rPr>
                <w:sz w:val="21"/>
              </w:rPr>
            </w:pPr>
            <w:r>
              <w:rPr>
                <w:spacing w:val="-5"/>
                <w:sz w:val="21"/>
              </w:rPr>
              <w:t>任何</w:t>
            </w:r>
          </w:p>
        </w:tc>
        <w:tc>
          <w:tcPr>
            <w:tcW w:w="1627" w:type="dxa"/>
          </w:tcPr>
          <w:p>
            <w:pPr>
              <w:pStyle w:val="TableParagraph"/>
              <w:spacing w:before="20"/>
              <w:rPr>
                <w:sz w:val="21"/>
              </w:rPr>
            </w:pPr>
            <w:r>
              <w:rPr>
                <w:spacing w:val="-5"/>
                <w:sz w:val="21"/>
              </w:rPr>
              <w:t>任何</w:t>
            </w:r>
          </w:p>
        </w:tc>
        <w:tc>
          <w:tcPr>
            <w:tcW w:w="1776" w:type="dxa"/>
          </w:tcPr>
          <w:p>
            <w:pPr>
              <w:pStyle w:val="TableParagraph"/>
              <w:spacing w:before="20"/>
              <w:ind w:left="111"/>
              <w:rPr>
                <w:sz w:val="21"/>
              </w:rPr>
            </w:pPr>
            <w:r>
              <w:rPr>
                <w:w w:val="100"/>
                <w:sz w:val="21"/>
              </w:rPr>
              <w:t>1</w:t>
            </w:r>
          </w:p>
        </w:tc>
      </w:tr>
    </w:tbl>
    <w:p>
      <w:pPr>
        <w:pStyle w:val="BodyText"/>
        <w:spacing w:before="132"/>
        <w:ind w:left="2569"/>
      </w:pPr>
      <w:r>
        <w:rPr>
          <w:spacing w:val="-3"/>
        </w:rPr>
        <w:t>注：以上表格中“年龄”指患者病理组织标本获取日期时的年龄。</w:t>
      </w:r>
    </w:p>
    <w:p>
      <w:pPr>
        <w:pStyle w:val="BodyText"/>
        <w:spacing w:before="5"/>
        <w:rPr>
          <w:sz w:val="22"/>
        </w:rPr>
      </w:pPr>
    </w:p>
    <w:p>
      <w:pPr>
        <w:pStyle w:val="Heading3"/>
        <w:spacing w:before="1"/>
      </w:pPr>
      <w:r>
        <w:rPr/>
        <w:t>（五）</w:t>
      </w:r>
      <w:r>
        <w:rPr>
          <w:spacing w:val="-5"/>
        </w:rPr>
        <w:t>肢体</w:t>
      </w:r>
    </w:p>
    <w:p>
      <w:pPr>
        <w:pStyle w:val="BodyText"/>
        <w:spacing w:line="265" w:lineRule="exact"/>
        <w:ind w:left="2569"/>
      </w:pPr>
      <w:r>
        <w:rPr>
          <w:spacing w:val="-3"/>
        </w:rPr>
        <w:t>肢体是指包括肩关节的整个上肢或包括髋关节的整个下肢。</w:t>
      </w:r>
    </w:p>
    <w:p>
      <w:pPr>
        <w:pStyle w:val="BodyText"/>
        <w:spacing w:before="5"/>
        <w:rPr>
          <w:sz w:val="22"/>
        </w:rPr>
      </w:pPr>
    </w:p>
    <w:p>
      <w:pPr>
        <w:pStyle w:val="Heading3"/>
        <w:spacing w:line="320" w:lineRule="exact"/>
      </w:pPr>
      <w:r>
        <w:rPr/>
        <w:t>（六）</w:t>
      </w:r>
      <w:r>
        <w:rPr>
          <w:spacing w:val="-5"/>
        </w:rPr>
        <w:t>肌力</w:t>
      </w:r>
    </w:p>
    <w:p>
      <w:pPr>
        <w:spacing w:line="26" w:lineRule="exact" w:before="0"/>
        <w:ind w:left="3241" w:right="0" w:firstLine="0"/>
        <w:jc w:val="left"/>
        <w:rPr>
          <w:sz w:val="4"/>
        </w:rPr>
      </w:pPr>
      <w:r>
        <w:rPr>
          <w:w w:val="72"/>
          <w:sz w:val="4"/>
        </w:rPr>
        <w:t>●</w:t>
      </w:r>
    </w:p>
    <w:p>
      <w:pPr>
        <w:pStyle w:val="BodyText"/>
        <w:spacing w:line="278" w:lineRule="auto" w:before="33"/>
        <w:ind w:left="2608" w:right="2720"/>
      </w:pPr>
      <w:r>
        <w:rPr>
          <w:spacing w:val="-4"/>
        </w:rPr>
        <w:t>指肌肉收缩时的力量。肌力划分为 </w:t>
      </w:r>
      <w:r>
        <w:rPr/>
        <w:t>0-5</w:t>
      </w:r>
      <w:r>
        <w:rPr>
          <w:spacing w:val="-9"/>
        </w:rPr>
        <w:t> 级，具体为：</w:t>
      </w:r>
      <w:r>
        <w:rPr/>
        <w:t> 0</w:t>
      </w:r>
      <w:r>
        <w:rPr>
          <w:spacing w:val="-7"/>
        </w:rPr>
        <w:t> 级：肌肉完全瘫痪，毫无收缩。</w:t>
      </w:r>
    </w:p>
    <w:p>
      <w:pPr>
        <w:pStyle w:val="ListParagraph"/>
        <w:numPr>
          <w:ilvl w:val="0"/>
          <w:numId w:val="62"/>
        </w:numPr>
        <w:tabs>
          <w:tab w:pos="2767" w:val="left" w:leader="none"/>
        </w:tabs>
        <w:spacing w:line="269" w:lineRule="exact" w:before="0" w:after="0"/>
        <w:ind w:left="2766" w:right="0" w:hanging="159"/>
        <w:jc w:val="left"/>
        <w:rPr>
          <w:sz w:val="21"/>
        </w:rPr>
      </w:pPr>
      <w:r>
        <w:rPr>
          <w:spacing w:val="-3"/>
          <w:sz w:val="21"/>
        </w:rPr>
        <w:t>级：可看到或者触及肌肉轻微收缩，但不能产生动作。</w:t>
      </w:r>
    </w:p>
    <w:p>
      <w:pPr>
        <w:pStyle w:val="ListParagraph"/>
        <w:numPr>
          <w:ilvl w:val="0"/>
          <w:numId w:val="62"/>
        </w:numPr>
        <w:tabs>
          <w:tab w:pos="2767" w:val="left" w:leader="none"/>
        </w:tabs>
        <w:spacing w:line="278" w:lineRule="auto" w:before="43" w:after="0"/>
        <w:ind w:left="2569" w:right="301" w:firstLine="38"/>
        <w:jc w:val="left"/>
        <w:rPr>
          <w:sz w:val="21"/>
        </w:rPr>
      </w:pPr>
      <w:r>
        <w:rPr>
          <w:spacing w:val="-2"/>
          <w:sz w:val="21"/>
        </w:rPr>
        <w:t>级：肌肉在不受重力影响下，可进行运动，即肢体能在床面上移动，但不能抬</w:t>
      </w:r>
      <w:r>
        <w:rPr>
          <w:spacing w:val="-6"/>
          <w:sz w:val="21"/>
        </w:rPr>
        <w:t>高。</w:t>
      </w:r>
    </w:p>
    <w:p>
      <w:pPr>
        <w:pStyle w:val="ListParagraph"/>
        <w:numPr>
          <w:ilvl w:val="0"/>
          <w:numId w:val="62"/>
        </w:numPr>
        <w:tabs>
          <w:tab w:pos="2767" w:val="left" w:leader="none"/>
        </w:tabs>
        <w:spacing w:line="269" w:lineRule="exact" w:before="0" w:after="0"/>
        <w:ind w:left="2766" w:right="0" w:hanging="159"/>
        <w:jc w:val="left"/>
        <w:rPr>
          <w:sz w:val="21"/>
        </w:rPr>
      </w:pPr>
      <w:r>
        <w:rPr>
          <w:spacing w:val="-3"/>
          <w:sz w:val="21"/>
        </w:rPr>
        <w:t>级：在和地心引力相反的方向中尚能完成其动作，但不能对抗外加阻力。</w:t>
      </w:r>
    </w:p>
    <w:p>
      <w:pPr>
        <w:pStyle w:val="ListParagraph"/>
        <w:numPr>
          <w:ilvl w:val="0"/>
          <w:numId w:val="62"/>
        </w:numPr>
        <w:tabs>
          <w:tab w:pos="2767" w:val="left" w:leader="none"/>
        </w:tabs>
        <w:spacing w:line="240" w:lineRule="auto" w:before="43" w:after="0"/>
        <w:ind w:left="2766" w:right="0" w:hanging="159"/>
        <w:jc w:val="left"/>
        <w:rPr>
          <w:sz w:val="21"/>
        </w:rPr>
      </w:pPr>
      <w:r>
        <w:rPr>
          <w:spacing w:val="-3"/>
          <w:sz w:val="21"/>
        </w:rPr>
        <w:t>级：能对抗一定的阻力，但较正常人为低。</w:t>
      </w:r>
    </w:p>
    <w:p>
      <w:pPr>
        <w:pStyle w:val="ListParagraph"/>
        <w:numPr>
          <w:ilvl w:val="0"/>
          <w:numId w:val="62"/>
        </w:numPr>
        <w:tabs>
          <w:tab w:pos="2767" w:val="left" w:leader="none"/>
        </w:tabs>
        <w:spacing w:line="240" w:lineRule="auto" w:before="43" w:after="0"/>
        <w:ind w:left="2766" w:right="0" w:hanging="159"/>
        <w:jc w:val="left"/>
        <w:rPr>
          <w:sz w:val="21"/>
        </w:rPr>
      </w:pPr>
      <w:r>
        <w:rPr>
          <w:spacing w:val="-4"/>
          <w:sz w:val="21"/>
        </w:rPr>
        <w:t>级：正常肌力。</w:t>
      </w:r>
    </w:p>
    <w:p>
      <w:pPr>
        <w:pStyle w:val="BodyText"/>
        <w:spacing w:before="6"/>
        <w:rPr>
          <w:sz w:val="22"/>
        </w:rPr>
      </w:pPr>
    </w:p>
    <w:p>
      <w:pPr>
        <w:pStyle w:val="Heading3"/>
        <w:ind w:left="2608"/>
      </w:pPr>
      <w:r>
        <w:rPr>
          <w:spacing w:val="-2"/>
        </w:rPr>
        <w:t>（七）</w:t>
      </w:r>
      <w:r>
        <w:rPr>
          <w:spacing w:val="-3"/>
        </w:rPr>
        <w:t>语言能力完全丧失或严重咀嚼吞咽功能障碍</w:t>
      </w:r>
    </w:p>
    <w:p>
      <w:pPr>
        <w:pStyle w:val="BodyText"/>
        <w:spacing w:line="278" w:lineRule="auto"/>
        <w:ind w:left="2569" w:right="301" w:firstLine="38"/>
      </w:pPr>
      <w:r>
        <w:rPr>
          <w:spacing w:val="-7"/>
          <w:w w:val="100"/>
        </w:rPr>
        <w:t>语言能力完全丧失，指无法发出四种语音</w:t>
      </w:r>
      <w:r>
        <w:rPr>
          <w:spacing w:val="-5"/>
          <w:w w:val="100"/>
        </w:rPr>
        <w:t>（</w:t>
      </w:r>
      <w:r>
        <w:rPr>
          <w:spacing w:val="-9"/>
          <w:w w:val="100"/>
        </w:rPr>
        <w:t>包括口唇音、齿舌音、口盖音和喉头</w:t>
      </w:r>
      <w:r>
        <w:rPr>
          <w:w w:val="100"/>
        </w:rPr>
        <w:t>音）</w:t>
      </w:r>
      <w:r>
        <w:rPr>
          <w:spacing w:val="-5"/>
          <w:w w:val="100"/>
        </w:rPr>
        <w:t>中的任何三种、或声带全部切除，或因大脑语言中枢受伤害而患失语症。</w:t>
      </w:r>
      <w:r>
        <w:rPr>
          <w:spacing w:val="-12"/>
          <w:w w:val="100"/>
        </w:rPr>
        <w:t>严重咀嚼吞咽功能障碍，指因牙齿以外的原因导致器质障碍或机能障碍，以致不</w:t>
      </w:r>
      <w:r>
        <w:rPr>
          <w:spacing w:val="-8"/>
          <w:w w:val="100"/>
        </w:rPr>
        <w:t>能作咀嚼吞咽运动，除流质食物外不能摄取或吞咽的状态。</w:t>
      </w:r>
    </w:p>
    <w:p>
      <w:pPr>
        <w:pStyle w:val="BodyText"/>
        <w:spacing w:before="2"/>
        <w:rPr>
          <w:sz w:val="19"/>
        </w:rPr>
      </w:pPr>
    </w:p>
    <w:p>
      <w:pPr>
        <w:spacing w:line="235" w:lineRule="auto" w:before="0"/>
        <w:ind w:left="2608" w:right="4808" w:firstLine="0"/>
        <w:jc w:val="left"/>
        <w:rPr>
          <w:sz w:val="21"/>
        </w:rPr>
      </w:pPr>
      <w:r>
        <w:rPr>
          <w:rFonts w:ascii="微软雅黑" w:eastAsia="微软雅黑"/>
          <w:b/>
          <w:spacing w:val="-2"/>
          <w:sz w:val="21"/>
        </w:rPr>
        <w:t>（八）六项基本日常生活活动</w:t>
      </w:r>
      <w:r>
        <w:rPr>
          <w:spacing w:val="-3"/>
          <w:sz w:val="21"/>
        </w:rPr>
        <w:t>六项基本日常生活活动是指：</w:t>
      </w:r>
    </w:p>
    <w:p>
      <w:pPr>
        <w:pStyle w:val="ListParagraph"/>
        <w:numPr>
          <w:ilvl w:val="0"/>
          <w:numId w:val="63"/>
        </w:numPr>
        <w:tabs>
          <w:tab w:pos="3138" w:val="left" w:leader="none"/>
        </w:tabs>
        <w:spacing w:line="240" w:lineRule="auto" w:before="43" w:after="0"/>
        <w:ind w:left="3137" w:right="0" w:hanging="530"/>
        <w:jc w:val="left"/>
        <w:rPr>
          <w:sz w:val="21"/>
        </w:rPr>
      </w:pPr>
      <w:r>
        <w:rPr>
          <w:spacing w:val="-3"/>
          <w:sz w:val="21"/>
        </w:rPr>
        <w:t>穿衣：自己能够穿衣及脱衣；</w:t>
      </w:r>
    </w:p>
    <w:p>
      <w:pPr>
        <w:spacing w:after="0" w:line="240" w:lineRule="auto"/>
        <w:jc w:val="left"/>
        <w:rPr>
          <w:sz w:val="21"/>
        </w:rPr>
        <w:sectPr>
          <w:type w:val="continuous"/>
          <w:pgSz w:w="11910" w:h="16840"/>
          <w:pgMar w:top="1120" w:bottom="280" w:left="920" w:right="820"/>
        </w:sectPr>
      </w:pPr>
    </w:p>
    <w:p>
      <w:pPr>
        <w:pStyle w:val="ListParagraph"/>
        <w:numPr>
          <w:ilvl w:val="0"/>
          <w:numId w:val="63"/>
        </w:numPr>
        <w:tabs>
          <w:tab w:pos="3138" w:val="left" w:leader="none"/>
        </w:tabs>
        <w:spacing w:line="240" w:lineRule="auto" w:before="59" w:after="0"/>
        <w:ind w:left="3137" w:right="0" w:hanging="530"/>
        <w:jc w:val="left"/>
        <w:rPr>
          <w:sz w:val="21"/>
        </w:rPr>
      </w:pPr>
      <w:r>
        <w:rPr>
          <w:spacing w:val="-3"/>
          <w:sz w:val="21"/>
        </w:rPr>
        <w:t>移动：自己从一个房间到另一个房间；</w:t>
      </w:r>
    </w:p>
    <w:p>
      <w:pPr>
        <w:pStyle w:val="ListParagraph"/>
        <w:numPr>
          <w:ilvl w:val="0"/>
          <w:numId w:val="63"/>
        </w:numPr>
        <w:tabs>
          <w:tab w:pos="3138" w:val="left" w:leader="none"/>
        </w:tabs>
        <w:spacing w:line="240" w:lineRule="auto" w:before="43" w:after="0"/>
        <w:ind w:left="3137" w:right="0" w:hanging="530"/>
        <w:jc w:val="left"/>
        <w:rPr>
          <w:sz w:val="21"/>
        </w:rPr>
      </w:pPr>
      <w:r>
        <w:rPr>
          <w:spacing w:val="-3"/>
          <w:sz w:val="21"/>
        </w:rPr>
        <w:t>行动：自己上下床或上下轮椅；</w:t>
      </w:r>
    </w:p>
    <w:p>
      <w:pPr>
        <w:pStyle w:val="ListParagraph"/>
        <w:numPr>
          <w:ilvl w:val="0"/>
          <w:numId w:val="63"/>
        </w:numPr>
        <w:tabs>
          <w:tab w:pos="3138" w:val="left" w:leader="none"/>
        </w:tabs>
        <w:spacing w:line="248" w:lineRule="exact" w:before="43" w:after="0"/>
        <w:ind w:left="3137" w:right="0" w:hanging="530"/>
        <w:jc w:val="left"/>
        <w:rPr>
          <w:sz w:val="21"/>
        </w:rPr>
      </w:pPr>
      <w:r>
        <w:rPr>
          <w:spacing w:val="-3"/>
          <w:sz w:val="21"/>
        </w:rPr>
        <w:t>如厕：自己控制进行大小便；</w:t>
      </w:r>
    </w:p>
    <w:p>
      <w:pPr>
        <w:spacing w:line="31" w:lineRule="exact" w:before="0"/>
        <w:ind w:left="2857" w:right="0" w:firstLine="0"/>
        <w:jc w:val="left"/>
        <w:rPr>
          <w:sz w:val="4"/>
        </w:rPr>
      </w:pPr>
      <w:r>
        <w:rPr>
          <w:w w:val="72"/>
          <w:sz w:val="4"/>
        </w:rPr>
        <w:t>●</w:t>
      </w:r>
    </w:p>
    <w:p>
      <w:pPr>
        <w:pStyle w:val="ListParagraph"/>
        <w:numPr>
          <w:ilvl w:val="0"/>
          <w:numId w:val="63"/>
        </w:numPr>
        <w:tabs>
          <w:tab w:pos="3138" w:val="left" w:leader="none"/>
        </w:tabs>
        <w:spacing w:line="240" w:lineRule="auto" w:before="33" w:after="0"/>
        <w:ind w:left="3137" w:right="0" w:hanging="530"/>
        <w:jc w:val="left"/>
        <w:rPr>
          <w:sz w:val="21"/>
        </w:rPr>
      </w:pPr>
      <w:r>
        <w:rPr>
          <w:spacing w:val="-3"/>
          <w:sz w:val="21"/>
        </w:rPr>
        <w:t>进食：自己从已准备好的碗或碟中取食物放入口中；</w:t>
      </w:r>
    </w:p>
    <w:p>
      <w:pPr>
        <w:pStyle w:val="ListParagraph"/>
        <w:numPr>
          <w:ilvl w:val="0"/>
          <w:numId w:val="63"/>
        </w:numPr>
        <w:tabs>
          <w:tab w:pos="3138" w:val="left" w:leader="none"/>
        </w:tabs>
        <w:spacing w:line="240" w:lineRule="auto" w:before="43" w:after="0"/>
        <w:ind w:left="3137" w:right="0" w:hanging="530"/>
        <w:jc w:val="left"/>
        <w:rPr>
          <w:sz w:val="21"/>
        </w:rPr>
      </w:pPr>
      <w:r>
        <w:rPr>
          <w:spacing w:val="-3"/>
          <w:sz w:val="21"/>
        </w:rPr>
        <w:t>洗澡：自己进行淋浴或盆浴。</w:t>
      </w:r>
    </w:p>
    <w:p>
      <w:pPr>
        <w:pStyle w:val="BodyText"/>
        <w:spacing w:before="43"/>
        <w:ind w:left="2608"/>
      </w:pPr>
      <w:r>
        <w:rPr>
          <w:color w:val="000000"/>
          <w:spacing w:val="-4"/>
          <w:shd w:fill="D9D9D9" w:color="auto" w:val="clear"/>
        </w:rPr>
        <w:t>六项基本日常生活活动能力的鉴定不适用于 </w:t>
      </w:r>
      <w:r>
        <w:rPr>
          <w:color w:val="000000"/>
          <w:spacing w:val="-2"/>
          <w:shd w:fill="D9D9D9" w:color="auto" w:val="clear"/>
        </w:rPr>
        <w:t>0-3</w:t>
      </w:r>
      <w:r>
        <w:rPr>
          <w:color w:val="000000"/>
          <w:spacing w:val="-11"/>
          <w:shd w:fill="D9D9D9" w:color="auto" w:val="clear"/>
        </w:rPr>
        <w:t> 周岁幼儿。</w:t>
      </w:r>
    </w:p>
    <w:p>
      <w:pPr>
        <w:pStyle w:val="BodyText"/>
        <w:spacing w:before="6"/>
        <w:rPr>
          <w:sz w:val="22"/>
        </w:rPr>
      </w:pPr>
    </w:p>
    <w:p>
      <w:pPr>
        <w:pStyle w:val="Heading3"/>
        <w:ind w:left="2608"/>
      </w:pPr>
      <w:r>
        <w:rPr/>
        <w:t>（九）</w:t>
      </w:r>
      <w:r>
        <w:rPr>
          <w:spacing w:val="-2"/>
        </w:rPr>
        <w:t>永久不可逆</w:t>
      </w:r>
    </w:p>
    <w:p>
      <w:pPr>
        <w:pStyle w:val="BodyText"/>
        <w:spacing w:line="278" w:lineRule="auto"/>
        <w:ind w:left="2569" w:right="305"/>
      </w:pPr>
      <w:r>
        <w:rPr>
          <w:spacing w:val="-5"/>
        </w:rPr>
        <w:t>指自疾病确诊或意外伤害发生之日起，经过积极治疗 </w:t>
      </w:r>
      <w:r>
        <w:rPr>
          <w:spacing w:val="-2"/>
        </w:rPr>
        <w:t>180</w:t>
      </w:r>
      <w:r>
        <w:rPr>
          <w:spacing w:val="-10"/>
        </w:rPr>
        <w:t> 天后，仍无法通过现有</w:t>
      </w:r>
      <w:r>
        <w:rPr>
          <w:spacing w:val="-2"/>
        </w:rPr>
        <w:t>医疗手段恢复。</w:t>
      </w:r>
    </w:p>
    <w:p>
      <w:pPr>
        <w:pStyle w:val="BodyText"/>
        <w:spacing w:before="11"/>
        <w:rPr>
          <w:sz w:val="22"/>
        </w:rPr>
      </w:pPr>
    </w:p>
    <w:p>
      <w:pPr>
        <w:pStyle w:val="Heading3"/>
        <w:spacing w:line="194" w:lineRule="auto"/>
        <w:ind w:right="301" w:firstLine="38"/>
      </w:pPr>
      <w:r>
        <w:rPr>
          <w:w w:val="90"/>
        </w:rPr>
        <w:t>（</w:t>
      </w:r>
      <w:r>
        <w:rPr>
          <w:w w:val="90"/>
        </w:rPr>
        <w:t>十</w:t>
      </w:r>
      <w:r>
        <w:rPr>
          <w:w w:val="90"/>
        </w:rPr>
        <w:t>）</w:t>
      </w:r>
      <w:r>
        <w:rPr>
          <w:w w:val="90"/>
        </w:rPr>
        <w:t>美</w:t>
      </w:r>
      <w:r>
        <w:rPr>
          <w:w w:val="90"/>
        </w:rPr>
        <w:t>国</w:t>
      </w:r>
      <w:r>
        <w:rPr>
          <w:w w:val="90"/>
        </w:rPr>
        <w:t>纽</w:t>
      </w:r>
      <w:r>
        <w:rPr>
          <w:w w:val="90"/>
        </w:rPr>
        <w:t>约</w:t>
      </w:r>
      <w:r>
        <w:rPr>
          <w:w w:val="90"/>
        </w:rPr>
        <w:t>心</w:t>
      </w:r>
      <w:r>
        <w:rPr>
          <w:w w:val="90"/>
        </w:rPr>
        <w:t>脏</w:t>
      </w:r>
      <w:r>
        <w:rPr>
          <w:w w:val="90"/>
        </w:rPr>
        <w:t>病</w:t>
      </w:r>
      <w:r>
        <w:rPr>
          <w:w w:val="90"/>
        </w:rPr>
        <w:t>学</w:t>
      </w:r>
      <w:r>
        <w:rPr>
          <w:w w:val="90"/>
        </w:rPr>
        <w:t>会（New</w:t>
      </w:r>
      <w:r>
        <w:rPr>
          <w:spacing w:val="40"/>
        </w:rPr>
        <w:t> </w:t>
      </w:r>
      <w:r>
        <w:rPr>
          <w:w w:val="90"/>
        </w:rPr>
        <w:t>York</w:t>
      </w:r>
      <w:r>
        <w:rPr>
          <w:spacing w:val="40"/>
        </w:rPr>
        <w:t> </w:t>
      </w:r>
      <w:r>
        <w:rPr>
          <w:w w:val="90"/>
        </w:rPr>
        <w:t>Heart</w:t>
      </w:r>
      <w:r>
        <w:rPr>
          <w:spacing w:val="40"/>
        </w:rPr>
        <w:t> </w:t>
      </w:r>
      <w:r>
        <w:rPr>
          <w:w w:val="90"/>
        </w:rPr>
        <w:t>Association，NYHA）</w:t>
      </w:r>
      <w:r>
        <w:rPr>
          <w:w w:val="90"/>
        </w:rPr>
        <w:t>心</w:t>
      </w:r>
      <w:r>
        <w:rPr>
          <w:w w:val="90"/>
        </w:rPr>
        <w:t>功</w:t>
      </w:r>
      <w:r>
        <w:rPr>
          <w:w w:val="90"/>
        </w:rPr>
        <w:t>能</w:t>
      </w:r>
      <w:r>
        <w:rPr>
          <w:w w:val="90"/>
        </w:rPr>
        <w:t>状</w:t>
      </w:r>
      <w:r>
        <w:rPr>
          <w:w w:val="90"/>
        </w:rPr>
        <w:t>态</w:t>
      </w:r>
      <w:r>
        <w:rPr>
          <w:spacing w:val="-6"/>
        </w:rPr>
        <w:t>分级</w:t>
      </w:r>
    </w:p>
    <w:p>
      <w:pPr>
        <w:pStyle w:val="BodyText"/>
        <w:spacing w:line="278" w:lineRule="auto" w:before="11"/>
        <w:ind w:left="2569" w:right="301"/>
      </w:pPr>
      <w:r>
        <w:rPr/>
        <w:t>美国纽约心脏病学会（New</w:t>
      </w:r>
      <w:r>
        <w:rPr>
          <w:spacing w:val="-27"/>
        </w:rPr>
        <w:t> </w:t>
      </w:r>
      <w:r>
        <w:rPr/>
        <w:t>York</w:t>
      </w:r>
      <w:r>
        <w:rPr>
          <w:spacing w:val="-26"/>
        </w:rPr>
        <w:t> </w:t>
      </w:r>
      <w:r>
        <w:rPr/>
        <w:t>Heart</w:t>
      </w:r>
      <w:r>
        <w:rPr>
          <w:spacing w:val="-26"/>
        </w:rPr>
        <w:t> </w:t>
      </w:r>
      <w:r>
        <w:rPr/>
        <w:t>Association，NYHA）将心功能状态分为</w:t>
      </w:r>
      <w:r>
        <w:rPr>
          <w:spacing w:val="-4"/>
        </w:rPr>
        <w:t>四级：</w:t>
      </w:r>
    </w:p>
    <w:p>
      <w:pPr>
        <w:pStyle w:val="BodyText"/>
        <w:spacing w:line="278" w:lineRule="auto"/>
        <w:ind w:left="2569" w:right="301"/>
      </w:pPr>
      <w:r>
        <w:rPr>
          <w:spacing w:val="-2"/>
        </w:rPr>
        <w:t>Ⅰ级：心脏病病人日常活动量不受限制，一般活动不引起乏力、呼吸困难等心衰</w:t>
      </w:r>
      <w:r>
        <w:rPr>
          <w:spacing w:val="-4"/>
        </w:rPr>
        <w:t>症状。</w:t>
      </w:r>
    </w:p>
    <w:p>
      <w:pPr>
        <w:pStyle w:val="BodyText"/>
        <w:spacing w:line="278" w:lineRule="auto"/>
        <w:ind w:left="2569" w:right="301"/>
      </w:pPr>
      <w:r>
        <w:rPr>
          <w:spacing w:val="-2"/>
        </w:rPr>
        <w:t>Ⅱ级：心脏病病人体力活动轻度受限制，休息时无自觉症状，一般活动下可出现</w:t>
      </w:r>
      <w:r>
        <w:rPr>
          <w:spacing w:val="-2"/>
        </w:rPr>
        <w:t>心衰症状。</w:t>
      </w:r>
    </w:p>
    <w:p>
      <w:pPr>
        <w:pStyle w:val="BodyText"/>
        <w:spacing w:line="278" w:lineRule="auto"/>
        <w:ind w:left="2569" w:right="301"/>
      </w:pPr>
      <w:r>
        <w:rPr>
          <w:spacing w:val="-2"/>
        </w:rPr>
        <w:t>Ⅲ级：心脏病病人体力活动明显受限，低于平时一般活动即引起心衰症状。</w:t>
      </w:r>
      <w:r>
        <w:rPr>
          <w:spacing w:val="40"/>
        </w:rPr>
        <w:t>  </w:t>
      </w:r>
      <w:r>
        <w:rPr>
          <w:spacing w:val="-2"/>
        </w:rPr>
        <w:t>Ⅳ级：心脏病病人不能从事任何体力活动，休息状态下也存在心衰症状，活动后</w:t>
      </w:r>
      <w:r>
        <w:rPr>
          <w:spacing w:val="-4"/>
        </w:rPr>
        <w:t>加重。</w:t>
      </w:r>
    </w:p>
    <w:p>
      <w:pPr>
        <w:pStyle w:val="BodyText"/>
        <w:spacing w:before="9"/>
        <w:rPr>
          <w:sz w:val="18"/>
        </w:rPr>
      </w:pPr>
    </w:p>
    <w:p>
      <w:pPr>
        <w:spacing w:after="0"/>
        <w:rPr>
          <w:sz w:val="18"/>
        </w:rPr>
        <w:sectPr>
          <w:pgSz w:w="11910" w:h="16840"/>
          <w:pgMar w:top="1080" w:bottom="280" w:left="920" w:right="820"/>
        </w:sectPr>
      </w:pPr>
    </w:p>
    <w:p>
      <w:pPr>
        <w:pStyle w:val="Heading3"/>
        <w:numPr>
          <w:ilvl w:val="1"/>
          <w:numId w:val="11"/>
        </w:numPr>
        <w:tabs>
          <w:tab w:pos="1364" w:val="left" w:leader="none"/>
          <w:tab w:pos="1365" w:val="left" w:leader="none"/>
        </w:tabs>
        <w:spacing w:line="321" w:lineRule="exact" w:before="4" w:after="0"/>
        <w:ind w:left="1364" w:right="0" w:hanging="850"/>
        <w:jc w:val="left"/>
      </w:pPr>
      <w:r>
        <w:rPr>
          <w:spacing w:val="-3"/>
        </w:rPr>
        <w:t>中症疾病</w:t>
      </w:r>
    </w:p>
    <w:p>
      <w:pPr>
        <w:spacing w:line="26" w:lineRule="exact" w:before="0"/>
        <w:ind w:left="0" w:right="142" w:firstLine="0"/>
        <w:jc w:val="right"/>
        <w:rPr>
          <w:sz w:val="4"/>
        </w:rPr>
      </w:pPr>
      <w:r>
        <w:rPr>
          <w:w w:val="72"/>
          <w:sz w:val="4"/>
        </w:rPr>
        <w:t>●</w:t>
      </w:r>
    </w:p>
    <w:p>
      <w:pPr>
        <w:pStyle w:val="Heading3"/>
        <w:spacing w:before="5"/>
        <w:ind w:left="319"/>
      </w:pPr>
      <w:r>
        <w:rPr>
          <w:b w:val="0"/>
        </w:rPr>
        <w:br w:type="column"/>
      </w:r>
      <w:r>
        <w:rPr/>
        <w:t>（一）</w:t>
      </w:r>
      <w:r>
        <w:rPr>
          <w:spacing w:val="-3"/>
        </w:rPr>
        <w:t>肾脏切除</w:t>
      </w:r>
    </w:p>
    <w:p>
      <w:pPr>
        <w:pStyle w:val="BodyText"/>
        <w:spacing w:line="278" w:lineRule="auto"/>
        <w:ind w:left="319" w:right="238"/>
      </w:pPr>
      <w:r>
        <w:rPr>
          <w:spacing w:val="-2"/>
        </w:rPr>
        <w:t>指因疾病或意外伤害导致肾脏严重损害，已经实施了至少单侧全肾的切除手术。</w:t>
      </w:r>
      <w:r>
        <w:rPr>
          <w:color w:val="000000"/>
          <w:spacing w:val="-2"/>
          <w:shd w:fill="D9D9D9" w:color="auto" w:val="clear"/>
        </w:rPr>
        <w:t>下列情况不在保障范围内：</w:t>
      </w:r>
    </w:p>
    <w:p>
      <w:pPr>
        <w:pStyle w:val="ListParagraph"/>
        <w:numPr>
          <w:ilvl w:val="2"/>
          <w:numId w:val="6"/>
        </w:numPr>
        <w:tabs>
          <w:tab w:pos="849" w:val="left" w:leader="none"/>
        </w:tabs>
        <w:spacing w:line="240" w:lineRule="auto" w:before="0" w:after="0"/>
        <w:ind w:left="848" w:right="0" w:hanging="530"/>
        <w:jc w:val="left"/>
        <w:rPr>
          <w:sz w:val="21"/>
        </w:rPr>
      </w:pPr>
      <w:r>
        <w:rPr>
          <w:color w:val="000000"/>
          <w:spacing w:val="-4"/>
          <w:sz w:val="21"/>
          <w:shd w:fill="D9D9D9" w:color="auto" w:val="clear"/>
        </w:rPr>
        <w:t>部分肾切除手术；</w:t>
      </w:r>
    </w:p>
    <w:p>
      <w:pPr>
        <w:pStyle w:val="ListParagraph"/>
        <w:numPr>
          <w:ilvl w:val="2"/>
          <w:numId w:val="6"/>
        </w:numPr>
        <w:tabs>
          <w:tab w:pos="849" w:val="left" w:leader="none"/>
        </w:tabs>
        <w:spacing w:line="240" w:lineRule="auto" w:before="39" w:after="0"/>
        <w:ind w:left="848" w:right="0" w:hanging="530"/>
        <w:jc w:val="left"/>
        <w:rPr>
          <w:sz w:val="21"/>
        </w:rPr>
      </w:pPr>
      <w:r>
        <w:rPr>
          <w:color w:val="000000"/>
          <w:spacing w:val="-3"/>
          <w:sz w:val="21"/>
          <w:shd w:fill="D9D9D9" w:color="auto" w:val="clear"/>
        </w:rPr>
        <w:t>因恶性肿瘤进行的肾切除手术；</w:t>
      </w:r>
    </w:p>
    <w:p>
      <w:pPr>
        <w:pStyle w:val="ListParagraph"/>
        <w:numPr>
          <w:ilvl w:val="2"/>
          <w:numId w:val="6"/>
        </w:numPr>
        <w:tabs>
          <w:tab w:pos="849" w:val="left" w:leader="none"/>
        </w:tabs>
        <w:spacing w:line="240" w:lineRule="auto" w:before="43" w:after="0"/>
        <w:ind w:left="848" w:right="0" w:hanging="530"/>
        <w:jc w:val="left"/>
        <w:rPr>
          <w:sz w:val="21"/>
        </w:rPr>
      </w:pPr>
      <w:r>
        <w:rPr>
          <w:color w:val="000000"/>
          <w:spacing w:val="-3"/>
          <w:sz w:val="21"/>
          <w:shd w:fill="D9D9D9" w:color="auto" w:val="clear"/>
        </w:rPr>
        <w:t>作为器官捐献者而实施的肾切除手术。</w:t>
      </w:r>
    </w:p>
    <w:p>
      <w:pPr>
        <w:pStyle w:val="BodyText"/>
        <w:spacing w:before="6"/>
        <w:rPr>
          <w:sz w:val="22"/>
        </w:rPr>
      </w:pPr>
    </w:p>
    <w:p>
      <w:pPr>
        <w:pStyle w:val="Heading3"/>
        <w:ind w:left="319"/>
      </w:pPr>
      <w:r>
        <w:rPr/>
        <w:t>（二）</w:t>
      </w:r>
      <w:r>
        <w:rPr>
          <w:spacing w:val="-2"/>
        </w:rPr>
        <w:t>心包膜切除术</w:t>
      </w:r>
    </w:p>
    <w:p>
      <w:pPr>
        <w:pStyle w:val="BodyText"/>
        <w:spacing w:line="265" w:lineRule="exact"/>
        <w:ind w:left="319"/>
      </w:pPr>
      <w:r>
        <w:rPr>
          <w:spacing w:val="-5"/>
        </w:rPr>
        <w:t>指为治疗心包膜疾病，已经实施了心包膜切除术，但未达到本合同所指重大疾病</w:t>
      </w:r>
    </w:p>
    <w:p>
      <w:pPr>
        <w:pStyle w:val="BodyText"/>
        <w:spacing w:line="248" w:lineRule="exact" w:before="43"/>
        <w:ind w:left="319"/>
      </w:pPr>
      <w:r>
        <w:rPr>
          <w:spacing w:val="-5"/>
        </w:rPr>
        <w:t>“严重慢性缩窄性心包炎”的标准。手术必须在心脏科医生认为是医学上必需的</w:t>
      </w:r>
    </w:p>
    <w:p>
      <w:pPr>
        <w:spacing w:line="31" w:lineRule="exact" w:before="0"/>
        <w:ind w:left="358" w:right="0" w:firstLine="0"/>
        <w:jc w:val="left"/>
        <w:rPr>
          <w:sz w:val="4"/>
        </w:rPr>
      </w:pPr>
      <w:r>
        <w:rPr>
          <w:w w:val="72"/>
          <w:sz w:val="4"/>
        </w:rPr>
        <w:t>●</w:t>
      </w:r>
    </w:p>
    <w:p>
      <w:pPr>
        <w:pStyle w:val="BodyText"/>
        <w:spacing w:before="33"/>
        <w:ind w:left="319"/>
      </w:pPr>
      <w:r>
        <w:rPr>
          <w:spacing w:val="-4"/>
        </w:rPr>
        <w:t>情况下进行。</w:t>
      </w:r>
    </w:p>
    <w:p>
      <w:pPr>
        <w:pStyle w:val="BodyText"/>
        <w:spacing w:before="5"/>
        <w:rPr>
          <w:sz w:val="22"/>
        </w:rPr>
      </w:pPr>
    </w:p>
    <w:p>
      <w:pPr>
        <w:pStyle w:val="Heading3"/>
        <w:spacing w:before="1"/>
        <w:ind w:left="319"/>
      </w:pPr>
      <w:r>
        <w:rPr/>
        <w:t>（三）</w:t>
      </w:r>
      <w:r>
        <w:rPr>
          <w:spacing w:val="-2"/>
        </w:rPr>
        <w:t>单侧肺脏切除</w:t>
      </w:r>
    </w:p>
    <w:p>
      <w:pPr>
        <w:pStyle w:val="BodyText"/>
        <w:spacing w:line="278" w:lineRule="auto"/>
        <w:ind w:left="319" w:right="867"/>
      </w:pPr>
      <w:r>
        <w:rPr>
          <w:spacing w:val="-2"/>
        </w:rPr>
        <w:t>指因疾病或意外伤害导致肺部严重损害，已经实施了单侧全肺切除手术。</w:t>
      </w:r>
      <w:r>
        <w:rPr>
          <w:color w:val="000000"/>
          <w:spacing w:val="-2"/>
          <w:shd w:fill="D9D9D9" w:color="auto" w:val="clear"/>
        </w:rPr>
        <w:t>下列情况不在保障范围内：</w:t>
      </w:r>
    </w:p>
    <w:p>
      <w:pPr>
        <w:pStyle w:val="ListParagraph"/>
        <w:numPr>
          <w:ilvl w:val="0"/>
          <w:numId w:val="64"/>
        </w:numPr>
        <w:tabs>
          <w:tab w:pos="849" w:val="left" w:leader="none"/>
        </w:tabs>
        <w:spacing w:line="240" w:lineRule="auto" w:before="0" w:after="0"/>
        <w:ind w:left="848" w:right="0" w:hanging="530"/>
        <w:jc w:val="left"/>
        <w:rPr>
          <w:sz w:val="21"/>
        </w:rPr>
      </w:pPr>
      <w:r>
        <w:rPr>
          <w:color w:val="000000"/>
          <w:spacing w:val="-3"/>
          <w:sz w:val="21"/>
          <w:shd w:fill="D9D9D9" w:color="auto" w:val="clear"/>
        </w:rPr>
        <w:t>肺叶切除、肺段切除手术；</w:t>
      </w:r>
    </w:p>
    <w:p>
      <w:pPr>
        <w:pStyle w:val="ListParagraph"/>
        <w:numPr>
          <w:ilvl w:val="0"/>
          <w:numId w:val="64"/>
        </w:numPr>
        <w:tabs>
          <w:tab w:pos="849" w:val="left" w:leader="none"/>
        </w:tabs>
        <w:spacing w:line="240" w:lineRule="auto" w:before="38" w:after="0"/>
        <w:ind w:left="848" w:right="0" w:hanging="530"/>
        <w:jc w:val="left"/>
        <w:rPr>
          <w:sz w:val="21"/>
        </w:rPr>
      </w:pPr>
      <w:r>
        <w:rPr>
          <w:color w:val="000000"/>
          <w:spacing w:val="-3"/>
          <w:sz w:val="21"/>
          <w:shd w:fill="D9D9D9" w:color="auto" w:val="clear"/>
        </w:rPr>
        <w:t>因恶性肿瘤进行的肺切除手术；</w:t>
      </w:r>
    </w:p>
    <w:p>
      <w:pPr>
        <w:pStyle w:val="ListParagraph"/>
        <w:numPr>
          <w:ilvl w:val="0"/>
          <w:numId w:val="64"/>
        </w:numPr>
        <w:tabs>
          <w:tab w:pos="849" w:val="left" w:leader="none"/>
        </w:tabs>
        <w:spacing w:line="240" w:lineRule="auto" w:before="43" w:after="0"/>
        <w:ind w:left="848" w:right="0" w:hanging="530"/>
        <w:jc w:val="left"/>
        <w:rPr>
          <w:sz w:val="21"/>
        </w:rPr>
      </w:pPr>
      <w:r>
        <w:rPr>
          <w:color w:val="000000"/>
          <w:spacing w:val="-3"/>
          <w:sz w:val="21"/>
          <w:shd w:fill="D9D9D9" w:color="auto" w:val="clear"/>
        </w:rPr>
        <w:t>作为器官捐献者而实施的肺切除手术。</w:t>
      </w:r>
    </w:p>
    <w:p>
      <w:pPr>
        <w:pStyle w:val="BodyText"/>
        <w:spacing w:before="6"/>
        <w:rPr>
          <w:sz w:val="22"/>
        </w:rPr>
      </w:pPr>
    </w:p>
    <w:p>
      <w:pPr>
        <w:pStyle w:val="Heading3"/>
        <w:ind w:left="319"/>
      </w:pPr>
      <w:r>
        <w:rPr/>
        <w:t>（四）</w:t>
      </w:r>
      <w:r>
        <w:rPr>
          <w:spacing w:val="-2"/>
        </w:rPr>
        <w:t>双侧睾丸切除术</w:t>
      </w:r>
    </w:p>
    <w:p>
      <w:pPr>
        <w:pStyle w:val="BodyText"/>
        <w:spacing w:line="278" w:lineRule="auto"/>
        <w:ind w:left="319" w:right="449"/>
      </w:pPr>
      <w:r>
        <w:rPr>
          <w:spacing w:val="-2"/>
        </w:rPr>
        <w:t>指为治疗疾病实际接受了经腹部切开或腹腔镜进行的双侧睾丸完全切除手术。</w:t>
      </w:r>
      <w:r>
        <w:rPr>
          <w:color w:val="000000"/>
          <w:spacing w:val="-2"/>
          <w:shd w:fill="D9D9D9" w:color="auto" w:val="clear"/>
        </w:rPr>
        <w:t>下列情况不在保障范围内</w:t>
      </w:r>
      <w:r>
        <w:rPr>
          <w:color w:val="000000"/>
          <w:spacing w:val="-2"/>
        </w:rPr>
        <w:t>：</w:t>
      </w:r>
    </w:p>
    <w:p>
      <w:pPr>
        <w:pStyle w:val="BodyText"/>
        <w:ind w:left="319"/>
      </w:pPr>
      <w:r>
        <w:rPr>
          <w:color w:val="000000"/>
          <w:spacing w:val="-2"/>
          <w:shd w:fill="D9D9D9" w:color="auto" w:val="clear"/>
        </w:rPr>
        <w:t>（1）</w:t>
      </w:r>
      <w:r>
        <w:rPr>
          <w:color w:val="000000"/>
          <w:spacing w:val="-4"/>
          <w:shd w:fill="D9D9D9" w:color="auto" w:val="clear"/>
        </w:rPr>
        <w:t>部分睾丸切除；</w:t>
      </w:r>
    </w:p>
    <w:p>
      <w:pPr>
        <w:spacing w:after="0"/>
        <w:sectPr>
          <w:type w:val="continuous"/>
          <w:pgSz w:w="11910" w:h="16840"/>
          <w:pgMar w:top="740" w:bottom="280" w:left="920" w:right="820"/>
          <w:cols w:num="2" w:equalWidth="0">
            <w:col w:w="2210" w:space="40"/>
            <w:col w:w="7920"/>
          </w:cols>
        </w:sectPr>
      </w:pPr>
    </w:p>
    <w:p>
      <w:pPr>
        <w:pStyle w:val="BodyText"/>
        <w:spacing w:before="59"/>
        <w:ind w:left="2569"/>
      </w:pPr>
      <w:r>
        <w:rPr>
          <w:color w:val="000000"/>
          <w:spacing w:val="-2"/>
          <w:shd w:fill="D9D9D9" w:color="auto" w:val="clear"/>
        </w:rPr>
        <w:t>（2）</w:t>
      </w:r>
      <w:r>
        <w:rPr>
          <w:color w:val="000000"/>
          <w:spacing w:val="-3"/>
          <w:shd w:fill="D9D9D9" w:color="auto" w:val="clear"/>
        </w:rPr>
        <w:t>因恶性肿瘤进行的睾丸切除术。</w:t>
      </w:r>
    </w:p>
    <w:p>
      <w:pPr>
        <w:pStyle w:val="BodyText"/>
        <w:spacing w:before="6"/>
        <w:rPr>
          <w:sz w:val="22"/>
        </w:rPr>
      </w:pPr>
    </w:p>
    <w:p>
      <w:pPr>
        <w:pStyle w:val="Heading3"/>
      </w:pPr>
      <w:r>
        <w:rPr/>
        <w:t>（五）</w:t>
      </w:r>
      <w:r>
        <w:rPr>
          <w:spacing w:val="-2"/>
        </w:rPr>
        <w:t>双侧卵巢切除术</w:t>
      </w:r>
    </w:p>
    <w:p>
      <w:pPr>
        <w:pStyle w:val="BodyText"/>
        <w:spacing w:line="278" w:lineRule="auto"/>
        <w:ind w:left="2569" w:right="449"/>
      </w:pPr>
      <w:r>
        <w:rPr>
          <w:spacing w:val="-2"/>
        </w:rPr>
        <w:t>指为治疗疾病实际接受了经腹部切开或腹腔镜进行的双侧卵巢完全切除手术。</w:t>
      </w:r>
      <w:r>
        <w:rPr>
          <w:color w:val="000000"/>
          <w:spacing w:val="-2"/>
          <w:shd w:fill="D9D9D9" w:color="auto" w:val="clear"/>
        </w:rPr>
        <w:t>下列情况不在保障范围内：</w:t>
      </w:r>
    </w:p>
    <w:p>
      <w:pPr>
        <w:pStyle w:val="ListParagraph"/>
        <w:numPr>
          <w:ilvl w:val="0"/>
          <w:numId w:val="65"/>
        </w:numPr>
        <w:tabs>
          <w:tab w:pos="3099" w:val="left" w:leader="none"/>
        </w:tabs>
        <w:spacing w:line="240" w:lineRule="auto" w:before="0" w:after="0"/>
        <w:ind w:left="3098" w:right="0" w:hanging="530"/>
        <w:jc w:val="left"/>
        <w:rPr>
          <w:sz w:val="21"/>
        </w:rPr>
      </w:pPr>
      <w:r>
        <w:rPr>
          <w:color w:val="000000"/>
          <w:spacing w:val="-4"/>
          <w:sz w:val="21"/>
          <w:shd w:fill="D9D9D9" w:color="auto" w:val="clear"/>
        </w:rPr>
        <w:t>部分卵巢切除；</w:t>
      </w:r>
    </w:p>
    <w:p>
      <w:pPr>
        <w:pStyle w:val="ListParagraph"/>
        <w:numPr>
          <w:ilvl w:val="0"/>
          <w:numId w:val="65"/>
        </w:numPr>
        <w:tabs>
          <w:tab w:pos="3099" w:val="left" w:leader="none"/>
        </w:tabs>
        <w:spacing w:line="240" w:lineRule="auto" w:before="39" w:after="0"/>
        <w:ind w:left="3098" w:right="0" w:hanging="530"/>
        <w:jc w:val="left"/>
        <w:rPr>
          <w:sz w:val="21"/>
        </w:rPr>
      </w:pPr>
      <w:r>
        <w:rPr>
          <w:color w:val="000000"/>
          <w:spacing w:val="-3"/>
          <w:sz w:val="21"/>
          <w:shd w:fill="D9D9D9" w:color="auto" w:val="clear"/>
        </w:rPr>
        <w:t>因恶性肿瘤进行的卵巢切除术；</w:t>
      </w:r>
    </w:p>
    <w:p>
      <w:pPr>
        <w:pStyle w:val="ListParagraph"/>
        <w:numPr>
          <w:ilvl w:val="0"/>
          <w:numId w:val="65"/>
        </w:numPr>
        <w:tabs>
          <w:tab w:pos="3099" w:val="left" w:leader="none"/>
        </w:tabs>
        <w:spacing w:line="240" w:lineRule="auto" w:before="43" w:after="0"/>
        <w:ind w:left="3098" w:right="0" w:hanging="530"/>
        <w:jc w:val="left"/>
        <w:rPr>
          <w:sz w:val="21"/>
        </w:rPr>
      </w:pPr>
      <w:r>
        <w:rPr>
          <w:color w:val="000000"/>
          <w:spacing w:val="-4"/>
          <w:sz w:val="21"/>
          <w:shd w:fill="D9D9D9" w:color="auto" w:val="clear"/>
        </w:rPr>
        <w:t>预防性卵巢切除。</w:t>
      </w:r>
    </w:p>
    <w:p>
      <w:pPr>
        <w:pStyle w:val="BodyText"/>
        <w:spacing w:before="6"/>
        <w:rPr>
          <w:sz w:val="22"/>
        </w:rPr>
      </w:pPr>
    </w:p>
    <w:p>
      <w:pPr>
        <w:pStyle w:val="Heading3"/>
      </w:pPr>
      <w:r>
        <w:rPr/>
        <w:t>（六）</w:t>
      </w:r>
      <w:r>
        <w:rPr>
          <w:spacing w:val="-2"/>
        </w:rPr>
        <w:t>中度脑损伤</w:t>
      </w:r>
    </w:p>
    <w:p>
      <w:pPr>
        <w:pStyle w:val="BodyText"/>
        <w:spacing w:line="278" w:lineRule="auto"/>
        <w:ind w:left="2569" w:right="200"/>
      </w:pPr>
      <w:r>
        <w:rPr>
          <w:spacing w:val="-2"/>
        </w:rPr>
        <w:t>指因头部遭受机械性外力，引起脑重要部位损伤，导致神经系统永久性的功能障</w:t>
      </w:r>
      <w:r>
        <w:rPr>
          <w:spacing w:val="-10"/>
        </w:rPr>
        <w:t>碍。须由头颅断层扫描</w:t>
      </w:r>
      <w:r>
        <w:rPr>
          <w:spacing w:val="17"/>
        </w:rPr>
        <w:t>（CT</w:t>
      </w:r>
      <w:r>
        <w:rPr>
          <w:spacing w:val="-94"/>
        </w:rPr>
        <w:t>）</w:t>
      </w:r>
      <w:r>
        <w:rPr>
          <w:spacing w:val="-10"/>
        </w:rPr>
        <w:t>、核磁共振检查（MRI）或正电子发射断层扫描</w:t>
      </w:r>
      <w:r>
        <w:rPr>
          <w:spacing w:val="-10"/>
        </w:rPr>
        <w:t>（PET）</w:t>
      </w:r>
      <w:r>
        <w:rPr>
          <w:spacing w:val="-2"/>
        </w:rPr>
        <w:t>等影像学检查证实。神经系统永久性的功能障碍，指脑损伤 </w:t>
      </w:r>
      <w:r>
        <w:rPr/>
        <w:t>180</w:t>
      </w:r>
      <w:r>
        <w:rPr>
          <w:spacing w:val="-8"/>
        </w:rPr>
        <w:t> 天后，仍完全丧</w:t>
      </w:r>
      <w:r>
        <w:rPr>
          <w:spacing w:val="-2"/>
        </w:rPr>
        <w:t>失自主生活能力，经鉴定无法独立完成六项基本日常生活活动中的两项或以上，</w:t>
      </w:r>
    </w:p>
    <w:p>
      <w:pPr>
        <w:pStyle w:val="BodyText"/>
        <w:spacing w:line="248" w:lineRule="exact"/>
        <w:ind w:left="2569"/>
      </w:pPr>
      <w:r>
        <w:rPr>
          <w:spacing w:val="-3"/>
        </w:rPr>
        <w:t>但未达到重大疾病“严重脑损伤”或“瘫痪”的给付标准。</w:t>
      </w:r>
    </w:p>
    <w:p>
      <w:pPr>
        <w:spacing w:line="31" w:lineRule="exact" w:before="0"/>
        <w:ind w:left="965" w:right="0" w:firstLine="0"/>
        <w:jc w:val="center"/>
        <w:rPr>
          <w:sz w:val="4"/>
        </w:rPr>
      </w:pPr>
      <w:r>
        <w:rPr>
          <w:w w:val="72"/>
          <w:sz w:val="4"/>
        </w:rPr>
        <w:t>●</w:t>
      </w:r>
    </w:p>
    <w:p>
      <w:pPr>
        <w:pStyle w:val="BodyText"/>
        <w:rPr>
          <w:sz w:val="6"/>
        </w:rPr>
      </w:pPr>
    </w:p>
    <w:p>
      <w:pPr>
        <w:pStyle w:val="BodyText"/>
        <w:rPr>
          <w:sz w:val="6"/>
        </w:rPr>
      </w:pPr>
    </w:p>
    <w:p>
      <w:pPr>
        <w:pStyle w:val="BodyText"/>
        <w:rPr>
          <w:sz w:val="6"/>
        </w:rPr>
      </w:pPr>
    </w:p>
    <w:p>
      <w:pPr>
        <w:pStyle w:val="Heading3"/>
        <w:spacing w:before="43"/>
      </w:pPr>
      <w:r>
        <w:rPr/>
        <w:t>（七）</w:t>
      </w:r>
      <w:r>
        <w:rPr>
          <w:spacing w:val="-2"/>
        </w:rPr>
        <w:t>中度运动神经元病</w:t>
      </w:r>
    </w:p>
    <w:p>
      <w:pPr>
        <w:pStyle w:val="BodyText"/>
        <w:spacing w:line="278" w:lineRule="auto"/>
        <w:ind w:left="2569" w:right="301"/>
        <w:jc w:val="both"/>
      </w:pPr>
      <w:r>
        <w:rPr>
          <w:spacing w:val="-2"/>
        </w:rPr>
        <w:t>指一组中枢神经系统运动神经元的进行性变性疾病，包括进行性脊肌萎缩症、进</w:t>
      </w:r>
      <w:r>
        <w:rPr>
          <w:spacing w:val="-2"/>
        </w:rPr>
        <w:t>行性延髓麻痹症、原发性侧索硬化症、肌萎缩性侧索硬化症。须满足自主生活能</w:t>
      </w:r>
      <w:r>
        <w:rPr>
          <w:spacing w:val="-2"/>
        </w:rPr>
        <w:t>力部分丧失，经鉴定无法独立完成六项基本日常生活活动中的两项。但未达到本</w:t>
      </w:r>
      <w:r>
        <w:rPr>
          <w:spacing w:val="-2"/>
        </w:rPr>
        <w:t>合同所指重大疾病“严重运动神经元病”或“瘫痪”的给付标准。</w:t>
      </w:r>
    </w:p>
    <w:p>
      <w:pPr>
        <w:pStyle w:val="BodyText"/>
        <w:spacing w:before="9"/>
        <w:rPr>
          <w:sz w:val="18"/>
        </w:rPr>
      </w:pPr>
    </w:p>
    <w:p>
      <w:pPr>
        <w:pStyle w:val="Heading3"/>
      </w:pPr>
      <w:r>
        <w:rPr>
          <w:spacing w:val="-2"/>
        </w:rPr>
        <w:t>（八）</w:t>
      </w:r>
      <w:r>
        <w:rPr>
          <w:spacing w:val="-3"/>
        </w:rPr>
        <w:t>中度脑炎后遗症或中度脑膜炎后遗症</w:t>
      </w:r>
    </w:p>
    <w:p>
      <w:pPr>
        <w:pStyle w:val="BodyText"/>
        <w:spacing w:line="245" w:lineRule="exact"/>
        <w:ind w:left="2569"/>
      </w:pPr>
      <w:r>
        <w:rPr>
          <w:spacing w:val="-5"/>
        </w:rPr>
        <w:t>指因患脑炎或脑膜炎导致的神经系统的功能障碍。神经系统的功能障碍，指疾病</w:t>
      </w:r>
    </w:p>
    <w:p>
      <w:pPr>
        <w:spacing w:line="31" w:lineRule="exact" w:before="0"/>
        <w:ind w:left="0" w:right="3320" w:firstLine="0"/>
        <w:jc w:val="right"/>
        <w:rPr>
          <w:sz w:val="4"/>
        </w:rPr>
      </w:pPr>
      <w:r>
        <w:rPr>
          <w:w w:val="72"/>
          <w:sz w:val="4"/>
        </w:rPr>
        <w:t>●</w:t>
      </w:r>
    </w:p>
    <w:p>
      <w:pPr>
        <w:pStyle w:val="BodyText"/>
        <w:spacing w:line="278" w:lineRule="auto" w:before="34"/>
        <w:ind w:left="2569" w:right="301"/>
        <w:jc w:val="both"/>
      </w:pPr>
      <w:r>
        <w:rPr>
          <w:spacing w:val="-11"/>
        </w:rPr>
        <w:t>确诊 </w:t>
      </w:r>
      <w:r>
        <w:rPr>
          <w:spacing w:val="-4"/>
        </w:rPr>
        <w:t>180</w:t>
      </w:r>
      <w:r>
        <w:rPr>
          <w:spacing w:val="-8"/>
        </w:rPr>
        <w:t> 天后，仍存在自主活动能力完全丧失，经鉴定无法独立完成六项基本日</w:t>
      </w:r>
      <w:r>
        <w:rPr>
          <w:spacing w:val="-2"/>
        </w:rPr>
        <w:t>常生活活动中的两项，但未达到本合同所指重大疾病“严重脑炎后遗症或严重脑</w:t>
      </w:r>
      <w:r>
        <w:rPr>
          <w:spacing w:val="-2"/>
        </w:rPr>
        <w:t>膜炎后遗症”或“瘫痪”的给付标准。</w:t>
      </w:r>
    </w:p>
    <w:p>
      <w:pPr>
        <w:pStyle w:val="BodyText"/>
        <w:rPr>
          <w:sz w:val="19"/>
        </w:rPr>
      </w:pPr>
    </w:p>
    <w:p>
      <w:pPr>
        <w:pStyle w:val="Heading3"/>
      </w:pPr>
      <w:r>
        <w:rPr/>
        <w:t>（九）</w:t>
      </w:r>
      <w:r>
        <w:rPr>
          <w:spacing w:val="-2"/>
        </w:rPr>
        <w:t>中度肠道疾病并发症</w:t>
      </w:r>
    </w:p>
    <w:p>
      <w:pPr>
        <w:pStyle w:val="BodyText"/>
        <w:spacing w:line="265" w:lineRule="exact"/>
        <w:ind w:left="2569"/>
      </w:pPr>
      <w:r>
        <w:rPr>
          <w:spacing w:val="-5"/>
        </w:rPr>
        <w:t>指严重肠道疾病或外伤导致小肠损害并发症，且未达到本合同所指重大疾病“严</w:t>
      </w:r>
    </w:p>
    <w:p>
      <w:pPr>
        <w:pStyle w:val="BodyText"/>
        <w:spacing w:line="248" w:lineRule="exact" w:before="43"/>
        <w:ind w:left="2569"/>
      </w:pPr>
      <w:r>
        <w:rPr>
          <w:spacing w:val="-3"/>
        </w:rPr>
        <w:t>重肠道疾病并发症”的标准。本疾病须满足以下所有条件：</w:t>
      </w:r>
    </w:p>
    <w:p>
      <w:pPr>
        <w:spacing w:line="31" w:lineRule="exact" w:before="0"/>
        <w:ind w:left="3030" w:right="0" w:firstLine="0"/>
        <w:jc w:val="left"/>
        <w:rPr>
          <w:sz w:val="4"/>
        </w:rPr>
      </w:pPr>
      <w:r>
        <w:rPr>
          <w:w w:val="72"/>
          <w:sz w:val="4"/>
        </w:rPr>
        <w:t>●</w:t>
      </w:r>
    </w:p>
    <w:p>
      <w:pPr>
        <w:pStyle w:val="ListParagraph"/>
        <w:numPr>
          <w:ilvl w:val="0"/>
          <w:numId w:val="66"/>
        </w:numPr>
        <w:tabs>
          <w:tab w:pos="3099" w:val="left" w:leader="none"/>
        </w:tabs>
        <w:spacing w:line="240" w:lineRule="auto" w:before="33" w:after="0"/>
        <w:ind w:left="3098" w:right="0" w:hanging="530"/>
        <w:jc w:val="left"/>
        <w:rPr>
          <w:sz w:val="21"/>
        </w:rPr>
      </w:pPr>
      <w:r>
        <w:rPr>
          <w:spacing w:val="-3"/>
          <w:sz w:val="21"/>
        </w:rPr>
        <w:t>至少切除了二分之一小肠；</w:t>
      </w:r>
    </w:p>
    <w:p>
      <w:pPr>
        <w:pStyle w:val="ListParagraph"/>
        <w:numPr>
          <w:ilvl w:val="0"/>
          <w:numId w:val="66"/>
        </w:numPr>
        <w:tabs>
          <w:tab w:pos="3099" w:val="left" w:leader="none"/>
        </w:tabs>
        <w:spacing w:line="240" w:lineRule="auto" w:before="43" w:after="0"/>
        <w:ind w:left="3098" w:right="0" w:hanging="530"/>
        <w:jc w:val="left"/>
        <w:rPr>
          <w:sz w:val="21"/>
        </w:rPr>
      </w:pPr>
      <w:r>
        <w:rPr>
          <w:spacing w:val="-3"/>
          <w:sz w:val="21"/>
        </w:rPr>
        <w:t>完全肠外营养支持二个月以上。</w:t>
      </w:r>
    </w:p>
    <w:p>
      <w:pPr>
        <w:pStyle w:val="BodyText"/>
        <w:spacing w:before="43"/>
        <w:ind w:left="2569"/>
      </w:pPr>
      <w:r>
        <w:rPr>
          <w:color w:val="000000"/>
          <w:spacing w:val="-3"/>
          <w:shd w:fill="D9D9D9" w:color="auto" w:val="clear"/>
        </w:rPr>
        <w:t>因“克罗恩病”所致的“中度肠道疾病并发症”不在本保障范围内。</w:t>
      </w:r>
    </w:p>
    <w:p>
      <w:pPr>
        <w:pStyle w:val="BodyText"/>
        <w:spacing w:before="2"/>
        <w:rPr>
          <w:sz w:val="22"/>
        </w:rPr>
      </w:pPr>
    </w:p>
    <w:p>
      <w:pPr>
        <w:pStyle w:val="BodyText"/>
        <w:spacing w:line="278" w:lineRule="auto" w:before="71"/>
        <w:ind w:left="2569" w:right="301"/>
        <w:jc w:val="both"/>
      </w:pPr>
      <w:r>
        <w:rPr>
          <w:color w:val="000000"/>
          <w:spacing w:val="-2"/>
          <w:shd w:fill="D9D9D9" w:color="auto" w:val="clear"/>
        </w:rPr>
        <w:t>本公司对“中度肠道疾病并发症”和“中度严重溃疡性结肠炎”两项中的其中一</w:t>
      </w:r>
      <w:r>
        <w:rPr>
          <w:color w:val="000000"/>
          <w:spacing w:val="40"/>
          <w:shd w:fill="D9D9D9" w:color="auto" w:val="clear"/>
        </w:rPr>
        <w:t> </w:t>
      </w:r>
      <w:r>
        <w:rPr>
          <w:color w:val="000000"/>
          <w:spacing w:val="-2"/>
          <w:shd w:fill="D9D9D9" w:color="auto" w:val="clear"/>
        </w:rPr>
        <w:t>项承担保险责任，给付其中一项保险金后，对另外一项中症疾病保险责任同时终</w:t>
      </w:r>
      <w:r>
        <w:rPr>
          <w:color w:val="000000"/>
          <w:spacing w:val="-6"/>
          <w:shd w:fill="D9D9D9" w:color="auto" w:val="clear"/>
        </w:rPr>
        <w:t>止。</w:t>
      </w:r>
    </w:p>
    <w:p>
      <w:pPr>
        <w:pStyle w:val="BodyText"/>
        <w:rPr>
          <w:sz w:val="22"/>
        </w:rPr>
      </w:pPr>
      <w:r>
        <w:rPr/>
        <w:drawing>
          <wp:anchor distT="0" distB="0" distL="0" distR="0" allowOverlap="1" layoutInCell="1" locked="0" behindDoc="1" simplePos="0" relativeHeight="485648896">
            <wp:simplePos x="0" y="0"/>
            <wp:positionH relativeFrom="page">
              <wp:posOffset>2215895</wp:posOffset>
            </wp:positionH>
            <wp:positionV relativeFrom="paragraph">
              <wp:posOffset>194484</wp:posOffset>
            </wp:positionV>
            <wp:extent cx="4626863" cy="374903"/>
            <wp:effectExtent l="0" t="0" r="0" b="0"/>
            <wp:wrapNone/>
            <wp:docPr id="57" name="image19.png"/>
            <wp:cNvGraphicFramePr>
              <a:graphicFrameLocks noChangeAspect="1"/>
            </wp:cNvGraphicFramePr>
            <a:graphic>
              <a:graphicData uri="http://schemas.openxmlformats.org/drawingml/2006/picture">
                <pic:pic>
                  <pic:nvPicPr>
                    <pic:cNvPr id="58" name="image19.png"/>
                    <pic:cNvPicPr/>
                  </pic:nvPicPr>
                  <pic:blipFill>
                    <a:blip r:embed="rId23" cstate="print"/>
                    <a:stretch>
                      <a:fillRect/>
                    </a:stretch>
                  </pic:blipFill>
                  <pic:spPr>
                    <a:xfrm>
                      <a:off x="0" y="0"/>
                      <a:ext cx="4626863" cy="374903"/>
                    </a:xfrm>
                    <a:prstGeom prst="rect">
                      <a:avLst/>
                    </a:prstGeom>
                  </pic:spPr>
                </pic:pic>
              </a:graphicData>
            </a:graphic>
          </wp:anchor>
        </w:drawing>
      </w:r>
      <w:r>
        <w:rPr/>
        <w:pict>
          <v:shape style="position:absolute;margin-left:174.479996pt;margin-top:15.313703pt;width:367.7pt;height:29.55pt;mso-position-horizontal-relative:page;mso-position-vertical-relative:paragraph;z-index:-17667072" type="#_x0000_t202" id="docshape136" filled="false" stroked="false">
            <v:textbox inset="0,0,0,0">
              <w:txbxContent>
                <w:p>
                  <w:pPr>
                    <w:pStyle w:val="BodyText"/>
                    <w:spacing w:before="10"/>
                    <w:rPr>
                      <w:sz w:val="24"/>
                    </w:rPr>
                  </w:pPr>
                </w:p>
                <w:p>
                  <w:pPr>
                    <w:pStyle w:val="BodyText"/>
                  </w:pPr>
                  <w:r>
                    <w:rPr>
                      <w:spacing w:val="-3"/>
                    </w:rPr>
                    <w:t>担保险责任，给付其中一项保险金后，对另外一项中症疾病保险责任同时终止。</w:t>
                  </w:r>
                </w:p>
              </w:txbxContent>
            </v:textbox>
            <w10:wrap type="none"/>
          </v:shape>
        </w:pict>
      </w:r>
      <w:r>
        <w:rPr/>
        <w:pict>
          <v:shape style="position:absolute;margin-left:174.479996pt;margin-top:15.313703pt;width:364.35pt;height:13.95pt;mso-position-horizontal-relative:page;mso-position-vertical-relative:paragraph;z-index:-15644160;mso-wrap-distance-left:0;mso-wrap-distance-right:0" type="#_x0000_t202" id="docshape137" filled="true" fillcolor="#d9d9d9" stroked="false">
            <v:textbox inset="0,0,0,0">
              <w:txbxContent>
                <w:p>
                  <w:pPr>
                    <w:pStyle w:val="BodyText"/>
                    <w:spacing w:before="6"/>
                    <w:ind w:right="-15"/>
                    <w:rPr>
                      <w:color w:val="000000"/>
                    </w:rPr>
                  </w:pPr>
                  <w:r>
                    <w:rPr>
                      <w:color w:val="000000"/>
                      <w:spacing w:val="-5"/>
                    </w:rPr>
                    <w:t>本公司对“中度肠道疾病并发症”和“中度严重克罗恩病”两项中的其中一项承</w:t>
                  </w:r>
                </w:p>
              </w:txbxContent>
            </v:textbox>
            <v:fill type="solid"/>
            <w10:wrap type="topAndBottom"/>
          </v:shape>
        </w:pict>
      </w:r>
    </w:p>
    <w:p>
      <w:pPr>
        <w:pStyle w:val="BodyText"/>
        <w:spacing w:before="10"/>
      </w:pPr>
    </w:p>
    <w:p>
      <w:pPr>
        <w:pStyle w:val="Heading3"/>
        <w:spacing w:before="5"/>
      </w:pPr>
      <w:r>
        <w:rPr/>
        <w:t>（十）</w:t>
      </w:r>
      <w:r>
        <w:rPr>
          <w:spacing w:val="-2"/>
        </w:rPr>
        <w:t>原发性肺动脉高压</w:t>
      </w:r>
    </w:p>
    <w:p>
      <w:pPr>
        <w:pStyle w:val="BodyText"/>
        <w:spacing w:line="278" w:lineRule="auto"/>
        <w:ind w:left="2569" w:right="195"/>
      </w:pPr>
      <w:r>
        <w:rPr>
          <w:spacing w:val="-6"/>
        </w:rPr>
        <w:t>指由于原发性肺动脉高压进行性发展，已经造成永久不可逆性的体力活动能力受</w:t>
      </w:r>
      <w:r>
        <w:rPr>
          <w:spacing w:val="-5"/>
        </w:rPr>
        <w:t>限，达到美国纽约心脏病学会心功能状态分级 </w:t>
      </w:r>
      <w:r>
        <w:rPr>
          <w:spacing w:val="-2"/>
        </w:rPr>
        <w:t>III</w:t>
      </w:r>
      <w:r>
        <w:rPr>
          <w:spacing w:val="-14"/>
        </w:rPr>
        <w:t> 级及以上，但尚未达到 </w:t>
      </w:r>
      <w:r>
        <w:rPr>
          <w:spacing w:val="-2"/>
        </w:rPr>
        <w:t>IV</w:t>
      </w:r>
      <w:r>
        <w:rPr>
          <w:spacing w:val="-21"/>
        </w:rPr>
        <w:t> 级，</w:t>
      </w:r>
      <w:r>
        <w:rPr>
          <w:spacing w:val="-2"/>
        </w:rPr>
        <w:t>且静息状态下肺动脉平均压超过 </w:t>
      </w:r>
      <w:r>
        <w:rPr/>
        <w:t>25mmHg</w:t>
      </w:r>
      <w:r>
        <w:rPr>
          <w:spacing w:val="-4"/>
        </w:rPr>
        <w:t>，但尚未超过 </w:t>
      </w:r>
      <w:r>
        <w:rPr/>
        <w:t>36mmHg。</w:t>
      </w:r>
    </w:p>
    <w:p>
      <w:pPr>
        <w:spacing w:after="0" w:line="278" w:lineRule="auto"/>
        <w:sectPr>
          <w:pgSz w:w="11910" w:h="16840"/>
          <w:pgMar w:top="1080" w:bottom="280" w:left="920" w:right="820"/>
        </w:sectPr>
      </w:pPr>
    </w:p>
    <w:p>
      <w:pPr>
        <w:pStyle w:val="Heading3"/>
        <w:spacing w:line="367" w:lineRule="exact"/>
      </w:pPr>
      <w:r>
        <w:rPr/>
        <w:t>（十一）</w:t>
      </w:r>
      <w:r>
        <w:rPr>
          <w:spacing w:val="-2"/>
        </w:rPr>
        <w:t>早期原发性心肌病</w:t>
      </w:r>
    </w:p>
    <w:p>
      <w:pPr>
        <w:pStyle w:val="BodyText"/>
        <w:spacing w:line="278" w:lineRule="auto"/>
        <w:ind w:left="2569" w:right="301"/>
      </w:pPr>
      <w:r>
        <w:rPr>
          <w:spacing w:val="-19"/>
        </w:rPr>
        <w:t>被诊断为原发性心肌病，并符合下列所有条件，但未达到本合同所指重大疾病“严</w:t>
      </w:r>
      <w:r>
        <w:rPr>
          <w:spacing w:val="-2"/>
        </w:rPr>
        <w:t>重心肌病”的标准：</w:t>
      </w:r>
    </w:p>
    <w:p>
      <w:pPr>
        <w:pStyle w:val="BodyText"/>
        <w:spacing w:line="278" w:lineRule="auto"/>
        <w:ind w:left="2569" w:right="305"/>
      </w:pPr>
      <w:r>
        <w:rPr>
          <w:spacing w:val="-2"/>
        </w:rPr>
        <w:t>（1）导致心室功能受损，其受损程度达到美国纽约心脏病学会心功能状态分级 Ⅲ级，或其同等级别。</w:t>
      </w:r>
    </w:p>
    <w:p>
      <w:pPr>
        <w:pStyle w:val="BodyText"/>
        <w:spacing w:line="278" w:lineRule="auto"/>
        <w:ind w:left="2569" w:right="305"/>
      </w:pPr>
      <w:r>
        <w:rPr>
          <w:spacing w:val="-2"/>
        </w:rPr>
        <w:t>（2）原发性心肌病的诊断必须由本公司认可医院的心脏专科医生确认，并提供</w:t>
      </w:r>
      <w:r>
        <w:rPr>
          <w:spacing w:val="-2"/>
        </w:rPr>
        <w:t>心脏超声检查结果报告。</w:t>
      </w:r>
    </w:p>
    <w:p>
      <w:pPr>
        <w:pStyle w:val="BodyText"/>
        <w:ind w:left="2569"/>
        <w:rPr>
          <w:sz w:val="20"/>
        </w:rPr>
      </w:pPr>
      <w:r>
        <w:rPr>
          <w:sz w:val="20"/>
        </w:rPr>
        <w:pict>
          <v:shape style="width:364.35pt;height:13.95pt;mso-position-horizontal-relative:char;mso-position-vertical-relative:line" type="#_x0000_t202" id="docshape138" filled="true" fillcolor="#d9d9d9" stroked="false">
            <w10:anchorlock/>
            <v:textbox inset="0,0,0,0">
              <w:txbxContent>
                <w:p>
                  <w:pPr>
                    <w:pStyle w:val="BodyText"/>
                    <w:spacing w:before="6"/>
                    <w:ind w:right="-15"/>
                    <w:rPr>
                      <w:color w:val="000000"/>
                    </w:rPr>
                  </w:pPr>
                  <w:r>
                    <w:rPr>
                      <w:color w:val="000000"/>
                      <w:spacing w:val="-7"/>
                    </w:rPr>
                    <w:t>本保障范围内的心肌病仅包括扩张型心肌病、肥厚型心肌病及限制型心肌病。继</w:t>
                  </w:r>
                </w:p>
              </w:txbxContent>
            </v:textbox>
            <v:fill type="solid"/>
          </v:shape>
        </w:pict>
      </w:r>
      <w:r>
        <w:rPr>
          <w:sz w:val="20"/>
        </w:rPr>
      </w:r>
    </w:p>
    <w:p>
      <w:pPr>
        <w:pStyle w:val="BodyText"/>
        <w:ind w:left="2569"/>
        <w:rPr>
          <w:sz w:val="20"/>
        </w:rPr>
      </w:pPr>
      <w:r>
        <w:rPr>
          <w:sz w:val="20"/>
        </w:rPr>
        <w:pict>
          <v:shape style="width:364.35pt;height:13.95pt;mso-position-horizontal-relative:char;mso-position-vertical-relative:line" type="#_x0000_t202" id="docshape139" filled="true" fillcolor="#d9d9d9" stroked="false">
            <w10:anchorlock/>
            <v:textbox inset="0,0,0,0">
              <w:txbxContent>
                <w:p>
                  <w:pPr>
                    <w:pStyle w:val="BodyText"/>
                    <w:spacing w:before="6"/>
                    <w:ind w:right="-15"/>
                    <w:rPr>
                      <w:color w:val="000000"/>
                    </w:rPr>
                  </w:pPr>
                  <w:r>
                    <w:rPr>
                      <w:color w:val="000000"/>
                      <w:spacing w:val="-3"/>
                    </w:rPr>
                    <w:t>发于全身性疾病或其他器官系统疾病及酒精滥用造成的心肌病变不在保障范围</w:t>
                  </w:r>
                </w:p>
              </w:txbxContent>
            </v:textbox>
            <v:fill type="solid"/>
          </v:shape>
        </w:pict>
      </w:r>
      <w:r>
        <w:rPr>
          <w:sz w:val="20"/>
        </w:rPr>
      </w:r>
    </w:p>
    <w:p>
      <w:pPr>
        <w:pStyle w:val="BodyText"/>
        <w:ind w:left="2569"/>
        <w:rPr>
          <w:sz w:val="20"/>
        </w:rPr>
      </w:pPr>
      <w:r>
        <w:rPr>
          <w:sz w:val="20"/>
        </w:rPr>
        <w:pict>
          <v:shape style="width:20.9pt;height:13.95pt;mso-position-horizontal-relative:char;mso-position-vertical-relative:line" type="#_x0000_t202" id="docshape140" filled="true" fillcolor="#d9d9d9" stroked="false">
            <w10:anchorlock/>
            <v:textbox inset="0,0,0,0">
              <w:txbxContent>
                <w:p>
                  <w:pPr>
                    <w:pStyle w:val="BodyText"/>
                    <w:spacing w:before="6"/>
                    <w:ind w:right="-15"/>
                    <w:rPr>
                      <w:color w:val="000000"/>
                    </w:rPr>
                  </w:pPr>
                  <w:r>
                    <w:rPr>
                      <w:color w:val="000000"/>
                      <w:spacing w:val="-8"/>
                    </w:rPr>
                    <w:t>内。</w:t>
                  </w:r>
                </w:p>
              </w:txbxContent>
            </v:textbox>
            <v:fill type="solid"/>
          </v:shape>
        </w:pict>
      </w:r>
      <w:r>
        <w:rPr>
          <w:sz w:val="20"/>
        </w:rPr>
      </w:r>
    </w:p>
    <w:p>
      <w:pPr>
        <w:pStyle w:val="BodyText"/>
        <w:spacing w:before="1"/>
      </w:pPr>
    </w:p>
    <w:p>
      <w:pPr>
        <w:pStyle w:val="Heading3"/>
        <w:spacing w:before="4"/>
      </w:pPr>
      <w:r>
        <w:rPr/>
        <w:t>（十二）</w:t>
      </w:r>
      <w:r>
        <w:rPr>
          <w:spacing w:val="-1"/>
        </w:rPr>
        <w:t>中度慢性呼吸功能衰竭</w:t>
      </w:r>
    </w:p>
    <w:p>
      <w:pPr>
        <w:pStyle w:val="BodyText"/>
        <w:spacing w:line="265" w:lineRule="exact"/>
        <w:ind w:left="2569"/>
      </w:pPr>
      <w:r>
        <w:rPr>
          <w:spacing w:val="-6"/>
        </w:rPr>
        <w:t>指因慢性呼吸系统疾病导致永久不可逆的呼吸功能衰竭，但未达到本合同所指重</w:t>
      </w:r>
    </w:p>
    <w:p>
      <w:pPr>
        <w:pStyle w:val="BodyText"/>
        <w:spacing w:line="248" w:lineRule="exact" w:before="43"/>
        <w:ind w:left="2569"/>
      </w:pPr>
      <w:r>
        <w:rPr>
          <w:spacing w:val="-3"/>
        </w:rPr>
        <w:t>大疾病“严重慢性呼吸衰竭”的标准，且诊断必须满足以下所有条件：</w:t>
      </w:r>
    </w:p>
    <w:p>
      <w:pPr>
        <w:spacing w:line="31" w:lineRule="exact" w:before="0"/>
        <w:ind w:left="2607" w:right="0" w:firstLine="0"/>
        <w:jc w:val="left"/>
        <w:rPr>
          <w:sz w:val="4"/>
        </w:rPr>
      </w:pPr>
      <w:r>
        <w:rPr>
          <w:w w:val="72"/>
          <w:sz w:val="4"/>
        </w:rPr>
        <w:t>●</w:t>
      </w:r>
    </w:p>
    <w:p>
      <w:pPr>
        <w:pStyle w:val="ListParagraph"/>
        <w:numPr>
          <w:ilvl w:val="0"/>
          <w:numId w:val="67"/>
        </w:numPr>
        <w:tabs>
          <w:tab w:pos="3099" w:val="left" w:leader="none"/>
        </w:tabs>
        <w:spacing w:line="240" w:lineRule="auto" w:before="33" w:after="0"/>
        <w:ind w:left="3098" w:right="0" w:hanging="530"/>
        <w:jc w:val="left"/>
        <w:rPr>
          <w:sz w:val="21"/>
        </w:rPr>
      </w:pPr>
      <w:r>
        <w:rPr>
          <w:spacing w:val="-2"/>
          <w:sz w:val="21"/>
        </w:rPr>
        <w:t>第一秒末用力呼吸量（FEV1）</w:t>
      </w:r>
      <w:r>
        <w:rPr>
          <w:spacing w:val="-17"/>
          <w:sz w:val="21"/>
        </w:rPr>
        <w:t>小于 </w:t>
      </w:r>
      <w:r>
        <w:rPr>
          <w:spacing w:val="-2"/>
          <w:sz w:val="21"/>
        </w:rPr>
        <w:t>1</w:t>
      </w:r>
      <w:r>
        <w:rPr>
          <w:spacing w:val="-19"/>
          <w:sz w:val="21"/>
        </w:rPr>
        <w:t> 升；</w:t>
      </w:r>
    </w:p>
    <w:p>
      <w:pPr>
        <w:pStyle w:val="ListParagraph"/>
        <w:numPr>
          <w:ilvl w:val="0"/>
          <w:numId w:val="67"/>
        </w:numPr>
        <w:tabs>
          <w:tab w:pos="3099" w:val="left" w:leader="none"/>
        </w:tabs>
        <w:spacing w:line="240" w:lineRule="auto" w:before="43" w:after="0"/>
        <w:ind w:left="3098" w:right="0" w:hanging="530"/>
        <w:jc w:val="left"/>
        <w:rPr>
          <w:sz w:val="21"/>
        </w:rPr>
      </w:pPr>
      <w:r>
        <w:rPr>
          <w:spacing w:val="-2"/>
          <w:sz w:val="21"/>
        </w:rPr>
        <w:t>残气容积占肺总量（TLC）</w:t>
      </w:r>
      <w:r>
        <w:rPr>
          <w:spacing w:val="-19"/>
          <w:sz w:val="21"/>
        </w:rPr>
        <w:t>的 </w:t>
      </w:r>
      <w:r>
        <w:rPr>
          <w:spacing w:val="-2"/>
          <w:sz w:val="21"/>
        </w:rPr>
        <w:t>50</w:t>
      </w:r>
      <w:r>
        <w:rPr>
          <w:spacing w:val="-4"/>
          <w:sz w:val="21"/>
        </w:rPr>
        <w:t>%以上；</w:t>
      </w:r>
    </w:p>
    <w:p>
      <w:pPr>
        <w:pStyle w:val="ListParagraph"/>
        <w:numPr>
          <w:ilvl w:val="0"/>
          <w:numId w:val="67"/>
        </w:numPr>
        <w:tabs>
          <w:tab w:pos="3099" w:val="left" w:leader="none"/>
        </w:tabs>
        <w:spacing w:line="240" w:lineRule="auto" w:before="43" w:after="0"/>
        <w:ind w:left="3098" w:right="0" w:hanging="530"/>
        <w:jc w:val="left"/>
        <w:rPr>
          <w:sz w:val="21"/>
        </w:rPr>
      </w:pPr>
      <w:r>
        <w:rPr>
          <w:spacing w:val="-2"/>
          <w:sz w:val="21"/>
        </w:rPr>
        <w:t>PaO2&lt;60mmHg，但≧50mmHg</w:t>
      </w:r>
      <w:r>
        <w:rPr>
          <w:spacing w:val="-10"/>
          <w:sz w:val="21"/>
        </w:rPr>
        <w:t>。</w:t>
      </w:r>
    </w:p>
    <w:p>
      <w:pPr>
        <w:pStyle w:val="BodyText"/>
        <w:spacing w:before="6"/>
        <w:rPr>
          <w:sz w:val="22"/>
        </w:rPr>
      </w:pPr>
    </w:p>
    <w:p>
      <w:pPr>
        <w:pStyle w:val="Heading3"/>
      </w:pPr>
      <w:r>
        <w:rPr/>
        <w:t>（十三）</w:t>
      </w:r>
      <w:r>
        <w:rPr>
          <w:spacing w:val="-2"/>
        </w:rPr>
        <w:t>腔静脉过滤器植入术</w:t>
      </w:r>
    </w:p>
    <w:p>
      <w:pPr>
        <w:pStyle w:val="BodyText"/>
        <w:spacing w:line="278" w:lineRule="auto"/>
        <w:ind w:left="2569" w:right="238"/>
      </w:pPr>
      <w:r>
        <w:rPr>
          <w:spacing w:val="-2"/>
        </w:rPr>
        <w:t>指为治疗反复肺栓塞发作，抗凝血疗法无效，已经实施了腔静脉过滤器植入术。</w:t>
      </w:r>
      <w:r>
        <w:rPr>
          <w:spacing w:val="-2"/>
        </w:rPr>
        <w:t>手术必须在专科医生认为是医学上必需的情况下进行。</w:t>
      </w:r>
    </w:p>
    <w:p>
      <w:pPr>
        <w:pStyle w:val="BodyText"/>
        <w:spacing w:before="10"/>
        <w:rPr>
          <w:sz w:val="18"/>
        </w:rPr>
      </w:pPr>
    </w:p>
    <w:p>
      <w:pPr>
        <w:pStyle w:val="Heading3"/>
      </w:pPr>
      <w:r>
        <w:rPr>
          <w:spacing w:val="-2"/>
        </w:rPr>
        <w:t>（十四）</w:t>
      </w:r>
      <w:r>
        <w:rPr>
          <w:spacing w:val="-3"/>
        </w:rPr>
        <w:t>特定周围动脉疾病的血管介入治疗</w:t>
      </w:r>
    </w:p>
    <w:p>
      <w:pPr>
        <w:pStyle w:val="BodyText"/>
        <w:spacing w:line="265" w:lineRule="exact"/>
        <w:ind w:left="2569"/>
      </w:pPr>
      <w:r>
        <w:rPr>
          <w:spacing w:val="-3"/>
        </w:rPr>
        <w:t>指为治疗一条或者一条以上的下列动脉狭窄而实施的血管介入治疗：</w:t>
      </w:r>
    </w:p>
    <w:p>
      <w:pPr>
        <w:pStyle w:val="ListParagraph"/>
        <w:numPr>
          <w:ilvl w:val="0"/>
          <w:numId w:val="68"/>
        </w:numPr>
        <w:tabs>
          <w:tab w:pos="3099" w:val="left" w:leader="none"/>
        </w:tabs>
        <w:spacing w:line="240" w:lineRule="auto" w:before="43" w:after="0"/>
        <w:ind w:left="3098" w:right="0" w:hanging="530"/>
        <w:jc w:val="left"/>
        <w:rPr>
          <w:sz w:val="21"/>
        </w:rPr>
      </w:pPr>
      <w:r>
        <w:rPr>
          <w:spacing w:val="-3"/>
          <w:sz w:val="21"/>
        </w:rPr>
        <w:t>为下肢或者上肢供血的动脉；</w:t>
      </w:r>
    </w:p>
    <w:p>
      <w:pPr>
        <w:pStyle w:val="ListParagraph"/>
        <w:numPr>
          <w:ilvl w:val="0"/>
          <w:numId w:val="68"/>
        </w:numPr>
        <w:tabs>
          <w:tab w:pos="3099" w:val="left" w:leader="none"/>
        </w:tabs>
        <w:spacing w:line="240" w:lineRule="auto" w:before="42" w:after="0"/>
        <w:ind w:left="3098" w:right="0" w:hanging="530"/>
        <w:jc w:val="left"/>
        <w:rPr>
          <w:sz w:val="21"/>
        </w:rPr>
      </w:pPr>
      <w:r>
        <w:rPr>
          <w:spacing w:val="-4"/>
          <w:sz w:val="21"/>
        </w:rPr>
        <w:t>肾动脉；</w:t>
      </w:r>
    </w:p>
    <w:p>
      <w:pPr>
        <w:pStyle w:val="ListParagraph"/>
        <w:numPr>
          <w:ilvl w:val="0"/>
          <w:numId w:val="68"/>
        </w:numPr>
        <w:tabs>
          <w:tab w:pos="3099" w:val="left" w:leader="none"/>
        </w:tabs>
        <w:spacing w:line="278" w:lineRule="auto" w:before="43" w:after="0"/>
        <w:ind w:left="2569" w:right="5489" w:firstLine="0"/>
        <w:jc w:val="left"/>
        <w:rPr>
          <w:sz w:val="21"/>
        </w:rPr>
      </w:pPr>
      <w:r>
        <w:rPr>
          <w:spacing w:val="-2"/>
          <w:sz w:val="21"/>
        </w:rPr>
        <w:t>肠系膜动脉。</w:t>
      </w:r>
      <w:r>
        <w:rPr>
          <w:spacing w:val="105"/>
          <w:sz w:val="21"/>
        </w:rPr>
        <w:t> </w:t>
      </w:r>
      <w:r>
        <w:rPr>
          <w:spacing w:val="-2"/>
          <w:sz w:val="21"/>
        </w:rPr>
        <w:t>须满足下列全部条件：</w:t>
      </w:r>
    </w:p>
    <w:p>
      <w:pPr>
        <w:pStyle w:val="ListParagraph"/>
        <w:numPr>
          <w:ilvl w:val="0"/>
          <w:numId w:val="69"/>
        </w:numPr>
        <w:tabs>
          <w:tab w:pos="3099" w:val="left" w:leader="none"/>
        </w:tabs>
        <w:spacing w:line="269" w:lineRule="exact" w:before="0" w:after="0"/>
        <w:ind w:left="3098"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0"/>
          <w:numId w:val="69"/>
        </w:numPr>
        <w:tabs>
          <w:tab w:pos="3099" w:val="left" w:leader="none"/>
        </w:tabs>
        <w:spacing w:line="248" w:lineRule="exact" w:before="44" w:after="0"/>
        <w:ind w:left="3098" w:right="0" w:hanging="530"/>
        <w:jc w:val="left"/>
        <w:rPr>
          <w:sz w:val="21"/>
        </w:rPr>
      </w:pPr>
      <w:r>
        <w:rPr>
          <w:spacing w:val="-5"/>
          <w:sz w:val="21"/>
        </w:rPr>
        <w:t>对一条或者一条以上的上述动脉施行了血管介入治疗，如血管成形术及/或</w:t>
      </w:r>
    </w:p>
    <w:p>
      <w:pPr>
        <w:spacing w:line="31" w:lineRule="exact" w:before="0"/>
        <w:ind w:left="2607" w:right="0" w:firstLine="0"/>
        <w:jc w:val="left"/>
        <w:rPr>
          <w:sz w:val="4"/>
        </w:rPr>
      </w:pPr>
      <w:r>
        <w:rPr>
          <w:w w:val="72"/>
          <w:sz w:val="4"/>
        </w:rPr>
        <w:t>●</w:t>
      </w:r>
    </w:p>
    <w:p>
      <w:pPr>
        <w:pStyle w:val="BodyText"/>
        <w:spacing w:before="33"/>
        <w:ind w:left="2569"/>
      </w:pPr>
      <w:r>
        <w:rPr>
          <w:spacing w:val="-3"/>
        </w:rPr>
        <w:t>者进行植入支架或者动脉粥样瘤清除手术。</w:t>
      </w:r>
    </w:p>
    <w:p>
      <w:pPr>
        <w:pStyle w:val="BodyText"/>
        <w:spacing w:line="278" w:lineRule="auto" w:before="43"/>
        <w:ind w:left="2569" w:right="301"/>
      </w:pPr>
      <w:r>
        <w:rPr>
          <w:w w:val="100"/>
        </w:rPr>
        <w:t>此诊断及治疗均须在本公司认可医院内由血管疾病的专科医生认为是医疗必须</w:t>
      </w:r>
      <w:r>
        <w:rPr>
          <w:spacing w:val="-1"/>
          <w:w w:val="100"/>
        </w:rPr>
        <w:t>的情况下进行。</w:t>
      </w:r>
    </w:p>
    <w:p>
      <w:pPr>
        <w:pStyle w:val="BodyText"/>
        <w:spacing w:before="1"/>
        <w:rPr>
          <w:sz w:val="19"/>
        </w:rPr>
      </w:pPr>
    </w:p>
    <w:p>
      <w:pPr>
        <w:pStyle w:val="Heading3"/>
        <w:spacing w:line="320" w:lineRule="exact"/>
      </w:pPr>
      <w:r>
        <w:rPr>
          <w:spacing w:val="-2"/>
        </w:rPr>
        <w:t>（十五）</w:t>
      </w:r>
      <w:r>
        <w:rPr>
          <w:spacing w:val="-3"/>
        </w:rPr>
        <w:t>于颈动脉进行血管成形术或内膜切除术</w:t>
      </w:r>
    </w:p>
    <w:p>
      <w:pPr>
        <w:spacing w:line="26" w:lineRule="exact" w:before="0"/>
        <w:ind w:left="3096" w:right="0" w:firstLine="0"/>
        <w:jc w:val="center"/>
        <w:rPr>
          <w:sz w:val="4"/>
        </w:rPr>
      </w:pPr>
      <w:r>
        <w:rPr>
          <w:w w:val="72"/>
          <w:sz w:val="4"/>
        </w:rPr>
        <w:t>●</w:t>
      </w:r>
    </w:p>
    <w:p>
      <w:pPr>
        <w:pStyle w:val="BodyText"/>
        <w:spacing w:line="278" w:lineRule="auto" w:before="33"/>
        <w:ind w:left="2569" w:right="301"/>
      </w:pPr>
      <w:r>
        <w:rPr>
          <w:spacing w:val="-2"/>
        </w:rPr>
        <w:t>指根据颈动脉造影检查结果，确诊一条或以上颈动脉存在严重狭窄性病变（至少</w:t>
      </w:r>
      <w:r>
        <w:rPr>
          <w:spacing w:val="-4"/>
        </w:rPr>
        <w:t>一支血管管腔直径减少 </w:t>
      </w:r>
      <w:r>
        <w:rPr/>
        <w:t>50%以上</w:t>
      </w:r>
      <w:r>
        <w:rPr>
          <w:spacing w:val="-106"/>
        </w:rPr>
        <w:t>）</w:t>
      </w:r>
      <w:r>
        <w:rPr/>
        <w:t>。</w:t>
      </w:r>
    </w:p>
    <w:p>
      <w:pPr>
        <w:pStyle w:val="BodyText"/>
        <w:spacing w:line="278" w:lineRule="auto"/>
        <w:ind w:left="2569" w:right="301"/>
      </w:pPr>
      <w:r>
        <w:rPr>
          <w:spacing w:val="-5"/>
        </w:rPr>
        <w:t>本病须经国家机关认可的有合法资质的专科医生明确诊断，同时必须已经采取以</w:t>
      </w:r>
      <w:r>
        <w:rPr>
          <w:spacing w:val="-2"/>
        </w:rPr>
        <w:t>下手术以减轻症状：</w:t>
      </w:r>
    </w:p>
    <w:p>
      <w:pPr>
        <w:pStyle w:val="ListParagraph"/>
        <w:numPr>
          <w:ilvl w:val="0"/>
          <w:numId w:val="70"/>
        </w:numPr>
        <w:tabs>
          <w:tab w:pos="3099" w:val="left" w:leader="none"/>
        </w:tabs>
        <w:spacing w:line="269" w:lineRule="exact" w:before="0" w:after="0"/>
        <w:ind w:left="3098" w:right="0" w:hanging="530"/>
        <w:jc w:val="left"/>
        <w:rPr>
          <w:sz w:val="21"/>
        </w:rPr>
      </w:pPr>
      <w:r>
        <w:rPr>
          <w:spacing w:val="-3"/>
          <w:sz w:val="21"/>
        </w:rPr>
        <w:t>确实进行动脉内膜切除术；</w:t>
      </w:r>
    </w:p>
    <w:p>
      <w:pPr>
        <w:pStyle w:val="ListParagraph"/>
        <w:numPr>
          <w:ilvl w:val="0"/>
          <w:numId w:val="70"/>
        </w:numPr>
        <w:tabs>
          <w:tab w:pos="3099" w:val="left" w:leader="none"/>
        </w:tabs>
        <w:spacing w:line="240" w:lineRule="auto" w:before="43" w:after="0"/>
        <w:ind w:left="3098" w:right="0" w:hanging="530"/>
        <w:jc w:val="left"/>
        <w:rPr>
          <w:sz w:val="21"/>
        </w:rPr>
      </w:pPr>
      <w:r>
        <w:rPr>
          <w:spacing w:val="-3"/>
          <w:sz w:val="21"/>
        </w:rPr>
        <w:t>确实进行血管介入治疗，例如血管成形术及/或进行植入支架手术。</w:t>
      </w:r>
    </w:p>
    <w:p>
      <w:pPr>
        <w:pStyle w:val="BodyText"/>
        <w:spacing w:before="5"/>
        <w:rPr>
          <w:sz w:val="22"/>
        </w:rPr>
      </w:pPr>
    </w:p>
    <w:p>
      <w:pPr>
        <w:pStyle w:val="Heading3"/>
      </w:pPr>
      <w:r>
        <w:rPr/>
        <w:t>（十六）</w:t>
      </w:r>
      <w:r>
        <w:rPr>
          <w:spacing w:val="-2"/>
        </w:rPr>
        <w:t>中度类风湿性关节炎</w:t>
      </w:r>
    </w:p>
    <w:p>
      <w:pPr>
        <w:pStyle w:val="BodyText"/>
        <w:spacing w:line="278" w:lineRule="auto"/>
        <w:ind w:left="2569" w:right="301"/>
      </w:pPr>
      <w:r>
        <w:rPr>
          <w:spacing w:val="-7"/>
        </w:rPr>
        <w:t>根据美国风湿病学院的诊断标准，由风湿科专科医生明确诊断并符合下列所有理</w:t>
      </w:r>
      <w:r>
        <w:rPr>
          <w:spacing w:val="-5"/>
        </w:rPr>
        <w:t>赔条件，但未达到本合同所指重大疾病“严重类风湿性关节炎”的标准：表现为</w:t>
      </w:r>
    </w:p>
    <w:p>
      <w:pPr>
        <w:spacing w:after="0" w:line="278" w:lineRule="auto"/>
        <w:sectPr>
          <w:pgSz w:w="11910" w:h="16840"/>
          <w:pgMar w:top="1400" w:bottom="280" w:left="920" w:right="820"/>
        </w:sectPr>
      </w:pPr>
    </w:p>
    <w:p>
      <w:pPr>
        <w:pStyle w:val="BodyText"/>
        <w:spacing w:line="278" w:lineRule="auto" w:before="59"/>
        <w:ind w:left="2569" w:right="301"/>
        <w:jc w:val="both"/>
      </w:pPr>
      <w:r>
        <w:rPr>
          <w:spacing w:val="-2"/>
        </w:rPr>
        <w:t>关节严重变形，侵犯至少两个主要关节或关节组（如：双手（多手指）关节、双</w:t>
      </w:r>
      <w:r>
        <w:rPr>
          <w:spacing w:val="-6"/>
        </w:rPr>
        <w:t>足（多足趾）关节、双腕关节、双膝关节和双髋关节</w:t>
      </w:r>
      <w:r>
        <w:rPr>
          <w:spacing w:val="-111"/>
        </w:rPr>
        <w:t>）</w:t>
      </w:r>
      <w:r>
        <w:rPr>
          <w:spacing w:val="-6"/>
        </w:rPr>
        <w:t>。类风湿性关节炎必须明确</w:t>
      </w:r>
      <w:r>
        <w:rPr>
          <w:spacing w:val="-5"/>
        </w:rPr>
        <w:t>诊断并且已经达到类风湿性关节炎功能分级Ⅲ级以上的功能障碍</w:t>
      </w:r>
      <w:r>
        <w:rPr>
          <w:spacing w:val="-2"/>
        </w:rPr>
        <w:t>（关节活动严重</w:t>
      </w:r>
      <w:r>
        <w:rPr>
          <w:spacing w:val="-2"/>
        </w:rPr>
        <w:t>限制，不能完成大部分的日常工作和活动</w:t>
      </w:r>
      <w:r>
        <w:rPr>
          <w:spacing w:val="-106"/>
        </w:rPr>
        <w:t>）</w:t>
      </w:r>
      <w:r>
        <w:rPr>
          <w:spacing w:val="-2"/>
        </w:rPr>
        <w:t>。</w:t>
      </w:r>
    </w:p>
    <w:p>
      <w:pPr>
        <w:pStyle w:val="BodyText"/>
        <w:spacing w:before="1"/>
        <w:rPr>
          <w:sz w:val="19"/>
        </w:rPr>
      </w:pPr>
    </w:p>
    <w:p>
      <w:pPr>
        <w:pStyle w:val="Heading3"/>
      </w:pPr>
      <w:r>
        <w:rPr/>
        <w:t>（十七）</w:t>
      </w:r>
      <w:r>
        <w:rPr>
          <w:spacing w:val="-2"/>
        </w:rPr>
        <w:t>中度重症肌无力</w:t>
      </w:r>
    </w:p>
    <w:p>
      <w:pPr>
        <w:pStyle w:val="BodyText"/>
        <w:spacing w:line="265" w:lineRule="exact"/>
        <w:ind w:left="2569"/>
      </w:pPr>
      <w:r>
        <w:rPr>
          <w:spacing w:val="-6"/>
        </w:rPr>
        <w:t>是一种神经与肌肉接头部位传递障碍的自身免疫性疾病，临床特征是局部或全身</w:t>
      </w:r>
    </w:p>
    <w:p>
      <w:pPr>
        <w:pStyle w:val="BodyText"/>
        <w:spacing w:line="248" w:lineRule="exact" w:before="43"/>
        <w:ind w:left="2569"/>
      </w:pPr>
      <w:r>
        <w:rPr>
          <w:spacing w:val="-5"/>
        </w:rPr>
        <w:t>横纹肌于活动时易于疲劳无力，颅神经眼外肌最易累及，也可涉及呼吸肌、下肢</w:t>
      </w:r>
    </w:p>
    <w:p>
      <w:pPr>
        <w:spacing w:line="31" w:lineRule="exact" w:before="0"/>
        <w:ind w:left="0" w:right="1134" w:firstLine="0"/>
        <w:jc w:val="center"/>
        <w:rPr>
          <w:sz w:val="4"/>
        </w:rPr>
      </w:pPr>
      <w:r>
        <w:rPr>
          <w:w w:val="72"/>
          <w:sz w:val="4"/>
        </w:rPr>
        <w:t>●</w:t>
      </w:r>
    </w:p>
    <w:p>
      <w:pPr>
        <w:pStyle w:val="BodyText"/>
        <w:spacing w:line="278" w:lineRule="auto" w:before="33"/>
        <w:ind w:left="2569" w:right="301"/>
        <w:jc w:val="both"/>
      </w:pPr>
      <w:r>
        <w:rPr>
          <w:spacing w:val="-2"/>
        </w:rPr>
        <w:t>近端肌群以至全身肌肉。该病必须由本公司认可医院的专科医生明确诊断，且疾</w:t>
      </w:r>
      <w:r>
        <w:rPr>
          <w:spacing w:val="-9"/>
        </w:rPr>
        <w:t>病确诊 </w:t>
      </w:r>
      <w:r>
        <w:rPr>
          <w:spacing w:val="-4"/>
        </w:rPr>
        <w:t>180</w:t>
      </w:r>
      <w:r>
        <w:rPr>
          <w:spacing w:val="-8"/>
        </w:rPr>
        <w:t> 天后，仍然存在自主生活能力部分丧失，经鉴定无法独立完成六项基</w:t>
      </w:r>
      <w:r>
        <w:rPr>
          <w:spacing w:val="-2"/>
        </w:rPr>
        <w:t>本日常生活活动中的两项，但未达到本合同所指重大疾病“全身性（型）重症肌</w:t>
      </w:r>
      <w:r>
        <w:rPr>
          <w:spacing w:val="-2"/>
        </w:rPr>
        <w:t>无力”或“瘫痪”的标准。</w:t>
      </w:r>
    </w:p>
    <w:p>
      <w:pPr>
        <w:pStyle w:val="BodyText"/>
        <w:spacing w:before="1"/>
        <w:rPr>
          <w:sz w:val="19"/>
        </w:rPr>
      </w:pPr>
    </w:p>
    <w:p>
      <w:pPr>
        <w:pStyle w:val="Heading3"/>
      </w:pPr>
      <w:r>
        <w:rPr/>
        <w:t>（十八）</w:t>
      </w:r>
      <w:r>
        <w:rPr>
          <w:spacing w:val="-2"/>
        </w:rPr>
        <w:t>中度肌营养不良症</w:t>
      </w:r>
    </w:p>
    <w:p>
      <w:pPr>
        <w:pStyle w:val="BodyText"/>
        <w:spacing w:line="278" w:lineRule="auto"/>
        <w:ind w:left="2569" w:right="301"/>
        <w:jc w:val="both"/>
      </w:pPr>
      <w:r>
        <w:rPr>
          <w:spacing w:val="-7"/>
        </w:rPr>
        <w:t>指一组原发于肌肉的遗传性疾病，临床表现为与神经系统无关的肌肉无力和肌肉</w:t>
      </w:r>
      <w:r>
        <w:rPr>
          <w:spacing w:val="-2"/>
        </w:rPr>
        <w:t>萎缩。但未达到本合同所指重大疾病“严重肌营养不良症”或“瘫痪”标准。须</w:t>
      </w:r>
      <w:r>
        <w:rPr>
          <w:spacing w:val="-2"/>
        </w:rPr>
        <w:t>满足下列全部条件：</w:t>
      </w:r>
    </w:p>
    <w:p>
      <w:pPr>
        <w:pStyle w:val="ListParagraph"/>
        <w:numPr>
          <w:ilvl w:val="0"/>
          <w:numId w:val="71"/>
        </w:numPr>
        <w:tabs>
          <w:tab w:pos="3099" w:val="left" w:leader="none"/>
        </w:tabs>
        <w:spacing w:line="269" w:lineRule="exact" w:before="0" w:after="0"/>
        <w:ind w:left="3098" w:right="0" w:hanging="530"/>
        <w:jc w:val="left"/>
        <w:rPr>
          <w:sz w:val="21"/>
        </w:rPr>
      </w:pPr>
      <w:r>
        <w:rPr>
          <w:spacing w:val="-3"/>
          <w:sz w:val="21"/>
        </w:rPr>
        <w:t>肌肉组织活检结果满足肌营养不良症的肌肉细胞变性、坏死等阳性改变；</w:t>
      </w:r>
    </w:p>
    <w:p>
      <w:pPr>
        <w:pStyle w:val="BodyText"/>
        <w:spacing w:line="278" w:lineRule="auto" w:before="39"/>
        <w:ind w:left="2569" w:right="305"/>
      </w:pPr>
      <w:r>
        <w:rPr>
          <w:spacing w:val="-2"/>
        </w:rPr>
        <w:t>（2）自主生活能力严重丧失，经鉴定无法独立完成六项基本日常生活活动中的</w:t>
      </w:r>
      <w:r>
        <w:rPr>
          <w:spacing w:val="-2"/>
        </w:rPr>
        <w:t>两项或两项以上。</w:t>
      </w:r>
    </w:p>
    <w:p>
      <w:pPr>
        <w:pStyle w:val="BodyText"/>
        <w:ind w:left="2569"/>
        <w:rPr>
          <w:sz w:val="20"/>
        </w:rPr>
      </w:pPr>
      <w:r>
        <w:rPr>
          <w:sz w:val="20"/>
        </w:rPr>
        <w:pict>
          <v:shape style="width:364.35pt;height:13.95pt;mso-position-horizontal-relative:char;mso-position-vertical-relative:line" type="#_x0000_t202" id="docshape141" filled="true" fillcolor="#d9d9d9" stroked="false">
            <w10:anchorlock/>
            <v:textbox inset="0,0,0,0">
              <w:txbxContent>
                <w:p>
                  <w:pPr>
                    <w:pStyle w:val="BodyText"/>
                    <w:spacing w:before="6"/>
                    <w:ind w:right="-15"/>
                    <w:rPr>
                      <w:color w:val="000000"/>
                    </w:rPr>
                  </w:pPr>
                  <w:r>
                    <w:rPr>
                      <w:color w:val="000000"/>
                      <w:spacing w:val="-7"/>
                    </w:rPr>
                    <w:t>本公司承担本项疾病责任不受本合同责任免除中“遗传性疾病，先天性畸形、变</w:t>
                  </w:r>
                </w:p>
              </w:txbxContent>
            </v:textbox>
            <v:fill type="solid"/>
          </v:shape>
        </w:pict>
      </w:r>
      <w:r>
        <w:rPr>
          <w:sz w:val="20"/>
        </w:rPr>
      </w:r>
    </w:p>
    <w:p>
      <w:pPr>
        <w:pStyle w:val="BodyText"/>
        <w:ind w:left="2569"/>
        <w:rPr>
          <w:sz w:val="20"/>
        </w:rPr>
      </w:pPr>
      <w:r>
        <w:rPr>
          <w:sz w:val="20"/>
        </w:rPr>
        <w:pict>
          <v:shape style="width:126pt;height:13.95pt;mso-position-horizontal-relative:char;mso-position-vertical-relative:line" type="#_x0000_t202" id="docshape142" filled="true" fillcolor="#d9d9d9" stroked="false">
            <w10:anchorlock/>
            <v:textbox inset="0,0,0,0">
              <w:txbxContent>
                <w:p>
                  <w:pPr>
                    <w:pStyle w:val="BodyText"/>
                    <w:spacing w:before="6"/>
                    <w:ind w:right="-15"/>
                    <w:rPr>
                      <w:color w:val="000000"/>
                    </w:rPr>
                  </w:pPr>
                  <w:r>
                    <w:rPr>
                      <w:color w:val="000000"/>
                      <w:spacing w:val="-5"/>
                    </w:rPr>
                    <w:t>形或染色体异常”的限制。</w:t>
                  </w:r>
                </w:p>
              </w:txbxContent>
            </v:textbox>
            <v:fill type="solid"/>
          </v:shape>
        </w:pict>
      </w:r>
      <w:r>
        <w:rPr>
          <w:sz w:val="20"/>
        </w:rPr>
      </w:r>
    </w:p>
    <w:p>
      <w:pPr>
        <w:pStyle w:val="BodyText"/>
        <w:spacing w:before="8"/>
        <w:rPr>
          <w:sz w:val="20"/>
        </w:rPr>
      </w:pPr>
    </w:p>
    <w:p>
      <w:pPr>
        <w:pStyle w:val="Heading3"/>
        <w:spacing w:line="320" w:lineRule="exact" w:before="5"/>
      </w:pPr>
      <w:r>
        <w:rPr/>
        <w:t>（十九）</w:t>
      </w:r>
      <w:r>
        <w:rPr>
          <w:spacing w:val="-1"/>
        </w:rPr>
        <w:t>中度严重溃疡性结肠炎</w:t>
      </w:r>
    </w:p>
    <w:p>
      <w:pPr>
        <w:spacing w:line="26" w:lineRule="exact" w:before="0"/>
        <w:ind w:left="3030" w:right="0" w:firstLine="0"/>
        <w:jc w:val="left"/>
        <w:rPr>
          <w:sz w:val="4"/>
        </w:rPr>
      </w:pPr>
      <w:r>
        <w:rPr>
          <w:w w:val="72"/>
          <w:sz w:val="4"/>
        </w:rPr>
        <w:t>●</w:t>
      </w:r>
    </w:p>
    <w:p>
      <w:pPr>
        <w:pStyle w:val="BodyText"/>
        <w:spacing w:before="33"/>
        <w:ind w:left="2569"/>
      </w:pPr>
      <w:r>
        <w:rPr>
          <w:spacing w:val="-6"/>
        </w:rPr>
        <w:t>溃疡性结肠炎指伴有致命性电解质紊乱的急性暴发性溃疡性结肠炎，病变已经累</w:t>
      </w:r>
    </w:p>
    <w:p>
      <w:pPr>
        <w:pStyle w:val="BodyText"/>
        <w:spacing w:line="248" w:lineRule="exact" w:before="43"/>
        <w:ind w:left="2569"/>
      </w:pPr>
      <w:r>
        <w:rPr>
          <w:spacing w:val="-3"/>
        </w:rPr>
        <w:t>及全结肠，表现为严重的血便和系统性症状体征，须根据组织病理学特点诊断，</w:t>
      </w:r>
    </w:p>
    <w:p>
      <w:pPr>
        <w:spacing w:line="31" w:lineRule="exact" w:before="0"/>
        <w:ind w:left="0" w:right="1970" w:firstLine="0"/>
        <w:jc w:val="center"/>
        <w:rPr>
          <w:sz w:val="4"/>
        </w:rPr>
      </w:pPr>
      <w:r>
        <w:rPr>
          <w:w w:val="72"/>
          <w:sz w:val="4"/>
        </w:rPr>
        <w:t>●</w:t>
      </w:r>
    </w:p>
    <w:p>
      <w:pPr>
        <w:pStyle w:val="BodyText"/>
        <w:spacing w:before="33"/>
        <w:ind w:left="2569"/>
      </w:pPr>
      <w:r>
        <w:rPr>
          <w:spacing w:val="-3"/>
        </w:rPr>
        <w:t>满足下列所有条件，且未达到“严重溃疡性结肠炎”的给付标准：</w:t>
      </w:r>
    </w:p>
    <w:p>
      <w:pPr>
        <w:pStyle w:val="BodyText"/>
        <w:spacing w:line="278" w:lineRule="auto" w:before="43"/>
        <w:ind w:left="2569" w:right="305"/>
      </w:pPr>
      <w:r>
        <w:rPr>
          <w:spacing w:val="-2"/>
        </w:rPr>
        <w:t>（1）须经由内窥镜检查证实该疾病侵犯全部结肠及直肠，并经病理学组织切片</w:t>
      </w:r>
      <w:r>
        <w:rPr>
          <w:spacing w:val="-2"/>
        </w:rPr>
        <w:t>检查证实为溃疡性结肠炎；</w:t>
      </w:r>
    </w:p>
    <w:p>
      <w:pPr>
        <w:pStyle w:val="ListParagraph"/>
        <w:numPr>
          <w:ilvl w:val="0"/>
          <w:numId w:val="71"/>
        </w:numPr>
        <w:tabs>
          <w:tab w:pos="3099" w:val="left" w:leader="none"/>
        </w:tabs>
        <w:spacing w:line="269" w:lineRule="exact" w:before="0" w:after="0"/>
        <w:ind w:left="3098" w:right="0" w:hanging="530"/>
        <w:jc w:val="left"/>
        <w:rPr>
          <w:sz w:val="21"/>
        </w:rPr>
      </w:pPr>
      <w:r>
        <w:rPr>
          <w:spacing w:val="-4"/>
          <w:sz w:val="21"/>
        </w:rPr>
        <w:t>经专科注册医生以类固醇或免疫抑制剂连续治疗 </w:t>
      </w:r>
      <w:r>
        <w:rPr>
          <w:spacing w:val="-2"/>
          <w:sz w:val="21"/>
        </w:rPr>
        <w:t>6</w:t>
      </w:r>
      <w:r>
        <w:rPr>
          <w:spacing w:val="-16"/>
          <w:sz w:val="21"/>
        </w:rPr>
        <w:t> 个月。</w:t>
      </w:r>
    </w:p>
    <w:p>
      <w:pPr>
        <w:pStyle w:val="BodyText"/>
        <w:spacing w:line="278" w:lineRule="auto" w:before="43"/>
        <w:ind w:left="2569" w:right="301"/>
      </w:pPr>
      <w:r>
        <w:rPr>
          <w:w w:val="100"/>
        </w:rPr>
        <w:t>诊断及治疗均须在我们认可的医疗机构内由</w:t>
      </w:r>
      <w:r>
        <w:rPr>
          <w:color w:val="000000"/>
          <w:spacing w:val="2"/>
          <w:w w:val="100"/>
          <w:shd w:fill="D9D9D9" w:color="auto" w:val="clear"/>
        </w:rPr>
        <w:t>专科医生</w:t>
      </w:r>
      <w:r>
        <w:rPr>
          <w:color w:val="000000"/>
          <w:w w:val="100"/>
        </w:rPr>
        <w:t>认为是医疗必须的情况下进行。</w:t>
      </w:r>
    </w:p>
    <w:p>
      <w:pPr>
        <w:pStyle w:val="BodyText"/>
        <w:ind w:left="2569"/>
      </w:pPr>
      <w:r>
        <w:rPr>
          <w:color w:val="000000"/>
          <w:spacing w:val="-3"/>
          <w:shd w:fill="D9D9D9" w:color="auto" w:val="clear"/>
        </w:rPr>
        <w:t>其他种类的炎性结肠炎，只发生在直肠的溃疡性结肠炎均不在保障范围内。</w:t>
      </w:r>
    </w:p>
    <w:p>
      <w:pPr>
        <w:pStyle w:val="BodyText"/>
        <w:spacing w:before="1"/>
        <w:rPr>
          <w:sz w:val="22"/>
        </w:rPr>
      </w:pPr>
    </w:p>
    <w:p>
      <w:pPr>
        <w:pStyle w:val="BodyText"/>
        <w:spacing w:line="278" w:lineRule="auto" w:before="71"/>
        <w:ind w:left="2569" w:right="301"/>
        <w:jc w:val="both"/>
      </w:pPr>
      <w:r>
        <w:rPr>
          <w:color w:val="000000"/>
          <w:spacing w:val="-2"/>
          <w:shd w:fill="D9D9D9" w:color="auto" w:val="clear"/>
        </w:rPr>
        <w:t>本公司对“中度肠道疾病并发症”和“中度严重溃疡性结肠炎”两项中的其中一</w:t>
      </w:r>
      <w:r>
        <w:rPr>
          <w:color w:val="000000"/>
          <w:spacing w:val="40"/>
          <w:shd w:fill="D9D9D9" w:color="auto" w:val="clear"/>
        </w:rPr>
        <w:t> </w:t>
      </w:r>
      <w:r>
        <w:rPr>
          <w:color w:val="000000"/>
          <w:spacing w:val="-2"/>
          <w:shd w:fill="D9D9D9" w:color="auto" w:val="clear"/>
        </w:rPr>
        <w:t>项承担保险责任，给付其中一项保险金后，对另外一项中症疾病保险责任同时终</w:t>
      </w:r>
      <w:r>
        <w:rPr>
          <w:color w:val="000000"/>
          <w:spacing w:val="-6"/>
          <w:shd w:fill="D9D9D9" w:color="auto" w:val="clear"/>
        </w:rPr>
        <w:t>止。</w:t>
      </w:r>
    </w:p>
    <w:p>
      <w:pPr>
        <w:pStyle w:val="BodyText"/>
        <w:spacing w:before="1"/>
        <w:rPr>
          <w:sz w:val="19"/>
        </w:rPr>
      </w:pPr>
    </w:p>
    <w:p>
      <w:pPr>
        <w:pStyle w:val="Heading3"/>
        <w:jc w:val="both"/>
      </w:pPr>
      <w:r>
        <w:rPr/>
        <w:t>（二十）</w:t>
      </w:r>
      <w:r>
        <w:rPr>
          <w:spacing w:val="8"/>
        </w:rPr>
        <w:t>中度面部 </w:t>
      </w:r>
      <w:r>
        <w:rPr/>
        <w:t>III</w:t>
      </w:r>
      <w:r>
        <w:rPr>
          <w:spacing w:val="8"/>
        </w:rPr>
        <w:t> 度烧伤</w:t>
      </w:r>
    </w:p>
    <w:p>
      <w:pPr>
        <w:pStyle w:val="BodyText"/>
        <w:spacing w:line="278" w:lineRule="auto"/>
        <w:ind w:left="2569" w:right="291"/>
        <w:jc w:val="both"/>
      </w:pPr>
      <w:r>
        <w:rPr>
          <w:spacing w:val="-3"/>
        </w:rPr>
        <w:t>指面部烧伤程度为Ⅲ度，且面部Ⅲ度烧伤的面积达到面部表面积的 </w:t>
      </w:r>
      <w:r>
        <w:rPr>
          <w:spacing w:val="-2"/>
        </w:rPr>
        <w:t>60%及以上。</w:t>
      </w:r>
      <w:r>
        <w:rPr>
          <w:spacing w:val="-2"/>
        </w:rPr>
        <w:t>面部的范围指上至发际、下至下颌下缘、两侧至下颌支后缘之间的区域，包括额</w:t>
      </w:r>
      <w:r>
        <w:rPr>
          <w:spacing w:val="-2"/>
        </w:rPr>
        <w:t>部、眼部、眶部、鼻部、口唇部、颏部、颧部、颊部和腮腺咬肌部。</w:t>
      </w:r>
    </w:p>
    <w:p>
      <w:pPr>
        <w:pStyle w:val="BodyText"/>
        <w:spacing w:before="10"/>
        <w:rPr>
          <w:sz w:val="18"/>
        </w:rPr>
      </w:pPr>
    </w:p>
    <w:p>
      <w:pPr>
        <w:pStyle w:val="Heading3"/>
        <w:jc w:val="both"/>
      </w:pPr>
      <w:r>
        <w:rPr>
          <w:w w:val="95"/>
        </w:rPr>
        <w:t>（</w:t>
      </w:r>
      <w:r>
        <w:rPr>
          <w:w w:val="95"/>
        </w:rPr>
        <w:t>二</w:t>
      </w:r>
      <w:r>
        <w:rPr>
          <w:w w:val="95"/>
        </w:rPr>
        <w:t>十</w:t>
      </w:r>
      <w:r>
        <w:rPr>
          <w:w w:val="95"/>
        </w:rPr>
        <w:t>一</w:t>
      </w:r>
      <w:r>
        <w:rPr>
          <w:w w:val="95"/>
        </w:rPr>
        <w:t>）</w:t>
      </w:r>
      <w:r>
        <w:rPr>
          <w:w w:val="95"/>
        </w:rPr>
        <w:t>昏</w:t>
      </w:r>
      <w:r>
        <w:rPr>
          <w:w w:val="95"/>
        </w:rPr>
        <w:t>迷</w:t>
      </w:r>
      <w:r>
        <w:rPr>
          <w:spacing w:val="13"/>
        </w:rPr>
        <w:t> </w:t>
      </w:r>
      <w:r>
        <w:rPr>
          <w:w w:val="95"/>
        </w:rPr>
        <w:t>72</w:t>
      </w:r>
      <w:r>
        <w:rPr>
          <w:spacing w:val="14"/>
        </w:rPr>
        <w:t> </w:t>
      </w:r>
      <w:r>
        <w:rPr>
          <w:w w:val="95"/>
        </w:rPr>
        <w:t>小</w:t>
      </w:r>
      <w:r>
        <w:rPr>
          <w:spacing w:val="-10"/>
          <w:w w:val="95"/>
        </w:rPr>
        <w:t>时</w:t>
      </w:r>
    </w:p>
    <w:p>
      <w:pPr>
        <w:pStyle w:val="BodyText"/>
        <w:spacing w:line="278" w:lineRule="auto"/>
        <w:ind w:left="2569" w:right="301"/>
        <w:jc w:val="both"/>
      </w:pPr>
      <w:r>
        <w:rPr>
          <w:spacing w:val="-2"/>
        </w:rPr>
        <w:t>指因疾病或意外伤害导致意识丧失，对外界刺激和体内需求均无反应，昏迷程度</w:t>
      </w:r>
      <w:r>
        <w:rPr/>
        <w:t>按照格拉斯哥昏迷分级（GCS，Glasgow</w:t>
      </w:r>
      <w:r>
        <w:rPr>
          <w:spacing w:val="-3"/>
        </w:rPr>
        <w:t> </w:t>
      </w:r>
      <w:r>
        <w:rPr/>
        <w:t>Coma</w:t>
      </w:r>
      <w:r>
        <w:rPr>
          <w:spacing w:val="11"/>
        </w:rPr>
        <w:t> </w:t>
      </w:r>
      <w:r>
        <w:rPr/>
        <w:t>Scale）</w:t>
      </w:r>
      <w:r>
        <w:rPr>
          <w:spacing w:val="-14"/>
        </w:rPr>
        <w:t>结果为 </w:t>
      </w:r>
      <w:r>
        <w:rPr/>
        <w:t>5</w:t>
      </w:r>
      <w:r>
        <w:rPr>
          <w:spacing w:val="-29"/>
        </w:rPr>
        <w:t> 分或 </w:t>
      </w:r>
      <w:r>
        <w:rPr/>
        <w:t>5</w:t>
      </w:r>
      <w:r>
        <w:rPr>
          <w:spacing w:val="-14"/>
        </w:rPr>
        <w:t> 分以下，</w:t>
      </w:r>
    </w:p>
    <w:p>
      <w:pPr>
        <w:spacing w:after="0" w:line="278" w:lineRule="auto"/>
        <w:jc w:val="both"/>
        <w:sectPr>
          <w:pgSz w:w="11910" w:h="16840"/>
          <w:pgMar w:top="1080" w:bottom="280" w:left="920" w:right="820"/>
        </w:sectPr>
      </w:pPr>
    </w:p>
    <w:p>
      <w:pPr>
        <w:pStyle w:val="BodyText"/>
        <w:spacing w:line="278" w:lineRule="auto" w:before="59"/>
        <w:ind w:left="2569" w:right="301"/>
      </w:pPr>
      <w:r>
        <w:rPr>
          <w:spacing w:val="-2"/>
        </w:rPr>
        <w:t>且已经持续使用呼吸机及其它生命维持系统 </w:t>
      </w:r>
      <w:r>
        <w:rPr/>
        <w:t>72</w:t>
      </w:r>
      <w:r>
        <w:rPr>
          <w:spacing w:val="-6"/>
        </w:rPr>
        <w:t> 小时以上，但未达到本合同所指</w:t>
      </w:r>
      <w:r>
        <w:rPr>
          <w:spacing w:val="-2"/>
        </w:rPr>
        <w:t>重大疾病“深度昏迷”的标准。</w:t>
      </w:r>
    </w:p>
    <w:p>
      <w:pPr>
        <w:pStyle w:val="BodyText"/>
        <w:ind w:left="2569"/>
        <w:rPr>
          <w:sz w:val="20"/>
        </w:rPr>
      </w:pPr>
      <w:r>
        <w:rPr>
          <w:sz w:val="20"/>
        </w:rPr>
        <w:pict>
          <v:shape style="width:220.6pt;height:13.95pt;mso-position-horizontal-relative:char;mso-position-vertical-relative:line" type="#_x0000_t202" id="docshape143" filled="true" fillcolor="#d9d9d9" stroked="false">
            <w10:anchorlock/>
            <v:textbox inset="0,0,0,0">
              <w:txbxContent>
                <w:p>
                  <w:pPr>
                    <w:pStyle w:val="BodyText"/>
                    <w:spacing w:line="248" w:lineRule="exact" w:before="6"/>
                    <w:ind w:right="-15"/>
                    <w:rPr>
                      <w:color w:val="000000"/>
                    </w:rPr>
                  </w:pPr>
                  <w:r>
                    <w:rPr>
                      <w:color w:val="000000"/>
                      <w:spacing w:val="-5"/>
                    </w:rPr>
                    <w:t>因酗酒或药物滥用导致的昏迷不在保障范围内。</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spacing w:before="9"/>
        <w:rPr>
          <w:sz w:val="19"/>
        </w:rPr>
      </w:pPr>
    </w:p>
    <w:p>
      <w:pPr>
        <w:pStyle w:val="Heading3"/>
        <w:spacing w:before="4"/>
      </w:pPr>
      <w:r>
        <w:rPr/>
        <w:t>（二十二）</w:t>
      </w:r>
      <w:r>
        <w:rPr>
          <w:spacing w:val="-2"/>
        </w:rPr>
        <w:t>单个肢体缺失</w:t>
      </w:r>
    </w:p>
    <w:p>
      <w:pPr>
        <w:pStyle w:val="BodyText"/>
        <w:spacing w:line="278" w:lineRule="auto"/>
        <w:ind w:left="2569" w:right="301"/>
      </w:pPr>
      <w:r>
        <w:rPr>
          <w:spacing w:val="-2"/>
        </w:rPr>
        <w:t>指一个肢体自腕关节或踝关节近端（靠近躯干端）以上完全性断离，但未达到本</w:t>
      </w:r>
      <w:r>
        <w:rPr>
          <w:spacing w:val="-2"/>
        </w:rPr>
        <w:t>合同所指重大疾病“多个肢体缺失”的给付标准。</w:t>
      </w:r>
    </w:p>
    <w:p>
      <w:pPr>
        <w:pStyle w:val="BodyText"/>
        <w:ind w:left="2569"/>
        <w:rPr>
          <w:sz w:val="20"/>
        </w:rPr>
      </w:pPr>
      <w:r>
        <w:rPr>
          <w:sz w:val="20"/>
        </w:rPr>
        <w:pict>
          <v:shape style="width:364.35pt;height:13.95pt;mso-position-horizontal-relative:char;mso-position-vertical-relative:line" type="#_x0000_t202" id="docshape144" filled="true" fillcolor="#d9d9d9" stroked="false">
            <w10:anchorlock/>
            <v:textbox inset="0,0,0,0">
              <w:txbxContent>
                <w:p>
                  <w:pPr>
                    <w:pStyle w:val="BodyText"/>
                    <w:spacing w:before="6"/>
                    <w:ind w:right="-15"/>
                    <w:rPr>
                      <w:color w:val="000000"/>
                    </w:rPr>
                  </w:pPr>
                  <w:r>
                    <w:rPr>
                      <w:color w:val="000000"/>
                      <w:spacing w:val="-7"/>
                    </w:rPr>
                    <w:t>因“糖尿病导致单足截除”或者因“恶性肿瘤导致肢体切除”导致的单个肢体缺</w:t>
                  </w:r>
                </w:p>
              </w:txbxContent>
            </v:textbox>
            <v:fill type="solid"/>
          </v:shape>
        </w:pict>
      </w:r>
      <w:r>
        <w:rPr>
          <w:sz w:val="20"/>
        </w:rPr>
      </w:r>
    </w:p>
    <w:p>
      <w:pPr>
        <w:pStyle w:val="BodyText"/>
        <w:ind w:left="2569"/>
        <w:rPr>
          <w:sz w:val="20"/>
        </w:rPr>
      </w:pPr>
      <w:r>
        <w:rPr>
          <w:sz w:val="20"/>
        </w:rPr>
        <w:pict>
          <v:shape style="width:115.45pt;height:13.95pt;mso-position-horizontal-relative:char;mso-position-vertical-relative:line" type="#_x0000_t202" id="docshape145" filled="true" fillcolor="#d9d9d9" stroked="false">
            <w10:anchorlock/>
            <v:textbox inset="0,0,0,0">
              <w:txbxContent>
                <w:p>
                  <w:pPr>
                    <w:pStyle w:val="BodyText"/>
                    <w:spacing w:before="6"/>
                    <w:ind w:right="-15"/>
                    <w:rPr>
                      <w:color w:val="000000"/>
                    </w:rPr>
                  </w:pPr>
                  <w:r>
                    <w:rPr>
                      <w:color w:val="000000"/>
                      <w:spacing w:val="-5"/>
                    </w:rPr>
                    <w:t>失不在本项保障范围内。</w:t>
                  </w:r>
                </w:p>
              </w:txbxContent>
            </v:textbox>
            <v:fill type="solid"/>
          </v:shape>
        </w:pict>
      </w:r>
      <w:r>
        <w:rPr>
          <w:sz w:val="20"/>
        </w:rPr>
      </w:r>
    </w:p>
    <w:p>
      <w:pPr>
        <w:pStyle w:val="BodyText"/>
        <w:spacing w:before="4"/>
        <w:rPr>
          <w:sz w:val="20"/>
        </w:rPr>
      </w:pPr>
    </w:p>
    <w:p>
      <w:pPr>
        <w:pStyle w:val="Heading3"/>
        <w:spacing w:before="5"/>
      </w:pPr>
      <w:r>
        <w:rPr/>
        <w:t>（二十三）</w:t>
      </w:r>
      <w:r>
        <w:rPr>
          <w:spacing w:val="-2"/>
        </w:rPr>
        <w:t>中度严重克罗恩病</w:t>
      </w:r>
    </w:p>
    <w:p>
      <w:pPr>
        <w:pStyle w:val="BodyText"/>
        <w:spacing w:line="278" w:lineRule="auto"/>
        <w:ind w:left="2569" w:right="195"/>
        <w:jc w:val="both"/>
      </w:pPr>
      <w:r>
        <w:rPr>
          <w:spacing w:val="-8"/>
        </w:rPr>
        <w:t>指一种慢性肉芽肿性肠炎，具有特征性的克罗恩病</w:t>
      </w:r>
      <w:r>
        <w:rPr/>
        <w:t>（Crohn</w:t>
      </w:r>
      <w:r>
        <w:rPr>
          <w:spacing w:val="-11"/>
        </w:rPr>
        <w:t> 病</w:t>
      </w:r>
      <w:r>
        <w:rPr>
          <w:spacing w:val="-58"/>
        </w:rPr>
        <w:t>）</w:t>
      </w:r>
      <w:r>
        <w:rPr/>
        <w:t>病理组织学变化。</w:t>
      </w:r>
      <w:r>
        <w:rPr>
          <w:spacing w:val="-2"/>
        </w:rPr>
        <w:t>诊断必须由病理检查结果证实。被保险人所患的克隆病必须已经造成瘘管形成，</w:t>
      </w:r>
      <w:r>
        <w:rPr>
          <w:spacing w:val="-5"/>
        </w:rPr>
        <w:t>同时经专科医生明确诊断,方符合赔偿条件。且未达到重大疾病“严重克罗恩病”</w:t>
      </w:r>
    </w:p>
    <w:p>
      <w:pPr>
        <w:pStyle w:val="BodyText"/>
        <w:spacing w:line="248" w:lineRule="exact"/>
        <w:ind w:left="2569"/>
      </w:pPr>
      <w:r>
        <w:rPr>
          <w:spacing w:val="-4"/>
        </w:rPr>
        <w:t>的给付标准。</w:t>
      </w:r>
    </w:p>
    <w:p>
      <w:pPr>
        <w:spacing w:line="31" w:lineRule="exact" w:before="0"/>
        <w:ind w:left="3030" w:right="0" w:firstLine="0"/>
        <w:jc w:val="left"/>
        <w:rPr>
          <w:sz w:val="4"/>
        </w:rPr>
      </w:pPr>
      <w:r>
        <w:rPr>
          <w:w w:val="72"/>
          <w:sz w:val="4"/>
        </w:rPr>
        <w:t>●</w:t>
      </w:r>
    </w:p>
    <w:p>
      <w:pPr>
        <w:pStyle w:val="BodyText"/>
        <w:spacing w:before="3"/>
        <w:rPr>
          <w:sz w:val="24"/>
        </w:rPr>
      </w:pPr>
      <w:r>
        <w:rPr/>
        <w:drawing>
          <wp:anchor distT="0" distB="0" distL="0" distR="0" allowOverlap="1" layoutInCell="1" locked="0" behindDoc="1" simplePos="0" relativeHeight="485654528">
            <wp:simplePos x="0" y="0"/>
            <wp:positionH relativeFrom="page">
              <wp:posOffset>2215895</wp:posOffset>
            </wp:positionH>
            <wp:positionV relativeFrom="paragraph">
              <wp:posOffset>212794</wp:posOffset>
            </wp:positionV>
            <wp:extent cx="4626863" cy="374903"/>
            <wp:effectExtent l="0" t="0" r="0" b="0"/>
            <wp:wrapNone/>
            <wp:docPr id="59" name="image19.png"/>
            <wp:cNvGraphicFramePr>
              <a:graphicFrameLocks noChangeAspect="1"/>
            </wp:cNvGraphicFramePr>
            <a:graphic>
              <a:graphicData uri="http://schemas.openxmlformats.org/drawingml/2006/picture">
                <pic:pic>
                  <pic:nvPicPr>
                    <pic:cNvPr id="60" name="image19.png"/>
                    <pic:cNvPicPr/>
                  </pic:nvPicPr>
                  <pic:blipFill>
                    <a:blip r:embed="rId23" cstate="print"/>
                    <a:stretch>
                      <a:fillRect/>
                    </a:stretch>
                  </pic:blipFill>
                  <pic:spPr>
                    <a:xfrm>
                      <a:off x="0" y="0"/>
                      <a:ext cx="4626863" cy="374903"/>
                    </a:xfrm>
                    <a:prstGeom prst="rect">
                      <a:avLst/>
                    </a:prstGeom>
                  </pic:spPr>
                </pic:pic>
              </a:graphicData>
            </a:graphic>
          </wp:anchor>
        </w:drawing>
      </w:r>
      <w:r>
        <w:rPr/>
        <w:pict>
          <v:shape style="position:absolute;margin-left:174.479996pt;margin-top:16.755468pt;width:367.7pt;height:29.55pt;mso-position-horizontal-relative:page;mso-position-vertical-relative:paragraph;z-index:-17661440" type="#_x0000_t202" id="docshape146" filled="false" stroked="false">
            <v:textbox inset="0,0,0,0">
              <w:txbxContent>
                <w:p>
                  <w:pPr>
                    <w:pStyle w:val="BodyText"/>
                    <w:spacing w:before="10"/>
                    <w:rPr>
                      <w:sz w:val="24"/>
                    </w:rPr>
                  </w:pPr>
                </w:p>
                <w:p>
                  <w:pPr>
                    <w:pStyle w:val="BodyText"/>
                  </w:pPr>
                  <w:r>
                    <w:rPr>
                      <w:spacing w:val="-3"/>
                    </w:rPr>
                    <w:t>担保险责任，给付其中一项保险金后，对另外一项中症疾病保险责任同时终止。</w:t>
                  </w:r>
                </w:p>
              </w:txbxContent>
            </v:textbox>
            <w10:wrap type="none"/>
          </v:shape>
        </w:pict>
      </w:r>
      <w:r>
        <w:rPr/>
        <w:pict>
          <v:shape style="position:absolute;margin-left:174.479996pt;margin-top:16.755468pt;width:364.35pt;height:13.95pt;mso-position-horizontal-relative:page;mso-position-vertical-relative:paragraph;z-index:-15638528;mso-wrap-distance-left:0;mso-wrap-distance-right:0" type="#_x0000_t202" id="docshape147" filled="true" fillcolor="#d9d9d9" stroked="false">
            <v:textbox inset="0,0,0,0">
              <w:txbxContent>
                <w:p>
                  <w:pPr>
                    <w:pStyle w:val="BodyText"/>
                    <w:spacing w:before="6"/>
                    <w:ind w:right="-15"/>
                    <w:rPr>
                      <w:color w:val="000000"/>
                    </w:rPr>
                  </w:pPr>
                  <w:r>
                    <w:rPr>
                      <w:color w:val="000000"/>
                      <w:spacing w:val="-5"/>
                    </w:rPr>
                    <w:t>本公司对“中度肠道疾病并发症”和“中度严重克罗恩病”两项中的其中一项承</w:t>
                  </w:r>
                </w:p>
              </w:txbxContent>
            </v:textbox>
            <v:fill type="solid"/>
            <w10:wrap type="topAndBottom"/>
          </v:shape>
        </w:pict>
      </w:r>
    </w:p>
    <w:p>
      <w:pPr>
        <w:pStyle w:val="BodyText"/>
        <w:spacing w:before="11"/>
      </w:pPr>
    </w:p>
    <w:p>
      <w:pPr>
        <w:pStyle w:val="Heading3"/>
        <w:spacing w:before="4"/>
      </w:pPr>
      <w:r>
        <w:rPr/>
        <w:t>（二十四）</w:t>
      </w:r>
      <w:r>
        <w:rPr>
          <w:spacing w:val="-2"/>
        </w:rPr>
        <w:t>中度全身Ⅲ度烧伤</w:t>
      </w:r>
    </w:p>
    <w:p>
      <w:pPr>
        <w:pStyle w:val="BodyText"/>
        <w:spacing w:line="278" w:lineRule="auto"/>
        <w:ind w:left="2569" w:right="200"/>
      </w:pPr>
      <w:r>
        <w:rPr>
          <w:spacing w:val="-2"/>
        </w:rPr>
        <w:t>指烧伤程度为Ⅲ度，即全层皮肤烧伤，包括表皮、真皮和皮下组织，且Ⅲ度烧伤</w:t>
      </w:r>
      <w:r>
        <w:rPr>
          <w:spacing w:val="-6"/>
        </w:rPr>
        <w:t>的面积达到全身体表面积的 </w:t>
      </w:r>
      <w:r>
        <w:rPr>
          <w:spacing w:val="-2"/>
        </w:rPr>
        <w:t>15</w:t>
      </w:r>
      <w:r>
        <w:rPr>
          <w:spacing w:val="-19"/>
        </w:rPr>
        <w:t>%或 </w:t>
      </w:r>
      <w:r>
        <w:rPr>
          <w:spacing w:val="-2"/>
        </w:rPr>
        <w:t>15%以上，且未达到重大疾病“严重Ⅲ度烧伤”</w:t>
      </w:r>
      <w:r>
        <w:rPr>
          <w:spacing w:val="-2"/>
        </w:rPr>
        <w:t>的给付标准。体表面积根据《中国新九分法》计算。</w:t>
      </w:r>
    </w:p>
    <w:p>
      <w:pPr>
        <w:pStyle w:val="BodyText"/>
        <w:spacing w:before="10"/>
        <w:rPr>
          <w:sz w:val="18"/>
        </w:rPr>
      </w:pPr>
    </w:p>
    <w:p>
      <w:pPr>
        <w:pStyle w:val="Heading3"/>
      </w:pPr>
      <w:r>
        <w:rPr/>
        <w:t>（二十五）</w:t>
      </w:r>
      <w:r>
        <w:rPr>
          <w:spacing w:val="-2"/>
        </w:rPr>
        <w:t>中度严重克雅氏病</w:t>
      </w:r>
    </w:p>
    <w:p>
      <w:pPr>
        <w:pStyle w:val="BodyText"/>
        <w:spacing w:line="278" w:lineRule="auto"/>
        <w:ind w:left="2569" w:right="301"/>
        <w:jc w:val="both"/>
      </w:pPr>
      <w:r>
        <w:rPr>
          <w:spacing w:val="-5"/>
        </w:rPr>
        <w:t>指一种罕见的主要发生在老年人之间的可传播的脑病。受感染的人可以有睡眠紊</w:t>
      </w:r>
      <w:r>
        <w:rPr>
          <w:spacing w:val="-2"/>
        </w:rPr>
        <w:t>乱、个性改变、共济失调、失语症、视觉丧失、肢体感觉障碍、肌肉萎缩、肌阵</w:t>
      </w:r>
      <w:r>
        <w:rPr>
          <w:spacing w:val="-2"/>
        </w:rPr>
        <w:t>挛、进行性痴呆等症状。</w:t>
      </w:r>
    </w:p>
    <w:p>
      <w:pPr>
        <w:pStyle w:val="BodyText"/>
        <w:spacing w:line="278" w:lineRule="auto"/>
        <w:ind w:left="2569" w:right="238"/>
      </w:pPr>
      <w:r>
        <w:rPr>
          <w:spacing w:val="-2"/>
        </w:rPr>
        <w:t>须满足自主生活能力永久丧失，无法独立完成六项基本日常生活活动中的两项。</w:t>
      </w:r>
      <w:r>
        <w:rPr>
          <w:color w:val="000000"/>
          <w:spacing w:val="-2"/>
          <w:shd w:fill="D9D9D9" w:color="auto" w:val="clear"/>
        </w:rPr>
        <w:t>因人类生长激素治疗所致疾病不在保障范围内。</w:t>
      </w:r>
    </w:p>
    <w:p>
      <w:pPr>
        <w:pStyle w:val="BodyText"/>
        <w:spacing w:before="9"/>
        <w:rPr>
          <w:sz w:val="18"/>
        </w:rPr>
      </w:pPr>
    </w:p>
    <w:p>
      <w:pPr>
        <w:pStyle w:val="Heading3"/>
        <w:spacing w:before="1"/>
      </w:pPr>
      <w:r>
        <w:rPr/>
        <w:t>（二十六）</w:t>
      </w:r>
      <w:r>
        <w:rPr>
          <w:spacing w:val="-2"/>
        </w:rPr>
        <w:t>慢性肾功能障碍</w:t>
      </w:r>
    </w:p>
    <w:p>
      <w:pPr>
        <w:pStyle w:val="BodyText"/>
        <w:spacing w:line="278" w:lineRule="auto"/>
        <w:ind w:left="2569" w:right="301"/>
      </w:pPr>
      <w:r>
        <w:rPr>
          <w:spacing w:val="-2"/>
        </w:rPr>
        <w:t>指被保险人因双肾功能慢性不可逆性损害，达到肾功能衰竭期，诊断必须满足所</w:t>
      </w:r>
      <w:r>
        <w:rPr>
          <w:spacing w:val="-2"/>
        </w:rPr>
        <w:t>有以下标准。</w:t>
      </w:r>
    </w:p>
    <w:p>
      <w:pPr>
        <w:pStyle w:val="ListParagraph"/>
        <w:numPr>
          <w:ilvl w:val="0"/>
          <w:numId w:val="72"/>
        </w:numPr>
        <w:tabs>
          <w:tab w:pos="3099" w:val="left" w:leader="none"/>
        </w:tabs>
        <w:spacing w:line="269" w:lineRule="exact" w:before="0" w:after="0"/>
        <w:ind w:left="3098" w:right="0" w:hanging="530"/>
        <w:jc w:val="left"/>
        <w:rPr>
          <w:sz w:val="21"/>
        </w:rPr>
      </w:pPr>
      <w:r>
        <w:rPr>
          <w:spacing w:val="-2"/>
          <w:sz w:val="21"/>
        </w:rPr>
        <w:t>肾小球滤过率（GFR）&lt;25ml/min</w:t>
      </w:r>
      <w:r>
        <w:rPr>
          <w:spacing w:val="-8"/>
          <w:sz w:val="21"/>
        </w:rPr>
        <w:t> 或肌酐清除率</w:t>
      </w:r>
      <w:r>
        <w:rPr>
          <w:spacing w:val="-2"/>
          <w:sz w:val="21"/>
        </w:rPr>
        <w:t>（Ccr）&lt;25ml/min；</w:t>
      </w:r>
    </w:p>
    <w:p>
      <w:pPr>
        <w:pStyle w:val="ListParagraph"/>
        <w:numPr>
          <w:ilvl w:val="0"/>
          <w:numId w:val="72"/>
        </w:numPr>
        <w:tabs>
          <w:tab w:pos="3099" w:val="left" w:leader="none"/>
        </w:tabs>
        <w:spacing w:line="240" w:lineRule="auto" w:before="39" w:after="0"/>
        <w:ind w:left="3098" w:right="0" w:hanging="530"/>
        <w:jc w:val="left"/>
        <w:rPr>
          <w:sz w:val="21"/>
        </w:rPr>
      </w:pPr>
      <w:r>
        <w:rPr>
          <w:spacing w:val="-2"/>
          <w:sz w:val="21"/>
        </w:rPr>
        <w:t>血肌酐（Scr）&gt;5mg/dl</w:t>
      </w:r>
      <w:r>
        <w:rPr>
          <w:spacing w:val="-19"/>
          <w:sz w:val="21"/>
        </w:rPr>
        <w:t> 或</w:t>
      </w:r>
      <w:r>
        <w:rPr>
          <w:spacing w:val="-2"/>
          <w:sz w:val="21"/>
        </w:rPr>
        <w:t>&gt;442μmol/L；</w:t>
      </w:r>
    </w:p>
    <w:p>
      <w:pPr>
        <w:pStyle w:val="ListParagraph"/>
        <w:numPr>
          <w:ilvl w:val="0"/>
          <w:numId w:val="72"/>
        </w:numPr>
        <w:tabs>
          <w:tab w:pos="3099" w:val="left" w:leader="none"/>
        </w:tabs>
        <w:spacing w:line="240" w:lineRule="auto" w:before="42" w:after="0"/>
        <w:ind w:left="3098" w:right="0" w:hanging="530"/>
        <w:jc w:val="left"/>
        <w:rPr>
          <w:sz w:val="21"/>
        </w:rPr>
      </w:pPr>
      <w:r>
        <w:rPr>
          <w:spacing w:val="-18"/>
          <w:sz w:val="21"/>
        </w:rPr>
        <w:t>持续 </w:t>
      </w:r>
      <w:r>
        <w:rPr>
          <w:spacing w:val="-2"/>
          <w:sz w:val="21"/>
        </w:rPr>
        <w:t>180</w:t>
      </w:r>
      <w:r>
        <w:rPr>
          <w:spacing w:val="-21"/>
          <w:sz w:val="21"/>
        </w:rPr>
        <w:t> 天。</w:t>
      </w:r>
    </w:p>
    <w:p>
      <w:pPr>
        <w:pStyle w:val="BodyText"/>
        <w:spacing w:before="5"/>
        <w:rPr>
          <w:sz w:val="25"/>
        </w:rPr>
      </w:pPr>
      <w:r>
        <w:rPr/>
        <w:drawing>
          <wp:anchor distT="0" distB="0" distL="0" distR="0" allowOverlap="1" layoutInCell="1" locked="0" behindDoc="1" simplePos="0" relativeHeight="485656064">
            <wp:simplePos x="0" y="0"/>
            <wp:positionH relativeFrom="page">
              <wp:posOffset>2215895</wp:posOffset>
            </wp:positionH>
            <wp:positionV relativeFrom="paragraph">
              <wp:posOffset>420388</wp:posOffset>
            </wp:positionV>
            <wp:extent cx="4267200" cy="176783"/>
            <wp:effectExtent l="0" t="0" r="0" b="0"/>
            <wp:wrapNone/>
            <wp:docPr id="61" name="image20.png"/>
            <wp:cNvGraphicFramePr>
              <a:graphicFrameLocks noChangeAspect="1"/>
            </wp:cNvGraphicFramePr>
            <a:graphic>
              <a:graphicData uri="http://schemas.openxmlformats.org/drawingml/2006/picture">
                <pic:pic>
                  <pic:nvPicPr>
                    <pic:cNvPr id="62" name="image20.png"/>
                    <pic:cNvPicPr/>
                  </pic:nvPicPr>
                  <pic:blipFill>
                    <a:blip r:embed="rId24" cstate="print"/>
                    <a:stretch>
                      <a:fillRect/>
                    </a:stretch>
                  </pic:blipFill>
                  <pic:spPr>
                    <a:xfrm>
                      <a:off x="0" y="0"/>
                      <a:ext cx="4267200" cy="176783"/>
                    </a:xfrm>
                    <a:prstGeom prst="rect">
                      <a:avLst/>
                    </a:prstGeom>
                  </pic:spPr>
                </pic:pic>
              </a:graphicData>
            </a:graphic>
          </wp:anchor>
        </w:drawing>
      </w:r>
      <w:r>
        <w:rPr/>
        <w:pict>
          <v:shape style="position:absolute;margin-left:174.479996pt;margin-top:33.10149pt;width:336pt;height:13.95pt;mso-position-horizontal-relative:page;mso-position-vertical-relative:paragraph;z-index:-17659904" type="#_x0000_t202" id="docshape148" filled="false" stroked="false">
            <v:textbox inset="0,0,0,0">
              <w:txbxContent>
                <w:p>
                  <w:pPr>
                    <w:pStyle w:val="BodyText"/>
                    <w:spacing w:before="6"/>
                    <w:ind w:right="-15"/>
                  </w:pPr>
                  <w:r>
                    <w:rPr>
                      <w:spacing w:val="-3"/>
                    </w:rPr>
                    <w:t>责任，给付其中一项保险金后，对另外一项中症疾病保险责任同时终止。</w:t>
                  </w:r>
                </w:p>
              </w:txbxContent>
            </v:textbox>
            <w10:wrap type="none"/>
          </v:shape>
        </w:pict>
      </w:r>
      <w:r>
        <w:rPr/>
        <w:pict>
          <v:shape style="position:absolute;margin-left:174.479996pt;margin-top:17.501492pt;width:364.35pt;height:13.95pt;mso-position-horizontal-relative:page;mso-position-vertical-relative:paragraph;z-index:-15636992;mso-wrap-distance-left:0;mso-wrap-distance-right:0" type="#_x0000_t202" id="docshape149" filled="true" fillcolor="#d9d9d9" stroked="false">
            <v:textbox inset="0,0,0,0">
              <w:txbxContent>
                <w:p>
                  <w:pPr>
                    <w:pStyle w:val="BodyText"/>
                    <w:spacing w:line="248" w:lineRule="exact" w:before="6"/>
                    <w:ind w:right="-15"/>
                    <w:rPr>
                      <w:color w:val="000000"/>
                    </w:rPr>
                  </w:pPr>
                  <w:r>
                    <w:rPr>
                      <w:color w:val="000000"/>
                      <w:spacing w:val="-5"/>
                    </w:rPr>
                    <w:t>本公司对“慢性肾功能障碍”和“中度糖尿病肾病”两项中的其中一项承担保险</w:t>
                  </w:r>
                </w:p>
                <w:p>
                  <w:pPr>
                    <w:spacing w:line="24" w:lineRule="exact" w:before="0"/>
                    <w:ind w:left="0" w:right="977" w:firstLine="0"/>
                    <w:jc w:val="right"/>
                    <w:rPr>
                      <w:color w:val="000000"/>
                      <w:sz w:val="4"/>
                    </w:rPr>
                  </w:pPr>
                  <w:r>
                    <w:rPr>
                      <w:color w:val="000000"/>
                      <w:w w:val="72"/>
                      <w:sz w:val="4"/>
                    </w:rPr>
                    <w:t>●</w:t>
                  </w:r>
                </w:p>
              </w:txbxContent>
            </v:textbox>
            <v:fill type="solid"/>
            <w10:wrap type="topAndBottom"/>
          </v:shape>
        </w:pict>
      </w:r>
    </w:p>
    <w:p>
      <w:pPr>
        <w:pStyle w:val="BodyText"/>
        <w:spacing w:before="11"/>
      </w:pPr>
    </w:p>
    <w:p>
      <w:pPr>
        <w:pStyle w:val="Heading3"/>
        <w:spacing w:before="4"/>
      </w:pPr>
      <w:r>
        <w:rPr/>
        <w:t>（二十七）</w:t>
      </w:r>
      <w:r>
        <w:rPr>
          <w:spacing w:val="-2"/>
        </w:rPr>
        <w:t>中度多发性硬化症</w:t>
      </w:r>
    </w:p>
    <w:p>
      <w:pPr>
        <w:pStyle w:val="BodyText"/>
        <w:spacing w:line="265" w:lineRule="exact"/>
        <w:ind w:left="2569"/>
      </w:pPr>
      <w:r>
        <w:rPr>
          <w:spacing w:val="-4"/>
        </w:rPr>
        <w:t>指被保险人因脑及脊髓内的脱髓鞘病变而出现神经系统多灶性（多发性）</w:t>
      </w:r>
      <w:r>
        <w:rPr>
          <w:spacing w:val="-7"/>
        </w:rPr>
        <w:t>多时相</w:t>
      </w:r>
    </w:p>
    <w:p>
      <w:pPr>
        <w:pStyle w:val="BodyText"/>
        <w:spacing w:line="278" w:lineRule="auto" w:before="43"/>
        <w:ind w:left="2569" w:right="301"/>
        <w:jc w:val="both"/>
      </w:pPr>
      <w:r>
        <w:rPr>
          <w:spacing w:val="-4"/>
        </w:rPr>
        <w:t>（</w:t>
      </w:r>
      <w:r>
        <w:rPr>
          <w:spacing w:val="-11"/>
        </w:rPr>
        <w:t>至少 </w:t>
      </w:r>
      <w:r>
        <w:rPr>
          <w:spacing w:val="-4"/>
        </w:rPr>
        <w:t>6</w:t>
      </w:r>
      <w:r>
        <w:rPr>
          <w:spacing w:val="-8"/>
        </w:rPr>
        <w:t> 个月以内有一次以上</w:t>
      </w:r>
      <w:r>
        <w:rPr>
          <w:spacing w:val="-4"/>
        </w:rPr>
        <w:t>（不包含一次）的发作）的病变，须由计算机断层</w:t>
      </w:r>
      <w:r>
        <w:rPr>
          <w:spacing w:val="-8"/>
        </w:rPr>
        <w:t>扫描</w:t>
      </w:r>
      <w:r>
        <w:rPr>
          <w:spacing w:val="18"/>
        </w:rPr>
        <w:t>（CT</w:t>
      </w:r>
      <w:r>
        <w:rPr>
          <w:spacing w:val="-88"/>
        </w:rPr>
        <w:t>）</w:t>
      </w:r>
      <w:r>
        <w:rPr>
          <w:spacing w:val="-8"/>
        </w:rPr>
        <w:t>、核磁共振检查（MRI）或正电子发射断层扫描（PET）等影像学检查证</w:t>
      </w:r>
      <w:r>
        <w:rPr>
          <w:spacing w:val="-5"/>
        </w:rPr>
        <w:t>实，且已经造成自主生活能力完全丧失，无法独立完成六项基本日常生活活动中</w:t>
      </w:r>
    </w:p>
    <w:p>
      <w:pPr>
        <w:spacing w:after="0" w:line="278" w:lineRule="auto"/>
        <w:jc w:val="both"/>
        <w:sectPr>
          <w:pgSz w:w="11910" w:h="16840"/>
          <w:pgMar w:top="1080" w:bottom="280" w:left="920" w:right="820"/>
        </w:sectPr>
      </w:pPr>
    </w:p>
    <w:p>
      <w:pPr>
        <w:pStyle w:val="BodyText"/>
        <w:spacing w:before="59"/>
        <w:ind w:left="2569"/>
      </w:pPr>
      <w:r>
        <w:rPr>
          <w:spacing w:val="-8"/>
        </w:rPr>
        <w:t>的两项，持续至少 </w:t>
      </w:r>
      <w:r>
        <w:rPr>
          <w:spacing w:val="-2"/>
        </w:rPr>
        <w:t>180</w:t>
      </w:r>
      <w:r>
        <w:rPr>
          <w:spacing w:val="-20"/>
        </w:rPr>
        <w:t> 天。</w:t>
      </w:r>
    </w:p>
    <w:p>
      <w:pPr>
        <w:pStyle w:val="BodyText"/>
        <w:spacing w:before="6"/>
        <w:rPr>
          <w:sz w:val="22"/>
        </w:rPr>
      </w:pPr>
    </w:p>
    <w:p>
      <w:pPr>
        <w:pStyle w:val="Heading3"/>
      </w:pPr>
      <w:r>
        <w:rPr/>
        <w:t>（二十八）</w:t>
      </w:r>
      <w:r>
        <w:rPr>
          <w:spacing w:val="-2"/>
        </w:rPr>
        <w:t>中度脊髓灰质炎</w:t>
      </w:r>
    </w:p>
    <w:p>
      <w:pPr>
        <w:pStyle w:val="BodyText"/>
        <w:spacing w:line="278" w:lineRule="auto"/>
        <w:ind w:left="2569" w:right="301"/>
      </w:pPr>
      <w:r>
        <w:rPr/>
        <w:drawing>
          <wp:anchor distT="0" distB="0" distL="0" distR="0" allowOverlap="1" layoutInCell="1" locked="0" behindDoc="1" simplePos="0" relativeHeight="485659648">
            <wp:simplePos x="0" y="0"/>
            <wp:positionH relativeFrom="page">
              <wp:posOffset>4843271</wp:posOffset>
            </wp:positionH>
            <wp:positionV relativeFrom="paragraph">
              <wp:posOffset>194419</wp:posOffset>
            </wp:positionV>
            <wp:extent cx="1999487" cy="176783"/>
            <wp:effectExtent l="0" t="0" r="0" b="0"/>
            <wp:wrapNone/>
            <wp:docPr id="63" name="image21.png"/>
            <wp:cNvGraphicFramePr>
              <a:graphicFrameLocks noChangeAspect="1"/>
            </wp:cNvGraphicFramePr>
            <a:graphic>
              <a:graphicData uri="http://schemas.openxmlformats.org/drawingml/2006/picture">
                <pic:pic>
                  <pic:nvPicPr>
                    <pic:cNvPr id="64" name="image21.png"/>
                    <pic:cNvPicPr/>
                  </pic:nvPicPr>
                  <pic:blipFill>
                    <a:blip r:embed="rId25" cstate="print"/>
                    <a:stretch>
                      <a:fillRect/>
                    </a:stretch>
                  </pic:blipFill>
                  <pic:spPr>
                    <a:xfrm>
                      <a:off x="0" y="0"/>
                      <a:ext cx="1999487" cy="176783"/>
                    </a:xfrm>
                    <a:prstGeom prst="rect">
                      <a:avLst/>
                    </a:prstGeom>
                  </pic:spPr>
                </pic:pic>
              </a:graphicData>
            </a:graphic>
          </wp:anchor>
        </w:drawing>
      </w:r>
      <w:r>
        <w:rPr>
          <w:spacing w:val="-5"/>
        </w:rPr>
        <w:t>脊髓灰质炎是由于脊髓灰质炎病毒感染所致的瘫痪性疾病，临床表现为运动功能</w:t>
      </w:r>
      <w:r>
        <w:rPr>
          <w:spacing w:val="-5"/>
        </w:rPr>
        <w:t>损害或呼吸无力。脊髓灰质炎必须明确诊断。本保单仅对脊髓灰质炎造成的神经</w:t>
      </w:r>
    </w:p>
    <w:p>
      <w:pPr>
        <w:pStyle w:val="BodyText"/>
        <w:ind w:left="2569"/>
        <w:rPr>
          <w:sz w:val="20"/>
        </w:rPr>
      </w:pPr>
      <w:r>
        <w:rPr>
          <w:sz w:val="20"/>
        </w:rPr>
        <w:pict>
          <v:shape style="width:364.35pt;height:13.95pt;mso-position-horizontal-relative:char;mso-position-vertical-relative:line" type="#_x0000_t202" id="docshape150" filled="true" fillcolor="#d9d9d9" stroked="false">
            <w10:anchorlock/>
            <v:textbox inset="0,0,0,0">
              <w:txbxContent>
                <w:p>
                  <w:pPr>
                    <w:pStyle w:val="BodyText"/>
                    <w:spacing w:before="6"/>
                    <w:ind w:right="-15"/>
                    <w:rPr>
                      <w:color w:val="000000"/>
                    </w:rPr>
                  </w:pPr>
                  <w:r>
                    <w:rPr>
                      <w:color w:val="000000"/>
                      <w:spacing w:val="-3"/>
                    </w:rPr>
                    <w:t>系统功能损害导致被保险人一肢或一肢以上肢体机能永久完全丧失的情况予以</w:t>
                  </w:r>
                </w:p>
              </w:txbxContent>
            </v:textbox>
            <v:fill type="solid"/>
          </v:shape>
        </w:pict>
      </w:r>
      <w:r>
        <w:rPr>
          <w:sz w:val="20"/>
        </w:rPr>
      </w:r>
    </w:p>
    <w:p>
      <w:pPr>
        <w:pStyle w:val="BodyText"/>
        <w:spacing w:line="248" w:lineRule="exact" w:before="8"/>
        <w:ind w:left="3184"/>
      </w:pPr>
      <w:r>
        <w:rPr/>
        <w:pict>
          <v:shape style="position:absolute;margin-left:174.479996pt;margin-top:.096138pt;width:30.75pt;height:13.95pt;mso-position-horizontal-relative:page;mso-position-vertical-relative:paragraph;z-index:15823360" type="#_x0000_t202" id="docshape151" filled="true" fillcolor="#d9d9d9" stroked="false">
            <v:textbox inset="0,0,0,0">
              <w:txbxContent>
                <w:p>
                  <w:pPr>
                    <w:pStyle w:val="BodyText"/>
                    <w:spacing w:before="6"/>
                    <w:ind w:right="-29"/>
                    <w:rPr>
                      <w:color w:val="000000"/>
                    </w:rPr>
                  </w:pPr>
                  <w:r>
                    <w:rPr>
                      <w:color w:val="000000"/>
                      <w:spacing w:val="-4"/>
                    </w:rPr>
                    <w:t>理赔。</w:t>
                  </w:r>
                </w:p>
              </w:txbxContent>
            </v:textbox>
            <v:fill type="solid"/>
            <w10:wrap type="none"/>
          </v:shape>
        </w:pict>
      </w:r>
      <w:r>
        <w:rPr>
          <w:spacing w:val="-6"/>
        </w:rPr>
        <w:t>肢体机能永久完全丧失，指疾病确诊 </w:t>
      </w:r>
      <w:r>
        <w:rPr>
          <w:spacing w:val="-4"/>
        </w:rPr>
        <w:t>180</w:t>
      </w:r>
      <w:r>
        <w:rPr>
          <w:spacing w:val="-10"/>
        </w:rPr>
        <w:t> 天后，每肢三大关节中的至少一</w:t>
      </w:r>
    </w:p>
    <w:p>
      <w:pPr>
        <w:spacing w:line="31" w:lineRule="exact" w:before="0"/>
        <w:ind w:left="3222" w:right="0" w:firstLine="0"/>
        <w:jc w:val="left"/>
        <w:rPr>
          <w:sz w:val="4"/>
        </w:rPr>
      </w:pPr>
      <w:r>
        <w:rPr>
          <w:w w:val="72"/>
          <w:sz w:val="4"/>
        </w:rPr>
        <w:t>●</w:t>
      </w:r>
    </w:p>
    <w:p>
      <w:pPr>
        <w:pStyle w:val="BodyText"/>
        <w:spacing w:before="33"/>
        <w:ind w:left="2569"/>
      </w:pPr>
      <w:r>
        <w:rPr>
          <w:spacing w:val="-5"/>
        </w:rPr>
        <w:t>个大关节仍然完全僵硬，或肢体肌力在 </w:t>
      </w:r>
      <w:r>
        <w:rPr>
          <w:spacing w:val="-2"/>
        </w:rPr>
        <w:t>2</w:t>
      </w:r>
      <w:r>
        <w:rPr>
          <w:spacing w:val="-22"/>
        </w:rPr>
        <w:t> 级</w:t>
      </w:r>
      <w:r>
        <w:rPr>
          <w:spacing w:val="-2"/>
        </w:rPr>
        <w:t>（含）</w:t>
      </w:r>
      <w:r>
        <w:rPr>
          <w:spacing w:val="-5"/>
        </w:rPr>
        <w:t>以下。</w:t>
      </w:r>
    </w:p>
    <w:p>
      <w:pPr>
        <w:pStyle w:val="BodyText"/>
        <w:spacing w:before="6"/>
        <w:rPr>
          <w:sz w:val="22"/>
        </w:rPr>
      </w:pPr>
    </w:p>
    <w:p>
      <w:pPr>
        <w:pStyle w:val="Heading3"/>
      </w:pPr>
      <w:r>
        <w:rPr/>
        <w:t>（二十九）</w:t>
      </w:r>
      <w:r>
        <w:rPr>
          <w:spacing w:val="-2"/>
        </w:rPr>
        <w:t>中度糖尿病肾病</w:t>
      </w:r>
    </w:p>
    <w:p>
      <w:pPr>
        <w:pStyle w:val="BodyText"/>
        <w:spacing w:line="244" w:lineRule="exact"/>
        <w:ind w:left="2569"/>
      </w:pPr>
      <w:r>
        <w:rPr>
          <w:spacing w:val="-12"/>
        </w:rPr>
        <w:t>指被保险人被确诊为糖尿病，且因该病导致糖尿病肾病，必须满足下列全部条件：</w:t>
      </w:r>
    </w:p>
    <w:p>
      <w:pPr>
        <w:spacing w:line="31" w:lineRule="exact" w:before="0"/>
        <w:ind w:left="120" w:right="0" w:firstLine="0"/>
        <w:jc w:val="center"/>
        <w:rPr>
          <w:sz w:val="4"/>
        </w:rPr>
      </w:pPr>
      <w:r>
        <w:rPr>
          <w:w w:val="72"/>
          <w:sz w:val="4"/>
        </w:rPr>
        <w:t>●</w:t>
      </w:r>
    </w:p>
    <w:p>
      <w:pPr>
        <w:pStyle w:val="ListParagraph"/>
        <w:numPr>
          <w:ilvl w:val="0"/>
          <w:numId w:val="73"/>
        </w:numPr>
        <w:tabs>
          <w:tab w:pos="3099" w:val="left" w:leader="none"/>
        </w:tabs>
        <w:spacing w:line="248" w:lineRule="exact" w:before="33" w:after="0"/>
        <w:ind w:left="3098" w:right="0" w:hanging="530"/>
        <w:jc w:val="left"/>
        <w:rPr>
          <w:sz w:val="21"/>
        </w:rPr>
      </w:pPr>
      <w:r>
        <w:rPr>
          <w:spacing w:val="-2"/>
          <w:sz w:val="21"/>
        </w:rPr>
        <w:t>肾小球滤过率（</w:t>
      </w:r>
      <w:r>
        <w:rPr>
          <w:spacing w:val="-13"/>
          <w:sz w:val="21"/>
        </w:rPr>
        <w:t>使用 </w:t>
      </w:r>
      <w:r>
        <w:rPr>
          <w:spacing w:val="-2"/>
          <w:sz w:val="21"/>
        </w:rPr>
        <w:t>MDRD</w:t>
      </w:r>
      <w:r>
        <w:rPr>
          <w:spacing w:val="-15"/>
          <w:sz w:val="21"/>
        </w:rPr>
        <w:t> 公式或 </w:t>
      </w:r>
      <w:r>
        <w:rPr>
          <w:spacing w:val="-2"/>
          <w:sz w:val="21"/>
        </w:rPr>
        <w:t>Cockcroft-Gault</w:t>
      </w:r>
      <w:r>
        <w:rPr>
          <w:spacing w:val="-8"/>
          <w:sz w:val="21"/>
        </w:rPr>
        <w:t> 公式计算的结果</w:t>
      </w:r>
      <w:r>
        <w:rPr>
          <w:spacing w:val="-111"/>
          <w:sz w:val="21"/>
        </w:rPr>
        <w:t>）</w:t>
      </w:r>
      <w:r>
        <w:rPr>
          <w:spacing w:val="-5"/>
          <w:sz w:val="21"/>
        </w:rPr>
        <w:t>，低</w:t>
      </w:r>
    </w:p>
    <w:p>
      <w:pPr>
        <w:spacing w:line="31" w:lineRule="exact" w:before="0"/>
        <w:ind w:left="2607" w:right="0" w:firstLine="0"/>
        <w:jc w:val="left"/>
        <w:rPr>
          <w:sz w:val="4"/>
        </w:rPr>
      </w:pPr>
      <w:r>
        <w:rPr>
          <w:w w:val="72"/>
          <w:sz w:val="4"/>
        </w:rPr>
        <w:t>●</w:t>
      </w:r>
    </w:p>
    <w:p>
      <w:pPr>
        <w:pStyle w:val="BodyText"/>
        <w:spacing w:before="33"/>
        <w:ind w:left="2569"/>
      </w:pPr>
      <w:r>
        <w:rPr>
          <w:spacing w:val="-24"/>
        </w:rPr>
        <w:t>于 </w:t>
      </w:r>
      <w:r>
        <w:rPr>
          <w:spacing w:val="-2"/>
        </w:rPr>
        <w:t>25mL/min/1.73</w:t>
      </w:r>
      <w:r>
        <w:rPr>
          <w:spacing w:val="-12"/>
        </w:rPr>
        <w:t> 平方米，且此状态须持续至少 </w:t>
      </w:r>
      <w:r>
        <w:rPr>
          <w:spacing w:val="-2"/>
        </w:rPr>
        <w:t>90</w:t>
      </w:r>
      <w:r>
        <w:rPr>
          <w:spacing w:val="-20"/>
        </w:rPr>
        <w:t> 天；</w:t>
      </w:r>
    </w:p>
    <w:p>
      <w:pPr>
        <w:pStyle w:val="ListParagraph"/>
        <w:numPr>
          <w:ilvl w:val="0"/>
          <w:numId w:val="73"/>
        </w:numPr>
        <w:tabs>
          <w:tab w:pos="3099" w:val="left" w:leader="none"/>
        </w:tabs>
        <w:spacing w:line="240" w:lineRule="auto" w:before="43" w:after="0"/>
        <w:ind w:left="3098" w:right="0" w:hanging="530"/>
        <w:jc w:val="left"/>
        <w:rPr>
          <w:sz w:val="21"/>
        </w:rPr>
      </w:pPr>
      <w:r>
        <w:rPr>
          <w:spacing w:val="-2"/>
          <w:sz w:val="21"/>
        </w:rPr>
        <w:t>持续性大量蛋白尿（UAE&gt;200μg/min）</w:t>
      </w:r>
      <w:r>
        <w:rPr>
          <w:spacing w:val="-6"/>
          <w:sz w:val="21"/>
        </w:rPr>
        <w:t>或蛋白尿大于 </w:t>
      </w:r>
      <w:r>
        <w:rPr>
          <w:spacing w:val="-2"/>
          <w:sz w:val="21"/>
        </w:rPr>
        <w:t>500mg/d；</w:t>
      </w:r>
    </w:p>
    <w:p>
      <w:pPr>
        <w:pStyle w:val="ListParagraph"/>
        <w:numPr>
          <w:ilvl w:val="0"/>
          <w:numId w:val="73"/>
        </w:numPr>
        <w:tabs>
          <w:tab w:pos="3099" w:val="left" w:leader="none"/>
        </w:tabs>
        <w:spacing w:line="240" w:lineRule="auto" w:before="43" w:after="0"/>
        <w:ind w:left="3098" w:right="0" w:hanging="530"/>
        <w:jc w:val="left"/>
        <w:rPr>
          <w:sz w:val="21"/>
        </w:rPr>
      </w:pPr>
      <w:r>
        <w:rPr>
          <w:spacing w:val="-2"/>
          <w:sz w:val="21"/>
        </w:rPr>
        <w:t>慢性肾功能障碍的诊断必须由泌尿科或肾脏科</w:t>
      </w:r>
      <w:r>
        <w:rPr>
          <w:color w:val="000000"/>
          <w:spacing w:val="-2"/>
          <w:sz w:val="21"/>
          <w:shd w:fill="D9D9D9" w:color="auto" w:val="clear"/>
        </w:rPr>
        <w:t>专科医生</w:t>
      </w:r>
      <w:r>
        <w:rPr>
          <w:color w:val="000000"/>
          <w:spacing w:val="-5"/>
          <w:sz w:val="21"/>
        </w:rPr>
        <w:t>确认。</w:t>
      </w:r>
    </w:p>
    <w:p>
      <w:pPr>
        <w:pStyle w:val="BodyText"/>
        <w:spacing w:before="4"/>
        <w:rPr>
          <w:sz w:val="25"/>
        </w:rPr>
      </w:pPr>
      <w:r>
        <w:rPr/>
        <w:drawing>
          <wp:anchor distT="0" distB="0" distL="0" distR="0" allowOverlap="1" layoutInCell="1" locked="0" behindDoc="1" simplePos="0" relativeHeight="485658112">
            <wp:simplePos x="0" y="0"/>
            <wp:positionH relativeFrom="page">
              <wp:posOffset>2215895</wp:posOffset>
            </wp:positionH>
            <wp:positionV relativeFrom="paragraph">
              <wp:posOffset>419847</wp:posOffset>
            </wp:positionV>
            <wp:extent cx="4267200" cy="176784"/>
            <wp:effectExtent l="0" t="0" r="0" b="0"/>
            <wp:wrapNone/>
            <wp:docPr id="65" name="image20.png"/>
            <wp:cNvGraphicFramePr>
              <a:graphicFrameLocks noChangeAspect="1"/>
            </wp:cNvGraphicFramePr>
            <a:graphic>
              <a:graphicData uri="http://schemas.openxmlformats.org/drawingml/2006/picture">
                <pic:pic>
                  <pic:nvPicPr>
                    <pic:cNvPr id="66" name="image20.png"/>
                    <pic:cNvPicPr/>
                  </pic:nvPicPr>
                  <pic:blipFill>
                    <a:blip r:embed="rId24" cstate="print"/>
                    <a:stretch>
                      <a:fillRect/>
                    </a:stretch>
                  </pic:blipFill>
                  <pic:spPr>
                    <a:xfrm>
                      <a:off x="0" y="0"/>
                      <a:ext cx="4267200" cy="176784"/>
                    </a:xfrm>
                    <a:prstGeom prst="rect">
                      <a:avLst/>
                    </a:prstGeom>
                  </pic:spPr>
                </pic:pic>
              </a:graphicData>
            </a:graphic>
          </wp:anchor>
        </w:drawing>
      </w:r>
      <w:r>
        <w:rPr/>
        <w:pict>
          <v:shape style="position:absolute;margin-left:174.479996pt;margin-top:33.058868pt;width:336pt;height:13.95pt;mso-position-horizontal-relative:page;mso-position-vertical-relative:paragraph;z-index:-17657856" type="#_x0000_t202" id="docshape152" filled="false" stroked="false">
            <v:textbox inset="0,0,0,0">
              <w:txbxContent>
                <w:p>
                  <w:pPr>
                    <w:pStyle w:val="BodyText"/>
                    <w:spacing w:before="6"/>
                    <w:ind w:right="-15"/>
                  </w:pPr>
                  <w:r>
                    <w:rPr>
                      <w:spacing w:val="-3"/>
                    </w:rPr>
                    <w:t>责任，给付其中一项保险金后，对另外一项中症疾病保险责任同时终止。</w:t>
                  </w:r>
                </w:p>
              </w:txbxContent>
            </v:textbox>
            <w10:wrap type="none"/>
          </v:shape>
        </w:pict>
      </w:r>
      <w:r>
        <w:rPr/>
        <w:pict>
          <v:shape style="position:absolute;margin-left:174.479996pt;margin-top:17.458868pt;width:364.35pt;height:13.95pt;mso-position-horizontal-relative:page;mso-position-vertical-relative:paragraph;z-index:-15634944;mso-wrap-distance-left:0;mso-wrap-distance-right:0" type="#_x0000_t202" id="docshape153" filled="true" fillcolor="#d9d9d9" stroked="false">
            <v:textbox inset="0,0,0,0">
              <w:txbxContent>
                <w:p>
                  <w:pPr>
                    <w:pStyle w:val="BodyText"/>
                    <w:spacing w:before="6"/>
                    <w:ind w:right="-15"/>
                    <w:rPr>
                      <w:color w:val="000000"/>
                    </w:rPr>
                  </w:pPr>
                  <w:r>
                    <w:rPr>
                      <w:color w:val="000000"/>
                      <w:spacing w:val="-5"/>
                    </w:rPr>
                    <w:t>本公司对“慢性肾功能障碍”和“中度糖尿病肾病”两项中的其中一项承担保险</w:t>
                  </w:r>
                </w:p>
              </w:txbxContent>
            </v:textbox>
            <v:fill type="solid"/>
            <w10:wrap type="topAndBottom"/>
          </v:shape>
        </w:pict>
      </w:r>
    </w:p>
    <w:p>
      <w:pPr>
        <w:pStyle w:val="BodyText"/>
        <w:spacing w:before="11"/>
      </w:pPr>
    </w:p>
    <w:p>
      <w:pPr>
        <w:pStyle w:val="Heading3"/>
        <w:spacing w:before="4"/>
      </w:pPr>
      <w:r>
        <w:rPr/>
        <w:t>（三十）</w:t>
      </w:r>
      <w:r>
        <w:rPr>
          <w:spacing w:val="-2"/>
        </w:rPr>
        <w:t>中度强直性脊柱炎</w:t>
      </w:r>
    </w:p>
    <w:p>
      <w:pPr>
        <w:pStyle w:val="BodyText"/>
        <w:spacing w:line="278" w:lineRule="auto"/>
        <w:ind w:left="2569" w:right="301"/>
      </w:pPr>
      <w:r>
        <w:rPr>
          <w:spacing w:val="-2"/>
        </w:rPr>
        <w:t>强直性脊柱炎是一种慢性全身性炎性疾病，主要侵犯脊柱导致脊柱畸形。强直性</w:t>
      </w:r>
      <w:r>
        <w:rPr>
          <w:spacing w:val="-2"/>
        </w:rPr>
        <w:t>脊柱炎必须明确诊断并且满足下列所有条件：</w:t>
      </w:r>
    </w:p>
    <w:p>
      <w:pPr>
        <w:pStyle w:val="BodyText"/>
        <w:spacing w:line="269" w:lineRule="exact"/>
        <w:ind w:left="2569"/>
      </w:pPr>
      <w:r>
        <w:rPr>
          <w:spacing w:val="-2"/>
        </w:rPr>
        <w:t>（1）</w:t>
      </w:r>
      <w:r>
        <w:rPr>
          <w:spacing w:val="-4"/>
        </w:rPr>
        <w:t>严重脊柱畸形；</w:t>
      </w:r>
    </w:p>
    <w:p>
      <w:pPr>
        <w:pStyle w:val="BodyText"/>
        <w:spacing w:line="278" w:lineRule="auto" w:before="39"/>
        <w:ind w:left="2569" w:right="305"/>
      </w:pPr>
      <w:r>
        <w:rPr>
          <w:spacing w:val="-2"/>
        </w:rPr>
        <w:t>（2）自主生活能力完全丧失，无法独立完成六项基本日常生活活动中的两项或</w:t>
      </w:r>
      <w:r>
        <w:rPr>
          <w:spacing w:val="-2"/>
        </w:rPr>
        <w:t>两项以上。</w:t>
      </w:r>
    </w:p>
    <w:p>
      <w:pPr>
        <w:pStyle w:val="BodyText"/>
        <w:spacing w:before="2"/>
        <w:rPr>
          <w:sz w:val="23"/>
        </w:rPr>
      </w:pPr>
    </w:p>
    <w:p>
      <w:pPr>
        <w:pStyle w:val="Heading3"/>
        <w:numPr>
          <w:ilvl w:val="1"/>
          <w:numId w:val="11"/>
        </w:numPr>
        <w:tabs>
          <w:tab w:pos="1364" w:val="left" w:leader="none"/>
          <w:tab w:pos="1365" w:val="left" w:leader="none"/>
          <w:tab w:pos="2588" w:val="left" w:leader="none"/>
        </w:tabs>
        <w:spacing w:line="194" w:lineRule="auto" w:before="0" w:after="0"/>
        <w:ind w:left="2588" w:right="301" w:hanging="2074"/>
        <w:jc w:val="left"/>
      </w:pPr>
      <w:r>
        <w:rPr>
          <w:spacing w:val="-4"/>
        </w:rPr>
        <w:t>轻</w:t>
      </w:r>
      <w:r>
        <w:rPr>
          <w:spacing w:val="-4"/>
        </w:rPr>
        <w:t>症</w:t>
      </w:r>
      <w:r>
        <w:rPr>
          <w:spacing w:val="-4"/>
        </w:rPr>
        <w:t>疾</w:t>
      </w:r>
      <w:r>
        <w:rPr>
          <w:spacing w:val="-4"/>
        </w:rPr>
        <w:t>病</w:t>
      </w:r>
      <w:r>
        <w:rPr/>
        <w:tab/>
      </w:r>
      <w:r>
        <w:rPr>
          <w:spacing w:val="-2"/>
        </w:rPr>
        <w:t>以下轻症疾病定义是由中国保险行业协会与中</w:t>
      </w:r>
      <w:r>
        <w:rPr>
          <w:spacing w:val="-2"/>
        </w:rPr>
        <w:t>国</w:t>
      </w:r>
      <w:r>
        <w:rPr>
          <w:spacing w:val="-2"/>
        </w:rPr>
        <w:t>医</w:t>
      </w:r>
      <w:r>
        <w:rPr>
          <w:spacing w:val="-2"/>
        </w:rPr>
        <w:t>师协会联合发布《重大疾病</w:t>
      </w:r>
      <w:r>
        <w:rPr/>
        <w:t>保</w:t>
      </w:r>
      <w:r>
        <w:rPr/>
        <w:t>险</w:t>
      </w:r>
      <w:r>
        <w:rPr/>
        <w:t>的</w:t>
      </w:r>
      <w:r>
        <w:rPr/>
        <w:t>疾</w:t>
      </w:r>
      <w:r>
        <w:rPr/>
        <w:t>病</w:t>
      </w:r>
      <w:r>
        <w:rPr/>
        <w:t>定</w:t>
      </w:r>
      <w:r>
        <w:rPr/>
        <w:t>义</w:t>
      </w:r>
      <w:r>
        <w:rPr/>
        <w:t>使</w:t>
      </w:r>
      <w:r>
        <w:rPr/>
        <w:t>用</w:t>
      </w:r>
      <w:r>
        <w:rPr/>
        <w:t>规</w:t>
      </w:r>
      <w:r>
        <w:rPr/>
        <w:t>范</w:t>
      </w:r>
      <w:r>
        <w:rPr/>
        <w:t>（2020 </w:t>
      </w:r>
      <w:r>
        <w:rPr/>
        <w:t>年修订版</w:t>
      </w:r>
      <w:r>
        <w:rPr>
          <w:spacing w:val="-106"/>
        </w:rPr>
        <w:t>）</w:t>
      </w:r>
      <w:r>
        <w:rPr/>
        <w:t>》的疾病</w:t>
      </w:r>
      <w:r>
        <w:rPr/>
        <w:t>定义。</w:t>
      </w:r>
    </w:p>
    <w:p>
      <w:pPr>
        <w:pStyle w:val="BodyText"/>
        <w:spacing w:before="17"/>
        <w:rPr>
          <w:rFonts w:ascii="微软雅黑"/>
          <w:b/>
          <w:sz w:val="13"/>
        </w:rPr>
      </w:pPr>
    </w:p>
    <w:p>
      <w:pPr>
        <w:spacing w:line="383" w:lineRule="exact" w:before="0"/>
        <w:ind w:left="2588" w:right="0" w:firstLine="0"/>
        <w:jc w:val="left"/>
        <w:rPr>
          <w:rFonts w:ascii="微软雅黑" w:hAnsi="微软雅黑" w:eastAsia="微软雅黑"/>
          <w:b/>
          <w:sz w:val="21"/>
        </w:rPr>
      </w:pPr>
      <w:r>
        <w:rPr>
          <w:rFonts w:ascii="微软雅黑" w:hAnsi="微软雅黑" w:eastAsia="微软雅黑"/>
          <w:b/>
          <w:w w:val="95"/>
          <w:sz w:val="21"/>
        </w:rPr>
        <w:t>（</w:t>
      </w:r>
      <w:r>
        <w:rPr>
          <w:rFonts w:ascii="微软雅黑" w:hAnsi="微软雅黑" w:eastAsia="微软雅黑"/>
          <w:b/>
          <w:w w:val="95"/>
          <w:sz w:val="21"/>
        </w:rPr>
        <w:t>一</w:t>
      </w:r>
      <w:r>
        <w:rPr>
          <w:rFonts w:ascii="微软雅黑" w:hAnsi="微软雅黑" w:eastAsia="微软雅黑"/>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轻</w:t>
      </w:r>
      <w:r>
        <w:rPr>
          <w:rFonts w:ascii="微软雅黑" w:hAnsi="微软雅黑" w:eastAsia="微软雅黑"/>
          <w:b/>
          <w:spacing w:val="-10"/>
          <w:w w:val="95"/>
          <w:sz w:val="21"/>
        </w:rPr>
        <w:t>度</w:t>
      </w:r>
    </w:p>
    <w:p>
      <w:pPr>
        <w:pStyle w:val="BodyText"/>
        <w:spacing w:line="278" w:lineRule="auto"/>
        <w:ind w:left="2588" w:right="195"/>
      </w:pPr>
      <w:r>
        <w:rPr>
          <w:spacing w:val="-9"/>
          <w:w w:val="100"/>
        </w:rPr>
        <w:t>指恶性细胞不受控制的进行性增长和扩散，浸润和破坏周围正常组织，可以经血</w:t>
      </w:r>
      <w:r>
        <w:rPr>
          <w:spacing w:val="-10"/>
          <w:w w:val="100"/>
        </w:rPr>
        <w:t>管、淋巴管和体腔扩散转移到身体其他部位，病灶经组织病理学检查</w:t>
      </w:r>
      <w:r>
        <w:rPr>
          <w:w w:val="100"/>
        </w:rPr>
        <w:t>（</w:t>
      </w:r>
      <w:r>
        <w:rPr>
          <w:spacing w:val="-2"/>
          <w:w w:val="100"/>
        </w:rPr>
        <w:t>涵盖骨髓</w:t>
      </w:r>
      <w:r>
        <w:rPr>
          <w:spacing w:val="-3"/>
          <w:w w:val="100"/>
        </w:rPr>
        <w:t>病理学检查</w:t>
      </w:r>
      <w:r>
        <w:rPr>
          <w:w w:val="100"/>
        </w:rPr>
        <w:t>）</w:t>
      </w:r>
      <w:r>
        <w:rPr>
          <w:spacing w:val="-5"/>
          <w:w w:val="100"/>
        </w:rPr>
        <w:t>结果明确诊断，临床诊断属于世界卫生组织</w:t>
      </w:r>
      <w:r>
        <w:rPr>
          <w:w w:val="100"/>
        </w:rPr>
        <w:t>（WHO</w:t>
      </w:r>
      <w:r>
        <w:rPr>
          <w:spacing w:val="-5"/>
          <w:w w:val="100"/>
        </w:rPr>
        <w:t>，</w:t>
      </w:r>
      <w:r>
        <w:rPr>
          <w:w w:val="100"/>
        </w:rPr>
        <w:t>World</w:t>
      </w:r>
      <w:r>
        <w:rPr>
          <w:spacing w:val="24"/>
        </w:rPr>
        <w:t> </w:t>
      </w:r>
      <w:r>
        <w:rPr>
          <w:w w:val="100"/>
        </w:rPr>
        <w:t>H</w:t>
      </w:r>
      <w:r>
        <w:rPr>
          <w:spacing w:val="-5"/>
          <w:w w:val="100"/>
        </w:rPr>
        <w:t>e</w:t>
      </w:r>
      <w:r>
        <w:rPr>
          <w:w w:val="100"/>
        </w:rPr>
        <w:t>alth Organizati</w:t>
      </w:r>
      <w:r>
        <w:rPr>
          <w:spacing w:val="-5"/>
          <w:w w:val="100"/>
        </w:rPr>
        <w:t>o</w:t>
      </w:r>
      <w:r>
        <w:rPr>
          <w:w w:val="100"/>
        </w:rPr>
        <w:t>n</w:t>
      </w:r>
      <w:r>
        <w:rPr>
          <w:spacing w:val="-135"/>
          <w:w w:val="100"/>
        </w:rPr>
        <w:t>）</w:t>
      </w:r>
      <w:r>
        <w:rPr>
          <w:spacing w:val="-8"/>
          <w:w w:val="100"/>
        </w:rPr>
        <w:t>《疾病和有关健康问题的国际统计分类》第十次修订版</w:t>
      </w:r>
      <w:r>
        <w:rPr>
          <w:spacing w:val="-2"/>
          <w:w w:val="100"/>
        </w:rPr>
        <w:t>（</w:t>
      </w:r>
      <w:r>
        <w:rPr>
          <w:spacing w:val="-7"/>
          <w:w w:val="100"/>
        </w:rPr>
        <w:t>I</w:t>
      </w:r>
      <w:r>
        <w:rPr>
          <w:spacing w:val="-2"/>
          <w:w w:val="100"/>
        </w:rPr>
        <w:t>CD-10）</w:t>
      </w:r>
      <w:r>
        <w:rPr>
          <w:spacing w:val="-2"/>
          <w:w w:val="100"/>
        </w:rPr>
        <w:t>的恶性肿瘤类别及《国际疾病分类肿瘤学专辑》第三版</w:t>
      </w:r>
      <w:r>
        <w:rPr>
          <w:w w:val="100"/>
        </w:rPr>
        <w:t>（ICD-O-3）</w:t>
      </w:r>
      <w:r>
        <w:rPr>
          <w:spacing w:val="-2"/>
          <w:w w:val="100"/>
        </w:rPr>
        <w:t>的肿瘤形态学编码属于</w:t>
      </w:r>
      <w:r>
        <w:rPr>
          <w:spacing w:val="-53"/>
        </w:rPr>
        <w:t> </w:t>
      </w:r>
      <w:r>
        <w:rPr>
          <w:spacing w:val="-5"/>
          <w:w w:val="100"/>
        </w:rPr>
        <w:t>3</w:t>
      </w:r>
      <w:r>
        <w:rPr>
          <w:spacing w:val="-20"/>
          <w:w w:val="100"/>
        </w:rPr>
        <w:t>、</w:t>
      </w:r>
      <w:r>
        <w:rPr>
          <w:w w:val="100"/>
        </w:rPr>
        <w:t>6</w:t>
      </w:r>
      <w:r>
        <w:rPr>
          <w:spacing w:val="-20"/>
          <w:w w:val="100"/>
        </w:rPr>
        <w:t>、9</w:t>
      </w:r>
      <w:r>
        <w:rPr>
          <w:spacing w:val="-5"/>
          <w:w w:val="100"/>
        </w:rPr>
        <w:t>（</w:t>
      </w:r>
      <w:r>
        <w:rPr>
          <w:spacing w:val="-2"/>
          <w:w w:val="100"/>
        </w:rPr>
        <w:t>恶性肿瘤</w:t>
      </w:r>
      <w:r>
        <w:rPr>
          <w:spacing w:val="-20"/>
          <w:w w:val="100"/>
        </w:rPr>
        <w:t>）</w:t>
      </w:r>
      <w:r>
        <w:rPr>
          <w:spacing w:val="-5"/>
          <w:w w:val="100"/>
        </w:rPr>
        <w:t>范畴，但不在</w:t>
      </w:r>
      <w:r>
        <w:rPr>
          <w:spacing w:val="-24"/>
        </w:rPr>
        <w:t> </w:t>
      </w:r>
      <w:r>
        <w:rPr>
          <w:spacing w:val="-5"/>
          <w:w w:val="100"/>
        </w:rPr>
        <w:t>“恶性肿瘤——重度”保障范围的疾病。且特指下列六项之一：</w:t>
      </w:r>
    </w:p>
    <w:p>
      <w:pPr>
        <w:pStyle w:val="ListParagraph"/>
        <w:numPr>
          <w:ilvl w:val="0"/>
          <w:numId w:val="74"/>
        </w:numPr>
        <w:tabs>
          <w:tab w:pos="3118" w:val="left" w:leader="none"/>
        </w:tabs>
        <w:spacing w:line="268" w:lineRule="exact" w:before="0" w:after="0"/>
        <w:ind w:left="3117" w:right="0" w:hanging="530"/>
        <w:jc w:val="left"/>
        <w:rPr>
          <w:sz w:val="21"/>
        </w:rPr>
      </w:pPr>
      <w:r>
        <w:rPr>
          <w:spacing w:val="-2"/>
          <w:sz w:val="21"/>
        </w:rPr>
        <w:t>TNM</w:t>
      </w:r>
      <w:r>
        <w:rPr>
          <w:spacing w:val="-10"/>
          <w:sz w:val="21"/>
        </w:rPr>
        <w:t> 分期为Ⅰ期的甲状腺癌；</w:t>
      </w:r>
    </w:p>
    <w:p>
      <w:pPr>
        <w:pStyle w:val="ListParagraph"/>
        <w:numPr>
          <w:ilvl w:val="0"/>
          <w:numId w:val="74"/>
        </w:numPr>
        <w:tabs>
          <w:tab w:pos="3118" w:val="left" w:leader="none"/>
        </w:tabs>
        <w:spacing w:line="240" w:lineRule="auto" w:before="39" w:after="0"/>
        <w:ind w:left="3117"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0"/>
          <w:sz w:val="11"/>
        </w:rPr>
        <w:t> </w:t>
      </w:r>
      <w:r>
        <w:rPr>
          <w:spacing w:val="-4"/>
          <w:position w:val="1"/>
          <w:sz w:val="21"/>
        </w:rPr>
        <w:t>期的前列腺癌；</w:t>
      </w:r>
    </w:p>
    <w:p>
      <w:pPr>
        <w:pStyle w:val="ListParagraph"/>
        <w:numPr>
          <w:ilvl w:val="0"/>
          <w:numId w:val="74"/>
        </w:numPr>
        <w:tabs>
          <w:tab w:pos="3118" w:val="left" w:leader="none"/>
        </w:tabs>
        <w:spacing w:line="240" w:lineRule="auto" w:before="44" w:after="0"/>
        <w:ind w:left="3117" w:right="0" w:hanging="530"/>
        <w:jc w:val="left"/>
        <w:rPr>
          <w:sz w:val="21"/>
        </w:rPr>
      </w:pPr>
      <w:r>
        <w:rPr>
          <w:spacing w:val="-3"/>
          <w:sz w:val="21"/>
        </w:rPr>
        <w:t>黑色素瘤以外的未发生淋巴结和远处转移的皮肤恶性肿瘤；</w:t>
      </w:r>
    </w:p>
    <w:p>
      <w:pPr>
        <w:pStyle w:val="ListParagraph"/>
        <w:numPr>
          <w:ilvl w:val="0"/>
          <w:numId w:val="74"/>
        </w:numPr>
        <w:tabs>
          <w:tab w:pos="3118" w:val="left" w:leader="none"/>
        </w:tabs>
        <w:spacing w:line="240" w:lineRule="auto" w:before="43" w:after="0"/>
        <w:ind w:left="3117" w:right="0" w:hanging="530"/>
        <w:jc w:val="left"/>
        <w:rPr>
          <w:sz w:val="21"/>
        </w:rPr>
      </w:pPr>
      <w:r>
        <w:rPr>
          <w:spacing w:val="9"/>
          <w:sz w:val="21"/>
        </w:rPr>
        <w:t>相当于</w:t>
      </w:r>
      <w:r>
        <w:rPr>
          <w:sz w:val="21"/>
        </w:rPr>
        <w:t>Binet</w:t>
      </w:r>
      <w:r>
        <w:rPr>
          <w:spacing w:val="-19"/>
          <w:sz w:val="21"/>
        </w:rPr>
        <w:t> 分期方案 </w:t>
      </w:r>
      <w:r>
        <w:rPr>
          <w:sz w:val="21"/>
        </w:rPr>
        <w:t>A</w:t>
      </w:r>
      <w:r>
        <w:rPr>
          <w:spacing w:val="-9"/>
          <w:sz w:val="21"/>
        </w:rPr>
        <w:t> 期程度的慢性淋巴细胞白血病；</w:t>
      </w:r>
    </w:p>
    <w:p>
      <w:pPr>
        <w:pStyle w:val="ListParagraph"/>
        <w:numPr>
          <w:ilvl w:val="0"/>
          <w:numId w:val="74"/>
        </w:numPr>
        <w:tabs>
          <w:tab w:pos="3118" w:val="left" w:leader="none"/>
        </w:tabs>
        <w:spacing w:line="240" w:lineRule="auto" w:before="42" w:after="0"/>
        <w:ind w:left="3117" w:right="0" w:hanging="530"/>
        <w:jc w:val="left"/>
        <w:rPr>
          <w:sz w:val="21"/>
        </w:rPr>
      </w:pPr>
      <w:r>
        <w:rPr>
          <w:spacing w:val="15"/>
          <w:sz w:val="21"/>
        </w:rPr>
        <w:t>相当于</w:t>
      </w:r>
      <w:r>
        <w:rPr>
          <w:sz w:val="21"/>
        </w:rPr>
        <w:t>Ann</w:t>
      </w:r>
      <w:r>
        <w:rPr>
          <w:spacing w:val="-25"/>
          <w:sz w:val="21"/>
        </w:rPr>
        <w:t> </w:t>
      </w:r>
      <w:r>
        <w:rPr>
          <w:sz w:val="21"/>
        </w:rPr>
        <w:t>Arbor</w:t>
      </w:r>
      <w:r>
        <w:rPr>
          <w:spacing w:val="-9"/>
          <w:sz w:val="21"/>
        </w:rPr>
        <w:t> 分期方案Ⅰ期程度的何杰金氏病；</w:t>
      </w:r>
    </w:p>
    <w:p>
      <w:pPr>
        <w:pStyle w:val="ListParagraph"/>
        <w:numPr>
          <w:ilvl w:val="0"/>
          <w:numId w:val="74"/>
        </w:numPr>
        <w:tabs>
          <w:tab w:pos="3118" w:val="left" w:leader="none"/>
        </w:tabs>
        <w:spacing w:line="278" w:lineRule="auto" w:before="43" w:after="0"/>
        <w:ind w:left="2588" w:right="301" w:firstLine="0"/>
        <w:jc w:val="left"/>
        <w:rPr>
          <w:sz w:val="21"/>
        </w:rPr>
      </w:pPr>
      <w:r>
        <w:rPr>
          <w:spacing w:val="-4"/>
          <w:sz w:val="21"/>
        </w:rPr>
        <w:t>未发生淋巴结和远处转移且 </w:t>
      </w:r>
      <w:r>
        <w:rPr>
          <w:sz w:val="21"/>
        </w:rPr>
        <w:t>WHO</w:t>
      </w:r>
      <w:r>
        <w:rPr>
          <w:spacing w:val="-20"/>
          <w:sz w:val="21"/>
        </w:rPr>
        <w:t> 分级为 </w:t>
      </w:r>
      <w:r>
        <w:rPr>
          <w:sz w:val="21"/>
        </w:rPr>
        <w:t>G1</w:t>
      </w:r>
      <w:r>
        <w:rPr>
          <w:spacing w:val="-18"/>
          <w:sz w:val="21"/>
        </w:rPr>
        <w:t> 级别</w:t>
      </w:r>
      <w:r>
        <w:rPr>
          <w:sz w:val="21"/>
        </w:rPr>
        <w:t>（核分裂像&lt;10/50</w:t>
      </w:r>
      <w:r>
        <w:rPr>
          <w:spacing w:val="25"/>
          <w:sz w:val="21"/>
        </w:rPr>
        <w:t> </w:t>
      </w:r>
      <w:r>
        <w:rPr>
          <w:sz w:val="21"/>
        </w:rPr>
        <w:t>HPF</w:t>
      </w:r>
      <w:r>
        <w:rPr>
          <w:spacing w:val="-24"/>
          <w:sz w:val="21"/>
        </w:rPr>
        <w:t> 和</w:t>
      </w:r>
      <w:r>
        <w:rPr>
          <w:sz w:val="21"/>
        </w:rPr>
        <w:t> </w:t>
      </w:r>
      <w:r>
        <w:rPr>
          <w:spacing w:val="-2"/>
          <w:sz w:val="21"/>
        </w:rPr>
        <w:t>ki-67≤2%）的神经内分泌肿瘤。</w:t>
      </w:r>
    </w:p>
    <w:p>
      <w:pPr>
        <w:pStyle w:val="BodyText"/>
        <w:ind w:left="2588"/>
      </w:pPr>
      <w:r>
        <w:rPr>
          <w:color w:val="000000"/>
          <w:spacing w:val="-10"/>
          <w:shd w:fill="D9D9D9" w:color="auto" w:val="clear"/>
        </w:rPr>
        <w:t>下列疾病不属于“恶性肿瘤——轻度”，不在保障范围内：</w:t>
      </w:r>
    </w:p>
    <w:p>
      <w:pPr>
        <w:pStyle w:val="BodyText"/>
        <w:spacing w:before="43"/>
        <w:ind w:left="2588"/>
      </w:pPr>
      <w:r>
        <w:rPr>
          <w:color w:val="000000"/>
          <w:spacing w:val="-2"/>
          <w:shd w:fill="D9D9D9" w:color="auto" w:val="clear"/>
        </w:rPr>
        <w:t>ICD-O-3</w:t>
      </w:r>
      <w:r>
        <w:rPr>
          <w:color w:val="000000"/>
          <w:spacing w:val="-9"/>
          <w:shd w:fill="D9D9D9" w:color="auto" w:val="clear"/>
        </w:rPr>
        <w:t> 肿瘤形态学编码属于 </w:t>
      </w:r>
      <w:r>
        <w:rPr>
          <w:color w:val="000000"/>
          <w:spacing w:val="-2"/>
          <w:shd w:fill="D9D9D9" w:color="auto" w:val="clear"/>
        </w:rPr>
        <w:t>0（良性肿瘤</w:t>
      </w:r>
      <w:r>
        <w:rPr>
          <w:color w:val="000000"/>
          <w:spacing w:val="-106"/>
          <w:shd w:fill="D9D9D9" w:color="auto" w:val="clear"/>
        </w:rPr>
        <w:t>）</w:t>
      </w:r>
      <w:r>
        <w:rPr>
          <w:color w:val="000000"/>
          <w:spacing w:val="-2"/>
          <w:shd w:fill="D9D9D9" w:color="auto" w:val="clear"/>
        </w:rPr>
        <w:t>、1（动态未定性肿瘤</w:t>
      </w:r>
      <w:r>
        <w:rPr>
          <w:color w:val="000000"/>
          <w:spacing w:val="-106"/>
          <w:shd w:fill="D9D9D9" w:color="auto" w:val="clear"/>
        </w:rPr>
        <w:t>）</w:t>
      </w:r>
      <w:r>
        <w:rPr>
          <w:color w:val="000000"/>
          <w:spacing w:val="-2"/>
          <w:shd w:fill="D9D9D9" w:color="auto" w:val="clear"/>
        </w:rPr>
        <w:t>、2（</w:t>
      </w:r>
      <w:r>
        <w:rPr>
          <w:color w:val="000000"/>
          <w:spacing w:val="-5"/>
          <w:shd w:fill="D9D9D9" w:color="auto" w:val="clear"/>
        </w:rPr>
        <w:t>原位癌</w:t>
      </w:r>
    </w:p>
    <w:p>
      <w:pPr>
        <w:spacing w:after="0"/>
        <w:sectPr>
          <w:pgSz w:w="11910" w:h="16840"/>
          <w:pgMar w:top="1080" w:bottom="280" w:left="920" w:right="820"/>
        </w:sectPr>
      </w:pPr>
    </w:p>
    <w:tbl>
      <w:tblPr>
        <w:tblW w:w="0" w:type="auto"/>
        <w:jc w:val="left"/>
        <w:tblInd w:w="2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38"/>
        <w:gridCol w:w="212"/>
        <w:gridCol w:w="3778"/>
        <w:gridCol w:w="341"/>
      </w:tblGrid>
      <w:tr>
        <w:trPr>
          <w:trHeight w:val="272" w:hRule="atLeast"/>
        </w:trPr>
        <w:tc>
          <w:tcPr>
            <w:tcW w:w="3150" w:type="dxa"/>
            <w:gridSpan w:val="2"/>
            <w:tcBorders>
              <w:bottom w:val="single" w:sz="18" w:space="0" w:color="FFFFFF"/>
            </w:tcBorders>
            <w:shd w:val="clear" w:color="auto" w:fill="D9D9D9"/>
          </w:tcPr>
          <w:p>
            <w:pPr>
              <w:pStyle w:val="TableParagraph"/>
              <w:spacing w:line="253" w:lineRule="exact"/>
              <w:ind w:left="0" w:right="-15"/>
              <w:rPr>
                <w:sz w:val="21"/>
              </w:rPr>
            </w:pPr>
            <w:r>
              <w:rPr>
                <w:spacing w:val="-2"/>
                <w:sz w:val="21"/>
              </w:rPr>
              <w:t>和非侵袭性癌）</w:t>
            </w:r>
            <w:r>
              <w:rPr>
                <w:spacing w:val="-4"/>
                <w:sz w:val="21"/>
              </w:rPr>
              <w:t>范畴的疾病，如：</w:t>
            </w:r>
          </w:p>
        </w:tc>
        <w:tc>
          <w:tcPr>
            <w:tcW w:w="4119" w:type="dxa"/>
            <w:gridSpan w:val="2"/>
            <w:tcBorders>
              <w:bottom w:val="single" w:sz="18" w:space="0" w:color="FFFFFF"/>
            </w:tcBorders>
          </w:tcPr>
          <w:p>
            <w:pPr>
              <w:pStyle w:val="TableParagraph"/>
              <w:ind w:left="0"/>
              <w:rPr>
                <w:rFonts w:ascii="Times New Roman"/>
                <w:sz w:val="20"/>
              </w:rPr>
            </w:pPr>
          </w:p>
        </w:tc>
      </w:tr>
      <w:tr>
        <w:trPr>
          <w:trHeight w:val="266" w:hRule="atLeast"/>
        </w:trPr>
        <w:tc>
          <w:tcPr>
            <w:tcW w:w="7269" w:type="dxa"/>
            <w:gridSpan w:val="4"/>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4"/>
                <w:sz w:val="21"/>
              </w:rPr>
              <w:t>a.</w:t>
            </w:r>
            <w:r>
              <w:rPr>
                <w:spacing w:val="-5"/>
                <w:sz w:val="21"/>
              </w:rPr>
              <w:t>原位癌，癌前病变，非浸润性癌，非侵袭性癌，肿瘤细胞未侵犯基底层，上皮</w:t>
            </w:r>
          </w:p>
        </w:tc>
      </w:tr>
      <w:tr>
        <w:trPr>
          <w:trHeight w:val="267" w:hRule="atLeast"/>
        </w:trPr>
        <w:tc>
          <w:tcPr>
            <w:tcW w:w="2938" w:type="dxa"/>
            <w:tcBorders>
              <w:top w:val="single" w:sz="18" w:space="0" w:color="FFFFFF"/>
              <w:bottom w:val="single" w:sz="18" w:space="0" w:color="FFFFFF"/>
            </w:tcBorders>
            <w:shd w:val="clear" w:color="auto" w:fill="D9D9D9"/>
          </w:tcPr>
          <w:p>
            <w:pPr>
              <w:pStyle w:val="TableParagraph"/>
              <w:spacing w:line="247" w:lineRule="exact"/>
              <w:ind w:left="0" w:right="-15"/>
              <w:rPr>
                <w:sz w:val="21"/>
              </w:rPr>
            </w:pPr>
            <w:r>
              <w:rPr>
                <w:spacing w:val="-3"/>
                <w:sz w:val="21"/>
              </w:rPr>
              <w:t>内瘤变，细胞不典型性增生等；</w:t>
            </w:r>
          </w:p>
        </w:tc>
        <w:tc>
          <w:tcPr>
            <w:tcW w:w="4331" w:type="dxa"/>
            <w:gridSpan w:val="3"/>
            <w:tcBorders>
              <w:top w:val="single" w:sz="18" w:space="0" w:color="FFFFFF"/>
              <w:bottom w:val="single" w:sz="18" w:space="0" w:color="FFFFFF"/>
            </w:tcBorders>
          </w:tcPr>
          <w:p>
            <w:pPr>
              <w:pStyle w:val="TableParagraph"/>
              <w:ind w:left="0"/>
              <w:rPr>
                <w:rFonts w:ascii="Times New Roman"/>
                <w:sz w:val="18"/>
              </w:rPr>
            </w:pPr>
          </w:p>
        </w:tc>
      </w:tr>
      <w:tr>
        <w:trPr>
          <w:trHeight w:val="272" w:hRule="atLeast"/>
        </w:trPr>
        <w:tc>
          <w:tcPr>
            <w:tcW w:w="6928" w:type="dxa"/>
            <w:gridSpan w:val="3"/>
            <w:tcBorders>
              <w:top w:val="single" w:sz="18" w:space="0" w:color="FFFFFF"/>
            </w:tcBorders>
            <w:shd w:val="clear" w:color="auto" w:fill="D9D9D9"/>
          </w:tcPr>
          <w:p>
            <w:pPr>
              <w:pStyle w:val="TableParagraph"/>
              <w:spacing w:line="253" w:lineRule="exact"/>
              <w:ind w:left="0" w:right="-15"/>
              <w:rPr>
                <w:sz w:val="21"/>
              </w:rPr>
            </w:pPr>
            <w:r>
              <w:rPr>
                <w:spacing w:val="-2"/>
                <w:sz w:val="21"/>
              </w:rPr>
              <w:t>b.</w:t>
            </w:r>
            <w:r>
              <w:rPr>
                <w:spacing w:val="-3"/>
                <w:sz w:val="21"/>
              </w:rPr>
              <w:t>交界性肿瘤，交界恶性肿瘤，肿瘤低度恶性潜能，潜在低度恶性肿瘤等。</w:t>
            </w:r>
          </w:p>
        </w:tc>
        <w:tc>
          <w:tcPr>
            <w:tcW w:w="341" w:type="dxa"/>
            <w:tcBorders>
              <w:top w:val="single" w:sz="18" w:space="0" w:color="FFFFFF"/>
            </w:tcBorders>
          </w:tcPr>
          <w:p>
            <w:pPr>
              <w:pStyle w:val="TableParagraph"/>
              <w:ind w:left="0"/>
              <w:rPr>
                <w:rFonts w:ascii="Times New Roman"/>
                <w:sz w:val="20"/>
              </w:rPr>
            </w:pPr>
          </w:p>
        </w:tc>
      </w:tr>
    </w:tbl>
    <w:p>
      <w:pPr>
        <w:pStyle w:val="BodyText"/>
        <w:spacing w:before="6"/>
      </w:pPr>
    </w:p>
    <w:p>
      <w:pPr>
        <w:pStyle w:val="Heading3"/>
        <w:spacing w:before="5"/>
        <w:ind w:left="2588"/>
      </w:pPr>
      <w:r>
        <w:rPr/>
        <w:t>（二）</w:t>
      </w:r>
      <w:r>
        <w:rPr>
          <w:spacing w:val="-2"/>
        </w:rPr>
        <w:t>较轻急性心肌梗死</w:t>
      </w:r>
    </w:p>
    <w:p>
      <w:pPr>
        <w:pStyle w:val="BodyText"/>
        <w:spacing w:line="278" w:lineRule="auto"/>
        <w:ind w:left="2588" w:right="219"/>
      </w:pPr>
      <w:r>
        <w:rPr>
          <w:w w:val="100"/>
        </w:rPr>
        <w:t>急性心肌梗死指由于冠状动脉闭塞或梗阻引起部分心肌严重的持久性缺血造成</w:t>
      </w:r>
      <w:r>
        <w:rPr>
          <w:spacing w:val="-3"/>
          <w:w w:val="100"/>
        </w:rPr>
        <w:t>急性心肌坏死。急性心肌梗死的诊断必须依据国际国内诊断标准，符合</w:t>
      </w:r>
      <w:r>
        <w:rPr>
          <w:w w:val="100"/>
        </w:rPr>
        <w:t>（1）检测到肌酸激酶同工酶（CK</w:t>
      </w:r>
      <w:r>
        <w:rPr>
          <w:spacing w:val="-5"/>
          <w:w w:val="100"/>
        </w:rPr>
        <w:t>-</w:t>
      </w:r>
      <w:r>
        <w:rPr>
          <w:w w:val="100"/>
        </w:rPr>
        <w:t>MB）或肌钙蛋白（cT</w:t>
      </w:r>
      <w:r>
        <w:rPr>
          <w:spacing w:val="-5"/>
          <w:w w:val="100"/>
        </w:rPr>
        <w:t>n</w:t>
      </w:r>
      <w:r>
        <w:rPr>
          <w:w w:val="100"/>
        </w:rPr>
        <w:t>）</w:t>
      </w:r>
      <w:r>
        <w:rPr>
          <w:spacing w:val="-2"/>
          <w:w w:val="100"/>
        </w:rPr>
        <w:t>升高和/或降低的动态变化，</w:t>
      </w:r>
      <w:r>
        <w:rPr>
          <w:spacing w:val="-11"/>
          <w:w w:val="100"/>
        </w:rPr>
        <w:t>至少一次达到或超过心肌梗死的临床诊断标准；</w:t>
      </w:r>
      <w:r>
        <w:rPr>
          <w:w w:val="100"/>
        </w:rPr>
        <w:t>（2</w:t>
      </w:r>
      <w:r>
        <w:rPr>
          <w:spacing w:val="-5"/>
          <w:w w:val="100"/>
        </w:rPr>
        <w:t>）</w:t>
      </w:r>
      <w:r>
        <w:rPr>
          <w:spacing w:val="-4"/>
          <w:w w:val="100"/>
        </w:rPr>
        <w:t>同时存在下列之一的证据，</w:t>
      </w:r>
      <w:r>
        <w:rPr>
          <w:spacing w:val="-8"/>
          <w:w w:val="100"/>
        </w:rPr>
        <w:t>包括：缺血性胸痛症状、新发生的缺血性心电图改变、新生成的病理性</w:t>
      </w:r>
      <w:r>
        <w:rPr>
          <w:spacing w:val="-57"/>
        </w:rPr>
        <w:t> </w:t>
      </w:r>
      <w:r>
        <w:rPr>
          <w:w w:val="100"/>
        </w:rPr>
        <w:t>Q</w:t>
      </w:r>
      <w:r>
        <w:rPr>
          <w:spacing w:val="-53"/>
        </w:rPr>
        <w:t> </w:t>
      </w:r>
      <w:r>
        <w:rPr>
          <w:spacing w:val="-8"/>
          <w:w w:val="100"/>
        </w:rPr>
        <w:t>波、影</w:t>
      </w:r>
      <w:r>
        <w:rPr>
          <w:spacing w:val="-9"/>
          <w:w w:val="100"/>
        </w:rPr>
        <w:t>像学证据显示有新出现的心肌活性丧失或新出现局部室壁运动异常、冠脉造影证</w:t>
      </w:r>
      <w:r>
        <w:rPr>
          <w:spacing w:val="-7"/>
          <w:w w:val="100"/>
        </w:rPr>
        <w:t>实存在冠状动脉血栓。</w:t>
      </w:r>
    </w:p>
    <w:p>
      <w:pPr>
        <w:pStyle w:val="BodyText"/>
        <w:spacing w:line="278" w:lineRule="auto"/>
        <w:ind w:left="2588" w:right="301"/>
      </w:pPr>
      <w:r>
        <w:rPr>
          <w:spacing w:val="-4"/>
        </w:rPr>
        <w:t>较轻急性心肌梗死指依照上述标准被明确诊断为急性心肌梗死，但未达到“较重</w:t>
      </w:r>
      <w:r>
        <w:rPr>
          <w:spacing w:val="-2"/>
        </w:rPr>
        <w:t>急性心肌梗死”的给付标准。</w:t>
      </w:r>
    </w:p>
    <w:p>
      <w:pPr>
        <w:pStyle w:val="BodyText"/>
        <w:ind w:left="2588"/>
      </w:pPr>
      <w:r>
        <w:rPr>
          <w:color w:val="000000"/>
          <w:spacing w:val="-2"/>
          <w:shd w:fill="D9D9D9" w:color="auto" w:val="clear"/>
        </w:rPr>
        <w:t>其他非冠状动脉阻塞性疾病引起的肌钙蛋白（cTn）</w:t>
      </w:r>
      <w:r>
        <w:rPr>
          <w:color w:val="000000"/>
          <w:spacing w:val="-3"/>
          <w:shd w:fill="D9D9D9" w:color="auto" w:val="clear"/>
        </w:rPr>
        <w:t>升高不在保障范围内。</w:t>
      </w:r>
    </w:p>
    <w:p>
      <w:pPr>
        <w:pStyle w:val="BodyText"/>
        <w:spacing w:before="9"/>
      </w:pPr>
    </w:p>
    <w:p>
      <w:pPr>
        <w:pStyle w:val="BodyText"/>
        <w:spacing w:line="278" w:lineRule="auto" w:before="72"/>
        <w:ind w:left="2588" w:right="430"/>
        <w:jc w:val="both"/>
      </w:pPr>
      <w:r>
        <w:rPr>
          <w:color w:val="000000"/>
          <w:spacing w:val="-17"/>
          <w:shd w:fill="D9D9D9" w:color="auto" w:val="clear"/>
        </w:rPr>
        <w:t>本公司对“较轻急性心肌梗死”、“激光心肌血运重建术”和“冠状动脉介入手</w:t>
      </w:r>
      <w:r>
        <w:rPr>
          <w:color w:val="000000"/>
          <w:spacing w:val="40"/>
          <w:shd w:fill="D9D9D9" w:color="auto" w:val="clear"/>
        </w:rPr>
        <w:t> </w:t>
      </w:r>
      <w:r>
        <w:rPr>
          <w:color w:val="000000"/>
          <w:spacing w:val="-2"/>
          <w:shd w:fill="D9D9D9" w:color="auto" w:val="clear"/>
        </w:rPr>
        <w:t>术”三项中的其中一项承担保险责任，给付其中一项保险金后，对另外两项轻</w:t>
      </w:r>
      <w:r>
        <w:rPr>
          <w:color w:val="000000"/>
          <w:spacing w:val="-2"/>
          <w:shd w:fill="D9D9D9" w:color="auto" w:val="clear"/>
        </w:rPr>
        <w:t>症疾病保险责任同时终止。</w:t>
      </w:r>
    </w:p>
    <w:p>
      <w:pPr>
        <w:pStyle w:val="BodyText"/>
        <w:spacing w:before="1"/>
        <w:rPr>
          <w:sz w:val="19"/>
        </w:rPr>
      </w:pPr>
    </w:p>
    <w:p>
      <w:pPr>
        <w:pStyle w:val="Heading3"/>
        <w:ind w:left="2588"/>
      </w:pPr>
      <w:r>
        <w:rPr/>
        <w:t>（三）</w:t>
      </w:r>
      <w:r>
        <w:rPr>
          <w:spacing w:val="-2"/>
        </w:rPr>
        <w:t>轻度脑中风后遗症</w:t>
      </w:r>
    </w:p>
    <w:p>
      <w:pPr>
        <w:pStyle w:val="BodyText"/>
        <w:spacing w:line="278" w:lineRule="auto"/>
        <w:ind w:left="2588" w:right="195"/>
      </w:pPr>
      <w:r>
        <w:rPr>
          <w:spacing w:val="-7"/>
          <w:w w:val="100"/>
        </w:rPr>
        <w:t>指因脑血管的突发病变引起脑血管出血、栓塞或梗塞，须由头颅断层扫描</w:t>
      </w:r>
      <w:r>
        <w:rPr>
          <w:w w:val="100"/>
        </w:rPr>
        <w:t>（CT</w:t>
      </w:r>
      <w:r>
        <w:rPr>
          <w:spacing w:val="-106"/>
          <w:w w:val="100"/>
        </w:rPr>
        <w:t>）</w:t>
      </w:r>
      <w:r>
        <w:rPr>
          <w:spacing w:val="-15"/>
          <w:w w:val="100"/>
        </w:rPr>
        <w:t>、</w:t>
      </w:r>
      <w:r>
        <w:rPr>
          <w:w w:val="100"/>
        </w:rPr>
        <w:t>核磁共振检查（MRI）</w:t>
      </w:r>
      <w:r>
        <w:rPr>
          <w:spacing w:val="-3"/>
          <w:w w:val="100"/>
        </w:rPr>
        <w:t>等影像学检查证实，并导致神经系统永久性的功能障碍，</w:t>
      </w:r>
      <w:r>
        <w:rPr>
          <w:spacing w:val="-8"/>
          <w:w w:val="100"/>
        </w:rPr>
        <w:t>但未达到“严重脑中风后遗症”的给付标准，在疾病确诊</w:t>
      </w:r>
      <w:r>
        <w:rPr>
          <w:spacing w:val="-53"/>
        </w:rPr>
        <w:t> </w:t>
      </w:r>
      <w:r>
        <w:rPr>
          <w:w w:val="100"/>
        </w:rPr>
        <w:t>180</w:t>
      </w:r>
      <w:r>
        <w:rPr>
          <w:spacing w:val="-53"/>
        </w:rPr>
        <w:t> </w:t>
      </w:r>
      <w:r>
        <w:rPr>
          <w:spacing w:val="-6"/>
          <w:w w:val="100"/>
        </w:rPr>
        <w:t>天后，仍遗留下列</w:t>
      </w:r>
      <w:r>
        <w:rPr>
          <w:spacing w:val="-5"/>
          <w:w w:val="100"/>
        </w:rPr>
        <w:t>至少一种障碍：</w:t>
      </w:r>
    </w:p>
    <w:p>
      <w:pPr>
        <w:pStyle w:val="ListParagraph"/>
        <w:numPr>
          <w:ilvl w:val="0"/>
          <w:numId w:val="75"/>
        </w:numPr>
        <w:tabs>
          <w:tab w:pos="3118" w:val="left" w:leader="none"/>
        </w:tabs>
        <w:spacing w:line="248" w:lineRule="exact" w:before="0" w:after="0"/>
        <w:ind w:left="3117" w:right="0" w:hanging="530"/>
        <w:jc w:val="left"/>
        <w:rPr>
          <w:sz w:val="21"/>
        </w:rPr>
      </w:pPr>
      <w:r>
        <w:rPr>
          <w:spacing w:val="-2"/>
          <w:sz w:val="21"/>
        </w:rPr>
        <w:t>一肢（含）</w:t>
      </w:r>
      <w:r>
        <w:rPr>
          <w:spacing w:val="-8"/>
          <w:sz w:val="21"/>
        </w:rPr>
        <w:t>以上肢体肌力为 </w:t>
      </w:r>
      <w:r>
        <w:rPr>
          <w:spacing w:val="-2"/>
          <w:sz w:val="21"/>
        </w:rPr>
        <w:t>3</w:t>
      </w:r>
      <w:r>
        <w:rPr>
          <w:spacing w:val="-20"/>
          <w:sz w:val="21"/>
        </w:rPr>
        <w:t> 级；</w:t>
      </w:r>
    </w:p>
    <w:p>
      <w:pPr>
        <w:spacing w:line="31" w:lineRule="exact" w:before="0"/>
        <w:ind w:left="2627" w:right="0" w:firstLine="0"/>
        <w:jc w:val="left"/>
        <w:rPr>
          <w:sz w:val="4"/>
        </w:rPr>
      </w:pPr>
      <w:r>
        <w:rPr>
          <w:w w:val="72"/>
          <w:sz w:val="4"/>
        </w:rPr>
        <w:t>●</w:t>
      </w:r>
    </w:p>
    <w:p>
      <w:pPr>
        <w:pStyle w:val="ListParagraph"/>
        <w:numPr>
          <w:ilvl w:val="0"/>
          <w:numId w:val="75"/>
        </w:numPr>
        <w:tabs>
          <w:tab w:pos="3118" w:val="left" w:leader="none"/>
        </w:tabs>
        <w:spacing w:line="240" w:lineRule="auto" w:before="29" w:after="0"/>
        <w:ind w:left="3117" w:right="0" w:hanging="530"/>
        <w:jc w:val="left"/>
        <w:rPr>
          <w:sz w:val="21"/>
        </w:rPr>
      </w:pPr>
      <w:r>
        <w:rPr>
          <w:spacing w:val="-3"/>
          <w:sz w:val="21"/>
        </w:rPr>
        <w:t>自主生活能力部分丧失，无法独立完成六项基本日常生活活动中的两项。</w:t>
      </w:r>
    </w:p>
    <w:p>
      <w:pPr>
        <w:pStyle w:val="BodyText"/>
        <w:spacing w:before="7"/>
        <w:rPr>
          <w:sz w:val="26"/>
        </w:rPr>
      </w:pPr>
    </w:p>
    <w:p>
      <w:pPr>
        <w:pStyle w:val="Heading3"/>
        <w:spacing w:line="194" w:lineRule="auto"/>
        <w:ind w:left="2588" w:right="301"/>
        <w:jc w:val="both"/>
      </w:pPr>
      <w:r>
        <w:rPr>
          <w:w w:val="100"/>
        </w:rPr>
        <w:t>以下轻症疾病定义是本公司在中国保险行业协会与中国医师协会联合发布《重</w:t>
      </w:r>
      <w:r>
        <w:rPr>
          <w:spacing w:val="-3"/>
          <w:w w:val="100"/>
        </w:rPr>
        <w:t>大疾病保险的疾病定义使用规范</w:t>
      </w:r>
      <w:r>
        <w:rPr>
          <w:w w:val="87"/>
        </w:rPr>
        <w:t>（2020</w:t>
      </w:r>
      <w:r>
        <w:rPr>
          <w:spacing w:val="-10"/>
        </w:rPr>
        <w:t> </w:t>
      </w:r>
      <w:r>
        <w:rPr>
          <w:spacing w:val="-2"/>
          <w:w w:val="100"/>
        </w:rPr>
        <w:t>年修订版</w:t>
      </w:r>
      <w:r>
        <w:rPr>
          <w:spacing w:val="-106"/>
          <w:w w:val="100"/>
        </w:rPr>
        <w:t>）</w:t>
      </w:r>
      <w:r>
        <w:rPr>
          <w:spacing w:val="-7"/>
          <w:w w:val="100"/>
        </w:rPr>
        <w:t>》的轻度疾病定义种类范围以</w:t>
      </w:r>
      <w:r>
        <w:rPr>
          <w:w w:val="100"/>
        </w:rPr>
        <w:t>外增加的疾病定义。</w:t>
      </w:r>
    </w:p>
    <w:p>
      <w:pPr>
        <w:pStyle w:val="BodyText"/>
        <w:spacing w:before="15"/>
        <w:rPr>
          <w:rFonts w:ascii="微软雅黑"/>
          <w:b/>
          <w:sz w:val="13"/>
        </w:rPr>
      </w:pPr>
    </w:p>
    <w:p>
      <w:pPr>
        <w:spacing w:line="320" w:lineRule="exact" w:before="0"/>
        <w:ind w:left="2588" w:right="0" w:firstLine="0"/>
        <w:jc w:val="left"/>
        <w:rPr>
          <w:rFonts w:ascii="微软雅黑" w:eastAsia="微软雅黑"/>
          <w:b/>
          <w:sz w:val="21"/>
        </w:rPr>
      </w:pPr>
      <w:r>
        <w:rPr>
          <w:rFonts w:ascii="微软雅黑" w:eastAsia="微软雅黑"/>
          <w:b/>
          <w:sz w:val="21"/>
        </w:rPr>
        <w:t>（四）</w:t>
      </w:r>
      <w:r>
        <w:rPr>
          <w:rFonts w:ascii="微软雅黑" w:eastAsia="微软雅黑"/>
          <w:b/>
          <w:spacing w:val="-2"/>
          <w:sz w:val="21"/>
        </w:rPr>
        <w:t>激光心肌血运重建术</w:t>
      </w:r>
    </w:p>
    <w:p>
      <w:pPr>
        <w:spacing w:line="26" w:lineRule="exact" w:before="0"/>
        <w:ind w:left="0" w:right="654" w:firstLine="0"/>
        <w:jc w:val="center"/>
        <w:rPr>
          <w:sz w:val="4"/>
        </w:rPr>
      </w:pPr>
      <w:r>
        <w:rPr>
          <w:w w:val="72"/>
          <w:sz w:val="4"/>
        </w:rPr>
        <w:t>●</w:t>
      </w:r>
    </w:p>
    <w:p>
      <w:pPr>
        <w:pStyle w:val="BodyText"/>
        <w:spacing w:line="278" w:lineRule="auto" w:before="33"/>
        <w:ind w:left="2588" w:right="301"/>
        <w:jc w:val="both"/>
      </w:pPr>
      <w:r>
        <w:rPr>
          <w:spacing w:val="-4"/>
        </w:rPr>
        <w:t>指患有顽固性心绞痛，经持续药物治疗后无改善，冠状动脉搭桥手术及经皮血管</w:t>
      </w:r>
      <w:r>
        <w:rPr>
          <w:spacing w:val="-7"/>
        </w:rPr>
        <w:t>成形手术已失败或者被认为不适合。在本公司认可医院内实际进行了开胸手术下</w:t>
      </w:r>
      <w:r>
        <w:rPr>
          <w:spacing w:val="-4"/>
        </w:rPr>
        <w:t>或者胸腔镜下的激光心肌血运重建术。并且未达到本合同所指重大疾病“较重急</w:t>
      </w:r>
      <w:r>
        <w:rPr>
          <w:spacing w:val="-2"/>
        </w:rPr>
        <w:t>性心肌梗死”的给付标准。</w:t>
      </w:r>
    </w:p>
    <w:p>
      <w:pPr>
        <w:pStyle w:val="BodyText"/>
        <w:spacing w:before="10"/>
        <w:rPr>
          <w:sz w:val="18"/>
        </w:rPr>
      </w:pPr>
    </w:p>
    <w:p>
      <w:pPr>
        <w:pStyle w:val="BodyText"/>
        <w:spacing w:line="278" w:lineRule="auto" w:before="71"/>
        <w:ind w:left="2588" w:right="195"/>
      </w:pPr>
      <w:r>
        <w:rPr/>
        <w:drawing>
          <wp:anchor distT="0" distB="0" distL="0" distR="0" allowOverlap="1" layoutInCell="1" locked="0" behindDoc="1" simplePos="0" relativeHeight="485660672">
            <wp:simplePos x="0" y="0"/>
            <wp:positionH relativeFrom="page">
              <wp:posOffset>2228088</wp:posOffset>
            </wp:positionH>
            <wp:positionV relativeFrom="paragraph">
              <wp:posOffset>437466</wp:posOffset>
            </wp:positionV>
            <wp:extent cx="1200912" cy="176783"/>
            <wp:effectExtent l="0" t="0" r="0" b="0"/>
            <wp:wrapNone/>
            <wp:docPr id="67" name="image14.png"/>
            <wp:cNvGraphicFramePr>
              <a:graphicFrameLocks noChangeAspect="1"/>
            </wp:cNvGraphicFramePr>
            <a:graphic>
              <a:graphicData uri="http://schemas.openxmlformats.org/drawingml/2006/picture">
                <pic:pic>
                  <pic:nvPicPr>
                    <pic:cNvPr id="68" name="image14.png"/>
                    <pic:cNvPicPr/>
                  </pic:nvPicPr>
                  <pic:blipFill>
                    <a:blip r:embed="rId18" cstate="print"/>
                    <a:stretch>
                      <a:fillRect/>
                    </a:stretch>
                  </pic:blipFill>
                  <pic:spPr>
                    <a:xfrm>
                      <a:off x="0" y="0"/>
                      <a:ext cx="1200912" cy="176783"/>
                    </a:xfrm>
                    <a:prstGeom prst="rect">
                      <a:avLst/>
                    </a:prstGeom>
                  </pic:spPr>
                </pic:pic>
              </a:graphicData>
            </a:graphic>
          </wp:anchor>
        </w:drawing>
      </w:r>
      <w:r>
        <w:rPr/>
        <w:pict>
          <v:shape style="position:absolute;margin-left:175.440002pt;margin-top:34.446167pt;width:94.6pt;height:13.95pt;mso-position-horizontal-relative:page;mso-position-vertical-relative:paragraph;z-index:-17655296" type="#_x0000_t202" id="docshape154" filled="false" stroked="false">
            <v:textbox inset="0,0,0,0">
              <w:txbxContent>
                <w:p>
                  <w:pPr>
                    <w:pStyle w:val="BodyText"/>
                    <w:spacing w:line="248" w:lineRule="exact" w:before="6"/>
                    <w:ind w:right="-15"/>
                  </w:pPr>
                  <w:r>
                    <w:rPr>
                      <w:spacing w:val="-3"/>
                    </w:rPr>
                    <w:t>保险责任同时终止。</w:t>
                  </w:r>
                </w:p>
                <w:p>
                  <w:pPr>
                    <w:spacing w:line="24" w:lineRule="exact" w:before="0"/>
                    <w:ind w:left="0" w:right="516" w:firstLine="0"/>
                    <w:jc w:val="center"/>
                    <w:rPr>
                      <w:sz w:val="4"/>
                    </w:rPr>
                  </w:pPr>
                  <w:r>
                    <w:rPr>
                      <w:w w:val="72"/>
                      <w:sz w:val="4"/>
                    </w:rPr>
                    <w:t>●</w:t>
                  </w:r>
                </w:p>
              </w:txbxContent>
            </v:textbox>
            <w10:wrap type="none"/>
          </v:shape>
        </w:pict>
      </w:r>
      <w:r>
        <w:rPr>
          <w:color w:val="000000"/>
          <w:spacing w:val="-12"/>
          <w:shd w:fill="D9D9D9" w:color="auto" w:val="clear"/>
        </w:rPr>
        <w:t>本公司对“较轻急性心肌梗死”</w:t>
      </w:r>
      <w:r>
        <w:rPr>
          <w:color w:val="000000"/>
          <w:spacing w:val="-18"/>
          <w:shd w:fill="D9D9D9" w:color="auto" w:val="clear"/>
        </w:rPr>
        <w:t>、“激光心肌血运重建术”和“冠状动脉介入手术”</w:t>
      </w:r>
      <w:r>
        <w:rPr>
          <w:color w:val="000000"/>
          <w:spacing w:val="80"/>
          <w:w w:val="150"/>
          <w:shd w:fill="D9D9D9" w:color="auto" w:val="clear"/>
        </w:rPr>
        <w:t>                                        </w:t>
      </w:r>
      <w:r>
        <w:rPr>
          <w:color w:val="000000"/>
          <w:spacing w:val="-2"/>
          <w:shd w:fill="D9D9D9" w:color="auto" w:val="clear"/>
        </w:rPr>
        <w:t>三项中的其中一项承担保险责任，给付其中一项保险金后，对另外两项轻症疾病</w:t>
      </w:r>
    </w:p>
    <w:p>
      <w:pPr>
        <w:pStyle w:val="BodyText"/>
        <w:spacing w:before="4"/>
      </w:pPr>
    </w:p>
    <w:p>
      <w:pPr>
        <w:pStyle w:val="Heading3"/>
        <w:spacing w:before="5"/>
        <w:ind w:left="2588"/>
      </w:pPr>
      <w:r>
        <w:rPr/>
        <w:t>（五）</w:t>
      </w:r>
      <w:r>
        <w:rPr>
          <w:spacing w:val="-1"/>
        </w:rPr>
        <w:t>病毒性肝炎导致的肝硬化</w:t>
      </w:r>
    </w:p>
    <w:p>
      <w:pPr>
        <w:pStyle w:val="BodyText"/>
        <w:spacing w:line="278" w:lineRule="auto"/>
        <w:ind w:left="2588" w:right="301"/>
      </w:pPr>
      <w:r>
        <w:rPr>
          <w:spacing w:val="-6"/>
        </w:rPr>
        <w:t>因肝炎病毒感染的肝脏慢性炎症并发展为肝硬化。且未达到本合同所指重大疾病</w:t>
      </w:r>
      <w:r>
        <w:rPr>
          <w:spacing w:val="-2"/>
        </w:rPr>
        <w:t> </w:t>
      </w:r>
      <w:r>
        <w:rPr/>
        <w:t>“严重慢性肝衰竭 ”的给付标准。理赔时须满足下列全部条件：</w:t>
      </w:r>
    </w:p>
    <w:p>
      <w:pPr>
        <w:spacing w:after="0" w:line="278" w:lineRule="auto"/>
        <w:sectPr>
          <w:pgSz w:w="11910" w:h="16840"/>
          <w:pgMar w:top="1140" w:bottom="280" w:left="920" w:right="820"/>
        </w:sectPr>
      </w:pPr>
    </w:p>
    <w:p>
      <w:pPr>
        <w:pStyle w:val="ListParagraph"/>
        <w:numPr>
          <w:ilvl w:val="0"/>
          <w:numId w:val="76"/>
        </w:numPr>
        <w:tabs>
          <w:tab w:pos="3118" w:val="left" w:leader="none"/>
        </w:tabs>
        <w:spacing w:line="240" w:lineRule="auto" w:before="59" w:after="0"/>
        <w:ind w:left="3117" w:right="0" w:hanging="530"/>
        <w:jc w:val="left"/>
        <w:rPr>
          <w:sz w:val="21"/>
        </w:rPr>
      </w:pPr>
      <w:r>
        <w:rPr>
          <w:spacing w:val="-3"/>
          <w:sz w:val="21"/>
        </w:rPr>
        <w:t>被保人有感染慢性肝炎病毒的血清学及实验室检查报告等临床证据；</w:t>
      </w:r>
    </w:p>
    <w:p>
      <w:pPr>
        <w:pStyle w:val="ListParagraph"/>
        <w:numPr>
          <w:ilvl w:val="0"/>
          <w:numId w:val="76"/>
        </w:numPr>
        <w:tabs>
          <w:tab w:pos="3118" w:val="left" w:leader="none"/>
        </w:tabs>
        <w:spacing w:line="278" w:lineRule="auto" w:before="43" w:after="0"/>
        <w:ind w:left="2588" w:right="296" w:firstLine="0"/>
        <w:jc w:val="left"/>
        <w:rPr>
          <w:sz w:val="21"/>
        </w:rPr>
      </w:pPr>
      <w:r>
        <w:rPr>
          <w:spacing w:val="-2"/>
          <w:sz w:val="21"/>
        </w:rPr>
        <w:t>必须由本公司认可医院的消化科专科医生基于肝脏组织病理学检查报告、</w:t>
      </w:r>
      <w:r>
        <w:rPr>
          <w:spacing w:val="-2"/>
          <w:sz w:val="21"/>
        </w:rPr>
        <w:t>临床表现及病史对肝炎病毒感染导致肝硬化作出明确诊断；</w:t>
      </w:r>
    </w:p>
    <w:p>
      <w:pPr>
        <w:pStyle w:val="ListParagraph"/>
        <w:numPr>
          <w:ilvl w:val="0"/>
          <w:numId w:val="76"/>
        </w:numPr>
        <w:tabs>
          <w:tab w:pos="3118" w:val="left" w:leader="none"/>
        </w:tabs>
        <w:spacing w:line="278" w:lineRule="auto" w:before="0" w:after="0"/>
        <w:ind w:left="2588" w:right="301" w:firstLine="0"/>
        <w:jc w:val="left"/>
        <w:rPr>
          <w:sz w:val="21"/>
        </w:rPr>
      </w:pPr>
      <w:r>
        <w:rPr>
          <w:spacing w:val="-2"/>
          <w:sz w:val="21"/>
        </w:rPr>
        <w:t>病理学检查报告证明肝脏病变按 </w:t>
      </w:r>
      <w:r>
        <w:rPr>
          <w:sz w:val="21"/>
        </w:rPr>
        <w:t>Metavir</w:t>
      </w:r>
      <w:r>
        <w:rPr>
          <w:spacing w:val="-8"/>
          <w:sz w:val="21"/>
        </w:rPr>
        <w:t> 分级表中属 </w:t>
      </w:r>
      <w:r>
        <w:rPr>
          <w:sz w:val="21"/>
        </w:rPr>
        <w:t>F4</w:t>
      </w:r>
      <w:r>
        <w:rPr>
          <w:spacing w:val="-10"/>
          <w:sz w:val="21"/>
        </w:rPr>
        <w:t> 阶段或 </w:t>
      </w:r>
      <w:r>
        <w:rPr>
          <w:sz w:val="21"/>
        </w:rPr>
        <w:t>Knodell </w:t>
      </w:r>
      <w:r>
        <w:rPr>
          <w:spacing w:val="-3"/>
          <w:sz w:val="21"/>
        </w:rPr>
        <w:t>肝纤维化标准达到 </w:t>
      </w:r>
      <w:r>
        <w:rPr>
          <w:sz w:val="21"/>
        </w:rPr>
        <w:t>4</w:t>
      </w:r>
      <w:r>
        <w:rPr>
          <w:spacing w:val="-8"/>
          <w:sz w:val="21"/>
        </w:rPr>
        <w:t> 分。</w:t>
      </w:r>
    </w:p>
    <w:p>
      <w:pPr>
        <w:pStyle w:val="BodyText"/>
        <w:ind w:left="2588"/>
      </w:pPr>
      <w:r>
        <w:rPr>
          <w:color w:val="000000"/>
          <w:spacing w:val="-3"/>
          <w:shd w:fill="D9D9D9" w:color="auto" w:val="clear"/>
        </w:rPr>
        <w:t>由酒精或药物滥用而引起的本疾病不在保障范围内。</w:t>
      </w:r>
    </w:p>
    <w:p>
      <w:pPr>
        <w:pStyle w:val="BodyText"/>
        <w:spacing w:before="1"/>
        <w:rPr>
          <w:sz w:val="22"/>
        </w:rPr>
      </w:pPr>
    </w:p>
    <w:p>
      <w:pPr>
        <w:pStyle w:val="BodyText"/>
        <w:spacing w:line="278" w:lineRule="auto" w:before="72"/>
        <w:ind w:left="2588" w:right="301"/>
        <w:jc w:val="both"/>
      </w:pPr>
      <w:r>
        <w:rPr>
          <w:color w:val="000000"/>
          <w:spacing w:val="-13"/>
          <w:shd w:fill="D9D9D9" w:color="auto" w:val="clear"/>
        </w:rPr>
        <w:t>本公司对 “病毒性肝炎导致的肝硬化”、“慢性肝功能衰竭”和“肝叶切除”三</w:t>
      </w:r>
      <w:r>
        <w:rPr>
          <w:color w:val="000000"/>
          <w:spacing w:val="40"/>
          <w:shd w:fill="D9D9D9" w:color="auto" w:val="clear"/>
        </w:rPr>
        <w:t> </w:t>
      </w:r>
      <w:r>
        <w:rPr>
          <w:color w:val="000000"/>
          <w:spacing w:val="-4"/>
          <w:shd w:fill="D9D9D9" w:color="auto" w:val="clear"/>
        </w:rPr>
        <w:t>项中的其中一项承担保险责任，给付其中一项保险金后，对另外两项轻症疾病保</w:t>
      </w:r>
      <w:r>
        <w:rPr>
          <w:color w:val="000000"/>
          <w:spacing w:val="-2"/>
          <w:shd w:fill="D9D9D9" w:color="auto" w:val="clear"/>
        </w:rPr>
        <w:t>险责任同时终止。</w:t>
      </w:r>
    </w:p>
    <w:p>
      <w:pPr>
        <w:pStyle w:val="BodyText"/>
        <w:spacing w:before="1"/>
        <w:rPr>
          <w:sz w:val="19"/>
        </w:rPr>
      </w:pPr>
    </w:p>
    <w:p>
      <w:pPr>
        <w:pStyle w:val="Heading3"/>
        <w:ind w:left="2588"/>
      </w:pPr>
      <w:r>
        <w:rPr>
          <w:spacing w:val="-2"/>
        </w:rPr>
        <w:t>（六）</w:t>
      </w:r>
      <w:r>
        <w:rPr>
          <w:spacing w:val="-3"/>
        </w:rPr>
        <w:t>脑垂体瘤、脑囊肿、脑动脉瘤及脑血管瘤</w:t>
      </w:r>
    </w:p>
    <w:p>
      <w:pPr>
        <w:pStyle w:val="BodyText"/>
        <w:spacing w:line="278" w:lineRule="auto"/>
        <w:ind w:left="2588" w:right="195"/>
      </w:pPr>
      <w:r>
        <w:rPr>
          <w:spacing w:val="-2"/>
        </w:rPr>
        <w:t>指经头颅断层扫描</w:t>
      </w:r>
      <w:r>
        <w:rPr>
          <w:spacing w:val="24"/>
        </w:rPr>
        <w:t>（CT</w:t>
      </w:r>
      <w:r>
        <w:rPr>
          <w:spacing w:val="-82"/>
        </w:rPr>
        <w:t>）</w:t>
      </w:r>
      <w:r>
        <w:rPr>
          <w:spacing w:val="-2"/>
        </w:rPr>
        <w:t>、核磁共振检查（MRI）或者其他影像学检查被确诊为下</w:t>
      </w:r>
      <w:r>
        <w:rPr>
          <w:spacing w:val="-15"/>
        </w:rPr>
        <w:t>列病变，并实际接受了手术或者放射治疗，且未达到本合同重大疾病“颅脑手术”</w:t>
      </w:r>
      <w:r>
        <w:rPr>
          <w:spacing w:val="-2"/>
        </w:rPr>
        <w:t>的给付标准。</w:t>
      </w:r>
    </w:p>
    <w:p>
      <w:pPr>
        <w:pStyle w:val="ListParagraph"/>
        <w:numPr>
          <w:ilvl w:val="0"/>
          <w:numId w:val="77"/>
        </w:numPr>
        <w:tabs>
          <w:tab w:pos="3118" w:val="left" w:leader="none"/>
        </w:tabs>
        <w:spacing w:line="269" w:lineRule="exact" w:before="0" w:after="0"/>
        <w:ind w:left="3117" w:right="0" w:hanging="530"/>
        <w:jc w:val="left"/>
        <w:rPr>
          <w:sz w:val="21"/>
        </w:rPr>
      </w:pPr>
      <w:r>
        <w:rPr>
          <w:spacing w:val="-4"/>
          <w:sz w:val="21"/>
        </w:rPr>
        <w:t>脑垂体瘤；</w:t>
      </w:r>
    </w:p>
    <w:p>
      <w:pPr>
        <w:pStyle w:val="ListParagraph"/>
        <w:numPr>
          <w:ilvl w:val="0"/>
          <w:numId w:val="77"/>
        </w:numPr>
        <w:tabs>
          <w:tab w:pos="3118" w:val="left" w:leader="none"/>
        </w:tabs>
        <w:spacing w:line="240" w:lineRule="auto" w:before="39" w:after="0"/>
        <w:ind w:left="3117" w:right="0" w:hanging="530"/>
        <w:jc w:val="left"/>
        <w:rPr>
          <w:sz w:val="21"/>
        </w:rPr>
      </w:pPr>
      <w:r>
        <w:rPr>
          <w:spacing w:val="-4"/>
          <w:sz w:val="21"/>
        </w:rPr>
        <w:t>脑囊肿；</w:t>
      </w:r>
    </w:p>
    <w:p>
      <w:pPr>
        <w:pStyle w:val="ListParagraph"/>
        <w:numPr>
          <w:ilvl w:val="0"/>
          <w:numId w:val="77"/>
        </w:numPr>
        <w:tabs>
          <w:tab w:pos="3118" w:val="left" w:leader="none"/>
        </w:tabs>
        <w:spacing w:line="240" w:lineRule="auto" w:before="42" w:after="0"/>
        <w:ind w:left="3117" w:right="0" w:hanging="530"/>
        <w:jc w:val="left"/>
        <w:rPr>
          <w:sz w:val="21"/>
        </w:rPr>
      </w:pPr>
      <w:r>
        <w:rPr>
          <w:spacing w:val="-3"/>
          <w:sz w:val="21"/>
        </w:rPr>
        <w:t>脑动脉瘤、脑血管瘤。</w:t>
      </w:r>
    </w:p>
    <w:p>
      <w:pPr>
        <w:pStyle w:val="BodyText"/>
        <w:spacing w:before="2"/>
        <w:rPr>
          <w:sz w:val="22"/>
        </w:rPr>
      </w:pPr>
    </w:p>
    <w:p>
      <w:pPr>
        <w:pStyle w:val="BodyText"/>
        <w:spacing w:line="278" w:lineRule="auto" w:before="72"/>
        <w:ind w:left="2588" w:right="296"/>
        <w:jc w:val="both"/>
      </w:pPr>
      <w:r>
        <w:rPr>
          <w:color w:val="000000"/>
          <w:spacing w:val="-9"/>
          <w:shd w:fill="D9D9D9" w:color="auto" w:val="clear"/>
        </w:rPr>
        <w:t>本公司对“脑垂体瘤、脑囊肿、脑动脉瘤及脑血管瘤”</w:t>
      </w:r>
      <w:r>
        <w:rPr>
          <w:color w:val="000000"/>
          <w:spacing w:val="-18"/>
          <w:shd w:fill="D9D9D9" w:color="auto" w:val="clear"/>
        </w:rPr>
        <w:t>、“微创颅脑手术” 和“植</w:t>
      </w:r>
      <w:r>
        <w:rPr>
          <w:color w:val="000000"/>
          <w:spacing w:val="40"/>
          <w:shd w:fill="D9D9D9" w:color="auto" w:val="clear"/>
        </w:rPr>
        <w:t> </w:t>
      </w:r>
      <w:r>
        <w:rPr>
          <w:color w:val="000000"/>
          <w:spacing w:val="-4"/>
          <w:shd w:fill="D9D9D9" w:color="auto" w:val="clear"/>
        </w:rPr>
        <w:t>入大脑分流器”三项中的其中一项承担保险责任，给付其中一项保险金后，对另</w:t>
      </w:r>
      <w:r>
        <w:rPr>
          <w:color w:val="000000"/>
          <w:spacing w:val="-2"/>
          <w:shd w:fill="D9D9D9" w:color="auto" w:val="clear"/>
        </w:rPr>
        <w:t>外两项轻症疾病保险责任同时终止。</w:t>
      </w:r>
    </w:p>
    <w:p>
      <w:pPr>
        <w:pStyle w:val="BodyText"/>
        <w:spacing w:before="1"/>
        <w:rPr>
          <w:sz w:val="19"/>
        </w:rPr>
      </w:pPr>
    </w:p>
    <w:p>
      <w:pPr>
        <w:pStyle w:val="Heading3"/>
        <w:ind w:left="2588"/>
      </w:pPr>
      <w:r>
        <w:rPr/>
        <w:t>（七）</w:t>
      </w:r>
      <w:r>
        <w:rPr>
          <w:spacing w:val="-1"/>
        </w:rPr>
        <w:t>中度进行性核上性麻痹</w:t>
      </w:r>
    </w:p>
    <w:p>
      <w:pPr>
        <w:pStyle w:val="BodyText"/>
        <w:spacing w:line="278" w:lineRule="auto"/>
        <w:ind w:left="2588" w:right="301"/>
        <w:jc w:val="both"/>
      </w:pPr>
      <w:r>
        <w:rPr>
          <w:spacing w:val="-4"/>
        </w:rPr>
        <w:t>指一种少见的神经系统变性疾病，以假球麻痹、垂直性核上性眼肌麻痹、锥体外</w:t>
      </w:r>
      <w:r>
        <w:rPr>
          <w:spacing w:val="-4"/>
        </w:rPr>
        <w:t>系肌僵直、步态共济失调和轻度痴呆为主要临床特征。须满足自主生活能力严重</w:t>
      </w:r>
      <w:r>
        <w:rPr>
          <w:spacing w:val="-4"/>
        </w:rPr>
        <w:t>丧失，无法独立完成六项基本日常生活活动中的两项。但未达到重疾“进行性核</w:t>
      </w:r>
      <w:r>
        <w:rPr>
          <w:spacing w:val="-2"/>
        </w:rPr>
        <w:t>上性麻痹”或“瘫痪”的标准。本病须经专科医生明确诊断。</w:t>
      </w:r>
    </w:p>
    <w:p>
      <w:pPr>
        <w:pStyle w:val="BodyText"/>
        <w:spacing w:before="9"/>
        <w:rPr>
          <w:sz w:val="18"/>
        </w:rPr>
      </w:pPr>
    </w:p>
    <w:p>
      <w:pPr>
        <w:pStyle w:val="Heading3"/>
        <w:spacing w:before="1"/>
        <w:ind w:left="2588"/>
      </w:pPr>
      <w:r>
        <w:rPr/>
        <w:t>（八）</w:t>
      </w:r>
      <w:r>
        <w:rPr>
          <w:spacing w:val="-2"/>
        </w:rPr>
        <w:t>轻度坏死性筋膜炎</w:t>
      </w:r>
    </w:p>
    <w:p>
      <w:pPr>
        <w:pStyle w:val="BodyText"/>
        <w:spacing w:line="278" w:lineRule="auto"/>
        <w:ind w:left="2588" w:right="301"/>
        <w:jc w:val="both"/>
      </w:pPr>
      <w:r>
        <w:rPr>
          <w:w w:val="100"/>
        </w:rPr>
        <w:t>是一种由细菌侵入皮下组织和筋膜引起的急性坏死性软组织感染，可伴有毒血</w:t>
      </w:r>
      <w:r>
        <w:rPr>
          <w:spacing w:val="-11"/>
          <w:w w:val="100"/>
        </w:rPr>
        <w:t>症、败血症、中毒性休克、弥漫性血管内凝血及多器官衰竭。但未达到重大疾病</w:t>
      </w:r>
      <w:r>
        <w:rPr>
          <w:w w:val="100"/>
        </w:rPr>
        <w:t> </w:t>
      </w:r>
      <w:r>
        <w:rPr>
          <w:spacing w:val="-5"/>
          <w:w w:val="100"/>
        </w:rPr>
        <w:t>“重症急性坏死性筋膜炎”的标准。本病须经专科医生明确诊断。</w:t>
      </w:r>
    </w:p>
    <w:p>
      <w:pPr>
        <w:pStyle w:val="BodyText"/>
        <w:spacing w:before="9"/>
        <w:rPr>
          <w:sz w:val="18"/>
        </w:rPr>
      </w:pPr>
    </w:p>
    <w:p>
      <w:pPr>
        <w:pStyle w:val="Heading3"/>
        <w:spacing w:line="320" w:lineRule="exact"/>
        <w:ind w:left="2588"/>
      </w:pPr>
      <w:r>
        <w:rPr/>
        <w:t>（九）</w:t>
      </w:r>
      <w:r>
        <w:rPr>
          <w:spacing w:val="-2"/>
        </w:rPr>
        <w:t>中度感染性心内膜炎</w:t>
      </w:r>
    </w:p>
    <w:p>
      <w:pPr>
        <w:spacing w:line="26" w:lineRule="exact" w:before="0"/>
        <w:ind w:left="3260" w:right="0" w:firstLine="0"/>
        <w:jc w:val="left"/>
        <w:rPr>
          <w:sz w:val="4"/>
        </w:rPr>
      </w:pPr>
      <w:r>
        <w:rPr>
          <w:w w:val="72"/>
          <w:sz w:val="4"/>
        </w:rPr>
        <w:t>●</w:t>
      </w:r>
    </w:p>
    <w:p>
      <w:pPr>
        <w:pStyle w:val="BodyText"/>
        <w:spacing w:line="278" w:lineRule="auto" w:before="33"/>
        <w:ind w:left="2588" w:right="219"/>
      </w:pPr>
      <w:r>
        <w:rPr>
          <w:spacing w:val="-2"/>
        </w:rPr>
        <w:t>指因感染性微生物造成心脏内膜炎症，并且累及心脏瓣膜，导致心脏瓣膜病变，</w:t>
      </w:r>
      <w:r>
        <w:rPr/>
        <w:t>且未达到重大疾病“感染性心内膜炎 ”或“心脏瓣膜手术”的给付标准。必须</w:t>
      </w:r>
      <w:r>
        <w:rPr>
          <w:spacing w:val="-2"/>
        </w:rPr>
        <w:t>满足下列条件：</w:t>
      </w:r>
    </w:p>
    <w:p>
      <w:pPr>
        <w:pStyle w:val="ListParagraph"/>
        <w:numPr>
          <w:ilvl w:val="0"/>
          <w:numId w:val="78"/>
        </w:numPr>
        <w:tabs>
          <w:tab w:pos="3118" w:val="left" w:leader="none"/>
        </w:tabs>
        <w:spacing w:line="278" w:lineRule="auto" w:before="0" w:after="0"/>
        <w:ind w:left="2588" w:right="296" w:firstLine="0"/>
        <w:jc w:val="left"/>
        <w:rPr>
          <w:sz w:val="21"/>
        </w:rPr>
      </w:pPr>
      <w:r>
        <w:rPr>
          <w:spacing w:val="-2"/>
          <w:sz w:val="21"/>
        </w:rPr>
        <w:t>急性或亚急性感染性心内膜炎的临床表现，合心内膜炎引起轻度心瓣膜关</w:t>
      </w:r>
      <w:r>
        <w:rPr>
          <w:spacing w:val="-2"/>
          <w:sz w:val="21"/>
        </w:rPr>
        <w:t>闭不全或轻度心瓣膜狭窄；</w:t>
      </w:r>
    </w:p>
    <w:p>
      <w:pPr>
        <w:pStyle w:val="ListParagraph"/>
        <w:numPr>
          <w:ilvl w:val="0"/>
          <w:numId w:val="78"/>
        </w:numPr>
        <w:tabs>
          <w:tab w:pos="3118" w:val="left" w:leader="none"/>
        </w:tabs>
        <w:spacing w:line="269" w:lineRule="exact" w:before="0" w:after="0"/>
        <w:ind w:left="3117" w:right="0" w:hanging="530"/>
        <w:jc w:val="left"/>
        <w:rPr>
          <w:sz w:val="21"/>
        </w:rPr>
      </w:pPr>
      <w:r>
        <w:rPr>
          <w:spacing w:val="-3"/>
          <w:sz w:val="21"/>
        </w:rPr>
        <w:t>血液培养测试结果为阳性，证实存在感染性微生物。</w:t>
      </w:r>
    </w:p>
    <w:p>
      <w:pPr>
        <w:pStyle w:val="BodyText"/>
        <w:spacing w:before="5"/>
        <w:rPr>
          <w:sz w:val="25"/>
        </w:rPr>
      </w:pPr>
      <w:r>
        <w:rPr/>
        <w:drawing>
          <wp:anchor distT="0" distB="0" distL="0" distR="0" allowOverlap="1" layoutInCell="1" locked="0" behindDoc="1" simplePos="0" relativeHeight="485661696">
            <wp:simplePos x="0" y="0"/>
            <wp:positionH relativeFrom="page">
              <wp:posOffset>2228088</wp:posOffset>
            </wp:positionH>
            <wp:positionV relativeFrom="paragraph">
              <wp:posOffset>221857</wp:posOffset>
            </wp:positionV>
            <wp:extent cx="4614671" cy="374904"/>
            <wp:effectExtent l="0" t="0" r="0" b="0"/>
            <wp:wrapNone/>
            <wp:docPr id="69" name="image22.png"/>
            <wp:cNvGraphicFramePr>
              <a:graphicFrameLocks noChangeAspect="1"/>
            </wp:cNvGraphicFramePr>
            <a:graphic>
              <a:graphicData uri="http://schemas.openxmlformats.org/drawingml/2006/picture">
                <pic:pic>
                  <pic:nvPicPr>
                    <pic:cNvPr id="70" name="image22.png"/>
                    <pic:cNvPicPr/>
                  </pic:nvPicPr>
                  <pic:blipFill>
                    <a:blip r:embed="rId26" cstate="print"/>
                    <a:stretch>
                      <a:fillRect/>
                    </a:stretch>
                  </pic:blipFill>
                  <pic:spPr>
                    <a:xfrm>
                      <a:off x="0" y="0"/>
                      <a:ext cx="4614671" cy="374904"/>
                    </a:xfrm>
                    <a:prstGeom prst="rect">
                      <a:avLst/>
                    </a:prstGeom>
                  </pic:spPr>
                </pic:pic>
              </a:graphicData>
            </a:graphic>
          </wp:anchor>
        </w:drawing>
      </w:r>
      <w:r>
        <w:rPr/>
        <w:pict>
          <v:shape style="position:absolute;margin-left:175.440002pt;margin-top:17.469065pt;width:367.7pt;height:29.8pt;mso-position-horizontal-relative:page;mso-position-vertical-relative:paragraph;z-index:-17654272" type="#_x0000_t202" id="docshape155" filled="false" stroked="false">
            <v:textbox inset="0,0,0,0">
              <w:txbxContent>
                <w:p>
                  <w:pPr>
                    <w:pStyle w:val="BodyText"/>
                    <w:spacing w:before="10"/>
                    <w:rPr>
                      <w:sz w:val="24"/>
                    </w:rPr>
                  </w:pPr>
                </w:p>
                <w:p>
                  <w:pPr>
                    <w:pStyle w:val="BodyText"/>
                    <w:spacing w:line="248" w:lineRule="exact"/>
                  </w:pPr>
                  <w:r>
                    <w:rPr>
                      <w:spacing w:val="-3"/>
                    </w:rPr>
                    <w:t>担保险责任，给付其中一项保险金后，对另外一项轻症疾病保险责任同时终止。</w:t>
                  </w:r>
                </w:p>
                <w:p>
                  <w:pPr>
                    <w:spacing w:line="29" w:lineRule="exact" w:before="0"/>
                    <w:ind w:left="2140" w:right="0" w:firstLine="0"/>
                    <w:jc w:val="left"/>
                    <w:rPr>
                      <w:sz w:val="4"/>
                    </w:rPr>
                  </w:pPr>
                  <w:r>
                    <w:rPr>
                      <w:w w:val="72"/>
                      <w:sz w:val="4"/>
                    </w:rPr>
                    <w:t>●</w:t>
                  </w:r>
                </w:p>
              </w:txbxContent>
            </v:textbox>
            <w10:wrap type="none"/>
          </v:shape>
        </w:pict>
      </w:r>
      <w:r>
        <w:rPr/>
        <w:pict>
          <v:shape style="position:absolute;margin-left:175.440002pt;margin-top:17.469065pt;width:363.4pt;height:13.95pt;mso-position-horizontal-relative:page;mso-position-vertical-relative:paragraph;z-index:-15631360;mso-wrap-distance-left:0;mso-wrap-distance-right:0" type="#_x0000_t202" id="docshape156" filled="true" fillcolor="#d9d9d9" stroked="false">
            <v:textbox inset="0,0,0,0">
              <w:txbxContent>
                <w:p>
                  <w:pPr>
                    <w:pStyle w:val="BodyText"/>
                    <w:spacing w:line="248" w:lineRule="exact" w:before="6"/>
                    <w:ind w:right="-15"/>
                    <w:rPr>
                      <w:color w:val="000000"/>
                    </w:rPr>
                  </w:pPr>
                  <w:r>
                    <w:rPr>
                      <w:color w:val="000000"/>
                      <w:spacing w:val="-5"/>
                    </w:rPr>
                    <w:t>本公司对“中度感染性心内膜炎”和“心脏瓣膜介入手术”两项中的其中一项承</w:t>
                  </w:r>
                </w:p>
                <w:p>
                  <w:pPr>
                    <w:spacing w:line="24" w:lineRule="exact" w:before="0"/>
                    <w:ind w:left="0" w:right="1399" w:firstLine="0"/>
                    <w:jc w:val="right"/>
                    <w:rPr>
                      <w:color w:val="000000"/>
                      <w:sz w:val="4"/>
                    </w:rPr>
                  </w:pPr>
                  <w:r>
                    <w:rPr>
                      <w:color w:val="000000"/>
                      <w:w w:val="72"/>
                      <w:sz w:val="4"/>
                    </w:rPr>
                    <w:t>●</w:t>
                  </w:r>
                </w:p>
              </w:txbxContent>
            </v:textbox>
            <v:fill type="solid"/>
            <w10:wrap type="topAndBottom"/>
          </v:shape>
        </w:pict>
      </w:r>
    </w:p>
    <w:p>
      <w:pPr>
        <w:pStyle w:val="BodyText"/>
        <w:spacing w:before="5"/>
      </w:pPr>
    </w:p>
    <w:p>
      <w:pPr>
        <w:pStyle w:val="Heading3"/>
        <w:spacing w:line="240" w:lineRule="auto" w:before="5"/>
        <w:ind w:left="2588"/>
      </w:pPr>
      <w:r>
        <w:rPr/>
        <w:t>（十）</w:t>
      </w:r>
      <w:r>
        <w:rPr>
          <w:spacing w:val="-3"/>
        </w:rPr>
        <w:t>角膜移植</w:t>
      </w:r>
    </w:p>
    <w:p>
      <w:pPr>
        <w:spacing w:after="0" w:line="240" w:lineRule="auto"/>
        <w:sectPr>
          <w:pgSz w:w="11910" w:h="16840"/>
          <w:pgMar w:top="1080" w:bottom="280" w:left="920" w:right="820"/>
        </w:sectPr>
      </w:pPr>
    </w:p>
    <w:p>
      <w:pPr>
        <w:pStyle w:val="BodyText"/>
        <w:spacing w:line="278" w:lineRule="auto" w:before="59"/>
        <w:ind w:left="2588" w:right="301"/>
      </w:pPr>
      <w:r>
        <w:rPr>
          <w:spacing w:val="-4"/>
        </w:rPr>
        <w:t>指为增进视力或治疗某些角膜疾患，已经实施了异体的角膜移植手术。此手术必</w:t>
      </w:r>
      <w:r>
        <w:rPr>
          <w:spacing w:val="-2"/>
        </w:rPr>
        <w:t>须在本公司认可医院内由专科医生认为是医疗必须的情况下进行。</w:t>
      </w:r>
    </w:p>
    <w:p>
      <w:pPr>
        <w:pStyle w:val="BodyText"/>
        <w:rPr>
          <w:sz w:val="22"/>
        </w:rPr>
      </w:pPr>
      <w:r>
        <w:rPr/>
        <w:drawing>
          <wp:anchor distT="0" distB="0" distL="0" distR="0" allowOverlap="1" layoutInCell="1" locked="0" behindDoc="1" simplePos="0" relativeHeight="485663232">
            <wp:simplePos x="0" y="0"/>
            <wp:positionH relativeFrom="page">
              <wp:posOffset>2228088</wp:posOffset>
            </wp:positionH>
            <wp:positionV relativeFrom="paragraph">
              <wp:posOffset>392668</wp:posOffset>
            </wp:positionV>
            <wp:extent cx="4532375" cy="176783"/>
            <wp:effectExtent l="0" t="0" r="0" b="0"/>
            <wp:wrapNone/>
            <wp:docPr id="71" name="image23.png"/>
            <wp:cNvGraphicFramePr>
              <a:graphicFrameLocks noChangeAspect="1"/>
            </wp:cNvGraphicFramePr>
            <a:graphic>
              <a:graphicData uri="http://schemas.openxmlformats.org/drawingml/2006/picture">
                <pic:pic>
                  <pic:nvPicPr>
                    <pic:cNvPr id="72" name="image23.png"/>
                    <pic:cNvPicPr/>
                  </pic:nvPicPr>
                  <pic:blipFill>
                    <a:blip r:embed="rId27" cstate="print"/>
                    <a:stretch>
                      <a:fillRect/>
                    </a:stretch>
                  </pic:blipFill>
                  <pic:spPr>
                    <a:xfrm>
                      <a:off x="0" y="0"/>
                      <a:ext cx="4532375" cy="176783"/>
                    </a:xfrm>
                    <a:prstGeom prst="rect">
                      <a:avLst/>
                    </a:prstGeom>
                  </pic:spPr>
                </pic:pic>
              </a:graphicData>
            </a:graphic>
          </wp:anchor>
        </w:drawing>
      </w:r>
      <w:r>
        <w:rPr/>
        <w:pict>
          <v:shape style="position:absolute;margin-left:175.440002pt;margin-top:30.918751pt;width:356.9pt;height:13.95pt;mso-position-horizontal-relative:page;mso-position-vertical-relative:paragraph;z-index:-17652736" type="#_x0000_t202" id="docshape157" filled="false" stroked="false">
            <v:textbox inset="0,0,0,0">
              <w:txbxContent>
                <w:p>
                  <w:pPr>
                    <w:pStyle w:val="BodyText"/>
                    <w:spacing w:before="6"/>
                    <w:ind w:right="-15"/>
                  </w:pPr>
                  <w:r>
                    <w:rPr>
                      <w:spacing w:val="-3"/>
                    </w:rPr>
                    <w:t>保险责任，给付其中一项保险金后，对另外两项轻症疾病保险责任同时终止。</w:t>
                  </w:r>
                </w:p>
              </w:txbxContent>
            </v:textbox>
            <w10:wrap type="none"/>
          </v:shape>
        </w:pict>
      </w:r>
      <w:r>
        <w:rPr/>
        <w:pict>
          <v:shape style="position:absolute;margin-left:175.440002pt;margin-top:15.31875pt;width:363.4pt;height:13.95pt;mso-position-horizontal-relative:page;mso-position-vertical-relative:paragraph;z-index:-15629824;mso-wrap-distance-left:0;mso-wrap-distance-right:0" type="#_x0000_t202" id="docshape158" filled="true" fillcolor="#d9d9d9" stroked="false">
            <v:textbox inset="0,0,0,0">
              <w:txbxContent>
                <w:p>
                  <w:pPr>
                    <w:pStyle w:val="BodyText"/>
                    <w:spacing w:before="6"/>
                    <w:ind w:right="-15"/>
                    <w:rPr>
                      <w:color w:val="000000"/>
                    </w:rPr>
                  </w:pPr>
                  <w:r>
                    <w:rPr>
                      <w:color w:val="000000"/>
                      <w:spacing w:val="-20"/>
                    </w:rPr>
                    <w:t>本公司对“角膜移植”、“单目失明”和“视力严重受损”三项中的其中一项承担</w:t>
                  </w:r>
                </w:p>
              </w:txbxContent>
            </v:textbox>
            <v:fill type="solid"/>
            <w10:wrap type="topAndBottom"/>
          </v:shape>
        </w:pict>
      </w:r>
    </w:p>
    <w:p>
      <w:pPr>
        <w:pStyle w:val="BodyText"/>
        <w:spacing w:before="10"/>
      </w:pPr>
    </w:p>
    <w:p>
      <w:pPr>
        <w:pStyle w:val="Heading3"/>
        <w:spacing w:before="5"/>
        <w:ind w:left="2588"/>
      </w:pPr>
      <w:r>
        <w:rPr/>
        <w:t>（十一）</w:t>
      </w:r>
      <w:r>
        <w:rPr>
          <w:spacing w:val="-3"/>
        </w:rPr>
        <w:t>单目失明</w:t>
      </w:r>
    </w:p>
    <w:p>
      <w:pPr>
        <w:pStyle w:val="BodyText"/>
        <w:spacing w:line="244" w:lineRule="exact"/>
        <w:ind w:left="2588"/>
      </w:pPr>
      <w:r>
        <w:rPr>
          <w:spacing w:val="-7"/>
        </w:rPr>
        <w:t>指因疾病或意外伤害导致单眼视力永久不可逆性丧失，但未达到本合同所指重大</w:t>
      </w:r>
    </w:p>
    <w:p>
      <w:pPr>
        <w:spacing w:line="31" w:lineRule="exact" w:before="0"/>
        <w:ind w:left="0" w:right="656" w:firstLine="0"/>
        <w:jc w:val="right"/>
        <w:rPr>
          <w:sz w:val="4"/>
        </w:rPr>
      </w:pPr>
      <w:r>
        <w:rPr>
          <w:w w:val="72"/>
          <w:sz w:val="4"/>
        </w:rPr>
        <w:t>●</w:t>
      </w:r>
    </w:p>
    <w:p>
      <w:pPr>
        <w:pStyle w:val="BodyText"/>
        <w:spacing w:before="33"/>
        <w:ind w:left="2588"/>
      </w:pPr>
      <w:r>
        <w:rPr>
          <w:spacing w:val="-3"/>
        </w:rPr>
        <w:t>疾病“双目失明”的给付标准，但患眼须满足下列至少一项条件：</w:t>
      </w:r>
    </w:p>
    <w:p>
      <w:pPr>
        <w:pStyle w:val="ListParagraph"/>
        <w:numPr>
          <w:ilvl w:val="0"/>
          <w:numId w:val="79"/>
        </w:numPr>
        <w:tabs>
          <w:tab w:pos="3118" w:val="left" w:leader="none"/>
        </w:tabs>
        <w:spacing w:line="240" w:lineRule="auto" w:before="43" w:after="0"/>
        <w:ind w:left="3117" w:right="0" w:hanging="530"/>
        <w:jc w:val="left"/>
        <w:rPr>
          <w:sz w:val="21"/>
        </w:rPr>
      </w:pPr>
      <w:r>
        <w:rPr>
          <w:spacing w:val="-4"/>
          <w:sz w:val="21"/>
        </w:rPr>
        <w:t>眼球缺失或摘除；</w:t>
      </w:r>
    </w:p>
    <w:p>
      <w:pPr>
        <w:pStyle w:val="ListParagraph"/>
        <w:numPr>
          <w:ilvl w:val="0"/>
          <w:numId w:val="79"/>
        </w:numPr>
        <w:tabs>
          <w:tab w:pos="3118" w:val="left" w:leader="none"/>
        </w:tabs>
        <w:spacing w:line="278" w:lineRule="auto" w:before="43" w:after="0"/>
        <w:ind w:left="2588" w:right="301" w:firstLine="0"/>
        <w:jc w:val="left"/>
        <w:rPr>
          <w:sz w:val="21"/>
        </w:rPr>
      </w:pPr>
      <w:r>
        <w:rPr>
          <w:spacing w:val="-9"/>
          <w:sz w:val="21"/>
        </w:rPr>
        <w:t>矫正视力低于 </w:t>
      </w:r>
      <w:r>
        <w:rPr>
          <w:spacing w:val="-2"/>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79"/>
        </w:numPr>
        <w:tabs>
          <w:tab w:pos="3118" w:val="left" w:leader="none"/>
        </w:tabs>
        <w:spacing w:line="269" w:lineRule="exact" w:before="0" w:after="0"/>
        <w:ind w:left="3117" w:right="0" w:hanging="530"/>
        <w:jc w:val="left"/>
        <w:rPr>
          <w:sz w:val="21"/>
        </w:rPr>
      </w:pPr>
      <w:r>
        <w:rPr/>
        <w:pict>
          <v:shape style="position:absolute;margin-left:175.440002pt;margin-top:15.29646pt;width:363.4pt;height:13.95pt;mso-position-horizontal-relative:page;mso-position-vertical-relative:paragraph;z-index:-15629312;mso-wrap-distance-left:0;mso-wrap-distance-right:0" type="#_x0000_t202" id="docshape159" filled="true" fillcolor="#d9d9d9" stroked="false">
            <v:textbox inset="0,0,0,0">
              <w:txbxContent>
                <w:p>
                  <w:pPr>
                    <w:pStyle w:val="BodyText"/>
                    <w:spacing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周岁以后的视力丧失诊</w:t>
                  </w:r>
                </w:p>
              </w:txbxContent>
            </v:textbox>
            <v:fill type="solid"/>
            <w10:wrap type="topAndBottom"/>
          </v:shape>
        </w:pict>
      </w:r>
      <w:r>
        <w:rPr>
          <w:spacing w:val="-9"/>
          <w:sz w:val="21"/>
        </w:rPr>
        <w:t>视野半径小于 </w:t>
      </w:r>
      <w:r>
        <w:rPr>
          <w:spacing w:val="-2"/>
          <w:sz w:val="21"/>
        </w:rPr>
        <w:t>5</w:t>
      </w:r>
      <w:r>
        <w:rPr>
          <w:spacing w:val="-22"/>
          <w:sz w:val="21"/>
        </w:rPr>
        <w:t> 度。</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60"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drawing>
          <wp:anchor distT="0" distB="0" distL="0" distR="0" allowOverlap="1" layoutInCell="1" locked="0" behindDoc="1" simplePos="0" relativeHeight="485665792">
            <wp:simplePos x="0" y="0"/>
            <wp:positionH relativeFrom="page">
              <wp:posOffset>2228088</wp:posOffset>
            </wp:positionH>
            <wp:positionV relativeFrom="paragraph">
              <wp:posOffset>404479</wp:posOffset>
            </wp:positionV>
            <wp:extent cx="4532375" cy="176784"/>
            <wp:effectExtent l="0" t="0" r="0" b="0"/>
            <wp:wrapNone/>
            <wp:docPr id="73" name="image23.png"/>
            <wp:cNvGraphicFramePr>
              <a:graphicFrameLocks noChangeAspect="1"/>
            </wp:cNvGraphicFramePr>
            <a:graphic>
              <a:graphicData uri="http://schemas.openxmlformats.org/drawingml/2006/picture">
                <pic:pic>
                  <pic:nvPicPr>
                    <pic:cNvPr id="74" name="image23.png"/>
                    <pic:cNvPicPr/>
                  </pic:nvPicPr>
                  <pic:blipFill>
                    <a:blip r:embed="rId27" cstate="print"/>
                    <a:stretch>
                      <a:fillRect/>
                    </a:stretch>
                  </pic:blipFill>
                  <pic:spPr>
                    <a:xfrm>
                      <a:off x="0" y="0"/>
                      <a:ext cx="4532375" cy="176784"/>
                    </a:xfrm>
                    <a:prstGeom prst="rect">
                      <a:avLst/>
                    </a:prstGeom>
                  </pic:spPr>
                </pic:pic>
              </a:graphicData>
            </a:graphic>
          </wp:anchor>
        </w:drawing>
      </w:r>
      <w:r>
        <w:rPr/>
        <w:pict>
          <v:shape style="position:absolute;margin-left:175.440002pt;margin-top:31.848749pt;width:356.9pt;height:13.95pt;mso-position-horizontal-relative:page;mso-position-vertical-relative:paragraph;z-index:-17650176" type="#_x0000_t202" id="docshape161" filled="false" stroked="false">
            <v:textbox inset="0,0,0,0">
              <w:txbxContent>
                <w:p>
                  <w:pPr>
                    <w:pStyle w:val="BodyText"/>
                    <w:spacing w:before="6"/>
                    <w:ind w:right="-15"/>
                  </w:pPr>
                  <w:r>
                    <w:rPr>
                      <w:spacing w:val="-3"/>
                    </w:rPr>
                    <w:t>保险责任，给付其中一项保险金后，对另外两项轻症疾病保险责任同时终止。</w:t>
                  </w:r>
                </w:p>
              </w:txbxContent>
            </v:textbox>
            <w10:wrap type="none"/>
          </v:shape>
        </w:pict>
      </w:r>
      <w:r>
        <w:rPr/>
        <w:pict>
          <v:shape style="position:absolute;margin-left:175.440002pt;margin-top:16.248751pt;width:363.4pt;height:13.95pt;mso-position-horizontal-relative:page;mso-position-vertical-relative:paragraph;z-index:-15627264;mso-wrap-distance-left:0;mso-wrap-distance-right:0" type="#_x0000_t202" id="docshape162" filled="true" fillcolor="#d9d9d9" stroked="false">
            <v:textbox inset="0,0,0,0">
              <w:txbxContent>
                <w:p>
                  <w:pPr>
                    <w:pStyle w:val="BodyText"/>
                    <w:spacing w:line="248" w:lineRule="exact" w:before="6"/>
                    <w:ind w:right="-15"/>
                    <w:rPr>
                      <w:color w:val="000000"/>
                    </w:rPr>
                  </w:pPr>
                  <w:r>
                    <w:rPr>
                      <w:color w:val="000000"/>
                      <w:spacing w:val="-20"/>
                    </w:rPr>
                    <w:t>本公司对“角膜移植”、“单目失明”和“视力严重受损”三项中的其中一项承担</w:t>
                  </w:r>
                </w:p>
                <w:p>
                  <w:pPr>
                    <w:spacing w:line="24" w:lineRule="exact" w:before="0"/>
                    <w:ind w:left="38" w:right="0" w:firstLine="0"/>
                    <w:jc w:val="left"/>
                    <w:rPr>
                      <w:color w:val="000000"/>
                      <w:sz w:val="4"/>
                    </w:rPr>
                  </w:pPr>
                  <w:r>
                    <w:rPr>
                      <w:color w:val="000000"/>
                      <w:w w:val="72"/>
                      <w:sz w:val="4"/>
                    </w:rPr>
                    <w:t>●</w:t>
                  </w:r>
                </w:p>
              </w:txbxContent>
            </v:textbox>
            <v:fill type="solid"/>
            <w10:wrap type="topAndBottom"/>
          </v:shape>
        </w:pict>
      </w:r>
    </w:p>
    <w:p>
      <w:pPr>
        <w:pStyle w:val="BodyText"/>
        <w:spacing w:before="11"/>
      </w:pPr>
    </w:p>
    <w:p>
      <w:pPr>
        <w:pStyle w:val="Heading3"/>
        <w:spacing w:before="4"/>
        <w:ind w:left="2588"/>
      </w:pPr>
      <w:r>
        <w:rPr/>
        <w:t>（十二）</w:t>
      </w:r>
      <w:r>
        <w:rPr>
          <w:spacing w:val="-4"/>
        </w:rPr>
        <w:t>原位癌</w:t>
      </w:r>
    </w:p>
    <w:p>
      <w:pPr>
        <w:pStyle w:val="BodyText"/>
        <w:spacing w:line="278" w:lineRule="auto"/>
        <w:ind w:left="2588" w:right="325"/>
      </w:pPr>
      <w:r>
        <w:rPr>
          <w:spacing w:val="-2"/>
        </w:rPr>
        <w:t>原位癌指恶性细胞局限于上皮内但尚未穿破基底膜浸润周围正常组织的癌细胞</w:t>
      </w:r>
      <w:r>
        <w:rPr>
          <w:spacing w:val="-2"/>
        </w:rPr>
        <w:t>新生物。病灶经组织病理学检查（涵盖骨髓病理学检查）结果明确诊断，临床</w:t>
      </w:r>
      <w:r>
        <w:rPr>
          <w:spacing w:val="-2"/>
        </w:rPr>
        <w:t>诊断属于世界卫生组织（WHO，World</w:t>
      </w:r>
      <w:r>
        <w:rPr>
          <w:spacing w:val="-14"/>
        </w:rPr>
        <w:t> </w:t>
      </w:r>
      <w:r>
        <w:rPr>
          <w:spacing w:val="-2"/>
        </w:rPr>
        <w:t>Health</w:t>
      </w:r>
      <w:r>
        <w:rPr>
          <w:spacing w:val="-14"/>
        </w:rPr>
        <w:t> </w:t>
      </w:r>
      <w:r>
        <w:rPr>
          <w:spacing w:val="6"/>
        </w:rPr>
        <w:t>O</w:t>
      </w:r>
      <w:r>
        <w:rPr>
          <w:spacing w:val="1"/>
        </w:rPr>
        <w:t>r</w:t>
      </w:r>
      <w:r>
        <w:rPr>
          <w:spacing w:val="6"/>
        </w:rPr>
        <w:t>gan</w:t>
      </w:r>
      <w:r>
        <w:rPr>
          <w:spacing w:val="1"/>
        </w:rPr>
        <w:t>i</w:t>
      </w:r>
      <w:r>
        <w:rPr>
          <w:spacing w:val="6"/>
        </w:rPr>
        <w:t>zation</w:t>
      </w:r>
      <w:r>
        <w:rPr>
          <w:spacing w:val="-100"/>
        </w:rPr>
        <w:t>）</w:t>
      </w:r>
      <w:r>
        <w:rPr>
          <w:spacing w:val="-2"/>
        </w:rPr>
        <w:t>《疾病和有关健康</w:t>
      </w:r>
      <w:r>
        <w:rPr/>
        <w:t>问题的国际统计分类》第十次修订版（ICD-10）的原位癌类别（ICD</w:t>
      </w:r>
      <w:r>
        <w:rPr>
          <w:spacing w:val="-12"/>
        </w:rPr>
        <w:t> 编码为</w:t>
      </w:r>
      <w:r>
        <w:rPr/>
        <w:t> </w:t>
      </w:r>
      <w:r>
        <w:rPr>
          <w:spacing w:val="-2"/>
        </w:rPr>
        <w:t>D00-D09）及《国际疾病分类肿瘤学专辑》第三版（ICD-O-3）的肿瘤形态学编</w:t>
      </w:r>
    </w:p>
    <w:p>
      <w:pPr>
        <w:pStyle w:val="BodyText"/>
        <w:spacing w:line="248" w:lineRule="exact"/>
        <w:ind w:left="2588"/>
      </w:pPr>
      <w:r>
        <w:rPr>
          <w:spacing w:val="-13"/>
        </w:rPr>
        <w:t>码属于 </w:t>
      </w:r>
      <w:r>
        <w:rPr>
          <w:spacing w:val="-2"/>
        </w:rPr>
        <w:t>2（原位癌）</w:t>
      </w:r>
      <w:r>
        <w:rPr>
          <w:spacing w:val="-4"/>
        </w:rPr>
        <w:t>范畴的疾病。</w:t>
      </w:r>
    </w:p>
    <w:p>
      <w:pPr>
        <w:spacing w:line="31" w:lineRule="exact" w:before="0"/>
        <w:ind w:left="3313" w:right="0" w:firstLine="0"/>
        <w:jc w:val="left"/>
        <w:rPr>
          <w:sz w:val="4"/>
        </w:rPr>
      </w:pPr>
      <w:r>
        <w:rPr/>
        <w:pict>
          <v:shape style="position:absolute;margin-left:175.440002pt;margin-top:2.880571pt;width:359.55pt;height:13.95pt;mso-position-horizontal-relative:page;mso-position-vertical-relative:paragraph;z-index:-15626752;mso-wrap-distance-left:0;mso-wrap-distance-right:0" type="#_x0000_t202" id="docshape163" filled="true" fillcolor="#d9d9d9" stroked="false">
            <v:textbox inset="0,0,0,0">
              <w:txbxContent>
                <w:p>
                  <w:pPr>
                    <w:pStyle w:val="BodyText"/>
                    <w:spacing w:before="6"/>
                    <w:ind w:right="-15"/>
                    <w:rPr>
                      <w:color w:val="000000"/>
                    </w:rPr>
                  </w:pPr>
                  <w:r>
                    <w:rPr>
                      <w:color w:val="000000"/>
                      <w:spacing w:val="-3"/>
                    </w:rPr>
                    <w:t>癌前病变、宫颈上皮内瘤样病变 </w:t>
                  </w:r>
                  <w:r>
                    <w:rPr>
                      <w:color w:val="000000"/>
                      <w:spacing w:val="-2"/>
                    </w:rPr>
                    <w:t>CIN-1，CIN-2</w:t>
                  </w:r>
                  <w:r>
                    <w:rPr>
                      <w:color w:val="000000"/>
                      <w:spacing w:val="-3"/>
                    </w:rPr>
                    <w:t>，重度不典型增生但非原位癌、</w:t>
                  </w:r>
                </w:p>
              </w:txbxContent>
            </v:textbox>
            <v:fill type="solid"/>
            <w10:wrap type="topAndBottom"/>
          </v:shape>
        </w:pict>
      </w:r>
      <w:r>
        <w:rPr>
          <w:w w:val="72"/>
          <w:sz w:val="4"/>
        </w:rPr>
        <w:t>●</w:t>
      </w:r>
    </w:p>
    <w:p>
      <w:pPr>
        <w:pStyle w:val="BodyText"/>
        <w:spacing w:before="7"/>
        <w:rPr>
          <w:sz w:val="2"/>
        </w:rPr>
      </w:pPr>
    </w:p>
    <w:p>
      <w:pPr>
        <w:pStyle w:val="BodyText"/>
        <w:ind w:left="2588"/>
        <w:rPr>
          <w:sz w:val="20"/>
        </w:rPr>
      </w:pPr>
      <w:r>
        <w:rPr>
          <w:sz w:val="20"/>
        </w:rPr>
        <w:pict>
          <v:shape style="width:359.55pt;height:13.95pt;mso-position-horizontal-relative:char;mso-position-vertical-relative:line" type="#_x0000_t202" id="docshape164" filled="true" fillcolor="#d9d9d9" stroked="false">
            <w10:anchorlock/>
            <v:textbox inset="0,0,0,0">
              <w:txbxContent>
                <w:p>
                  <w:pPr>
                    <w:pStyle w:val="BodyText"/>
                    <w:spacing w:before="6"/>
                    <w:rPr>
                      <w:color w:val="000000"/>
                    </w:rPr>
                  </w:pPr>
                  <w:r>
                    <w:rPr>
                      <w:color w:val="000000"/>
                      <w:spacing w:val="-5"/>
                    </w:rPr>
                    <w:t>感染艾滋病毒或患艾滋病期间所患极早期恶性肿瘤或恶性病变不在本保障范围</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65" filled="true" fillcolor="#d9d9d9" stroked="false">
            <w10:anchorlock/>
            <v:textbox inset="0,0,0,0">
              <w:txbxContent>
                <w:p>
                  <w:pPr>
                    <w:pStyle w:val="BodyText"/>
                    <w:spacing w:before="6"/>
                    <w:ind w:right="-15"/>
                    <w:rPr>
                      <w:color w:val="000000"/>
                    </w:rPr>
                  </w:pPr>
                  <w:r>
                    <w:rPr>
                      <w:color w:val="000000"/>
                      <w:spacing w:val="-7"/>
                    </w:rPr>
                    <w:t>之内。</w:t>
                  </w:r>
                </w:p>
              </w:txbxContent>
            </v:textbox>
            <v:fill type="solid"/>
          </v:shape>
        </w:pict>
      </w:r>
      <w:r>
        <w:rPr>
          <w:sz w:val="20"/>
        </w:rPr>
      </w:r>
    </w:p>
    <w:p>
      <w:pPr>
        <w:pStyle w:val="BodyText"/>
        <w:spacing w:before="2"/>
      </w:pPr>
    </w:p>
    <w:p>
      <w:pPr>
        <w:pStyle w:val="Heading3"/>
        <w:spacing w:before="4"/>
        <w:ind w:left="2588"/>
      </w:pPr>
      <w:r>
        <w:rPr>
          <w:spacing w:val="-2"/>
        </w:rPr>
        <w:t>（十三）主动脉内手术（非开胸或开腹手术</w:t>
      </w:r>
      <w:r>
        <w:rPr>
          <w:spacing w:val="-10"/>
        </w:rPr>
        <w:t>）</w:t>
      </w:r>
    </w:p>
    <w:p>
      <w:pPr>
        <w:pStyle w:val="BodyText"/>
        <w:spacing w:line="278" w:lineRule="auto"/>
        <w:ind w:left="2588" w:right="301"/>
      </w:pPr>
      <w:r>
        <w:rPr>
          <w:spacing w:val="-5"/>
        </w:rPr>
        <w:t>为了治疗主动脉疾病实际实施了经皮经导管进行的主动脉内手术，且未达到本合</w:t>
      </w:r>
      <w:r>
        <w:rPr>
          <w:spacing w:val="-2"/>
        </w:rPr>
        <w:t>同约定的重大疾病“主动脉手术”的赔付标准。</w:t>
      </w:r>
    </w:p>
    <w:p>
      <w:pPr>
        <w:pStyle w:val="BodyText"/>
        <w:ind w:left="2588"/>
        <w:rPr>
          <w:sz w:val="20"/>
        </w:rPr>
      </w:pPr>
      <w:r>
        <w:rPr>
          <w:sz w:val="20"/>
        </w:rPr>
        <w:pict>
          <v:shape style="width:363.4pt;height:13.95pt;mso-position-horizontal-relative:char;mso-position-vertical-relative:line" type="#_x0000_t202" id="docshape166" filled="true" fillcolor="#d9d9d9" stroked="false">
            <w10:anchorlock/>
            <v:textbox inset="0,0,0,0">
              <w:txbxContent>
                <w:p>
                  <w:pPr>
                    <w:pStyle w:val="BodyText"/>
                    <w:spacing w:before="6"/>
                    <w:ind w:right="-15"/>
                    <w:rPr>
                      <w:color w:val="000000"/>
                    </w:rPr>
                  </w:pPr>
                  <w:r>
                    <w:rPr>
                      <w:color w:val="000000"/>
                      <w:spacing w:val="-4"/>
                    </w:rPr>
                    <w:t>主动脉指升主动脉、主动脉弓和降主动脉（含胸主动脉和腹主动脉</w:t>
                  </w:r>
                  <w:r>
                    <w:rPr>
                      <w:color w:val="000000"/>
                      <w:spacing w:val="-106"/>
                    </w:rPr>
                    <w:t>）</w:t>
                  </w:r>
                  <w:r>
                    <w:rPr>
                      <w:color w:val="000000"/>
                      <w:spacing w:val="-6"/>
                    </w:rPr>
                    <w:t>，不包括升</w:t>
                  </w:r>
                </w:p>
              </w:txbxContent>
            </v:textbox>
            <v:fill type="solid"/>
          </v:shape>
        </w:pict>
      </w:r>
      <w:r>
        <w:rPr>
          <w:sz w:val="20"/>
        </w:rPr>
      </w:r>
    </w:p>
    <w:p>
      <w:pPr>
        <w:pStyle w:val="BodyText"/>
        <w:ind w:left="2588"/>
        <w:rPr>
          <w:sz w:val="20"/>
        </w:rPr>
      </w:pPr>
      <w:r>
        <w:rPr>
          <w:sz w:val="20"/>
        </w:rPr>
        <w:pict>
          <v:shape style="width:199.45pt;height:13.95pt;mso-position-horizontal-relative:char;mso-position-vertical-relative:line" type="#_x0000_t202" id="docshape167" filled="true" fillcolor="#d9d9d9" stroked="false">
            <w10:anchorlock/>
            <v:textbox inset="0,0,0,0">
              <w:txbxContent>
                <w:p>
                  <w:pPr>
                    <w:pStyle w:val="BodyText"/>
                    <w:spacing w:before="6"/>
                    <w:ind w:right="-15"/>
                    <w:rPr>
                      <w:color w:val="000000"/>
                    </w:rPr>
                  </w:pPr>
                  <w:r>
                    <w:rPr>
                      <w:color w:val="000000"/>
                      <w:spacing w:val="-5"/>
                    </w:rPr>
                    <w:t>主动脉、主动脉弓和降主动脉的分支血管。</w:t>
                  </w:r>
                </w:p>
              </w:txbxContent>
            </v:textbox>
            <v:fill type="solid"/>
          </v:shape>
        </w:pict>
      </w:r>
      <w:r>
        <w:rPr>
          <w:sz w:val="20"/>
        </w:rPr>
      </w:r>
    </w:p>
    <w:p>
      <w:pPr>
        <w:pStyle w:val="BodyText"/>
        <w:spacing w:before="4"/>
        <w:rPr>
          <w:sz w:val="20"/>
        </w:rPr>
      </w:pPr>
    </w:p>
    <w:p>
      <w:pPr>
        <w:pStyle w:val="Heading3"/>
        <w:spacing w:before="5"/>
        <w:ind w:left="2588"/>
      </w:pPr>
      <w:r>
        <w:rPr/>
        <w:t>（十四）</w:t>
      </w:r>
      <w:r>
        <w:rPr>
          <w:spacing w:val="-2"/>
        </w:rPr>
        <w:t>糖尿病导致单足截除</w:t>
      </w:r>
    </w:p>
    <w:p>
      <w:pPr>
        <w:pStyle w:val="BodyText"/>
        <w:spacing w:line="278" w:lineRule="auto"/>
        <w:ind w:left="2588" w:right="301"/>
      </w:pPr>
      <w:r>
        <w:rPr>
          <w:spacing w:val="-7"/>
        </w:rPr>
        <w:t>因糖尿病引起的神经及血管病变累及足部，为了维持生命在本公司认可医院内已</w:t>
      </w:r>
      <w:r>
        <w:rPr>
          <w:spacing w:val="-2"/>
        </w:rPr>
        <w:t>经进行了医疗必须的由足踝或以上位置的单足截除手术。</w:t>
      </w:r>
    </w:p>
    <w:p>
      <w:pPr>
        <w:pStyle w:val="BodyText"/>
        <w:ind w:left="2588"/>
      </w:pPr>
      <w:r>
        <w:rPr>
          <w:color w:val="000000"/>
          <w:spacing w:val="-3"/>
          <w:shd w:fill="D9D9D9" w:color="auto" w:val="clear"/>
        </w:rPr>
        <w:t>切除多只脚趾或因任何其他原因引起的截除术不在保障范围内。</w:t>
      </w:r>
    </w:p>
    <w:p>
      <w:pPr>
        <w:pStyle w:val="BodyText"/>
        <w:spacing w:before="1"/>
        <w:rPr>
          <w:sz w:val="22"/>
        </w:rPr>
      </w:pPr>
    </w:p>
    <w:p>
      <w:pPr>
        <w:pStyle w:val="Heading3"/>
        <w:spacing w:before="1"/>
        <w:ind w:left="2588"/>
      </w:pPr>
      <w:r>
        <w:rPr/>
        <w:t>（十五）</w:t>
      </w:r>
      <w:r>
        <w:rPr>
          <w:spacing w:val="-2"/>
        </w:rPr>
        <w:t>植入心脏起搏器</w:t>
      </w:r>
    </w:p>
    <w:p>
      <w:pPr>
        <w:pStyle w:val="BodyText"/>
        <w:spacing w:line="278" w:lineRule="auto"/>
        <w:ind w:left="2588" w:right="301"/>
        <w:jc w:val="both"/>
      </w:pPr>
      <w:r>
        <w:rPr>
          <w:spacing w:val="-5"/>
        </w:rPr>
        <w:t>因严重心律失常而确实已经实施永久性心脏起搏器的植入手术。理赔时须提供完</w:t>
      </w:r>
      <w:r>
        <w:rPr>
          <w:spacing w:val="-10"/>
        </w:rPr>
        <w:t>整病历资料及手术记录，诊断及治疗均须在本公司认可医院专科医生认为是医疗</w:t>
      </w:r>
      <w:r>
        <w:rPr>
          <w:spacing w:val="-2"/>
        </w:rPr>
        <w:t>必须的情况下进行。</w:t>
      </w:r>
    </w:p>
    <w:p>
      <w:pPr>
        <w:spacing w:after="0" w:line="278" w:lineRule="auto"/>
        <w:jc w:val="both"/>
        <w:sectPr>
          <w:pgSz w:w="11910" w:h="16840"/>
          <w:pgMar w:top="1080" w:bottom="280" w:left="920" w:right="820"/>
        </w:sectPr>
      </w:pPr>
    </w:p>
    <w:p>
      <w:pPr>
        <w:pStyle w:val="Heading3"/>
        <w:spacing w:line="376" w:lineRule="exact"/>
        <w:ind w:left="2588"/>
      </w:pPr>
      <w:r>
        <w:rPr/>
        <w:t>（十六）</w:t>
      </w:r>
      <w:r>
        <w:rPr>
          <w:spacing w:val="-2"/>
        </w:rPr>
        <w:t>轻度面部Ⅲ度烧伤</w:t>
      </w:r>
    </w:p>
    <w:p>
      <w:pPr>
        <w:pStyle w:val="BodyText"/>
        <w:spacing w:line="278" w:lineRule="auto"/>
        <w:ind w:left="2588" w:right="272"/>
        <w:jc w:val="both"/>
      </w:pPr>
      <w:r>
        <w:rPr>
          <w:spacing w:val="-3"/>
        </w:rPr>
        <w:t>指面部烧伤程度为Ⅲ度，且面部Ⅲ度烧伤的面积达到面部表面积的 </w:t>
      </w:r>
      <w:r>
        <w:rPr>
          <w:spacing w:val="-2"/>
        </w:rPr>
        <w:t>30%及以上，</w:t>
      </w:r>
      <w:r>
        <w:rPr>
          <w:spacing w:val="-4"/>
        </w:rPr>
        <w:t>但未达到 </w:t>
      </w:r>
      <w:r>
        <w:rPr>
          <w:spacing w:val="-2"/>
        </w:rPr>
        <w:t>60%。面部的范围指上至发际、下至下颌下缘、两侧至下颌支后缘之间</w:t>
      </w:r>
      <w:r>
        <w:rPr>
          <w:spacing w:val="-2"/>
        </w:rPr>
        <w:t>的区域，包括额部、眼部、眶部、鼻部、口唇部、颏部、颧部、颊部和腮腺咬肌</w:t>
      </w:r>
      <w:r>
        <w:rPr>
          <w:spacing w:val="-6"/>
        </w:rPr>
        <w:t>部。</w:t>
      </w:r>
    </w:p>
    <w:p>
      <w:pPr>
        <w:pStyle w:val="BodyText"/>
        <w:spacing w:before="8"/>
      </w:pPr>
      <w:r>
        <w:rPr/>
        <w:pict>
          <v:shape style="position:absolute;margin-left:175.440002pt;margin-top:15.080889pt;width:356.9pt;height:13.95pt;mso-position-horizontal-relative:page;mso-position-vertical-relative:paragraph;z-index:-15624192;mso-wrap-distance-left:0;mso-wrap-distance-right:0" type="#_x0000_t202" id="docshape168" filled="true" fillcolor="#d9d9d9" stroked="false">
            <v:textbox inset="0,0,0,0">
              <w:txbxContent>
                <w:p>
                  <w:pPr>
                    <w:pStyle w:val="BodyText"/>
                    <w:spacing w:line="248" w:lineRule="exact" w:before="6"/>
                    <w:ind w:right="-15"/>
                    <w:rPr>
                      <w:color w:val="000000"/>
                    </w:rPr>
                  </w:pPr>
                  <w:r>
                    <w:rPr>
                      <w:color w:val="000000"/>
                      <w:spacing w:val="-3"/>
                    </w:rPr>
                    <w:t>本公司对“轻度面部Ⅲ度烧伤”、“面部重建手术”和“全身较小面积Ⅲ度烧</w:t>
                  </w:r>
                </w:p>
                <w:p>
                  <w:pPr>
                    <w:spacing w:line="24" w:lineRule="exact" w:before="0"/>
                    <w:ind w:left="1929" w:right="0" w:firstLine="0"/>
                    <w:jc w:val="left"/>
                    <w:rPr>
                      <w:color w:val="000000"/>
                      <w:sz w:val="4"/>
                    </w:rPr>
                  </w:pPr>
                  <w:r>
                    <w:rPr>
                      <w:color w:val="000000"/>
                      <w:w w:val="72"/>
                      <w:sz w:val="4"/>
                    </w:rPr>
                    <w:t>●</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56.9pt;height:13.95pt;mso-position-horizontal-relative:char;mso-position-vertical-relative:line" type="#_x0000_t202" id="docshape169" filled="true" fillcolor="#d9d9d9" stroked="false">
            <w10:anchorlock/>
            <v:textbox inset="0,0,0,0">
              <w:txbxContent>
                <w:p>
                  <w:pPr>
                    <w:pStyle w:val="BodyText"/>
                    <w:spacing w:before="6"/>
                    <w:ind w:right="-15"/>
                    <w:rPr>
                      <w:color w:val="000000"/>
                    </w:rPr>
                  </w:pPr>
                  <w:r>
                    <w:rPr>
                      <w:color w:val="000000"/>
                      <w:spacing w:val="-5"/>
                    </w:rPr>
                    <w:t>伤”三项中的其中一项承担保险责任，给付其中一项保险金后，对另外两项轻</w:t>
                  </w:r>
                </w:p>
              </w:txbxContent>
            </v:textbox>
            <v:fill type="solid"/>
          </v:shape>
        </w:pict>
      </w:r>
      <w:r>
        <w:rPr>
          <w:sz w:val="20"/>
        </w:rPr>
      </w:r>
    </w:p>
    <w:p>
      <w:pPr>
        <w:pStyle w:val="BodyText"/>
        <w:ind w:left="2588"/>
        <w:rPr>
          <w:sz w:val="20"/>
        </w:rPr>
      </w:pPr>
      <w:r>
        <w:rPr>
          <w:sz w:val="20"/>
        </w:rPr>
        <w:pict>
          <v:shape style="width:126pt;height:13.95pt;mso-position-horizontal-relative:char;mso-position-vertical-relative:line" type="#_x0000_t202" id="docshape170" filled="true" fillcolor="#d9d9d9" stroked="false">
            <w10:anchorlock/>
            <v:textbox inset="0,0,0,0">
              <w:txbxContent>
                <w:p>
                  <w:pPr>
                    <w:pStyle w:val="BodyText"/>
                    <w:spacing w:before="6"/>
                    <w:ind w:right="-15"/>
                    <w:rPr>
                      <w:color w:val="000000"/>
                    </w:rPr>
                  </w:pPr>
                  <w:r>
                    <w:rPr>
                      <w:color w:val="000000"/>
                      <w:spacing w:val="-5"/>
                    </w:rPr>
                    <w:t>症疾病保险责任同时终止。</w:t>
                  </w:r>
                </w:p>
              </w:txbxContent>
            </v:textbox>
            <v:fill type="solid"/>
          </v:shape>
        </w:pict>
      </w:r>
      <w:r>
        <w:rPr>
          <w:sz w:val="20"/>
        </w:rPr>
      </w:r>
    </w:p>
    <w:p>
      <w:pPr>
        <w:pStyle w:val="BodyText"/>
        <w:spacing w:before="2"/>
      </w:pPr>
    </w:p>
    <w:p>
      <w:pPr>
        <w:pStyle w:val="Heading3"/>
        <w:spacing w:line="320" w:lineRule="exact" w:before="4"/>
        <w:ind w:left="2588"/>
      </w:pPr>
      <w:r>
        <w:rPr/>
        <w:t>（十七）</w:t>
      </w:r>
      <w:r>
        <w:rPr>
          <w:spacing w:val="-2"/>
        </w:rPr>
        <w:t>面部重建手术</w:t>
      </w:r>
    </w:p>
    <w:p>
      <w:pPr>
        <w:spacing w:line="26" w:lineRule="exact" w:before="0"/>
        <w:ind w:left="3260" w:right="0" w:firstLine="0"/>
        <w:jc w:val="left"/>
        <w:rPr>
          <w:sz w:val="4"/>
        </w:rPr>
      </w:pPr>
      <w:r>
        <w:rPr>
          <w:w w:val="72"/>
          <w:sz w:val="4"/>
        </w:rPr>
        <w:t>●</w:t>
      </w:r>
    </w:p>
    <w:p>
      <w:pPr>
        <w:pStyle w:val="BodyText"/>
        <w:spacing w:before="33"/>
        <w:ind w:left="2588"/>
      </w:pPr>
      <w:r>
        <w:rPr>
          <w:spacing w:val="-4"/>
        </w:rPr>
        <w:t>因疾病或意外伤害导致面部毁容，确实进行整形或者重建手术（</w:t>
      </w:r>
      <w:r>
        <w:rPr>
          <w:spacing w:val="-5"/>
        </w:rPr>
        <w:t>颈部以上的面部</w:t>
      </w:r>
    </w:p>
    <w:p>
      <w:pPr>
        <w:pStyle w:val="BodyText"/>
        <w:spacing w:line="248" w:lineRule="exact" w:before="43"/>
        <w:ind w:left="2588"/>
      </w:pPr>
      <w:r>
        <w:rPr>
          <w:spacing w:val="-2"/>
        </w:rPr>
        <w:t>构造不完整、缺失或者受损而对其形态及外观进行修复或者重建</w:t>
      </w:r>
      <w:r>
        <w:rPr>
          <w:spacing w:val="-106"/>
        </w:rPr>
        <w:t>）</w:t>
      </w:r>
      <w:r>
        <w:rPr>
          <w:spacing w:val="-4"/>
        </w:rPr>
        <w:t>，同时必须由</w:t>
      </w:r>
    </w:p>
    <w:p>
      <w:pPr>
        <w:spacing w:line="31" w:lineRule="exact" w:before="0"/>
        <w:ind w:left="1445" w:right="0" w:firstLine="0"/>
        <w:jc w:val="center"/>
        <w:rPr>
          <w:sz w:val="4"/>
        </w:rPr>
      </w:pPr>
      <w:r>
        <w:rPr>
          <w:w w:val="72"/>
          <w:sz w:val="4"/>
        </w:rPr>
        <w:t>●</w:t>
      </w:r>
    </w:p>
    <w:p>
      <w:pPr>
        <w:pStyle w:val="BodyText"/>
        <w:spacing w:line="278" w:lineRule="auto" w:before="33"/>
        <w:ind w:left="2588" w:right="301"/>
        <w:jc w:val="both"/>
      </w:pPr>
      <w:r>
        <w:rPr>
          <w:spacing w:val="-4"/>
        </w:rPr>
        <w:t>专科医生认为该面部毁容是需要接受住院治疗，及其后接受该手术，而对该面部</w:t>
      </w:r>
      <w:r>
        <w:rPr>
          <w:spacing w:val="-4"/>
        </w:rPr>
        <w:t>毁容所进行的治疗亦是医疗所需。因纯粹整容原因、独立的牙齿修复、独立的鼻</w:t>
      </w:r>
      <w:r>
        <w:rPr>
          <w:spacing w:val="-2"/>
        </w:rPr>
        <w:t>骨骨折或者独立的皮肤伤口所进行的手术均不受此保障。</w:t>
      </w:r>
    </w:p>
    <w:p>
      <w:pPr>
        <w:pStyle w:val="BodyText"/>
        <w:rPr>
          <w:sz w:val="22"/>
        </w:rPr>
      </w:pPr>
      <w:r>
        <w:rPr/>
        <w:drawing>
          <wp:anchor distT="0" distB="0" distL="0" distR="0" allowOverlap="1" layoutInCell="1" locked="0" behindDoc="1" simplePos="0" relativeHeight="485671424">
            <wp:simplePos x="0" y="0"/>
            <wp:positionH relativeFrom="page">
              <wp:posOffset>2228088</wp:posOffset>
            </wp:positionH>
            <wp:positionV relativeFrom="paragraph">
              <wp:posOffset>194464</wp:posOffset>
            </wp:positionV>
            <wp:extent cx="4614671" cy="176784"/>
            <wp:effectExtent l="0" t="0" r="0" b="0"/>
            <wp:wrapNone/>
            <wp:docPr id="75" name="image7.png"/>
            <wp:cNvGraphicFramePr>
              <a:graphicFrameLocks noChangeAspect="1"/>
            </wp:cNvGraphicFramePr>
            <a:graphic>
              <a:graphicData uri="http://schemas.openxmlformats.org/drawingml/2006/picture">
                <pic:pic>
                  <pic:nvPicPr>
                    <pic:cNvPr id="76" name="image7.png"/>
                    <pic:cNvPicPr/>
                  </pic:nvPicPr>
                  <pic:blipFill>
                    <a:blip r:embed="rId11" cstate="print"/>
                    <a:stretch>
                      <a:fillRect/>
                    </a:stretch>
                  </pic:blipFill>
                  <pic:spPr>
                    <a:xfrm>
                      <a:off x="0" y="0"/>
                      <a:ext cx="4614671" cy="176784"/>
                    </a:xfrm>
                    <a:prstGeom prst="rect">
                      <a:avLst/>
                    </a:prstGeom>
                  </pic:spPr>
                </pic:pic>
              </a:graphicData>
            </a:graphic>
          </wp:anchor>
        </w:drawing>
      </w:r>
      <w:r>
        <w:rPr/>
        <w:pict>
          <v:shape style="position:absolute;margin-left:175.440002pt;margin-top:15.312137pt;width:369.15pt;height:13.95pt;mso-position-horizontal-relative:page;mso-position-vertical-relative:paragraph;z-index:-17644544" type="#_x0000_t202" id="docshape171" filled="false" stroked="false">
            <v:textbox inset="0,0,0,0">
              <w:txbxContent>
                <w:p>
                  <w:pPr>
                    <w:pStyle w:val="BodyText"/>
                    <w:spacing w:before="6"/>
                  </w:pPr>
                  <w:r>
                    <w:rPr>
                      <w:spacing w:val="-10"/>
                    </w:rPr>
                    <w:t>本公司对“轻度面部Ⅲ度烧伤”、“面部重建手术”和“全身较小面积Ⅲ度烧伤”</w:t>
                  </w:r>
                </w:p>
              </w:txbxContent>
            </v:textbox>
            <w10:wrap type="none"/>
          </v:shape>
        </w:pict>
      </w:r>
      <w:r>
        <w:rPr/>
        <w:pict>
          <v:shape style="position:absolute;margin-left:175.440002pt;margin-top:30.912136pt;width:363.4pt;height:13.95pt;mso-position-horizontal-relative:page;mso-position-vertical-relative:paragraph;z-index:-15621632;mso-wrap-distance-left:0;mso-wrap-distance-right:0" type="#_x0000_t202" id="docshape172" filled="true" fillcolor="#d9d9d9" stroked="false">
            <v:textbox inset="0,0,0,0">
              <w:txbxContent>
                <w:p>
                  <w:pPr>
                    <w:pStyle w:val="BodyText"/>
                    <w:spacing w:before="6"/>
                    <w:ind w:right="-15"/>
                    <w:rPr>
                      <w:color w:val="000000"/>
                    </w:rPr>
                  </w:pPr>
                  <w:r>
                    <w:rPr>
                      <w:color w:val="000000"/>
                      <w:spacing w:val="-5"/>
                    </w:rPr>
                    <w:t>三项中的其中一项承担保险责任，给付其中一项保险金后，对另外两项轻症疾病</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94.6pt;height:13.95pt;mso-position-horizontal-relative:char;mso-position-vertical-relative:line" type="#_x0000_t202" id="docshape173" filled="true" fillcolor="#d9d9d9" stroked="false">
            <w10:anchorlock/>
            <v:textbox inset="0,0,0,0">
              <w:txbxContent>
                <w:p>
                  <w:pPr>
                    <w:pStyle w:val="BodyText"/>
                    <w:spacing w:before="6"/>
                    <w:ind w:right="-15"/>
                    <w:rPr>
                      <w:color w:val="000000"/>
                    </w:rPr>
                  </w:pPr>
                  <w:r>
                    <w:rPr>
                      <w:color w:val="000000"/>
                      <w:spacing w:val="-5"/>
                    </w:rPr>
                    <w:t>保险责任同时终止。</w:t>
                  </w:r>
                </w:p>
              </w:txbxContent>
            </v:textbox>
            <v:fill type="solid"/>
          </v:shape>
        </w:pict>
      </w:r>
      <w:r>
        <w:rPr>
          <w:sz w:val="20"/>
        </w:rPr>
      </w:r>
    </w:p>
    <w:p>
      <w:pPr>
        <w:pStyle w:val="BodyText"/>
        <w:spacing w:before="3"/>
        <w:rPr>
          <w:sz w:val="20"/>
        </w:rPr>
      </w:pPr>
    </w:p>
    <w:p>
      <w:pPr>
        <w:pStyle w:val="Heading3"/>
        <w:spacing w:before="4"/>
        <w:ind w:left="2588"/>
      </w:pPr>
      <w:r>
        <w:rPr/>
        <w:t>（十八）</w:t>
      </w:r>
      <w:r>
        <w:rPr>
          <w:spacing w:val="-1"/>
        </w:rPr>
        <w:t>因肾上腺皮脂腺瘤切除肾上腺</w:t>
      </w:r>
    </w:p>
    <w:p>
      <w:pPr>
        <w:pStyle w:val="BodyText"/>
        <w:spacing w:line="278" w:lineRule="auto"/>
        <w:ind w:left="2588" w:right="301"/>
        <w:jc w:val="both"/>
      </w:pPr>
      <w:r>
        <w:rPr>
          <w:w w:val="100"/>
        </w:rPr>
        <w:t>因肾上腺皮质腺瘤所导致的醛固酮分泌过多而产生的继发性恶性高血压而实际</w:t>
      </w:r>
      <w:r>
        <w:rPr>
          <w:spacing w:val="-10"/>
          <w:w w:val="100"/>
        </w:rPr>
        <w:t>接受了肾上腺切除术治疗。诊断及治疗均须在本公司认可医院内由专科医生认为</w:t>
      </w:r>
      <w:r>
        <w:rPr>
          <w:spacing w:val="-2"/>
          <w:w w:val="100"/>
        </w:rPr>
        <w:t>是医疗必须的情况下进行。</w:t>
      </w:r>
    </w:p>
    <w:p>
      <w:pPr>
        <w:pStyle w:val="BodyText"/>
        <w:spacing w:before="10"/>
        <w:rPr>
          <w:sz w:val="18"/>
        </w:rPr>
      </w:pPr>
    </w:p>
    <w:p>
      <w:pPr>
        <w:pStyle w:val="Heading3"/>
        <w:ind w:left="2588"/>
      </w:pPr>
      <w:r>
        <w:rPr/>
        <w:t>（十九）</w:t>
      </w:r>
      <w:r>
        <w:rPr>
          <w:spacing w:val="-2"/>
        </w:rPr>
        <w:t>微创颅脑手术</w:t>
      </w:r>
    </w:p>
    <w:p>
      <w:pPr>
        <w:pStyle w:val="BodyText"/>
        <w:spacing w:line="278" w:lineRule="auto"/>
        <w:ind w:left="2588" w:right="301"/>
      </w:pPr>
      <w:r>
        <w:rPr>
          <w:spacing w:val="-5"/>
        </w:rPr>
        <w:t>因疾病被保险人确已实施全麻下的颅骨钻孔手术或者经鼻蝶窦入颅手术。因外伤</w:t>
      </w:r>
      <w:r>
        <w:rPr>
          <w:spacing w:val="-2"/>
        </w:rPr>
        <w:t>而实施的脑外科手术不在保障范围内。</w:t>
      </w:r>
    </w:p>
    <w:p>
      <w:pPr>
        <w:pStyle w:val="BodyText"/>
        <w:spacing w:before="9"/>
      </w:pPr>
      <w:r>
        <w:rPr/>
        <w:pict>
          <v:shape style="position:absolute;margin-left:175.440002pt;margin-top:15.117366pt;width:363.4pt;height:13.95pt;mso-position-horizontal-relative:page;mso-position-vertical-relative:paragraph;z-index:-15620608;mso-wrap-distance-left:0;mso-wrap-distance-right:0" type="#_x0000_t202" id="docshape174" filled="true" fillcolor="#d9d9d9" stroked="false">
            <v:textbox inset="0,0,0,0">
              <w:txbxContent>
                <w:p>
                  <w:pPr>
                    <w:pStyle w:val="BodyText"/>
                    <w:spacing w:before="6"/>
                    <w:ind w:right="-15"/>
                    <w:rPr>
                      <w:color w:val="000000"/>
                    </w:rPr>
                  </w:pPr>
                  <w:r>
                    <w:rPr>
                      <w:color w:val="000000"/>
                      <w:spacing w:val="-9"/>
                    </w:rPr>
                    <w:t>本公司对“脑垂体瘤、脑囊肿、脑动脉瘤及脑血管瘤”</w:t>
                  </w:r>
                  <w:r>
                    <w:rPr>
                      <w:color w:val="000000"/>
                      <w:spacing w:val="-17"/>
                    </w:rPr>
                    <w:t>、“微创颅脑手术”和“植</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75" filled="true" fillcolor="#d9d9d9" stroked="false">
            <w10:anchorlock/>
            <v:textbox inset="0,0,0,0">
              <w:txbxContent>
                <w:p>
                  <w:pPr>
                    <w:pStyle w:val="BodyText"/>
                    <w:spacing w:before="6"/>
                    <w:ind w:right="-15"/>
                    <w:rPr>
                      <w:color w:val="000000"/>
                    </w:rPr>
                  </w:pPr>
                  <w:r>
                    <w:rPr>
                      <w:color w:val="000000"/>
                      <w:spacing w:val="-7"/>
                    </w:rPr>
                    <w:t>入大脑内分流器”三项中的其中一项承担保险责任，给付其中一项保险金后，对</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176" filled="true" fillcolor="#d9d9d9" stroked="false">
            <w10:anchorlock/>
            <v:textbox inset="0,0,0,0">
              <w:txbxContent>
                <w:p>
                  <w:pPr>
                    <w:pStyle w:val="BodyText"/>
                    <w:spacing w:before="6"/>
                    <w:ind w:right="-15"/>
                    <w:rPr>
                      <w:color w:val="000000"/>
                    </w:rPr>
                  </w:pPr>
                  <w:r>
                    <w:rPr>
                      <w:color w:val="000000"/>
                      <w:spacing w:val="-5"/>
                    </w:rPr>
                    <w:t>另外两项轻症疾病保险责任同时终止。</w:t>
                  </w:r>
                </w:p>
              </w:txbxContent>
            </v:textbox>
            <v:fill type="solid"/>
          </v:shape>
        </w:pict>
      </w:r>
      <w:r>
        <w:rPr>
          <w:sz w:val="20"/>
        </w:rPr>
      </w:r>
    </w:p>
    <w:p>
      <w:pPr>
        <w:pStyle w:val="BodyText"/>
        <w:spacing w:before="2"/>
      </w:pPr>
    </w:p>
    <w:p>
      <w:pPr>
        <w:pStyle w:val="Heading3"/>
        <w:spacing w:before="4"/>
        <w:ind w:left="2588"/>
      </w:pPr>
      <w:r>
        <w:rPr/>
        <w:t>（二十）</w:t>
      </w:r>
      <w:r>
        <w:rPr>
          <w:spacing w:val="-1"/>
        </w:rPr>
        <w:t>特定的系统性红斑狼疮</w:t>
      </w:r>
    </w:p>
    <w:p>
      <w:pPr>
        <w:pStyle w:val="BodyText"/>
        <w:spacing w:line="278" w:lineRule="auto"/>
        <w:ind w:left="2588" w:right="195"/>
      </w:pPr>
      <w:r>
        <w:rPr>
          <w:spacing w:val="-2"/>
        </w:rPr>
        <w:t>指诊断为系统性红斑狼疮，且满足下列全部条件，并且未达到本合同所指重大疾</w:t>
      </w:r>
      <w:r>
        <w:rPr>
          <w:spacing w:val="-5"/>
        </w:rPr>
        <w:t>病“系统性红斑狼疮 －</w:t>
      </w:r>
      <w:r>
        <w:rPr>
          <w:spacing w:val="-2"/>
        </w:rPr>
        <w:t>（并发）Ⅲ型或以上狼疮性肾炎”或“严重慢性肾衰竭”</w:t>
      </w:r>
      <w:r>
        <w:rPr>
          <w:spacing w:val="-4"/>
        </w:rPr>
        <w:t>的标准：</w:t>
      </w:r>
    </w:p>
    <w:p>
      <w:pPr>
        <w:pStyle w:val="ListParagraph"/>
        <w:numPr>
          <w:ilvl w:val="0"/>
          <w:numId w:val="80"/>
        </w:numPr>
        <w:tabs>
          <w:tab w:pos="3118" w:val="left" w:leader="none"/>
        </w:tabs>
        <w:spacing w:line="269" w:lineRule="exact" w:before="0" w:after="0"/>
        <w:ind w:left="3117" w:right="0" w:hanging="530"/>
        <w:jc w:val="left"/>
        <w:rPr>
          <w:sz w:val="21"/>
        </w:rPr>
      </w:pPr>
      <w:r>
        <w:rPr>
          <w:spacing w:val="-3"/>
          <w:sz w:val="21"/>
        </w:rPr>
        <w:t>在下列五项情况中出现最少两项：</w:t>
      </w:r>
    </w:p>
    <w:p>
      <w:pPr>
        <w:pStyle w:val="ListParagraph"/>
        <w:numPr>
          <w:ilvl w:val="1"/>
          <w:numId w:val="80"/>
        </w:numPr>
        <w:tabs>
          <w:tab w:pos="3013" w:val="left" w:leader="none"/>
        </w:tabs>
        <w:spacing w:line="278" w:lineRule="auto" w:before="39" w:after="0"/>
        <w:ind w:left="2800" w:right="1899" w:firstLine="0"/>
        <w:jc w:val="left"/>
        <w:rPr>
          <w:sz w:val="21"/>
        </w:rPr>
      </w:pPr>
      <w:r>
        <w:rPr>
          <w:spacing w:val="-2"/>
          <w:sz w:val="21"/>
        </w:rPr>
        <w:t>关节炎：非磨损性关节炎，需涉及两个或两个以上关节；</w:t>
      </w:r>
      <w:r>
        <w:rPr>
          <w:spacing w:val="-2"/>
          <w:sz w:val="21"/>
        </w:rPr>
        <w:t> b)浆膜炎：胸膜炎或心包炎；</w:t>
      </w:r>
    </w:p>
    <w:p>
      <w:pPr>
        <w:pStyle w:val="BodyText"/>
        <w:spacing w:line="278" w:lineRule="auto"/>
        <w:ind w:left="2800" w:right="1006"/>
      </w:pPr>
      <w:r>
        <w:rPr/>
        <w:t>c)肾病：24</w:t>
      </w:r>
      <w:r>
        <w:rPr>
          <w:spacing w:val="-13"/>
        </w:rPr>
        <w:t> 小时尿蛋白定量达到 </w:t>
      </w:r>
      <w:r>
        <w:rPr/>
        <w:t>0.5</w:t>
      </w:r>
      <w:r>
        <w:rPr>
          <w:spacing w:val="-8"/>
        </w:rPr>
        <w:t> 克，或尿液检查出现细胞管型；</w:t>
      </w:r>
      <w:r>
        <w:rPr/>
        <w:t> </w:t>
      </w:r>
      <w:r>
        <w:rPr>
          <w:spacing w:val="-2"/>
        </w:rPr>
        <w:t>d)血液学异常：溶血性贫血、白细胞减少、或血小板减少；</w:t>
      </w:r>
      <w:r>
        <w:rPr>
          <w:spacing w:val="80"/>
          <w:w w:val="150"/>
        </w:rPr>
        <w:t>    </w:t>
      </w:r>
      <w:r>
        <w:rPr/>
        <w:t>e)</w:t>
      </w:r>
      <w:r>
        <w:rPr>
          <w:spacing w:val="-2"/>
        </w:rPr>
        <w:t>抗核抗体阳性、或抗 </w:t>
      </w:r>
      <w:r>
        <w:rPr/>
        <w:t>dsDNA</w:t>
      </w:r>
      <w:r>
        <w:rPr>
          <w:spacing w:val="-6"/>
        </w:rPr>
        <w:t> 阳性，或抗 </w:t>
      </w:r>
      <w:r>
        <w:rPr/>
        <w:t>Smith</w:t>
      </w:r>
      <w:r>
        <w:rPr>
          <w:spacing w:val="-5"/>
        </w:rPr>
        <w:t> 抗体阳性。</w:t>
      </w:r>
    </w:p>
    <w:p>
      <w:pPr>
        <w:pStyle w:val="ListParagraph"/>
        <w:numPr>
          <w:ilvl w:val="0"/>
          <w:numId w:val="80"/>
        </w:numPr>
        <w:tabs>
          <w:tab w:pos="3118" w:val="left" w:leader="none"/>
        </w:tabs>
        <w:spacing w:line="269" w:lineRule="exact" w:before="0" w:after="0"/>
        <w:ind w:left="3117" w:right="0" w:hanging="530"/>
        <w:jc w:val="left"/>
        <w:rPr>
          <w:sz w:val="21"/>
        </w:rPr>
      </w:pPr>
      <w:r>
        <w:rPr>
          <w:spacing w:val="-3"/>
          <w:sz w:val="21"/>
        </w:rPr>
        <w:t>系统性红斑狼疮的诊断必须由医院的风湿科或免疫系统专科医生确定。</w:t>
      </w:r>
    </w:p>
    <w:p>
      <w:pPr>
        <w:spacing w:after="0" w:line="269" w:lineRule="exact"/>
        <w:jc w:val="left"/>
        <w:rPr>
          <w:sz w:val="21"/>
        </w:rPr>
        <w:sectPr>
          <w:pgSz w:w="11910" w:h="16840"/>
          <w:pgMar w:top="1080" w:bottom="280" w:left="920" w:right="820"/>
        </w:sectPr>
      </w:pPr>
    </w:p>
    <w:p>
      <w:pPr>
        <w:pStyle w:val="Heading3"/>
        <w:spacing w:line="376" w:lineRule="exact"/>
        <w:ind w:left="2588"/>
      </w:pPr>
      <w:r>
        <w:rPr/>
        <w:t>（二十一）</w:t>
      </w:r>
      <w:r>
        <w:rPr>
          <w:spacing w:val="-2"/>
        </w:rPr>
        <w:t>视力严重受损</w:t>
      </w:r>
    </w:p>
    <w:p>
      <w:pPr>
        <w:pStyle w:val="BodyText"/>
        <w:spacing w:line="278" w:lineRule="auto"/>
        <w:ind w:left="2588" w:right="301"/>
      </w:pPr>
      <w:r>
        <w:rPr>
          <w:spacing w:val="-6"/>
        </w:rPr>
        <w:t>指因疾病或者意外伤害导致双眼视力永久不可逆性丧失，且未达到本合同所指重</w:t>
      </w:r>
      <w:r>
        <w:rPr>
          <w:spacing w:val="-2"/>
        </w:rPr>
        <w:t>大疾病“双目失明”的给付标准，但满足下列条件之一：</w:t>
      </w:r>
    </w:p>
    <w:p>
      <w:pPr>
        <w:pStyle w:val="ListParagraph"/>
        <w:numPr>
          <w:ilvl w:val="0"/>
          <w:numId w:val="81"/>
        </w:numPr>
        <w:tabs>
          <w:tab w:pos="3118" w:val="left" w:leader="none"/>
        </w:tabs>
        <w:spacing w:line="269" w:lineRule="exact" w:before="0" w:after="0"/>
        <w:ind w:left="3117" w:right="0" w:hanging="530"/>
        <w:jc w:val="left"/>
        <w:rPr>
          <w:sz w:val="21"/>
        </w:rPr>
      </w:pPr>
      <w:r>
        <w:rPr>
          <w:spacing w:val="-8"/>
          <w:sz w:val="21"/>
        </w:rPr>
        <w:t>双眼中较好眼矫正视力低于 </w:t>
      </w:r>
      <w:r>
        <w:rPr>
          <w:spacing w:val="-4"/>
          <w:sz w:val="21"/>
        </w:rPr>
        <w:t>0.1（</w:t>
      </w:r>
      <w:r>
        <w:rPr>
          <w:spacing w:val="-5"/>
          <w:sz w:val="21"/>
        </w:rPr>
        <w:t>采用国际标准视力表，如果使用其他视力</w:t>
      </w:r>
    </w:p>
    <w:p>
      <w:pPr>
        <w:pStyle w:val="BodyText"/>
        <w:spacing w:line="249" w:lineRule="exact" w:before="39"/>
        <w:ind w:left="2588"/>
      </w:pPr>
      <w:r>
        <w:rPr>
          <w:spacing w:val="-2"/>
        </w:rPr>
        <w:t>表应进行换算</w:t>
      </w:r>
      <w:r>
        <w:rPr>
          <w:spacing w:val="-111"/>
        </w:rPr>
        <w:t>）</w:t>
      </w:r>
      <w:r>
        <w:rPr>
          <w:spacing w:val="-5"/>
        </w:rPr>
        <w:t>；</w:t>
      </w:r>
    </w:p>
    <w:p>
      <w:pPr>
        <w:spacing w:line="31" w:lineRule="exact" w:before="0"/>
        <w:ind w:left="2627" w:right="0" w:firstLine="0"/>
        <w:jc w:val="left"/>
        <w:rPr>
          <w:sz w:val="4"/>
        </w:rPr>
      </w:pPr>
      <w:r>
        <w:rPr>
          <w:w w:val="72"/>
          <w:sz w:val="4"/>
        </w:rPr>
        <w:t>●</w:t>
      </w:r>
    </w:p>
    <w:p>
      <w:pPr>
        <w:pStyle w:val="ListParagraph"/>
        <w:numPr>
          <w:ilvl w:val="0"/>
          <w:numId w:val="81"/>
        </w:numPr>
        <w:tabs>
          <w:tab w:pos="3118" w:val="left" w:leader="none"/>
        </w:tabs>
        <w:spacing w:line="240" w:lineRule="auto" w:before="33" w:after="0"/>
        <w:ind w:left="3117" w:right="0" w:hanging="530"/>
        <w:jc w:val="left"/>
        <w:rPr>
          <w:sz w:val="21"/>
        </w:rPr>
      </w:pPr>
      <w:r>
        <w:rPr/>
        <w:pict>
          <v:shape style="position:absolute;margin-left:175.440002pt;margin-top:16.953865pt;width:363.4pt;height:13.95pt;mso-position-horizontal-relative:page;mso-position-vertical-relative:paragraph;z-index:-15619072;mso-wrap-distance-left:0;mso-wrap-distance-right:0" type="#_x0000_t202" id="docshape177" filled="true" fillcolor="#d9d9d9" stroked="false">
            <v:textbox inset="0,0,0,0">
              <w:txbxContent>
                <w:p>
                  <w:pPr>
                    <w:pStyle w:val="BodyText"/>
                    <w:spacing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周岁以后的视力丧失诊</w:t>
                  </w:r>
                </w:p>
              </w:txbxContent>
            </v:textbox>
            <v:fill type="solid"/>
            <w10:wrap type="topAndBottom"/>
          </v:shape>
        </w:pict>
      </w:r>
      <w:r>
        <w:rPr>
          <w:spacing w:val="-6"/>
          <w:sz w:val="21"/>
        </w:rPr>
        <w:t>双眼中较好眼视野半径小于 </w:t>
      </w:r>
      <w:r>
        <w:rPr>
          <w:spacing w:val="-2"/>
          <w:sz w:val="21"/>
        </w:rPr>
        <w:t>20</w:t>
      </w:r>
      <w:r>
        <w:rPr>
          <w:spacing w:val="-20"/>
          <w:sz w:val="21"/>
        </w:rPr>
        <w:t> 度。</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78"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drawing>
          <wp:anchor distT="0" distB="0" distL="0" distR="0" allowOverlap="1" layoutInCell="1" locked="0" behindDoc="1" simplePos="0" relativeHeight="485676032">
            <wp:simplePos x="0" y="0"/>
            <wp:positionH relativeFrom="page">
              <wp:posOffset>2228088</wp:posOffset>
            </wp:positionH>
            <wp:positionV relativeFrom="paragraph">
              <wp:posOffset>404479</wp:posOffset>
            </wp:positionV>
            <wp:extent cx="4532375" cy="176783"/>
            <wp:effectExtent l="0" t="0" r="0" b="0"/>
            <wp:wrapNone/>
            <wp:docPr id="77" name="image6.png"/>
            <wp:cNvGraphicFramePr>
              <a:graphicFrameLocks noChangeAspect="1"/>
            </wp:cNvGraphicFramePr>
            <a:graphic>
              <a:graphicData uri="http://schemas.openxmlformats.org/drawingml/2006/picture">
                <pic:pic>
                  <pic:nvPicPr>
                    <pic:cNvPr id="78" name="image6.png"/>
                    <pic:cNvPicPr/>
                  </pic:nvPicPr>
                  <pic:blipFill>
                    <a:blip r:embed="rId10" cstate="print"/>
                    <a:stretch>
                      <a:fillRect/>
                    </a:stretch>
                  </pic:blipFill>
                  <pic:spPr>
                    <a:xfrm>
                      <a:off x="0" y="0"/>
                      <a:ext cx="4532375" cy="176783"/>
                    </a:xfrm>
                    <a:prstGeom prst="rect">
                      <a:avLst/>
                    </a:prstGeom>
                  </pic:spPr>
                </pic:pic>
              </a:graphicData>
            </a:graphic>
          </wp:anchor>
        </w:drawing>
      </w:r>
      <w:r>
        <w:rPr/>
        <w:pict>
          <v:shape style="position:absolute;margin-left:175.440002pt;margin-top:31.848749pt;width:356.9pt;height:13.95pt;mso-position-horizontal-relative:page;mso-position-vertical-relative:paragraph;z-index:-17639936" type="#_x0000_t202" id="docshape179" filled="false" stroked="false">
            <v:textbox inset="0,0,0,0">
              <w:txbxContent>
                <w:p>
                  <w:pPr>
                    <w:pStyle w:val="BodyText"/>
                    <w:spacing w:before="6"/>
                    <w:ind w:right="-15"/>
                  </w:pPr>
                  <w:r>
                    <w:rPr>
                      <w:spacing w:val="-3"/>
                    </w:rPr>
                    <w:t>保险责任，给付其中一项保险金后，对另外两项轻症疾病保险责任同时终止。</w:t>
                  </w:r>
                </w:p>
              </w:txbxContent>
            </v:textbox>
            <w10:wrap type="none"/>
          </v:shape>
        </w:pict>
      </w:r>
      <w:r>
        <w:rPr/>
        <w:pict>
          <v:shape style="position:absolute;margin-left:175.440002pt;margin-top:16.248751pt;width:363.4pt;height:13.95pt;mso-position-horizontal-relative:page;mso-position-vertical-relative:paragraph;z-index:-15617024;mso-wrap-distance-left:0;mso-wrap-distance-right:0" type="#_x0000_t202" id="docshape180" filled="true" fillcolor="#d9d9d9" stroked="false">
            <v:textbox inset="0,0,0,0">
              <w:txbxContent>
                <w:p>
                  <w:pPr>
                    <w:pStyle w:val="BodyText"/>
                    <w:spacing w:line="248" w:lineRule="exact" w:before="6"/>
                    <w:ind w:right="-15"/>
                    <w:rPr>
                      <w:color w:val="000000"/>
                    </w:rPr>
                  </w:pPr>
                  <w:r>
                    <w:rPr>
                      <w:color w:val="000000"/>
                      <w:spacing w:val="-20"/>
                    </w:rPr>
                    <w:t>本公司对“角膜移植”、“单目失明”和“视力严重受损”三项中的其中一项承担</w:t>
                  </w:r>
                </w:p>
                <w:p>
                  <w:pPr>
                    <w:spacing w:line="24" w:lineRule="exact" w:before="0"/>
                    <w:ind w:left="671" w:right="0" w:firstLine="0"/>
                    <w:jc w:val="left"/>
                    <w:rPr>
                      <w:color w:val="000000"/>
                      <w:sz w:val="4"/>
                    </w:rPr>
                  </w:pPr>
                  <w:r>
                    <w:rPr>
                      <w:color w:val="000000"/>
                      <w:w w:val="72"/>
                      <w:sz w:val="4"/>
                    </w:rPr>
                    <w:t>●</w:t>
                  </w:r>
                </w:p>
              </w:txbxContent>
            </v:textbox>
            <v:fill type="solid"/>
            <w10:wrap type="topAndBottom"/>
          </v:shape>
        </w:pict>
      </w:r>
    </w:p>
    <w:p>
      <w:pPr>
        <w:pStyle w:val="BodyText"/>
        <w:spacing w:before="10"/>
      </w:pPr>
    </w:p>
    <w:p>
      <w:pPr>
        <w:pStyle w:val="Heading3"/>
        <w:spacing w:before="5"/>
        <w:ind w:left="2588"/>
      </w:pPr>
      <w:r>
        <w:rPr/>
        <w:t>（二十二）</w:t>
      </w:r>
      <w:r>
        <w:rPr>
          <w:spacing w:val="-2"/>
        </w:rPr>
        <w:t>慢性肝功能衰竭</w:t>
      </w:r>
    </w:p>
    <w:p>
      <w:pPr>
        <w:pStyle w:val="BodyText"/>
        <w:spacing w:line="278" w:lineRule="auto"/>
        <w:ind w:left="2588" w:right="301"/>
      </w:pPr>
      <w:r>
        <w:rPr>
          <w:spacing w:val="-4"/>
        </w:rPr>
        <w:t>指因慢性肝脏疾病导致肝功能衰竭，且未达到本合同所指重大疾病“严重慢性肝</w:t>
      </w:r>
      <w:r>
        <w:rPr>
          <w:spacing w:val="-2"/>
        </w:rPr>
        <w:t>衰竭”的标准。须满足下列任意三个条件：</w:t>
      </w:r>
    </w:p>
    <w:p>
      <w:pPr>
        <w:pStyle w:val="BodyText"/>
        <w:spacing w:line="269" w:lineRule="exact"/>
        <w:ind w:left="2588"/>
      </w:pPr>
      <w:r>
        <w:rPr>
          <w:spacing w:val="-2"/>
        </w:rPr>
        <w:t>（1）</w:t>
      </w:r>
      <w:r>
        <w:rPr>
          <w:spacing w:val="-4"/>
        </w:rPr>
        <w:t>持续性黄疸；</w:t>
      </w:r>
    </w:p>
    <w:p>
      <w:pPr>
        <w:pStyle w:val="BodyText"/>
        <w:spacing w:before="39"/>
        <w:ind w:left="2588"/>
      </w:pPr>
      <w:r>
        <w:rPr/>
        <w:t>（2）</w:t>
      </w:r>
      <w:r>
        <w:rPr>
          <w:spacing w:val="-4"/>
        </w:rPr>
        <w:t>腹水；</w:t>
      </w:r>
    </w:p>
    <w:p>
      <w:pPr>
        <w:pStyle w:val="ListParagraph"/>
        <w:numPr>
          <w:ilvl w:val="0"/>
          <w:numId w:val="82"/>
        </w:numPr>
        <w:tabs>
          <w:tab w:pos="3118" w:val="left" w:leader="none"/>
        </w:tabs>
        <w:spacing w:line="240" w:lineRule="auto" w:before="43" w:after="0"/>
        <w:ind w:left="3117" w:right="0" w:hanging="530"/>
        <w:jc w:val="left"/>
        <w:rPr>
          <w:sz w:val="21"/>
        </w:rPr>
      </w:pPr>
      <w:r>
        <w:rPr>
          <w:spacing w:val="-4"/>
          <w:sz w:val="21"/>
        </w:rPr>
        <w:t>肝性脑病</w:t>
      </w:r>
    </w:p>
    <w:p>
      <w:pPr>
        <w:pStyle w:val="ListParagraph"/>
        <w:numPr>
          <w:ilvl w:val="0"/>
          <w:numId w:val="82"/>
        </w:numPr>
        <w:tabs>
          <w:tab w:pos="3118" w:val="left" w:leader="none"/>
        </w:tabs>
        <w:spacing w:line="278" w:lineRule="auto" w:before="43" w:after="0"/>
        <w:ind w:left="2588" w:right="2427" w:firstLine="0"/>
        <w:jc w:val="left"/>
        <w:rPr>
          <w:sz w:val="21"/>
        </w:rPr>
      </w:pPr>
      <w:r>
        <w:rPr>
          <w:spacing w:val="-2"/>
          <w:sz w:val="21"/>
        </w:rPr>
        <w:t>充血性脾肿大伴脾功能亢进或食管胃底静脉曲张。</w:t>
      </w:r>
      <w:r>
        <w:rPr>
          <w:color w:val="000000"/>
          <w:spacing w:val="-2"/>
          <w:sz w:val="21"/>
          <w:shd w:fill="D9D9D9" w:color="auto" w:val="clear"/>
        </w:rPr>
        <w:t>因酗酒或药物滥用导致的肝功能衰竭不在保障范围内。</w:t>
      </w:r>
    </w:p>
    <w:p>
      <w:pPr>
        <w:pStyle w:val="BodyText"/>
        <w:spacing w:before="10"/>
        <w:rPr>
          <w:sz w:val="18"/>
        </w:rPr>
      </w:pPr>
    </w:p>
    <w:p>
      <w:pPr>
        <w:pStyle w:val="BodyText"/>
        <w:spacing w:line="278" w:lineRule="auto" w:before="71"/>
        <w:ind w:left="2588" w:right="296"/>
        <w:jc w:val="both"/>
      </w:pPr>
      <w:r>
        <w:rPr>
          <w:color w:val="000000"/>
          <w:spacing w:val="-20"/>
          <w:shd w:fill="D9D9D9" w:color="auto" w:val="clear"/>
        </w:rPr>
        <w:t>本公司对 “病毒性肝炎导致的肝硬化”、“慢性肝功能衰竭”、“肝叶切除”三项</w:t>
      </w:r>
      <w:r>
        <w:rPr>
          <w:color w:val="000000"/>
          <w:spacing w:val="40"/>
          <w:shd w:fill="D9D9D9" w:color="auto" w:val="clear"/>
        </w:rPr>
        <w:t> </w:t>
      </w:r>
      <w:r>
        <w:rPr>
          <w:color w:val="000000"/>
          <w:spacing w:val="-4"/>
          <w:shd w:fill="D9D9D9" w:color="auto" w:val="clear"/>
        </w:rPr>
        <w:t>中的其中一项承担保险责任，给付其中一项保险金后，对另外两项轻症疾病保险</w:t>
      </w:r>
      <w:r>
        <w:rPr>
          <w:color w:val="000000"/>
          <w:spacing w:val="-2"/>
          <w:shd w:fill="D9D9D9" w:color="auto" w:val="clear"/>
        </w:rPr>
        <w:t>责任同时终止。</w:t>
      </w:r>
    </w:p>
    <w:p>
      <w:pPr>
        <w:pStyle w:val="BodyText"/>
        <w:spacing w:before="1"/>
        <w:rPr>
          <w:sz w:val="19"/>
        </w:rPr>
      </w:pPr>
    </w:p>
    <w:p>
      <w:pPr>
        <w:pStyle w:val="Heading3"/>
        <w:ind w:left="2588"/>
      </w:pPr>
      <w:r>
        <w:rPr/>
        <w:t>（二十三）</w:t>
      </w:r>
      <w:r>
        <w:rPr>
          <w:spacing w:val="-2"/>
        </w:rPr>
        <w:t>心脏瓣膜介入手术</w:t>
      </w:r>
    </w:p>
    <w:p>
      <w:pPr>
        <w:pStyle w:val="BodyText"/>
        <w:spacing w:line="265" w:lineRule="exact"/>
        <w:ind w:left="2588"/>
      </w:pPr>
      <w:r>
        <w:rPr>
          <w:spacing w:val="-10"/>
        </w:rPr>
        <w:t>为了治疗心脏瓣膜疾病，实际实施了经皮经导管介入手术进行的心脏瓣膜置换或</w:t>
      </w:r>
    </w:p>
    <w:p>
      <w:pPr>
        <w:pStyle w:val="BodyText"/>
        <w:spacing w:line="249" w:lineRule="exact" w:before="43"/>
        <w:ind w:left="2588"/>
      </w:pPr>
      <w:r>
        <w:rPr>
          <w:spacing w:val="-4"/>
        </w:rPr>
        <w:t>者修复手术。</w:t>
      </w:r>
    </w:p>
    <w:p>
      <w:pPr>
        <w:spacing w:line="31" w:lineRule="exact" w:before="0"/>
        <w:ind w:left="0" w:right="3189" w:firstLine="0"/>
        <w:jc w:val="center"/>
        <w:rPr>
          <w:sz w:val="4"/>
        </w:rPr>
      </w:pPr>
      <w:r>
        <w:rPr>
          <w:w w:val="72"/>
          <w:sz w:val="4"/>
        </w:rPr>
        <w:t>●</w:t>
      </w:r>
    </w:p>
    <w:p>
      <w:pPr>
        <w:pStyle w:val="BodyText"/>
        <w:spacing w:before="7"/>
        <w:rPr>
          <w:sz w:val="24"/>
        </w:rPr>
      </w:pPr>
      <w:r>
        <w:rPr/>
        <w:drawing>
          <wp:anchor distT="0" distB="0" distL="0" distR="0" allowOverlap="1" layoutInCell="1" locked="0" behindDoc="1" simplePos="0" relativeHeight="485677568">
            <wp:simplePos x="0" y="0"/>
            <wp:positionH relativeFrom="page">
              <wp:posOffset>2228088</wp:posOffset>
            </wp:positionH>
            <wp:positionV relativeFrom="paragraph">
              <wp:posOffset>215503</wp:posOffset>
            </wp:positionV>
            <wp:extent cx="4614671" cy="374904"/>
            <wp:effectExtent l="0" t="0" r="0" b="0"/>
            <wp:wrapNone/>
            <wp:docPr id="79" name="image11.png"/>
            <wp:cNvGraphicFramePr>
              <a:graphicFrameLocks noChangeAspect="1"/>
            </wp:cNvGraphicFramePr>
            <a:graphic>
              <a:graphicData uri="http://schemas.openxmlformats.org/drawingml/2006/picture">
                <pic:pic>
                  <pic:nvPicPr>
                    <pic:cNvPr id="80" name="image11.png"/>
                    <pic:cNvPicPr/>
                  </pic:nvPicPr>
                  <pic:blipFill>
                    <a:blip r:embed="rId15" cstate="print"/>
                    <a:stretch>
                      <a:fillRect/>
                    </a:stretch>
                  </pic:blipFill>
                  <pic:spPr>
                    <a:xfrm>
                      <a:off x="0" y="0"/>
                      <a:ext cx="4614671" cy="374904"/>
                    </a:xfrm>
                    <a:prstGeom prst="rect">
                      <a:avLst/>
                    </a:prstGeom>
                  </pic:spPr>
                </pic:pic>
              </a:graphicData>
            </a:graphic>
          </wp:anchor>
        </w:drawing>
      </w:r>
      <w:r>
        <w:rPr/>
        <w:pict>
          <v:shape style="position:absolute;margin-left:175.440002pt;margin-top:16.968782pt;width:367.7pt;height:29.55pt;mso-position-horizontal-relative:page;mso-position-vertical-relative:paragraph;z-index:-17638400" type="#_x0000_t202" id="docshape181" filled="false" stroked="false">
            <v:textbox inset="0,0,0,0">
              <w:txbxContent>
                <w:p>
                  <w:pPr>
                    <w:pStyle w:val="BodyText"/>
                    <w:spacing w:before="10"/>
                    <w:rPr>
                      <w:sz w:val="24"/>
                    </w:rPr>
                  </w:pPr>
                </w:p>
                <w:p>
                  <w:pPr>
                    <w:pStyle w:val="BodyText"/>
                  </w:pPr>
                  <w:r>
                    <w:rPr>
                      <w:spacing w:val="-3"/>
                    </w:rPr>
                    <w:t>担保险责任，给付其中一项保险金后，对另外一项轻症疾病保险责任同时终止。</w:t>
                  </w:r>
                </w:p>
              </w:txbxContent>
            </v:textbox>
            <w10:wrap type="none"/>
          </v:shape>
        </w:pict>
      </w:r>
      <w:r>
        <w:rPr/>
        <w:pict>
          <v:shape style="position:absolute;margin-left:175.440002pt;margin-top:16.968782pt;width:363.4pt;height:13.95pt;mso-position-horizontal-relative:page;mso-position-vertical-relative:paragraph;z-index:-15615488;mso-wrap-distance-left:0;mso-wrap-distance-right:0" type="#_x0000_t202" id="docshape182" filled="true" fillcolor="#d9d9d9" stroked="false">
            <v:textbox inset="0,0,0,0">
              <w:txbxContent>
                <w:p>
                  <w:pPr>
                    <w:pStyle w:val="BodyText"/>
                    <w:spacing w:before="6"/>
                    <w:ind w:right="-15"/>
                    <w:rPr>
                      <w:color w:val="000000"/>
                    </w:rPr>
                  </w:pPr>
                  <w:r>
                    <w:rPr>
                      <w:color w:val="000000"/>
                      <w:spacing w:val="-5"/>
                    </w:rPr>
                    <w:t>本公司对“中度感染性心内膜炎”和“心脏瓣膜介入手术”两项中的其中一项承</w:t>
                  </w:r>
                </w:p>
              </w:txbxContent>
            </v:textbox>
            <v:fill type="solid"/>
            <w10:wrap type="topAndBottom"/>
          </v:shape>
        </w:pict>
      </w:r>
    </w:p>
    <w:p>
      <w:pPr>
        <w:pStyle w:val="BodyText"/>
        <w:spacing w:before="10"/>
      </w:pPr>
    </w:p>
    <w:p>
      <w:pPr>
        <w:pStyle w:val="Heading3"/>
        <w:spacing w:before="5"/>
        <w:ind w:left="2588"/>
      </w:pPr>
      <w:r>
        <w:rPr/>
        <w:t>（二十四）</w:t>
      </w:r>
      <w:r>
        <w:rPr>
          <w:spacing w:val="-2"/>
        </w:rPr>
        <w:t>中度阿尔茨海默病</w:t>
      </w:r>
    </w:p>
    <w:p>
      <w:pPr>
        <w:pStyle w:val="BodyText"/>
        <w:spacing w:line="278" w:lineRule="auto"/>
        <w:ind w:left="2588" w:right="301"/>
        <w:jc w:val="both"/>
      </w:pPr>
      <w:r>
        <w:rPr>
          <w:spacing w:val="-4"/>
        </w:rPr>
        <w:t>指因大脑进行性、不可逆性改变导致智能严重衰退或丧失，临床表现为明显的认</w:t>
      </w:r>
      <w:r>
        <w:rPr>
          <w:spacing w:val="-4"/>
        </w:rPr>
        <w:t>知能力障碍、行为异常和社交能力减退，其日常生活必须持续受到他人监护。须</w:t>
      </w:r>
      <w:r>
        <w:rPr>
          <w:spacing w:val="-2"/>
        </w:rPr>
        <w:t>由头颅断层扫描(CT)、核磁共振检查（MRI）或正电子发射断层扫描（PET）等影</w:t>
      </w:r>
      <w:r>
        <w:rPr>
          <w:spacing w:val="-4"/>
        </w:rPr>
        <w:t>像学检查证实，并且自主生活能力严重丧失，经鉴定无法独立完成六项基本日常</w:t>
      </w:r>
      <w:r>
        <w:rPr>
          <w:spacing w:val="-4"/>
        </w:rPr>
        <w:t>生活活动中的两项，但未达到本合同所指重大疾病“严重阿尔茨海默病”或“瘫</w:t>
      </w:r>
      <w:r>
        <w:rPr>
          <w:spacing w:val="-2"/>
        </w:rPr>
        <w:t>痪”的给付标准。</w:t>
      </w:r>
    </w:p>
    <w:p>
      <w:pPr>
        <w:pStyle w:val="BodyText"/>
        <w:spacing w:line="269" w:lineRule="exact"/>
        <w:ind w:left="2588"/>
      </w:pPr>
      <w:r>
        <w:rPr>
          <w:color w:val="000000"/>
          <w:spacing w:val="-3"/>
          <w:shd w:fill="D9D9D9" w:color="auto" w:val="clear"/>
        </w:rPr>
        <w:t>以下情况不在保障范围内：</w:t>
      </w:r>
    </w:p>
    <w:p>
      <w:pPr>
        <w:pStyle w:val="ListParagraph"/>
        <w:numPr>
          <w:ilvl w:val="0"/>
          <w:numId w:val="83"/>
        </w:numPr>
        <w:tabs>
          <w:tab w:pos="3118" w:val="left" w:leader="none"/>
        </w:tabs>
        <w:spacing w:line="240" w:lineRule="auto" w:before="39" w:after="0"/>
        <w:ind w:left="3117" w:right="0" w:hanging="530"/>
        <w:jc w:val="left"/>
        <w:rPr>
          <w:sz w:val="21"/>
        </w:rPr>
      </w:pPr>
      <w:r>
        <w:rPr>
          <w:color w:val="000000"/>
          <w:spacing w:val="-4"/>
          <w:sz w:val="21"/>
          <w:shd w:fill="D9D9D9" w:color="auto" w:val="clear"/>
        </w:rPr>
        <w:t>存在酒精滥用、药物滥用或获得性免疫缺陷综合征（AIDS）</w:t>
      </w:r>
      <w:r>
        <w:rPr>
          <w:color w:val="000000"/>
          <w:spacing w:val="-5"/>
          <w:sz w:val="21"/>
          <w:shd w:fill="D9D9D9" w:color="auto" w:val="clear"/>
        </w:rPr>
        <w:t>情况下的痴呆；</w:t>
      </w:r>
    </w:p>
    <w:p>
      <w:pPr>
        <w:pStyle w:val="ListParagraph"/>
        <w:numPr>
          <w:ilvl w:val="0"/>
          <w:numId w:val="83"/>
        </w:numPr>
        <w:tabs>
          <w:tab w:pos="3118" w:val="left" w:leader="none"/>
        </w:tabs>
        <w:spacing w:line="240" w:lineRule="auto" w:before="43" w:after="0"/>
        <w:ind w:left="3117" w:right="0" w:hanging="530"/>
        <w:jc w:val="left"/>
        <w:rPr>
          <w:sz w:val="21"/>
        </w:rPr>
      </w:pPr>
      <w:r>
        <w:rPr>
          <w:color w:val="000000"/>
          <w:spacing w:val="-3"/>
          <w:sz w:val="21"/>
          <w:shd w:fill="D9D9D9" w:color="auto" w:val="clear"/>
        </w:rPr>
        <w:t>神经官能症和精神疾病。</w:t>
      </w:r>
    </w:p>
    <w:p>
      <w:pPr>
        <w:pStyle w:val="BodyText"/>
        <w:spacing w:before="5"/>
        <w:rPr>
          <w:sz w:val="22"/>
        </w:rPr>
      </w:pPr>
    </w:p>
    <w:p>
      <w:pPr>
        <w:pStyle w:val="Heading3"/>
        <w:ind w:left="2588"/>
      </w:pPr>
      <w:r>
        <w:rPr/>
        <w:t>（二十五）</w:t>
      </w:r>
      <w:r>
        <w:rPr>
          <w:spacing w:val="-1"/>
        </w:rPr>
        <w:t>中度原发性帕金森氏病</w:t>
      </w:r>
    </w:p>
    <w:p>
      <w:pPr>
        <w:pStyle w:val="BodyText"/>
        <w:spacing w:line="278" w:lineRule="auto"/>
        <w:ind w:left="2588" w:right="296"/>
      </w:pPr>
      <w:r>
        <w:rPr>
          <w:spacing w:val="-4"/>
        </w:rPr>
        <w:t>是一种中枢神经系统的退行性疾病，临床表现为震颤麻痹、共济失调等。须同时</w:t>
      </w:r>
      <w:r>
        <w:rPr>
          <w:spacing w:val="-18"/>
        </w:rPr>
        <w:t>符合下列所有条件，且未达到本合同所指重大疾病“严重原发性帕金森病”或“瘫</w:t>
      </w:r>
    </w:p>
    <w:p>
      <w:pPr>
        <w:spacing w:after="0" w:line="278" w:lineRule="auto"/>
        <w:sectPr>
          <w:pgSz w:w="11910" w:h="16840"/>
          <w:pgMar w:top="1080" w:bottom="280" w:left="920" w:right="820"/>
        </w:sectPr>
      </w:pPr>
    </w:p>
    <w:p>
      <w:pPr>
        <w:pStyle w:val="BodyText"/>
        <w:spacing w:before="59"/>
        <w:ind w:left="2588"/>
      </w:pPr>
      <w:r>
        <w:rPr>
          <w:spacing w:val="-4"/>
        </w:rPr>
        <w:t>痪”的给付标准：</w:t>
      </w:r>
    </w:p>
    <w:p>
      <w:pPr>
        <w:pStyle w:val="ListParagraph"/>
        <w:numPr>
          <w:ilvl w:val="0"/>
          <w:numId w:val="84"/>
        </w:numPr>
        <w:tabs>
          <w:tab w:pos="3118" w:val="left" w:leader="none"/>
        </w:tabs>
        <w:spacing w:line="240" w:lineRule="auto" w:before="43" w:after="0"/>
        <w:ind w:left="3117" w:right="0" w:hanging="530"/>
        <w:jc w:val="left"/>
        <w:rPr>
          <w:sz w:val="21"/>
        </w:rPr>
      </w:pPr>
      <w:r>
        <w:rPr>
          <w:spacing w:val="-3"/>
          <w:sz w:val="21"/>
        </w:rPr>
        <w:t>无法通过药物控制；</w:t>
      </w:r>
    </w:p>
    <w:p>
      <w:pPr>
        <w:pStyle w:val="ListParagraph"/>
        <w:numPr>
          <w:ilvl w:val="0"/>
          <w:numId w:val="84"/>
        </w:numPr>
        <w:tabs>
          <w:tab w:pos="3118" w:val="left" w:leader="none"/>
        </w:tabs>
        <w:spacing w:line="240" w:lineRule="auto" w:before="43" w:after="0"/>
        <w:ind w:left="3117" w:right="0" w:hanging="530"/>
        <w:jc w:val="left"/>
        <w:rPr>
          <w:sz w:val="21"/>
        </w:rPr>
      </w:pPr>
      <w:r>
        <w:rPr>
          <w:spacing w:val="-3"/>
          <w:sz w:val="21"/>
        </w:rPr>
        <w:t>出现逐步退化客观征状；</w:t>
      </w:r>
    </w:p>
    <w:p>
      <w:pPr>
        <w:pStyle w:val="ListParagraph"/>
        <w:numPr>
          <w:ilvl w:val="0"/>
          <w:numId w:val="84"/>
        </w:numPr>
        <w:tabs>
          <w:tab w:pos="3118" w:val="left" w:leader="none"/>
        </w:tabs>
        <w:spacing w:line="278" w:lineRule="auto" w:before="43" w:after="0"/>
        <w:ind w:left="2588" w:right="536" w:firstLine="0"/>
        <w:jc w:val="left"/>
        <w:rPr>
          <w:sz w:val="21"/>
        </w:rPr>
      </w:pPr>
      <w:r>
        <w:rPr>
          <w:spacing w:val="-7"/>
          <w:sz w:val="21"/>
        </w:rPr>
        <w:t>经鉴定至少持续 </w:t>
      </w:r>
      <w:r>
        <w:rPr>
          <w:spacing w:val="-2"/>
          <w:sz w:val="21"/>
        </w:rPr>
        <w:t>180</w:t>
      </w:r>
      <w:r>
        <w:rPr>
          <w:spacing w:val="-8"/>
          <w:sz w:val="21"/>
        </w:rPr>
        <w:t> 天无法独立完成六项基本日常生活活动中的两项。</w:t>
      </w:r>
      <w:r>
        <w:rPr>
          <w:color w:val="000000"/>
          <w:spacing w:val="-2"/>
          <w:sz w:val="21"/>
          <w:shd w:fill="D9D9D9" w:color="auto" w:val="clear"/>
        </w:rPr>
        <w:t>继发性帕金森综合征不在保障范围内。</w:t>
      </w:r>
    </w:p>
    <w:p>
      <w:pPr>
        <w:pStyle w:val="BodyText"/>
        <w:spacing w:before="1"/>
        <w:rPr>
          <w:sz w:val="19"/>
        </w:rPr>
      </w:pPr>
    </w:p>
    <w:p>
      <w:pPr>
        <w:pStyle w:val="Heading3"/>
        <w:ind w:left="2588"/>
      </w:pPr>
      <w:r>
        <w:rPr/>
        <w:t>（二十六）</w:t>
      </w:r>
      <w:r>
        <w:rPr>
          <w:spacing w:val="-1"/>
        </w:rPr>
        <w:t>全身较小面积Ⅲ度烧伤</w:t>
      </w:r>
    </w:p>
    <w:p>
      <w:pPr>
        <w:pStyle w:val="BodyText"/>
        <w:spacing w:line="278" w:lineRule="auto"/>
        <w:ind w:left="2588" w:right="301"/>
        <w:jc w:val="both"/>
      </w:pPr>
      <w:r>
        <w:rPr>
          <w:spacing w:val="-4"/>
        </w:rPr>
        <w:t>指烧伤程度为Ⅲ度，即全层皮肤烧伤，包括表皮、真皮和皮下组织，且Ⅲ度烧伤</w:t>
      </w:r>
      <w:r>
        <w:rPr>
          <w:spacing w:val="-3"/>
        </w:rPr>
        <w:t>的面积达到全身体表面积的 </w:t>
      </w:r>
      <w:r>
        <w:rPr>
          <w:spacing w:val="-2"/>
        </w:rPr>
        <w:t>10%</w:t>
      </w:r>
      <w:r>
        <w:rPr>
          <w:spacing w:val="-6"/>
        </w:rPr>
        <w:t>或 </w:t>
      </w:r>
      <w:r>
        <w:rPr>
          <w:spacing w:val="-2"/>
        </w:rPr>
        <w:t>10</w:t>
      </w:r>
      <w:r>
        <w:rPr>
          <w:spacing w:val="-4"/>
        </w:rPr>
        <w:t>%以上且未达到 </w:t>
      </w:r>
      <w:r>
        <w:rPr>
          <w:spacing w:val="-2"/>
        </w:rPr>
        <w:t>15%。体表面积根据《中国</w:t>
      </w:r>
      <w:r>
        <w:rPr>
          <w:spacing w:val="-2"/>
        </w:rPr>
        <w:t>新九分法》计算。</w:t>
      </w:r>
    </w:p>
    <w:p>
      <w:pPr>
        <w:pStyle w:val="BodyText"/>
        <w:spacing w:before="6"/>
        <w:rPr>
          <w:sz w:val="18"/>
        </w:rPr>
      </w:pPr>
    </w:p>
    <w:p>
      <w:pPr>
        <w:pStyle w:val="BodyText"/>
        <w:spacing w:before="71"/>
        <w:ind w:left="2588"/>
      </w:pPr>
      <w:r>
        <w:rPr/>
        <w:pict>
          <v:shape style="position:absolute;margin-left:175.440002pt;margin-top:18.849983pt;width:363.4pt;height:13.95pt;mso-position-horizontal-relative:page;mso-position-vertical-relative:paragraph;z-index:-15614976;mso-wrap-distance-left:0;mso-wrap-distance-right:0" type="#_x0000_t202" id="docshape183" filled="true" fillcolor="#d9d9d9" stroked="false">
            <v:textbox inset="0,0,0,0">
              <w:txbxContent>
                <w:p>
                  <w:pPr>
                    <w:pStyle w:val="BodyText"/>
                    <w:spacing w:line="248" w:lineRule="exact" w:before="6"/>
                    <w:ind w:right="-15"/>
                    <w:rPr>
                      <w:color w:val="000000"/>
                    </w:rPr>
                  </w:pPr>
                  <w:r>
                    <w:rPr>
                      <w:color w:val="000000"/>
                      <w:spacing w:val="-5"/>
                    </w:rPr>
                    <w:t>三项中的其中一项承担保险责任，给付其中一项保险金后，对另外两项轻症疾病</w:t>
                  </w:r>
                </w:p>
                <w:p>
                  <w:pPr>
                    <w:spacing w:line="24" w:lineRule="exact" w:before="0"/>
                    <w:ind w:left="0" w:right="343" w:firstLine="0"/>
                    <w:jc w:val="right"/>
                    <w:rPr>
                      <w:color w:val="000000"/>
                      <w:sz w:val="4"/>
                    </w:rPr>
                  </w:pPr>
                  <w:r>
                    <w:rPr>
                      <w:color w:val="000000"/>
                      <w:w w:val="72"/>
                      <w:sz w:val="4"/>
                    </w:rPr>
                    <w:t>●</w:t>
                  </w:r>
                </w:p>
              </w:txbxContent>
            </v:textbox>
            <v:fill type="solid"/>
            <w10:wrap type="topAndBottom"/>
          </v:shape>
        </w:pict>
      </w:r>
      <w:r>
        <w:rPr>
          <w:color w:val="000000"/>
          <w:spacing w:val="-10"/>
          <w:shd w:fill="D9D9D9" w:color="auto" w:val="clear"/>
        </w:rPr>
        <w:t>本公司对“轻度面部Ⅲ度烧伤”、“面部重建手术”和“全身较小面积Ⅲ度烧伤”</w:t>
      </w:r>
    </w:p>
    <w:p>
      <w:pPr>
        <w:pStyle w:val="BodyText"/>
        <w:spacing w:before="39"/>
        <w:ind w:left="2588"/>
      </w:pPr>
      <w:r>
        <w:rPr>
          <w:color w:val="000000"/>
          <w:spacing w:val="-3"/>
          <w:shd w:fill="D9D9D9" w:color="auto" w:val="clear"/>
        </w:rPr>
        <w:t>保险责任同时终止。</w:t>
      </w:r>
    </w:p>
    <w:p>
      <w:pPr>
        <w:pStyle w:val="BodyText"/>
        <w:spacing w:before="6"/>
        <w:rPr>
          <w:sz w:val="22"/>
        </w:rPr>
      </w:pPr>
    </w:p>
    <w:p>
      <w:pPr>
        <w:pStyle w:val="Heading3"/>
        <w:spacing w:line="320" w:lineRule="exact"/>
        <w:ind w:left="2588"/>
      </w:pPr>
      <w:r>
        <w:rPr/>
        <w:t>（二十七）</w:t>
      </w:r>
      <w:r>
        <w:rPr>
          <w:spacing w:val="-2"/>
        </w:rPr>
        <w:t>冠状动脉介入手术</w:t>
      </w:r>
    </w:p>
    <w:p>
      <w:pPr>
        <w:spacing w:line="26" w:lineRule="exact" w:before="0"/>
        <w:ind w:left="0" w:right="1499" w:firstLine="0"/>
        <w:jc w:val="center"/>
        <w:rPr>
          <w:sz w:val="4"/>
        </w:rPr>
      </w:pPr>
      <w:r>
        <w:rPr>
          <w:w w:val="72"/>
          <w:sz w:val="4"/>
        </w:rPr>
        <w:t>●</w:t>
      </w:r>
    </w:p>
    <w:p>
      <w:pPr>
        <w:pStyle w:val="BodyText"/>
        <w:spacing w:line="278" w:lineRule="auto" w:before="33"/>
        <w:ind w:left="2588" w:right="219"/>
      </w:pPr>
      <w:r>
        <w:rPr>
          <w:w w:val="100"/>
        </w:rPr>
        <w:t>为了治疗明显的冠状动脉狭窄性疾病，首次实际实施了冠状动脉球囊扩张成形</w:t>
      </w:r>
      <w:r>
        <w:rPr>
          <w:spacing w:val="-6"/>
          <w:w w:val="100"/>
        </w:rPr>
        <w:t>术、冠状动脉支架植入术、冠状动脉粥肿斑块切除术或者激光冠状动脉成形术。</w:t>
      </w:r>
      <w:r>
        <w:rPr>
          <w:spacing w:val="-5"/>
          <w:w w:val="100"/>
        </w:rPr>
        <w:t>并且未达到本合同所指重大疾病“较重急性心肌梗死”的给付标准。</w:t>
      </w:r>
    </w:p>
    <w:p>
      <w:pPr>
        <w:pStyle w:val="BodyText"/>
        <w:spacing w:before="9"/>
        <w:rPr>
          <w:sz w:val="18"/>
        </w:rPr>
      </w:pPr>
    </w:p>
    <w:p>
      <w:pPr>
        <w:pStyle w:val="BodyText"/>
        <w:spacing w:line="278" w:lineRule="auto" w:before="72"/>
        <w:ind w:left="2588" w:right="195"/>
      </w:pPr>
      <w:r>
        <w:rPr>
          <w:color w:val="000000"/>
          <w:spacing w:val="-12"/>
          <w:shd w:fill="D9D9D9" w:color="auto" w:val="clear"/>
        </w:rPr>
        <w:t>本公司对“较轻急性心肌梗死”</w:t>
      </w:r>
      <w:r>
        <w:rPr>
          <w:color w:val="000000"/>
          <w:spacing w:val="-18"/>
          <w:shd w:fill="D9D9D9" w:color="auto" w:val="clear"/>
        </w:rPr>
        <w:t>、“激光心肌血运重建术”和“冠状动脉介入手术”</w:t>
      </w:r>
      <w:r>
        <w:rPr>
          <w:color w:val="000000"/>
          <w:spacing w:val="80"/>
          <w:w w:val="150"/>
          <w:shd w:fill="D9D9D9" w:color="auto" w:val="clear"/>
        </w:rPr>
        <w:t>                                        </w:t>
      </w:r>
      <w:r>
        <w:rPr>
          <w:color w:val="000000"/>
          <w:spacing w:val="-2"/>
          <w:shd w:fill="D9D9D9" w:color="auto" w:val="clear"/>
        </w:rPr>
        <w:t>三项中的其中一项承担保险责任，给付其中一项保险金后，对另外两项轻症疾病</w:t>
      </w:r>
      <w:r>
        <w:rPr>
          <w:color w:val="000000"/>
          <w:spacing w:val="-2"/>
          <w:shd w:fill="D9D9D9" w:color="auto" w:val="clear"/>
        </w:rPr>
        <w:t>保险责任同时终止。</w:t>
      </w:r>
    </w:p>
    <w:p>
      <w:pPr>
        <w:pStyle w:val="BodyText"/>
        <w:spacing w:before="1"/>
        <w:rPr>
          <w:sz w:val="19"/>
        </w:rPr>
      </w:pPr>
    </w:p>
    <w:p>
      <w:pPr>
        <w:pStyle w:val="Heading3"/>
        <w:ind w:left="2588"/>
      </w:pPr>
      <w:r>
        <w:rPr/>
        <w:t>（二十八）</w:t>
      </w:r>
      <w:r>
        <w:rPr>
          <w:spacing w:val="-3"/>
        </w:rPr>
        <w:t>肝叶切除</w:t>
      </w:r>
    </w:p>
    <w:p>
      <w:pPr>
        <w:pStyle w:val="BodyText"/>
        <w:spacing w:line="278" w:lineRule="auto"/>
        <w:ind w:left="2588" w:right="195"/>
      </w:pPr>
      <w:r>
        <w:rPr>
          <w:spacing w:val="-7"/>
        </w:rPr>
        <w:t>指因疾病或意外伤害导致肝脏严重损害，已经实施了肝左叶切除手术或肝右叶切</w:t>
      </w:r>
      <w:r>
        <w:rPr>
          <w:spacing w:val="-4"/>
        </w:rPr>
        <w:t>除手术（备注：本定义是按肝脏的传统解剖分段法将肝脏分为肝左叶和肝右叶</w:t>
      </w:r>
      <w:r>
        <w:rPr>
          <w:spacing w:val="-106"/>
        </w:rPr>
        <w:t>）</w:t>
      </w:r>
      <w:r>
        <w:rPr>
          <w:spacing w:val="-4"/>
        </w:rPr>
        <w:t>。</w:t>
      </w:r>
      <w:r>
        <w:rPr>
          <w:color w:val="000000"/>
          <w:spacing w:val="-2"/>
          <w:shd w:fill="D9D9D9" w:color="auto" w:val="clear"/>
        </w:rPr>
        <w:t>下列情况不在保障范围内：</w:t>
      </w:r>
    </w:p>
    <w:p>
      <w:pPr>
        <w:pStyle w:val="ListParagraph"/>
        <w:numPr>
          <w:ilvl w:val="0"/>
          <w:numId w:val="85"/>
        </w:numPr>
        <w:tabs>
          <w:tab w:pos="3118" w:val="left" w:leader="none"/>
        </w:tabs>
        <w:spacing w:line="240" w:lineRule="auto" w:before="0" w:after="0"/>
        <w:ind w:left="3117" w:right="0" w:hanging="530"/>
        <w:jc w:val="left"/>
        <w:rPr>
          <w:sz w:val="21"/>
        </w:rPr>
      </w:pPr>
      <w:r>
        <w:rPr>
          <w:color w:val="000000"/>
          <w:spacing w:val="-3"/>
          <w:sz w:val="21"/>
          <w:shd w:fill="D9D9D9" w:color="auto" w:val="clear"/>
        </w:rPr>
        <w:t>肝区切除、肝段切除手术；</w:t>
      </w:r>
    </w:p>
    <w:p>
      <w:pPr>
        <w:pStyle w:val="ListParagraph"/>
        <w:numPr>
          <w:ilvl w:val="0"/>
          <w:numId w:val="85"/>
        </w:numPr>
        <w:tabs>
          <w:tab w:pos="3118" w:val="left" w:leader="none"/>
        </w:tabs>
        <w:spacing w:line="240" w:lineRule="auto" w:before="39" w:after="0"/>
        <w:ind w:left="3117" w:right="0" w:hanging="530"/>
        <w:jc w:val="left"/>
        <w:rPr>
          <w:sz w:val="21"/>
        </w:rPr>
      </w:pPr>
      <w:r>
        <w:rPr>
          <w:color w:val="000000"/>
          <w:spacing w:val="-3"/>
          <w:sz w:val="21"/>
          <w:shd w:fill="D9D9D9" w:color="auto" w:val="clear"/>
        </w:rPr>
        <w:t>因酒精或者滥用药物引致的疾病或者紊乱；</w:t>
      </w:r>
    </w:p>
    <w:p>
      <w:pPr>
        <w:pStyle w:val="ListParagraph"/>
        <w:numPr>
          <w:ilvl w:val="0"/>
          <w:numId w:val="85"/>
        </w:numPr>
        <w:tabs>
          <w:tab w:pos="3118" w:val="left" w:leader="none"/>
        </w:tabs>
        <w:spacing w:line="240" w:lineRule="auto" w:before="43" w:after="0"/>
        <w:ind w:left="3117" w:right="0" w:hanging="530"/>
        <w:jc w:val="left"/>
        <w:rPr>
          <w:sz w:val="21"/>
        </w:rPr>
      </w:pPr>
      <w:r>
        <w:rPr>
          <w:color w:val="000000"/>
          <w:spacing w:val="-3"/>
          <w:sz w:val="21"/>
          <w:shd w:fill="D9D9D9" w:color="auto" w:val="clear"/>
        </w:rPr>
        <w:t>因恶性肿瘤进行的肝切除手术；</w:t>
      </w:r>
    </w:p>
    <w:p>
      <w:pPr>
        <w:pStyle w:val="ListParagraph"/>
        <w:numPr>
          <w:ilvl w:val="0"/>
          <w:numId w:val="85"/>
        </w:numPr>
        <w:tabs>
          <w:tab w:pos="3118" w:val="left" w:leader="none"/>
        </w:tabs>
        <w:spacing w:line="240" w:lineRule="auto" w:before="43" w:after="0"/>
        <w:ind w:left="3117" w:right="0" w:hanging="530"/>
        <w:jc w:val="left"/>
        <w:rPr>
          <w:sz w:val="21"/>
        </w:rPr>
      </w:pPr>
      <w:r>
        <w:rPr>
          <w:color w:val="000000"/>
          <w:spacing w:val="-3"/>
          <w:sz w:val="21"/>
          <w:shd w:fill="D9D9D9" w:color="auto" w:val="clear"/>
        </w:rPr>
        <w:t>作为器官捐献者而实施的肝切除手术。</w:t>
      </w:r>
    </w:p>
    <w:p>
      <w:pPr>
        <w:pStyle w:val="BodyText"/>
        <w:spacing w:before="1"/>
        <w:rPr>
          <w:sz w:val="22"/>
        </w:rPr>
      </w:pPr>
    </w:p>
    <w:p>
      <w:pPr>
        <w:pStyle w:val="BodyText"/>
        <w:spacing w:line="278" w:lineRule="auto" w:before="72"/>
        <w:ind w:left="2588" w:right="301"/>
        <w:jc w:val="both"/>
      </w:pPr>
      <w:r>
        <w:rPr>
          <w:color w:val="000000"/>
          <w:spacing w:val="-13"/>
          <w:shd w:fill="D9D9D9" w:color="auto" w:val="clear"/>
        </w:rPr>
        <w:t>本公司对 “病毒性肝炎导致的肝硬化”、“慢性肝功能衰竭”和“肝叶切除”三</w:t>
      </w:r>
      <w:r>
        <w:rPr>
          <w:color w:val="000000"/>
          <w:spacing w:val="40"/>
          <w:shd w:fill="D9D9D9" w:color="auto" w:val="clear"/>
        </w:rPr>
        <w:t> </w:t>
      </w:r>
      <w:r>
        <w:rPr>
          <w:color w:val="000000"/>
          <w:spacing w:val="-4"/>
          <w:shd w:fill="D9D9D9" w:color="auto" w:val="clear"/>
        </w:rPr>
        <w:t>项中的其中一项承担保险责任，给付其中一项保险金后，对另外两项轻症疾病保</w:t>
      </w:r>
      <w:r>
        <w:rPr>
          <w:color w:val="000000"/>
          <w:spacing w:val="-2"/>
          <w:shd w:fill="D9D9D9" w:color="auto" w:val="clear"/>
        </w:rPr>
        <w:t>险责任同时终止。</w:t>
      </w:r>
    </w:p>
    <w:p>
      <w:pPr>
        <w:pStyle w:val="BodyText"/>
        <w:spacing w:before="1"/>
        <w:rPr>
          <w:sz w:val="19"/>
        </w:rPr>
      </w:pPr>
    </w:p>
    <w:p>
      <w:pPr>
        <w:pStyle w:val="Heading3"/>
        <w:ind w:left="2588"/>
      </w:pPr>
      <w:r>
        <w:rPr/>
        <w:t>（二十九）</w:t>
      </w:r>
      <w:r>
        <w:rPr>
          <w:spacing w:val="-3"/>
        </w:rPr>
        <w:t>单耳失聪</w:t>
      </w:r>
    </w:p>
    <w:p>
      <w:pPr>
        <w:pStyle w:val="BodyText"/>
        <w:spacing w:line="278" w:lineRule="auto"/>
        <w:ind w:left="2588" w:right="301"/>
      </w:pPr>
      <w:r>
        <w:rPr>
          <w:spacing w:val="-4"/>
        </w:rPr>
        <w:t>指因疾病或者意外伤害导致单耳听力永久不可逆性丧失，未达到重大疾病“双耳</w:t>
      </w:r>
      <w:r>
        <w:rPr>
          <w:spacing w:val="-4"/>
        </w:rPr>
        <w:t>失聪”的给付标准,但满足以下条件：在 </w:t>
      </w:r>
      <w:r>
        <w:rPr>
          <w:spacing w:val="-2"/>
        </w:rPr>
        <w:t>500</w:t>
      </w:r>
      <w:r>
        <w:rPr>
          <w:spacing w:val="-9"/>
        </w:rPr>
        <w:t> 赫兹、</w:t>
      </w:r>
      <w:r>
        <w:rPr>
          <w:spacing w:val="-2"/>
        </w:rPr>
        <w:t>1000</w:t>
      </w:r>
      <w:r>
        <w:rPr>
          <w:spacing w:val="-13"/>
        </w:rPr>
        <w:t> 赫兹和 </w:t>
      </w:r>
      <w:r>
        <w:rPr>
          <w:spacing w:val="-2"/>
        </w:rPr>
        <w:t>2000</w:t>
      </w:r>
      <w:r>
        <w:rPr>
          <w:spacing w:val="-11"/>
        </w:rPr>
        <w:t> 赫兹语音</w:t>
      </w:r>
    </w:p>
    <w:p>
      <w:pPr>
        <w:pStyle w:val="BodyText"/>
        <w:spacing w:line="278" w:lineRule="auto"/>
        <w:ind w:left="2588" w:right="301"/>
      </w:pPr>
      <w:r>
        <w:rPr>
          <w:spacing w:val="-4"/>
        </w:rPr>
        <w:t>频率下，平均听阈大于等于 </w:t>
      </w:r>
      <w:r>
        <w:rPr/>
        <w:t>91</w:t>
      </w:r>
      <w:r>
        <w:rPr>
          <w:spacing w:val="-7"/>
        </w:rPr>
        <w:t> 分贝，且经纯音听力测试、声导抗检测或者听觉</w:t>
      </w:r>
      <w:r>
        <w:rPr>
          <w:spacing w:val="-2"/>
        </w:rPr>
        <w:t>诱发电位检测等证实。</w:t>
      </w:r>
    </w:p>
    <w:p>
      <w:pPr>
        <w:pStyle w:val="BodyText"/>
        <w:spacing w:line="278" w:lineRule="auto"/>
        <w:ind w:left="2588" w:right="301"/>
      </w:pPr>
      <w:r>
        <w:rPr>
          <w:color w:val="000000"/>
          <w:spacing w:val="-4"/>
          <w:shd w:fill="D9D9D9" w:color="auto" w:val="clear"/>
        </w:rPr>
        <w:t>被保险人申请理赔时年龄必须在 </w:t>
      </w:r>
      <w:r>
        <w:rPr>
          <w:color w:val="000000"/>
          <w:shd w:fill="D9D9D9" w:color="auto" w:val="clear"/>
        </w:rPr>
        <w:t>3</w:t>
      </w:r>
      <w:r>
        <w:rPr>
          <w:color w:val="000000"/>
          <w:spacing w:val="-20"/>
          <w:shd w:fill="D9D9D9" w:color="auto" w:val="clear"/>
        </w:rPr>
        <w:t> 周岁以上，并且提供 </w:t>
      </w:r>
      <w:r>
        <w:rPr>
          <w:color w:val="000000"/>
          <w:shd w:fill="D9D9D9" w:color="auto" w:val="clear"/>
        </w:rPr>
        <w:t>3</w:t>
      </w:r>
      <w:r>
        <w:rPr>
          <w:color w:val="000000"/>
          <w:spacing w:val="-8"/>
          <w:shd w:fill="D9D9D9" w:color="auto" w:val="clear"/>
        </w:rPr>
        <w:t> 周岁以后的听力丧失诊</w:t>
      </w:r>
      <w:r>
        <w:rPr>
          <w:color w:val="000000"/>
          <w:spacing w:val="80"/>
          <w:w w:val="150"/>
          <w:shd w:fill="D9D9D9" w:color="auto" w:val="clear"/>
        </w:rPr>
        <w:t>                                       </w:t>
      </w:r>
      <w:r>
        <w:rPr>
          <w:color w:val="000000"/>
          <w:spacing w:val="-2"/>
          <w:shd w:fill="D9D9D9" w:color="auto" w:val="clear"/>
        </w:rPr>
        <w:t>断及检查证据。</w:t>
      </w:r>
    </w:p>
    <w:p>
      <w:pPr>
        <w:pStyle w:val="BodyText"/>
        <w:spacing w:before="5"/>
        <w:rPr>
          <w:sz w:val="18"/>
        </w:rPr>
      </w:pPr>
    </w:p>
    <w:p>
      <w:pPr>
        <w:pStyle w:val="BodyText"/>
        <w:spacing w:before="72"/>
        <w:ind w:left="2588"/>
      </w:pPr>
      <w:r>
        <w:rPr>
          <w:color w:val="000000"/>
          <w:spacing w:val="-16"/>
          <w:shd w:fill="D9D9D9" w:color="auto" w:val="clear"/>
        </w:rPr>
        <w:t>本公司对 “单耳失聪”、“人工耳蜗植入术”和“听力严重受损”三项中的其中</w:t>
      </w:r>
    </w:p>
    <w:p>
      <w:pPr>
        <w:spacing w:after="0"/>
        <w:sectPr>
          <w:pgSz w:w="11910" w:h="16840"/>
          <w:pgMar w:top="1080" w:bottom="280" w:left="920" w:right="820"/>
        </w:sectPr>
      </w:pPr>
    </w:p>
    <w:p>
      <w:pPr>
        <w:pStyle w:val="BodyText"/>
        <w:ind w:left="2588"/>
        <w:rPr>
          <w:sz w:val="20"/>
        </w:rPr>
      </w:pPr>
      <w:r>
        <w:rPr>
          <w:sz w:val="20"/>
        </w:rPr>
        <w:pict>
          <v:shape style="width:363.4pt;height:13.95pt;mso-position-horizontal-relative:char;mso-position-vertical-relative:line" type="#_x0000_t202" id="docshape184"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85"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6"/>
        <w:rPr>
          <w:sz w:val="20"/>
        </w:rPr>
      </w:pPr>
    </w:p>
    <w:p>
      <w:pPr>
        <w:pStyle w:val="Heading3"/>
        <w:spacing w:line="320" w:lineRule="exact" w:before="4"/>
        <w:ind w:left="2588"/>
      </w:pPr>
      <w:r>
        <w:rPr/>
        <w:t>（三十）</w:t>
      </w:r>
      <w:r>
        <w:rPr>
          <w:spacing w:val="-2"/>
        </w:rPr>
        <w:t>人工耳蜗植入术</w:t>
      </w:r>
    </w:p>
    <w:p>
      <w:pPr>
        <w:spacing w:line="26" w:lineRule="exact" w:before="0"/>
        <w:ind w:left="0" w:right="1077" w:firstLine="0"/>
        <w:jc w:val="center"/>
        <w:rPr>
          <w:sz w:val="4"/>
        </w:rPr>
      </w:pPr>
      <w:r>
        <w:rPr>
          <w:w w:val="72"/>
          <w:sz w:val="4"/>
        </w:rPr>
        <w:t>●</w:t>
      </w:r>
    </w:p>
    <w:p>
      <w:pPr>
        <w:pStyle w:val="BodyText"/>
        <w:spacing w:line="278" w:lineRule="auto" w:before="33"/>
        <w:ind w:left="2588" w:right="301"/>
      </w:pPr>
      <w:r>
        <w:rPr>
          <w:spacing w:val="-6"/>
        </w:rPr>
        <w:t>指由于耳蜗的永久损害而实际实施了人工耳蜗植入手术。诊断须经专科医生确认</w:t>
      </w:r>
      <w:r>
        <w:rPr>
          <w:spacing w:val="-2"/>
        </w:rPr>
        <w:t>在医学上是必要的，且在植入手术之前已经符合下列全部条件：</w:t>
      </w:r>
    </w:p>
    <w:p>
      <w:pPr>
        <w:pStyle w:val="ListParagraph"/>
        <w:numPr>
          <w:ilvl w:val="0"/>
          <w:numId w:val="86"/>
        </w:numPr>
        <w:tabs>
          <w:tab w:pos="3118" w:val="left" w:leader="none"/>
        </w:tabs>
        <w:spacing w:line="269" w:lineRule="exact" w:before="0" w:after="0"/>
        <w:ind w:left="3117"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86"/>
        </w:numPr>
        <w:tabs>
          <w:tab w:pos="3118" w:val="left" w:leader="none"/>
        </w:tabs>
        <w:spacing w:line="240" w:lineRule="auto" w:before="43" w:after="0"/>
        <w:ind w:left="3117" w:right="0" w:hanging="530"/>
        <w:jc w:val="left"/>
        <w:rPr>
          <w:sz w:val="21"/>
        </w:rPr>
      </w:pPr>
      <w:r>
        <w:rPr/>
        <w:pict>
          <v:shape style="position:absolute;margin-left:175.440002pt;margin-top:17.459589pt;width:363.4pt;height:13.95pt;mso-position-horizontal-relative:page;mso-position-vertical-relative:paragraph;z-index:-15613440;mso-wrap-distance-left:0;mso-wrap-distance-right:0" type="#_x0000_t202" id="docshape186" filled="true" fillcolor="#d9d9d9" stroked="false">
            <v:textbox inset="0,0,0,0">
              <w:txbxContent>
                <w:p>
                  <w:pPr>
                    <w:pStyle w:val="BodyText"/>
                    <w:spacing w:before="6"/>
                    <w:ind w:right="-15"/>
                    <w:rPr>
                      <w:color w:val="000000"/>
                    </w:rPr>
                  </w:pPr>
                  <w:r>
                    <w:rPr>
                      <w:color w:val="000000"/>
                      <w:spacing w:val="-5"/>
                    </w:rPr>
                    <w:t>被保险人申请理赔时年龄必须在 </w:t>
                  </w:r>
                  <w:r>
                    <w:rPr>
                      <w:color w:val="000000"/>
                      <w:spacing w:val="-2"/>
                    </w:rPr>
                    <w:t>3</w:t>
                  </w:r>
                  <w:r>
                    <w:rPr>
                      <w:color w:val="000000"/>
                      <w:spacing w:val="-20"/>
                    </w:rPr>
                    <w:t> 周岁以上，并且提供 </w:t>
                  </w:r>
                  <w:r>
                    <w:rPr>
                      <w:color w:val="000000"/>
                      <w:spacing w:val="-2"/>
                    </w:rPr>
                    <w:t>3</w:t>
                  </w:r>
                  <w:r>
                    <w:rPr>
                      <w:color w:val="000000"/>
                      <w:spacing w:val="-10"/>
                    </w:rPr>
                    <w:t> 周岁以后的听力丧失诊</w:t>
                  </w:r>
                </w:p>
              </w:txbxContent>
            </v:textbox>
            <v:fill type="solid"/>
            <w10:wrap type="topAndBottom"/>
          </v:shape>
        </w:pict>
      </w:r>
      <w:r>
        <w:rPr>
          <w:spacing w:val="-3"/>
          <w:sz w:val="21"/>
        </w:rPr>
        <w:t>使用相应的听力辅助设备效果不佳。</w:t>
      </w:r>
    </w:p>
    <w:p>
      <w:pPr>
        <w:pStyle w:val="BodyText"/>
        <w:spacing w:before="7"/>
        <w:rPr>
          <w:sz w:val="2"/>
        </w:rPr>
      </w:pPr>
    </w:p>
    <w:p>
      <w:pPr>
        <w:pStyle w:val="BodyText"/>
        <w:ind w:left="2588"/>
        <w:rPr>
          <w:sz w:val="20"/>
        </w:rPr>
      </w:pPr>
      <w:r>
        <w:rPr>
          <w:sz w:val="20"/>
        </w:rPr>
        <w:pict>
          <v:shape style="width:73.45pt;height:13.95pt;mso-position-horizontal-relative:char;mso-position-vertical-relative:line" type="#_x0000_t202" id="docshape187"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6"/>
        <w:rPr>
          <w:sz w:val="23"/>
        </w:rPr>
      </w:pPr>
      <w:r>
        <w:rPr/>
        <w:pict>
          <v:shape style="position:absolute;margin-left:175.440002pt;margin-top:16.248751pt;width:363.4pt;height:13.95pt;mso-position-horizontal-relative:page;mso-position-vertical-relative:paragraph;z-index:-15612416;mso-wrap-distance-left:0;mso-wrap-distance-right:0" type="#_x0000_t202" id="docshape188" filled="true" fillcolor="#d9d9d9" stroked="false">
            <v:textbox inset="0,0,0,0">
              <w:txbxContent>
                <w:p>
                  <w:pPr>
                    <w:pStyle w:val="BodyText"/>
                    <w:spacing w:before="6"/>
                    <w:ind w:right="-15"/>
                    <w:rPr>
                      <w:color w:val="000000"/>
                    </w:rPr>
                  </w:pPr>
                  <w:r>
                    <w:rPr>
                      <w:color w:val="000000"/>
                      <w:spacing w:val="-16"/>
                    </w:rPr>
                    <w:t>本公司对 “单耳失聪”、“人工耳蜗植入术”和“听力严重受损”三项中的其中</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89"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90"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2"/>
      </w:pPr>
    </w:p>
    <w:p>
      <w:pPr>
        <w:pStyle w:val="Heading3"/>
        <w:spacing w:before="4"/>
        <w:ind w:left="2588"/>
      </w:pPr>
      <w:r>
        <w:rPr/>
        <w:t>（三十一）</w:t>
      </w:r>
      <w:r>
        <w:rPr>
          <w:spacing w:val="-2"/>
        </w:rPr>
        <w:t>听力严重受损</w:t>
      </w:r>
    </w:p>
    <w:p>
      <w:pPr>
        <w:pStyle w:val="BodyText"/>
        <w:spacing w:line="278" w:lineRule="auto"/>
        <w:ind w:left="2588" w:right="301"/>
        <w:jc w:val="both"/>
      </w:pPr>
      <w:r>
        <w:rPr>
          <w:spacing w:val="-3"/>
        </w:rPr>
        <w:t>指因疾病或意外伤害导致双耳听力永久不可逆性丧失，在 </w:t>
      </w:r>
      <w:r>
        <w:rPr>
          <w:spacing w:val="-2"/>
        </w:rPr>
        <w:t>500</w:t>
      </w:r>
      <w:r>
        <w:rPr>
          <w:spacing w:val="-5"/>
        </w:rPr>
        <w:t> 赫兹、</w:t>
      </w:r>
      <w:r>
        <w:rPr>
          <w:spacing w:val="-2"/>
        </w:rPr>
        <w:t>1000</w:t>
      </w:r>
      <w:r>
        <w:rPr>
          <w:spacing w:val="-6"/>
        </w:rPr>
        <w:t> 赫兹</w:t>
      </w:r>
      <w:r>
        <w:rPr>
          <w:w w:val="95"/>
        </w:rPr>
        <w:t>和 2000 赫</w:t>
      </w:r>
      <w:r>
        <w:rPr>
          <w:w w:val="95"/>
        </w:rPr>
        <w:t>兹</w:t>
      </w:r>
      <w:r>
        <w:rPr>
          <w:w w:val="95"/>
        </w:rPr>
        <w:t>语</w:t>
      </w:r>
      <w:r>
        <w:rPr>
          <w:w w:val="95"/>
        </w:rPr>
        <w:t>音</w:t>
      </w:r>
      <w:r>
        <w:rPr>
          <w:w w:val="95"/>
        </w:rPr>
        <w:t>频</w:t>
      </w:r>
      <w:r>
        <w:rPr>
          <w:w w:val="95"/>
        </w:rPr>
        <w:t>率</w:t>
      </w:r>
      <w:r>
        <w:rPr>
          <w:w w:val="95"/>
        </w:rPr>
        <w:t>下</w:t>
      </w:r>
      <w:r>
        <w:rPr>
          <w:w w:val="95"/>
        </w:rPr>
        <w:t>，</w:t>
      </w:r>
      <w:r>
        <w:rPr>
          <w:w w:val="95"/>
        </w:rPr>
        <w:t>平</w:t>
      </w:r>
      <w:r>
        <w:rPr>
          <w:w w:val="95"/>
        </w:rPr>
        <w:t>均</w:t>
      </w:r>
      <w:r>
        <w:rPr>
          <w:w w:val="95"/>
        </w:rPr>
        <w:t>听</w:t>
      </w:r>
      <w:r>
        <w:rPr>
          <w:w w:val="95"/>
        </w:rPr>
        <w:t>阈</w:t>
      </w:r>
      <w:r>
        <w:rPr>
          <w:w w:val="95"/>
        </w:rPr>
        <w:t>大</w:t>
      </w:r>
      <w:r>
        <w:rPr>
          <w:w w:val="95"/>
        </w:rPr>
        <w:t>于</w:t>
      </w:r>
      <w:r>
        <w:rPr>
          <w:w w:val="95"/>
        </w:rPr>
        <w:t> 70 </w:t>
      </w:r>
      <w:r>
        <w:rPr>
          <w:w w:val="95"/>
        </w:rPr>
        <w:t>分</w:t>
      </w:r>
      <w:r>
        <w:rPr>
          <w:w w:val="95"/>
        </w:rPr>
        <w:t>贝</w:t>
      </w:r>
      <w:r>
        <w:rPr>
          <w:w w:val="95"/>
        </w:rPr>
        <w:t>，</w:t>
      </w:r>
      <w:r>
        <w:rPr>
          <w:w w:val="95"/>
        </w:rPr>
        <w:t>但</w:t>
      </w:r>
      <w:r>
        <w:rPr>
          <w:w w:val="95"/>
        </w:rPr>
        <w:t>未</w:t>
      </w:r>
      <w:r>
        <w:rPr>
          <w:w w:val="95"/>
        </w:rPr>
        <w:t>超</w:t>
      </w:r>
      <w:r>
        <w:rPr>
          <w:w w:val="95"/>
        </w:rPr>
        <w:t>过</w:t>
      </w:r>
      <w:r>
        <w:rPr>
          <w:w w:val="95"/>
        </w:rPr>
        <w:t> 90 </w:t>
      </w:r>
      <w:r>
        <w:rPr>
          <w:w w:val="95"/>
        </w:rPr>
        <w:t>分</w:t>
      </w:r>
      <w:r>
        <w:rPr>
          <w:w w:val="95"/>
        </w:rPr>
        <w:t>贝</w:t>
      </w:r>
      <w:r>
        <w:rPr>
          <w:w w:val="95"/>
        </w:rPr>
        <w:t>，</w:t>
      </w:r>
      <w:r>
        <w:rPr>
          <w:w w:val="95"/>
        </w:rPr>
        <w:t>且</w:t>
      </w:r>
      <w:r>
        <w:rPr>
          <w:w w:val="95"/>
        </w:rPr>
        <w:t>经</w:t>
      </w:r>
      <w:r>
        <w:rPr>
          <w:w w:val="95"/>
        </w:rPr>
        <w:t>纯</w:t>
      </w:r>
      <w:r>
        <w:rPr>
          <w:w w:val="95"/>
        </w:rPr>
        <w:t>音</w:t>
      </w:r>
      <w:r>
        <w:rPr>
          <w:spacing w:val="-2"/>
        </w:rPr>
        <w:t>听力测试、声导抗检测或听觉诱发电位检测等证实。</w:t>
      </w:r>
    </w:p>
    <w:p>
      <w:pPr>
        <w:pStyle w:val="BodyText"/>
        <w:ind w:left="2588"/>
        <w:rPr>
          <w:sz w:val="20"/>
        </w:rPr>
      </w:pPr>
      <w:r>
        <w:rPr>
          <w:sz w:val="20"/>
        </w:rPr>
        <w:pict>
          <v:shape style="width:363.4pt;height:13.95pt;mso-position-horizontal-relative:char;mso-position-vertical-relative:line" type="#_x0000_t202" id="docshape191" filled="true" fillcolor="#d9d9d9" stroked="false">
            <w10:anchorlock/>
            <v:textbox inset="0,0,0,0">
              <w:txbxContent>
                <w:p>
                  <w:pPr>
                    <w:pStyle w:val="BodyText"/>
                    <w:spacing w:before="6"/>
                    <w:ind w:right="-15"/>
                    <w:rPr>
                      <w:color w:val="000000"/>
                    </w:rPr>
                  </w:pPr>
                  <w:r>
                    <w:rPr>
                      <w:color w:val="000000"/>
                      <w:spacing w:val="-10"/>
                    </w:rPr>
                    <w:t>被保险人申请理赔时年龄必须在 3</w:t>
                  </w:r>
                  <w:r>
                    <w:rPr>
                      <w:color w:val="000000"/>
                      <w:spacing w:val="-14"/>
                    </w:rPr>
                    <w:t> 周岁以上，并且提供 </w:t>
                  </w:r>
                  <w:r>
                    <w:rPr>
                      <w:color w:val="000000"/>
                      <w:spacing w:val="-10"/>
                    </w:rPr>
                    <w:t>3</w:t>
                  </w:r>
                  <w:r>
                    <w:rPr>
                      <w:color w:val="000000"/>
                      <w:spacing w:val="-11"/>
                    </w:rPr>
                    <w:t> 周岁以后的听力丧失诊</w:t>
                  </w:r>
                </w:p>
              </w:txbxContent>
            </v:textbox>
            <v:fill type="solid"/>
          </v:shape>
        </w:pict>
      </w:r>
      <w:r>
        <w:rPr>
          <w:sz w:val="20"/>
        </w:rPr>
      </w:r>
    </w:p>
    <w:p>
      <w:pPr>
        <w:pStyle w:val="BodyText"/>
        <w:ind w:left="2588"/>
        <w:rPr>
          <w:sz w:val="20"/>
        </w:rPr>
      </w:pPr>
      <w:r>
        <w:rPr>
          <w:sz w:val="20"/>
        </w:rPr>
        <w:pict>
          <v:shape style="width:73.45pt;height:13.95pt;mso-position-horizontal-relative:char;mso-position-vertical-relative:line" type="#_x0000_t202" id="docshape192" filled="true" fillcolor="#d9d9d9" stroked="false">
            <w10:anchorlock/>
            <v:textbox inset="0,0,0,0">
              <w:txbxContent>
                <w:p>
                  <w:pPr>
                    <w:pStyle w:val="BodyText"/>
                    <w:spacing w:before="6"/>
                    <w:ind w:right="-15"/>
                    <w:rPr>
                      <w:color w:val="000000"/>
                    </w:rPr>
                  </w:pPr>
                  <w:r>
                    <w:rPr>
                      <w:color w:val="000000"/>
                      <w:spacing w:val="-6"/>
                    </w:rPr>
                    <w:t>断及检查证据。</w:t>
                  </w:r>
                </w:p>
              </w:txbxContent>
            </v:textbox>
            <v:fill type="solid"/>
          </v:shape>
        </w:pict>
      </w:r>
      <w:r>
        <w:rPr>
          <w:sz w:val="20"/>
        </w:rPr>
      </w:r>
    </w:p>
    <w:p>
      <w:pPr>
        <w:pStyle w:val="BodyText"/>
        <w:spacing w:before="7"/>
        <w:rPr>
          <w:sz w:val="23"/>
        </w:rPr>
      </w:pPr>
      <w:r>
        <w:rPr/>
        <w:pict>
          <v:shape style="position:absolute;margin-left:175.440002pt;margin-top:16.323996pt;width:363.4pt;height:13.95pt;mso-position-horizontal-relative:page;mso-position-vertical-relative:paragraph;z-index:-15609856;mso-wrap-distance-left:0;mso-wrap-distance-right:0" type="#_x0000_t202" id="docshape193" filled="true" fillcolor="#d9d9d9" stroked="false">
            <v:textbox inset="0,0,0,0">
              <w:txbxContent>
                <w:p>
                  <w:pPr>
                    <w:pStyle w:val="BodyText"/>
                    <w:spacing w:before="6"/>
                    <w:ind w:right="-15"/>
                    <w:rPr>
                      <w:color w:val="000000"/>
                    </w:rPr>
                  </w:pPr>
                  <w:r>
                    <w:rPr>
                      <w:color w:val="000000"/>
                      <w:spacing w:val="-16"/>
                    </w:rPr>
                    <w:t>本公司对 “单耳失聪”、“人工耳蜗植入术”和“听力严重受损”三项中的其中</w:t>
                  </w:r>
                </w:p>
              </w:txbxContent>
            </v:textbox>
            <v:fill type="solid"/>
            <w10:wrap type="topAndBottom"/>
          </v:shape>
        </w:pic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194" filled="true" fillcolor="#d9d9d9" stroked="false">
            <w10:anchorlock/>
            <v:textbox inset="0,0,0,0">
              <w:txbxContent>
                <w:p>
                  <w:pPr>
                    <w:pStyle w:val="BodyText"/>
                    <w:spacing w:before="6"/>
                    <w:ind w:right="-15"/>
                    <w:rPr>
                      <w:color w:val="000000"/>
                    </w:rPr>
                  </w:pPr>
                  <w:r>
                    <w:rPr>
                      <w:color w:val="000000"/>
                      <w:spacing w:val="-7"/>
                    </w:rPr>
                    <w:t>一项承担保险责任，给付其中一项保险金后，对另外两项轻症疾病保险责任同时</w:t>
                  </w:r>
                </w:p>
              </w:txbxContent>
            </v:textbox>
            <v:fill type="solid"/>
          </v:shape>
        </w:pict>
      </w:r>
      <w:r>
        <w:rPr>
          <w:sz w:val="20"/>
        </w:rPr>
      </w:r>
    </w:p>
    <w:p>
      <w:pPr>
        <w:pStyle w:val="BodyText"/>
        <w:ind w:left="2588"/>
        <w:rPr>
          <w:sz w:val="20"/>
        </w:rPr>
      </w:pPr>
      <w:r>
        <w:rPr>
          <w:sz w:val="20"/>
        </w:rPr>
        <w:pict>
          <v:shape style="width:31.45pt;height:13.95pt;mso-position-horizontal-relative:char;mso-position-vertical-relative:line" type="#_x0000_t202" id="docshape195" filled="true" fillcolor="#d9d9d9" stroked="false">
            <w10:anchorlock/>
            <v:textbox inset="0,0,0,0">
              <w:txbxContent>
                <w:p>
                  <w:pPr>
                    <w:pStyle w:val="BodyText"/>
                    <w:spacing w:before="6"/>
                    <w:ind w:right="-15"/>
                    <w:rPr>
                      <w:color w:val="000000"/>
                    </w:rPr>
                  </w:pPr>
                  <w:r>
                    <w:rPr>
                      <w:color w:val="000000"/>
                      <w:spacing w:val="-7"/>
                    </w:rPr>
                    <w:t>终止。</w:t>
                  </w:r>
                </w:p>
              </w:txbxContent>
            </v:textbox>
            <v:fill type="solid"/>
          </v:shape>
        </w:pict>
      </w:r>
      <w:r>
        <w:rPr>
          <w:sz w:val="20"/>
        </w:rPr>
      </w:r>
    </w:p>
    <w:p>
      <w:pPr>
        <w:pStyle w:val="BodyText"/>
        <w:spacing w:before="2"/>
      </w:pPr>
    </w:p>
    <w:p>
      <w:pPr>
        <w:pStyle w:val="Heading3"/>
        <w:spacing w:before="4"/>
        <w:ind w:left="2588"/>
      </w:pPr>
      <w:r>
        <w:rPr/>
        <w:t>（三十二）</w:t>
      </w:r>
      <w:r>
        <w:rPr>
          <w:spacing w:val="-2"/>
        </w:rPr>
        <w:t>出血性登革热</w:t>
      </w:r>
    </w:p>
    <w:p>
      <w:pPr>
        <w:pStyle w:val="BodyText"/>
        <w:spacing w:line="265" w:lineRule="exact"/>
        <w:ind w:left="2588"/>
      </w:pPr>
      <w:r>
        <w:rPr>
          <w:spacing w:val="-5"/>
        </w:rPr>
        <w:t>出血性登革热须出现全部四种症状，包括发高烧、出血现象、肝肿大和循环衰竭</w:t>
      </w:r>
    </w:p>
    <w:p>
      <w:pPr>
        <w:pStyle w:val="BodyText"/>
        <w:spacing w:line="278" w:lineRule="auto" w:before="43"/>
        <w:ind w:left="2588" w:right="301"/>
      </w:pPr>
      <w:r>
        <w:rPr/>
        <w:t>（</w:t>
      </w:r>
      <w:r>
        <w:rPr>
          <w:spacing w:val="-4"/>
        </w:rPr>
        <w:t>登革热休克综合征即符合 </w:t>
      </w:r>
      <w:r>
        <w:rPr/>
        <w:t>WHO</w:t>
      </w:r>
      <w:r>
        <w:rPr>
          <w:spacing w:val="-7"/>
        </w:rPr>
        <w:t> 登革热第Ⅲ级及第Ⅳ级</w:t>
      </w:r>
      <w:r>
        <w:rPr>
          <w:spacing w:val="-106"/>
        </w:rPr>
        <w:t>）</w:t>
      </w:r>
      <w:r>
        <w:rPr/>
        <w:t>。出血性登革热的诊断</w:t>
      </w:r>
      <w:r>
        <w:rPr>
          <w:spacing w:val="-2"/>
        </w:rPr>
        <w:t>必须由本公司认可医院的专科医生证实。</w:t>
      </w:r>
    </w:p>
    <w:p>
      <w:pPr>
        <w:pStyle w:val="BodyText"/>
        <w:ind w:left="2588"/>
      </w:pPr>
      <w:r>
        <w:rPr>
          <w:color w:val="000000"/>
          <w:spacing w:val="-3"/>
          <w:shd w:fill="D9D9D9" w:color="auto" w:val="clear"/>
        </w:rPr>
        <w:t>非出血性登革热不在保障范围内。</w:t>
      </w:r>
    </w:p>
    <w:p>
      <w:pPr>
        <w:pStyle w:val="BodyText"/>
        <w:spacing w:before="6"/>
        <w:rPr>
          <w:sz w:val="22"/>
        </w:rPr>
      </w:pPr>
    </w:p>
    <w:p>
      <w:pPr>
        <w:pStyle w:val="Heading3"/>
        <w:ind w:left="2588"/>
      </w:pPr>
      <w:r>
        <w:rPr/>
        <w:t>（三十三）</w:t>
      </w:r>
      <w:r>
        <w:rPr>
          <w:spacing w:val="-2"/>
        </w:rPr>
        <w:t>植入大脑内分流器</w:t>
      </w:r>
    </w:p>
    <w:p>
      <w:pPr>
        <w:pStyle w:val="BodyText"/>
        <w:spacing w:line="265" w:lineRule="exact"/>
        <w:ind w:left="2588"/>
      </w:pPr>
      <w:r>
        <w:rPr>
          <w:spacing w:val="-3"/>
        </w:rPr>
        <w:t>为缓解已升高的脑脊液压力而确实已在脑室进行分流器植入手术。</w:t>
      </w:r>
    </w:p>
    <w:p>
      <w:pPr>
        <w:pStyle w:val="BodyText"/>
        <w:spacing w:line="248" w:lineRule="exact" w:before="43"/>
        <w:ind w:left="2588"/>
      </w:pPr>
      <w:r>
        <w:rPr>
          <w:spacing w:val="-1"/>
        </w:rPr>
        <w:t>诊断及治疗均须在本公司认可医院内由脑神经科专科医生认为是医疗必须的情</w:t>
      </w:r>
    </w:p>
    <w:p>
      <w:pPr>
        <w:spacing w:line="31" w:lineRule="exact" w:before="0"/>
        <w:ind w:left="0" w:right="2370" w:firstLine="0"/>
        <w:jc w:val="right"/>
        <w:rPr>
          <w:sz w:val="4"/>
        </w:rPr>
      </w:pPr>
      <w:r>
        <w:rPr>
          <w:w w:val="72"/>
          <w:sz w:val="4"/>
        </w:rPr>
        <w:t>●</w:t>
      </w:r>
    </w:p>
    <w:p>
      <w:pPr>
        <w:pStyle w:val="BodyText"/>
        <w:spacing w:before="33"/>
        <w:ind w:left="2588"/>
      </w:pPr>
      <w:r>
        <w:rPr>
          <w:spacing w:val="-2"/>
        </w:rPr>
        <w:t>况下进行。</w:t>
      </w:r>
    </w:p>
    <w:p>
      <w:pPr>
        <w:pStyle w:val="BodyText"/>
        <w:spacing w:before="1"/>
        <w:rPr>
          <w:sz w:val="22"/>
        </w:rPr>
      </w:pPr>
    </w:p>
    <w:p>
      <w:pPr>
        <w:pStyle w:val="BodyText"/>
        <w:spacing w:line="278" w:lineRule="auto" w:before="72"/>
        <w:ind w:left="2588" w:right="296"/>
        <w:jc w:val="both"/>
      </w:pPr>
      <w:r>
        <w:rPr>
          <w:color w:val="000000"/>
          <w:spacing w:val="-7"/>
          <w:shd w:fill="D9D9D9" w:color="auto" w:val="clear"/>
        </w:rPr>
        <w:t>本公司对“脑垂体瘤、脑囊肿、脑动脉瘤及脑血管瘤”</w:t>
      </w:r>
      <w:r>
        <w:rPr>
          <w:color w:val="000000"/>
          <w:spacing w:val="-14"/>
          <w:shd w:fill="D9D9D9" w:color="auto" w:val="clear"/>
        </w:rPr>
        <w:t>、“微创颅脑手术”和“植</w:t>
      </w:r>
      <w:r>
        <w:rPr>
          <w:color w:val="000000"/>
          <w:spacing w:val="40"/>
          <w:shd w:fill="D9D9D9" w:color="auto" w:val="clear"/>
        </w:rPr>
        <w:t> </w:t>
      </w:r>
      <w:r>
        <w:rPr>
          <w:color w:val="000000"/>
          <w:spacing w:val="-4"/>
          <w:shd w:fill="D9D9D9" w:color="auto" w:val="clear"/>
        </w:rPr>
        <w:t>入大脑内分流器”三项中的其中一项承担保险责任，给付其中一项保险金后，对</w:t>
      </w:r>
      <w:r>
        <w:rPr>
          <w:color w:val="000000"/>
          <w:spacing w:val="-2"/>
          <w:shd w:fill="D9D9D9" w:color="auto" w:val="clear"/>
        </w:rPr>
        <w:t>另外两项轻症疾病保险责任同时终止。</w:t>
      </w:r>
    </w:p>
    <w:p>
      <w:pPr>
        <w:pStyle w:val="BodyText"/>
        <w:spacing w:before="1"/>
        <w:rPr>
          <w:sz w:val="19"/>
        </w:rPr>
      </w:pPr>
    </w:p>
    <w:p>
      <w:pPr>
        <w:pStyle w:val="Heading3"/>
        <w:ind w:left="2588"/>
      </w:pPr>
      <w:r>
        <w:rPr/>
        <w:t>（三十四）</w:t>
      </w:r>
      <w:r>
        <w:rPr>
          <w:spacing w:val="-1"/>
        </w:rPr>
        <w:t>严重阻塞性睡眠窒息症</w:t>
      </w:r>
    </w:p>
    <w:p>
      <w:pPr>
        <w:pStyle w:val="BodyText"/>
        <w:spacing w:line="278" w:lineRule="auto"/>
        <w:ind w:left="2588" w:right="301"/>
      </w:pPr>
      <w:r>
        <w:rPr>
          <w:w w:val="100"/>
        </w:rPr>
        <w:t>须由专科医生经多导睡眠监测仪检查明确诊断为严重阻塞性睡眠呼吸暂停综合征(OSA)，</w:t>
      </w:r>
      <w:r>
        <w:rPr>
          <w:spacing w:val="-4"/>
          <w:w w:val="100"/>
        </w:rPr>
        <w:t>并须符合以下两项条件：</w:t>
      </w:r>
    </w:p>
    <w:p>
      <w:pPr>
        <w:pStyle w:val="ListParagraph"/>
        <w:numPr>
          <w:ilvl w:val="0"/>
          <w:numId w:val="87"/>
        </w:numPr>
        <w:tabs>
          <w:tab w:pos="3118" w:val="left" w:leader="none"/>
        </w:tabs>
        <w:spacing w:line="248" w:lineRule="exact" w:before="0" w:after="0"/>
        <w:ind w:left="3117" w:right="0" w:hanging="530"/>
        <w:jc w:val="left"/>
        <w:rPr>
          <w:sz w:val="21"/>
        </w:rPr>
      </w:pPr>
      <w:r>
        <w:rPr>
          <w:spacing w:val="-2"/>
          <w:sz w:val="21"/>
        </w:rPr>
        <w:t>被保险人必须现正接受持续气道正压呼吸器(CPAP)</w:t>
      </w:r>
      <w:r>
        <w:rPr>
          <w:spacing w:val="-4"/>
          <w:sz w:val="21"/>
        </w:rPr>
        <w:t>之夜间治疗；</w:t>
      </w:r>
    </w:p>
    <w:p>
      <w:pPr>
        <w:spacing w:line="31" w:lineRule="exact" w:before="0"/>
        <w:ind w:left="2627" w:right="0" w:firstLine="0"/>
        <w:jc w:val="left"/>
        <w:rPr>
          <w:sz w:val="4"/>
        </w:rPr>
      </w:pPr>
      <w:r>
        <w:rPr>
          <w:w w:val="72"/>
          <w:sz w:val="4"/>
        </w:rPr>
        <w:t>●</w:t>
      </w:r>
    </w:p>
    <w:p>
      <w:pPr>
        <w:pStyle w:val="ListParagraph"/>
        <w:numPr>
          <w:ilvl w:val="0"/>
          <w:numId w:val="87"/>
        </w:numPr>
        <w:tabs>
          <w:tab w:pos="3118" w:val="left" w:leader="none"/>
        </w:tabs>
        <w:spacing w:line="240" w:lineRule="auto" w:before="29" w:after="0"/>
        <w:ind w:left="3117" w:right="0" w:hanging="530"/>
        <w:jc w:val="left"/>
        <w:rPr>
          <w:sz w:val="21"/>
        </w:rPr>
      </w:pPr>
      <w:r>
        <w:rPr>
          <w:spacing w:val="-5"/>
          <w:sz w:val="21"/>
        </w:rPr>
        <w:t>必须提供睡眠测试的文件证明，显示 </w:t>
      </w:r>
      <w:r>
        <w:rPr>
          <w:spacing w:val="-2"/>
          <w:sz w:val="21"/>
        </w:rPr>
        <w:t>AHI&gt;30</w:t>
      </w:r>
      <w:r>
        <w:rPr>
          <w:spacing w:val="-8"/>
          <w:sz w:val="21"/>
        </w:rPr>
        <w:t> 及夜间血氧饱和平均值&lt;</w:t>
      </w:r>
      <w:r>
        <w:rPr>
          <w:spacing w:val="-2"/>
          <w:sz w:val="21"/>
        </w:rPr>
        <w:t>85</w:t>
      </w:r>
      <w:r>
        <w:rPr>
          <w:spacing w:val="-10"/>
          <w:sz w:val="21"/>
        </w:rPr>
        <w:t>。</w:t>
      </w:r>
    </w:p>
    <w:p>
      <w:pPr>
        <w:spacing w:after="0" w:line="240" w:lineRule="auto"/>
        <w:jc w:val="left"/>
        <w:rPr>
          <w:sz w:val="21"/>
        </w:rPr>
        <w:sectPr>
          <w:pgSz w:w="11910" w:h="16840"/>
          <w:pgMar w:top="1140" w:bottom="280" w:left="920" w:right="820"/>
        </w:sectPr>
      </w:pPr>
    </w:p>
    <w:p>
      <w:pPr>
        <w:pStyle w:val="Heading3"/>
        <w:spacing w:line="367" w:lineRule="exact"/>
        <w:ind w:left="2588"/>
      </w:pPr>
      <w:r>
        <w:rPr/>
        <w:t>（三十五）</w:t>
      </w:r>
      <w:r>
        <w:rPr>
          <w:spacing w:val="-2"/>
        </w:rPr>
        <w:t>胆道重建手术</w:t>
      </w:r>
    </w:p>
    <w:p>
      <w:pPr>
        <w:pStyle w:val="BodyText"/>
        <w:spacing w:line="278" w:lineRule="auto"/>
        <w:ind w:left="2588" w:right="301"/>
      </w:pPr>
      <w:r>
        <w:rPr>
          <w:spacing w:val="-5"/>
        </w:rPr>
        <w:t>指因疾病或胆道创伤导致接受涉及胆总管小肠吻合术的胆道重建手术。手术必须</w:t>
      </w:r>
      <w:r>
        <w:rPr>
          <w:spacing w:val="-2"/>
        </w:rPr>
        <w:t>在专科医生认为是医疗所需的情况下进行。</w:t>
      </w:r>
    </w:p>
    <w:p>
      <w:pPr>
        <w:pStyle w:val="BodyText"/>
        <w:ind w:left="2588"/>
      </w:pPr>
      <w:r>
        <w:rPr>
          <w:color w:val="000000"/>
          <w:spacing w:val="-3"/>
          <w:shd w:fill="D9D9D9" w:color="auto" w:val="clear"/>
        </w:rPr>
        <w:t>胆道闭锁并不在保障范围内。</w:t>
      </w:r>
    </w:p>
    <w:p>
      <w:pPr>
        <w:pStyle w:val="BodyText"/>
        <w:spacing w:before="1"/>
        <w:rPr>
          <w:sz w:val="22"/>
        </w:rPr>
      </w:pPr>
    </w:p>
    <w:p>
      <w:pPr>
        <w:pStyle w:val="Heading3"/>
        <w:ind w:left="2588"/>
      </w:pPr>
      <w:r>
        <w:rPr/>
        <w:t>（三十六）</w:t>
      </w:r>
      <w:r>
        <w:rPr>
          <w:spacing w:val="-2"/>
        </w:rPr>
        <w:t>早期系统性硬皮病</w:t>
      </w:r>
    </w:p>
    <w:p>
      <w:pPr>
        <w:pStyle w:val="BodyText"/>
        <w:spacing w:line="244" w:lineRule="exact"/>
        <w:ind w:left="2588"/>
      </w:pPr>
      <w:r>
        <w:rPr>
          <w:spacing w:val="-5"/>
        </w:rPr>
        <w:t>指一种以局限性或弥漫性皮肤增厚和皮肤、血管、内脏器官异常纤维化为特征的</w:t>
      </w:r>
    </w:p>
    <w:p>
      <w:pPr>
        <w:spacing w:line="31" w:lineRule="exact" w:before="0"/>
        <w:ind w:left="2627" w:right="0" w:firstLine="0"/>
        <w:jc w:val="left"/>
        <w:rPr>
          <w:sz w:val="4"/>
        </w:rPr>
      </w:pPr>
      <w:r>
        <w:rPr>
          <w:w w:val="72"/>
          <w:sz w:val="4"/>
        </w:rPr>
        <w:t>●</w:t>
      </w:r>
    </w:p>
    <w:p>
      <w:pPr>
        <w:pStyle w:val="BodyText"/>
        <w:spacing w:line="278" w:lineRule="auto" w:before="33"/>
        <w:ind w:left="2588" w:right="301"/>
      </w:pPr>
      <w:r>
        <w:rPr>
          <w:spacing w:val="-4"/>
        </w:rPr>
        <w:t>结缔组织病。本病须经专科医生明确诊断，但未达到本合同所指重大疾病“系统</w:t>
      </w:r>
      <w:r>
        <w:rPr>
          <w:spacing w:val="-2"/>
        </w:rPr>
        <w:t>性硬皮病”的标准，并须满足下列所有条件：</w:t>
      </w:r>
    </w:p>
    <w:p>
      <w:pPr>
        <w:pStyle w:val="ListParagraph"/>
        <w:numPr>
          <w:ilvl w:val="0"/>
          <w:numId w:val="88"/>
        </w:numPr>
        <w:tabs>
          <w:tab w:pos="3118" w:val="left" w:leader="none"/>
        </w:tabs>
        <w:spacing w:line="278" w:lineRule="auto" w:before="0" w:after="0"/>
        <w:ind w:left="2588" w:right="219" w:firstLine="0"/>
        <w:jc w:val="left"/>
        <w:rPr>
          <w:sz w:val="21"/>
        </w:rPr>
      </w:pPr>
      <w:r>
        <w:rPr>
          <w:spacing w:val="-2"/>
          <w:sz w:val="21"/>
        </w:rPr>
        <w:t>必须是经由本公司认可医院的风湿学专科医生根据美国风湿病学会</w:t>
      </w:r>
      <w:r>
        <w:rPr>
          <w:spacing w:val="-2"/>
          <w:sz w:val="21"/>
        </w:rPr>
        <w:t>（ACR）</w:t>
      </w:r>
      <w:r>
        <w:rPr>
          <w:sz w:val="21"/>
        </w:rPr>
        <w:t>及欧洲抗风湿病联盟(EULAR)在 2013 年发布的系统性硬皮病诊断标准确认达到确诊标准（总分值由每一个分类中的最高比重（分值）相加而成，总分≥9</w:t>
      </w:r>
      <w:r>
        <w:rPr>
          <w:spacing w:val="-17"/>
          <w:sz w:val="21"/>
        </w:rPr>
        <w:t> 分的</w:t>
      </w:r>
      <w:r>
        <w:rPr>
          <w:spacing w:val="-2"/>
          <w:sz w:val="21"/>
        </w:rPr>
        <w:t>患者被分类为系统性硬皮病</w:t>
      </w:r>
      <w:r>
        <w:rPr>
          <w:spacing w:val="-106"/>
          <w:sz w:val="21"/>
        </w:rPr>
        <w:t>）</w:t>
      </w:r>
      <w:r>
        <w:rPr>
          <w:spacing w:val="-2"/>
          <w:sz w:val="21"/>
        </w:rPr>
        <w:t>。</w:t>
      </w:r>
    </w:p>
    <w:p>
      <w:pPr>
        <w:pStyle w:val="ListParagraph"/>
        <w:numPr>
          <w:ilvl w:val="0"/>
          <w:numId w:val="88"/>
        </w:numPr>
        <w:tabs>
          <w:tab w:pos="3118" w:val="left" w:leader="none"/>
        </w:tabs>
        <w:spacing w:line="278" w:lineRule="auto" w:before="0" w:after="0"/>
        <w:ind w:left="2588" w:right="1793" w:firstLine="0"/>
        <w:jc w:val="left"/>
        <w:rPr>
          <w:sz w:val="21"/>
        </w:rPr>
      </w:pPr>
      <w:r>
        <w:rPr>
          <w:spacing w:val="-2"/>
          <w:sz w:val="21"/>
        </w:rPr>
        <w:t>须提供明确的病理活检及自身抗体免疫血清学证据支持。</w:t>
      </w:r>
      <w:r>
        <w:rPr>
          <w:color w:val="000000"/>
          <w:spacing w:val="-2"/>
          <w:sz w:val="21"/>
          <w:shd w:fill="D9D9D9" w:color="auto" w:val="clear"/>
        </w:rPr>
        <w:t>以下情况不在保障范围内：</w:t>
      </w:r>
    </w:p>
    <w:p>
      <w:pPr>
        <w:pStyle w:val="ListParagraph"/>
        <w:numPr>
          <w:ilvl w:val="0"/>
          <w:numId w:val="89"/>
        </w:numPr>
        <w:tabs>
          <w:tab w:pos="3118" w:val="left" w:leader="none"/>
        </w:tabs>
        <w:spacing w:line="240" w:lineRule="auto" w:before="0" w:after="0"/>
        <w:ind w:left="3117" w:right="0" w:hanging="530"/>
        <w:jc w:val="left"/>
        <w:rPr>
          <w:sz w:val="21"/>
        </w:rPr>
      </w:pPr>
      <w:r>
        <w:rPr>
          <w:color w:val="000000"/>
          <w:spacing w:val="-2"/>
          <w:sz w:val="21"/>
          <w:shd w:fill="D9D9D9" w:color="auto" w:val="clear"/>
        </w:rPr>
        <w:t>局限性硬皮病（带状硬皮病或斑状损害</w:t>
      </w:r>
      <w:r>
        <w:rPr>
          <w:color w:val="000000"/>
          <w:spacing w:val="-10"/>
          <w:sz w:val="21"/>
          <w:shd w:fill="D9D9D9" w:color="auto" w:val="clear"/>
        </w:rPr>
        <w:t>）</w:t>
      </w:r>
    </w:p>
    <w:p>
      <w:pPr>
        <w:pStyle w:val="ListParagraph"/>
        <w:numPr>
          <w:ilvl w:val="0"/>
          <w:numId w:val="89"/>
        </w:numPr>
        <w:tabs>
          <w:tab w:pos="3118" w:val="left" w:leader="none"/>
        </w:tabs>
        <w:spacing w:line="240" w:lineRule="auto" w:before="43" w:after="0"/>
        <w:ind w:left="3117" w:right="0" w:hanging="530"/>
        <w:jc w:val="left"/>
        <w:rPr>
          <w:sz w:val="21"/>
        </w:rPr>
      </w:pPr>
      <w:r>
        <w:rPr>
          <w:color w:val="000000"/>
          <w:spacing w:val="-4"/>
          <w:sz w:val="21"/>
          <w:shd w:fill="D9D9D9" w:color="auto" w:val="clear"/>
        </w:rPr>
        <w:t>嗜酸性筋膜炎</w:t>
      </w:r>
    </w:p>
    <w:p>
      <w:pPr>
        <w:pStyle w:val="ListParagraph"/>
        <w:numPr>
          <w:ilvl w:val="0"/>
          <w:numId w:val="89"/>
        </w:numPr>
        <w:tabs>
          <w:tab w:pos="3118" w:val="left" w:leader="none"/>
        </w:tabs>
        <w:spacing w:line="240" w:lineRule="auto" w:before="42" w:after="0"/>
        <w:ind w:left="3117" w:right="0" w:hanging="530"/>
        <w:jc w:val="left"/>
        <w:rPr>
          <w:sz w:val="21"/>
        </w:rPr>
      </w:pPr>
      <w:r>
        <w:rPr>
          <w:color w:val="000000"/>
          <w:sz w:val="21"/>
          <w:shd w:fill="D9D9D9" w:color="auto" w:val="clear"/>
        </w:rPr>
        <w:t>CREST</w:t>
      </w:r>
      <w:r>
        <w:rPr>
          <w:color w:val="000000"/>
          <w:spacing w:val="-4"/>
          <w:sz w:val="21"/>
          <w:shd w:fill="D9D9D9" w:color="auto" w:val="clear"/>
        </w:rPr>
        <w:t> 综合征</w:t>
      </w:r>
    </w:p>
    <w:p>
      <w:pPr>
        <w:pStyle w:val="BodyText"/>
        <w:spacing w:before="6"/>
        <w:rPr>
          <w:sz w:val="22"/>
        </w:rPr>
      </w:pPr>
    </w:p>
    <w:p>
      <w:pPr>
        <w:pStyle w:val="Heading3"/>
        <w:ind w:left="2588"/>
      </w:pPr>
      <w:r>
        <w:rPr/>
        <w:t>（三十七）</w:t>
      </w:r>
      <w:r>
        <w:rPr>
          <w:spacing w:val="-1"/>
        </w:rPr>
        <w:t>丝虫病所致早期象皮肿</w:t>
      </w:r>
    </w:p>
    <w:p>
      <w:pPr>
        <w:pStyle w:val="BodyText"/>
        <w:spacing w:line="278" w:lineRule="auto"/>
        <w:ind w:left="2588" w:right="301"/>
        <w:jc w:val="both"/>
      </w:pPr>
      <w:r>
        <w:rPr>
          <w:spacing w:val="-5"/>
        </w:rPr>
        <w:t>指因丝虫感染导致淋巴管阻塞而造成身体组织出现严重淋巴水肿，但未达到本合</w:t>
      </w:r>
      <w:r>
        <w:rPr>
          <w:spacing w:val="-3"/>
        </w:rPr>
        <w:t>同所指重大疾病“丝虫病所致象皮肿”的标准，但需达到国际淋巴学会分级为 </w:t>
      </w:r>
      <w:r>
        <w:rPr>
          <w:spacing w:val="-2"/>
        </w:rPr>
        <w:t>2</w:t>
      </w:r>
      <w:r>
        <w:rPr>
          <w:spacing w:val="-4"/>
        </w:rPr>
        <w:t>级淋巴液肿，其临床表现为肿胀为凹陷性，肢体抬高休息时肿胀不消失，有中度</w:t>
      </w:r>
      <w:r>
        <w:rPr>
          <w:spacing w:val="-11"/>
        </w:rPr>
        <w:t>纤维化。此病症须经本公司认可医院的专科医生根据临床表现和微丝蚴的化验结</w:t>
      </w:r>
      <w:r>
        <w:rPr>
          <w:spacing w:val="-4"/>
        </w:rPr>
        <w:t>果确诊。</w:t>
      </w:r>
    </w:p>
    <w:p>
      <w:pPr>
        <w:pStyle w:val="BodyText"/>
        <w:ind w:left="2588"/>
        <w:rPr>
          <w:sz w:val="20"/>
        </w:rPr>
      </w:pPr>
      <w:r>
        <w:rPr>
          <w:sz w:val="20"/>
        </w:rPr>
        <w:pict>
          <v:shape style="width:363.4pt;height:13.95pt;mso-position-horizontal-relative:char;mso-position-vertical-relative:line" type="#_x0000_t202" id="docshape196" filled="true" fillcolor="#d9d9d9" stroked="false">
            <w10:anchorlock/>
            <v:textbox inset="0,0,0,0">
              <w:txbxContent>
                <w:p>
                  <w:pPr>
                    <w:pStyle w:val="BodyText"/>
                    <w:spacing w:line="248" w:lineRule="exact" w:before="6"/>
                    <w:ind w:right="-15"/>
                    <w:rPr>
                      <w:color w:val="000000"/>
                    </w:rPr>
                  </w:pPr>
                  <w:r>
                    <w:rPr>
                      <w:color w:val="000000"/>
                      <w:spacing w:val="-7"/>
                    </w:rPr>
                    <w:t>由性接触传染的疾病、创伤、手术后疤痕、充血性心力衰竭或先天性淋巴系统异</w:t>
                  </w:r>
                </w:p>
                <w:p>
                  <w:pPr>
                    <w:spacing w:line="24" w:lineRule="exact" w:before="0"/>
                    <w:ind w:left="0" w:right="2239" w:firstLine="0"/>
                    <w:jc w:val="right"/>
                    <w:rPr>
                      <w:color w:val="000000"/>
                      <w:sz w:val="4"/>
                    </w:rPr>
                  </w:pPr>
                  <w:r>
                    <w:rPr>
                      <w:color w:val="000000"/>
                      <w:w w:val="72"/>
                      <w:sz w:val="4"/>
                    </w:rPr>
                    <w:t>●</w:t>
                  </w:r>
                </w:p>
              </w:txbxContent>
            </v:textbox>
            <v:fill type="solid"/>
          </v:shape>
        </w:pict>
      </w:r>
      <w:r>
        <w:rPr>
          <w:sz w:val="20"/>
        </w:rPr>
      </w:r>
    </w:p>
    <w:p>
      <w:pPr>
        <w:pStyle w:val="BodyText"/>
        <w:spacing w:line="278" w:lineRule="auto" w:before="8"/>
        <w:ind w:left="2588" w:right="301"/>
      </w:pPr>
      <w:r>
        <w:rPr>
          <w:color w:val="000000"/>
          <w:spacing w:val="-11"/>
          <w:shd w:fill="D9D9D9" w:color="auto" w:val="clear"/>
        </w:rPr>
        <w:t>常引起的淋巴水肿，以及急性淋巴管炎或其他原因引起的淋巴水肿不在保障范围</w:t>
      </w:r>
      <w:r>
        <w:rPr>
          <w:color w:val="000000"/>
          <w:spacing w:val="-6"/>
          <w:shd w:fill="D9D9D9" w:color="auto" w:val="clear"/>
        </w:rPr>
        <w:t>内。</w:t>
      </w:r>
    </w:p>
    <w:p>
      <w:pPr>
        <w:pStyle w:val="BodyText"/>
        <w:spacing w:before="1"/>
        <w:rPr>
          <w:sz w:val="19"/>
        </w:rPr>
      </w:pPr>
    </w:p>
    <w:p>
      <w:pPr>
        <w:pStyle w:val="Heading3"/>
        <w:ind w:left="2588"/>
      </w:pPr>
      <w:r>
        <w:rPr>
          <w:spacing w:val="-2"/>
        </w:rPr>
        <w:t>（三十八）</w:t>
      </w:r>
      <w:r>
        <w:rPr>
          <w:spacing w:val="-3"/>
        </w:rPr>
        <w:t>急性出血坏死性胰腺炎腹腔镜手术</w:t>
      </w:r>
    </w:p>
    <w:p>
      <w:pPr>
        <w:pStyle w:val="BodyText"/>
        <w:spacing w:line="278" w:lineRule="auto"/>
        <w:ind w:left="2588" w:right="301"/>
      </w:pPr>
      <w:r>
        <w:rPr>
          <w:spacing w:val="-4"/>
        </w:rPr>
        <w:t>指被保险人确诊为急性出血性坏死性胰腺炎，并实际接受了腹腔镜手术治疗，以</w:t>
      </w:r>
      <w:r>
        <w:rPr>
          <w:spacing w:val="-2"/>
        </w:rPr>
        <w:t>进行坏死组织清除、坏死病灶切除或胰腺切除。</w:t>
      </w:r>
    </w:p>
    <w:p>
      <w:pPr>
        <w:pStyle w:val="BodyText"/>
        <w:ind w:left="2588"/>
      </w:pPr>
      <w:r>
        <w:rPr>
          <w:color w:val="000000"/>
          <w:spacing w:val="-3"/>
          <w:shd w:fill="D9D9D9" w:color="auto" w:val="clear"/>
        </w:rPr>
        <w:t>因酗酒或饮酒过量所致的急性坏死胰腺炎不在本障范围内。</w:t>
      </w:r>
    </w:p>
    <w:p>
      <w:pPr>
        <w:pStyle w:val="BodyText"/>
        <w:spacing w:before="1"/>
        <w:rPr>
          <w:sz w:val="22"/>
        </w:rPr>
      </w:pPr>
    </w:p>
    <w:p>
      <w:pPr>
        <w:pStyle w:val="Heading3"/>
        <w:spacing w:before="1"/>
        <w:ind w:left="2588"/>
      </w:pPr>
      <w:r>
        <w:rPr>
          <w:w w:val="95"/>
        </w:rPr>
        <w:t>（</w:t>
      </w:r>
      <w:r>
        <w:rPr>
          <w:w w:val="95"/>
        </w:rPr>
        <w:t>三</w:t>
      </w:r>
      <w:r>
        <w:rPr>
          <w:w w:val="95"/>
        </w:rPr>
        <w:t>十</w:t>
      </w:r>
      <w:r>
        <w:rPr>
          <w:w w:val="95"/>
        </w:rPr>
        <w:t>九</w:t>
      </w:r>
      <w:r>
        <w:rPr>
          <w:w w:val="95"/>
        </w:rPr>
        <w:t>）</w:t>
      </w:r>
      <w:r>
        <w:rPr>
          <w:w w:val="95"/>
        </w:rPr>
        <w:t>昏</w:t>
      </w:r>
      <w:r>
        <w:rPr>
          <w:w w:val="95"/>
        </w:rPr>
        <w:t>迷</w:t>
      </w:r>
      <w:r>
        <w:rPr>
          <w:spacing w:val="13"/>
        </w:rPr>
        <w:t> </w:t>
      </w:r>
      <w:r>
        <w:rPr>
          <w:w w:val="95"/>
        </w:rPr>
        <w:t>48</w:t>
      </w:r>
      <w:r>
        <w:rPr>
          <w:spacing w:val="14"/>
        </w:rPr>
        <w:t> </w:t>
      </w:r>
      <w:r>
        <w:rPr>
          <w:w w:val="95"/>
        </w:rPr>
        <w:t>小</w:t>
      </w:r>
      <w:r>
        <w:rPr>
          <w:spacing w:val="-10"/>
          <w:w w:val="95"/>
        </w:rPr>
        <w:t>时</w:t>
      </w:r>
    </w:p>
    <w:p>
      <w:pPr>
        <w:pStyle w:val="BodyText"/>
        <w:spacing w:line="244" w:lineRule="exact"/>
        <w:ind w:left="2588"/>
      </w:pPr>
      <w:r>
        <w:rPr>
          <w:spacing w:val="-5"/>
        </w:rPr>
        <w:t>指因疾病或意外伤害导致意识丧失，对外界刺激和体内需求均无反应，昏迷程度</w:t>
      </w:r>
    </w:p>
    <w:p>
      <w:pPr>
        <w:spacing w:line="31" w:lineRule="exact" w:before="0"/>
        <w:ind w:left="0" w:right="3189" w:firstLine="0"/>
        <w:jc w:val="center"/>
        <w:rPr>
          <w:sz w:val="4"/>
        </w:rPr>
      </w:pPr>
      <w:r>
        <w:rPr>
          <w:w w:val="72"/>
          <w:sz w:val="4"/>
        </w:rPr>
        <w:t>●</w:t>
      </w:r>
    </w:p>
    <w:p>
      <w:pPr>
        <w:pStyle w:val="BodyText"/>
        <w:spacing w:line="278" w:lineRule="auto" w:before="33"/>
        <w:ind w:left="2588" w:right="301"/>
      </w:pPr>
      <w:r>
        <w:rPr/>
        <w:t>按照格拉斯哥昏迷分级（GCS，Glasgow</w:t>
      </w:r>
      <w:r>
        <w:rPr>
          <w:spacing w:val="-7"/>
        </w:rPr>
        <w:t> </w:t>
      </w:r>
      <w:r>
        <w:rPr/>
        <w:t>Coma Scale）</w:t>
      </w:r>
      <w:r>
        <w:rPr>
          <w:spacing w:val="-14"/>
        </w:rPr>
        <w:t>结果为 </w:t>
      </w:r>
      <w:r>
        <w:rPr/>
        <w:t>5</w:t>
      </w:r>
      <w:r>
        <w:rPr>
          <w:spacing w:val="-29"/>
        </w:rPr>
        <w:t> 分或 </w:t>
      </w:r>
      <w:r>
        <w:rPr/>
        <w:t>5</w:t>
      </w:r>
      <w:r>
        <w:rPr>
          <w:spacing w:val="-12"/>
        </w:rPr>
        <w:t> 分以下，</w:t>
      </w:r>
      <w:r>
        <w:rPr>
          <w:spacing w:val="-2"/>
        </w:rPr>
        <w:t>且已经持续使用呼吸机及其它生命维持系统 </w:t>
      </w:r>
      <w:r>
        <w:rPr/>
        <w:t>48</w:t>
      </w:r>
      <w:r>
        <w:rPr>
          <w:spacing w:val="-8"/>
        </w:rPr>
        <w:t> 小时以上，但未达到 </w:t>
      </w:r>
      <w:r>
        <w:rPr/>
        <w:t>72</w:t>
      </w:r>
      <w:r>
        <w:rPr>
          <w:spacing w:val="-7"/>
        </w:rPr>
        <w:t> 小时。</w:t>
      </w:r>
      <w:r>
        <w:rPr>
          <w:color w:val="000000"/>
          <w:spacing w:val="-2"/>
          <w:shd w:fill="D9D9D9" w:color="auto" w:val="clear"/>
        </w:rPr>
        <w:t>因酗酒或药物滥用导致的昏迷不在保障范围内。</w:t>
      </w:r>
    </w:p>
    <w:p>
      <w:pPr>
        <w:pStyle w:val="BodyText"/>
        <w:spacing w:before="1"/>
        <w:rPr>
          <w:sz w:val="19"/>
        </w:rPr>
      </w:pPr>
    </w:p>
    <w:p>
      <w:pPr>
        <w:pStyle w:val="Heading3"/>
        <w:ind w:left="2588"/>
      </w:pPr>
      <w:r>
        <w:rPr/>
        <w:t>（四十）</w:t>
      </w:r>
      <w:r>
        <w:rPr>
          <w:spacing w:val="-1"/>
        </w:rPr>
        <w:t>骨质疏松骨折髋关节置换手术</w:t>
      </w:r>
    </w:p>
    <w:p>
      <w:pPr>
        <w:pStyle w:val="BodyText"/>
        <w:spacing w:line="278" w:lineRule="auto"/>
        <w:ind w:left="2588" w:right="296"/>
        <w:jc w:val="both"/>
      </w:pPr>
      <w:r>
        <w:rPr>
          <w:spacing w:val="-4"/>
        </w:rPr>
        <w:t>骨质疏松是一种系统性疾病。其特征为骨质量减少，骨小梁数目减少、变细和骨</w:t>
      </w:r>
      <w:r>
        <w:rPr>
          <w:spacing w:val="-2"/>
        </w:rPr>
        <w:t>皮质变薄，导致骨脆性增加，骨折危险增加。根据世界卫生组织（WHO）建议，</w:t>
      </w:r>
      <w:r>
        <w:rPr>
          <w:spacing w:val="-2"/>
        </w:rPr>
        <w:t>骨密度（BMD）</w:t>
      </w:r>
      <w:r>
        <w:rPr>
          <w:spacing w:val="-3"/>
        </w:rPr>
        <w:t>较正常成人骨密度平均值降低 </w:t>
      </w:r>
      <w:r>
        <w:rPr>
          <w:spacing w:val="-2"/>
        </w:rPr>
        <w:t>2.5</w:t>
      </w:r>
      <w:r>
        <w:rPr>
          <w:spacing w:val="-6"/>
        </w:rPr>
        <w:t> 个标准差为骨质疏松症。必须</w:t>
      </w:r>
      <w:r>
        <w:rPr>
          <w:spacing w:val="-2"/>
        </w:rPr>
        <w:t>满足下列所有条件：</w:t>
      </w:r>
    </w:p>
    <w:p>
      <w:pPr>
        <w:spacing w:after="0" w:line="278" w:lineRule="auto"/>
        <w:jc w:val="both"/>
        <w:sectPr>
          <w:pgSz w:w="11910" w:h="16840"/>
          <w:pgMar w:top="1400" w:bottom="280" w:left="920" w:right="820"/>
        </w:sectPr>
      </w:pPr>
    </w:p>
    <w:p>
      <w:pPr>
        <w:pStyle w:val="ListParagraph"/>
        <w:numPr>
          <w:ilvl w:val="0"/>
          <w:numId w:val="90"/>
        </w:numPr>
        <w:tabs>
          <w:tab w:pos="3118" w:val="left" w:leader="none"/>
        </w:tabs>
        <w:spacing w:line="240" w:lineRule="auto" w:before="59" w:after="0"/>
        <w:ind w:left="3117" w:right="0" w:hanging="530"/>
        <w:jc w:val="left"/>
        <w:rPr>
          <w:sz w:val="21"/>
        </w:rPr>
      </w:pPr>
      <w:r>
        <w:rPr>
          <w:spacing w:val="-3"/>
          <w:sz w:val="21"/>
        </w:rPr>
        <w:t>依照诊断标准确诊为骨质疏松症；</w:t>
      </w:r>
    </w:p>
    <w:p>
      <w:pPr>
        <w:pStyle w:val="ListParagraph"/>
        <w:numPr>
          <w:ilvl w:val="0"/>
          <w:numId w:val="90"/>
        </w:numPr>
        <w:tabs>
          <w:tab w:pos="3118" w:val="left" w:leader="none"/>
        </w:tabs>
        <w:spacing w:line="240" w:lineRule="auto" w:before="43" w:after="0"/>
        <w:ind w:left="3117" w:right="0" w:hanging="530"/>
        <w:jc w:val="left"/>
        <w:rPr>
          <w:sz w:val="21"/>
        </w:rPr>
      </w:pPr>
      <w:r>
        <w:rPr>
          <w:spacing w:val="-3"/>
          <w:sz w:val="21"/>
        </w:rPr>
        <w:t>实际发生了股骨颈骨折并接受了髋关节置换手术。</w:t>
      </w:r>
    </w:p>
    <w:p>
      <w:pPr>
        <w:pStyle w:val="BodyText"/>
        <w:spacing w:before="6"/>
        <w:rPr>
          <w:sz w:val="22"/>
        </w:rPr>
      </w:pPr>
    </w:p>
    <w:p>
      <w:pPr>
        <w:pStyle w:val="Heading3"/>
        <w:ind w:left="2588"/>
      </w:pPr>
      <w:r>
        <w:rPr/>
        <w:t>（四十一）</w:t>
      </w:r>
      <w:r>
        <w:rPr>
          <w:spacing w:val="-2"/>
        </w:rPr>
        <w:t>多发肋骨骨折</w:t>
      </w:r>
    </w:p>
    <w:p>
      <w:pPr>
        <w:pStyle w:val="BodyText"/>
        <w:spacing w:line="278" w:lineRule="auto"/>
        <w:ind w:left="2588" w:right="301"/>
      </w:pPr>
      <w:r>
        <w:rPr>
          <w:spacing w:val="-2"/>
        </w:rPr>
        <w:t>因一次意外伤害事故导致胸部损伤同时大于等于 </w:t>
      </w:r>
      <w:r>
        <w:rPr/>
        <w:t>12</w:t>
      </w:r>
      <w:r>
        <w:rPr>
          <w:spacing w:val="-8"/>
        </w:rPr>
        <w:t> 根肋骨骨折，</w:t>
      </w:r>
      <w:r>
        <w:rPr>
          <w:color w:val="000000"/>
          <w:shd w:fill="D9D9D9" w:color="auto" w:val="clear"/>
        </w:rPr>
        <w:t>陈旧性骨折不</w:t>
      </w:r>
      <w:r>
        <w:rPr>
          <w:color w:val="000000"/>
          <w:spacing w:val="80"/>
          <w:w w:val="150"/>
          <w:shd w:fill="D9D9D9" w:color="auto" w:val="clear"/>
        </w:rPr>
        <w:t>                                       </w:t>
      </w:r>
      <w:r>
        <w:rPr>
          <w:color w:val="000000"/>
          <w:spacing w:val="-2"/>
          <w:shd w:fill="D9D9D9" w:color="auto" w:val="clear"/>
        </w:rPr>
        <w:t>在保障范围之内</w:t>
      </w:r>
      <w:r>
        <w:rPr>
          <w:color w:val="000000"/>
          <w:spacing w:val="-2"/>
        </w:rPr>
        <w:t>。</w:t>
      </w:r>
    </w:p>
    <w:p>
      <w:pPr>
        <w:pStyle w:val="BodyText"/>
        <w:spacing w:before="10"/>
        <w:rPr>
          <w:sz w:val="18"/>
        </w:rPr>
      </w:pPr>
    </w:p>
    <w:p>
      <w:pPr>
        <w:pStyle w:val="Heading3"/>
        <w:ind w:left="2588"/>
      </w:pPr>
      <w:r>
        <w:rPr/>
        <w:t>（四十二）</w:t>
      </w:r>
      <w:r>
        <w:rPr>
          <w:spacing w:val="-1"/>
        </w:rPr>
        <w:t>可逆性再生障碍性贫血</w:t>
      </w:r>
    </w:p>
    <w:p>
      <w:pPr>
        <w:pStyle w:val="BodyText"/>
        <w:spacing w:line="278" w:lineRule="auto"/>
        <w:ind w:left="2588" w:right="325"/>
      </w:pPr>
      <w:r>
        <w:rPr>
          <w:spacing w:val="-2"/>
        </w:rPr>
        <w:t>指因骨髓造血功能衰竭而导致全血细胞减少，但未达到本合同所指重大疾病</w:t>
      </w:r>
      <w:r>
        <w:rPr>
          <w:spacing w:val="80"/>
          <w:w w:val="150"/>
        </w:rPr>
        <w:t> </w:t>
      </w:r>
      <w:r>
        <w:rPr>
          <w:spacing w:val="-11"/>
        </w:rPr>
        <w:t>“重型再生障碍性贫血”，必须由血液科医生的诊断，且病历资料显示接受了下</w:t>
      </w:r>
      <w:r>
        <w:rPr>
          <w:spacing w:val="-2"/>
        </w:rPr>
        <w:t>列任一治疗：</w:t>
      </w:r>
    </w:p>
    <w:p>
      <w:pPr>
        <w:pStyle w:val="ListParagraph"/>
        <w:numPr>
          <w:ilvl w:val="0"/>
          <w:numId w:val="91"/>
        </w:numPr>
        <w:tabs>
          <w:tab w:pos="3118" w:val="left" w:leader="none"/>
        </w:tabs>
        <w:spacing w:line="240" w:lineRule="auto" w:before="0" w:after="0"/>
        <w:ind w:left="3117" w:right="0" w:hanging="530"/>
        <w:jc w:val="left"/>
        <w:rPr>
          <w:sz w:val="21"/>
        </w:rPr>
      </w:pPr>
      <w:r>
        <w:rPr>
          <w:spacing w:val="-7"/>
          <w:sz w:val="21"/>
        </w:rPr>
        <w:t>免疫抑制剂治疗至少 </w:t>
      </w:r>
      <w:r>
        <w:rPr>
          <w:spacing w:val="-2"/>
          <w:sz w:val="21"/>
        </w:rPr>
        <w:t>1</w:t>
      </w:r>
      <w:r>
        <w:rPr>
          <w:spacing w:val="-16"/>
          <w:sz w:val="21"/>
        </w:rPr>
        <w:t> 个月；</w:t>
      </w:r>
    </w:p>
    <w:p>
      <w:pPr>
        <w:pStyle w:val="ListParagraph"/>
        <w:numPr>
          <w:ilvl w:val="0"/>
          <w:numId w:val="91"/>
        </w:numPr>
        <w:tabs>
          <w:tab w:pos="3118" w:val="left" w:leader="none"/>
        </w:tabs>
        <w:spacing w:line="240" w:lineRule="auto" w:before="39" w:after="0"/>
        <w:ind w:left="3117" w:right="0" w:hanging="530"/>
        <w:jc w:val="left"/>
        <w:rPr>
          <w:sz w:val="21"/>
        </w:rPr>
      </w:pPr>
      <w:r>
        <w:rPr>
          <w:spacing w:val="-4"/>
          <w:sz w:val="21"/>
        </w:rPr>
        <w:t>接受了骨髓移植。</w:t>
      </w:r>
    </w:p>
    <w:p>
      <w:pPr>
        <w:pStyle w:val="BodyText"/>
        <w:spacing w:before="5"/>
        <w:rPr>
          <w:sz w:val="22"/>
        </w:rPr>
      </w:pPr>
    </w:p>
    <w:p>
      <w:pPr>
        <w:pStyle w:val="Heading3"/>
        <w:ind w:left="2588"/>
      </w:pPr>
      <w:r>
        <w:rPr/>
        <w:t>（四十三）</w:t>
      </w:r>
      <w:r>
        <w:rPr>
          <w:spacing w:val="-1"/>
        </w:rPr>
        <w:t>外伤性颅内血肿清除术</w:t>
      </w:r>
    </w:p>
    <w:p>
      <w:pPr>
        <w:pStyle w:val="BodyText"/>
        <w:spacing w:line="278" w:lineRule="auto"/>
        <w:ind w:left="2588" w:right="301"/>
      </w:pPr>
      <w:r>
        <w:rPr>
          <w:spacing w:val="-4"/>
        </w:rPr>
        <w:t>指因外伤引起的急性硬膜下血肿、急性硬膜外血肿或急性脑内血肿，已经实施了</w:t>
      </w:r>
      <w:r>
        <w:rPr>
          <w:spacing w:val="-2"/>
        </w:rPr>
        <w:t>颅骨钻孔血肿清除手术。</w:t>
      </w:r>
    </w:p>
    <w:p>
      <w:pPr>
        <w:pStyle w:val="BodyText"/>
        <w:ind w:left="2588"/>
        <w:rPr>
          <w:sz w:val="20"/>
        </w:rPr>
      </w:pPr>
      <w:r>
        <w:rPr>
          <w:sz w:val="20"/>
        </w:rPr>
        <w:pict>
          <v:shape style="width:363.4pt;height:13.95pt;mso-position-horizontal-relative:char;mso-position-vertical-relative:line" type="#_x0000_t202" id="docshape197" filled="true" fillcolor="#d9d9d9" stroked="false">
            <w10:anchorlock/>
            <v:textbox inset="0,0,0,0">
              <w:txbxContent>
                <w:p>
                  <w:pPr>
                    <w:pStyle w:val="BodyText"/>
                    <w:spacing w:line="248" w:lineRule="exact" w:before="6"/>
                    <w:ind w:right="-15"/>
                    <w:rPr>
                      <w:color w:val="000000"/>
                    </w:rPr>
                  </w:pPr>
                  <w:r>
                    <w:rPr>
                      <w:color w:val="000000"/>
                      <w:spacing w:val="-3"/>
                    </w:rPr>
                    <w:t>微创颅内血肿穿刺针治疗、脑血管意外所致脑出血血肿清除术均不在保障范围</w:t>
                  </w:r>
                </w:p>
                <w:p>
                  <w:pPr>
                    <w:spacing w:line="24" w:lineRule="exact" w:before="0"/>
                    <w:ind w:left="254" w:right="0" w:firstLine="0"/>
                    <w:jc w:val="left"/>
                    <w:rPr>
                      <w:color w:val="000000"/>
                      <w:sz w:val="4"/>
                    </w:rPr>
                  </w:pPr>
                  <w:r>
                    <w:rPr>
                      <w:color w:val="000000"/>
                      <w:w w:val="72"/>
                      <w:sz w:val="4"/>
                    </w:rPr>
                    <w:t>●</w:t>
                  </w:r>
                </w:p>
              </w:txbxContent>
            </v:textbox>
            <v:fill type="solid"/>
          </v:shape>
        </w:pict>
      </w:r>
      <w:r>
        <w:rPr>
          <w:sz w:val="20"/>
        </w:rPr>
      </w:r>
    </w:p>
    <w:p>
      <w:pPr>
        <w:pStyle w:val="BodyText"/>
        <w:spacing w:before="9"/>
        <w:ind w:left="2588"/>
      </w:pPr>
      <w:r>
        <w:rPr>
          <w:color w:val="000000"/>
          <w:spacing w:val="-5"/>
          <w:shd w:fill="D9D9D9" w:color="auto" w:val="clear"/>
        </w:rPr>
        <w:t>内。</w:t>
      </w:r>
    </w:p>
    <w:p>
      <w:pPr>
        <w:pStyle w:val="BodyText"/>
        <w:spacing w:before="11"/>
        <w:rPr>
          <w:sz w:val="22"/>
        </w:rPr>
      </w:pPr>
    </w:p>
    <w:p>
      <w:pPr>
        <w:pStyle w:val="ListParagraph"/>
        <w:numPr>
          <w:ilvl w:val="1"/>
          <w:numId w:val="11"/>
        </w:numPr>
        <w:tabs>
          <w:tab w:pos="1364" w:val="left" w:leader="none"/>
          <w:tab w:pos="1365" w:val="left" w:leader="none"/>
          <w:tab w:pos="2588" w:val="left" w:leader="none"/>
        </w:tabs>
        <w:spacing w:line="235" w:lineRule="auto" w:before="0" w:after="0"/>
        <w:ind w:left="2588" w:right="301" w:hanging="2074"/>
        <w:jc w:val="left"/>
        <w:rPr>
          <w:sz w:val="21"/>
        </w:rPr>
      </w:pPr>
      <w:r>
        <w:rPr>
          <w:rFonts w:ascii="微软雅黑" w:eastAsia="微软雅黑"/>
          <w:b/>
          <w:w w:val="100"/>
          <w:sz w:val="21"/>
        </w:rPr>
        <w:t>初次发生</w:t>
      </w:r>
      <w:r>
        <w:rPr>
          <w:rFonts w:ascii="微软雅黑" w:eastAsia="微软雅黑"/>
          <w:b/>
          <w:sz w:val="21"/>
        </w:rPr>
        <w:tab/>
      </w:r>
      <w:r>
        <w:rPr>
          <w:spacing w:val="4"/>
          <w:w w:val="100"/>
          <w:sz w:val="21"/>
        </w:rPr>
        <w:t>指被</w:t>
      </w:r>
      <w:r>
        <w:rPr>
          <w:w w:val="100"/>
          <w:sz w:val="21"/>
        </w:rPr>
        <w:t>保</w:t>
      </w:r>
      <w:r>
        <w:rPr>
          <w:spacing w:val="4"/>
          <w:w w:val="100"/>
          <w:sz w:val="21"/>
        </w:rPr>
        <w:t>险</w:t>
      </w:r>
      <w:r>
        <w:rPr>
          <w:w w:val="100"/>
          <w:sz w:val="21"/>
        </w:rPr>
        <w:t>人</w:t>
      </w:r>
      <w:r>
        <w:rPr>
          <w:spacing w:val="4"/>
          <w:w w:val="100"/>
          <w:sz w:val="21"/>
        </w:rPr>
        <w:t>自</w:t>
      </w:r>
      <w:r>
        <w:rPr>
          <w:w w:val="100"/>
          <w:sz w:val="21"/>
        </w:rPr>
        <w:t>出</w:t>
      </w:r>
      <w:r>
        <w:rPr>
          <w:spacing w:val="4"/>
          <w:w w:val="100"/>
          <w:sz w:val="21"/>
        </w:rPr>
        <w:t>生后</w:t>
      </w:r>
      <w:r>
        <w:rPr>
          <w:w w:val="100"/>
          <w:sz w:val="21"/>
        </w:rPr>
        <w:t>第</w:t>
      </w:r>
      <w:r>
        <w:rPr>
          <w:spacing w:val="4"/>
          <w:w w:val="100"/>
          <w:sz w:val="21"/>
        </w:rPr>
        <w:t>一</w:t>
      </w:r>
      <w:r>
        <w:rPr>
          <w:w w:val="100"/>
          <w:sz w:val="21"/>
        </w:rPr>
        <w:t>次</w:t>
      </w:r>
      <w:r>
        <w:rPr>
          <w:spacing w:val="4"/>
          <w:w w:val="100"/>
          <w:sz w:val="21"/>
        </w:rPr>
        <w:t>发</w:t>
      </w:r>
      <w:r>
        <w:rPr>
          <w:w w:val="100"/>
          <w:sz w:val="21"/>
        </w:rPr>
        <w:t>生</w:t>
      </w:r>
      <w:r>
        <w:rPr>
          <w:spacing w:val="4"/>
          <w:w w:val="100"/>
          <w:sz w:val="21"/>
        </w:rPr>
        <w:t>本</w:t>
      </w:r>
      <w:r>
        <w:rPr>
          <w:w w:val="100"/>
          <w:sz w:val="21"/>
        </w:rPr>
        <w:t>合</w:t>
      </w:r>
      <w:r>
        <w:rPr>
          <w:spacing w:val="4"/>
          <w:w w:val="100"/>
          <w:sz w:val="21"/>
        </w:rPr>
        <w:t>同所</w:t>
      </w:r>
      <w:r>
        <w:rPr>
          <w:w w:val="100"/>
          <w:sz w:val="21"/>
        </w:rPr>
        <w:t>定</w:t>
      </w:r>
      <w:r>
        <w:rPr>
          <w:spacing w:val="4"/>
          <w:w w:val="100"/>
          <w:sz w:val="21"/>
        </w:rPr>
        <w:t>义</w:t>
      </w:r>
      <w:r>
        <w:rPr>
          <w:w w:val="100"/>
          <w:sz w:val="21"/>
        </w:rPr>
        <w:t>的重</w:t>
      </w:r>
      <w:r>
        <w:rPr>
          <w:spacing w:val="4"/>
          <w:w w:val="100"/>
          <w:sz w:val="21"/>
        </w:rPr>
        <w:t>大疾</w:t>
      </w:r>
      <w:r>
        <w:rPr>
          <w:w w:val="100"/>
          <w:sz w:val="21"/>
        </w:rPr>
        <w:t>病</w:t>
      </w:r>
      <w:r>
        <w:rPr>
          <w:spacing w:val="4"/>
          <w:w w:val="100"/>
          <w:sz w:val="21"/>
        </w:rPr>
        <w:t>、</w:t>
      </w:r>
      <w:r>
        <w:rPr>
          <w:w w:val="100"/>
          <w:sz w:val="21"/>
        </w:rPr>
        <w:t>中</w:t>
      </w:r>
      <w:r>
        <w:rPr>
          <w:spacing w:val="4"/>
          <w:w w:val="100"/>
          <w:sz w:val="21"/>
        </w:rPr>
        <w:t>症</w:t>
      </w:r>
      <w:r>
        <w:rPr>
          <w:w w:val="100"/>
          <w:sz w:val="21"/>
        </w:rPr>
        <w:t>疾</w:t>
      </w:r>
      <w:r>
        <w:rPr>
          <w:spacing w:val="4"/>
          <w:w w:val="100"/>
          <w:sz w:val="21"/>
        </w:rPr>
        <w:t>病或</w:t>
      </w:r>
      <w:r>
        <w:rPr>
          <w:w w:val="100"/>
          <w:sz w:val="21"/>
        </w:rPr>
        <w:t>轻</w:t>
      </w:r>
      <w:r>
        <w:rPr>
          <w:spacing w:val="4"/>
          <w:w w:val="100"/>
          <w:sz w:val="21"/>
        </w:rPr>
        <w:t>症</w:t>
      </w:r>
      <w:r>
        <w:rPr>
          <w:w w:val="100"/>
          <w:sz w:val="21"/>
        </w:rPr>
        <w:t>疾病。</w:t>
      </w:r>
    </w:p>
    <w:p>
      <w:pPr>
        <w:spacing w:line="10" w:lineRule="exact" w:before="0"/>
        <w:ind w:left="2627" w:right="0" w:firstLine="0"/>
        <w:jc w:val="left"/>
        <w:rPr>
          <w:sz w:val="4"/>
        </w:rPr>
      </w:pPr>
      <w:r>
        <w:rPr>
          <w:w w:val="72"/>
          <w:sz w:val="4"/>
        </w:rPr>
        <w:t>●</w:t>
      </w:r>
    </w:p>
    <w:p>
      <w:pPr>
        <w:pStyle w:val="BodyText"/>
        <w:spacing w:before="4"/>
      </w:pPr>
    </w:p>
    <w:p>
      <w:pPr>
        <w:pStyle w:val="ListParagraph"/>
        <w:numPr>
          <w:ilvl w:val="1"/>
          <w:numId w:val="11"/>
        </w:numPr>
        <w:tabs>
          <w:tab w:pos="1364" w:val="left" w:leader="none"/>
          <w:tab w:pos="1365" w:val="left" w:leader="none"/>
          <w:tab w:pos="2588" w:val="left" w:leader="none"/>
        </w:tabs>
        <w:spacing w:line="312" w:lineRule="exact" w:before="32" w:after="0"/>
        <w:ind w:left="2588" w:right="195" w:hanging="2074"/>
        <w:jc w:val="left"/>
        <w:rPr>
          <w:sz w:val="21"/>
        </w:rPr>
      </w:pPr>
      <w:r>
        <w:rPr>
          <w:rFonts w:ascii="微软雅黑" w:eastAsia="微软雅黑"/>
          <w:b/>
          <w:spacing w:val="-6"/>
          <w:sz w:val="21"/>
        </w:rPr>
        <w:t>医</w:t>
      </w:r>
      <w:r>
        <w:rPr>
          <w:rFonts w:ascii="微软雅黑" w:eastAsia="微软雅黑"/>
          <w:b/>
          <w:spacing w:val="-6"/>
          <w:sz w:val="21"/>
        </w:rPr>
        <w:t>院</w:t>
      </w:r>
      <w:r>
        <w:rPr>
          <w:rFonts w:ascii="微软雅黑" w:eastAsia="微软雅黑"/>
          <w:b/>
          <w:sz w:val="21"/>
        </w:rPr>
        <w:tab/>
      </w:r>
      <w:r>
        <w:rPr>
          <w:spacing w:val="-2"/>
          <w:sz w:val="21"/>
        </w:rPr>
        <w:t>指</w:t>
      </w:r>
      <w:r>
        <w:rPr>
          <w:spacing w:val="-2"/>
          <w:sz w:val="21"/>
        </w:rPr>
        <w:t>国</w:t>
      </w:r>
      <w:r>
        <w:rPr>
          <w:spacing w:val="-2"/>
          <w:sz w:val="21"/>
        </w:rPr>
        <w:t>家</w:t>
      </w:r>
      <w:r>
        <w:rPr>
          <w:spacing w:val="-2"/>
          <w:sz w:val="21"/>
        </w:rPr>
        <w:t>卫</w:t>
      </w:r>
      <w:r>
        <w:rPr>
          <w:spacing w:val="-2"/>
          <w:sz w:val="21"/>
        </w:rPr>
        <w:t>生</w:t>
      </w:r>
      <w:r>
        <w:rPr>
          <w:spacing w:val="-2"/>
          <w:sz w:val="21"/>
        </w:rPr>
        <w:t>部</w:t>
      </w:r>
      <w:r>
        <w:rPr>
          <w:spacing w:val="-2"/>
          <w:sz w:val="21"/>
        </w:rPr>
        <w:t>医</w:t>
      </w:r>
      <w:r>
        <w:rPr>
          <w:spacing w:val="-2"/>
          <w:sz w:val="21"/>
        </w:rPr>
        <w:t>院</w:t>
      </w:r>
      <w:r>
        <w:rPr>
          <w:spacing w:val="-2"/>
          <w:sz w:val="21"/>
        </w:rPr>
        <w:t>等</w:t>
      </w:r>
      <w:r>
        <w:rPr>
          <w:spacing w:val="-2"/>
          <w:sz w:val="21"/>
        </w:rPr>
        <w:t>级</w:t>
      </w:r>
      <w:r>
        <w:rPr>
          <w:spacing w:val="-2"/>
          <w:sz w:val="21"/>
        </w:rPr>
        <w:t>分</w:t>
      </w:r>
      <w:r>
        <w:rPr>
          <w:spacing w:val="-2"/>
          <w:sz w:val="21"/>
        </w:rPr>
        <w:t>类</w:t>
      </w:r>
      <w:r>
        <w:rPr>
          <w:spacing w:val="-2"/>
          <w:sz w:val="21"/>
        </w:rPr>
        <w:t>中</w:t>
      </w:r>
      <w:r>
        <w:rPr>
          <w:spacing w:val="-2"/>
          <w:sz w:val="21"/>
        </w:rPr>
        <w:t>的</w:t>
      </w:r>
      <w:r>
        <w:rPr>
          <w:spacing w:val="-2"/>
          <w:sz w:val="21"/>
        </w:rPr>
        <w:t>二</w:t>
      </w:r>
      <w:r>
        <w:rPr>
          <w:spacing w:val="-2"/>
          <w:sz w:val="21"/>
        </w:rPr>
        <w:t>级</w:t>
      </w:r>
      <w:r>
        <w:rPr>
          <w:spacing w:val="-2"/>
          <w:sz w:val="21"/>
        </w:rPr>
        <w:t>或</w:t>
      </w:r>
      <w:r>
        <w:rPr>
          <w:spacing w:val="-2"/>
          <w:sz w:val="21"/>
        </w:rPr>
        <w:t>二</w:t>
      </w:r>
      <w:r>
        <w:rPr>
          <w:spacing w:val="-2"/>
          <w:sz w:val="21"/>
        </w:rPr>
        <w:t>级</w:t>
      </w:r>
      <w:r>
        <w:rPr>
          <w:spacing w:val="-2"/>
          <w:sz w:val="21"/>
        </w:rPr>
        <w:t>以</w:t>
      </w:r>
      <w:r>
        <w:rPr>
          <w:spacing w:val="-2"/>
          <w:sz w:val="21"/>
        </w:rPr>
        <w:t>上的公</w:t>
      </w:r>
      <w:r>
        <w:rPr>
          <w:spacing w:val="-2"/>
          <w:sz w:val="21"/>
        </w:rPr>
        <w:t>立</w:t>
      </w:r>
      <w:r>
        <w:rPr>
          <w:spacing w:val="-2"/>
          <w:sz w:val="21"/>
        </w:rPr>
        <w:t>医</w:t>
      </w:r>
      <w:r>
        <w:rPr>
          <w:spacing w:val="-2"/>
          <w:sz w:val="21"/>
        </w:rPr>
        <w:t>院</w:t>
      </w:r>
      <w:r>
        <w:rPr>
          <w:spacing w:val="-82"/>
          <w:sz w:val="21"/>
        </w:rPr>
        <w:t>，</w:t>
      </w:r>
      <w:r>
        <w:rPr>
          <w:spacing w:val="-2"/>
          <w:sz w:val="21"/>
        </w:rPr>
        <w:t>但不</w:t>
      </w:r>
      <w:r>
        <w:rPr>
          <w:spacing w:val="-2"/>
          <w:sz w:val="21"/>
        </w:rPr>
        <w:t>包</w:t>
      </w:r>
      <w:r>
        <w:rPr>
          <w:spacing w:val="-2"/>
          <w:sz w:val="21"/>
        </w:rPr>
        <w:t>括</w:t>
      </w:r>
      <w:r>
        <w:rPr>
          <w:spacing w:val="-2"/>
          <w:sz w:val="21"/>
        </w:rPr>
        <w:t>附</w:t>
      </w:r>
      <w:r>
        <w:rPr>
          <w:spacing w:val="-2"/>
          <w:sz w:val="21"/>
        </w:rPr>
        <w:t>属</w:t>
      </w:r>
      <w:r>
        <w:rPr>
          <w:spacing w:val="-2"/>
          <w:sz w:val="21"/>
        </w:rPr>
        <w:t>于</w:t>
      </w:r>
      <w:r>
        <w:rPr>
          <w:spacing w:val="-2"/>
          <w:sz w:val="21"/>
        </w:rPr>
        <w:t>前</w:t>
      </w:r>
      <w:r>
        <w:rPr>
          <w:spacing w:val="-6"/>
          <w:sz w:val="21"/>
        </w:rPr>
        <w:t>述</w:t>
      </w:r>
      <w:r>
        <w:rPr>
          <w:spacing w:val="-6"/>
          <w:sz w:val="21"/>
        </w:rPr>
        <w:t>医</w:t>
      </w:r>
      <w:r>
        <w:rPr>
          <w:spacing w:val="-6"/>
          <w:sz w:val="21"/>
        </w:rPr>
        <w:t>院</w:t>
      </w:r>
      <w:r>
        <w:rPr>
          <w:spacing w:val="-6"/>
          <w:sz w:val="21"/>
        </w:rPr>
        <w:t>或</w:t>
      </w:r>
      <w:r>
        <w:rPr>
          <w:spacing w:val="-6"/>
          <w:sz w:val="21"/>
        </w:rPr>
        <w:t>单</w:t>
      </w:r>
      <w:r>
        <w:rPr>
          <w:spacing w:val="-6"/>
          <w:sz w:val="21"/>
        </w:rPr>
        <w:t>独</w:t>
      </w:r>
      <w:r>
        <w:rPr>
          <w:spacing w:val="-6"/>
          <w:sz w:val="21"/>
        </w:rPr>
        <w:t>作</w:t>
      </w:r>
      <w:r>
        <w:rPr>
          <w:spacing w:val="-6"/>
          <w:sz w:val="21"/>
        </w:rPr>
        <w:t>为</w:t>
      </w:r>
      <w:r>
        <w:rPr>
          <w:spacing w:val="-6"/>
          <w:sz w:val="21"/>
        </w:rPr>
        <w:t>诊所、</w:t>
      </w:r>
      <w:r>
        <w:rPr>
          <w:spacing w:val="-6"/>
          <w:sz w:val="21"/>
        </w:rPr>
        <w:t>康</w:t>
      </w:r>
      <w:r>
        <w:rPr>
          <w:spacing w:val="-6"/>
          <w:sz w:val="21"/>
        </w:rPr>
        <w:t>复</w:t>
      </w:r>
      <w:r>
        <w:rPr>
          <w:spacing w:val="-6"/>
          <w:sz w:val="21"/>
        </w:rPr>
        <w:t>、护理、</w:t>
      </w:r>
      <w:r>
        <w:rPr>
          <w:spacing w:val="-6"/>
          <w:sz w:val="21"/>
        </w:rPr>
        <w:t>疗</w:t>
      </w:r>
      <w:r>
        <w:rPr>
          <w:spacing w:val="-6"/>
          <w:sz w:val="21"/>
        </w:rPr>
        <w:t>养</w:t>
      </w:r>
      <w:r>
        <w:rPr>
          <w:spacing w:val="-6"/>
          <w:sz w:val="21"/>
        </w:rPr>
        <w:t>、戒酒、戒</w:t>
      </w:r>
      <w:r>
        <w:rPr>
          <w:spacing w:val="-6"/>
          <w:sz w:val="21"/>
        </w:rPr>
        <w:t>毒</w:t>
      </w:r>
      <w:r>
        <w:rPr>
          <w:spacing w:val="-6"/>
          <w:sz w:val="21"/>
        </w:rPr>
        <w:t>等</w:t>
      </w:r>
      <w:r>
        <w:rPr>
          <w:spacing w:val="-6"/>
          <w:sz w:val="21"/>
        </w:rPr>
        <w:t>或</w:t>
      </w:r>
      <w:r>
        <w:rPr>
          <w:spacing w:val="-6"/>
          <w:sz w:val="21"/>
        </w:rPr>
        <w:t>相</w:t>
      </w:r>
      <w:r>
        <w:rPr>
          <w:spacing w:val="-6"/>
          <w:sz w:val="21"/>
        </w:rPr>
        <w:t>类</w:t>
      </w:r>
      <w:r>
        <w:rPr>
          <w:spacing w:val="-6"/>
          <w:sz w:val="21"/>
        </w:rPr>
        <w:t>似</w:t>
      </w:r>
      <w:r>
        <w:rPr>
          <w:spacing w:val="-6"/>
          <w:sz w:val="21"/>
        </w:rPr>
        <w:t>的</w:t>
      </w:r>
      <w:r>
        <w:rPr>
          <w:spacing w:val="-6"/>
          <w:sz w:val="21"/>
        </w:rPr>
        <w:t>医</w:t>
      </w:r>
      <w:r>
        <w:rPr>
          <w:spacing w:val="-6"/>
          <w:sz w:val="21"/>
        </w:rPr>
        <w:t>疗</w:t>
      </w:r>
      <w:r>
        <w:rPr>
          <w:spacing w:val="-6"/>
          <w:sz w:val="21"/>
        </w:rPr>
        <w:t>机</w:t>
      </w:r>
      <w:r>
        <w:rPr>
          <w:spacing w:val="-6"/>
          <w:sz w:val="21"/>
        </w:rPr>
        <w:t>构</w:t>
      </w:r>
      <w:r>
        <w:rPr>
          <w:spacing w:val="-6"/>
          <w:sz w:val="21"/>
        </w:rPr>
        <w:t>。</w:t>
      </w:r>
      <w:r>
        <w:rPr>
          <w:spacing w:val="-2"/>
          <w:sz w:val="21"/>
        </w:rPr>
        <w:t>同</w:t>
      </w:r>
      <w:r>
        <w:rPr>
          <w:spacing w:val="-2"/>
          <w:sz w:val="21"/>
        </w:rPr>
        <w:t>时</w:t>
      </w:r>
      <w:r>
        <w:rPr>
          <w:spacing w:val="-2"/>
          <w:sz w:val="21"/>
        </w:rPr>
        <w:t>该</w:t>
      </w:r>
      <w:r>
        <w:rPr>
          <w:spacing w:val="-2"/>
          <w:sz w:val="21"/>
        </w:rPr>
        <w:t>医</w:t>
      </w:r>
      <w:r>
        <w:rPr>
          <w:spacing w:val="-2"/>
          <w:sz w:val="21"/>
        </w:rPr>
        <w:t>院</w:t>
      </w:r>
      <w:r>
        <w:rPr>
          <w:spacing w:val="-2"/>
          <w:sz w:val="21"/>
        </w:rPr>
        <w:t>必</w:t>
      </w:r>
      <w:r>
        <w:rPr>
          <w:spacing w:val="-2"/>
          <w:sz w:val="21"/>
        </w:rPr>
        <w:t>须</w:t>
      </w:r>
      <w:r>
        <w:rPr>
          <w:spacing w:val="-2"/>
          <w:sz w:val="21"/>
        </w:rPr>
        <w:t>具</w:t>
      </w:r>
      <w:r>
        <w:rPr>
          <w:spacing w:val="-2"/>
          <w:sz w:val="21"/>
        </w:rPr>
        <w:t>有</w:t>
      </w:r>
      <w:r>
        <w:rPr>
          <w:spacing w:val="-2"/>
          <w:sz w:val="21"/>
        </w:rPr>
        <w:t>符</w:t>
      </w:r>
      <w:r>
        <w:rPr>
          <w:spacing w:val="-2"/>
          <w:sz w:val="21"/>
        </w:rPr>
        <w:t>合</w:t>
      </w:r>
      <w:r>
        <w:rPr>
          <w:spacing w:val="-2"/>
          <w:sz w:val="21"/>
        </w:rPr>
        <w:t>有</w:t>
      </w:r>
      <w:r>
        <w:rPr>
          <w:spacing w:val="-2"/>
          <w:sz w:val="21"/>
        </w:rPr>
        <w:t>关</w:t>
      </w:r>
      <w:r>
        <w:rPr>
          <w:spacing w:val="-2"/>
          <w:sz w:val="21"/>
        </w:rPr>
        <w:t>医</w:t>
      </w:r>
      <w:r>
        <w:rPr>
          <w:spacing w:val="-2"/>
          <w:sz w:val="21"/>
        </w:rPr>
        <w:t>院</w:t>
      </w:r>
      <w:r>
        <w:rPr>
          <w:spacing w:val="-2"/>
          <w:sz w:val="21"/>
        </w:rPr>
        <w:t>管</w:t>
      </w:r>
      <w:r>
        <w:rPr>
          <w:spacing w:val="-2"/>
          <w:sz w:val="21"/>
        </w:rPr>
        <w:t>理</w:t>
      </w:r>
      <w:r>
        <w:rPr>
          <w:spacing w:val="-2"/>
          <w:sz w:val="21"/>
        </w:rPr>
        <w:t>规</w:t>
      </w:r>
      <w:r>
        <w:rPr>
          <w:spacing w:val="-2"/>
          <w:sz w:val="21"/>
        </w:rPr>
        <w:t>定</w:t>
      </w:r>
      <w:r>
        <w:rPr>
          <w:spacing w:val="-2"/>
          <w:sz w:val="21"/>
        </w:rPr>
        <w:t>设</w:t>
      </w:r>
      <w:r>
        <w:rPr>
          <w:spacing w:val="-2"/>
          <w:sz w:val="21"/>
        </w:rPr>
        <w:t>置标准</w:t>
      </w:r>
      <w:r>
        <w:rPr>
          <w:spacing w:val="-2"/>
          <w:sz w:val="21"/>
        </w:rPr>
        <w:t>的</w:t>
      </w:r>
      <w:r>
        <w:rPr>
          <w:spacing w:val="-2"/>
          <w:sz w:val="21"/>
        </w:rPr>
        <w:t>医</w:t>
      </w:r>
      <w:r>
        <w:rPr>
          <w:spacing w:val="-2"/>
          <w:sz w:val="21"/>
        </w:rPr>
        <w:t>疗</w:t>
      </w:r>
      <w:r>
        <w:rPr>
          <w:spacing w:val="-2"/>
          <w:sz w:val="21"/>
        </w:rPr>
        <w:t>设</w:t>
      </w:r>
      <w:r>
        <w:rPr>
          <w:spacing w:val="-2"/>
          <w:sz w:val="21"/>
        </w:rPr>
        <w:t>备</w:t>
      </w:r>
      <w:r>
        <w:rPr>
          <w:spacing w:val="-87"/>
          <w:sz w:val="21"/>
        </w:rPr>
        <w:t>，</w:t>
      </w:r>
      <w:r>
        <w:rPr>
          <w:spacing w:val="-2"/>
          <w:sz w:val="21"/>
        </w:rPr>
        <w:t>并</w:t>
      </w:r>
      <w:r>
        <w:rPr>
          <w:spacing w:val="-2"/>
          <w:sz w:val="21"/>
        </w:rPr>
        <w:t>且</w:t>
      </w:r>
      <w:r>
        <w:rPr>
          <w:spacing w:val="-2"/>
          <w:sz w:val="21"/>
        </w:rPr>
        <w:t>全</w:t>
      </w:r>
      <w:r>
        <w:rPr>
          <w:spacing w:val="-2"/>
          <w:sz w:val="21"/>
        </w:rPr>
        <w:t>日</w:t>
      </w:r>
      <w:r>
        <w:rPr>
          <w:spacing w:val="-2"/>
          <w:sz w:val="21"/>
        </w:rPr>
        <w:t>二</w:t>
      </w:r>
      <w:r>
        <w:rPr>
          <w:spacing w:val="-2"/>
          <w:sz w:val="21"/>
        </w:rPr>
        <w:t>十</w:t>
      </w:r>
      <w:r>
        <w:rPr>
          <w:spacing w:val="-2"/>
          <w:sz w:val="21"/>
        </w:rPr>
        <w:t>四</w:t>
      </w:r>
      <w:r>
        <w:rPr>
          <w:spacing w:val="-2"/>
          <w:sz w:val="21"/>
        </w:rPr>
        <w:t>小</w:t>
      </w:r>
      <w:r>
        <w:rPr>
          <w:spacing w:val="-2"/>
          <w:sz w:val="21"/>
        </w:rPr>
        <w:t>时</w:t>
      </w:r>
      <w:r>
        <w:rPr>
          <w:spacing w:val="-2"/>
          <w:sz w:val="21"/>
        </w:rPr>
        <w:t>有</w:t>
      </w:r>
      <w:r>
        <w:rPr>
          <w:spacing w:val="-2"/>
          <w:sz w:val="21"/>
        </w:rPr>
        <w:t>合</w:t>
      </w:r>
      <w:r>
        <w:rPr>
          <w:spacing w:val="-2"/>
          <w:sz w:val="21"/>
        </w:rPr>
        <w:t>格</w:t>
      </w:r>
      <w:r>
        <w:rPr>
          <w:spacing w:val="-2"/>
          <w:sz w:val="21"/>
        </w:rPr>
        <w:t>医</w:t>
      </w:r>
      <w:r>
        <w:rPr>
          <w:spacing w:val="-2"/>
          <w:sz w:val="21"/>
        </w:rPr>
        <w:t>师</w:t>
      </w:r>
      <w:r>
        <w:rPr>
          <w:spacing w:val="-2"/>
          <w:sz w:val="21"/>
        </w:rPr>
        <w:t>及</w:t>
      </w:r>
      <w:r>
        <w:rPr>
          <w:spacing w:val="-2"/>
          <w:sz w:val="21"/>
        </w:rPr>
        <w:t>护</w:t>
      </w:r>
      <w:r>
        <w:rPr>
          <w:spacing w:val="-2"/>
          <w:sz w:val="21"/>
        </w:rPr>
        <w:t>士</w:t>
      </w:r>
      <w:r>
        <w:rPr>
          <w:spacing w:val="-2"/>
          <w:sz w:val="21"/>
        </w:rPr>
        <w:t>驻</w:t>
      </w:r>
      <w:r>
        <w:rPr>
          <w:spacing w:val="-2"/>
          <w:sz w:val="21"/>
        </w:rPr>
        <w:t>院</w:t>
      </w:r>
      <w:r>
        <w:rPr>
          <w:spacing w:val="-2"/>
          <w:sz w:val="21"/>
        </w:rPr>
        <w:t>提</w:t>
      </w:r>
      <w:r>
        <w:rPr>
          <w:spacing w:val="-2"/>
          <w:sz w:val="21"/>
        </w:rPr>
        <w:t>供</w:t>
      </w:r>
      <w:r>
        <w:rPr>
          <w:spacing w:val="-2"/>
          <w:sz w:val="21"/>
        </w:rPr>
        <w:t>医</w:t>
      </w:r>
      <w:r>
        <w:rPr>
          <w:spacing w:val="-2"/>
          <w:sz w:val="21"/>
        </w:rPr>
        <w:t>疗</w:t>
      </w:r>
      <w:r>
        <w:rPr>
          <w:spacing w:val="-2"/>
          <w:sz w:val="21"/>
        </w:rPr>
        <w:t>和</w:t>
      </w:r>
      <w:r>
        <w:rPr>
          <w:spacing w:val="-2"/>
          <w:sz w:val="21"/>
        </w:rPr>
        <w:t>护</w:t>
      </w:r>
      <w:r>
        <w:rPr>
          <w:spacing w:val="-2"/>
          <w:sz w:val="21"/>
        </w:rPr>
        <w:t>理</w:t>
      </w:r>
      <w:r>
        <w:rPr>
          <w:spacing w:val="-2"/>
          <w:sz w:val="21"/>
        </w:rPr>
        <w:t>等服务。</w:t>
      </w:r>
    </w:p>
    <w:p>
      <w:pPr>
        <w:pStyle w:val="BodyText"/>
        <w:spacing w:before="2"/>
        <w:rPr>
          <w:sz w:val="22"/>
        </w:rPr>
      </w:pPr>
    </w:p>
    <w:p>
      <w:pPr>
        <w:pStyle w:val="ListParagraph"/>
        <w:numPr>
          <w:ilvl w:val="1"/>
          <w:numId w:val="11"/>
        </w:numPr>
        <w:tabs>
          <w:tab w:pos="1364" w:val="left" w:leader="none"/>
          <w:tab w:pos="1365" w:val="left" w:leader="none"/>
          <w:tab w:pos="2588" w:val="left" w:leader="none"/>
        </w:tabs>
        <w:spacing w:line="383" w:lineRule="exact" w:before="0" w:after="0"/>
        <w:ind w:left="1364" w:right="0" w:hanging="850"/>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w:t>
      </w:r>
      <w:r>
        <w:rPr>
          <w:spacing w:val="-2"/>
          <w:sz w:val="21"/>
        </w:rPr>
        <w:t>生</w:t>
      </w:r>
      <w:r>
        <w:rPr>
          <w:spacing w:val="-2"/>
          <w:sz w:val="21"/>
        </w:rPr>
        <w:t>应</w:t>
      </w:r>
      <w:r>
        <w:rPr>
          <w:spacing w:val="-2"/>
          <w:sz w:val="21"/>
        </w:rPr>
        <w:t>当</w:t>
      </w:r>
      <w:r>
        <w:rPr>
          <w:spacing w:val="-2"/>
          <w:sz w:val="21"/>
        </w:rPr>
        <w:t>同</w:t>
      </w:r>
      <w:r>
        <w:rPr>
          <w:spacing w:val="-2"/>
          <w:sz w:val="21"/>
        </w:rPr>
        <w:t>时</w:t>
      </w:r>
      <w:r>
        <w:rPr>
          <w:spacing w:val="-2"/>
          <w:sz w:val="21"/>
        </w:rPr>
        <w:t>满</w:t>
      </w:r>
      <w:r>
        <w:rPr>
          <w:spacing w:val="-2"/>
          <w:sz w:val="21"/>
        </w:rPr>
        <w:t>足</w:t>
      </w:r>
      <w:r>
        <w:rPr>
          <w:spacing w:val="-2"/>
          <w:sz w:val="21"/>
        </w:rPr>
        <w:t>以</w:t>
      </w:r>
      <w:r>
        <w:rPr>
          <w:spacing w:val="-2"/>
          <w:sz w:val="21"/>
        </w:rPr>
        <w:t>下</w:t>
      </w:r>
      <w:r>
        <w:rPr>
          <w:spacing w:val="-2"/>
          <w:sz w:val="21"/>
        </w:rPr>
        <w:t>四</w:t>
      </w:r>
      <w:r>
        <w:rPr>
          <w:spacing w:val="-2"/>
          <w:sz w:val="21"/>
        </w:rPr>
        <w:t>项</w:t>
      </w:r>
      <w:r>
        <w:rPr>
          <w:spacing w:val="-2"/>
          <w:sz w:val="21"/>
        </w:rPr>
        <w:t>资</w:t>
      </w:r>
      <w:r>
        <w:rPr>
          <w:spacing w:val="-2"/>
          <w:sz w:val="21"/>
        </w:rPr>
        <w:t>格</w:t>
      </w:r>
      <w:r>
        <w:rPr>
          <w:spacing w:val="-2"/>
          <w:sz w:val="21"/>
        </w:rPr>
        <w:t>条</w:t>
      </w:r>
      <w:r>
        <w:rPr>
          <w:spacing w:val="-2"/>
          <w:sz w:val="21"/>
        </w:rPr>
        <w:t>件</w:t>
      </w:r>
      <w:r>
        <w:rPr>
          <w:spacing w:val="-10"/>
          <w:sz w:val="21"/>
        </w:rPr>
        <w:t>：</w:t>
      </w:r>
    </w:p>
    <w:p>
      <w:pPr>
        <w:pStyle w:val="ListParagraph"/>
        <w:numPr>
          <w:ilvl w:val="0"/>
          <w:numId w:val="92"/>
        </w:numPr>
        <w:tabs>
          <w:tab w:pos="3118" w:val="left" w:leader="none"/>
        </w:tabs>
        <w:spacing w:line="265" w:lineRule="exact" w:before="0" w:after="0"/>
        <w:ind w:left="3117" w:right="0" w:hanging="530"/>
        <w:jc w:val="left"/>
        <w:rPr>
          <w:sz w:val="21"/>
        </w:rPr>
      </w:pPr>
      <w:r>
        <w:rPr>
          <w:spacing w:val="-9"/>
          <w:sz w:val="21"/>
        </w:rPr>
        <w:t>具有有效的中华人民共和国《医师资格证书》；</w:t>
      </w:r>
    </w:p>
    <w:p>
      <w:pPr>
        <w:pStyle w:val="ListParagraph"/>
        <w:numPr>
          <w:ilvl w:val="0"/>
          <w:numId w:val="92"/>
        </w:numPr>
        <w:tabs>
          <w:tab w:pos="3118" w:val="left" w:leader="none"/>
        </w:tabs>
        <w:spacing w:line="240" w:lineRule="auto" w:before="43" w:after="0"/>
        <w:ind w:left="3117" w:right="0" w:hanging="530"/>
        <w:jc w:val="left"/>
        <w:rPr>
          <w:sz w:val="21"/>
        </w:rPr>
      </w:pPr>
      <w:r>
        <w:rPr>
          <w:spacing w:val="-16"/>
          <w:sz w:val="21"/>
        </w:rPr>
        <w:t>具有有效的中华人民共和国《医师执业证书》，并按期到相关部门登记注册；</w:t>
      </w:r>
    </w:p>
    <w:p>
      <w:pPr>
        <w:pStyle w:val="ListParagraph"/>
        <w:numPr>
          <w:ilvl w:val="0"/>
          <w:numId w:val="92"/>
        </w:numPr>
        <w:tabs>
          <w:tab w:pos="3132" w:val="left" w:leader="none"/>
        </w:tabs>
        <w:spacing w:line="278" w:lineRule="auto" w:before="44" w:after="0"/>
        <w:ind w:left="3112" w:right="310" w:hanging="524"/>
        <w:jc w:val="left"/>
        <w:rPr>
          <w:sz w:val="21"/>
        </w:rPr>
      </w:pPr>
      <w:r>
        <w:rPr>
          <w:spacing w:val="3"/>
          <w:w w:val="100"/>
          <w:sz w:val="21"/>
        </w:rPr>
        <w:t>具有有效的中华人民共和国主治医师或主治医师以上职称的《医师职称</w:t>
      </w:r>
      <w:r>
        <w:rPr>
          <w:spacing w:val="-26"/>
          <w:w w:val="100"/>
          <w:sz w:val="21"/>
        </w:rPr>
        <w:t>证书》；</w:t>
      </w:r>
    </w:p>
    <w:p>
      <w:pPr>
        <w:pStyle w:val="ListParagraph"/>
        <w:numPr>
          <w:ilvl w:val="0"/>
          <w:numId w:val="92"/>
        </w:numPr>
        <w:tabs>
          <w:tab w:pos="3118" w:val="left" w:leader="none"/>
        </w:tabs>
        <w:spacing w:line="278" w:lineRule="auto" w:before="0" w:after="0"/>
        <w:ind w:left="2588" w:right="296" w:firstLine="0"/>
        <w:jc w:val="left"/>
        <w:rPr>
          <w:sz w:val="21"/>
        </w:rPr>
      </w:pPr>
      <w:r>
        <w:rPr>
          <w:spacing w:val="-2"/>
          <w:sz w:val="21"/>
        </w:rPr>
        <w:t>在国家《医院分级管理标准》二级或二级以上医院的相应科室从事临床工</w:t>
      </w:r>
      <w:r>
        <w:rPr>
          <w:spacing w:val="-2"/>
          <w:sz w:val="21"/>
        </w:rPr>
        <w:t>作三年以上。</w:t>
      </w:r>
    </w:p>
    <w:p>
      <w:pPr>
        <w:pStyle w:val="BodyText"/>
        <w:spacing w:before="9"/>
        <w:rPr>
          <w:sz w:val="18"/>
        </w:rPr>
      </w:pPr>
    </w:p>
    <w:p>
      <w:pPr>
        <w:spacing w:after="0"/>
        <w:rPr>
          <w:sz w:val="18"/>
        </w:rPr>
        <w:sectPr>
          <w:pgSz w:w="11910" w:h="16840"/>
          <w:pgMar w:top="1080" w:bottom="280" w:left="920" w:right="820"/>
        </w:sectPr>
      </w:pPr>
    </w:p>
    <w:p>
      <w:pPr>
        <w:pStyle w:val="Heading3"/>
        <w:numPr>
          <w:ilvl w:val="1"/>
          <w:numId w:val="11"/>
        </w:numPr>
        <w:tabs>
          <w:tab w:pos="1364" w:val="left" w:leader="none"/>
          <w:tab w:pos="1365" w:val="left" w:leader="none"/>
        </w:tabs>
        <w:spacing w:line="194" w:lineRule="auto" w:before="57" w:after="0"/>
        <w:ind w:left="1364" w:right="0" w:hanging="850"/>
        <w:jc w:val="left"/>
      </w:pPr>
      <w:r>
        <w:rPr>
          <w:spacing w:val="-4"/>
        </w:rPr>
        <w:t>少儿特定</w:t>
      </w:r>
      <w:r>
        <w:rPr>
          <w:spacing w:val="-6"/>
        </w:rPr>
        <w:t>疾病</w:t>
      </w:r>
    </w:p>
    <w:p>
      <w:pPr>
        <w:spacing w:line="383" w:lineRule="exact" w:before="5"/>
        <w:ind w:left="339" w:right="0" w:firstLine="0"/>
        <w:jc w:val="left"/>
        <w:rPr>
          <w:rFonts w:ascii="微软雅黑" w:eastAsia="微软雅黑"/>
          <w:b/>
          <w:sz w:val="21"/>
        </w:rPr>
      </w:pPr>
      <w:r>
        <w:rPr/>
        <w:br w:type="column"/>
      </w:r>
      <w:r>
        <w:rPr>
          <w:rFonts w:ascii="微软雅黑" w:eastAsia="微软雅黑"/>
          <w:b/>
          <w:sz w:val="21"/>
        </w:rPr>
        <w:t>（一）</w:t>
      </w:r>
      <w:r>
        <w:rPr>
          <w:rFonts w:ascii="微软雅黑" w:eastAsia="微软雅黑"/>
          <w:b/>
          <w:spacing w:val="-4"/>
          <w:sz w:val="21"/>
        </w:rPr>
        <w:t>白血病</w:t>
      </w:r>
    </w:p>
    <w:p>
      <w:pPr>
        <w:pStyle w:val="BodyText"/>
        <w:spacing w:line="278" w:lineRule="auto"/>
        <w:ind w:left="339" w:right="301"/>
        <w:jc w:val="both"/>
      </w:pPr>
      <w:r>
        <w:rPr>
          <w:spacing w:val="-7"/>
        </w:rPr>
        <w:t>白血病是一种造血系统的恶性疾病，其主要表现为白血病细胞在骨髓或其他造血</w:t>
      </w:r>
      <w:r>
        <w:rPr>
          <w:spacing w:val="-4"/>
        </w:rPr>
        <w:t>组织中进行性、失控制的异常增生，并浸润至其他组织与器官，使正常血细胞生</w:t>
      </w:r>
      <w:r>
        <w:rPr>
          <w:spacing w:val="-4"/>
        </w:rPr>
        <w:t>成减少，周围白细胞有质和量的变化，产生相应临床表现。经病理学检查结果明</w:t>
      </w:r>
      <w:r>
        <w:rPr>
          <w:spacing w:val="-1"/>
        </w:rPr>
        <w:t>确诊断，临床诊断属于世界卫生组织《疾病和有关健康问题的国际统计分类》</w:t>
      </w:r>
    </w:p>
    <w:p>
      <w:pPr>
        <w:pStyle w:val="BodyText"/>
        <w:spacing w:line="248" w:lineRule="exact"/>
        <w:ind w:left="339"/>
      </w:pPr>
      <w:r>
        <w:rPr>
          <w:spacing w:val="-4"/>
        </w:rPr>
        <w:t>（ICD-</w:t>
      </w:r>
      <w:r>
        <w:rPr>
          <w:spacing w:val="31"/>
        </w:rPr>
        <w:t>10</w:t>
      </w:r>
      <w:r>
        <w:rPr>
          <w:spacing w:val="-75"/>
        </w:rPr>
        <w:t>）</w:t>
      </w:r>
      <w:r>
        <w:rPr>
          <w:spacing w:val="-15"/>
        </w:rPr>
        <w:t>、《国际疾病分类肿瘤学专辑》第三版</w:t>
      </w:r>
      <w:r>
        <w:rPr>
          <w:spacing w:val="-4"/>
        </w:rPr>
        <w:t>（ICD-O-3）</w:t>
      </w:r>
      <w:r>
        <w:rPr>
          <w:spacing w:val="-5"/>
        </w:rPr>
        <w:t>的白血病范畴，且</w:t>
      </w:r>
    </w:p>
    <w:p>
      <w:pPr>
        <w:spacing w:line="31" w:lineRule="exact" w:before="0"/>
        <w:ind w:left="377" w:right="0" w:firstLine="0"/>
        <w:jc w:val="left"/>
        <w:rPr>
          <w:sz w:val="4"/>
        </w:rPr>
      </w:pPr>
      <w:r>
        <w:rPr>
          <w:w w:val="72"/>
          <w:sz w:val="4"/>
        </w:rPr>
        <w:t>●</w:t>
      </w:r>
    </w:p>
    <w:p>
      <w:pPr>
        <w:pStyle w:val="BodyText"/>
        <w:spacing w:line="278" w:lineRule="auto" w:before="29"/>
        <w:ind w:left="339" w:right="430"/>
      </w:pPr>
      <w:r>
        <w:rPr>
          <w:spacing w:val="-2"/>
        </w:rPr>
        <w:t>被保险人所患白血病必须根据骨髓的活组织检查和周围血象由专科医生确诊。</w:t>
      </w:r>
      <w:r>
        <w:rPr>
          <w:color w:val="000000"/>
          <w:spacing w:val="-2"/>
          <w:shd w:fill="D9D9D9" w:color="auto" w:val="clear"/>
        </w:rPr>
        <w:t>下列疾病不在保障范围内：</w:t>
      </w:r>
    </w:p>
    <w:p>
      <w:pPr>
        <w:pStyle w:val="ListParagraph"/>
        <w:numPr>
          <w:ilvl w:val="0"/>
          <w:numId w:val="93"/>
        </w:numPr>
        <w:tabs>
          <w:tab w:pos="869" w:val="left" w:leader="none"/>
        </w:tabs>
        <w:spacing w:line="240" w:lineRule="auto" w:before="0" w:after="0"/>
        <w:ind w:left="868" w:right="0" w:hanging="530"/>
        <w:jc w:val="left"/>
        <w:rPr>
          <w:sz w:val="21"/>
        </w:rPr>
      </w:pPr>
      <w:r>
        <w:rPr>
          <w:color w:val="000000"/>
          <w:spacing w:val="9"/>
          <w:sz w:val="21"/>
          <w:shd w:fill="D9D9D9" w:color="auto" w:val="clear"/>
        </w:rPr>
        <w:t>相当于</w:t>
      </w:r>
      <w:r>
        <w:rPr>
          <w:color w:val="000000"/>
          <w:sz w:val="21"/>
          <w:shd w:fill="D9D9D9" w:color="auto" w:val="clear"/>
        </w:rPr>
        <w:t>Binet</w:t>
      </w:r>
      <w:r>
        <w:rPr>
          <w:color w:val="000000"/>
          <w:spacing w:val="-19"/>
          <w:sz w:val="21"/>
          <w:shd w:fill="D9D9D9" w:color="auto" w:val="clear"/>
        </w:rPr>
        <w:t> 分期方案 </w:t>
      </w:r>
      <w:r>
        <w:rPr>
          <w:color w:val="000000"/>
          <w:sz w:val="21"/>
          <w:shd w:fill="D9D9D9" w:color="auto" w:val="clear"/>
        </w:rPr>
        <w:t>A</w:t>
      </w:r>
      <w:r>
        <w:rPr>
          <w:color w:val="000000"/>
          <w:spacing w:val="-9"/>
          <w:sz w:val="21"/>
          <w:shd w:fill="D9D9D9" w:color="auto" w:val="clear"/>
        </w:rPr>
        <w:t> 期程度的慢性淋巴细胞白血病；</w:t>
      </w:r>
    </w:p>
    <w:p>
      <w:pPr>
        <w:pStyle w:val="ListParagraph"/>
        <w:numPr>
          <w:ilvl w:val="0"/>
          <w:numId w:val="93"/>
        </w:numPr>
        <w:tabs>
          <w:tab w:pos="869" w:val="left" w:leader="none"/>
        </w:tabs>
        <w:spacing w:line="240" w:lineRule="auto" w:before="42" w:after="0"/>
        <w:ind w:left="868" w:right="0" w:hanging="530"/>
        <w:jc w:val="left"/>
        <w:rPr>
          <w:sz w:val="21"/>
        </w:rPr>
      </w:pPr>
      <w:r>
        <w:rPr>
          <w:color w:val="000000"/>
          <w:spacing w:val="-3"/>
          <w:sz w:val="21"/>
          <w:shd w:fill="D9D9D9" w:color="auto" w:val="clear"/>
        </w:rPr>
        <w:t>感染艾滋病病毒或患艾滋病期间所患白血病。</w:t>
      </w:r>
    </w:p>
    <w:p>
      <w:pPr>
        <w:spacing w:after="0" w:line="240" w:lineRule="auto"/>
        <w:jc w:val="left"/>
        <w:rPr>
          <w:sz w:val="21"/>
        </w:rPr>
        <w:sectPr>
          <w:type w:val="continuous"/>
          <w:pgSz w:w="11910" w:h="16840"/>
          <w:pgMar w:top="740" w:bottom="280" w:left="920" w:right="820"/>
          <w:cols w:num="2" w:equalWidth="0">
            <w:col w:w="2210" w:space="40"/>
            <w:col w:w="7920"/>
          </w:cols>
        </w:sectPr>
      </w:pPr>
    </w:p>
    <w:p>
      <w:pPr>
        <w:pStyle w:val="Heading3"/>
        <w:spacing w:line="367" w:lineRule="exact"/>
        <w:ind w:left="2588"/>
      </w:pPr>
      <w:r>
        <w:rPr/>
        <w:t>（二）</w:t>
      </w:r>
      <w:r>
        <w:rPr>
          <w:spacing w:val="-2"/>
        </w:rPr>
        <w:t>恶性淋巴瘤</w:t>
      </w:r>
    </w:p>
    <w:p>
      <w:pPr>
        <w:pStyle w:val="BodyText"/>
        <w:spacing w:line="278" w:lineRule="auto"/>
        <w:ind w:left="2588" w:right="301"/>
      </w:pPr>
      <w:r>
        <w:rPr>
          <w:spacing w:val="-5"/>
        </w:rPr>
        <w:t>指原发于淋巴组织的恶性肿瘤，经病理学检查结果明确诊断，符合 </w:t>
      </w:r>
      <w:r>
        <w:rPr>
          <w:spacing w:val="-4"/>
        </w:rPr>
        <w:t>9.7</w:t>
      </w:r>
      <w:r>
        <w:rPr>
          <w:spacing w:val="-12"/>
        </w:rPr>
        <w:t> 重大疾病</w:t>
      </w:r>
      <w:r>
        <w:rPr>
          <w:spacing w:val="-2"/>
        </w:rPr>
        <w:t>第一条“恶性肿瘤——重度”定义范围。</w:t>
      </w:r>
    </w:p>
    <w:p>
      <w:pPr>
        <w:pStyle w:val="BodyText"/>
        <w:ind w:left="2588"/>
        <w:rPr>
          <w:sz w:val="20"/>
        </w:rPr>
      </w:pPr>
      <w:r>
        <w:rPr>
          <w:sz w:val="20"/>
        </w:rPr>
        <w:pict>
          <v:shape style="width:126pt;height:13.95pt;mso-position-horizontal-relative:char;mso-position-vertical-relative:line" type="#_x0000_t202" id="docshape198"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199"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00"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ind w:left="2838"/>
        <w:rPr>
          <w:sz w:val="20"/>
        </w:rPr>
      </w:pPr>
      <w:r>
        <w:rPr>
          <w:sz w:val="20"/>
        </w:rPr>
        <w:pict>
          <v:shape style="width:350.9pt;height:13.95pt;mso-position-horizontal-relative:char;mso-position-vertical-relative:line" type="#_x0000_t202" id="docshape201"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spacing w:before="10"/>
        <w:rPr>
          <w:sz w:val="2"/>
        </w:rPr>
      </w:pPr>
    </w:p>
    <w:p>
      <w:pPr>
        <w:pStyle w:val="BodyText"/>
        <w:ind w:left="2838"/>
        <w:rPr>
          <w:sz w:val="20"/>
        </w:rPr>
      </w:pPr>
      <w:r>
        <w:rPr>
          <w:sz w:val="20"/>
        </w:rPr>
        <w:pict>
          <v:shape style="width:157.450pt;height:13.95pt;mso-position-horizontal-relative:char;mso-position-vertical-relative:line" type="#_x0000_t202" id="docshape202"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ind w:left="2838"/>
        <w:rPr>
          <w:sz w:val="20"/>
        </w:rPr>
      </w:pPr>
      <w:r>
        <w:rPr>
          <w:sz w:val="20"/>
        </w:rPr>
        <w:pict>
          <v:shape style="width:346.35pt;height:13.95pt;mso-position-horizontal-relative:char;mso-position-vertical-relative:line" type="#_x0000_t202" id="docshape203"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rPr>
          <w:sz w:val="2"/>
        </w:rPr>
      </w:pPr>
    </w:p>
    <w:p>
      <w:pPr>
        <w:pStyle w:val="BodyText"/>
        <w:ind w:left="2588"/>
        <w:rPr>
          <w:sz w:val="20"/>
        </w:rPr>
      </w:pPr>
      <w:r>
        <w:rPr>
          <w:sz w:val="20"/>
        </w:rPr>
        <w:pict>
          <v:shape style="width:162.75pt;height:13.95pt;mso-position-horizontal-relative:char;mso-position-vertical-relative:line" type="#_x0000_t202" id="docshape204"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205"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ind w:left="2588"/>
        <w:rPr>
          <w:sz w:val="20"/>
        </w:rPr>
      </w:pPr>
      <w:r>
        <w:rPr>
          <w:sz w:val="20"/>
        </w:rPr>
        <w:pict>
          <v:shape style="width:267.6pt;height:13.95pt;mso-position-horizontal-relative:char;mso-position-vertical-relative:line" type="#_x0000_t202" id="docshape206" filled="true" fillcolor="#d9d9d9" stroked="false">
            <w10:anchorlock/>
            <v:textbox inset="0,0,0,0">
              <w:txbxContent>
                <w:p>
                  <w:pPr>
                    <w:pStyle w:val="BodyText"/>
                    <w:spacing w:before="6"/>
                    <w:ind w:right="-15"/>
                    <w:rPr>
                      <w:color w:val="000000"/>
                    </w:rPr>
                  </w:pPr>
                  <w:r>
                    <w:rPr>
                      <w:color w:val="000000"/>
                      <w:spacing w:val="-5"/>
                    </w:rPr>
                    <w:t>（4）相当于Ann</w:t>
                  </w:r>
                  <w:r>
                    <w:rPr>
                      <w:color w:val="000000"/>
                      <w:spacing w:val="-19"/>
                    </w:rPr>
                    <w:t> </w:t>
                  </w:r>
                  <w:r>
                    <w:rPr>
                      <w:color w:val="000000"/>
                      <w:spacing w:val="-5"/>
                    </w:rPr>
                    <w:t>Arbor</w:t>
                  </w:r>
                  <w:r>
                    <w:rPr>
                      <w:color w:val="000000"/>
                      <w:spacing w:val="-9"/>
                    </w:rPr>
                    <w:t> 分期方案 </w:t>
                  </w:r>
                  <w:r>
                    <w:rPr>
                      <w:color w:val="000000"/>
                      <w:spacing w:val="-5"/>
                    </w:rPr>
                    <w:t>I</w:t>
                  </w:r>
                  <w:r>
                    <w:rPr>
                      <w:color w:val="000000"/>
                      <w:spacing w:val="-6"/>
                    </w:rPr>
                    <w:t> 期程度的何杰金氏病。</w:t>
                  </w:r>
                </w:p>
              </w:txbxContent>
            </v:textbox>
            <v:fill type="solid"/>
          </v:shape>
        </w:pict>
      </w:r>
      <w:r>
        <w:rPr>
          <w:sz w:val="20"/>
        </w:rPr>
      </w:r>
    </w:p>
    <w:p>
      <w:pPr>
        <w:pStyle w:val="BodyText"/>
        <w:spacing w:before="12"/>
      </w:pPr>
    </w:p>
    <w:p>
      <w:pPr>
        <w:pStyle w:val="Heading3"/>
        <w:spacing w:line="320" w:lineRule="exact" w:before="4"/>
        <w:ind w:left="2588"/>
      </w:pPr>
      <w:r>
        <w:rPr/>
        <w:t>（三）</w:t>
      </w:r>
      <w:r>
        <w:rPr>
          <w:spacing w:val="-2"/>
        </w:rPr>
        <w:t>神经母细胞瘤</w:t>
      </w:r>
    </w:p>
    <w:p>
      <w:pPr>
        <w:spacing w:line="26" w:lineRule="exact" w:before="0"/>
        <w:ind w:left="0" w:right="3189" w:firstLine="0"/>
        <w:jc w:val="center"/>
        <w:rPr>
          <w:sz w:val="4"/>
        </w:rPr>
      </w:pPr>
      <w:r>
        <w:rPr>
          <w:w w:val="72"/>
          <w:sz w:val="4"/>
        </w:rPr>
        <w:t>●</w:t>
      </w:r>
    </w:p>
    <w:p>
      <w:pPr>
        <w:pStyle w:val="BodyText"/>
        <w:spacing w:before="33"/>
        <w:ind w:left="2588"/>
      </w:pPr>
      <w:r>
        <w:rPr>
          <w:spacing w:val="-7"/>
        </w:rPr>
        <w:t>指起源于肾上腺髓质或椎旁交感神经系统的恶性肿瘤，经病理学检查结果明确诊</w:t>
      </w:r>
    </w:p>
    <w:p>
      <w:pPr>
        <w:pStyle w:val="BodyText"/>
        <w:spacing w:line="248" w:lineRule="exact" w:before="43"/>
        <w:ind w:left="2588"/>
      </w:pPr>
      <w:r>
        <w:rPr>
          <w:spacing w:val="-10"/>
        </w:rPr>
        <w:t>断，符合 </w:t>
      </w:r>
      <w:r>
        <w:rPr>
          <w:spacing w:val="-2"/>
        </w:rPr>
        <w:t>9.7</w:t>
      </w:r>
      <w:r>
        <w:rPr>
          <w:spacing w:val="-9"/>
        </w:rPr>
        <w:t> 重大疾病第一条“恶性肿瘤——重度”定义范围。</w:t>
      </w:r>
    </w:p>
    <w:p>
      <w:pPr>
        <w:spacing w:line="31" w:lineRule="exact" w:before="0"/>
        <w:ind w:left="2627" w:right="0" w:firstLine="0"/>
        <w:jc w:val="left"/>
        <w:rPr>
          <w:sz w:val="4"/>
        </w:rPr>
      </w:pPr>
      <w:r>
        <w:rPr/>
        <w:pict>
          <v:shape style="position:absolute;margin-left:175.440002pt;margin-top:2.883143pt;width:126pt;height:13.95pt;mso-position-horizontal-relative:page;mso-position-vertical-relative:paragraph;z-index:-15602688;mso-wrap-distance-left:0;mso-wrap-distance-right:0" type="#_x0000_t202" id="docshape207" filled="true" fillcolor="#d9d9d9" stroked="false">
            <v:textbox inset="0,0,0,0">
              <w:txbxContent>
                <w:p>
                  <w:pPr>
                    <w:pStyle w:val="BodyText"/>
                    <w:spacing w:before="6"/>
                    <w:ind w:right="-15"/>
                    <w:rPr>
                      <w:color w:val="000000"/>
                    </w:rPr>
                  </w:pPr>
                  <w:r>
                    <w:rPr>
                      <w:color w:val="000000"/>
                      <w:spacing w:val="-3"/>
                    </w:rPr>
                    <w:t>下列疾病不在保障范围内：</w:t>
                  </w:r>
                </w:p>
              </w:txbxContent>
            </v:textbox>
            <v:fill type="solid"/>
            <w10:wrap type="topAndBottom"/>
          </v:shape>
        </w:pict>
      </w:r>
      <w:r>
        <w:rPr>
          <w:w w:val="72"/>
          <w:sz w:val="4"/>
        </w:rPr>
        <w:t>●</w:t>
      </w:r>
    </w:p>
    <w:p>
      <w:pPr>
        <w:pStyle w:val="BodyText"/>
        <w:spacing w:before="7"/>
        <w:rPr>
          <w:sz w:val="2"/>
        </w:rPr>
      </w:pPr>
    </w:p>
    <w:p>
      <w:pPr>
        <w:pStyle w:val="BodyText"/>
        <w:ind w:left="2588"/>
        <w:rPr>
          <w:sz w:val="20"/>
        </w:rPr>
      </w:pPr>
      <w:r>
        <w:rPr>
          <w:sz w:val="20"/>
        </w:rPr>
        <w:pict>
          <v:shape style="width:363.4pt;height:13.95pt;mso-position-horizontal-relative:char;mso-position-vertical-relative:line" type="#_x0000_t202" id="docshape208"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09"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rPr>
          <w:sz w:val="2"/>
        </w:rPr>
      </w:pPr>
    </w:p>
    <w:p>
      <w:pPr>
        <w:pStyle w:val="BodyText"/>
        <w:ind w:left="2838"/>
        <w:rPr>
          <w:sz w:val="20"/>
        </w:rPr>
      </w:pPr>
      <w:r>
        <w:rPr>
          <w:sz w:val="20"/>
        </w:rPr>
        <w:pict>
          <v:shape style="width:350.9pt;height:13.95pt;mso-position-horizontal-relative:char;mso-position-vertical-relative:line" type="#_x0000_t202" id="docshape210"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38"/>
        <w:rPr>
          <w:sz w:val="20"/>
        </w:rPr>
      </w:pPr>
      <w:r>
        <w:rPr>
          <w:sz w:val="20"/>
        </w:rPr>
        <w:pict>
          <v:shape style="width:157.450pt;height:13.95pt;mso-position-horizontal-relative:char;mso-position-vertical-relative:line" type="#_x0000_t202" id="docshape211"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ind w:left="2838"/>
        <w:rPr>
          <w:sz w:val="20"/>
        </w:rPr>
      </w:pPr>
      <w:r>
        <w:rPr>
          <w:sz w:val="20"/>
        </w:rPr>
        <w:pict>
          <v:shape style="width:346.35pt;height:13.95pt;mso-position-horizontal-relative:char;mso-position-vertical-relative:line" type="#_x0000_t202" id="docshape212"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spacing w:before="9"/>
        <w:rPr>
          <w:sz w:val="2"/>
        </w:rPr>
      </w:pPr>
    </w:p>
    <w:p>
      <w:pPr>
        <w:pStyle w:val="BodyText"/>
        <w:ind w:left="2588"/>
        <w:rPr>
          <w:sz w:val="20"/>
        </w:rPr>
      </w:pPr>
      <w:r>
        <w:rPr>
          <w:sz w:val="20"/>
        </w:rPr>
        <w:pict>
          <v:shape style="width:162.75pt;height:13.95pt;mso-position-horizontal-relative:char;mso-position-vertical-relative:line" type="#_x0000_t202" id="docshape213"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214"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spacing w:before="2"/>
      </w:pPr>
    </w:p>
    <w:p>
      <w:pPr>
        <w:pStyle w:val="Heading3"/>
        <w:spacing w:line="320" w:lineRule="exact" w:before="4"/>
        <w:ind w:left="2588"/>
      </w:pPr>
      <w:r>
        <w:rPr/>
        <w:t>（四）</w:t>
      </w:r>
      <w:r>
        <w:rPr>
          <w:spacing w:val="-2"/>
        </w:rPr>
        <w:t>肾母细胞瘤</w:t>
      </w:r>
    </w:p>
    <w:p>
      <w:pPr>
        <w:spacing w:line="26" w:lineRule="exact" w:before="0"/>
        <w:ind w:left="0" w:right="2344" w:firstLine="0"/>
        <w:jc w:val="center"/>
        <w:rPr>
          <w:sz w:val="4"/>
        </w:rPr>
      </w:pPr>
      <w:r>
        <w:rPr>
          <w:w w:val="72"/>
          <w:sz w:val="4"/>
        </w:rPr>
        <w:t>●</w:t>
      </w:r>
    </w:p>
    <w:p>
      <w:pPr>
        <w:pStyle w:val="BodyText"/>
        <w:spacing w:line="278" w:lineRule="auto" w:before="33"/>
        <w:ind w:left="2588" w:right="301"/>
        <w:jc w:val="both"/>
      </w:pPr>
      <w:r>
        <w:rPr>
          <w:spacing w:val="-11"/>
        </w:rPr>
        <w:t>又称 </w:t>
      </w:r>
      <w:r>
        <w:rPr>
          <w:spacing w:val="-4"/>
        </w:rPr>
        <w:t>Wilms</w:t>
      </w:r>
      <w:r>
        <w:rPr>
          <w:spacing w:val="-8"/>
        </w:rPr>
        <w:t> 瘤、肾胚胎瘤、肾胚胎母细胞瘤、肾胚胎性癌肉瘤，来自胚胎性生肾</w:t>
      </w:r>
      <w:r>
        <w:rPr>
          <w:spacing w:val="-4"/>
        </w:rPr>
        <w:t>组织（后肾始基）</w:t>
      </w:r>
      <w:r>
        <w:rPr>
          <w:spacing w:val="-5"/>
        </w:rPr>
        <w:t>的恶性肿瘤，经组织病理学检查结果明确诊断，符合 </w:t>
      </w:r>
      <w:r>
        <w:rPr>
          <w:spacing w:val="-4"/>
        </w:rPr>
        <w:t>9.7</w:t>
      </w:r>
      <w:r>
        <w:rPr>
          <w:spacing w:val="-10"/>
        </w:rPr>
        <w:t> 重大</w:t>
      </w:r>
      <w:r>
        <w:rPr>
          <w:spacing w:val="-2"/>
        </w:rPr>
        <w:t>疾病第一条“恶性肿瘤——重度”定义范围。</w:t>
      </w:r>
    </w:p>
    <w:p>
      <w:pPr>
        <w:pStyle w:val="BodyText"/>
        <w:ind w:left="2588"/>
        <w:rPr>
          <w:sz w:val="20"/>
        </w:rPr>
      </w:pPr>
      <w:r>
        <w:rPr>
          <w:sz w:val="20"/>
        </w:rPr>
        <w:pict>
          <v:shape style="width:126pt;height:13.95pt;mso-position-horizontal-relative:char;mso-position-vertical-relative:line" type="#_x0000_t202" id="docshape215"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216"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17"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spacing w:before="4"/>
        <w:rPr>
          <w:sz w:val="2"/>
        </w:rPr>
      </w:pPr>
    </w:p>
    <w:p>
      <w:pPr>
        <w:pStyle w:val="BodyText"/>
        <w:ind w:left="2838"/>
        <w:rPr>
          <w:sz w:val="20"/>
        </w:rPr>
      </w:pPr>
      <w:r>
        <w:rPr>
          <w:sz w:val="20"/>
        </w:rPr>
        <w:pict>
          <v:shape style="width:350.9pt;height:13.95pt;mso-position-horizontal-relative:char;mso-position-vertical-relative:line" type="#_x0000_t202" id="docshape218"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pStyle w:val="BodyText"/>
        <w:ind w:left="2838"/>
        <w:rPr>
          <w:sz w:val="20"/>
        </w:rPr>
      </w:pPr>
      <w:r>
        <w:rPr>
          <w:sz w:val="20"/>
        </w:rPr>
        <w:pict>
          <v:shape style="width:157.450pt;height:13.95pt;mso-position-horizontal-relative:char;mso-position-vertical-relative:line" type="#_x0000_t202" id="docshape219"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rPr>
          <w:sz w:val="2"/>
        </w:rPr>
      </w:pPr>
    </w:p>
    <w:p>
      <w:pPr>
        <w:pStyle w:val="BodyText"/>
        <w:ind w:left="2838"/>
        <w:rPr>
          <w:sz w:val="20"/>
        </w:rPr>
      </w:pPr>
      <w:r>
        <w:rPr>
          <w:sz w:val="20"/>
        </w:rPr>
        <w:pict>
          <v:shape style="width:346.35pt;height:13.95pt;mso-position-horizontal-relative:char;mso-position-vertical-relative:line" type="#_x0000_t202" id="docshape220"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ind w:left="2588"/>
        <w:rPr>
          <w:sz w:val="20"/>
        </w:rPr>
      </w:pPr>
      <w:r>
        <w:rPr>
          <w:sz w:val="20"/>
        </w:rPr>
        <w:pict>
          <v:shape style="width:162.75pt;height:13.95pt;mso-position-horizontal-relative:char;mso-position-vertical-relative:line" type="#_x0000_t202" id="docshape221"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ind w:left="2588"/>
        <w:rPr>
          <w:sz w:val="20"/>
        </w:rPr>
      </w:pPr>
      <w:r>
        <w:rPr>
          <w:sz w:val="20"/>
        </w:rPr>
        <w:pict>
          <v:shape style="width:246.75pt;height:13.95pt;mso-position-horizontal-relative:char;mso-position-vertical-relative:line" type="#_x0000_t202" id="docshape222"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spacing w:before="12"/>
      </w:pPr>
    </w:p>
    <w:p>
      <w:pPr>
        <w:pStyle w:val="Heading3"/>
        <w:spacing w:before="4"/>
        <w:ind w:left="2588"/>
      </w:pPr>
      <w:r>
        <w:rPr/>
        <w:t>（五）</w:t>
      </w:r>
      <w:r>
        <w:rPr>
          <w:spacing w:val="-2"/>
        </w:rPr>
        <w:t>脑恶性肿瘤</w:t>
      </w:r>
    </w:p>
    <w:p>
      <w:pPr>
        <w:pStyle w:val="BodyText"/>
        <w:spacing w:line="278" w:lineRule="auto"/>
        <w:ind w:left="2588" w:right="301"/>
      </w:pPr>
      <w:r>
        <w:rPr>
          <w:spacing w:val="-5"/>
        </w:rPr>
        <w:t>指原发于颅内脑组织的恶性肿瘤，经组织病理学检查结果明确诊断，符合 </w:t>
      </w:r>
      <w:r>
        <w:rPr>
          <w:spacing w:val="-4"/>
        </w:rPr>
        <w:t>9.7</w:t>
      </w:r>
      <w:r>
        <w:rPr>
          <w:spacing w:val="-21"/>
        </w:rPr>
        <w:t> 重</w:t>
      </w:r>
      <w:r>
        <w:rPr>
          <w:spacing w:val="-2"/>
        </w:rPr>
        <w:t>大疾病第一条“恶性肿瘤——重度”定义范围。</w:t>
      </w:r>
    </w:p>
    <w:p>
      <w:pPr>
        <w:pStyle w:val="BodyText"/>
        <w:ind w:left="2588"/>
        <w:rPr>
          <w:sz w:val="20"/>
        </w:rPr>
      </w:pPr>
      <w:r>
        <w:rPr>
          <w:sz w:val="20"/>
        </w:rPr>
        <w:pict>
          <v:shape style="width:126pt;height:13.95pt;mso-position-horizontal-relative:char;mso-position-vertical-relative:line" type="#_x0000_t202" id="docshape223" filled="true" fillcolor="#d9d9d9" stroked="false">
            <w10:anchorlock/>
            <v:textbox inset="0,0,0,0">
              <w:txbxContent>
                <w:p>
                  <w:pPr>
                    <w:pStyle w:val="BodyText"/>
                    <w:spacing w:before="6"/>
                    <w:ind w:right="-15"/>
                    <w:rPr>
                      <w:color w:val="000000"/>
                    </w:rPr>
                  </w:pPr>
                  <w:r>
                    <w:rPr>
                      <w:color w:val="000000"/>
                      <w:spacing w:val="-5"/>
                    </w:rPr>
                    <w:t>下列疾病不在保障范围内：</w:t>
                  </w:r>
                </w:p>
              </w:txbxContent>
            </v:textbox>
            <v:fill type="solid"/>
          </v:shape>
        </w:pict>
      </w:r>
      <w:r>
        <w:rPr>
          <w:sz w:val="20"/>
        </w:rPr>
      </w:r>
    </w:p>
    <w:p>
      <w:pPr>
        <w:pStyle w:val="BodyText"/>
        <w:ind w:left="2588"/>
        <w:rPr>
          <w:sz w:val="20"/>
        </w:rPr>
      </w:pPr>
      <w:r>
        <w:rPr>
          <w:sz w:val="20"/>
        </w:rPr>
        <w:pict>
          <v:shape style="width:363.4pt;height:13.95pt;mso-position-horizontal-relative:char;mso-position-vertical-relative:line" type="#_x0000_t202" id="docshape224" filled="true" fillcolor="#d9d9d9" stroked="false">
            <w10:anchorlock/>
            <v:textbox inset="0,0,0,0">
              <w:txbxContent>
                <w:p>
                  <w:pPr>
                    <w:pStyle w:val="BodyText"/>
                    <w:spacing w:before="6"/>
                    <w:ind w:right="-15"/>
                    <w:rPr>
                      <w:color w:val="000000"/>
                    </w:rPr>
                  </w:pPr>
                  <w:r>
                    <w:rPr>
                      <w:color w:val="000000"/>
                      <w:spacing w:val="-8"/>
                    </w:rPr>
                    <w:t>（1）ICD-O-3</w:t>
                  </w:r>
                  <w:r>
                    <w:rPr>
                      <w:color w:val="000000"/>
                      <w:spacing w:val="-6"/>
                    </w:rPr>
                    <w:t> 肿瘤形态学编码属于 </w:t>
                  </w:r>
                  <w:r>
                    <w:rPr>
                      <w:color w:val="000000"/>
                      <w:spacing w:val="-8"/>
                    </w:rPr>
                    <w:t>0（良性肿瘤</w:t>
                  </w:r>
                  <w:r>
                    <w:rPr>
                      <w:color w:val="000000"/>
                      <w:spacing w:val="-106"/>
                    </w:rPr>
                    <w:t>）</w:t>
                  </w:r>
                  <w:r>
                    <w:rPr>
                      <w:color w:val="000000"/>
                      <w:spacing w:val="-8"/>
                    </w:rPr>
                    <w:t>、1（动态未定性肿瘤</w:t>
                  </w:r>
                  <w:r>
                    <w:rPr>
                      <w:color w:val="000000"/>
                      <w:spacing w:val="-106"/>
                    </w:rPr>
                    <w:t>）</w:t>
                  </w:r>
                  <w:r>
                    <w:rPr>
                      <w:color w:val="000000"/>
                      <w:spacing w:val="-8"/>
                    </w:rPr>
                    <w:t>、2（</w:t>
                  </w:r>
                  <w:r>
                    <w:rPr>
                      <w:color w:val="000000"/>
                      <w:spacing w:val="-10"/>
                    </w:rPr>
                    <w:t>原</w:t>
                  </w:r>
                </w:p>
              </w:txbxContent>
            </v:textbox>
            <v:fill type="solid"/>
          </v:shape>
        </w:pict>
      </w:r>
      <w:r>
        <w:rPr>
          <w:sz w:val="20"/>
        </w:rPr>
      </w:r>
    </w:p>
    <w:p>
      <w:pPr>
        <w:pStyle w:val="BodyText"/>
        <w:ind w:left="2588"/>
        <w:rPr>
          <w:sz w:val="20"/>
        </w:rPr>
      </w:pPr>
      <w:r>
        <w:rPr>
          <w:sz w:val="20"/>
        </w:rPr>
        <w:pict>
          <v:shape style="width:178.6pt;height:13.95pt;mso-position-horizontal-relative:char;mso-position-vertical-relative:line" type="#_x0000_t202" id="docshape225" filled="true" fillcolor="#d9d9d9" stroked="false">
            <w10:anchorlock/>
            <v:textbox inset="0,0,0,0">
              <w:txbxContent>
                <w:p>
                  <w:pPr>
                    <w:pStyle w:val="BodyText"/>
                    <w:spacing w:before="6"/>
                    <w:ind w:right="-15"/>
                    <w:rPr>
                      <w:color w:val="000000"/>
                    </w:rPr>
                  </w:pPr>
                  <w:r>
                    <w:rPr>
                      <w:color w:val="000000"/>
                      <w:spacing w:val="-4"/>
                    </w:rPr>
                    <w:t>位癌和非侵袭性癌）</w:t>
                  </w:r>
                  <w:r>
                    <w:rPr>
                      <w:color w:val="000000"/>
                      <w:spacing w:val="-5"/>
                    </w:rPr>
                    <w:t>范畴的疾病，如：</w:t>
                  </w:r>
                </w:p>
              </w:txbxContent>
            </v:textbox>
            <v:fill type="solid"/>
          </v:shape>
        </w:pict>
      </w:r>
      <w:r>
        <w:rPr>
          <w:sz w:val="20"/>
        </w:rPr>
      </w:r>
    </w:p>
    <w:p>
      <w:pPr>
        <w:pStyle w:val="BodyText"/>
        <w:rPr>
          <w:sz w:val="2"/>
        </w:rPr>
      </w:pPr>
    </w:p>
    <w:p>
      <w:pPr>
        <w:pStyle w:val="BodyText"/>
        <w:ind w:left="2838"/>
        <w:rPr>
          <w:sz w:val="20"/>
        </w:rPr>
      </w:pPr>
      <w:r>
        <w:rPr>
          <w:sz w:val="20"/>
        </w:rPr>
        <w:pict>
          <v:shape style="width:350.9pt;height:13.95pt;mso-position-horizontal-relative:char;mso-position-vertical-relative:line" type="#_x0000_t202" id="docshape226" filled="true" fillcolor="#d9d9d9" stroked="false">
            <w10:anchorlock/>
            <v:textbox inset="0,0,0,0">
              <w:txbxContent>
                <w:p>
                  <w:pPr>
                    <w:pStyle w:val="BodyText"/>
                    <w:spacing w:before="6"/>
                    <w:ind w:left="-1" w:right="-15"/>
                    <w:rPr>
                      <w:color w:val="000000"/>
                    </w:rPr>
                  </w:pPr>
                  <w:r>
                    <w:rPr>
                      <w:color w:val="000000"/>
                      <w:spacing w:val="-8"/>
                    </w:rPr>
                    <w:t>a.</w:t>
                  </w:r>
                  <w:r>
                    <w:rPr>
                      <w:color w:val="000000"/>
                      <w:spacing w:val="-9"/>
                    </w:rPr>
                    <w:t>原位癌，癌前病变，非浸润性癌，非侵袭性癌，肿瘤细胞未侵犯基底层，上</w:t>
                  </w:r>
                </w:p>
              </w:txbxContent>
            </v:textbox>
            <v:fill type="solid"/>
          </v:shape>
        </w:pict>
      </w:r>
      <w:r>
        <w:rPr>
          <w:sz w:val="20"/>
        </w:rPr>
      </w:r>
    </w:p>
    <w:p>
      <w:pPr>
        <w:spacing w:after="0"/>
        <w:rPr>
          <w:sz w:val="20"/>
        </w:rPr>
        <w:sectPr>
          <w:pgSz w:w="11910" w:h="16840"/>
          <w:pgMar w:top="1400" w:bottom="280" w:left="920" w:right="820"/>
        </w:sectPr>
      </w:pPr>
    </w:p>
    <w:p>
      <w:pPr>
        <w:pStyle w:val="BodyText"/>
        <w:ind w:left="2838"/>
        <w:rPr>
          <w:sz w:val="20"/>
        </w:rPr>
      </w:pPr>
      <w:r>
        <w:rPr>
          <w:sz w:val="20"/>
        </w:rPr>
        <w:pict>
          <v:shape style="width:157.450pt;height:13.95pt;mso-position-horizontal-relative:char;mso-position-vertical-relative:line" type="#_x0000_t202" id="docshape227" filled="true" fillcolor="#d9d9d9" stroked="false">
            <w10:anchorlock/>
            <v:textbox inset="0,0,0,0">
              <w:txbxContent>
                <w:p>
                  <w:pPr>
                    <w:pStyle w:val="BodyText"/>
                    <w:spacing w:before="6"/>
                    <w:ind w:left="-1" w:right="-15"/>
                    <w:rPr>
                      <w:color w:val="000000"/>
                    </w:rPr>
                  </w:pPr>
                  <w:r>
                    <w:rPr>
                      <w:color w:val="000000"/>
                      <w:spacing w:val="-5"/>
                    </w:rPr>
                    <w:t>皮内瘤变，细胞不典型性增生等；</w:t>
                  </w:r>
                </w:p>
              </w:txbxContent>
            </v:textbox>
            <v:fill type="solid"/>
          </v:shape>
        </w:pict>
      </w:r>
      <w:r>
        <w:rPr>
          <w:sz w:val="20"/>
        </w:rPr>
      </w:r>
    </w:p>
    <w:p>
      <w:pPr>
        <w:pStyle w:val="BodyText"/>
        <w:ind w:left="2838"/>
        <w:rPr>
          <w:sz w:val="20"/>
        </w:rPr>
      </w:pPr>
      <w:r>
        <w:rPr>
          <w:sz w:val="20"/>
        </w:rPr>
        <w:pict>
          <v:shape style="width:346.35pt;height:13.95pt;mso-position-horizontal-relative:char;mso-position-vertical-relative:line" type="#_x0000_t202" id="docshape228" filled="true" fillcolor="#d9d9d9" stroked="false">
            <w10:anchorlock/>
            <v:textbox inset="0,0,0,0">
              <w:txbxContent>
                <w:p>
                  <w:pPr>
                    <w:pStyle w:val="BodyText"/>
                    <w:spacing w:before="6"/>
                    <w:ind w:left="-1" w:right="-15"/>
                    <w:rPr>
                      <w:color w:val="000000"/>
                    </w:rPr>
                  </w:pPr>
                  <w:r>
                    <w:rPr>
                      <w:color w:val="000000"/>
                      <w:spacing w:val="-4"/>
                    </w:rPr>
                    <w:t>b.</w:t>
                  </w:r>
                  <w:r>
                    <w:rPr>
                      <w:color w:val="000000"/>
                      <w:spacing w:val="-5"/>
                    </w:rPr>
                    <w:t>交界性肿瘤，交界恶性肿瘤，肿瘤低度恶性潜能，潜在低度恶性肿瘤等；</w:t>
                  </w:r>
                </w:p>
              </w:txbxContent>
            </v:textbox>
            <v:fill type="solid"/>
          </v:shape>
        </w:pict>
      </w:r>
      <w:r>
        <w:rPr>
          <w:sz w:val="20"/>
        </w:rPr>
      </w:r>
    </w:p>
    <w:p>
      <w:pPr>
        <w:pStyle w:val="BodyText"/>
        <w:ind w:left="2588"/>
        <w:rPr>
          <w:sz w:val="20"/>
        </w:rPr>
      </w:pPr>
      <w:r>
        <w:rPr>
          <w:sz w:val="20"/>
        </w:rPr>
        <w:pict>
          <v:shape style="width:162.75pt;height:13.95pt;mso-position-horizontal-relative:char;mso-position-vertical-relative:line" type="#_x0000_t202" id="docshape229" filled="true" fillcolor="#d9d9d9" stroked="false">
            <w10:anchorlock/>
            <v:textbox inset="0,0,0,0">
              <w:txbxContent>
                <w:p>
                  <w:pPr>
                    <w:pStyle w:val="BodyText"/>
                    <w:spacing w:before="6"/>
                    <w:ind w:right="-15"/>
                    <w:rPr>
                      <w:color w:val="000000"/>
                    </w:rPr>
                  </w:pPr>
                  <w:r>
                    <w:rPr>
                      <w:color w:val="000000"/>
                      <w:spacing w:val="-4"/>
                    </w:rPr>
                    <w:t>（2）继发性（转移性）</w:t>
                  </w:r>
                  <w:r>
                    <w:rPr>
                      <w:color w:val="000000"/>
                      <w:spacing w:val="-6"/>
                    </w:rPr>
                    <w:t>恶性肿瘤；</w:t>
                  </w:r>
                </w:p>
              </w:txbxContent>
            </v:textbox>
            <v:fill type="solid"/>
          </v:shape>
        </w:pict>
      </w:r>
      <w:r>
        <w:rPr>
          <w:sz w:val="20"/>
        </w:rPr>
      </w:r>
    </w:p>
    <w:p>
      <w:pPr>
        <w:pStyle w:val="BodyText"/>
        <w:spacing w:before="2"/>
        <w:rPr>
          <w:sz w:val="2"/>
        </w:rPr>
      </w:pPr>
    </w:p>
    <w:p>
      <w:pPr>
        <w:pStyle w:val="BodyText"/>
        <w:ind w:left="2588"/>
        <w:rPr>
          <w:sz w:val="20"/>
        </w:rPr>
      </w:pPr>
      <w:r>
        <w:rPr>
          <w:sz w:val="20"/>
        </w:rPr>
        <w:pict>
          <v:shape style="width:246.75pt;height:13.95pt;mso-position-horizontal-relative:char;mso-position-vertical-relative:line" type="#_x0000_t202" id="docshape230" filled="true" fillcolor="#d9d9d9" stroked="false">
            <w10:anchorlock/>
            <v:textbox inset="0,0,0,0">
              <w:txbxContent>
                <w:p>
                  <w:pPr>
                    <w:pStyle w:val="BodyText"/>
                    <w:spacing w:before="6"/>
                    <w:ind w:right="-15"/>
                    <w:rPr>
                      <w:color w:val="000000"/>
                    </w:rPr>
                  </w:pPr>
                  <w:r>
                    <w:rPr>
                      <w:color w:val="000000"/>
                      <w:spacing w:val="-4"/>
                    </w:rPr>
                    <w:t>（3）</w:t>
                  </w:r>
                  <w:r>
                    <w:rPr>
                      <w:color w:val="000000"/>
                      <w:spacing w:val="-5"/>
                    </w:rPr>
                    <w:t>感染艾滋病病毒或患艾滋病期间所患恶性肿瘤；</w:t>
                  </w:r>
                </w:p>
              </w:txbxContent>
            </v:textbox>
            <v:fill type="solid"/>
          </v:shape>
        </w:pict>
      </w:r>
      <w:r>
        <w:rPr>
          <w:sz w:val="20"/>
        </w:rPr>
      </w:r>
    </w:p>
    <w:p>
      <w:pPr>
        <w:pStyle w:val="BodyText"/>
        <w:ind w:left="2588"/>
        <w:rPr>
          <w:sz w:val="20"/>
        </w:rPr>
      </w:pPr>
      <w:r>
        <w:rPr>
          <w:sz w:val="20"/>
        </w:rPr>
        <w:pict>
          <v:shape style="width:252pt;height:13.95pt;mso-position-horizontal-relative:char;mso-position-vertical-relative:line" type="#_x0000_t202" id="docshape231" filled="true" fillcolor="#d9d9d9" stroked="false">
            <w10:anchorlock/>
            <v:textbox inset="0,0,0,0">
              <w:txbxContent>
                <w:p>
                  <w:pPr>
                    <w:pStyle w:val="BodyText"/>
                    <w:spacing w:before="6"/>
                    <w:ind w:right="-15"/>
                    <w:rPr>
                      <w:color w:val="000000"/>
                    </w:rPr>
                  </w:pPr>
                  <w:r>
                    <w:rPr>
                      <w:color w:val="000000"/>
                      <w:spacing w:val="-4"/>
                    </w:rPr>
                    <w:t>（4）颅神经恶性肿瘤（ICD-10</w:t>
                  </w:r>
                  <w:r>
                    <w:rPr>
                      <w:color w:val="000000"/>
                      <w:spacing w:val="-9"/>
                    </w:rPr>
                    <w:t> 编码为 </w:t>
                  </w:r>
                  <w:r>
                    <w:rPr>
                      <w:color w:val="000000"/>
                      <w:spacing w:val="-4"/>
                    </w:rPr>
                    <w:t>C72.2-</w:t>
                  </w:r>
                  <w:r>
                    <w:rPr>
                      <w:color w:val="000000"/>
                      <w:spacing w:val="4"/>
                    </w:rPr>
                    <w:t>C</w:t>
                  </w:r>
                  <w:r>
                    <w:rPr>
                      <w:color w:val="000000"/>
                      <w:spacing w:val="-1"/>
                    </w:rPr>
                    <w:t>7</w:t>
                  </w:r>
                  <w:r>
                    <w:rPr>
                      <w:color w:val="000000"/>
                      <w:spacing w:val="4"/>
                    </w:rPr>
                    <w:t>2.5</w:t>
                  </w:r>
                  <w:r>
                    <w:rPr>
                      <w:color w:val="000000"/>
                      <w:spacing w:val="-107"/>
                    </w:rPr>
                    <w:t>）</w:t>
                  </w:r>
                  <w:r>
                    <w:rPr>
                      <w:color w:val="000000"/>
                      <w:spacing w:val="4"/>
                    </w:rPr>
                    <w:t>；</w:t>
                  </w:r>
                </w:p>
              </w:txbxContent>
            </v:textbox>
            <v:fill type="solid"/>
          </v:shape>
        </w:pict>
      </w:r>
      <w:r>
        <w:rPr>
          <w:sz w:val="20"/>
        </w:rPr>
      </w:r>
    </w:p>
    <w:p>
      <w:pPr>
        <w:pStyle w:val="BodyText"/>
        <w:rPr>
          <w:sz w:val="2"/>
        </w:rPr>
      </w:pPr>
    </w:p>
    <w:p>
      <w:pPr>
        <w:pStyle w:val="BodyText"/>
        <w:ind w:left="2588"/>
        <w:rPr>
          <w:sz w:val="20"/>
        </w:rPr>
      </w:pPr>
      <w:r>
        <w:rPr>
          <w:sz w:val="20"/>
        </w:rPr>
        <w:pict>
          <v:shape style="width:230.9pt;height:13.95pt;mso-position-horizontal-relative:char;mso-position-vertical-relative:line" type="#_x0000_t202" id="docshape232" filled="true" fillcolor="#d9d9d9" stroked="false">
            <w10:anchorlock/>
            <v:textbox inset="0,0,0,0">
              <w:txbxContent>
                <w:p>
                  <w:pPr>
                    <w:pStyle w:val="BodyText"/>
                    <w:spacing w:line="248" w:lineRule="exact" w:before="6"/>
                    <w:ind w:right="-15"/>
                    <w:rPr>
                      <w:color w:val="000000"/>
                    </w:rPr>
                  </w:pPr>
                  <w:r>
                    <w:rPr>
                      <w:color w:val="000000"/>
                      <w:spacing w:val="-8"/>
                    </w:rPr>
                    <w:t>（5）球后组织恶性肿瘤（ICD-10</w:t>
                  </w:r>
                  <w:r>
                    <w:rPr>
                      <w:color w:val="000000"/>
                      <w:spacing w:val="-11"/>
                    </w:rPr>
                    <w:t> 编码为 </w:t>
                  </w:r>
                  <w:r>
                    <w:rPr>
                      <w:color w:val="000000"/>
                      <w:spacing w:val="10"/>
                    </w:rPr>
                    <w:t>C69.6</w:t>
                  </w:r>
                  <w:r>
                    <w:rPr>
                      <w:color w:val="000000"/>
                      <w:spacing w:val="-101"/>
                    </w:rPr>
                    <w:t>）</w:t>
                  </w:r>
                  <w:r>
                    <w:rPr>
                      <w:color w:val="000000"/>
                      <w:spacing w:val="-10"/>
                    </w:rPr>
                    <w:t>。</w:t>
                  </w:r>
                </w:p>
                <w:p>
                  <w:pPr>
                    <w:spacing w:line="24" w:lineRule="exact" w:before="0"/>
                    <w:ind w:left="38" w:right="0" w:firstLine="0"/>
                    <w:jc w:val="left"/>
                    <w:rPr>
                      <w:color w:val="000000"/>
                      <w:sz w:val="4"/>
                    </w:rPr>
                  </w:pPr>
                  <w:r>
                    <w:rPr>
                      <w:color w:val="000000"/>
                      <w:w w:val="72"/>
                      <w:sz w:val="4"/>
                    </w:rPr>
                    <w:t>●</w:t>
                  </w:r>
                </w:p>
              </w:txbxContent>
            </v:textbox>
            <v:fill type="solid"/>
          </v:shape>
        </w:pict>
      </w:r>
      <w:r>
        <w:rPr>
          <w:sz w:val="20"/>
        </w:rPr>
      </w:r>
    </w:p>
    <w:p>
      <w:pPr>
        <w:pStyle w:val="BodyText"/>
        <w:rPr>
          <w:sz w:val="20"/>
        </w:rPr>
      </w:pPr>
    </w:p>
    <w:p>
      <w:pPr>
        <w:pStyle w:val="Heading3"/>
        <w:spacing w:line="320" w:lineRule="exact" w:before="5"/>
        <w:ind w:left="2588"/>
      </w:pPr>
      <w:r>
        <w:rPr>
          <w:spacing w:val="-2"/>
        </w:rPr>
        <w:t>（六）</w:t>
      </w:r>
      <w:r>
        <w:rPr>
          <w:spacing w:val="-3"/>
        </w:rPr>
        <w:t>严重脑炎后遗症或严重脑膜炎后遗症</w:t>
      </w:r>
    </w:p>
    <w:p>
      <w:pPr>
        <w:spacing w:line="26" w:lineRule="exact" w:before="0"/>
        <w:ind w:left="2290" w:right="0" w:firstLine="0"/>
        <w:jc w:val="center"/>
        <w:rPr>
          <w:sz w:val="4"/>
        </w:rPr>
      </w:pPr>
      <w:r>
        <w:rPr>
          <w:w w:val="72"/>
          <w:sz w:val="4"/>
        </w:rPr>
        <w:t>●</w:t>
      </w:r>
    </w:p>
    <w:p>
      <w:pPr>
        <w:pStyle w:val="BodyText"/>
        <w:spacing w:before="33"/>
        <w:ind w:left="2588"/>
      </w:pPr>
      <w:r>
        <w:rPr>
          <w:spacing w:val="-2"/>
        </w:rPr>
        <w:t>释义详见 </w:t>
      </w:r>
      <w:r>
        <w:rPr/>
        <w:t>9.7</w:t>
      </w:r>
      <w:r>
        <w:rPr>
          <w:spacing w:val="-4"/>
        </w:rPr>
        <w:t> 重大疾病中第十一条。</w:t>
      </w:r>
    </w:p>
    <w:p>
      <w:pPr>
        <w:pStyle w:val="BodyText"/>
        <w:spacing w:before="5"/>
        <w:rPr>
          <w:sz w:val="22"/>
        </w:rPr>
      </w:pPr>
    </w:p>
    <w:p>
      <w:pPr>
        <w:pStyle w:val="Heading3"/>
        <w:spacing w:before="1"/>
        <w:ind w:left="2588"/>
      </w:pPr>
      <w:r>
        <w:rPr/>
        <w:t>（七）</w:t>
      </w:r>
      <w:r>
        <w:rPr>
          <w:spacing w:val="-2"/>
        </w:rPr>
        <w:t>严重脑损伤</w:t>
      </w:r>
    </w:p>
    <w:p>
      <w:pPr>
        <w:pStyle w:val="BodyText"/>
        <w:spacing w:line="265" w:lineRule="exact"/>
        <w:ind w:left="2588"/>
      </w:pPr>
      <w:r>
        <w:rPr>
          <w:spacing w:val="-2"/>
        </w:rPr>
        <w:t>释义详见 </w:t>
      </w:r>
      <w:r>
        <w:rPr/>
        <w:t>9.7</w:t>
      </w:r>
      <w:r>
        <w:rPr>
          <w:spacing w:val="-4"/>
        </w:rPr>
        <w:t> 重大疾病中第十八条。</w:t>
      </w:r>
    </w:p>
    <w:p>
      <w:pPr>
        <w:pStyle w:val="BodyText"/>
        <w:spacing w:before="5"/>
        <w:rPr>
          <w:sz w:val="22"/>
        </w:rPr>
      </w:pPr>
    </w:p>
    <w:p>
      <w:pPr>
        <w:pStyle w:val="Heading3"/>
        <w:ind w:left="2588"/>
      </w:pPr>
      <w:r>
        <w:rPr/>
        <w:t>（八）</w:t>
      </w:r>
      <w:r>
        <w:rPr>
          <w:spacing w:val="-2"/>
        </w:rPr>
        <w:t>重型再生障碍性贫血</w:t>
      </w:r>
    </w:p>
    <w:p>
      <w:pPr>
        <w:pStyle w:val="BodyText"/>
        <w:spacing w:line="265" w:lineRule="exact"/>
        <w:ind w:left="2588"/>
      </w:pPr>
      <w:r>
        <w:rPr>
          <w:spacing w:val="-2"/>
        </w:rPr>
        <w:t>释义详见 </w:t>
      </w:r>
      <w:r>
        <w:rPr/>
        <w:t>9.7</w:t>
      </w:r>
      <w:r>
        <w:rPr>
          <w:spacing w:val="-4"/>
        </w:rPr>
        <w:t> 重大疾病中第二十四条。</w:t>
      </w:r>
    </w:p>
    <w:p>
      <w:pPr>
        <w:pStyle w:val="BodyText"/>
        <w:spacing w:before="6"/>
        <w:rPr>
          <w:sz w:val="22"/>
        </w:rPr>
      </w:pPr>
    </w:p>
    <w:p>
      <w:pPr>
        <w:pStyle w:val="Heading3"/>
        <w:ind w:left="2588"/>
      </w:pPr>
      <w:r>
        <w:rPr/>
        <w:t>（九）</w:t>
      </w:r>
      <w:r>
        <w:rPr>
          <w:spacing w:val="-2"/>
        </w:rPr>
        <w:t>严重肌营养不良症</w:t>
      </w:r>
    </w:p>
    <w:p>
      <w:pPr>
        <w:pStyle w:val="BodyText"/>
        <w:spacing w:line="265" w:lineRule="exact"/>
        <w:ind w:left="2588"/>
      </w:pPr>
      <w:r>
        <w:rPr>
          <w:spacing w:val="-2"/>
        </w:rPr>
        <w:t>释义详见 </w:t>
      </w:r>
      <w:r>
        <w:rPr/>
        <w:t>9.7</w:t>
      </w:r>
      <w:r>
        <w:rPr>
          <w:spacing w:val="-4"/>
        </w:rPr>
        <w:t> 重大疾病中第四十条。</w:t>
      </w:r>
    </w:p>
    <w:p>
      <w:pPr>
        <w:pStyle w:val="BodyText"/>
        <w:spacing w:before="6"/>
        <w:rPr>
          <w:sz w:val="22"/>
        </w:rPr>
      </w:pPr>
    </w:p>
    <w:p>
      <w:pPr>
        <w:pStyle w:val="Heading3"/>
        <w:ind w:left="2588"/>
      </w:pPr>
      <w:r>
        <w:rPr>
          <w:w w:val="95"/>
        </w:rPr>
        <w:t>（</w:t>
      </w:r>
      <w:r>
        <w:rPr>
          <w:w w:val="95"/>
        </w:rPr>
        <w:t>十</w:t>
      </w:r>
      <w:r>
        <w:rPr>
          <w:w w:val="95"/>
        </w:rPr>
        <w:t>）</w:t>
      </w:r>
      <w:r>
        <w:rPr>
          <w:w w:val="95"/>
        </w:rPr>
        <w:t>严</w:t>
      </w:r>
      <w:r>
        <w:rPr>
          <w:w w:val="95"/>
        </w:rPr>
        <w:t>重</w:t>
      </w:r>
      <w:r>
        <w:rPr>
          <w:spacing w:val="22"/>
        </w:rPr>
        <w:t> </w:t>
      </w:r>
      <w:r>
        <w:rPr>
          <w:w w:val="95"/>
        </w:rPr>
        <w:t>1</w:t>
      </w:r>
      <w:r>
        <w:rPr>
          <w:spacing w:val="23"/>
        </w:rPr>
        <w:t> </w:t>
      </w:r>
      <w:r>
        <w:rPr>
          <w:w w:val="95"/>
        </w:rPr>
        <w:t>型</w:t>
      </w:r>
      <w:r>
        <w:rPr>
          <w:w w:val="95"/>
        </w:rPr>
        <w:t>糖</w:t>
      </w:r>
      <w:r>
        <w:rPr>
          <w:w w:val="95"/>
        </w:rPr>
        <w:t>尿</w:t>
      </w:r>
      <w:r>
        <w:rPr>
          <w:spacing w:val="-10"/>
          <w:w w:val="95"/>
        </w:rPr>
        <w:t>病</w:t>
      </w:r>
    </w:p>
    <w:p>
      <w:pPr>
        <w:pStyle w:val="BodyText"/>
        <w:spacing w:line="265" w:lineRule="exact"/>
        <w:ind w:left="2588"/>
      </w:pPr>
      <w:r>
        <w:rPr>
          <w:spacing w:val="-2"/>
        </w:rPr>
        <w:t>释义详见 </w:t>
      </w:r>
      <w:r>
        <w:rPr/>
        <w:t>9.7</w:t>
      </w:r>
      <w:r>
        <w:rPr>
          <w:spacing w:val="-4"/>
        </w:rPr>
        <w:t> 重大疾病中第四十三条。</w:t>
      </w:r>
    </w:p>
    <w:p>
      <w:pPr>
        <w:pStyle w:val="BodyText"/>
        <w:spacing w:before="6"/>
        <w:rPr>
          <w:sz w:val="22"/>
        </w:rPr>
      </w:pPr>
    </w:p>
    <w:p>
      <w:pPr>
        <w:pStyle w:val="Heading3"/>
        <w:ind w:left="2588"/>
      </w:pPr>
      <w:r>
        <w:rPr/>
        <w:t>（十一）全身性（型）</w:t>
      </w:r>
      <w:r>
        <w:rPr>
          <w:spacing w:val="-2"/>
        </w:rPr>
        <w:t>重症肌无力</w:t>
      </w:r>
    </w:p>
    <w:p>
      <w:pPr>
        <w:pStyle w:val="BodyText"/>
        <w:spacing w:line="265" w:lineRule="exact"/>
        <w:ind w:left="2588"/>
      </w:pPr>
      <w:r>
        <w:rPr>
          <w:spacing w:val="-2"/>
        </w:rPr>
        <w:t>释义详见 </w:t>
      </w:r>
      <w:r>
        <w:rPr/>
        <w:t>9.7</w:t>
      </w:r>
      <w:r>
        <w:rPr>
          <w:spacing w:val="-4"/>
        </w:rPr>
        <w:t> 重大疾病中第四十七条。</w:t>
      </w:r>
    </w:p>
    <w:p>
      <w:pPr>
        <w:pStyle w:val="BodyText"/>
        <w:spacing w:before="5"/>
        <w:rPr>
          <w:sz w:val="22"/>
        </w:rPr>
      </w:pPr>
    </w:p>
    <w:p>
      <w:pPr>
        <w:pStyle w:val="Heading3"/>
        <w:spacing w:before="1"/>
        <w:ind w:left="2588"/>
      </w:pPr>
      <w:r>
        <w:rPr/>
        <w:t>（十二）</w:t>
      </w:r>
      <w:r>
        <w:rPr>
          <w:spacing w:val="-2"/>
        </w:rPr>
        <w:t>严重心肌病</w:t>
      </w:r>
    </w:p>
    <w:p>
      <w:pPr>
        <w:pStyle w:val="BodyText"/>
        <w:spacing w:line="265" w:lineRule="exact"/>
        <w:ind w:left="2588"/>
      </w:pPr>
      <w:r>
        <w:rPr>
          <w:spacing w:val="-2"/>
        </w:rPr>
        <w:t>释义详见 </w:t>
      </w:r>
      <w:r>
        <w:rPr/>
        <w:t>9.7</w:t>
      </w:r>
      <w:r>
        <w:rPr>
          <w:spacing w:val="-4"/>
        </w:rPr>
        <w:t> 重大疾病中第四十八条。</w:t>
      </w:r>
    </w:p>
    <w:p>
      <w:pPr>
        <w:pStyle w:val="BodyText"/>
        <w:spacing w:before="5"/>
        <w:rPr>
          <w:sz w:val="22"/>
        </w:rPr>
      </w:pPr>
    </w:p>
    <w:p>
      <w:pPr>
        <w:pStyle w:val="Heading3"/>
        <w:ind w:left="2588"/>
      </w:pPr>
      <w:r>
        <w:rPr/>
        <w:t>（十三）</w:t>
      </w:r>
      <w:r>
        <w:rPr>
          <w:spacing w:val="-2"/>
        </w:rPr>
        <w:t>严重心肌炎</w:t>
      </w:r>
    </w:p>
    <w:p>
      <w:pPr>
        <w:pStyle w:val="BodyText"/>
        <w:spacing w:line="265" w:lineRule="exact"/>
        <w:ind w:left="2588"/>
      </w:pPr>
      <w:r>
        <w:rPr>
          <w:spacing w:val="-2"/>
        </w:rPr>
        <w:t>释义详见 </w:t>
      </w:r>
      <w:r>
        <w:rPr/>
        <w:t>9.7</w:t>
      </w:r>
      <w:r>
        <w:rPr>
          <w:spacing w:val="-4"/>
        </w:rPr>
        <w:t> 重大疾病中第四十九条。</w:t>
      </w:r>
    </w:p>
    <w:p>
      <w:pPr>
        <w:pStyle w:val="BodyText"/>
        <w:spacing w:before="7"/>
        <w:rPr>
          <w:sz w:val="22"/>
        </w:rPr>
      </w:pPr>
    </w:p>
    <w:p>
      <w:pPr>
        <w:pStyle w:val="Heading3"/>
        <w:spacing w:line="320" w:lineRule="exact"/>
        <w:ind w:left="2588"/>
      </w:pPr>
      <w:r>
        <w:rPr/>
        <w:t>（十四）</w:t>
      </w:r>
      <w:r>
        <w:rPr>
          <w:spacing w:val="-3"/>
        </w:rPr>
        <w:t>严重癫痫</w:t>
      </w:r>
    </w:p>
    <w:p>
      <w:pPr>
        <w:spacing w:line="26" w:lineRule="exact" w:before="0"/>
        <w:ind w:left="3049" w:right="0" w:firstLine="0"/>
        <w:jc w:val="left"/>
        <w:rPr>
          <w:sz w:val="4"/>
        </w:rPr>
      </w:pPr>
      <w:r>
        <w:rPr>
          <w:w w:val="72"/>
          <w:sz w:val="4"/>
        </w:rPr>
        <w:t>●</w:t>
      </w:r>
    </w:p>
    <w:p>
      <w:pPr>
        <w:pStyle w:val="BodyText"/>
        <w:spacing w:before="33"/>
        <w:ind w:left="2588"/>
      </w:pPr>
      <w:r>
        <w:rPr>
          <w:spacing w:val="-2"/>
        </w:rPr>
        <w:t>释义详见 </w:t>
      </w:r>
      <w:r>
        <w:rPr/>
        <w:t>9.7</w:t>
      </w:r>
      <w:r>
        <w:rPr>
          <w:spacing w:val="-4"/>
        </w:rPr>
        <w:t> 重大疾病中第六十六条。</w:t>
      </w:r>
    </w:p>
    <w:p>
      <w:pPr>
        <w:pStyle w:val="BodyText"/>
        <w:spacing w:before="6"/>
        <w:rPr>
          <w:sz w:val="22"/>
        </w:rPr>
      </w:pPr>
    </w:p>
    <w:p>
      <w:pPr>
        <w:pStyle w:val="Heading3"/>
        <w:ind w:left="2588"/>
      </w:pPr>
      <w:r>
        <w:rPr/>
        <w:t>（十五）</w:t>
      </w:r>
      <w:r>
        <w:rPr>
          <w:spacing w:val="-2"/>
        </w:rPr>
        <w:t>重症手足口病</w:t>
      </w:r>
    </w:p>
    <w:p>
      <w:pPr>
        <w:pStyle w:val="BodyText"/>
        <w:spacing w:line="265" w:lineRule="exact"/>
        <w:ind w:left="2588"/>
      </w:pPr>
      <w:r>
        <w:rPr>
          <w:spacing w:val="-2"/>
        </w:rPr>
        <w:t>释义详见 </w:t>
      </w:r>
      <w:r>
        <w:rPr/>
        <w:t>9.7</w:t>
      </w:r>
      <w:r>
        <w:rPr>
          <w:spacing w:val="-4"/>
        </w:rPr>
        <w:t> 重大疾病中第六十八条。</w:t>
      </w:r>
    </w:p>
    <w:p>
      <w:pPr>
        <w:pStyle w:val="BodyText"/>
        <w:spacing w:before="6"/>
        <w:rPr>
          <w:sz w:val="22"/>
        </w:rPr>
      </w:pPr>
    </w:p>
    <w:p>
      <w:pPr>
        <w:pStyle w:val="Heading3"/>
        <w:ind w:left="2588"/>
      </w:pPr>
      <w:r>
        <w:rPr/>
        <w:t>（十六）</w:t>
      </w:r>
      <w:r>
        <w:rPr>
          <w:spacing w:val="-3"/>
        </w:rPr>
        <w:t>严重哮喘</w:t>
      </w:r>
    </w:p>
    <w:p>
      <w:pPr>
        <w:pStyle w:val="BodyText"/>
        <w:spacing w:line="265" w:lineRule="exact"/>
        <w:ind w:left="2588"/>
      </w:pPr>
      <w:r>
        <w:rPr>
          <w:spacing w:val="-2"/>
        </w:rPr>
        <w:t>释义详见 </w:t>
      </w:r>
      <w:r>
        <w:rPr/>
        <w:t>9.7</w:t>
      </w:r>
      <w:r>
        <w:rPr>
          <w:spacing w:val="-4"/>
        </w:rPr>
        <w:t> 重大疾病中第七十三条。</w:t>
      </w:r>
    </w:p>
    <w:p>
      <w:pPr>
        <w:pStyle w:val="BodyText"/>
        <w:spacing w:before="6"/>
        <w:rPr>
          <w:sz w:val="22"/>
        </w:rPr>
      </w:pPr>
    </w:p>
    <w:p>
      <w:pPr>
        <w:pStyle w:val="Heading3"/>
        <w:ind w:left="2588"/>
      </w:pPr>
      <w:r>
        <w:rPr/>
        <w:t>（十七）</w:t>
      </w:r>
      <w:r>
        <w:rPr>
          <w:spacing w:val="-2"/>
        </w:rPr>
        <w:t>严重川崎病</w:t>
      </w:r>
    </w:p>
    <w:p>
      <w:pPr>
        <w:pStyle w:val="BodyText"/>
        <w:spacing w:line="265" w:lineRule="exact"/>
        <w:ind w:left="2588"/>
      </w:pPr>
      <w:r>
        <w:rPr>
          <w:spacing w:val="-2"/>
        </w:rPr>
        <w:t>释义详见 </w:t>
      </w:r>
      <w:r>
        <w:rPr/>
        <w:t>9.7</w:t>
      </w:r>
      <w:r>
        <w:rPr>
          <w:spacing w:val="-4"/>
        </w:rPr>
        <w:t> 重大疾病中第七十八条。</w:t>
      </w:r>
    </w:p>
    <w:p>
      <w:pPr>
        <w:pStyle w:val="BodyText"/>
        <w:spacing w:before="5"/>
        <w:rPr>
          <w:sz w:val="22"/>
        </w:rPr>
      </w:pPr>
    </w:p>
    <w:p>
      <w:pPr>
        <w:pStyle w:val="Heading3"/>
        <w:ind w:left="2588"/>
      </w:pPr>
      <w:r>
        <w:rPr/>
        <w:t>（十八）</w:t>
      </w:r>
      <w:r>
        <w:rPr>
          <w:spacing w:val="-2"/>
        </w:rPr>
        <w:t>骨生长不全症</w:t>
      </w:r>
    </w:p>
    <w:p>
      <w:pPr>
        <w:pStyle w:val="BodyText"/>
        <w:spacing w:line="265" w:lineRule="exact"/>
        <w:ind w:left="2588"/>
      </w:pPr>
      <w:r>
        <w:rPr>
          <w:spacing w:val="-2"/>
        </w:rPr>
        <w:t>释义详见 </w:t>
      </w:r>
      <w:r>
        <w:rPr/>
        <w:t>9.7</w:t>
      </w:r>
      <w:r>
        <w:rPr>
          <w:spacing w:val="-4"/>
        </w:rPr>
        <w:t> 重大疾病中第七十九条。</w:t>
      </w:r>
    </w:p>
    <w:p>
      <w:pPr>
        <w:spacing w:after="0" w:line="265" w:lineRule="exact"/>
        <w:sectPr>
          <w:pgSz w:w="11910" w:h="16840"/>
          <w:pgMar w:top="1140" w:bottom="280" w:left="920" w:right="820"/>
        </w:sectPr>
      </w:pPr>
    </w:p>
    <w:p>
      <w:pPr>
        <w:pStyle w:val="Heading3"/>
        <w:spacing w:line="376" w:lineRule="exact"/>
        <w:ind w:left="2588"/>
      </w:pPr>
      <w:r>
        <w:rPr/>
        <w:t>（十九）</w:t>
      </w:r>
      <w:r>
        <w:rPr>
          <w:spacing w:val="-2"/>
        </w:rPr>
        <w:t>严重脊髓灰质炎</w:t>
      </w:r>
    </w:p>
    <w:p>
      <w:pPr>
        <w:pStyle w:val="BodyText"/>
        <w:spacing w:line="265" w:lineRule="exact"/>
        <w:ind w:left="2588"/>
      </w:pPr>
      <w:r>
        <w:rPr>
          <w:spacing w:val="-2"/>
        </w:rPr>
        <w:t>释义详见 </w:t>
      </w:r>
      <w:r>
        <w:rPr/>
        <w:t>9.7</w:t>
      </w:r>
      <w:r>
        <w:rPr>
          <w:spacing w:val="-4"/>
        </w:rPr>
        <w:t> 重大疾病中第八十五条。</w:t>
      </w:r>
    </w:p>
    <w:p>
      <w:pPr>
        <w:pStyle w:val="BodyText"/>
        <w:spacing w:before="5"/>
        <w:rPr>
          <w:sz w:val="22"/>
        </w:rPr>
      </w:pPr>
    </w:p>
    <w:p>
      <w:pPr>
        <w:pStyle w:val="Heading3"/>
        <w:spacing w:line="240" w:lineRule="auto"/>
        <w:ind w:left="2588"/>
      </w:pPr>
      <w:r>
        <w:rPr/>
        <w:t>（二十）</w:t>
      </w:r>
      <w:r>
        <w:rPr>
          <w:spacing w:val="-2"/>
        </w:rPr>
        <w:t>严重瑞氏综合征</w:t>
      </w:r>
    </w:p>
    <w:p>
      <w:pPr>
        <w:spacing w:after="0" w:line="240" w:lineRule="auto"/>
        <w:sectPr>
          <w:pgSz w:w="11910" w:h="16840"/>
          <w:pgMar w:top="1080" w:bottom="280" w:left="920" w:right="820"/>
        </w:sectPr>
      </w:pPr>
    </w:p>
    <w:p>
      <w:pPr>
        <w:pStyle w:val="BodyText"/>
        <w:spacing w:line="241" w:lineRule="exact"/>
        <w:jc w:val="right"/>
      </w:pPr>
      <w:r>
        <w:rPr>
          <w:spacing w:val="-3"/>
        </w:rPr>
        <w:t>释义详见</w:t>
      </w:r>
    </w:p>
    <w:p>
      <w:pPr>
        <w:spacing w:line="31" w:lineRule="exact" w:before="0"/>
        <w:ind w:left="0" w:right="353" w:firstLine="0"/>
        <w:jc w:val="right"/>
        <w:rPr>
          <w:sz w:val="4"/>
        </w:rPr>
      </w:pPr>
      <w:r>
        <w:rPr>
          <w:w w:val="72"/>
          <w:sz w:val="4"/>
        </w:rPr>
        <w:t>●</w:t>
      </w:r>
    </w:p>
    <w:p>
      <w:pPr>
        <w:pStyle w:val="BodyText"/>
        <w:spacing w:line="262" w:lineRule="exact"/>
        <w:ind w:left="65"/>
      </w:pPr>
      <w:r>
        <w:rPr/>
        <w:br w:type="column"/>
      </w:r>
      <w:r>
        <w:rPr/>
        <w:t>9.7</w:t>
      </w:r>
      <w:r>
        <w:rPr>
          <w:spacing w:val="-6"/>
        </w:rPr>
        <w:t> 重大疾病中第一百零四条。</w:t>
      </w:r>
    </w:p>
    <w:p>
      <w:pPr>
        <w:spacing w:after="0" w:line="262" w:lineRule="exact"/>
        <w:sectPr>
          <w:type w:val="continuous"/>
          <w:pgSz w:w="11910" w:h="16840"/>
          <w:pgMar w:top="740" w:bottom="280" w:left="920" w:right="820"/>
          <w:cols w:num="2" w:equalWidth="0">
            <w:col w:w="3434" w:space="40"/>
            <w:col w:w="6696"/>
          </w:cols>
        </w:sectPr>
      </w:pPr>
    </w:p>
    <w:p>
      <w:pPr>
        <w:pStyle w:val="BodyText"/>
        <w:spacing w:before="4"/>
      </w:pPr>
    </w:p>
    <w:p>
      <w:pPr>
        <w:spacing w:after="0"/>
        <w:sectPr>
          <w:type w:val="continuous"/>
          <w:pgSz w:w="11910" w:h="16840"/>
          <w:pgMar w:top="740" w:bottom="280" w:left="920" w:right="820"/>
        </w:sectPr>
      </w:pPr>
    </w:p>
    <w:p>
      <w:pPr>
        <w:pStyle w:val="Heading3"/>
        <w:numPr>
          <w:ilvl w:val="1"/>
          <w:numId w:val="94"/>
        </w:numPr>
        <w:tabs>
          <w:tab w:pos="1365" w:val="left" w:leader="none"/>
        </w:tabs>
        <w:spacing w:line="194" w:lineRule="auto" w:before="57" w:after="0"/>
        <w:ind w:left="1364" w:right="0" w:hanging="850"/>
        <w:jc w:val="both"/>
      </w:pPr>
      <w:r>
        <w:rPr>
          <w:spacing w:val="-9"/>
        </w:rPr>
        <w:t>新 发 恶 性</w:t>
      </w:r>
      <w:r>
        <w:rPr>
          <w:spacing w:val="-12"/>
        </w:rPr>
        <w:t>肿 瘤 — —</w:t>
      </w:r>
      <w:r>
        <w:rPr>
          <w:spacing w:val="-6"/>
        </w:rPr>
        <w:t>重度</w:t>
      </w:r>
    </w:p>
    <w:p>
      <w:pPr>
        <w:pStyle w:val="BodyText"/>
        <w:spacing w:line="278" w:lineRule="auto" w:before="71"/>
        <w:ind w:left="180" w:right="301"/>
        <w:jc w:val="both"/>
      </w:pPr>
      <w:r>
        <w:rPr/>
        <w:br w:type="column"/>
      </w:r>
      <w:r>
        <w:rPr>
          <w:w w:val="100"/>
        </w:rPr>
        <w:t>指第二次确诊并符合本合同给付条件的恶性肿瘤——重度与初次确诊并符合本合同首次重大疾病保险金或第二次重大疾病保险金给付条件的恶性肿瘤——重</w:t>
      </w:r>
      <w:r>
        <w:rPr>
          <w:spacing w:val="-3"/>
          <w:w w:val="100"/>
        </w:rPr>
        <w:t>度属于不同的病理学及组织学类型。</w:t>
      </w:r>
    </w:p>
    <w:p>
      <w:pPr>
        <w:spacing w:after="0" w:line="278" w:lineRule="auto"/>
        <w:jc w:val="both"/>
        <w:sectPr>
          <w:type w:val="continuous"/>
          <w:pgSz w:w="11910" w:h="16840"/>
          <w:pgMar w:top="740" w:bottom="280" w:left="920" w:right="820"/>
          <w:cols w:num="2" w:equalWidth="0">
            <w:col w:w="2369" w:space="40"/>
            <w:col w:w="7761"/>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94"/>
        </w:numPr>
        <w:tabs>
          <w:tab w:pos="1364" w:val="left" w:leader="none"/>
          <w:tab w:pos="1365" w:val="left" w:leader="none"/>
        </w:tabs>
        <w:spacing w:line="350" w:lineRule="exact" w:before="5" w:after="0"/>
        <w:ind w:left="1364" w:right="0" w:hanging="850"/>
        <w:jc w:val="left"/>
      </w:pPr>
      <w:r>
        <w:rPr>
          <w:spacing w:val="-7"/>
        </w:rPr>
        <w:t>恶 性 肿 瘤</w:t>
      </w:r>
    </w:p>
    <w:p>
      <w:pPr>
        <w:pStyle w:val="ListParagraph"/>
        <w:numPr>
          <w:ilvl w:val="2"/>
          <w:numId w:val="94"/>
        </w:numPr>
        <w:tabs>
          <w:tab w:pos="1629" w:val="left" w:leader="none"/>
        </w:tabs>
        <w:spacing w:line="194" w:lineRule="auto" w:before="15" w:after="0"/>
        <w:ind w:left="1364" w:right="0" w:firstLine="0"/>
        <w:jc w:val="left"/>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6"/>
          <w:sz w:val="21"/>
        </w:rPr>
        <w:t>复发</w:t>
      </w:r>
    </w:p>
    <w:p>
      <w:pPr>
        <w:pStyle w:val="BodyText"/>
        <w:spacing w:line="278" w:lineRule="auto" w:before="72"/>
        <w:ind w:left="180" w:right="301"/>
        <w:jc w:val="both"/>
      </w:pPr>
      <w:r>
        <w:rPr/>
        <w:br w:type="column"/>
      </w:r>
      <w:r>
        <w:rPr>
          <w:spacing w:val="-5"/>
        </w:rPr>
        <w:t>指恶性肿瘤——重度经过手术切除或放射等治疗后已达到临床完全缓解，但经过</w:t>
      </w:r>
      <w:r>
        <w:rPr>
          <w:spacing w:val="-6"/>
        </w:rPr>
        <w:t>一段时期后原恶性肿瘤细胞又继续生长繁殖，在原来的部位重新长成与原恶性肿</w:t>
      </w:r>
      <w:r>
        <w:rPr>
          <w:spacing w:val="-2"/>
        </w:rPr>
        <w:t>瘤病理学及组织学类型相同的恶性肿瘤，这个现象称为复发。</w:t>
      </w:r>
    </w:p>
    <w:p>
      <w:pPr>
        <w:pStyle w:val="BodyText"/>
        <w:spacing w:before="4"/>
        <w:rPr>
          <w:sz w:val="24"/>
        </w:rPr>
      </w:pPr>
    </w:p>
    <w:p>
      <w:pPr>
        <w:pStyle w:val="BodyText"/>
        <w:spacing w:line="278" w:lineRule="auto"/>
        <w:ind w:left="180" w:right="301"/>
        <w:jc w:val="both"/>
      </w:pPr>
      <w:r>
        <w:rPr>
          <w:spacing w:val="-4"/>
        </w:rPr>
        <w:t>临床完全缓解是指经物理检查、实验室检查、影像学检查等证实恶性肿瘤病灶已</w:t>
      </w:r>
      <w:r>
        <w:rPr>
          <w:spacing w:val="-12"/>
        </w:rPr>
        <w:t>消失。理赔时需提供医院的专科医生开具的医疗证明以及相应的影像检查或实验</w:t>
      </w:r>
      <w:r>
        <w:rPr>
          <w:spacing w:val="-2"/>
        </w:rPr>
        <w:t>室检查的证据。</w:t>
      </w:r>
    </w:p>
    <w:p>
      <w:pPr>
        <w:spacing w:after="0" w:line="278" w:lineRule="auto"/>
        <w:jc w:val="both"/>
        <w:sectPr>
          <w:type w:val="continuous"/>
          <w:pgSz w:w="11910" w:h="16840"/>
          <w:pgMar w:top="740" w:bottom="280" w:left="920" w:right="820"/>
          <w:cols w:num="2" w:equalWidth="0">
            <w:col w:w="2369" w:space="40"/>
            <w:col w:w="7761"/>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94"/>
        </w:numPr>
        <w:tabs>
          <w:tab w:pos="1365" w:val="left" w:leader="none"/>
        </w:tabs>
        <w:spacing w:line="350" w:lineRule="exact" w:before="4" w:after="0"/>
        <w:ind w:left="1364" w:right="0" w:hanging="850"/>
        <w:jc w:val="both"/>
      </w:pPr>
      <w:r>
        <w:rPr>
          <w:spacing w:val="-7"/>
        </w:rPr>
        <w:t>恶 性 肿 瘤</w:t>
      </w:r>
    </w:p>
    <w:p>
      <w:pPr>
        <w:pStyle w:val="ListParagraph"/>
        <w:numPr>
          <w:ilvl w:val="2"/>
          <w:numId w:val="94"/>
        </w:numPr>
        <w:tabs>
          <w:tab w:pos="1629" w:val="left" w:leader="none"/>
        </w:tabs>
        <w:spacing w:line="194" w:lineRule="auto" w:before="16" w:after="0"/>
        <w:ind w:left="1364" w:right="0" w:firstLine="0"/>
        <w:jc w:val="both"/>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9"/>
          <w:sz w:val="21"/>
        </w:rPr>
        <w:t>转 移 或 扩</w:t>
      </w:r>
      <w:r>
        <w:rPr>
          <w:rFonts w:ascii="微软雅黑" w:hAnsi="微软雅黑" w:eastAsia="微软雅黑"/>
          <w:b/>
          <w:spacing w:val="-10"/>
          <w:sz w:val="21"/>
        </w:rPr>
        <w:t>散</w:t>
      </w:r>
    </w:p>
    <w:p>
      <w:pPr>
        <w:spacing w:line="22" w:lineRule="exact" w:before="0"/>
        <w:ind w:left="467" w:right="0" w:firstLine="0"/>
        <w:jc w:val="center"/>
        <w:rPr>
          <w:sz w:val="4"/>
        </w:rPr>
      </w:pPr>
      <w:r>
        <w:rPr>
          <w:w w:val="72"/>
          <w:sz w:val="4"/>
        </w:rPr>
        <w:t>●</w:t>
      </w:r>
    </w:p>
    <w:p>
      <w:pPr>
        <w:pStyle w:val="BodyText"/>
        <w:spacing w:line="278" w:lineRule="auto" w:before="73"/>
        <w:ind w:left="180" w:right="301"/>
        <w:jc w:val="both"/>
      </w:pPr>
      <w:r>
        <w:rPr/>
        <w:br w:type="column"/>
      </w:r>
      <w:r>
        <w:rPr>
          <w:spacing w:val="-10"/>
          <w:w w:val="100"/>
        </w:rPr>
        <w:t>指恶性肿瘤细胞超越出原发病灶器官，通过各种转移方式，到达继发组织或器官</w:t>
      </w:r>
      <w:r>
        <w:rPr>
          <w:w w:val="100"/>
        </w:rPr>
        <w:t>继续增殖生长并形成与原发恶性肿瘤有相同病理学及组织学类型的继发恶性肿</w:t>
      </w:r>
      <w:r>
        <w:rPr>
          <w:spacing w:val="-9"/>
          <w:w w:val="100"/>
        </w:rPr>
        <w:t>瘤。恶性肿瘤转移或扩散的主要途径包括直接侵犯邻近器官、淋巴转移、血行转</w:t>
      </w:r>
      <w:r>
        <w:rPr>
          <w:spacing w:val="-1"/>
          <w:w w:val="100"/>
        </w:rPr>
        <w:t>移、腔内肿植等。</w:t>
      </w:r>
      <w:r>
        <w:rPr>
          <w:color w:val="000000"/>
          <w:spacing w:val="-5"/>
          <w:w w:val="100"/>
          <w:shd w:fill="D9D9D9" w:color="auto" w:val="clear"/>
        </w:rPr>
        <w:t>转移至淋巴结不在本保障范围之内。</w:t>
      </w:r>
    </w:p>
    <w:p>
      <w:pPr>
        <w:spacing w:after="0" w:line="278" w:lineRule="auto"/>
        <w:jc w:val="both"/>
        <w:sectPr>
          <w:type w:val="continuous"/>
          <w:pgSz w:w="11910" w:h="16840"/>
          <w:pgMar w:top="740" w:bottom="280" w:left="920" w:right="820"/>
          <w:cols w:num="2" w:equalWidth="0">
            <w:col w:w="2369" w:space="40"/>
            <w:col w:w="7761"/>
          </w:cols>
        </w:sectPr>
      </w:pPr>
    </w:p>
    <w:p>
      <w:pPr>
        <w:pStyle w:val="BodyText"/>
        <w:spacing w:before="11"/>
        <w:rPr>
          <w:sz w:val="17"/>
        </w:rPr>
      </w:pPr>
    </w:p>
    <w:p>
      <w:pPr>
        <w:spacing w:after="0"/>
        <w:rPr>
          <w:sz w:val="17"/>
        </w:rPr>
        <w:sectPr>
          <w:type w:val="continuous"/>
          <w:pgSz w:w="11910" w:h="16840"/>
          <w:pgMar w:top="740" w:bottom="280" w:left="920" w:right="820"/>
        </w:sectPr>
      </w:pPr>
    </w:p>
    <w:p>
      <w:pPr>
        <w:pStyle w:val="Heading3"/>
        <w:numPr>
          <w:ilvl w:val="1"/>
          <w:numId w:val="94"/>
        </w:numPr>
        <w:tabs>
          <w:tab w:pos="1364" w:val="left" w:leader="none"/>
          <w:tab w:pos="1365" w:val="left" w:leader="none"/>
        </w:tabs>
        <w:spacing w:line="350" w:lineRule="exact" w:before="5" w:after="0"/>
        <w:ind w:left="1364" w:right="0" w:hanging="850"/>
        <w:jc w:val="left"/>
      </w:pPr>
      <w:r>
        <w:rPr>
          <w:spacing w:val="-7"/>
        </w:rPr>
        <w:t>恶 性 肿 瘤</w:t>
      </w:r>
    </w:p>
    <w:p>
      <w:pPr>
        <w:pStyle w:val="ListParagraph"/>
        <w:numPr>
          <w:ilvl w:val="2"/>
          <w:numId w:val="94"/>
        </w:numPr>
        <w:tabs>
          <w:tab w:pos="1629" w:val="left" w:leader="none"/>
        </w:tabs>
        <w:spacing w:line="194" w:lineRule="auto" w:before="15" w:after="0"/>
        <w:ind w:left="1364" w:right="0" w:firstLine="0"/>
        <w:jc w:val="left"/>
        <w:rPr>
          <w:rFonts w:ascii="微软雅黑" w:hAnsi="微软雅黑" w:eastAsia="微软雅黑"/>
          <w:b/>
          <w:sz w:val="21"/>
        </w:rPr>
      </w:pPr>
      <w:r>
        <w:rPr>
          <w:rFonts w:ascii="微软雅黑" w:hAnsi="微软雅黑" w:eastAsia="微软雅黑"/>
          <w:b/>
          <w:spacing w:val="-10"/>
          <w:sz w:val="21"/>
        </w:rPr>
        <w:t>— 重 度</w:t>
      </w:r>
      <w:r>
        <w:rPr>
          <w:rFonts w:ascii="微软雅黑" w:hAnsi="微软雅黑" w:eastAsia="微软雅黑"/>
          <w:b/>
          <w:spacing w:val="-4"/>
          <w:sz w:val="21"/>
        </w:rPr>
        <w:t>仍持续</w:t>
      </w:r>
    </w:p>
    <w:p>
      <w:pPr>
        <w:pStyle w:val="BodyText"/>
        <w:spacing w:line="278" w:lineRule="auto" w:before="72"/>
        <w:ind w:left="180" w:right="301"/>
      </w:pPr>
      <w:r>
        <w:rPr/>
        <w:br w:type="column"/>
      </w:r>
      <w:r>
        <w:rPr>
          <w:spacing w:val="-4"/>
        </w:rPr>
        <w:t>指经组织病理学检查或影像学检查，及专科医生临床诊断，显示首次病变部位恶</w:t>
      </w:r>
      <w:r>
        <w:rPr>
          <w:spacing w:val="-2"/>
        </w:rPr>
        <w:t>性肿瘤仍然存在且继续接受恶性肿瘤手术、放射治疗、化学治疗等治疗的。</w:t>
      </w:r>
    </w:p>
    <w:p>
      <w:pPr>
        <w:spacing w:after="0" w:line="278" w:lineRule="auto"/>
        <w:sectPr>
          <w:type w:val="continuous"/>
          <w:pgSz w:w="11910" w:h="16840"/>
          <w:pgMar w:top="740" w:bottom="280" w:left="920" w:right="820"/>
          <w:cols w:num="2" w:equalWidth="0">
            <w:col w:w="2369" w:space="40"/>
            <w:col w:w="7761"/>
          </w:cols>
        </w:sectPr>
      </w:pPr>
    </w:p>
    <w:p>
      <w:pPr>
        <w:pStyle w:val="BodyText"/>
        <w:spacing w:before="8"/>
        <w:rPr>
          <w:sz w:val="19"/>
        </w:rPr>
      </w:pPr>
    </w:p>
    <w:p>
      <w:pPr>
        <w:pStyle w:val="ListParagraph"/>
        <w:numPr>
          <w:ilvl w:val="1"/>
          <w:numId w:val="94"/>
        </w:numPr>
        <w:tabs>
          <w:tab w:pos="1365" w:val="left" w:leader="none"/>
          <w:tab w:pos="2588" w:val="left" w:leader="none"/>
        </w:tabs>
        <w:spacing w:line="312" w:lineRule="exact" w:before="32" w:after="0"/>
        <w:ind w:left="2588" w:right="301" w:hanging="2074"/>
        <w:jc w:val="both"/>
        <w:rPr>
          <w:sz w:val="21"/>
        </w:rPr>
      </w:pPr>
      <w:r>
        <w:rPr>
          <w:rFonts w:ascii="微软雅黑" w:eastAsia="微软雅黑"/>
          <w:b/>
          <w:w w:val="100"/>
          <w:sz w:val="21"/>
        </w:rPr>
        <w:t>毒品</w:t>
      </w:r>
      <w:r>
        <w:rPr>
          <w:rFonts w:ascii="微软雅黑" w:eastAsia="微软雅黑"/>
          <w:b/>
          <w:sz w:val="21"/>
        </w:rPr>
        <w:tab/>
      </w:r>
      <w:r>
        <w:rPr>
          <w:w w:val="100"/>
          <w:sz w:val="21"/>
        </w:rPr>
        <w:t>指《中华人民共和国刑法》</w:t>
      </w:r>
      <w:r>
        <w:rPr>
          <w:spacing w:val="-5"/>
          <w:w w:val="100"/>
          <w:sz w:val="21"/>
        </w:rPr>
        <w:t>规</w:t>
      </w:r>
      <w:r>
        <w:rPr>
          <w:w w:val="100"/>
          <w:sz w:val="21"/>
        </w:rPr>
        <w:t>定的鸦片、海洛因</w:t>
      </w:r>
      <w:r>
        <w:rPr>
          <w:spacing w:val="-5"/>
          <w:w w:val="100"/>
          <w:sz w:val="21"/>
        </w:rPr>
        <w:t>、甲</w:t>
      </w:r>
      <w:r>
        <w:rPr>
          <w:w w:val="100"/>
          <w:sz w:val="21"/>
        </w:rPr>
        <w:t>基苯丙胺（冰毒</w:t>
      </w:r>
      <w:r>
        <w:rPr>
          <w:spacing w:val="-106"/>
          <w:w w:val="100"/>
          <w:sz w:val="21"/>
        </w:rPr>
        <w:t>）</w:t>
      </w:r>
      <w:r>
        <w:rPr>
          <w:w w:val="100"/>
          <w:sz w:val="21"/>
        </w:rPr>
        <w:t>、吗啡</w:t>
      </w:r>
      <w:r>
        <w:rPr>
          <w:spacing w:val="-16"/>
          <w:w w:val="100"/>
          <w:sz w:val="21"/>
        </w:rPr>
        <w:t>、</w:t>
      </w:r>
      <w:r>
        <w:rPr>
          <w:spacing w:val="4"/>
          <w:w w:val="100"/>
          <w:sz w:val="21"/>
        </w:rPr>
        <w:t>大麻</w:t>
      </w:r>
      <w:r>
        <w:rPr>
          <w:w w:val="100"/>
          <w:sz w:val="21"/>
        </w:rPr>
        <w:t>、</w:t>
      </w:r>
      <w:r>
        <w:rPr>
          <w:spacing w:val="4"/>
          <w:w w:val="100"/>
          <w:sz w:val="21"/>
        </w:rPr>
        <w:t>可</w:t>
      </w:r>
      <w:r>
        <w:rPr>
          <w:w w:val="100"/>
          <w:sz w:val="21"/>
        </w:rPr>
        <w:t>卡</w:t>
      </w:r>
      <w:r>
        <w:rPr>
          <w:spacing w:val="4"/>
          <w:w w:val="100"/>
          <w:sz w:val="21"/>
        </w:rPr>
        <w:t>因</w:t>
      </w:r>
      <w:r>
        <w:rPr>
          <w:w w:val="100"/>
          <w:sz w:val="21"/>
        </w:rPr>
        <w:t>以</w:t>
      </w:r>
      <w:r>
        <w:rPr>
          <w:spacing w:val="4"/>
          <w:w w:val="100"/>
          <w:sz w:val="21"/>
        </w:rPr>
        <w:t>及国</w:t>
      </w:r>
      <w:r>
        <w:rPr>
          <w:w w:val="100"/>
          <w:sz w:val="21"/>
        </w:rPr>
        <w:t>家</w:t>
      </w:r>
      <w:r>
        <w:rPr>
          <w:spacing w:val="4"/>
          <w:w w:val="100"/>
          <w:sz w:val="21"/>
        </w:rPr>
        <w:t>规</w:t>
      </w:r>
      <w:r>
        <w:rPr>
          <w:w w:val="100"/>
          <w:sz w:val="21"/>
        </w:rPr>
        <w:t>定</w:t>
      </w:r>
      <w:r>
        <w:rPr>
          <w:spacing w:val="4"/>
          <w:w w:val="100"/>
          <w:sz w:val="21"/>
        </w:rPr>
        <w:t>管</w:t>
      </w:r>
      <w:r>
        <w:rPr>
          <w:w w:val="100"/>
          <w:sz w:val="21"/>
        </w:rPr>
        <w:t>制</w:t>
      </w:r>
      <w:r>
        <w:rPr>
          <w:spacing w:val="4"/>
          <w:w w:val="100"/>
          <w:sz w:val="21"/>
        </w:rPr>
        <w:t>的</w:t>
      </w:r>
      <w:r>
        <w:rPr>
          <w:w w:val="100"/>
          <w:sz w:val="21"/>
        </w:rPr>
        <w:t>其</w:t>
      </w:r>
      <w:r>
        <w:rPr>
          <w:spacing w:val="4"/>
          <w:w w:val="100"/>
          <w:sz w:val="21"/>
        </w:rPr>
        <w:t>他能</w:t>
      </w:r>
      <w:r>
        <w:rPr>
          <w:w w:val="100"/>
          <w:sz w:val="21"/>
        </w:rPr>
        <w:t>够</w:t>
      </w:r>
      <w:r>
        <w:rPr>
          <w:spacing w:val="4"/>
          <w:w w:val="100"/>
          <w:sz w:val="21"/>
        </w:rPr>
        <w:t>使</w:t>
      </w:r>
      <w:r>
        <w:rPr>
          <w:w w:val="100"/>
          <w:sz w:val="21"/>
        </w:rPr>
        <w:t>人形</w:t>
      </w:r>
      <w:r>
        <w:rPr>
          <w:spacing w:val="4"/>
          <w:w w:val="100"/>
          <w:sz w:val="21"/>
        </w:rPr>
        <w:t>成瘾</w:t>
      </w:r>
      <w:r>
        <w:rPr>
          <w:w w:val="100"/>
          <w:sz w:val="21"/>
        </w:rPr>
        <w:t>癖</w:t>
      </w:r>
      <w:r>
        <w:rPr>
          <w:spacing w:val="4"/>
          <w:w w:val="100"/>
          <w:sz w:val="21"/>
        </w:rPr>
        <w:t>的</w:t>
      </w:r>
      <w:r>
        <w:rPr>
          <w:w w:val="100"/>
          <w:sz w:val="21"/>
        </w:rPr>
        <w:t>麻</w:t>
      </w:r>
      <w:r>
        <w:rPr>
          <w:spacing w:val="4"/>
          <w:w w:val="100"/>
          <w:sz w:val="21"/>
        </w:rPr>
        <w:t>醉</w:t>
      </w:r>
      <w:r>
        <w:rPr>
          <w:w w:val="100"/>
          <w:sz w:val="21"/>
        </w:rPr>
        <w:t>药</w:t>
      </w:r>
      <w:r>
        <w:rPr>
          <w:spacing w:val="4"/>
          <w:w w:val="100"/>
          <w:sz w:val="21"/>
        </w:rPr>
        <w:t>品和</w:t>
      </w:r>
      <w:r>
        <w:rPr>
          <w:w w:val="100"/>
          <w:sz w:val="21"/>
        </w:rPr>
        <w:t>精</w:t>
      </w:r>
      <w:r>
        <w:rPr>
          <w:spacing w:val="4"/>
          <w:w w:val="100"/>
          <w:sz w:val="21"/>
        </w:rPr>
        <w:t>神</w:t>
      </w:r>
      <w:r>
        <w:rPr>
          <w:w w:val="100"/>
          <w:sz w:val="21"/>
        </w:rPr>
        <w:t>药品</w:t>
      </w:r>
      <w:r>
        <w:rPr>
          <w:spacing w:val="-82"/>
          <w:w w:val="100"/>
          <w:sz w:val="21"/>
        </w:rPr>
        <w:t>，</w:t>
      </w:r>
      <w:r>
        <w:rPr>
          <w:w w:val="100"/>
          <w:sz w:val="21"/>
        </w:rPr>
        <w:t>但不包</w:t>
      </w:r>
      <w:r>
        <w:rPr>
          <w:spacing w:val="-5"/>
          <w:w w:val="100"/>
          <w:sz w:val="21"/>
        </w:rPr>
        <w:t>括</w:t>
      </w:r>
      <w:r>
        <w:rPr>
          <w:w w:val="100"/>
          <w:sz w:val="21"/>
        </w:rPr>
        <w:t>由医生</w:t>
      </w:r>
      <w:r>
        <w:rPr>
          <w:spacing w:val="-5"/>
          <w:w w:val="100"/>
          <w:sz w:val="21"/>
        </w:rPr>
        <w:t>开</w:t>
      </w:r>
      <w:r>
        <w:rPr>
          <w:w w:val="100"/>
          <w:sz w:val="21"/>
        </w:rPr>
        <w:t>具并遵</w:t>
      </w:r>
      <w:r>
        <w:rPr>
          <w:spacing w:val="-5"/>
          <w:w w:val="100"/>
          <w:sz w:val="21"/>
        </w:rPr>
        <w:t>医</w:t>
      </w:r>
      <w:r>
        <w:rPr>
          <w:w w:val="100"/>
          <w:sz w:val="21"/>
        </w:rPr>
        <w:t>嘱使用</w:t>
      </w:r>
      <w:r>
        <w:rPr>
          <w:spacing w:val="-5"/>
          <w:w w:val="100"/>
          <w:sz w:val="21"/>
        </w:rPr>
        <w:t>的</w:t>
      </w:r>
      <w:r>
        <w:rPr>
          <w:w w:val="100"/>
          <w:sz w:val="21"/>
        </w:rPr>
        <w:t>用于</w:t>
      </w:r>
      <w:r>
        <w:rPr>
          <w:spacing w:val="-5"/>
          <w:w w:val="100"/>
          <w:sz w:val="21"/>
        </w:rPr>
        <w:t>治</w:t>
      </w:r>
      <w:r>
        <w:rPr>
          <w:w w:val="100"/>
          <w:sz w:val="21"/>
        </w:rPr>
        <w:t>疗</w:t>
      </w:r>
      <w:r>
        <w:rPr>
          <w:spacing w:val="-5"/>
          <w:w w:val="100"/>
          <w:sz w:val="21"/>
        </w:rPr>
        <w:t>疾</w:t>
      </w:r>
      <w:r>
        <w:rPr>
          <w:w w:val="100"/>
          <w:sz w:val="21"/>
        </w:rPr>
        <w:t>病但含有</w:t>
      </w:r>
      <w:r>
        <w:rPr>
          <w:spacing w:val="-5"/>
          <w:w w:val="100"/>
          <w:sz w:val="21"/>
        </w:rPr>
        <w:t>毒</w:t>
      </w:r>
      <w:r>
        <w:rPr>
          <w:w w:val="100"/>
          <w:sz w:val="21"/>
        </w:rPr>
        <w:t>品成分</w:t>
      </w:r>
      <w:r>
        <w:rPr>
          <w:spacing w:val="-5"/>
          <w:w w:val="100"/>
          <w:sz w:val="21"/>
        </w:rPr>
        <w:t>的</w:t>
      </w:r>
      <w:r>
        <w:rPr>
          <w:w w:val="100"/>
          <w:sz w:val="21"/>
        </w:rPr>
        <w:t>处方</w:t>
      </w:r>
      <w:r>
        <w:rPr>
          <w:spacing w:val="-15"/>
          <w:w w:val="100"/>
          <w:sz w:val="21"/>
        </w:rPr>
        <w:t>药</w:t>
      </w:r>
      <w:r>
        <w:rPr>
          <w:w w:val="100"/>
          <w:sz w:val="21"/>
        </w:rPr>
        <w:t>品。</w:t>
      </w:r>
    </w:p>
    <w:p>
      <w:pPr>
        <w:pStyle w:val="BodyText"/>
        <w:spacing w:before="2"/>
        <w:rPr>
          <w:sz w:val="22"/>
        </w:rPr>
      </w:pPr>
    </w:p>
    <w:p>
      <w:pPr>
        <w:pStyle w:val="ListParagraph"/>
        <w:numPr>
          <w:ilvl w:val="1"/>
          <w:numId w:val="94"/>
        </w:numPr>
        <w:tabs>
          <w:tab w:pos="1364" w:val="left" w:leader="none"/>
          <w:tab w:pos="1365" w:val="left" w:leader="none"/>
          <w:tab w:pos="2588" w:val="left" w:leader="none"/>
        </w:tabs>
        <w:spacing w:line="256" w:lineRule="auto" w:before="0" w:after="0"/>
        <w:ind w:left="2588" w:right="219" w:hanging="2074"/>
        <w:jc w:val="left"/>
        <w:rPr>
          <w:sz w:val="21"/>
        </w:rPr>
      </w:pPr>
      <w:r>
        <w:rPr>
          <w:rFonts w:ascii="微软雅黑" w:eastAsia="微软雅黑"/>
          <w:b/>
          <w:spacing w:val="-4"/>
          <w:sz w:val="21"/>
        </w:rPr>
        <w:t>酒</w:t>
      </w:r>
      <w:r>
        <w:rPr>
          <w:rFonts w:ascii="微软雅黑" w:eastAsia="微软雅黑"/>
          <w:b/>
          <w:spacing w:val="-4"/>
          <w:sz w:val="21"/>
        </w:rPr>
        <w:t>后</w:t>
      </w:r>
      <w:r>
        <w:rPr>
          <w:rFonts w:ascii="微软雅黑" w:eastAsia="微软雅黑"/>
          <w:b/>
          <w:spacing w:val="-4"/>
          <w:sz w:val="21"/>
        </w:rPr>
        <w:t>驾</w:t>
      </w:r>
      <w:r>
        <w:rPr>
          <w:rFonts w:ascii="微软雅黑" w:eastAsia="微软雅黑"/>
          <w:b/>
          <w:spacing w:val="-4"/>
          <w:sz w:val="21"/>
        </w:rPr>
        <w:t>驶</w:t>
      </w:r>
      <w:r>
        <w:rPr>
          <w:rFonts w:ascii="微软雅黑" w:eastAsia="微软雅黑"/>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鉴</w:t>
      </w:r>
      <w:r>
        <w:rPr>
          <w:spacing w:val="-2"/>
          <w:sz w:val="21"/>
        </w:rPr>
        <w:t>定</w:t>
      </w:r>
      <w:r>
        <w:rPr>
          <w:spacing w:val="-82"/>
          <w:sz w:val="21"/>
        </w:rPr>
        <w:t>，</w:t>
      </w:r>
      <w:r>
        <w:rPr>
          <w:spacing w:val="-2"/>
          <w:sz w:val="21"/>
        </w:rPr>
        <w:t>发生</w:t>
      </w:r>
      <w:r>
        <w:rPr>
          <w:spacing w:val="-2"/>
          <w:sz w:val="21"/>
        </w:rPr>
        <w:t>事</w:t>
      </w:r>
      <w:r>
        <w:rPr>
          <w:spacing w:val="-2"/>
          <w:sz w:val="21"/>
        </w:rPr>
        <w:t>故</w:t>
      </w:r>
      <w:r>
        <w:rPr>
          <w:spacing w:val="-2"/>
          <w:sz w:val="21"/>
        </w:rPr>
        <w:t>时</w:t>
      </w:r>
      <w:r>
        <w:rPr>
          <w:spacing w:val="-2"/>
          <w:sz w:val="21"/>
        </w:rPr>
        <w:t>车</w:t>
      </w:r>
      <w:r>
        <w:rPr>
          <w:spacing w:val="-2"/>
          <w:sz w:val="21"/>
        </w:rPr>
        <w:t>辆</w:t>
      </w:r>
      <w:r>
        <w:rPr>
          <w:spacing w:val="-2"/>
          <w:sz w:val="21"/>
        </w:rPr>
        <w:t>驾</w:t>
      </w:r>
      <w:r>
        <w:rPr>
          <w:spacing w:val="-2"/>
          <w:sz w:val="21"/>
        </w:rPr>
        <w:t>驶</w:t>
      </w:r>
      <w:r>
        <w:rPr>
          <w:spacing w:val="-2"/>
          <w:sz w:val="21"/>
        </w:rPr>
        <w:t>人</w:t>
      </w:r>
      <w:r>
        <w:rPr>
          <w:spacing w:val="-2"/>
          <w:sz w:val="21"/>
        </w:rPr>
        <w:t>员</w:t>
      </w:r>
      <w:r>
        <w:rPr>
          <w:spacing w:val="-2"/>
          <w:sz w:val="21"/>
        </w:rPr>
        <w:t>每</w:t>
      </w:r>
      <w:r>
        <w:rPr>
          <w:spacing w:val="-2"/>
          <w:sz w:val="21"/>
        </w:rPr>
        <w:t>百毫升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w:t>
      </w:r>
      <w:r>
        <w:rPr>
          <w:spacing w:val="-2"/>
          <w:sz w:val="21"/>
        </w:rPr>
        <w:t>到</w:t>
      </w:r>
      <w:r>
        <w:rPr>
          <w:spacing w:val="-2"/>
          <w:sz w:val="21"/>
        </w:rPr>
        <w:t>或</w:t>
      </w:r>
      <w:r>
        <w:rPr>
          <w:spacing w:val="-2"/>
          <w:sz w:val="21"/>
        </w:rPr>
        <w:t>超</w:t>
      </w:r>
      <w:r>
        <w:rPr>
          <w:spacing w:val="-2"/>
          <w:sz w:val="21"/>
        </w:rPr>
        <w:t>过</w:t>
      </w:r>
      <w:r>
        <w:rPr>
          <w:spacing w:val="-2"/>
          <w:sz w:val="21"/>
        </w:rPr>
        <w:t>一</w:t>
      </w:r>
      <w:r>
        <w:rPr>
          <w:spacing w:val="-2"/>
          <w:sz w:val="21"/>
        </w:rPr>
        <w:t>定</w:t>
      </w:r>
      <w:r>
        <w:rPr>
          <w:spacing w:val="-2"/>
          <w:sz w:val="21"/>
        </w:rPr>
        <w:t>的</w:t>
      </w:r>
      <w:r>
        <w:rPr>
          <w:spacing w:val="-2"/>
          <w:sz w:val="21"/>
        </w:rPr>
        <w:t>标</w:t>
      </w:r>
      <w:r>
        <w:rPr>
          <w:spacing w:val="-2"/>
          <w:sz w:val="21"/>
        </w:rPr>
        <w:t>准</w:t>
      </w:r>
      <w:r>
        <w:rPr>
          <w:spacing w:val="-2"/>
          <w:sz w:val="21"/>
        </w:rPr>
        <w:t>，</w:t>
      </w:r>
      <w:r>
        <w:rPr>
          <w:spacing w:val="-2"/>
          <w:sz w:val="21"/>
        </w:rPr>
        <w:t>公</w:t>
      </w:r>
      <w:r>
        <w:rPr>
          <w:spacing w:val="-2"/>
          <w:sz w:val="21"/>
        </w:rPr>
        <w:t>安</w:t>
      </w:r>
      <w:r>
        <w:rPr>
          <w:spacing w:val="-2"/>
          <w:sz w:val="21"/>
        </w:rPr>
        <w:t>机</w:t>
      </w:r>
      <w:r>
        <w:rPr>
          <w:spacing w:val="-2"/>
          <w:sz w:val="21"/>
        </w:rPr>
        <w:t>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依</w:t>
      </w:r>
      <w:r>
        <w:rPr>
          <w:spacing w:val="-2"/>
          <w:sz w:val="21"/>
        </w:rPr>
        <w:t>据</w:t>
      </w:r>
      <w:r>
        <w:rPr>
          <w:spacing w:val="-2"/>
          <w:sz w:val="21"/>
        </w:rPr>
        <w:t>《</w:t>
      </w:r>
      <w:r>
        <w:rPr>
          <w:spacing w:val="-2"/>
          <w:sz w:val="21"/>
        </w:rPr>
        <w:t>中华人</w:t>
      </w:r>
      <w:r>
        <w:rPr>
          <w:spacing w:val="-2"/>
          <w:sz w:val="21"/>
        </w:rPr>
        <w:t>民</w:t>
      </w:r>
      <w:r>
        <w:rPr>
          <w:spacing w:val="-2"/>
          <w:sz w:val="21"/>
        </w:rPr>
        <w:t>共</w:t>
      </w:r>
      <w:r>
        <w:rPr>
          <w:spacing w:val="-2"/>
          <w:sz w:val="21"/>
        </w:rPr>
        <w:t>和</w:t>
      </w:r>
      <w:r>
        <w:rPr>
          <w:spacing w:val="-2"/>
          <w:sz w:val="21"/>
        </w:rPr>
        <w:t>国</w:t>
      </w:r>
      <w:r>
        <w:rPr>
          <w:spacing w:val="-2"/>
          <w:sz w:val="21"/>
        </w:rPr>
        <w:t>道</w:t>
      </w:r>
      <w:r>
        <w:rPr>
          <w:spacing w:val="-2"/>
          <w:sz w:val="21"/>
        </w:rPr>
        <w:t>路</w:t>
      </w:r>
      <w:r>
        <w:rPr>
          <w:spacing w:val="-2"/>
          <w:sz w:val="21"/>
        </w:rPr>
        <w:t>交</w:t>
      </w:r>
      <w:r>
        <w:rPr>
          <w:spacing w:val="-2"/>
          <w:sz w:val="21"/>
        </w:rPr>
        <w:t>通</w:t>
      </w:r>
      <w:r>
        <w:rPr>
          <w:spacing w:val="-2"/>
          <w:sz w:val="21"/>
        </w:rPr>
        <w:t>安</w:t>
      </w:r>
      <w:r>
        <w:rPr>
          <w:spacing w:val="-2"/>
          <w:sz w:val="21"/>
        </w:rPr>
        <w:t>全</w:t>
      </w:r>
      <w:r>
        <w:rPr>
          <w:spacing w:val="-2"/>
          <w:sz w:val="21"/>
        </w:rPr>
        <w:t>法</w:t>
      </w:r>
      <w:r>
        <w:rPr>
          <w:spacing w:val="-2"/>
          <w:sz w:val="21"/>
        </w:rPr>
        <w:t>》</w:t>
      </w:r>
      <w:r>
        <w:rPr>
          <w:spacing w:val="-2"/>
          <w:sz w:val="21"/>
        </w:rPr>
        <w:t>的</w:t>
      </w:r>
      <w:r>
        <w:rPr>
          <w:spacing w:val="-2"/>
          <w:sz w:val="21"/>
        </w:rPr>
        <w:t>规</w:t>
      </w:r>
      <w:r>
        <w:rPr>
          <w:spacing w:val="-2"/>
          <w:sz w:val="21"/>
        </w:rPr>
        <w:t>定</w:t>
      </w:r>
      <w:r>
        <w:rPr>
          <w:spacing w:val="-2"/>
          <w:sz w:val="21"/>
        </w:rPr>
        <w:t>认</w:t>
      </w:r>
      <w:r>
        <w:rPr>
          <w:spacing w:val="-2"/>
          <w:sz w:val="21"/>
        </w:rPr>
        <w:t>定</w:t>
      </w:r>
      <w:r>
        <w:rPr>
          <w:spacing w:val="-2"/>
          <w:sz w:val="21"/>
        </w:rPr>
        <w:t>为</w:t>
      </w:r>
      <w:r>
        <w:rPr>
          <w:spacing w:val="-2"/>
          <w:sz w:val="21"/>
        </w:rPr>
        <w:t>饮</w:t>
      </w:r>
      <w:r>
        <w:rPr>
          <w:spacing w:val="-2"/>
          <w:sz w:val="21"/>
        </w:rPr>
        <w:t>酒</w:t>
      </w:r>
      <w:r>
        <w:rPr>
          <w:spacing w:val="-2"/>
          <w:sz w:val="21"/>
        </w:rPr>
        <w:t>后</w:t>
      </w:r>
      <w:r>
        <w:rPr>
          <w:spacing w:val="-2"/>
          <w:sz w:val="21"/>
        </w:rPr>
        <w:t>驾</w:t>
      </w:r>
      <w:r>
        <w:rPr>
          <w:spacing w:val="-2"/>
          <w:sz w:val="21"/>
        </w:rPr>
        <w:t>驶</w:t>
      </w:r>
      <w:r>
        <w:rPr>
          <w:spacing w:val="-2"/>
          <w:sz w:val="21"/>
        </w:rPr>
        <w:t>或</w:t>
      </w:r>
      <w:r>
        <w:rPr>
          <w:spacing w:val="-2"/>
          <w:sz w:val="21"/>
        </w:rPr>
        <w:t>醉</w:t>
      </w:r>
      <w:r>
        <w:rPr>
          <w:spacing w:val="-2"/>
          <w:sz w:val="21"/>
        </w:rPr>
        <w:t>酒</w:t>
      </w:r>
      <w:r>
        <w:rPr>
          <w:spacing w:val="-2"/>
          <w:sz w:val="21"/>
        </w:rPr>
        <w:t>后</w:t>
      </w:r>
      <w:r>
        <w:rPr>
          <w:spacing w:val="-2"/>
          <w:sz w:val="21"/>
        </w:rPr>
        <w:t>驾</w:t>
      </w:r>
      <w:r>
        <w:rPr>
          <w:spacing w:val="-2"/>
          <w:sz w:val="21"/>
        </w:rPr>
        <w:t>驶。</w:t>
      </w:r>
    </w:p>
    <w:p>
      <w:pPr>
        <w:pStyle w:val="BodyText"/>
        <w:spacing w:before="10"/>
        <w:rPr>
          <w:sz w:val="19"/>
        </w:rPr>
      </w:pPr>
    </w:p>
    <w:p>
      <w:pPr>
        <w:spacing w:after="0"/>
        <w:rPr>
          <w:sz w:val="19"/>
        </w:rPr>
        <w:sectPr>
          <w:type w:val="continuous"/>
          <w:pgSz w:w="11910" w:h="16840"/>
          <w:pgMar w:top="740" w:bottom="280" w:left="920" w:right="820"/>
        </w:sectPr>
      </w:pPr>
    </w:p>
    <w:p>
      <w:pPr>
        <w:pStyle w:val="Heading3"/>
        <w:numPr>
          <w:ilvl w:val="1"/>
          <w:numId w:val="94"/>
        </w:numPr>
        <w:tabs>
          <w:tab w:pos="1365" w:val="left" w:leader="none"/>
        </w:tabs>
        <w:spacing w:line="194" w:lineRule="auto" w:before="57" w:after="0"/>
        <w:ind w:left="1364" w:right="0" w:hanging="850"/>
        <w:jc w:val="both"/>
      </w:pPr>
      <w:r>
        <w:rPr>
          <w:spacing w:val="-4"/>
        </w:rPr>
        <w:t>无合法有</w:t>
      </w:r>
      <w:r>
        <w:rPr>
          <w:spacing w:val="-4"/>
        </w:rPr>
        <w:t>效驾驶证</w:t>
      </w:r>
      <w:r>
        <w:rPr>
          <w:spacing w:val="-6"/>
        </w:rPr>
        <w:t>驾驶</w:t>
      </w:r>
    </w:p>
    <w:p>
      <w:pPr>
        <w:pStyle w:val="BodyText"/>
        <w:spacing w:before="72"/>
        <w:ind w:left="339"/>
      </w:pPr>
      <w:r>
        <w:rPr/>
        <w:br w:type="column"/>
      </w:r>
      <w:r>
        <w:rPr>
          <w:spacing w:val="-4"/>
        </w:rPr>
        <w:t>指下列情形之一：</w:t>
      </w:r>
    </w:p>
    <w:p>
      <w:pPr>
        <w:pStyle w:val="ListParagraph"/>
        <w:numPr>
          <w:ilvl w:val="0"/>
          <w:numId w:val="95"/>
        </w:numPr>
        <w:tabs>
          <w:tab w:pos="869" w:val="left" w:leader="none"/>
        </w:tabs>
        <w:spacing w:line="240" w:lineRule="auto" w:before="43" w:after="0"/>
        <w:ind w:left="868" w:right="0" w:hanging="530"/>
        <w:jc w:val="left"/>
        <w:rPr>
          <w:sz w:val="21"/>
        </w:rPr>
      </w:pPr>
      <w:r>
        <w:rPr>
          <w:spacing w:val="-3"/>
          <w:sz w:val="21"/>
        </w:rPr>
        <w:t>没有取得驾驶资格；</w:t>
      </w:r>
    </w:p>
    <w:p>
      <w:pPr>
        <w:pStyle w:val="ListParagraph"/>
        <w:numPr>
          <w:ilvl w:val="0"/>
          <w:numId w:val="95"/>
        </w:numPr>
        <w:tabs>
          <w:tab w:pos="869" w:val="left" w:leader="none"/>
        </w:tabs>
        <w:spacing w:line="240" w:lineRule="auto" w:before="42" w:after="0"/>
        <w:ind w:left="868" w:right="0" w:hanging="530"/>
        <w:jc w:val="left"/>
        <w:rPr>
          <w:sz w:val="21"/>
        </w:rPr>
      </w:pPr>
      <w:r>
        <w:rPr>
          <w:spacing w:val="-3"/>
          <w:sz w:val="21"/>
        </w:rPr>
        <w:t>驾驶与驾驶证准驾车型不相符合的车辆；</w:t>
      </w:r>
    </w:p>
    <w:p>
      <w:pPr>
        <w:pStyle w:val="ListParagraph"/>
        <w:numPr>
          <w:ilvl w:val="0"/>
          <w:numId w:val="95"/>
        </w:numPr>
        <w:tabs>
          <w:tab w:pos="869" w:val="left" w:leader="none"/>
        </w:tabs>
        <w:spacing w:line="240" w:lineRule="auto" w:before="43" w:after="0"/>
        <w:ind w:left="868" w:right="0" w:hanging="530"/>
        <w:jc w:val="left"/>
        <w:rPr>
          <w:sz w:val="21"/>
        </w:rPr>
      </w:pPr>
      <w:r>
        <w:rPr>
          <w:spacing w:val="-3"/>
          <w:sz w:val="21"/>
        </w:rPr>
        <w:t>持审验不合格的驾驶证驾驶；</w:t>
      </w:r>
    </w:p>
    <w:p>
      <w:pPr>
        <w:pStyle w:val="ListParagraph"/>
        <w:numPr>
          <w:ilvl w:val="0"/>
          <w:numId w:val="95"/>
        </w:numPr>
        <w:tabs>
          <w:tab w:pos="869" w:val="left" w:leader="none"/>
        </w:tabs>
        <w:spacing w:line="248" w:lineRule="exact" w:before="45" w:after="0"/>
        <w:ind w:left="868" w:right="0" w:hanging="530"/>
        <w:jc w:val="left"/>
        <w:rPr>
          <w:sz w:val="21"/>
        </w:rPr>
      </w:pPr>
      <w:r>
        <w:rPr>
          <w:spacing w:val="-3"/>
          <w:sz w:val="21"/>
        </w:rPr>
        <w:t>持学习驾驶证学习驾车时，无教练员随车指导，或不按指定时间、路线学</w:t>
      </w:r>
    </w:p>
    <w:p>
      <w:pPr>
        <w:spacing w:line="31" w:lineRule="exact" w:before="0"/>
        <w:ind w:left="377" w:right="0" w:firstLine="0"/>
        <w:jc w:val="left"/>
        <w:rPr>
          <w:sz w:val="4"/>
        </w:rPr>
      </w:pPr>
      <w:r>
        <w:rPr>
          <w:w w:val="72"/>
          <w:sz w:val="4"/>
        </w:rPr>
        <w:t>●</w:t>
      </w:r>
    </w:p>
    <w:p>
      <w:pPr>
        <w:spacing w:after="0" w:line="31" w:lineRule="exact"/>
        <w:jc w:val="left"/>
        <w:rPr>
          <w:sz w:val="4"/>
        </w:rPr>
        <w:sectPr>
          <w:type w:val="continuous"/>
          <w:pgSz w:w="11910" w:h="16840"/>
          <w:pgMar w:top="740" w:bottom="280" w:left="920" w:right="820"/>
          <w:cols w:num="2" w:equalWidth="0">
            <w:col w:w="2210" w:space="40"/>
            <w:col w:w="7920"/>
          </w:cols>
        </w:sectPr>
      </w:pPr>
    </w:p>
    <w:p>
      <w:pPr>
        <w:pStyle w:val="BodyText"/>
        <w:spacing w:before="33"/>
        <w:ind w:left="3112"/>
      </w:pPr>
      <w:r>
        <w:rPr>
          <w:spacing w:val="-3"/>
        </w:rPr>
        <w:t>习驾车。</w:t>
      </w:r>
    </w:p>
    <w:p>
      <w:pPr>
        <w:pStyle w:val="BodyText"/>
        <w:spacing w:before="1"/>
        <w:rPr>
          <w:sz w:val="22"/>
        </w:rPr>
      </w:pPr>
    </w:p>
    <w:p>
      <w:pPr>
        <w:spacing w:after="0"/>
        <w:rPr>
          <w:sz w:val="22"/>
        </w:rPr>
        <w:sectPr>
          <w:type w:val="continuous"/>
          <w:pgSz w:w="11910" w:h="16840"/>
          <w:pgMar w:top="740" w:bottom="280" w:left="920" w:right="820"/>
        </w:sectPr>
      </w:pPr>
    </w:p>
    <w:p>
      <w:pPr>
        <w:pStyle w:val="Heading3"/>
        <w:numPr>
          <w:ilvl w:val="1"/>
          <w:numId w:val="94"/>
        </w:numPr>
        <w:tabs>
          <w:tab w:pos="1364" w:val="left" w:leader="none"/>
          <w:tab w:pos="1365" w:val="left" w:leader="none"/>
        </w:tabs>
        <w:spacing w:line="194" w:lineRule="auto" w:before="57" w:after="0"/>
        <w:ind w:left="1364" w:right="0" w:hanging="850"/>
        <w:jc w:val="left"/>
      </w:pPr>
      <w:r>
        <w:rPr>
          <w:spacing w:val="-4"/>
        </w:rPr>
        <w:t>无有效行</w:t>
      </w:r>
      <w:r>
        <w:rPr>
          <w:spacing w:val="-6"/>
        </w:rPr>
        <w:t>驶证</w:t>
      </w:r>
    </w:p>
    <w:p>
      <w:pPr>
        <w:pStyle w:val="BodyText"/>
        <w:spacing w:before="71"/>
        <w:ind w:left="339"/>
      </w:pPr>
      <w:r>
        <w:rPr/>
        <w:br w:type="column"/>
      </w:r>
      <w:r>
        <w:rPr>
          <w:spacing w:val="-4"/>
        </w:rPr>
        <w:t>指下列情形之一：</w:t>
      </w:r>
    </w:p>
    <w:p>
      <w:pPr>
        <w:pStyle w:val="ListParagraph"/>
        <w:numPr>
          <w:ilvl w:val="0"/>
          <w:numId w:val="96"/>
        </w:numPr>
        <w:tabs>
          <w:tab w:pos="869" w:val="left" w:leader="none"/>
        </w:tabs>
        <w:spacing w:line="240" w:lineRule="auto" w:before="43" w:after="0"/>
        <w:ind w:left="868" w:right="0" w:hanging="530"/>
        <w:jc w:val="left"/>
        <w:rPr>
          <w:sz w:val="21"/>
        </w:rPr>
      </w:pPr>
      <w:r>
        <w:rPr>
          <w:spacing w:val="-3"/>
          <w:sz w:val="21"/>
        </w:rPr>
        <w:t>机动车被依法注销登记的；</w:t>
      </w:r>
    </w:p>
    <w:p>
      <w:pPr>
        <w:pStyle w:val="ListParagraph"/>
        <w:numPr>
          <w:ilvl w:val="0"/>
          <w:numId w:val="96"/>
        </w:numPr>
        <w:tabs>
          <w:tab w:pos="869" w:val="left" w:leader="none"/>
        </w:tabs>
        <w:spacing w:line="240" w:lineRule="auto" w:before="43" w:after="0"/>
        <w:ind w:left="868" w:right="0" w:hanging="530"/>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740" w:bottom="280" w:left="920" w:right="820"/>
          <w:cols w:num="2" w:equalWidth="0">
            <w:col w:w="2210" w:space="40"/>
            <w:col w:w="7920"/>
          </w:cols>
        </w:sectPr>
      </w:pPr>
    </w:p>
    <w:p>
      <w:pPr>
        <w:pStyle w:val="ListParagraph"/>
        <w:numPr>
          <w:ilvl w:val="1"/>
          <w:numId w:val="94"/>
        </w:numPr>
        <w:tabs>
          <w:tab w:pos="1364" w:val="left" w:leader="none"/>
          <w:tab w:pos="1365" w:val="left" w:leader="none"/>
          <w:tab w:pos="2588" w:val="left" w:leader="none"/>
        </w:tabs>
        <w:spacing w:line="235" w:lineRule="auto" w:before="0" w:after="0"/>
        <w:ind w:left="2588" w:right="301" w:hanging="2074"/>
        <w:jc w:val="left"/>
        <w:rPr>
          <w:sz w:val="21"/>
        </w:rPr>
      </w:pPr>
      <w:r>
        <w:rPr>
          <w:rFonts w:ascii="微软雅黑" w:eastAsia="微软雅黑"/>
          <w:b/>
          <w:spacing w:val="-4"/>
          <w:sz w:val="21"/>
        </w:rPr>
        <w:t>机</w:t>
      </w:r>
      <w:r>
        <w:rPr>
          <w:rFonts w:ascii="微软雅黑" w:eastAsia="微软雅黑"/>
          <w:b/>
          <w:spacing w:val="-4"/>
          <w:sz w:val="21"/>
        </w:rPr>
        <w:t>动</w:t>
      </w:r>
      <w:r>
        <w:rPr>
          <w:rFonts w:ascii="微软雅黑" w:eastAsia="微软雅黑"/>
          <w:b/>
          <w:spacing w:val="-4"/>
          <w:sz w:val="21"/>
        </w:rPr>
        <w:t>车</w:t>
      </w:r>
      <w:r>
        <w:rPr>
          <w:rFonts w:ascii="微软雅黑" w:eastAsia="微软雅黑"/>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8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人员乘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p>
    <w:p>
      <w:pPr>
        <w:pStyle w:val="BodyText"/>
        <w:spacing w:before="3"/>
      </w:pPr>
    </w:p>
    <w:p>
      <w:pPr>
        <w:spacing w:after="0"/>
        <w:sectPr>
          <w:pgSz w:w="11910" w:h="16840"/>
          <w:pgMar w:top="1400" w:bottom="280" w:left="920" w:right="820"/>
        </w:sectPr>
      </w:pPr>
    </w:p>
    <w:p>
      <w:pPr>
        <w:pStyle w:val="Heading3"/>
        <w:numPr>
          <w:ilvl w:val="1"/>
          <w:numId w:val="94"/>
        </w:numPr>
        <w:tabs>
          <w:tab w:pos="1364" w:val="left" w:leader="none"/>
          <w:tab w:pos="1365" w:val="left" w:leader="none"/>
        </w:tabs>
        <w:spacing w:line="194" w:lineRule="auto" w:before="57" w:after="0"/>
        <w:ind w:left="1364" w:right="0" w:hanging="850"/>
        <w:jc w:val="left"/>
      </w:pPr>
      <w:r>
        <w:rPr>
          <w:spacing w:val="-4"/>
        </w:rPr>
        <w:t>感染艾滋</w:t>
      </w:r>
      <w:r>
        <w:rPr>
          <w:spacing w:val="-3"/>
        </w:rPr>
        <w:t>病病毒或</w:t>
      </w:r>
    </w:p>
    <w:p>
      <w:pPr>
        <w:spacing w:line="38" w:lineRule="exact" w:before="0"/>
        <w:ind w:left="1403" w:right="0" w:firstLine="0"/>
        <w:jc w:val="left"/>
        <w:rPr>
          <w:sz w:val="4"/>
        </w:rPr>
      </w:pPr>
      <w:r>
        <w:rPr>
          <w:w w:val="72"/>
          <w:sz w:val="4"/>
        </w:rPr>
        <w:t>●</w:t>
      </w:r>
    </w:p>
    <w:p>
      <w:pPr>
        <w:pStyle w:val="Heading3"/>
        <w:spacing w:line="332" w:lineRule="exact"/>
        <w:ind w:left="1364"/>
      </w:pPr>
      <w:r>
        <w:rPr>
          <w:spacing w:val="-3"/>
        </w:rPr>
        <w:t>患艾滋病</w:t>
      </w:r>
    </w:p>
    <w:p>
      <w:pPr>
        <w:pStyle w:val="BodyText"/>
        <w:spacing w:line="278" w:lineRule="auto" w:before="72"/>
        <w:ind w:left="339" w:right="301"/>
        <w:jc w:val="both"/>
      </w:pPr>
      <w:r>
        <w:rPr/>
        <w:br w:type="column"/>
      </w:r>
      <w:r>
        <w:rPr>
          <w:spacing w:val="-4"/>
        </w:rPr>
        <w:t>艾滋病病毒指人类免疫缺陷病毒，英文缩写为 </w:t>
      </w:r>
      <w:r>
        <w:rPr>
          <w:spacing w:val="-2"/>
        </w:rPr>
        <w:t>HIV。艾滋病指人类免疫缺陷病毒</w:t>
      </w:r>
      <w:r>
        <w:rPr>
          <w:spacing w:val="-3"/>
        </w:rPr>
        <w:t>引起的获得性免疫缺陷综合征，英文缩写为 </w:t>
      </w:r>
      <w:r>
        <w:rPr/>
        <w:t>AIDS。</w:t>
      </w:r>
    </w:p>
    <w:p>
      <w:pPr>
        <w:pStyle w:val="BodyText"/>
        <w:spacing w:before="4"/>
        <w:rPr>
          <w:sz w:val="24"/>
        </w:rPr>
      </w:pPr>
    </w:p>
    <w:p>
      <w:pPr>
        <w:pStyle w:val="BodyText"/>
        <w:spacing w:line="278" w:lineRule="auto"/>
        <w:ind w:left="339" w:right="301"/>
        <w:jc w:val="both"/>
      </w:pPr>
      <w:r>
        <w:rPr>
          <w:spacing w:val="-5"/>
        </w:rPr>
        <w:t>在人体血液或其它样本中检测到艾滋病病毒或其抗体呈阳性，没有出现临床症状</w:t>
      </w:r>
      <w:r>
        <w:rPr>
          <w:spacing w:val="-4"/>
        </w:rPr>
        <w:t>或体征的，为感染艾滋病病毒；如果同时出现了明显临床症状或体征的，为患艾</w:t>
      </w:r>
      <w:r>
        <w:rPr>
          <w:spacing w:val="-4"/>
        </w:rPr>
        <w:t>滋病。</w:t>
      </w:r>
    </w:p>
    <w:p>
      <w:pPr>
        <w:spacing w:after="0" w:line="278" w:lineRule="auto"/>
        <w:jc w:val="both"/>
        <w:sectPr>
          <w:type w:val="continuous"/>
          <w:pgSz w:w="11910" w:h="16840"/>
          <w:pgMar w:top="740" w:bottom="280" w:left="920" w:right="820"/>
          <w:cols w:num="2" w:equalWidth="0">
            <w:col w:w="2210" w:space="40"/>
            <w:col w:w="7920"/>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94"/>
        </w:numPr>
        <w:tabs>
          <w:tab w:pos="1364" w:val="left" w:leader="none"/>
          <w:tab w:pos="1365" w:val="left" w:leader="none"/>
        </w:tabs>
        <w:spacing w:line="194" w:lineRule="auto" w:before="58" w:after="0"/>
        <w:ind w:left="1364" w:right="0" w:hanging="850"/>
        <w:jc w:val="left"/>
      </w:pPr>
      <w:r>
        <w:rPr>
          <w:spacing w:val="-9"/>
        </w:rPr>
        <w:t>遗 传 性 疾</w:t>
      </w:r>
      <w:r>
        <w:rPr>
          <w:spacing w:val="-10"/>
        </w:rPr>
        <w:t>病</w:t>
      </w:r>
    </w:p>
    <w:p>
      <w:pPr>
        <w:pStyle w:val="BodyText"/>
        <w:spacing w:line="278" w:lineRule="auto" w:before="72"/>
        <w:ind w:left="180" w:right="195"/>
      </w:pPr>
      <w:r>
        <w:rPr/>
        <w:br w:type="column"/>
      </w:r>
      <w:r>
        <w:rPr>
          <w:spacing w:val="-9"/>
        </w:rPr>
        <w:t>指生殖细胞或受精卵的遗传物质</w:t>
      </w:r>
      <w:r>
        <w:rPr>
          <w:spacing w:val="-2"/>
        </w:rPr>
        <w:t>（染色体和基因</w:t>
      </w:r>
      <w:r>
        <w:rPr>
          <w:spacing w:val="-96"/>
        </w:rPr>
        <w:t>）</w:t>
      </w:r>
      <w:r>
        <w:rPr>
          <w:spacing w:val="-2"/>
        </w:rPr>
        <w:t>发生突变或畸变所引起的疾病，</w:t>
      </w:r>
      <w:r>
        <w:rPr>
          <w:spacing w:val="-2"/>
        </w:rPr>
        <w:t>通常具有由亲代传至后代的垂直传递的特征。</w:t>
      </w:r>
    </w:p>
    <w:p>
      <w:pPr>
        <w:spacing w:after="0" w:line="278" w:lineRule="auto"/>
        <w:sectPr>
          <w:type w:val="continuous"/>
          <w:pgSz w:w="11910" w:h="16840"/>
          <w:pgMar w:top="740" w:bottom="280" w:left="920" w:right="820"/>
          <w:cols w:num="2" w:equalWidth="0">
            <w:col w:w="2368" w:space="40"/>
            <w:col w:w="7762"/>
          </w:cols>
        </w:sectPr>
      </w:pPr>
    </w:p>
    <w:p>
      <w:pPr>
        <w:pStyle w:val="BodyText"/>
        <w:spacing w:before="9"/>
        <w:rPr>
          <w:sz w:val="18"/>
        </w:rPr>
      </w:pPr>
    </w:p>
    <w:p>
      <w:pPr>
        <w:spacing w:after="0"/>
        <w:rPr>
          <w:sz w:val="18"/>
        </w:rPr>
        <w:sectPr>
          <w:type w:val="continuous"/>
          <w:pgSz w:w="11910" w:h="16840"/>
          <w:pgMar w:top="740" w:bottom="280" w:left="920" w:right="820"/>
        </w:sectPr>
      </w:pPr>
    </w:p>
    <w:p>
      <w:pPr>
        <w:pStyle w:val="Heading3"/>
        <w:numPr>
          <w:ilvl w:val="1"/>
          <w:numId w:val="94"/>
        </w:numPr>
        <w:tabs>
          <w:tab w:pos="1365" w:val="left" w:leader="none"/>
        </w:tabs>
        <w:spacing w:line="194" w:lineRule="auto" w:before="58" w:after="0"/>
        <w:ind w:left="1364" w:right="0" w:hanging="850"/>
        <w:jc w:val="both"/>
      </w:pPr>
      <w:r>
        <w:rPr>
          <w:spacing w:val="-9"/>
        </w:rPr>
        <w:t>先 天 性 畸</w:t>
      </w:r>
      <w:r>
        <w:rPr>
          <w:spacing w:val="-12"/>
        </w:rPr>
        <w:t>形、变形或</w:t>
      </w:r>
      <w:r>
        <w:rPr>
          <w:spacing w:val="-9"/>
        </w:rPr>
        <w:t>染 色 体 异</w:t>
      </w:r>
      <w:r>
        <w:rPr>
          <w:spacing w:val="-10"/>
        </w:rPr>
        <w:t>常</w:t>
      </w:r>
    </w:p>
    <w:p>
      <w:pPr>
        <w:pStyle w:val="BodyText"/>
        <w:spacing w:line="278" w:lineRule="auto" w:before="72"/>
        <w:ind w:left="175" w:right="301"/>
      </w:pPr>
      <w:r>
        <w:rPr/>
        <w:br w:type="column"/>
      </w:r>
      <w:r>
        <w:rPr>
          <w:spacing w:val="-4"/>
        </w:rPr>
        <w:t>指被保险人出生时就具有的畸形、变形或染色体异常。先天性畸形、变形和染色</w:t>
      </w:r>
      <w:r>
        <w:rPr>
          <w:spacing w:val="-5"/>
        </w:rPr>
        <w:t>体异常依照世界卫生组织《疾病和有关健康问题的国际统计分类》第十次修订版</w:t>
      </w:r>
    </w:p>
    <w:p>
      <w:pPr>
        <w:pStyle w:val="BodyText"/>
        <w:spacing w:line="269" w:lineRule="exact"/>
        <w:ind w:left="175"/>
      </w:pPr>
      <w:r>
        <w:rPr>
          <w:spacing w:val="-2"/>
        </w:rPr>
        <w:t>（ICD-10）</w:t>
      </w:r>
      <w:r>
        <w:rPr>
          <w:spacing w:val="-5"/>
        </w:rPr>
        <w:t>确定。</w:t>
      </w:r>
    </w:p>
    <w:sectPr>
      <w:type w:val="continuous"/>
      <w:pgSz w:w="11910" w:h="16840"/>
      <w:pgMar w:top="740" w:bottom="280" w:left="920" w:right="820"/>
      <w:cols w:num="2" w:equalWidth="0">
        <w:col w:w="2373" w:space="40"/>
        <w:col w:w="775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微软雅黑">
    <w:altName w:val="微软雅黑"/>
    <w:charset w:val="86"/>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5">
    <w:multiLevelType w:val="hybridMultilevel"/>
    <w:lvl w:ilvl="0">
      <w:start w:val="1"/>
      <w:numFmt w:val="decimal"/>
      <w:lvlText w:val="（%1）"/>
      <w:lvlJc w:val="left"/>
      <w:pPr>
        <w:ind w:left="86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65" w:hanging="529"/>
      </w:pPr>
      <w:rPr>
        <w:rFonts w:hint="default"/>
        <w:lang w:val="en-US" w:eastAsia="zh-CN" w:bidi="ar-SA"/>
      </w:rPr>
    </w:lvl>
    <w:lvl w:ilvl="2">
      <w:start w:val="0"/>
      <w:numFmt w:val="bullet"/>
      <w:lvlText w:val="•"/>
      <w:lvlJc w:val="left"/>
      <w:pPr>
        <w:ind w:left="2270" w:hanging="529"/>
      </w:pPr>
      <w:rPr>
        <w:rFonts w:hint="default"/>
        <w:lang w:val="en-US" w:eastAsia="zh-CN" w:bidi="ar-SA"/>
      </w:rPr>
    </w:lvl>
    <w:lvl w:ilvl="3">
      <w:start w:val="0"/>
      <w:numFmt w:val="bullet"/>
      <w:lvlText w:val="•"/>
      <w:lvlJc w:val="left"/>
      <w:pPr>
        <w:ind w:left="2976" w:hanging="529"/>
      </w:pPr>
      <w:rPr>
        <w:rFonts w:hint="default"/>
        <w:lang w:val="en-US" w:eastAsia="zh-CN" w:bidi="ar-SA"/>
      </w:rPr>
    </w:lvl>
    <w:lvl w:ilvl="4">
      <w:start w:val="0"/>
      <w:numFmt w:val="bullet"/>
      <w:lvlText w:val="•"/>
      <w:lvlJc w:val="left"/>
      <w:pPr>
        <w:ind w:left="3681"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092" w:hanging="529"/>
      </w:pPr>
      <w:rPr>
        <w:rFonts w:hint="default"/>
        <w:lang w:val="en-US" w:eastAsia="zh-CN" w:bidi="ar-SA"/>
      </w:rPr>
    </w:lvl>
    <w:lvl w:ilvl="7">
      <w:start w:val="0"/>
      <w:numFmt w:val="bullet"/>
      <w:lvlText w:val="•"/>
      <w:lvlJc w:val="left"/>
      <w:pPr>
        <w:ind w:left="5798" w:hanging="529"/>
      </w:pPr>
      <w:rPr>
        <w:rFonts w:hint="default"/>
        <w:lang w:val="en-US" w:eastAsia="zh-CN" w:bidi="ar-SA"/>
      </w:rPr>
    </w:lvl>
    <w:lvl w:ilvl="8">
      <w:start w:val="0"/>
      <w:numFmt w:val="bullet"/>
      <w:lvlText w:val="•"/>
      <w:lvlJc w:val="left"/>
      <w:pPr>
        <w:ind w:left="6503" w:hanging="529"/>
      </w:pPr>
      <w:rPr>
        <w:rFonts w:hint="default"/>
        <w:lang w:val="en-US" w:eastAsia="zh-CN" w:bidi="ar-SA"/>
      </w:rPr>
    </w:lvl>
  </w:abstractNum>
  <w:abstractNum w:abstractNumId="94">
    <w:multiLevelType w:val="hybridMultilevel"/>
    <w:lvl w:ilvl="0">
      <w:start w:val="1"/>
      <w:numFmt w:val="decimal"/>
      <w:lvlText w:val="（%1）"/>
      <w:lvlJc w:val="left"/>
      <w:pPr>
        <w:ind w:left="86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65" w:hanging="529"/>
      </w:pPr>
      <w:rPr>
        <w:rFonts w:hint="default"/>
        <w:lang w:val="en-US" w:eastAsia="zh-CN" w:bidi="ar-SA"/>
      </w:rPr>
    </w:lvl>
    <w:lvl w:ilvl="2">
      <w:start w:val="0"/>
      <w:numFmt w:val="bullet"/>
      <w:lvlText w:val="•"/>
      <w:lvlJc w:val="left"/>
      <w:pPr>
        <w:ind w:left="2270" w:hanging="529"/>
      </w:pPr>
      <w:rPr>
        <w:rFonts w:hint="default"/>
        <w:lang w:val="en-US" w:eastAsia="zh-CN" w:bidi="ar-SA"/>
      </w:rPr>
    </w:lvl>
    <w:lvl w:ilvl="3">
      <w:start w:val="0"/>
      <w:numFmt w:val="bullet"/>
      <w:lvlText w:val="•"/>
      <w:lvlJc w:val="left"/>
      <w:pPr>
        <w:ind w:left="2976" w:hanging="529"/>
      </w:pPr>
      <w:rPr>
        <w:rFonts w:hint="default"/>
        <w:lang w:val="en-US" w:eastAsia="zh-CN" w:bidi="ar-SA"/>
      </w:rPr>
    </w:lvl>
    <w:lvl w:ilvl="4">
      <w:start w:val="0"/>
      <w:numFmt w:val="bullet"/>
      <w:lvlText w:val="•"/>
      <w:lvlJc w:val="left"/>
      <w:pPr>
        <w:ind w:left="3681"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092" w:hanging="529"/>
      </w:pPr>
      <w:rPr>
        <w:rFonts w:hint="default"/>
        <w:lang w:val="en-US" w:eastAsia="zh-CN" w:bidi="ar-SA"/>
      </w:rPr>
    </w:lvl>
    <w:lvl w:ilvl="7">
      <w:start w:val="0"/>
      <w:numFmt w:val="bullet"/>
      <w:lvlText w:val="•"/>
      <w:lvlJc w:val="left"/>
      <w:pPr>
        <w:ind w:left="5798" w:hanging="529"/>
      </w:pPr>
      <w:rPr>
        <w:rFonts w:hint="default"/>
        <w:lang w:val="en-US" w:eastAsia="zh-CN" w:bidi="ar-SA"/>
      </w:rPr>
    </w:lvl>
    <w:lvl w:ilvl="8">
      <w:start w:val="0"/>
      <w:numFmt w:val="bullet"/>
      <w:lvlText w:val="•"/>
      <w:lvlJc w:val="left"/>
      <w:pPr>
        <w:ind w:left="6503" w:hanging="529"/>
      </w:pPr>
      <w:rPr>
        <w:rFonts w:hint="default"/>
        <w:lang w:val="en-US" w:eastAsia="zh-CN" w:bidi="ar-SA"/>
      </w:rPr>
    </w:lvl>
  </w:abstractNum>
  <w:abstractNum w:abstractNumId="93">
    <w:multiLevelType w:val="hybridMultilevel"/>
    <w:lvl w:ilvl="0">
      <w:start w:val="9"/>
      <w:numFmt w:val="decimal"/>
      <w:lvlText w:val="%1"/>
      <w:lvlJc w:val="left"/>
      <w:pPr>
        <w:ind w:left="1364" w:hanging="850"/>
        <w:jc w:val="left"/>
      </w:pPr>
      <w:rPr>
        <w:rFonts w:hint="default"/>
        <w:lang w:val="en-US" w:eastAsia="zh-CN" w:bidi="ar-SA"/>
      </w:rPr>
    </w:lvl>
    <w:lvl w:ilvl="1">
      <w:start w:val="14"/>
      <w:numFmt w:val="decimal"/>
      <w:lvlText w:val="%1.%2"/>
      <w:lvlJc w:val="left"/>
      <w:pPr>
        <w:ind w:left="1364" w:hanging="850"/>
        <w:jc w:val="left"/>
      </w:pPr>
      <w:rPr>
        <w:rFonts w:hint="default" w:ascii="微软雅黑" w:hAnsi="微软雅黑" w:eastAsia="微软雅黑" w:cs="微软雅黑"/>
        <w:b/>
        <w:bCs/>
        <w:i w:val="0"/>
        <w:iCs w:val="0"/>
        <w:w w:val="94"/>
        <w:sz w:val="21"/>
        <w:szCs w:val="21"/>
        <w:lang w:val="en-US" w:eastAsia="zh-CN" w:bidi="ar-SA"/>
      </w:rPr>
    </w:lvl>
    <w:lvl w:ilvl="2">
      <w:start w:val="0"/>
      <w:numFmt w:val="bullet"/>
      <w:lvlText w:val="—"/>
      <w:lvlJc w:val="left"/>
      <w:pPr>
        <w:ind w:left="1364" w:hanging="264"/>
      </w:pPr>
      <w:rPr>
        <w:rFonts w:hint="default" w:ascii="微软雅黑" w:hAnsi="微软雅黑" w:eastAsia="微软雅黑" w:cs="微软雅黑"/>
        <w:b/>
        <w:bCs/>
        <w:i w:val="0"/>
        <w:iCs w:val="0"/>
        <w:w w:val="93"/>
        <w:sz w:val="21"/>
        <w:szCs w:val="21"/>
        <w:lang w:val="en-US" w:eastAsia="zh-CN" w:bidi="ar-SA"/>
      </w:rPr>
    </w:lvl>
    <w:lvl w:ilvl="3">
      <w:start w:val="0"/>
      <w:numFmt w:val="bullet"/>
      <w:lvlText w:val="•"/>
      <w:lvlJc w:val="left"/>
      <w:pPr>
        <w:ind w:left="1662" w:hanging="264"/>
      </w:pPr>
      <w:rPr>
        <w:rFonts w:hint="default"/>
        <w:lang w:val="en-US" w:eastAsia="zh-CN" w:bidi="ar-SA"/>
      </w:rPr>
    </w:lvl>
    <w:lvl w:ilvl="4">
      <w:start w:val="0"/>
      <w:numFmt w:val="bullet"/>
      <w:lvlText w:val="•"/>
      <w:lvlJc w:val="left"/>
      <w:pPr>
        <w:ind w:left="1763" w:hanging="264"/>
      </w:pPr>
      <w:rPr>
        <w:rFonts w:hint="default"/>
        <w:lang w:val="en-US" w:eastAsia="zh-CN" w:bidi="ar-SA"/>
      </w:rPr>
    </w:lvl>
    <w:lvl w:ilvl="5">
      <w:start w:val="0"/>
      <w:numFmt w:val="bullet"/>
      <w:lvlText w:val="•"/>
      <w:lvlJc w:val="left"/>
      <w:pPr>
        <w:ind w:left="1864" w:hanging="264"/>
      </w:pPr>
      <w:rPr>
        <w:rFonts w:hint="default"/>
        <w:lang w:val="en-US" w:eastAsia="zh-CN" w:bidi="ar-SA"/>
      </w:rPr>
    </w:lvl>
    <w:lvl w:ilvl="6">
      <w:start w:val="0"/>
      <w:numFmt w:val="bullet"/>
      <w:lvlText w:val="•"/>
      <w:lvlJc w:val="left"/>
      <w:pPr>
        <w:ind w:left="1964" w:hanging="264"/>
      </w:pPr>
      <w:rPr>
        <w:rFonts w:hint="default"/>
        <w:lang w:val="en-US" w:eastAsia="zh-CN" w:bidi="ar-SA"/>
      </w:rPr>
    </w:lvl>
    <w:lvl w:ilvl="7">
      <w:start w:val="0"/>
      <w:numFmt w:val="bullet"/>
      <w:lvlText w:val="•"/>
      <w:lvlJc w:val="left"/>
      <w:pPr>
        <w:ind w:left="2065" w:hanging="264"/>
      </w:pPr>
      <w:rPr>
        <w:rFonts w:hint="default"/>
        <w:lang w:val="en-US" w:eastAsia="zh-CN" w:bidi="ar-SA"/>
      </w:rPr>
    </w:lvl>
    <w:lvl w:ilvl="8">
      <w:start w:val="0"/>
      <w:numFmt w:val="bullet"/>
      <w:lvlText w:val="•"/>
      <w:lvlJc w:val="left"/>
      <w:pPr>
        <w:ind w:left="2166" w:hanging="264"/>
      </w:pPr>
      <w:rPr>
        <w:rFonts w:hint="default"/>
        <w:lang w:val="en-US" w:eastAsia="zh-CN" w:bidi="ar-SA"/>
      </w:rPr>
    </w:lvl>
  </w:abstractNum>
  <w:abstractNum w:abstractNumId="92">
    <w:multiLevelType w:val="hybridMultilevel"/>
    <w:lvl w:ilvl="0">
      <w:start w:val="1"/>
      <w:numFmt w:val="decimal"/>
      <w:lvlText w:val="（%1）"/>
      <w:lvlJc w:val="left"/>
      <w:pPr>
        <w:ind w:left="86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1565" w:hanging="529"/>
      </w:pPr>
      <w:rPr>
        <w:rFonts w:hint="default"/>
        <w:lang w:val="en-US" w:eastAsia="zh-CN" w:bidi="ar-SA"/>
      </w:rPr>
    </w:lvl>
    <w:lvl w:ilvl="2">
      <w:start w:val="0"/>
      <w:numFmt w:val="bullet"/>
      <w:lvlText w:val="•"/>
      <w:lvlJc w:val="left"/>
      <w:pPr>
        <w:ind w:left="2270" w:hanging="529"/>
      </w:pPr>
      <w:rPr>
        <w:rFonts w:hint="default"/>
        <w:lang w:val="en-US" w:eastAsia="zh-CN" w:bidi="ar-SA"/>
      </w:rPr>
    </w:lvl>
    <w:lvl w:ilvl="3">
      <w:start w:val="0"/>
      <w:numFmt w:val="bullet"/>
      <w:lvlText w:val="•"/>
      <w:lvlJc w:val="left"/>
      <w:pPr>
        <w:ind w:left="2976" w:hanging="529"/>
      </w:pPr>
      <w:rPr>
        <w:rFonts w:hint="default"/>
        <w:lang w:val="en-US" w:eastAsia="zh-CN" w:bidi="ar-SA"/>
      </w:rPr>
    </w:lvl>
    <w:lvl w:ilvl="4">
      <w:start w:val="0"/>
      <w:numFmt w:val="bullet"/>
      <w:lvlText w:val="•"/>
      <w:lvlJc w:val="left"/>
      <w:pPr>
        <w:ind w:left="3681" w:hanging="529"/>
      </w:pPr>
      <w:rPr>
        <w:rFonts w:hint="default"/>
        <w:lang w:val="en-US" w:eastAsia="zh-CN" w:bidi="ar-SA"/>
      </w:rPr>
    </w:lvl>
    <w:lvl w:ilvl="5">
      <w:start w:val="0"/>
      <w:numFmt w:val="bullet"/>
      <w:lvlText w:val="•"/>
      <w:lvlJc w:val="left"/>
      <w:pPr>
        <w:ind w:left="4387" w:hanging="529"/>
      </w:pPr>
      <w:rPr>
        <w:rFonts w:hint="default"/>
        <w:lang w:val="en-US" w:eastAsia="zh-CN" w:bidi="ar-SA"/>
      </w:rPr>
    </w:lvl>
    <w:lvl w:ilvl="6">
      <w:start w:val="0"/>
      <w:numFmt w:val="bullet"/>
      <w:lvlText w:val="•"/>
      <w:lvlJc w:val="left"/>
      <w:pPr>
        <w:ind w:left="5092" w:hanging="529"/>
      </w:pPr>
      <w:rPr>
        <w:rFonts w:hint="default"/>
        <w:lang w:val="en-US" w:eastAsia="zh-CN" w:bidi="ar-SA"/>
      </w:rPr>
    </w:lvl>
    <w:lvl w:ilvl="7">
      <w:start w:val="0"/>
      <w:numFmt w:val="bullet"/>
      <w:lvlText w:val="•"/>
      <w:lvlJc w:val="left"/>
      <w:pPr>
        <w:ind w:left="5798" w:hanging="529"/>
      </w:pPr>
      <w:rPr>
        <w:rFonts w:hint="default"/>
        <w:lang w:val="en-US" w:eastAsia="zh-CN" w:bidi="ar-SA"/>
      </w:rPr>
    </w:lvl>
    <w:lvl w:ilvl="8">
      <w:start w:val="0"/>
      <w:numFmt w:val="bullet"/>
      <w:lvlText w:val="•"/>
      <w:lvlJc w:val="left"/>
      <w:pPr>
        <w:ind w:left="6503" w:hanging="529"/>
      </w:pPr>
      <w:rPr>
        <w:rFonts w:hint="default"/>
        <w:lang w:val="en-US" w:eastAsia="zh-CN" w:bidi="ar-SA"/>
      </w:rPr>
    </w:lvl>
  </w:abstractNum>
  <w:abstractNum w:abstractNumId="91">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90">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9">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8">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7">
    <w:multiLevelType w:val="hybridMultilevel"/>
    <w:lvl w:ilvl="0">
      <w:start w:val="1"/>
      <w:numFmt w:val="decimal"/>
      <w:lvlText w:val="（%1）"/>
      <w:lvlJc w:val="left"/>
      <w:pPr>
        <w:ind w:left="258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38" w:hanging="529"/>
      </w:pPr>
      <w:rPr>
        <w:rFonts w:hint="default"/>
        <w:lang w:val="en-US" w:eastAsia="zh-CN" w:bidi="ar-SA"/>
      </w:rPr>
    </w:lvl>
    <w:lvl w:ilvl="2">
      <w:start w:val="0"/>
      <w:numFmt w:val="bullet"/>
      <w:lvlText w:val="•"/>
      <w:lvlJc w:val="left"/>
      <w:pPr>
        <w:ind w:left="4096" w:hanging="529"/>
      </w:pPr>
      <w:rPr>
        <w:rFonts w:hint="default"/>
        <w:lang w:val="en-US" w:eastAsia="zh-CN" w:bidi="ar-SA"/>
      </w:rPr>
    </w:lvl>
    <w:lvl w:ilvl="3">
      <w:start w:val="0"/>
      <w:numFmt w:val="bullet"/>
      <w:lvlText w:val="•"/>
      <w:lvlJc w:val="left"/>
      <w:pPr>
        <w:ind w:left="4855" w:hanging="529"/>
      </w:pPr>
      <w:rPr>
        <w:rFonts w:hint="default"/>
        <w:lang w:val="en-US" w:eastAsia="zh-CN" w:bidi="ar-SA"/>
      </w:rPr>
    </w:lvl>
    <w:lvl w:ilvl="4">
      <w:start w:val="0"/>
      <w:numFmt w:val="bullet"/>
      <w:lvlText w:val="•"/>
      <w:lvlJc w:val="left"/>
      <w:pPr>
        <w:ind w:left="5613" w:hanging="529"/>
      </w:pPr>
      <w:rPr>
        <w:rFonts w:hint="default"/>
        <w:lang w:val="en-US" w:eastAsia="zh-CN" w:bidi="ar-SA"/>
      </w:rPr>
    </w:lvl>
    <w:lvl w:ilvl="5">
      <w:start w:val="0"/>
      <w:numFmt w:val="bullet"/>
      <w:lvlText w:val="•"/>
      <w:lvlJc w:val="left"/>
      <w:pPr>
        <w:ind w:left="6372" w:hanging="529"/>
      </w:pPr>
      <w:rPr>
        <w:rFonts w:hint="default"/>
        <w:lang w:val="en-US" w:eastAsia="zh-CN" w:bidi="ar-SA"/>
      </w:rPr>
    </w:lvl>
    <w:lvl w:ilvl="6">
      <w:start w:val="0"/>
      <w:numFmt w:val="bullet"/>
      <w:lvlText w:val="•"/>
      <w:lvlJc w:val="left"/>
      <w:pPr>
        <w:ind w:left="7130" w:hanging="529"/>
      </w:pPr>
      <w:rPr>
        <w:rFonts w:hint="default"/>
        <w:lang w:val="en-US" w:eastAsia="zh-CN" w:bidi="ar-SA"/>
      </w:rPr>
    </w:lvl>
    <w:lvl w:ilvl="7">
      <w:start w:val="0"/>
      <w:numFmt w:val="bullet"/>
      <w:lvlText w:val="•"/>
      <w:lvlJc w:val="left"/>
      <w:pPr>
        <w:ind w:left="7888" w:hanging="529"/>
      </w:pPr>
      <w:rPr>
        <w:rFonts w:hint="default"/>
        <w:lang w:val="en-US" w:eastAsia="zh-CN" w:bidi="ar-SA"/>
      </w:rPr>
    </w:lvl>
    <w:lvl w:ilvl="8">
      <w:start w:val="0"/>
      <w:numFmt w:val="bullet"/>
      <w:lvlText w:val="•"/>
      <w:lvlJc w:val="left"/>
      <w:pPr>
        <w:ind w:left="8647" w:hanging="529"/>
      </w:pPr>
      <w:rPr>
        <w:rFonts w:hint="default"/>
        <w:lang w:val="en-US" w:eastAsia="zh-CN" w:bidi="ar-SA"/>
      </w:rPr>
    </w:lvl>
  </w:abstractNum>
  <w:abstractNum w:abstractNumId="86">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5">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4">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3">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2">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spacing w:val="-20"/>
        <w:w w:val="100"/>
        <w:sz w:val="19"/>
        <w:szCs w:val="19"/>
        <w:shd w:fill="D9D9D9" w:color="auto" w:val="clear"/>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1">
    <w:multiLevelType w:val="hybridMultilevel"/>
    <w:lvl w:ilvl="0">
      <w:start w:val="3"/>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80">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9">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1"/>
      <w:numFmt w:val="lowerLetter"/>
      <w:lvlText w:val="%2)"/>
      <w:lvlJc w:val="left"/>
      <w:pPr>
        <w:ind w:left="2800" w:hanging="213"/>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902" w:hanging="213"/>
      </w:pPr>
      <w:rPr>
        <w:rFonts w:hint="default"/>
        <w:lang w:val="en-US" w:eastAsia="zh-CN" w:bidi="ar-SA"/>
      </w:rPr>
    </w:lvl>
    <w:lvl w:ilvl="3">
      <w:start w:val="0"/>
      <w:numFmt w:val="bullet"/>
      <w:lvlText w:val="•"/>
      <w:lvlJc w:val="left"/>
      <w:pPr>
        <w:ind w:left="4685" w:hanging="213"/>
      </w:pPr>
      <w:rPr>
        <w:rFonts w:hint="default"/>
        <w:lang w:val="en-US" w:eastAsia="zh-CN" w:bidi="ar-SA"/>
      </w:rPr>
    </w:lvl>
    <w:lvl w:ilvl="4">
      <w:start w:val="0"/>
      <w:numFmt w:val="bullet"/>
      <w:lvlText w:val="•"/>
      <w:lvlJc w:val="left"/>
      <w:pPr>
        <w:ind w:left="5468" w:hanging="213"/>
      </w:pPr>
      <w:rPr>
        <w:rFonts w:hint="default"/>
        <w:lang w:val="en-US" w:eastAsia="zh-CN" w:bidi="ar-SA"/>
      </w:rPr>
    </w:lvl>
    <w:lvl w:ilvl="5">
      <w:start w:val="0"/>
      <w:numFmt w:val="bullet"/>
      <w:lvlText w:val="•"/>
      <w:lvlJc w:val="left"/>
      <w:pPr>
        <w:ind w:left="6250" w:hanging="213"/>
      </w:pPr>
      <w:rPr>
        <w:rFonts w:hint="default"/>
        <w:lang w:val="en-US" w:eastAsia="zh-CN" w:bidi="ar-SA"/>
      </w:rPr>
    </w:lvl>
    <w:lvl w:ilvl="6">
      <w:start w:val="0"/>
      <w:numFmt w:val="bullet"/>
      <w:lvlText w:val="•"/>
      <w:lvlJc w:val="left"/>
      <w:pPr>
        <w:ind w:left="7033" w:hanging="213"/>
      </w:pPr>
      <w:rPr>
        <w:rFonts w:hint="default"/>
        <w:lang w:val="en-US" w:eastAsia="zh-CN" w:bidi="ar-SA"/>
      </w:rPr>
    </w:lvl>
    <w:lvl w:ilvl="7">
      <w:start w:val="0"/>
      <w:numFmt w:val="bullet"/>
      <w:lvlText w:val="•"/>
      <w:lvlJc w:val="left"/>
      <w:pPr>
        <w:ind w:left="7816" w:hanging="213"/>
      </w:pPr>
      <w:rPr>
        <w:rFonts w:hint="default"/>
        <w:lang w:val="en-US" w:eastAsia="zh-CN" w:bidi="ar-SA"/>
      </w:rPr>
    </w:lvl>
    <w:lvl w:ilvl="8">
      <w:start w:val="0"/>
      <w:numFmt w:val="bullet"/>
      <w:lvlText w:val="•"/>
      <w:lvlJc w:val="left"/>
      <w:pPr>
        <w:ind w:left="8598" w:hanging="213"/>
      </w:pPr>
      <w:rPr>
        <w:rFonts w:hint="default"/>
        <w:lang w:val="en-US" w:eastAsia="zh-CN" w:bidi="ar-SA"/>
      </w:rPr>
    </w:lvl>
  </w:abstractNum>
  <w:abstractNum w:abstractNumId="78">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7">
    <w:multiLevelType w:val="hybridMultilevel"/>
    <w:lvl w:ilvl="0">
      <w:start w:val="1"/>
      <w:numFmt w:val="decimal"/>
      <w:lvlText w:val="（%1）"/>
      <w:lvlJc w:val="left"/>
      <w:pPr>
        <w:ind w:left="258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38" w:hanging="529"/>
      </w:pPr>
      <w:rPr>
        <w:rFonts w:hint="default"/>
        <w:lang w:val="en-US" w:eastAsia="zh-CN" w:bidi="ar-SA"/>
      </w:rPr>
    </w:lvl>
    <w:lvl w:ilvl="2">
      <w:start w:val="0"/>
      <w:numFmt w:val="bullet"/>
      <w:lvlText w:val="•"/>
      <w:lvlJc w:val="left"/>
      <w:pPr>
        <w:ind w:left="4096" w:hanging="529"/>
      </w:pPr>
      <w:rPr>
        <w:rFonts w:hint="default"/>
        <w:lang w:val="en-US" w:eastAsia="zh-CN" w:bidi="ar-SA"/>
      </w:rPr>
    </w:lvl>
    <w:lvl w:ilvl="3">
      <w:start w:val="0"/>
      <w:numFmt w:val="bullet"/>
      <w:lvlText w:val="•"/>
      <w:lvlJc w:val="left"/>
      <w:pPr>
        <w:ind w:left="4855" w:hanging="529"/>
      </w:pPr>
      <w:rPr>
        <w:rFonts w:hint="default"/>
        <w:lang w:val="en-US" w:eastAsia="zh-CN" w:bidi="ar-SA"/>
      </w:rPr>
    </w:lvl>
    <w:lvl w:ilvl="4">
      <w:start w:val="0"/>
      <w:numFmt w:val="bullet"/>
      <w:lvlText w:val="•"/>
      <w:lvlJc w:val="left"/>
      <w:pPr>
        <w:ind w:left="5613" w:hanging="529"/>
      </w:pPr>
      <w:rPr>
        <w:rFonts w:hint="default"/>
        <w:lang w:val="en-US" w:eastAsia="zh-CN" w:bidi="ar-SA"/>
      </w:rPr>
    </w:lvl>
    <w:lvl w:ilvl="5">
      <w:start w:val="0"/>
      <w:numFmt w:val="bullet"/>
      <w:lvlText w:val="•"/>
      <w:lvlJc w:val="left"/>
      <w:pPr>
        <w:ind w:left="6372" w:hanging="529"/>
      </w:pPr>
      <w:rPr>
        <w:rFonts w:hint="default"/>
        <w:lang w:val="en-US" w:eastAsia="zh-CN" w:bidi="ar-SA"/>
      </w:rPr>
    </w:lvl>
    <w:lvl w:ilvl="6">
      <w:start w:val="0"/>
      <w:numFmt w:val="bullet"/>
      <w:lvlText w:val="•"/>
      <w:lvlJc w:val="left"/>
      <w:pPr>
        <w:ind w:left="7130" w:hanging="529"/>
      </w:pPr>
      <w:rPr>
        <w:rFonts w:hint="default"/>
        <w:lang w:val="en-US" w:eastAsia="zh-CN" w:bidi="ar-SA"/>
      </w:rPr>
    </w:lvl>
    <w:lvl w:ilvl="7">
      <w:start w:val="0"/>
      <w:numFmt w:val="bullet"/>
      <w:lvlText w:val="•"/>
      <w:lvlJc w:val="left"/>
      <w:pPr>
        <w:ind w:left="7888" w:hanging="529"/>
      </w:pPr>
      <w:rPr>
        <w:rFonts w:hint="default"/>
        <w:lang w:val="en-US" w:eastAsia="zh-CN" w:bidi="ar-SA"/>
      </w:rPr>
    </w:lvl>
    <w:lvl w:ilvl="8">
      <w:start w:val="0"/>
      <w:numFmt w:val="bullet"/>
      <w:lvlText w:val="•"/>
      <w:lvlJc w:val="left"/>
      <w:pPr>
        <w:ind w:left="8647" w:hanging="529"/>
      </w:pPr>
      <w:rPr>
        <w:rFonts w:hint="default"/>
        <w:lang w:val="en-US" w:eastAsia="zh-CN" w:bidi="ar-SA"/>
      </w:rPr>
    </w:lvl>
  </w:abstractNum>
  <w:abstractNum w:abstractNumId="76">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5">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4">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3">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7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7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7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63">
    <w:multiLevelType w:val="hybridMultilevel"/>
    <w:lvl w:ilvl="0">
      <w:start w:val="1"/>
      <w:numFmt w:val="decimal"/>
      <w:lvlText w:val="（%1）"/>
      <w:lvlJc w:val="left"/>
      <w:pPr>
        <w:ind w:left="84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1547" w:hanging="529"/>
      </w:pPr>
      <w:rPr>
        <w:rFonts w:hint="default"/>
        <w:lang w:val="en-US" w:eastAsia="zh-CN" w:bidi="ar-SA"/>
      </w:rPr>
    </w:lvl>
    <w:lvl w:ilvl="2">
      <w:start w:val="0"/>
      <w:numFmt w:val="bullet"/>
      <w:lvlText w:val="•"/>
      <w:lvlJc w:val="left"/>
      <w:pPr>
        <w:ind w:left="2254" w:hanging="529"/>
      </w:pPr>
      <w:rPr>
        <w:rFonts w:hint="default"/>
        <w:lang w:val="en-US" w:eastAsia="zh-CN" w:bidi="ar-SA"/>
      </w:rPr>
    </w:lvl>
    <w:lvl w:ilvl="3">
      <w:start w:val="0"/>
      <w:numFmt w:val="bullet"/>
      <w:lvlText w:val="•"/>
      <w:lvlJc w:val="left"/>
      <w:pPr>
        <w:ind w:left="2962" w:hanging="529"/>
      </w:pPr>
      <w:rPr>
        <w:rFonts w:hint="default"/>
        <w:lang w:val="en-US" w:eastAsia="zh-CN" w:bidi="ar-SA"/>
      </w:rPr>
    </w:lvl>
    <w:lvl w:ilvl="4">
      <w:start w:val="0"/>
      <w:numFmt w:val="bullet"/>
      <w:lvlText w:val="•"/>
      <w:lvlJc w:val="left"/>
      <w:pPr>
        <w:ind w:left="3669" w:hanging="529"/>
      </w:pPr>
      <w:rPr>
        <w:rFonts w:hint="default"/>
        <w:lang w:val="en-US" w:eastAsia="zh-CN" w:bidi="ar-SA"/>
      </w:rPr>
    </w:lvl>
    <w:lvl w:ilvl="5">
      <w:start w:val="0"/>
      <w:numFmt w:val="bullet"/>
      <w:lvlText w:val="•"/>
      <w:lvlJc w:val="left"/>
      <w:pPr>
        <w:ind w:left="4377" w:hanging="529"/>
      </w:pPr>
      <w:rPr>
        <w:rFonts w:hint="default"/>
        <w:lang w:val="en-US" w:eastAsia="zh-CN" w:bidi="ar-SA"/>
      </w:rPr>
    </w:lvl>
    <w:lvl w:ilvl="6">
      <w:start w:val="0"/>
      <w:numFmt w:val="bullet"/>
      <w:lvlText w:val="•"/>
      <w:lvlJc w:val="left"/>
      <w:pPr>
        <w:ind w:left="5084" w:hanging="529"/>
      </w:pPr>
      <w:rPr>
        <w:rFonts w:hint="default"/>
        <w:lang w:val="en-US" w:eastAsia="zh-CN" w:bidi="ar-SA"/>
      </w:rPr>
    </w:lvl>
    <w:lvl w:ilvl="7">
      <w:start w:val="0"/>
      <w:numFmt w:val="bullet"/>
      <w:lvlText w:val="•"/>
      <w:lvlJc w:val="left"/>
      <w:pPr>
        <w:ind w:left="5791" w:hanging="529"/>
      </w:pPr>
      <w:rPr>
        <w:rFonts w:hint="default"/>
        <w:lang w:val="en-US" w:eastAsia="zh-CN" w:bidi="ar-SA"/>
      </w:rPr>
    </w:lvl>
    <w:lvl w:ilvl="8">
      <w:start w:val="0"/>
      <w:numFmt w:val="bullet"/>
      <w:lvlText w:val="•"/>
      <w:lvlJc w:val="left"/>
      <w:pPr>
        <w:ind w:left="6499" w:hanging="529"/>
      </w:pPr>
      <w:rPr>
        <w:rFonts w:hint="default"/>
        <w:lang w:val="en-US" w:eastAsia="zh-CN" w:bidi="ar-SA"/>
      </w:rPr>
    </w:lvl>
  </w:abstractNum>
  <w:abstractNum w:abstractNumId="62">
    <w:multiLevelType w:val="hybridMultilevel"/>
    <w:lvl w:ilvl="0">
      <w:start w:val="1"/>
      <w:numFmt w:val="decimal"/>
      <w:lvlText w:val="（%1）"/>
      <w:lvlJc w:val="left"/>
      <w:pPr>
        <w:ind w:left="313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42" w:hanging="529"/>
      </w:pPr>
      <w:rPr>
        <w:rFonts w:hint="default"/>
        <w:lang w:val="en-US" w:eastAsia="zh-CN" w:bidi="ar-SA"/>
      </w:rPr>
    </w:lvl>
    <w:lvl w:ilvl="2">
      <w:start w:val="0"/>
      <w:numFmt w:val="bullet"/>
      <w:lvlText w:val="•"/>
      <w:lvlJc w:val="left"/>
      <w:pPr>
        <w:ind w:left="4544" w:hanging="529"/>
      </w:pPr>
      <w:rPr>
        <w:rFonts w:hint="default"/>
        <w:lang w:val="en-US" w:eastAsia="zh-CN" w:bidi="ar-SA"/>
      </w:rPr>
    </w:lvl>
    <w:lvl w:ilvl="3">
      <w:start w:val="0"/>
      <w:numFmt w:val="bullet"/>
      <w:lvlText w:val="•"/>
      <w:lvlJc w:val="left"/>
      <w:pPr>
        <w:ind w:left="5247" w:hanging="529"/>
      </w:pPr>
      <w:rPr>
        <w:rFonts w:hint="default"/>
        <w:lang w:val="en-US" w:eastAsia="zh-CN" w:bidi="ar-SA"/>
      </w:rPr>
    </w:lvl>
    <w:lvl w:ilvl="4">
      <w:start w:val="0"/>
      <w:numFmt w:val="bullet"/>
      <w:lvlText w:val="•"/>
      <w:lvlJc w:val="left"/>
      <w:pPr>
        <w:ind w:left="5949" w:hanging="529"/>
      </w:pPr>
      <w:rPr>
        <w:rFonts w:hint="default"/>
        <w:lang w:val="en-US" w:eastAsia="zh-CN" w:bidi="ar-SA"/>
      </w:rPr>
    </w:lvl>
    <w:lvl w:ilvl="5">
      <w:start w:val="0"/>
      <w:numFmt w:val="bullet"/>
      <w:lvlText w:val="•"/>
      <w:lvlJc w:val="left"/>
      <w:pPr>
        <w:ind w:left="6652" w:hanging="529"/>
      </w:pPr>
      <w:rPr>
        <w:rFonts w:hint="default"/>
        <w:lang w:val="en-US" w:eastAsia="zh-CN" w:bidi="ar-SA"/>
      </w:rPr>
    </w:lvl>
    <w:lvl w:ilvl="6">
      <w:start w:val="0"/>
      <w:numFmt w:val="bullet"/>
      <w:lvlText w:val="•"/>
      <w:lvlJc w:val="left"/>
      <w:pPr>
        <w:ind w:left="7354" w:hanging="529"/>
      </w:pPr>
      <w:rPr>
        <w:rFonts w:hint="default"/>
        <w:lang w:val="en-US" w:eastAsia="zh-CN" w:bidi="ar-SA"/>
      </w:rPr>
    </w:lvl>
    <w:lvl w:ilvl="7">
      <w:start w:val="0"/>
      <w:numFmt w:val="bullet"/>
      <w:lvlText w:val="•"/>
      <w:lvlJc w:val="left"/>
      <w:pPr>
        <w:ind w:left="8056" w:hanging="529"/>
      </w:pPr>
      <w:rPr>
        <w:rFonts w:hint="default"/>
        <w:lang w:val="en-US" w:eastAsia="zh-CN" w:bidi="ar-SA"/>
      </w:rPr>
    </w:lvl>
    <w:lvl w:ilvl="8">
      <w:start w:val="0"/>
      <w:numFmt w:val="bullet"/>
      <w:lvlText w:val="•"/>
      <w:lvlJc w:val="left"/>
      <w:pPr>
        <w:ind w:left="8759" w:hanging="529"/>
      </w:pPr>
      <w:rPr>
        <w:rFonts w:hint="default"/>
        <w:lang w:val="en-US" w:eastAsia="zh-CN" w:bidi="ar-SA"/>
      </w:rPr>
    </w:lvl>
  </w:abstractNum>
  <w:abstractNum w:abstractNumId="61">
    <w:multiLevelType w:val="hybridMultilevel"/>
    <w:lvl w:ilvl="0">
      <w:start w:val="1"/>
      <w:numFmt w:val="decimal"/>
      <w:lvlText w:val="%1"/>
      <w:lvlJc w:val="left"/>
      <w:pPr>
        <w:ind w:left="2766"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500" w:hanging="159"/>
      </w:pPr>
      <w:rPr>
        <w:rFonts w:hint="default"/>
        <w:lang w:val="en-US" w:eastAsia="zh-CN" w:bidi="ar-SA"/>
      </w:rPr>
    </w:lvl>
    <w:lvl w:ilvl="2">
      <w:start w:val="0"/>
      <w:numFmt w:val="bullet"/>
      <w:lvlText w:val="•"/>
      <w:lvlJc w:val="left"/>
      <w:pPr>
        <w:ind w:left="4240" w:hanging="159"/>
      </w:pPr>
      <w:rPr>
        <w:rFonts w:hint="default"/>
        <w:lang w:val="en-US" w:eastAsia="zh-CN" w:bidi="ar-SA"/>
      </w:rPr>
    </w:lvl>
    <w:lvl w:ilvl="3">
      <w:start w:val="0"/>
      <w:numFmt w:val="bullet"/>
      <w:lvlText w:val="•"/>
      <w:lvlJc w:val="left"/>
      <w:pPr>
        <w:ind w:left="4981" w:hanging="159"/>
      </w:pPr>
      <w:rPr>
        <w:rFonts w:hint="default"/>
        <w:lang w:val="en-US" w:eastAsia="zh-CN" w:bidi="ar-SA"/>
      </w:rPr>
    </w:lvl>
    <w:lvl w:ilvl="4">
      <w:start w:val="0"/>
      <w:numFmt w:val="bullet"/>
      <w:lvlText w:val="•"/>
      <w:lvlJc w:val="left"/>
      <w:pPr>
        <w:ind w:left="5721" w:hanging="159"/>
      </w:pPr>
      <w:rPr>
        <w:rFonts w:hint="default"/>
        <w:lang w:val="en-US" w:eastAsia="zh-CN" w:bidi="ar-SA"/>
      </w:rPr>
    </w:lvl>
    <w:lvl w:ilvl="5">
      <w:start w:val="0"/>
      <w:numFmt w:val="bullet"/>
      <w:lvlText w:val="•"/>
      <w:lvlJc w:val="left"/>
      <w:pPr>
        <w:ind w:left="6462" w:hanging="159"/>
      </w:pPr>
      <w:rPr>
        <w:rFonts w:hint="default"/>
        <w:lang w:val="en-US" w:eastAsia="zh-CN" w:bidi="ar-SA"/>
      </w:rPr>
    </w:lvl>
    <w:lvl w:ilvl="6">
      <w:start w:val="0"/>
      <w:numFmt w:val="bullet"/>
      <w:lvlText w:val="•"/>
      <w:lvlJc w:val="left"/>
      <w:pPr>
        <w:ind w:left="7202" w:hanging="159"/>
      </w:pPr>
      <w:rPr>
        <w:rFonts w:hint="default"/>
        <w:lang w:val="en-US" w:eastAsia="zh-CN" w:bidi="ar-SA"/>
      </w:rPr>
    </w:lvl>
    <w:lvl w:ilvl="7">
      <w:start w:val="0"/>
      <w:numFmt w:val="bullet"/>
      <w:lvlText w:val="•"/>
      <w:lvlJc w:val="left"/>
      <w:pPr>
        <w:ind w:left="7942" w:hanging="159"/>
      </w:pPr>
      <w:rPr>
        <w:rFonts w:hint="default"/>
        <w:lang w:val="en-US" w:eastAsia="zh-CN" w:bidi="ar-SA"/>
      </w:rPr>
    </w:lvl>
    <w:lvl w:ilvl="8">
      <w:start w:val="0"/>
      <w:numFmt w:val="bullet"/>
      <w:lvlText w:val="•"/>
      <w:lvlJc w:val="left"/>
      <w:pPr>
        <w:ind w:left="8683" w:hanging="159"/>
      </w:pPr>
      <w:rPr>
        <w:rFonts w:hint="default"/>
        <w:lang w:val="en-US" w:eastAsia="zh-CN" w:bidi="ar-SA"/>
      </w:rPr>
    </w:lvl>
  </w:abstractNum>
  <w:abstractNum w:abstractNumId="6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2">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51">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5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6">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4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3">
    <w:multiLevelType w:val="hybridMultilevel"/>
    <w:lvl w:ilvl="0">
      <w:start w:val="2"/>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42">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41">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4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7">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3">
    <w:multiLevelType w:val="hybridMultilevel"/>
    <w:lvl w:ilvl="0">
      <w:start w:val="1"/>
      <w:numFmt w:val="decimal"/>
      <w:lvlText w:val="（%1）"/>
      <w:lvlJc w:val="left"/>
      <w:pPr>
        <w:ind w:left="311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24" w:hanging="529"/>
      </w:pPr>
      <w:rPr>
        <w:rFonts w:hint="default"/>
        <w:lang w:val="en-US" w:eastAsia="zh-CN" w:bidi="ar-SA"/>
      </w:rPr>
    </w:lvl>
    <w:lvl w:ilvl="2">
      <w:start w:val="0"/>
      <w:numFmt w:val="bullet"/>
      <w:lvlText w:val="•"/>
      <w:lvlJc w:val="left"/>
      <w:pPr>
        <w:ind w:left="4528" w:hanging="529"/>
      </w:pPr>
      <w:rPr>
        <w:rFonts w:hint="default"/>
        <w:lang w:val="en-US" w:eastAsia="zh-CN" w:bidi="ar-SA"/>
      </w:rPr>
    </w:lvl>
    <w:lvl w:ilvl="3">
      <w:start w:val="0"/>
      <w:numFmt w:val="bullet"/>
      <w:lvlText w:val="•"/>
      <w:lvlJc w:val="left"/>
      <w:pPr>
        <w:ind w:left="5233" w:hanging="529"/>
      </w:pPr>
      <w:rPr>
        <w:rFonts w:hint="default"/>
        <w:lang w:val="en-US" w:eastAsia="zh-CN" w:bidi="ar-SA"/>
      </w:rPr>
    </w:lvl>
    <w:lvl w:ilvl="4">
      <w:start w:val="0"/>
      <w:numFmt w:val="bullet"/>
      <w:lvlText w:val="•"/>
      <w:lvlJc w:val="left"/>
      <w:pPr>
        <w:ind w:left="5937" w:hanging="529"/>
      </w:pPr>
      <w:rPr>
        <w:rFonts w:hint="default"/>
        <w:lang w:val="en-US" w:eastAsia="zh-CN" w:bidi="ar-SA"/>
      </w:rPr>
    </w:lvl>
    <w:lvl w:ilvl="5">
      <w:start w:val="0"/>
      <w:numFmt w:val="bullet"/>
      <w:lvlText w:val="•"/>
      <w:lvlJc w:val="left"/>
      <w:pPr>
        <w:ind w:left="6642" w:hanging="529"/>
      </w:pPr>
      <w:rPr>
        <w:rFonts w:hint="default"/>
        <w:lang w:val="en-US" w:eastAsia="zh-CN" w:bidi="ar-SA"/>
      </w:rPr>
    </w:lvl>
    <w:lvl w:ilvl="6">
      <w:start w:val="0"/>
      <w:numFmt w:val="bullet"/>
      <w:lvlText w:val="•"/>
      <w:lvlJc w:val="left"/>
      <w:pPr>
        <w:ind w:left="7346" w:hanging="529"/>
      </w:pPr>
      <w:rPr>
        <w:rFonts w:hint="default"/>
        <w:lang w:val="en-US" w:eastAsia="zh-CN" w:bidi="ar-SA"/>
      </w:rPr>
    </w:lvl>
    <w:lvl w:ilvl="7">
      <w:start w:val="0"/>
      <w:numFmt w:val="bullet"/>
      <w:lvlText w:val="•"/>
      <w:lvlJc w:val="left"/>
      <w:pPr>
        <w:ind w:left="8050" w:hanging="529"/>
      </w:pPr>
      <w:rPr>
        <w:rFonts w:hint="default"/>
        <w:lang w:val="en-US" w:eastAsia="zh-CN" w:bidi="ar-SA"/>
      </w:rPr>
    </w:lvl>
    <w:lvl w:ilvl="8">
      <w:start w:val="0"/>
      <w:numFmt w:val="bullet"/>
      <w:lvlText w:val="•"/>
      <w:lvlJc w:val="left"/>
      <w:pPr>
        <w:ind w:left="8755" w:hanging="529"/>
      </w:pPr>
      <w:rPr>
        <w:rFonts w:hint="default"/>
        <w:lang w:val="en-US" w:eastAsia="zh-CN" w:bidi="ar-SA"/>
      </w:rPr>
    </w:lvl>
  </w:abstractNum>
  <w:abstractNum w:abstractNumId="32">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39"/>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3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3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7">
    <w:multiLevelType w:val="hybridMultilevel"/>
    <w:lvl w:ilvl="0">
      <w:start w:val="2"/>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5">
    <w:multiLevelType w:val="hybridMultilevel"/>
    <w:lvl w:ilvl="0">
      <w:start w:val="1"/>
      <w:numFmt w:val="decimal"/>
      <w:lvlText w:val="（%1）"/>
      <w:lvlJc w:val="left"/>
      <w:pPr>
        <w:ind w:left="3006" w:hanging="557"/>
        <w:jc w:val="left"/>
      </w:pPr>
      <w:rPr>
        <w:rFonts w:hint="default" w:ascii="宋体" w:hAnsi="宋体" w:eastAsia="宋体" w:cs="宋体"/>
        <w:b w:val="0"/>
        <w:bCs w:val="0"/>
        <w:i w:val="0"/>
        <w:iCs w:val="0"/>
        <w:spacing w:val="9"/>
        <w:w w:val="100"/>
        <w:sz w:val="19"/>
        <w:szCs w:val="19"/>
        <w:lang w:val="en-US" w:eastAsia="zh-CN" w:bidi="ar-SA"/>
      </w:rPr>
    </w:lvl>
    <w:lvl w:ilvl="1">
      <w:start w:val="1"/>
      <w:numFmt w:val="decimal"/>
      <w:lvlText w:val="（%2）"/>
      <w:lvlJc w:val="left"/>
      <w:pPr>
        <w:ind w:left="309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884" w:hanging="529"/>
      </w:pPr>
      <w:rPr>
        <w:rFonts w:hint="default"/>
        <w:lang w:val="en-US" w:eastAsia="zh-CN" w:bidi="ar-SA"/>
      </w:rPr>
    </w:lvl>
    <w:lvl w:ilvl="3">
      <w:start w:val="0"/>
      <w:numFmt w:val="bullet"/>
      <w:lvlText w:val="•"/>
      <w:lvlJc w:val="left"/>
      <w:pPr>
        <w:ind w:left="4669" w:hanging="529"/>
      </w:pPr>
      <w:rPr>
        <w:rFonts w:hint="default"/>
        <w:lang w:val="en-US" w:eastAsia="zh-CN" w:bidi="ar-SA"/>
      </w:rPr>
    </w:lvl>
    <w:lvl w:ilvl="4">
      <w:start w:val="0"/>
      <w:numFmt w:val="bullet"/>
      <w:lvlText w:val="•"/>
      <w:lvlJc w:val="left"/>
      <w:pPr>
        <w:ind w:left="5454" w:hanging="529"/>
      </w:pPr>
      <w:rPr>
        <w:rFonts w:hint="default"/>
        <w:lang w:val="en-US" w:eastAsia="zh-CN" w:bidi="ar-SA"/>
      </w:rPr>
    </w:lvl>
    <w:lvl w:ilvl="5">
      <w:start w:val="0"/>
      <w:numFmt w:val="bullet"/>
      <w:lvlText w:val="•"/>
      <w:lvlJc w:val="left"/>
      <w:pPr>
        <w:ind w:left="6239" w:hanging="529"/>
      </w:pPr>
      <w:rPr>
        <w:rFonts w:hint="default"/>
        <w:lang w:val="en-US" w:eastAsia="zh-CN" w:bidi="ar-SA"/>
      </w:rPr>
    </w:lvl>
    <w:lvl w:ilvl="6">
      <w:start w:val="0"/>
      <w:numFmt w:val="bullet"/>
      <w:lvlText w:val="•"/>
      <w:lvlJc w:val="left"/>
      <w:pPr>
        <w:ind w:left="7024" w:hanging="529"/>
      </w:pPr>
      <w:rPr>
        <w:rFonts w:hint="default"/>
        <w:lang w:val="en-US" w:eastAsia="zh-CN" w:bidi="ar-SA"/>
      </w:rPr>
    </w:lvl>
    <w:lvl w:ilvl="7">
      <w:start w:val="0"/>
      <w:numFmt w:val="bullet"/>
      <w:lvlText w:val="•"/>
      <w:lvlJc w:val="left"/>
      <w:pPr>
        <w:ind w:left="7809" w:hanging="529"/>
      </w:pPr>
      <w:rPr>
        <w:rFonts w:hint="default"/>
        <w:lang w:val="en-US" w:eastAsia="zh-CN" w:bidi="ar-SA"/>
      </w:rPr>
    </w:lvl>
    <w:lvl w:ilvl="8">
      <w:start w:val="0"/>
      <w:numFmt w:val="bullet"/>
      <w:lvlText w:val="•"/>
      <w:lvlJc w:val="left"/>
      <w:pPr>
        <w:ind w:left="8594" w:hanging="529"/>
      </w:pPr>
      <w:rPr>
        <w:rFonts w:hint="default"/>
        <w:lang w:val="en-US" w:eastAsia="zh-CN" w:bidi="ar-SA"/>
      </w:rPr>
    </w:lvl>
  </w:abstractNum>
  <w:abstractNum w:abstractNumId="2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2">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21">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20">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9">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8">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7">
    <w:multiLevelType w:val="hybridMultilevel"/>
    <w:lvl w:ilvl="0">
      <w:start w:val="3"/>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6">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5">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4">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3">
    <w:multiLevelType w:val="hybridMultilevel"/>
    <w:lvl w:ilvl="0">
      <w:start w:val="1"/>
      <w:numFmt w:val="decimal"/>
      <w:lvlText w:val="（%1）"/>
      <w:lvlJc w:val="left"/>
      <w:pPr>
        <w:ind w:left="3098"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2">
    <w:multiLevelType w:val="hybridMultilevel"/>
    <w:lvl w:ilvl="0">
      <w:start w:val="5"/>
      <w:numFmt w:val="decimal"/>
      <w:lvlText w:val="（%1）"/>
      <w:lvlJc w:val="left"/>
      <w:pPr>
        <w:ind w:left="30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806" w:hanging="529"/>
      </w:pPr>
      <w:rPr>
        <w:rFonts w:hint="default"/>
        <w:lang w:val="en-US" w:eastAsia="zh-CN" w:bidi="ar-SA"/>
      </w:rPr>
    </w:lvl>
    <w:lvl w:ilvl="2">
      <w:start w:val="0"/>
      <w:numFmt w:val="bullet"/>
      <w:lvlText w:val="•"/>
      <w:lvlJc w:val="left"/>
      <w:pPr>
        <w:ind w:left="4512" w:hanging="529"/>
      </w:pPr>
      <w:rPr>
        <w:rFonts w:hint="default"/>
        <w:lang w:val="en-US" w:eastAsia="zh-CN" w:bidi="ar-SA"/>
      </w:rPr>
    </w:lvl>
    <w:lvl w:ilvl="3">
      <w:start w:val="0"/>
      <w:numFmt w:val="bullet"/>
      <w:lvlText w:val="•"/>
      <w:lvlJc w:val="left"/>
      <w:pPr>
        <w:ind w:left="5219" w:hanging="529"/>
      </w:pPr>
      <w:rPr>
        <w:rFonts w:hint="default"/>
        <w:lang w:val="en-US" w:eastAsia="zh-CN" w:bidi="ar-SA"/>
      </w:rPr>
    </w:lvl>
    <w:lvl w:ilvl="4">
      <w:start w:val="0"/>
      <w:numFmt w:val="bullet"/>
      <w:lvlText w:val="•"/>
      <w:lvlJc w:val="left"/>
      <w:pPr>
        <w:ind w:left="5925" w:hanging="529"/>
      </w:pPr>
      <w:rPr>
        <w:rFonts w:hint="default"/>
        <w:lang w:val="en-US" w:eastAsia="zh-CN" w:bidi="ar-SA"/>
      </w:rPr>
    </w:lvl>
    <w:lvl w:ilvl="5">
      <w:start w:val="0"/>
      <w:numFmt w:val="bullet"/>
      <w:lvlText w:val="•"/>
      <w:lvlJc w:val="left"/>
      <w:pPr>
        <w:ind w:left="6632" w:hanging="529"/>
      </w:pPr>
      <w:rPr>
        <w:rFonts w:hint="default"/>
        <w:lang w:val="en-US" w:eastAsia="zh-CN" w:bidi="ar-SA"/>
      </w:rPr>
    </w:lvl>
    <w:lvl w:ilvl="6">
      <w:start w:val="0"/>
      <w:numFmt w:val="bullet"/>
      <w:lvlText w:val="•"/>
      <w:lvlJc w:val="left"/>
      <w:pPr>
        <w:ind w:left="7338"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51" w:hanging="529"/>
      </w:pPr>
      <w:rPr>
        <w:rFonts w:hint="default"/>
        <w:lang w:val="en-US" w:eastAsia="zh-CN" w:bidi="ar-SA"/>
      </w:rPr>
    </w:lvl>
  </w:abstractNum>
  <w:abstractNum w:abstractNumId="11">
    <w:multiLevelType w:val="hybridMultilevel"/>
    <w:lvl w:ilvl="0">
      <w:start w:val="1"/>
      <w:numFmt w:val="decimal"/>
      <w:lvlText w:val="（%1）"/>
      <w:lvlJc w:val="left"/>
      <w:pPr>
        <w:ind w:left="2569"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80" w:hanging="529"/>
      </w:pPr>
      <w:rPr>
        <w:rFonts w:hint="default"/>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601" w:hanging="529"/>
      </w:pPr>
      <w:rPr>
        <w:rFonts w:hint="default"/>
        <w:lang w:val="en-US" w:eastAsia="zh-CN" w:bidi="ar-SA"/>
      </w:rPr>
    </w:lvl>
    <w:lvl w:ilvl="5">
      <w:start w:val="0"/>
      <w:numFmt w:val="bullet"/>
      <w:lvlText w:val="•"/>
      <w:lvlJc w:val="left"/>
      <w:pPr>
        <w:ind w:left="6362" w:hanging="529"/>
      </w:pPr>
      <w:rPr>
        <w:rFonts w:hint="default"/>
        <w:lang w:val="en-US" w:eastAsia="zh-CN" w:bidi="ar-SA"/>
      </w:rPr>
    </w:lvl>
    <w:lvl w:ilvl="6">
      <w:start w:val="0"/>
      <w:numFmt w:val="bullet"/>
      <w:lvlText w:val="•"/>
      <w:lvlJc w:val="left"/>
      <w:pPr>
        <w:ind w:left="7122"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643" w:hanging="529"/>
      </w:pPr>
      <w:rPr>
        <w:rFonts w:hint="default"/>
        <w:lang w:val="en-US" w:eastAsia="zh-CN" w:bidi="ar-SA"/>
      </w:rPr>
    </w:lvl>
  </w:abstractNum>
  <w:abstractNum w:abstractNumId="10">
    <w:multiLevelType w:val="hybridMultilevel"/>
    <w:lvl w:ilvl="0">
      <w:start w:val="9"/>
      <w:numFmt w:val="decimal"/>
      <w:lvlText w:val="%1"/>
      <w:lvlJc w:val="left"/>
      <w:pPr>
        <w:ind w:left="2588" w:hanging="850"/>
        <w:jc w:val="left"/>
      </w:pPr>
      <w:rPr>
        <w:rFonts w:hint="default"/>
        <w:lang w:val="en-US" w:eastAsia="zh-CN" w:bidi="ar-SA"/>
      </w:rPr>
    </w:lvl>
    <w:lvl w:ilvl="1">
      <w:start w:val="1"/>
      <w:numFmt w:val="decimal"/>
      <w:lvlText w:val="%1.%2"/>
      <w:lvlJc w:val="left"/>
      <w:pPr>
        <w:ind w:left="2588"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685" w:hanging="529"/>
      </w:pPr>
      <w:rPr>
        <w:rFonts w:hint="default"/>
        <w:lang w:val="en-US" w:eastAsia="zh-CN" w:bidi="ar-SA"/>
      </w:rPr>
    </w:lvl>
    <w:lvl w:ilvl="4">
      <w:start w:val="0"/>
      <w:numFmt w:val="bullet"/>
      <w:lvlText w:val="•"/>
      <w:lvlJc w:val="left"/>
      <w:pPr>
        <w:ind w:left="5468" w:hanging="529"/>
      </w:pPr>
      <w:rPr>
        <w:rFonts w:hint="default"/>
        <w:lang w:val="en-US" w:eastAsia="zh-CN" w:bidi="ar-SA"/>
      </w:rPr>
    </w:lvl>
    <w:lvl w:ilvl="5">
      <w:start w:val="0"/>
      <w:numFmt w:val="bullet"/>
      <w:lvlText w:val="•"/>
      <w:lvlJc w:val="left"/>
      <w:pPr>
        <w:ind w:left="6250" w:hanging="529"/>
      </w:pPr>
      <w:rPr>
        <w:rFonts w:hint="default"/>
        <w:lang w:val="en-US" w:eastAsia="zh-CN" w:bidi="ar-SA"/>
      </w:rPr>
    </w:lvl>
    <w:lvl w:ilvl="6">
      <w:start w:val="0"/>
      <w:numFmt w:val="bullet"/>
      <w:lvlText w:val="•"/>
      <w:lvlJc w:val="left"/>
      <w:pPr>
        <w:ind w:left="7033" w:hanging="529"/>
      </w:pPr>
      <w:rPr>
        <w:rFonts w:hint="default"/>
        <w:lang w:val="en-US" w:eastAsia="zh-CN" w:bidi="ar-SA"/>
      </w:rPr>
    </w:lvl>
    <w:lvl w:ilvl="7">
      <w:start w:val="0"/>
      <w:numFmt w:val="bullet"/>
      <w:lvlText w:val="•"/>
      <w:lvlJc w:val="left"/>
      <w:pPr>
        <w:ind w:left="7816" w:hanging="529"/>
      </w:pPr>
      <w:rPr>
        <w:rFonts w:hint="default"/>
        <w:lang w:val="en-US" w:eastAsia="zh-CN" w:bidi="ar-SA"/>
      </w:rPr>
    </w:lvl>
    <w:lvl w:ilvl="8">
      <w:start w:val="0"/>
      <w:numFmt w:val="bullet"/>
      <w:lvlText w:val="•"/>
      <w:lvlJc w:val="left"/>
      <w:pPr>
        <w:ind w:left="8598" w:hanging="529"/>
      </w:pPr>
      <w:rPr>
        <w:rFonts w:hint="default"/>
        <w:lang w:val="en-US" w:eastAsia="zh-CN" w:bidi="ar-SA"/>
      </w:rPr>
    </w:lvl>
  </w:abstractNum>
  <w:abstractNum w:abstractNumId="9">
    <w:multiLevelType w:val="hybridMultilevel"/>
    <w:lvl w:ilvl="0">
      <w:start w:val="8"/>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917" w:hanging="529"/>
      </w:pPr>
      <w:rPr>
        <w:rFonts w:hint="default"/>
        <w:lang w:val="en-US" w:eastAsia="zh-CN" w:bidi="ar-SA"/>
      </w:rPr>
    </w:lvl>
    <w:lvl w:ilvl="4">
      <w:start w:val="0"/>
      <w:numFmt w:val="bullet"/>
      <w:lvlText w:val="•"/>
      <w:lvlJc w:val="left"/>
      <w:pPr>
        <w:ind w:left="2816" w:hanging="529"/>
      </w:pPr>
      <w:rPr>
        <w:rFonts w:hint="default"/>
        <w:lang w:val="en-US" w:eastAsia="zh-CN" w:bidi="ar-SA"/>
      </w:rPr>
    </w:lvl>
    <w:lvl w:ilvl="5">
      <w:start w:val="0"/>
      <w:numFmt w:val="bullet"/>
      <w:lvlText w:val="•"/>
      <w:lvlJc w:val="left"/>
      <w:pPr>
        <w:ind w:left="2715" w:hanging="529"/>
      </w:pPr>
      <w:rPr>
        <w:rFonts w:hint="default"/>
        <w:lang w:val="en-US" w:eastAsia="zh-CN" w:bidi="ar-SA"/>
      </w:rPr>
    </w:lvl>
    <w:lvl w:ilvl="6">
      <w:start w:val="0"/>
      <w:numFmt w:val="bullet"/>
      <w:lvlText w:val="•"/>
      <w:lvlJc w:val="left"/>
      <w:pPr>
        <w:ind w:left="2614" w:hanging="529"/>
      </w:pPr>
      <w:rPr>
        <w:rFonts w:hint="default"/>
        <w:lang w:val="en-US" w:eastAsia="zh-CN" w:bidi="ar-SA"/>
      </w:rPr>
    </w:lvl>
    <w:lvl w:ilvl="7">
      <w:start w:val="0"/>
      <w:numFmt w:val="bullet"/>
      <w:lvlText w:val="•"/>
      <w:lvlJc w:val="left"/>
      <w:pPr>
        <w:ind w:left="2513" w:hanging="529"/>
      </w:pPr>
      <w:rPr>
        <w:rFonts w:hint="default"/>
        <w:lang w:val="en-US" w:eastAsia="zh-CN" w:bidi="ar-SA"/>
      </w:rPr>
    </w:lvl>
    <w:lvl w:ilvl="8">
      <w:start w:val="0"/>
      <w:numFmt w:val="bullet"/>
      <w:lvlText w:val="•"/>
      <w:lvlJc w:val="left"/>
      <w:pPr>
        <w:ind w:left="2411" w:hanging="529"/>
      </w:pPr>
      <w:rPr>
        <w:rFonts w:hint="default"/>
        <w:lang w:val="en-US" w:eastAsia="zh-CN" w:bidi="ar-SA"/>
      </w:rPr>
    </w:lvl>
  </w:abstractNum>
  <w:abstractNum w:abstractNumId="8">
    <w:multiLevelType w:val="hybridMultilevel"/>
    <w:lvl w:ilvl="0">
      <w:start w:val="6"/>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3120" w:hanging="850"/>
      </w:pPr>
      <w:rPr>
        <w:rFonts w:hint="default"/>
        <w:lang w:val="en-US" w:eastAsia="zh-CN" w:bidi="ar-SA"/>
      </w:rPr>
    </w:lvl>
    <w:lvl w:ilvl="3">
      <w:start w:val="0"/>
      <w:numFmt w:val="bullet"/>
      <w:lvlText w:val="•"/>
      <w:lvlJc w:val="left"/>
      <w:pPr>
        <w:ind w:left="4001" w:hanging="850"/>
      </w:pPr>
      <w:rPr>
        <w:rFonts w:hint="default"/>
        <w:lang w:val="en-US" w:eastAsia="zh-CN" w:bidi="ar-SA"/>
      </w:rPr>
    </w:lvl>
    <w:lvl w:ilvl="4">
      <w:start w:val="0"/>
      <w:numFmt w:val="bullet"/>
      <w:lvlText w:val="•"/>
      <w:lvlJc w:val="left"/>
      <w:pPr>
        <w:ind w:left="4881" w:hanging="850"/>
      </w:pPr>
      <w:rPr>
        <w:rFonts w:hint="default"/>
        <w:lang w:val="en-US" w:eastAsia="zh-CN" w:bidi="ar-SA"/>
      </w:rPr>
    </w:lvl>
    <w:lvl w:ilvl="5">
      <w:start w:val="0"/>
      <w:numFmt w:val="bullet"/>
      <w:lvlText w:val="•"/>
      <w:lvlJc w:val="left"/>
      <w:pPr>
        <w:ind w:left="5762" w:hanging="850"/>
      </w:pPr>
      <w:rPr>
        <w:rFonts w:hint="default"/>
        <w:lang w:val="en-US" w:eastAsia="zh-CN" w:bidi="ar-SA"/>
      </w:rPr>
    </w:lvl>
    <w:lvl w:ilvl="6">
      <w:start w:val="0"/>
      <w:numFmt w:val="bullet"/>
      <w:lvlText w:val="•"/>
      <w:lvlJc w:val="left"/>
      <w:pPr>
        <w:ind w:left="6642" w:hanging="850"/>
      </w:pPr>
      <w:rPr>
        <w:rFonts w:hint="default"/>
        <w:lang w:val="en-US" w:eastAsia="zh-CN" w:bidi="ar-SA"/>
      </w:rPr>
    </w:lvl>
    <w:lvl w:ilvl="7">
      <w:start w:val="0"/>
      <w:numFmt w:val="bullet"/>
      <w:lvlText w:val="•"/>
      <w:lvlJc w:val="left"/>
      <w:pPr>
        <w:ind w:left="7522" w:hanging="850"/>
      </w:pPr>
      <w:rPr>
        <w:rFonts w:hint="default"/>
        <w:lang w:val="en-US" w:eastAsia="zh-CN" w:bidi="ar-SA"/>
      </w:rPr>
    </w:lvl>
    <w:lvl w:ilvl="8">
      <w:start w:val="0"/>
      <w:numFmt w:val="bullet"/>
      <w:lvlText w:val="•"/>
      <w:lvlJc w:val="left"/>
      <w:pPr>
        <w:ind w:left="8403" w:hanging="850"/>
      </w:pPr>
      <w:rPr>
        <w:rFonts w:hint="default"/>
        <w:lang w:val="en-US" w:eastAsia="zh-CN" w:bidi="ar-SA"/>
      </w:rPr>
    </w:lvl>
  </w:abstractNum>
  <w:abstractNum w:abstractNumId="7">
    <w:multiLevelType w:val="hybridMultilevel"/>
    <w:lvl w:ilvl="0">
      <w:start w:val="5"/>
      <w:numFmt w:val="decimal"/>
      <w:lvlText w:val="%1"/>
      <w:lvlJc w:val="left"/>
      <w:pPr>
        <w:ind w:left="2588" w:hanging="850"/>
        <w:jc w:val="left"/>
      </w:pPr>
      <w:rPr>
        <w:rFonts w:hint="default"/>
        <w:lang w:val="en-US" w:eastAsia="zh-CN" w:bidi="ar-SA"/>
      </w:rPr>
    </w:lvl>
    <w:lvl w:ilvl="1">
      <w:start w:val="1"/>
      <w:numFmt w:val="decimal"/>
      <w:lvlText w:val="%1.%2"/>
      <w:lvlJc w:val="left"/>
      <w:pPr>
        <w:ind w:left="2588"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096" w:hanging="850"/>
      </w:pPr>
      <w:rPr>
        <w:rFonts w:hint="default"/>
        <w:lang w:val="en-US" w:eastAsia="zh-CN" w:bidi="ar-SA"/>
      </w:rPr>
    </w:lvl>
    <w:lvl w:ilvl="3">
      <w:start w:val="0"/>
      <w:numFmt w:val="bullet"/>
      <w:lvlText w:val="•"/>
      <w:lvlJc w:val="left"/>
      <w:pPr>
        <w:ind w:left="4855" w:hanging="850"/>
      </w:pPr>
      <w:rPr>
        <w:rFonts w:hint="default"/>
        <w:lang w:val="en-US" w:eastAsia="zh-CN" w:bidi="ar-SA"/>
      </w:rPr>
    </w:lvl>
    <w:lvl w:ilvl="4">
      <w:start w:val="0"/>
      <w:numFmt w:val="bullet"/>
      <w:lvlText w:val="•"/>
      <w:lvlJc w:val="left"/>
      <w:pPr>
        <w:ind w:left="5613" w:hanging="850"/>
      </w:pPr>
      <w:rPr>
        <w:rFonts w:hint="default"/>
        <w:lang w:val="en-US" w:eastAsia="zh-CN" w:bidi="ar-SA"/>
      </w:rPr>
    </w:lvl>
    <w:lvl w:ilvl="5">
      <w:start w:val="0"/>
      <w:numFmt w:val="bullet"/>
      <w:lvlText w:val="•"/>
      <w:lvlJc w:val="left"/>
      <w:pPr>
        <w:ind w:left="6372" w:hanging="850"/>
      </w:pPr>
      <w:rPr>
        <w:rFonts w:hint="default"/>
        <w:lang w:val="en-US" w:eastAsia="zh-CN" w:bidi="ar-SA"/>
      </w:rPr>
    </w:lvl>
    <w:lvl w:ilvl="6">
      <w:start w:val="0"/>
      <w:numFmt w:val="bullet"/>
      <w:lvlText w:val="•"/>
      <w:lvlJc w:val="left"/>
      <w:pPr>
        <w:ind w:left="7130" w:hanging="850"/>
      </w:pPr>
      <w:rPr>
        <w:rFonts w:hint="default"/>
        <w:lang w:val="en-US" w:eastAsia="zh-CN" w:bidi="ar-SA"/>
      </w:rPr>
    </w:lvl>
    <w:lvl w:ilvl="7">
      <w:start w:val="0"/>
      <w:numFmt w:val="bullet"/>
      <w:lvlText w:val="•"/>
      <w:lvlJc w:val="left"/>
      <w:pPr>
        <w:ind w:left="7888" w:hanging="850"/>
      </w:pPr>
      <w:rPr>
        <w:rFonts w:hint="default"/>
        <w:lang w:val="en-US" w:eastAsia="zh-CN" w:bidi="ar-SA"/>
      </w:rPr>
    </w:lvl>
    <w:lvl w:ilvl="8">
      <w:start w:val="0"/>
      <w:numFmt w:val="bullet"/>
      <w:lvlText w:val="•"/>
      <w:lvlJc w:val="left"/>
      <w:pPr>
        <w:ind w:left="8647" w:hanging="850"/>
      </w:pPr>
      <w:rPr>
        <w:rFonts w:hint="default"/>
        <w:lang w:val="en-US" w:eastAsia="zh-CN" w:bidi="ar-SA"/>
      </w:rPr>
    </w:lvl>
  </w:abstractNum>
  <w:abstractNum w:abstractNumId="6">
    <w:multiLevelType w:val="hybridMultilevel"/>
    <w:lvl w:ilvl="0">
      <w:start w:val="4"/>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529" w:hanging="850"/>
      </w:pPr>
      <w:rPr>
        <w:rFonts w:hint="default"/>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5">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68" w:hanging="529"/>
        <w:jc w:val="right"/>
      </w:pPr>
      <w:rPr>
        <w:rFonts w:hint="default" w:ascii="宋体" w:hAnsi="宋体" w:eastAsia="宋体" w:cs="宋体"/>
        <w:b w:val="0"/>
        <w:bCs w:val="0"/>
        <w:i w:val="0"/>
        <w:iCs w:val="0"/>
        <w:w w:val="100"/>
        <w:sz w:val="19"/>
        <w:szCs w:val="19"/>
        <w:lang w:val="en-US" w:eastAsia="zh-CN" w:bidi="ar-SA"/>
      </w:rPr>
    </w:lvl>
    <w:lvl w:ilvl="2">
      <w:start w:val="1"/>
      <w:numFmt w:val="decimal"/>
      <w:lvlText w:val="（%3）"/>
      <w:lvlJc w:val="left"/>
      <w:pPr>
        <w:ind w:left="848" w:hanging="529"/>
        <w:jc w:val="left"/>
      </w:pPr>
      <w:rPr>
        <w:rFonts w:hint="default" w:ascii="宋体" w:hAnsi="宋体" w:eastAsia="宋体" w:cs="宋体"/>
        <w:b w:val="0"/>
        <w:bCs w:val="0"/>
        <w:i w:val="0"/>
        <w:iCs w:val="0"/>
        <w:w w:val="100"/>
        <w:sz w:val="19"/>
        <w:szCs w:val="19"/>
        <w:shd w:fill="D9D9D9" w:color="auto" w:val="clear"/>
        <w:lang w:val="en-US" w:eastAsia="zh-CN" w:bidi="ar-SA"/>
      </w:rPr>
    </w:lvl>
    <w:lvl w:ilvl="3">
      <w:start w:val="0"/>
      <w:numFmt w:val="bullet"/>
      <w:lvlText w:val="•"/>
      <w:lvlJc w:val="left"/>
      <w:pPr>
        <w:ind w:left="1716" w:hanging="529"/>
      </w:pPr>
      <w:rPr>
        <w:rFonts w:hint="default"/>
        <w:lang w:val="en-US" w:eastAsia="zh-CN" w:bidi="ar-SA"/>
      </w:rPr>
    </w:lvl>
    <w:lvl w:ilvl="4">
      <w:start w:val="0"/>
      <w:numFmt w:val="bullet"/>
      <w:lvlText w:val="•"/>
      <w:lvlJc w:val="left"/>
      <w:pPr>
        <w:ind w:left="2572" w:hanging="529"/>
      </w:pPr>
      <w:rPr>
        <w:rFonts w:hint="default"/>
        <w:lang w:val="en-US" w:eastAsia="zh-CN" w:bidi="ar-SA"/>
      </w:rPr>
    </w:lvl>
    <w:lvl w:ilvl="5">
      <w:start w:val="0"/>
      <w:numFmt w:val="bullet"/>
      <w:lvlText w:val="•"/>
      <w:lvlJc w:val="left"/>
      <w:pPr>
        <w:ind w:left="3428" w:hanging="529"/>
      </w:pPr>
      <w:rPr>
        <w:rFonts w:hint="default"/>
        <w:lang w:val="en-US" w:eastAsia="zh-CN" w:bidi="ar-SA"/>
      </w:rPr>
    </w:lvl>
    <w:lvl w:ilvl="6">
      <w:start w:val="0"/>
      <w:numFmt w:val="bullet"/>
      <w:lvlText w:val="•"/>
      <w:lvlJc w:val="left"/>
      <w:pPr>
        <w:ind w:left="4284" w:hanging="529"/>
      </w:pPr>
      <w:rPr>
        <w:rFonts w:hint="default"/>
        <w:lang w:val="en-US" w:eastAsia="zh-CN" w:bidi="ar-SA"/>
      </w:rPr>
    </w:lvl>
    <w:lvl w:ilvl="7">
      <w:start w:val="0"/>
      <w:numFmt w:val="bullet"/>
      <w:lvlText w:val="•"/>
      <w:lvlJc w:val="left"/>
      <w:pPr>
        <w:ind w:left="5140" w:hanging="529"/>
      </w:pPr>
      <w:rPr>
        <w:rFonts w:hint="default"/>
        <w:lang w:val="en-US" w:eastAsia="zh-CN" w:bidi="ar-SA"/>
      </w:rPr>
    </w:lvl>
    <w:lvl w:ilvl="8">
      <w:start w:val="0"/>
      <w:numFmt w:val="bullet"/>
      <w:lvlText w:val="•"/>
      <w:lvlJc w:val="left"/>
      <w:pPr>
        <w:ind w:left="5996" w:hanging="529"/>
      </w:pPr>
      <w:rPr>
        <w:rFonts w:hint="default"/>
        <w:lang w:val="en-US" w:eastAsia="zh-CN" w:bidi="ar-SA"/>
      </w:rPr>
    </w:lvl>
  </w:abstractNum>
  <w:abstractNum w:abstractNumId="4">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64" w:hanging="529"/>
      </w:pPr>
      <w:rPr>
        <w:rFonts w:hint="default"/>
        <w:lang w:val="en-US" w:eastAsia="zh-CN" w:bidi="ar-SA"/>
      </w:rPr>
    </w:lvl>
    <w:lvl w:ilvl="2">
      <w:start w:val="0"/>
      <w:numFmt w:val="bullet"/>
      <w:lvlText w:val="•"/>
      <w:lvlJc w:val="left"/>
      <w:pPr>
        <w:ind w:left="2069" w:hanging="529"/>
      </w:pPr>
      <w:rPr>
        <w:rFonts w:hint="default"/>
        <w:lang w:val="en-US" w:eastAsia="zh-CN" w:bidi="ar-SA"/>
      </w:rPr>
    </w:lvl>
    <w:lvl w:ilvl="3">
      <w:start w:val="0"/>
      <w:numFmt w:val="bullet"/>
      <w:lvlText w:val="•"/>
      <w:lvlJc w:val="left"/>
      <w:pPr>
        <w:ind w:left="2774" w:hanging="529"/>
      </w:pPr>
      <w:rPr>
        <w:rFonts w:hint="default"/>
        <w:lang w:val="en-US" w:eastAsia="zh-CN" w:bidi="ar-SA"/>
      </w:rPr>
    </w:lvl>
    <w:lvl w:ilvl="4">
      <w:start w:val="0"/>
      <w:numFmt w:val="bullet"/>
      <w:lvlText w:val="•"/>
      <w:lvlJc w:val="left"/>
      <w:pPr>
        <w:ind w:left="3479" w:hanging="529"/>
      </w:pPr>
      <w:rPr>
        <w:rFonts w:hint="default"/>
        <w:lang w:val="en-US" w:eastAsia="zh-CN" w:bidi="ar-SA"/>
      </w:rPr>
    </w:lvl>
    <w:lvl w:ilvl="5">
      <w:start w:val="0"/>
      <w:numFmt w:val="bullet"/>
      <w:lvlText w:val="•"/>
      <w:lvlJc w:val="left"/>
      <w:pPr>
        <w:ind w:left="4184" w:hanging="529"/>
      </w:pPr>
      <w:rPr>
        <w:rFonts w:hint="default"/>
        <w:lang w:val="en-US" w:eastAsia="zh-CN" w:bidi="ar-SA"/>
      </w:rPr>
    </w:lvl>
    <w:lvl w:ilvl="6">
      <w:start w:val="0"/>
      <w:numFmt w:val="bullet"/>
      <w:lvlText w:val="•"/>
      <w:lvlJc w:val="left"/>
      <w:pPr>
        <w:ind w:left="4888" w:hanging="529"/>
      </w:pPr>
      <w:rPr>
        <w:rFonts w:hint="default"/>
        <w:lang w:val="en-US" w:eastAsia="zh-CN" w:bidi="ar-SA"/>
      </w:rPr>
    </w:lvl>
    <w:lvl w:ilvl="7">
      <w:start w:val="0"/>
      <w:numFmt w:val="bullet"/>
      <w:lvlText w:val="•"/>
      <w:lvlJc w:val="left"/>
      <w:pPr>
        <w:ind w:left="5593" w:hanging="529"/>
      </w:pPr>
      <w:rPr>
        <w:rFonts w:hint="default"/>
        <w:lang w:val="en-US" w:eastAsia="zh-CN" w:bidi="ar-SA"/>
      </w:rPr>
    </w:lvl>
    <w:lvl w:ilvl="8">
      <w:start w:val="0"/>
      <w:numFmt w:val="bullet"/>
      <w:lvlText w:val="•"/>
      <w:lvlJc w:val="left"/>
      <w:pPr>
        <w:ind w:left="6298" w:hanging="529"/>
      </w:pPr>
      <w:rPr>
        <w:rFonts w:hint="default"/>
        <w:lang w:val="en-US" w:eastAsia="zh-CN" w:bidi="ar-SA"/>
      </w:rPr>
    </w:lvl>
  </w:abstractNum>
  <w:abstractNum w:abstractNumId="3">
    <w:multiLevelType w:val="hybridMultilevel"/>
    <w:lvl w:ilvl="0">
      <w:start w:val="1"/>
      <w:numFmt w:val="decimal"/>
      <w:lvlText w:val="（%1）"/>
      <w:lvlJc w:val="left"/>
      <w:pPr>
        <w:ind w:left="66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00" w:hanging="529"/>
      </w:pPr>
      <w:rPr>
        <w:rFonts w:hint="default"/>
        <w:lang w:val="en-US" w:eastAsia="zh-CN" w:bidi="ar-SA"/>
      </w:rPr>
    </w:lvl>
    <w:lvl w:ilvl="2">
      <w:start w:val="0"/>
      <w:numFmt w:val="bullet"/>
      <w:lvlText w:val="•"/>
      <w:lvlJc w:val="left"/>
      <w:pPr>
        <w:ind w:left="2012" w:hanging="529"/>
      </w:pPr>
      <w:rPr>
        <w:rFonts w:hint="default"/>
        <w:lang w:val="en-US" w:eastAsia="zh-CN" w:bidi="ar-SA"/>
      </w:rPr>
    </w:lvl>
    <w:lvl w:ilvl="3">
      <w:start w:val="0"/>
      <w:numFmt w:val="bullet"/>
      <w:lvlText w:val="•"/>
      <w:lvlJc w:val="left"/>
      <w:pPr>
        <w:ind w:left="2724" w:hanging="529"/>
      </w:pPr>
      <w:rPr>
        <w:rFonts w:hint="default"/>
        <w:lang w:val="en-US" w:eastAsia="zh-CN" w:bidi="ar-SA"/>
      </w:rPr>
    </w:lvl>
    <w:lvl w:ilvl="4">
      <w:start w:val="0"/>
      <w:numFmt w:val="bullet"/>
      <w:lvlText w:val="•"/>
      <w:lvlJc w:val="left"/>
      <w:pPr>
        <w:ind w:left="3436"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60" w:hanging="529"/>
      </w:pPr>
      <w:rPr>
        <w:rFonts w:hint="default"/>
        <w:lang w:val="en-US" w:eastAsia="zh-CN" w:bidi="ar-SA"/>
      </w:rPr>
    </w:lvl>
    <w:lvl w:ilvl="7">
      <w:start w:val="0"/>
      <w:numFmt w:val="bullet"/>
      <w:lvlText w:val="•"/>
      <w:lvlJc w:val="left"/>
      <w:pPr>
        <w:ind w:left="5572" w:hanging="529"/>
      </w:pPr>
      <w:rPr>
        <w:rFonts w:hint="default"/>
        <w:lang w:val="en-US" w:eastAsia="zh-CN" w:bidi="ar-SA"/>
      </w:rPr>
    </w:lvl>
    <w:lvl w:ilvl="8">
      <w:start w:val="0"/>
      <w:numFmt w:val="bullet"/>
      <w:lvlText w:val="•"/>
      <w:lvlJc w:val="left"/>
      <w:pPr>
        <w:ind w:left="6284" w:hanging="529"/>
      </w:pPr>
      <w:rPr>
        <w:rFonts w:hint="default"/>
        <w:lang w:val="en-US" w:eastAsia="zh-CN" w:bidi="ar-SA"/>
      </w:rPr>
    </w:lvl>
  </w:abstractNum>
  <w:abstractNum w:abstractNumId="2">
    <w:multiLevelType w:val="hybridMultilevel"/>
    <w:lvl w:ilvl="0">
      <w:start w:val="3"/>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117"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685" w:hanging="529"/>
      </w:pPr>
      <w:rPr>
        <w:rFonts w:hint="default"/>
        <w:lang w:val="en-US" w:eastAsia="zh-CN" w:bidi="ar-SA"/>
      </w:rPr>
    </w:lvl>
    <w:lvl w:ilvl="4">
      <w:start w:val="0"/>
      <w:numFmt w:val="bullet"/>
      <w:lvlText w:val="•"/>
      <w:lvlJc w:val="left"/>
      <w:pPr>
        <w:ind w:left="5468" w:hanging="529"/>
      </w:pPr>
      <w:rPr>
        <w:rFonts w:hint="default"/>
        <w:lang w:val="en-US" w:eastAsia="zh-CN" w:bidi="ar-SA"/>
      </w:rPr>
    </w:lvl>
    <w:lvl w:ilvl="5">
      <w:start w:val="0"/>
      <w:numFmt w:val="bullet"/>
      <w:lvlText w:val="•"/>
      <w:lvlJc w:val="left"/>
      <w:pPr>
        <w:ind w:left="6250" w:hanging="529"/>
      </w:pPr>
      <w:rPr>
        <w:rFonts w:hint="default"/>
        <w:lang w:val="en-US" w:eastAsia="zh-CN" w:bidi="ar-SA"/>
      </w:rPr>
    </w:lvl>
    <w:lvl w:ilvl="6">
      <w:start w:val="0"/>
      <w:numFmt w:val="bullet"/>
      <w:lvlText w:val="•"/>
      <w:lvlJc w:val="left"/>
      <w:pPr>
        <w:ind w:left="7033" w:hanging="529"/>
      </w:pPr>
      <w:rPr>
        <w:rFonts w:hint="default"/>
        <w:lang w:val="en-US" w:eastAsia="zh-CN" w:bidi="ar-SA"/>
      </w:rPr>
    </w:lvl>
    <w:lvl w:ilvl="7">
      <w:start w:val="0"/>
      <w:numFmt w:val="bullet"/>
      <w:lvlText w:val="•"/>
      <w:lvlJc w:val="left"/>
      <w:pPr>
        <w:ind w:left="7816" w:hanging="529"/>
      </w:pPr>
      <w:rPr>
        <w:rFonts w:hint="default"/>
        <w:lang w:val="en-US" w:eastAsia="zh-CN" w:bidi="ar-SA"/>
      </w:rPr>
    </w:lvl>
    <w:lvl w:ilvl="8">
      <w:start w:val="0"/>
      <w:numFmt w:val="bullet"/>
      <w:lvlText w:val="•"/>
      <w:lvlJc w:val="left"/>
      <w:pPr>
        <w:ind w:left="8598" w:hanging="529"/>
      </w:pPr>
      <w:rPr>
        <w:rFonts w:hint="default"/>
        <w:lang w:val="en-US" w:eastAsia="zh-CN" w:bidi="ar-SA"/>
      </w:rPr>
    </w:lvl>
  </w:abstractNum>
  <w:abstractNum w:abstractNumId="1">
    <w:multiLevelType w:val="hybridMultilevel"/>
    <w:lvl w:ilvl="0">
      <w:start w:val="2"/>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364" w:hanging="850"/>
        <w:jc w:val="left"/>
      </w:pPr>
      <w:rPr>
        <w:rFonts w:hint="default" w:ascii="微软雅黑" w:hAnsi="微软雅黑" w:eastAsia="微软雅黑" w:cs="微软雅黑"/>
        <w:b/>
        <w:bCs/>
        <w:i w:val="0"/>
        <w:iCs w:val="0"/>
        <w:w w:val="103"/>
        <w:position w:val="1"/>
        <w:sz w:val="21"/>
        <w:szCs w:val="21"/>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abstractNum w:abstractNumId="0">
    <w:multiLevelType w:val="hybridMultilevel"/>
    <w:lvl w:ilvl="0">
      <w:start w:val="1"/>
      <w:numFmt w:val="decimal"/>
      <w:lvlText w:val="%1"/>
      <w:lvlJc w:val="left"/>
      <w:pPr>
        <w:ind w:left="1364" w:hanging="850"/>
        <w:jc w:val="left"/>
      </w:pPr>
      <w:rPr>
        <w:rFonts w:hint="default"/>
        <w:lang w:val="en-US" w:eastAsia="zh-CN" w:bidi="ar-SA"/>
      </w:rPr>
    </w:lvl>
    <w:lvl w:ilvl="1">
      <w:start w:val="1"/>
      <w:numFmt w:val="decimal"/>
      <w:lvlText w:val="%1.%2"/>
      <w:lvlJc w:val="left"/>
      <w:pPr>
        <w:ind w:left="1364" w:hanging="850"/>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1529" w:hanging="850"/>
      </w:pPr>
      <w:rPr>
        <w:rFonts w:hint="default"/>
        <w:lang w:val="en-US" w:eastAsia="zh-CN" w:bidi="ar-SA"/>
      </w:rPr>
    </w:lvl>
    <w:lvl w:ilvl="3">
      <w:start w:val="0"/>
      <w:numFmt w:val="bullet"/>
      <w:lvlText w:val="•"/>
      <w:lvlJc w:val="left"/>
      <w:pPr>
        <w:ind w:left="1614" w:hanging="850"/>
      </w:pPr>
      <w:rPr>
        <w:rFonts w:hint="default"/>
        <w:lang w:val="en-US" w:eastAsia="zh-CN" w:bidi="ar-SA"/>
      </w:rPr>
    </w:lvl>
    <w:lvl w:ilvl="4">
      <w:start w:val="0"/>
      <w:numFmt w:val="bullet"/>
      <w:lvlText w:val="•"/>
      <w:lvlJc w:val="left"/>
      <w:pPr>
        <w:ind w:left="1699" w:hanging="850"/>
      </w:pPr>
      <w:rPr>
        <w:rFonts w:hint="default"/>
        <w:lang w:val="en-US" w:eastAsia="zh-CN" w:bidi="ar-SA"/>
      </w:rPr>
    </w:lvl>
    <w:lvl w:ilvl="5">
      <w:start w:val="0"/>
      <w:numFmt w:val="bullet"/>
      <w:lvlText w:val="•"/>
      <w:lvlJc w:val="left"/>
      <w:pPr>
        <w:ind w:left="1784" w:hanging="850"/>
      </w:pPr>
      <w:rPr>
        <w:rFonts w:hint="default"/>
        <w:lang w:val="en-US" w:eastAsia="zh-CN" w:bidi="ar-SA"/>
      </w:rPr>
    </w:lvl>
    <w:lvl w:ilvl="6">
      <w:start w:val="0"/>
      <w:numFmt w:val="bullet"/>
      <w:lvlText w:val="•"/>
      <w:lvlJc w:val="left"/>
      <w:pPr>
        <w:ind w:left="1869" w:hanging="850"/>
      </w:pPr>
      <w:rPr>
        <w:rFonts w:hint="default"/>
        <w:lang w:val="en-US" w:eastAsia="zh-CN" w:bidi="ar-SA"/>
      </w:rPr>
    </w:lvl>
    <w:lvl w:ilvl="7">
      <w:start w:val="0"/>
      <w:numFmt w:val="bullet"/>
      <w:lvlText w:val="•"/>
      <w:lvlJc w:val="left"/>
      <w:pPr>
        <w:ind w:left="1954" w:hanging="850"/>
      </w:pPr>
      <w:rPr>
        <w:rFonts w:hint="default"/>
        <w:lang w:val="en-US" w:eastAsia="zh-CN" w:bidi="ar-SA"/>
      </w:rPr>
    </w:lvl>
    <w:lvl w:ilvl="8">
      <w:start w:val="0"/>
      <w:numFmt w:val="bullet"/>
      <w:lvlText w:val="•"/>
      <w:lvlJc w:val="left"/>
      <w:pPr>
        <w:ind w:left="2039" w:hanging="850"/>
      </w:pPr>
      <w:rPr>
        <w:rFonts w:hint="default"/>
        <w:lang w:val="en-US" w:eastAsia="zh-CN" w:bidi="ar-SA"/>
      </w:rPr>
    </w:lvl>
  </w:abstract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364"/>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spacing w:before="57"/>
      <w:ind w:left="1364"/>
      <w:jc w:val="both"/>
      <w:outlineLvl w:val="2"/>
    </w:pPr>
    <w:rPr>
      <w:rFonts w:ascii="宋体" w:hAnsi="宋体" w:eastAsia="宋体" w:cs="宋体"/>
      <w:sz w:val="24"/>
      <w:szCs w:val="24"/>
      <w:lang w:val="en-US" w:eastAsia="zh-CN" w:bidi="ar-SA"/>
    </w:rPr>
  </w:style>
  <w:style w:styleId="Heading3" w:type="paragraph">
    <w:name w:val="Heading 3"/>
    <w:basedOn w:val="Normal"/>
    <w:uiPriority w:val="1"/>
    <w:qFormat/>
    <w:pPr>
      <w:spacing w:line="383" w:lineRule="exact"/>
      <w:ind w:left="2569"/>
      <w:outlineLvl w:val="3"/>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spacing w:before="43"/>
      <w:ind w:left="3098" w:hanging="530"/>
    </w:pPr>
    <w:rPr>
      <w:rFonts w:ascii="宋体" w:hAnsi="宋体" w:eastAsia="宋体" w:cs="宋体"/>
      <w:lang w:val="en-US" w:eastAsia="zh-CN" w:bidi="ar-SA"/>
    </w:rPr>
  </w:style>
  <w:style w:styleId="TableParagraph" w:type="paragraph">
    <w:name w:val="Table Paragraph"/>
    <w:basedOn w:val="Normal"/>
    <w:uiPriority w:val="1"/>
    <w:qFormat/>
    <w:pPr>
      <w:ind w:left="11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2023-06-05T08:36:26Z</dcterms:created>
  <dcterms:modified xsi:type="dcterms:W3CDTF">2023-06-05T08:36:26Z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